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Look w:val="04A0" w:firstRow="1" w:lastRow="0" w:firstColumn="1" w:lastColumn="0" w:noHBand="0" w:noVBand="1"/>
      </w:tblPr>
      <w:tblGrid>
        <w:gridCol w:w="9010"/>
      </w:tblGrid>
      <w:tr w:rsidR="00CE5BFE" w:rsidRPr="00003EFE" w14:paraId="16005008" w14:textId="77777777" w:rsidTr="00CE5BFE">
        <w:tc>
          <w:tcPr>
            <w:tcW w:w="9010" w:type="dxa"/>
          </w:tcPr>
          <w:p w14:paraId="5BEC5EDE" w14:textId="77777777" w:rsidR="00CE5BFE" w:rsidRPr="008E4426" w:rsidRDefault="00CE5BFE" w:rsidP="00587CFF">
            <w:pPr>
              <w:spacing w:before="240"/>
              <w:rPr>
                <w:rFonts w:asciiTheme="minorHAnsi" w:hAnsiTheme="minorHAnsi" w:cstheme="minorHAnsi"/>
                <w:b/>
                <w:bCs/>
              </w:rPr>
            </w:pPr>
            <w:bookmarkStart w:id="0" w:name="_GoBack"/>
            <w:bookmarkEnd w:id="0"/>
            <w:r w:rsidRPr="008E4426">
              <w:rPr>
                <w:rFonts w:asciiTheme="minorHAnsi" w:hAnsiTheme="minorHAnsi" w:cstheme="minorHAnsi"/>
                <w:b/>
                <w:bCs/>
              </w:rPr>
              <w:t>Table S1</w:t>
            </w:r>
            <w:r>
              <w:rPr>
                <w:rFonts w:asciiTheme="minorHAnsi" w:hAnsiTheme="minorHAnsi" w:cstheme="minorHAnsi"/>
                <w:b/>
                <w:bCs/>
              </w:rPr>
              <w:t>a</w:t>
            </w:r>
            <w:r w:rsidRPr="008E4426">
              <w:rPr>
                <w:rFonts w:asciiTheme="minorHAnsi" w:hAnsiTheme="minorHAnsi" w:cstheme="minorHAnsi"/>
                <w:b/>
                <w:bCs/>
              </w:rPr>
              <w:t>: Illustration of the process-oriented logic framework without data.</w:t>
            </w:r>
          </w:p>
        </w:tc>
      </w:tr>
      <w:tr w:rsidR="00CE5BFE" w14:paraId="2F394F2F" w14:textId="77777777" w:rsidTr="00CE5BFE">
        <w:tc>
          <w:tcPr>
            <w:tcW w:w="9010" w:type="dxa"/>
          </w:tcPr>
          <w:p w14:paraId="250AED2B" w14:textId="77777777" w:rsidR="00CE5BFE" w:rsidRDefault="00CE5BFE" w:rsidP="00587CFF">
            <w:r w:rsidRPr="00F824CF">
              <w:rPr>
                <w:rFonts w:asciiTheme="minorHAnsi" w:hAnsiTheme="minorHAnsi" w:cstheme="minorHAnsi"/>
                <w:i/>
                <w:iCs/>
                <w:sz w:val="22"/>
                <w:szCs w:val="22"/>
              </w:rPr>
              <w:t>Below are table structured summaries displaying the process-oriented logic framework, including processes, inputs, outputs, and outcomes for evaluating the integration of molecular markers of resistance into a routine malaria notification system.</w:t>
            </w:r>
          </w:p>
        </w:tc>
      </w:tr>
      <w:tr w:rsidR="00CE5BFE" w14:paraId="37FDF221" w14:textId="77777777" w:rsidTr="00CE5BFE">
        <w:tc>
          <w:tcPr>
            <w:tcW w:w="9010" w:type="dxa"/>
          </w:tcPr>
          <w:tbl>
            <w:tblPr>
              <w:tblStyle w:val="TableGrid3"/>
              <w:tblW w:w="0" w:type="auto"/>
              <w:tblLook w:val="04A0" w:firstRow="1" w:lastRow="0" w:firstColumn="1" w:lastColumn="0" w:noHBand="0" w:noVBand="1"/>
            </w:tblPr>
            <w:tblGrid>
              <w:gridCol w:w="439"/>
              <w:gridCol w:w="919"/>
              <w:gridCol w:w="1548"/>
              <w:gridCol w:w="17"/>
              <w:gridCol w:w="861"/>
              <w:gridCol w:w="955"/>
              <w:gridCol w:w="955"/>
              <w:gridCol w:w="768"/>
              <w:gridCol w:w="1064"/>
              <w:gridCol w:w="1268"/>
            </w:tblGrid>
            <w:tr w:rsidR="00CE5BFE" w:rsidRPr="00347B2A" w14:paraId="280664D2" w14:textId="77777777" w:rsidTr="00587CFF">
              <w:trPr>
                <w:trHeight w:val="290"/>
              </w:trPr>
              <w:tc>
                <w:tcPr>
                  <w:tcW w:w="435" w:type="dxa"/>
                  <w:tcBorders>
                    <w:top w:val="nil"/>
                    <w:left w:val="nil"/>
                    <w:bottom w:val="nil"/>
                    <w:right w:val="nil"/>
                  </w:tcBorders>
                  <w:noWrap/>
                  <w:hideMark/>
                </w:tcPr>
                <w:p w14:paraId="449F7945" w14:textId="77777777" w:rsidR="00CE5BFE" w:rsidRPr="00347B2A" w:rsidRDefault="00CE5BFE" w:rsidP="00587CFF">
                  <w:pPr>
                    <w:rPr>
                      <w:rFonts w:asciiTheme="minorHAnsi" w:hAnsiTheme="minorHAnsi" w:cstheme="minorHAnsi"/>
                      <w:sz w:val="18"/>
                      <w:szCs w:val="18"/>
                    </w:rPr>
                  </w:pPr>
                </w:p>
              </w:tc>
              <w:tc>
                <w:tcPr>
                  <w:tcW w:w="945" w:type="dxa"/>
                  <w:tcBorders>
                    <w:top w:val="nil"/>
                    <w:left w:val="nil"/>
                    <w:bottom w:val="nil"/>
                    <w:right w:val="single" w:sz="18" w:space="0" w:color="auto"/>
                  </w:tcBorders>
                  <w:noWrap/>
                  <w:hideMark/>
                </w:tcPr>
                <w:p w14:paraId="34FC1293" w14:textId="77777777" w:rsidR="00CE5BFE" w:rsidRPr="00347B2A" w:rsidRDefault="00CE5BFE" w:rsidP="00587CFF">
                  <w:pPr>
                    <w:rPr>
                      <w:rFonts w:asciiTheme="minorHAnsi" w:hAnsiTheme="minorHAnsi" w:cstheme="minorHAnsi"/>
                      <w:sz w:val="18"/>
                      <w:szCs w:val="18"/>
                    </w:rPr>
                  </w:pPr>
                </w:p>
              </w:tc>
              <w:tc>
                <w:tcPr>
                  <w:tcW w:w="6339" w:type="dxa"/>
                  <w:gridSpan w:val="7"/>
                  <w:tcBorders>
                    <w:top w:val="single" w:sz="18" w:space="0" w:color="auto"/>
                    <w:left w:val="single" w:sz="18" w:space="0" w:color="auto"/>
                    <w:bottom w:val="single" w:sz="18" w:space="0" w:color="auto"/>
                    <w:right w:val="single" w:sz="18" w:space="0" w:color="auto"/>
                  </w:tcBorders>
                  <w:hideMark/>
                </w:tcPr>
                <w:p w14:paraId="45616852" w14:textId="77777777" w:rsidR="00CE5BFE" w:rsidRPr="00347B2A" w:rsidRDefault="00CE5BFE" w:rsidP="00587CFF">
                  <w:pPr>
                    <w:jc w:val="center"/>
                    <w:rPr>
                      <w:rFonts w:asciiTheme="minorHAnsi" w:hAnsiTheme="minorHAnsi" w:cstheme="minorHAnsi"/>
                      <w:b/>
                      <w:bCs/>
                      <w:sz w:val="18"/>
                      <w:szCs w:val="18"/>
                    </w:rPr>
                  </w:pPr>
                  <w:r w:rsidRPr="00347B2A">
                    <w:rPr>
                      <w:rFonts w:asciiTheme="minorHAnsi" w:hAnsiTheme="minorHAnsi" w:cstheme="minorHAnsi"/>
                      <w:b/>
                      <w:bCs/>
                      <w:sz w:val="18"/>
                      <w:szCs w:val="18"/>
                    </w:rPr>
                    <w:t>Logic</w:t>
                  </w:r>
                </w:p>
              </w:tc>
              <w:tc>
                <w:tcPr>
                  <w:tcW w:w="1307" w:type="dxa"/>
                  <w:tcBorders>
                    <w:top w:val="nil"/>
                    <w:left w:val="single" w:sz="18" w:space="0" w:color="auto"/>
                    <w:bottom w:val="nil"/>
                    <w:right w:val="nil"/>
                  </w:tcBorders>
                  <w:hideMark/>
                </w:tcPr>
                <w:p w14:paraId="44EBE03D" w14:textId="77777777" w:rsidR="00CE5BFE" w:rsidRPr="00347B2A" w:rsidRDefault="00CE5BFE" w:rsidP="00587CFF">
                  <w:pPr>
                    <w:rPr>
                      <w:rFonts w:asciiTheme="minorHAnsi" w:hAnsiTheme="minorHAnsi" w:cstheme="minorHAnsi"/>
                      <w:sz w:val="18"/>
                      <w:szCs w:val="18"/>
                    </w:rPr>
                  </w:pPr>
                </w:p>
              </w:tc>
            </w:tr>
            <w:tr w:rsidR="00CE5BFE" w:rsidRPr="00347B2A" w14:paraId="480D3B47" w14:textId="77777777" w:rsidTr="00587CFF">
              <w:trPr>
                <w:trHeight w:val="290"/>
              </w:trPr>
              <w:tc>
                <w:tcPr>
                  <w:tcW w:w="435" w:type="dxa"/>
                  <w:tcBorders>
                    <w:top w:val="nil"/>
                    <w:left w:val="nil"/>
                    <w:bottom w:val="nil"/>
                    <w:right w:val="nil"/>
                  </w:tcBorders>
                  <w:noWrap/>
                  <w:hideMark/>
                </w:tcPr>
                <w:p w14:paraId="18568BE8" w14:textId="77777777" w:rsidR="00CE5BFE" w:rsidRPr="00347B2A" w:rsidRDefault="00CE5BFE" w:rsidP="00587CFF">
                  <w:pPr>
                    <w:rPr>
                      <w:rFonts w:asciiTheme="minorHAnsi" w:hAnsiTheme="minorHAnsi" w:cstheme="minorHAnsi"/>
                      <w:sz w:val="18"/>
                      <w:szCs w:val="18"/>
                    </w:rPr>
                  </w:pPr>
                </w:p>
              </w:tc>
              <w:tc>
                <w:tcPr>
                  <w:tcW w:w="945" w:type="dxa"/>
                  <w:tcBorders>
                    <w:top w:val="nil"/>
                    <w:left w:val="nil"/>
                    <w:bottom w:val="nil"/>
                    <w:right w:val="single" w:sz="18" w:space="0" w:color="auto"/>
                  </w:tcBorders>
                  <w:noWrap/>
                  <w:hideMark/>
                </w:tcPr>
                <w:p w14:paraId="4B41FEEC" w14:textId="77777777" w:rsidR="00CE5BFE" w:rsidRPr="00347B2A" w:rsidRDefault="00CE5BFE" w:rsidP="00587CFF">
                  <w:pPr>
                    <w:rPr>
                      <w:rFonts w:asciiTheme="minorHAnsi" w:hAnsiTheme="minorHAnsi" w:cstheme="minorHAnsi"/>
                      <w:sz w:val="18"/>
                      <w:szCs w:val="18"/>
                    </w:rPr>
                  </w:pPr>
                </w:p>
              </w:tc>
              <w:tc>
                <w:tcPr>
                  <w:tcW w:w="1607" w:type="dxa"/>
                  <w:gridSpan w:val="2"/>
                  <w:tcBorders>
                    <w:top w:val="single" w:sz="18" w:space="0" w:color="auto"/>
                    <w:left w:val="single" w:sz="18" w:space="0" w:color="auto"/>
                    <w:bottom w:val="single" w:sz="2" w:space="0" w:color="auto"/>
                    <w:right w:val="single" w:sz="18" w:space="0" w:color="auto"/>
                  </w:tcBorders>
                  <w:noWrap/>
                  <w:hideMark/>
                </w:tcPr>
                <w:p w14:paraId="3DDD940D" w14:textId="77777777" w:rsidR="00CE5BFE" w:rsidRPr="00347B2A" w:rsidRDefault="00CE5BFE" w:rsidP="00587CFF">
                  <w:pPr>
                    <w:rPr>
                      <w:rFonts w:asciiTheme="minorHAnsi" w:hAnsiTheme="minorHAnsi" w:cstheme="minorHAnsi"/>
                      <w:b/>
                      <w:bCs/>
                      <w:i/>
                      <w:iCs/>
                      <w:sz w:val="18"/>
                      <w:szCs w:val="18"/>
                    </w:rPr>
                  </w:pPr>
                  <w:r w:rsidRPr="00347B2A">
                    <w:rPr>
                      <w:rFonts w:asciiTheme="minorHAnsi" w:hAnsiTheme="minorHAnsi" w:cstheme="minorHAnsi"/>
                      <w:b/>
                      <w:bCs/>
                      <w:i/>
                      <w:iCs/>
                      <w:sz w:val="18"/>
                      <w:szCs w:val="18"/>
                    </w:rPr>
                    <w:t>Inputs/Activities</w:t>
                  </w:r>
                </w:p>
              </w:tc>
              <w:tc>
                <w:tcPr>
                  <w:tcW w:w="1867" w:type="dxa"/>
                  <w:gridSpan w:val="2"/>
                  <w:tcBorders>
                    <w:top w:val="single" w:sz="18" w:space="0" w:color="auto"/>
                    <w:left w:val="single" w:sz="18" w:space="0" w:color="auto"/>
                    <w:bottom w:val="single" w:sz="2" w:space="0" w:color="auto"/>
                    <w:right w:val="nil"/>
                  </w:tcBorders>
                  <w:noWrap/>
                  <w:hideMark/>
                </w:tcPr>
                <w:p w14:paraId="78859B46" w14:textId="77777777" w:rsidR="00CE5BFE" w:rsidRPr="00347B2A" w:rsidRDefault="00CE5BFE" w:rsidP="00587CFF">
                  <w:pPr>
                    <w:rPr>
                      <w:rFonts w:asciiTheme="minorHAnsi" w:hAnsiTheme="minorHAnsi" w:cstheme="minorHAnsi"/>
                      <w:b/>
                      <w:bCs/>
                      <w:i/>
                      <w:iCs/>
                      <w:sz w:val="18"/>
                      <w:szCs w:val="18"/>
                    </w:rPr>
                  </w:pPr>
                  <w:r w:rsidRPr="00347B2A">
                    <w:rPr>
                      <w:rFonts w:asciiTheme="minorHAnsi" w:hAnsiTheme="minorHAnsi" w:cstheme="minorHAnsi"/>
                      <w:b/>
                      <w:bCs/>
                      <w:i/>
                      <w:iCs/>
                      <w:sz w:val="18"/>
                      <w:szCs w:val="18"/>
                    </w:rPr>
                    <w:t>Outputs</w:t>
                  </w:r>
                </w:p>
              </w:tc>
              <w:tc>
                <w:tcPr>
                  <w:tcW w:w="2865" w:type="dxa"/>
                  <w:gridSpan w:val="3"/>
                  <w:tcBorders>
                    <w:top w:val="single" w:sz="18" w:space="0" w:color="auto"/>
                    <w:left w:val="nil"/>
                    <w:bottom w:val="single" w:sz="2" w:space="0" w:color="auto"/>
                    <w:right w:val="single" w:sz="18" w:space="0" w:color="auto"/>
                  </w:tcBorders>
                  <w:noWrap/>
                  <w:hideMark/>
                </w:tcPr>
                <w:p w14:paraId="38A2C37E" w14:textId="77777777" w:rsidR="00CE5BFE" w:rsidRPr="00347B2A" w:rsidRDefault="00CE5BFE" w:rsidP="00587CFF">
                  <w:pPr>
                    <w:rPr>
                      <w:rFonts w:asciiTheme="minorHAnsi" w:hAnsiTheme="minorHAnsi" w:cstheme="minorHAnsi"/>
                      <w:b/>
                      <w:bCs/>
                      <w:i/>
                      <w:iCs/>
                      <w:sz w:val="18"/>
                      <w:szCs w:val="18"/>
                    </w:rPr>
                  </w:pPr>
                  <w:r w:rsidRPr="00347B2A">
                    <w:rPr>
                      <w:rFonts w:asciiTheme="minorHAnsi" w:hAnsiTheme="minorHAnsi" w:cstheme="minorHAnsi"/>
                      <w:b/>
                      <w:bCs/>
                      <w:i/>
                      <w:iCs/>
                      <w:sz w:val="18"/>
                      <w:szCs w:val="18"/>
                    </w:rPr>
                    <w:t>Outcomes</w:t>
                  </w:r>
                </w:p>
              </w:tc>
              <w:tc>
                <w:tcPr>
                  <w:tcW w:w="1307" w:type="dxa"/>
                  <w:tcBorders>
                    <w:top w:val="nil"/>
                    <w:left w:val="single" w:sz="18" w:space="0" w:color="auto"/>
                    <w:bottom w:val="nil"/>
                    <w:right w:val="nil"/>
                  </w:tcBorders>
                  <w:noWrap/>
                  <w:hideMark/>
                </w:tcPr>
                <w:p w14:paraId="57328460" w14:textId="77777777" w:rsidR="00CE5BFE" w:rsidRPr="00347B2A" w:rsidRDefault="00CE5BFE" w:rsidP="00587CFF">
                  <w:pPr>
                    <w:rPr>
                      <w:rFonts w:asciiTheme="minorHAnsi" w:hAnsiTheme="minorHAnsi" w:cstheme="minorHAnsi"/>
                      <w:sz w:val="18"/>
                      <w:szCs w:val="18"/>
                    </w:rPr>
                  </w:pPr>
                </w:p>
              </w:tc>
            </w:tr>
            <w:tr w:rsidR="00CE5BFE" w:rsidRPr="00347B2A" w14:paraId="38BE2F03" w14:textId="77777777" w:rsidTr="00587CFF">
              <w:trPr>
                <w:trHeight w:val="290"/>
              </w:trPr>
              <w:tc>
                <w:tcPr>
                  <w:tcW w:w="435" w:type="dxa"/>
                  <w:tcBorders>
                    <w:top w:val="nil"/>
                    <w:left w:val="nil"/>
                    <w:bottom w:val="nil"/>
                    <w:right w:val="nil"/>
                  </w:tcBorders>
                  <w:noWrap/>
                  <w:hideMark/>
                </w:tcPr>
                <w:p w14:paraId="3EA7FBEB" w14:textId="77777777" w:rsidR="00CE5BFE" w:rsidRPr="00347B2A" w:rsidRDefault="00CE5BFE" w:rsidP="00587CFF">
                  <w:pPr>
                    <w:rPr>
                      <w:rFonts w:asciiTheme="minorHAnsi" w:hAnsiTheme="minorHAnsi" w:cstheme="minorHAnsi"/>
                      <w:sz w:val="18"/>
                      <w:szCs w:val="18"/>
                    </w:rPr>
                  </w:pPr>
                </w:p>
              </w:tc>
              <w:tc>
                <w:tcPr>
                  <w:tcW w:w="945" w:type="dxa"/>
                  <w:tcBorders>
                    <w:top w:val="nil"/>
                    <w:left w:val="nil"/>
                    <w:bottom w:val="single" w:sz="2" w:space="0" w:color="auto"/>
                    <w:right w:val="single" w:sz="18" w:space="0" w:color="auto"/>
                  </w:tcBorders>
                  <w:noWrap/>
                  <w:hideMark/>
                </w:tcPr>
                <w:p w14:paraId="4D783A24" w14:textId="77777777" w:rsidR="00CE5BFE" w:rsidRPr="00347B2A" w:rsidRDefault="00CE5BFE" w:rsidP="00587CFF">
                  <w:pPr>
                    <w:rPr>
                      <w:rFonts w:asciiTheme="minorHAnsi" w:hAnsiTheme="minorHAnsi" w:cstheme="minorHAnsi"/>
                      <w:sz w:val="18"/>
                      <w:szCs w:val="18"/>
                    </w:rPr>
                  </w:pPr>
                </w:p>
              </w:tc>
              <w:tc>
                <w:tcPr>
                  <w:tcW w:w="1597" w:type="dxa"/>
                  <w:tcBorders>
                    <w:top w:val="single" w:sz="2" w:space="0" w:color="auto"/>
                    <w:left w:val="single" w:sz="18" w:space="0" w:color="auto"/>
                    <w:bottom w:val="single" w:sz="2" w:space="0" w:color="auto"/>
                    <w:right w:val="single" w:sz="18" w:space="0" w:color="auto"/>
                  </w:tcBorders>
                  <w:noWrap/>
                  <w:hideMark/>
                </w:tcPr>
                <w:p w14:paraId="185B53C4" w14:textId="77777777" w:rsidR="00CE5BFE" w:rsidRPr="00347B2A" w:rsidRDefault="00CE5BFE" w:rsidP="00587CFF">
                  <w:pPr>
                    <w:rPr>
                      <w:rFonts w:asciiTheme="minorHAnsi" w:hAnsiTheme="minorHAnsi" w:cstheme="minorHAnsi"/>
                      <w:sz w:val="14"/>
                      <w:szCs w:val="14"/>
                    </w:rPr>
                  </w:pPr>
                </w:p>
              </w:tc>
              <w:tc>
                <w:tcPr>
                  <w:tcW w:w="895" w:type="dxa"/>
                  <w:gridSpan w:val="2"/>
                  <w:tcBorders>
                    <w:top w:val="single" w:sz="2" w:space="0" w:color="auto"/>
                    <w:left w:val="single" w:sz="18" w:space="0" w:color="auto"/>
                    <w:bottom w:val="single" w:sz="2" w:space="0" w:color="auto"/>
                    <w:right w:val="nil"/>
                  </w:tcBorders>
                  <w:noWrap/>
                  <w:hideMark/>
                </w:tcPr>
                <w:p w14:paraId="02A95422" w14:textId="77777777" w:rsidR="00CE5BFE" w:rsidRPr="00347B2A" w:rsidRDefault="00CE5BFE" w:rsidP="00587CFF">
                  <w:pPr>
                    <w:rPr>
                      <w:rFonts w:asciiTheme="minorHAnsi" w:hAnsiTheme="minorHAnsi" w:cstheme="minorHAnsi"/>
                      <w:sz w:val="14"/>
                      <w:szCs w:val="14"/>
                    </w:rPr>
                  </w:pPr>
                  <w:r w:rsidRPr="00347B2A">
                    <w:rPr>
                      <w:rFonts w:asciiTheme="minorHAnsi" w:hAnsiTheme="minorHAnsi" w:cstheme="minorHAnsi"/>
                      <w:sz w:val="14"/>
                      <w:szCs w:val="14"/>
                    </w:rPr>
                    <w:t>Intended</w:t>
                  </w:r>
                </w:p>
              </w:tc>
              <w:tc>
                <w:tcPr>
                  <w:tcW w:w="982" w:type="dxa"/>
                  <w:tcBorders>
                    <w:top w:val="single" w:sz="2" w:space="0" w:color="auto"/>
                    <w:left w:val="nil"/>
                    <w:bottom w:val="single" w:sz="2" w:space="0" w:color="auto"/>
                    <w:right w:val="single" w:sz="18" w:space="0" w:color="auto"/>
                  </w:tcBorders>
                  <w:noWrap/>
                  <w:hideMark/>
                </w:tcPr>
                <w:p w14:paraId="350D4C3B" w14:textId="77777777" w:rsidR="00CE5BFE" w:rsidRPr="00347B2A" w:rsidRDefault="00CE5BFE" w:rsidP="00587CFF">
                  <w:pPr>
                    <w:rPr>
                      <w:rFonts w:asciiTheme="minorHAnsi" w:hAnsiTheme="minorHAnsi" w:cstheme="minorHAnsi"/>
                      <w:sz w:val="14"/>
                      <w:szCs w:val="14"/>
                    </w:rPr>
                  </w:pPr>
                  <w:r w:rsidRPr="00347B2A">
                    <w:rPr>
                      <w:rFonts w:asciiTheme="minorHAnsi" w:hAnsiTheme="minorHAnsi" w:cstheme="minorHAnsi"/>
                      <w:sz w:val="14"/>
                      <w:szCs w:val="14"/>
                    </w:rPr>
                    <w:t>Unintended</w:t>
                  </w:r>
                </w:p>
              </w:tc>
              <w:tc>
                <w:tcPr>
                  <w:tcW w:w="982" w:type="dxa"/>
                  <w:tcBorders>
                    <w:top w:val="single" w:sz="2" w:space="0" w:color="auto"/>
                    <w:left w:val="single" w:sz="18" w:space="0" w:color="auto"/>
                    <w:bottom w:val="single" w:sz="2" w:space="0" w:color="auto"/>
                    <w:right w:val="nil"/>
                  </w:tcBorders>
                  <w:noWrap/>
                  <w:hideMark/>
                </w:tcPr>
                <w:p w14:paraId="5A324FE5" w14:textId="77777777" w:rsidR="00CE5BFE" w:rsidRPr="00347B2A" w:rsidRDefault="00CE5BFE" w:rsidP="00587CFF">
                  <w:pPr>
                    <w:rPr>
                      <w:rFonts w:asciiTheme="minorHAnsi" w:hAnsiTheme="minorHAnsi" w:cstheme="minorHAnsi"/>
                      <w:sz w:val="14"/>
                      <w:szCs w:val="14"/>
                    </w:rPr>
                  </w:pPr>
                  <w:r w:rsidRPr="00347B2A">
                    <w:rPr>
                      <w:rFonts w:asciiTheme="minorHAnsi" w:hAnsiTheme="minorHAnsi" w:cstheme="minorHAnsi"/>
                      <w:sz w:val="14"/>
                      <w:szCs w:val="14"/>
                    </w:rPr>
                    <w:t>Unintended</w:t>
                  </w:r>
                </w:p>
              </w:tc>
              <w:tc>
                <w:tcPr>
                  <w:tcW w:w="788" w:type="dxa"/>
                  <w:tcBorders>
                    <w:top w:val="single" w:sz="2" w:space="0" w:color="auto"/>
                    <w:left w:val="nil"/>
                    <w:bottom w:val="single" w:sz="2" w:space="0" w:color="auto"/>
                    <w:right w:val="nil"/>
                  </w:tcBorders>
                  <w:noWrap/>
                  <w:hideMark/>
                </w:tcPr>
                <w:p w14:paraId="572FFA94" w14:textId="77777777" w:rsidR="00CE5BFE" w:rsidRPr="00347B2A" w:rsidRDefault="00CE5BFE" w:rsidP="00587CFF">
                  <w:pPr>
                    <w:rPr>
                      <w:rFonts w:asciiTheme="minorHAnsi" w:hAnsiTheme="minorHAnsi" w:cstheme="minorHAnsi"/>
                      <w:sz w:val="14"/>
                      <w:szCs w:val="14"/>
                    </w:rPr>
                  </w:pPr>
                  <w:r w:rsidRPr="00347B2A">
                    <w:rPr>
                      <w:rFonts w:asciiTheme="minorHAnsi" w:hAnsiTheme="minorHAnsi" w:cstheme="minorHAnsi"/>
                      <w:sz w:val="14"/>
                      <w:szCs w:val="14"/>
                    </w:rPr>
                    <w:t>Short-term</w:t>
                  </w:r>
                </w:p>
              </w:tc>
              <w:tc>
                <w:tcPr>
                  <w:tcW w:w="1095" w:type="dxa"/>
                  <w:tcBorders>
                    <w:top w:val="single" w:sz="2" w:space="0" w:color="auto"/>
                    <w:left w:val="nil"/>
                    <w:bottom w:val="single" w:sz="2" w:space="0" w:color="auto"/>
                    <w:right w:val="single" w:sz="18" w:space="0" w:color="auto"/>
                  </w:tcBorders>
                  <w:noWrap/>
                  <w:hideMark/>
                </w:tcPr>
                <w:p w14:paraId="66ACD94E" w14:textId="77777777" w:rsidR="00CE5BFE" w:rsidRPr="00347B2A" w:rsidRDefault="00CE5BFE" w:rsidP="00587CFF">
                  <w:pPr>
                    <w:rPr>
                      <w:rFonts w:asciiTheme="minorHAnsi" w:hAnsiTheme="minorHAnsi" w:cstheme="minorHAnsi"/>
                      <w:sz w:val="14"/>
                      <w:szCs w:val="14"/>
                    </w:rPr>
                  </w:pPr>
                  <w:r w:rsidRPr="00347B2A">
                    <w:rPr>
                      <w:rFonts w:asciiTheme="minorHAnsi" w:hAnsiTheme="minorHAnsi" w:cstheme="minorHAnsi"/>
                      <w:sz w:val="14"/>
                      <w:szCs w:val="14"/>
                    </w:rPr>
                    <w:t>Long-term</w:t>
                  </w:r>
                </w:p>
              </w:tc>
              <w:tc>
                <w:tcPr>
                  <w:tcW w:w="1307" w:type="dxa"/>
                  <w:tcBorders>
                    <w:top w:val="nil"/>
                    <w:left w:val="single" w:sz="18" w:space="0" w:color="auto"/>
                    <w:bottom w:val="single" w:sz="2" w:space="0" w:color="auto"/>
                    <w:right w:val="nil"/>
                  </w:tcBorders>
                  <w:noWrap/>
                  <w:hideMark/>
                </w:tcPr>
                <w:p w14:paraId="10196180" w14:textId="77777777" w:rsidR="00CE5BFE" w:rsidRPr="00347B2A" w:rsidRDefault="00CE5BFE" w:rsidP="00587CFF">
                  <w:pPr>
                    <w:rPr>
                      <w:rFonts w:asciiTheme="minorHAnsi" w:hAnsiTheme="minorHAnsi" w:cstheme="minorHAnsi"/>
                      <w:sz w:val="14"/>
                      <w:szCs w:val="14"/>
                    </w:rPr>
                  </w:pPr>
                  <w:r w:rsidRPr="00347B2A">
                    <w:rPr>
                      <w:rFonts w:asciiTheme="minorHAnsi" w:hAnsiTheme="minorHAnsi" w:cstheme="minorHAnsi"/>
                      <w:sz w:val="14"/>
                      <w:szCs w:val="14"/>
                    </w:rPr>
                    <w:t>Quotes/example</w:t>
                  </w:r>
                </w:p>
              </w:tc>
            </w:tr>
            <w:tr w:rsidR="00CE5BFE" w:rsidRPr="00347B2A" w14:paraId="0E8AC4D3" w14:textId="77777777" w:rsidTr="00587CFF">
              <w:trPr>
                <w:trHeight w:val="290"/>
              </w:trPr>
              <w:tc>
                <w:tcPr>
                  <w:tcW w:w="435" w:type="dxa"/>
                  <w:vMerge w:val="restart"/>
                  <w:tcBorders>
                    <w:top w:val="nil"/>
                    <w:left w:val="nil"/>
                    <w:bottom w:val="nil"/>
                    <w:right w:val="nil"/>
                  </w:tcBorders>
                  <w:noWrap/>
                  <w:textDirection w:val="btLr"/>
                  <w:hideMark/>
                </w:tcPr>
                <w:p w14:paraId="731E52D0" w14:textId="77777777" w:rsidR="00CE5BFE" w:rsidRPr="00347B2A" w:rsidRDefault="00CE5BFE" w:rsidP="00587CFF">
                  <w:pPr>
                    <w:jc w:val="right"/>
                    <w:rPr>
                      <w:rFonts w:asciiTheme="minorHAnsi" w:hAnsiTheme="minorHAnsi" w:cstheme="minorHAnsi"/>
                      <w:sz w:val="18"/>
                      <w:szCs w:val="18"/>
                    </w:rPr>
                  </w:pPr>
                  <w:r w:rsidRPr="00347B2A">
                    <w:rPr>
                      <w:rFonts w:asciiTheme="minorHAnsi" w:hAnsiTheme="minorHAnsi" w:cstheme="minorHAnsi"/>
                      <w:sz w:val="18"/>
                      <w:szCs w:val="18"/>
                    </w:rPr>
                    <w:t>Processes</w:t>
                  </w:r>
                </w:p>
              </w:tc>
              <w:tc>
                <w:tcPr>
                  <w:tcW w:w="945" w:type="dxa"/>
                  <w:tcBorders>
                    <w:top w:val="single" w:sz="2" w:space="0" w:color="auto"/>
                    <w:left w:val="nil"/>
                    <w:bottom w:val="single" w:sz="2" w:space="0" w:color="auto"/>
                    <w:right w:val="single" w:sz="18" w:space="0" w:color="auto"/>
                  </w:tcBorders>
                  <w:noWrap/>
                  <w:hideMark/>
                </w:tcPr>
                <w:p w14:paraId="6D5BF5C3"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Process I, II, III …</w:t>
                  </w:r>
                </w:p>
              </w:tc>
              <w:tc>
                <w:tcPr>
                  <w:tcW w:w="1597" w:type="dxa"/>
                  <w:tcBorders>
                    <w:top w:val="single" w:sz="2" w:space="0" w:color="auto"/>
                    <w:left w:val="single" w:sz="18" w:space="0" w:color="auto"/>
                    <w:bottom w:val="single" w:sz="2" w:space="0" w:color="auto"/>
                    <w:right w:val="single" w:sz="18" w:space="0" w:color="auto"/>
                  </w:tcBorders>
                  <w:noWrap/>
                  <w:hideMark/>
                </w:tcPr>
                <w:p w14:paraId="7BF031F2"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Activity 1, 2, 3 …</w:t>
                  </w:r>
                </w:p>
              </w:tc>
              <w:tc>
                <w:tcPr>
                  <w:tcW w:w="895" w:type="dxa"/>
                  <w:gridSpan w:val="2"/>
                  <w:tcBorders>
                    <w:top w:val="single" w:sz="2" w:space="0" w:color="auto"/>
                    <w:left w:val="single" w:sz="18" w:space="0" w:color="auto"/>
                    <w:bottom w:val="single" w:sz="2" w:space="0" w:color="auto"/>
                    <w:right w:val="nil"/>
                  </w:tcBorders>
                  <w:noWrap/>
                  <w:hideMark/>
                </w:tcPr>
                <w:p w14:paraId="48B917B6"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982" w:type="dxa"/>
                  <w:tcBorders>
                    <w:top w:val="single" w:sz="2" w:space="0" w:color="auto"/>
                    <w:left w:val="nil"/>
                    <w:bottom w:val="single" w:sz="2" w:space="0" w:color="auto"/>
                    <w:right w:val="single" w:sz="18" w:space="0" w:color="auto"/>
                  </w:tcBorders>
                  <w:noWrap/>
                  <w:hideMark/>
                </w:tcPr>
                <w:p w14:paraId="7FCF7243"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982" w:type="dxa"/>
                  <w:tcBorders>
                    <w:top w:val="single" w:sz="2" w:space="0" w:color="auto"/>
                    <w:left w:val="single" w:sz="18" w:space="0" w:color="auto"/>
                    <w:bottom w:val="single" w:sz="2" w:space="0" w:color="auto"/>
                    <w:right w:val="nil"/>
                  </w:tcBorders>
                  <w:noWrap/>
                  <w:hideMark/>
                </w:tcPr>
                <w:p w14:paraId="545F69AD"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788" w:type="dxa"/>
                  <w:tcBorders>
                    <w:top w:val="single" w:sz="2" w:space="0" w:color="auto"/>
                    <w:left w:val="nil"/>
                    <w:bottom w:val="single" w:sz="2" w:space="0" w:color="auto"/>
                    <w:right w:val="nil"/>
                  </w:tcBorders>
                  <w:noWrap/>
                  <w:hideMark/>
                </w:tcPr>
                <w:p w14:paraId="6B65FD11"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1095" w:type="dxa"/>
                  <w:tcBorders>
                    <w:top w:val="single" w:sz="2" w:space="0" w:color="auto"/>
                    <w:left w:val="nil"/>
                    <w:bottom w:val="single" w:sz="2" w:space="0" w:color="auto"/>
                    <w:right w:val="single" w:sz="18" w:space="0" w:color="auto"/>
                  </w:tcBorders>
                  <w:noWrap/>
                  <w:hideMark/>
                </w:tcPr>
                <w:p w14:paraId="42AA729B"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1307" w:type="dxa"/>
                  <w:tcBorders>
                    <w:top w:val="single" w:sz="2" w:space="0" w:color="auto"/>
                    <w:left w:val="single" w:sz="18" w:space="0" w:color="auto"/>
                    <w:bottom w:val="single" w:sz="2" w:space="0" w:color="auto"/>
                    <w:right w:val="nil"/>
                  </w:tcBorders>
                  <w:noWrap/>
                  <w:hideMark/>
                </w:tcPr>
                <w:p w14:paraId="1FFB80D9"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Quote 1, 2, 3</w:t>
                  </w:r>
                </w:p>
              </w:tc>
            </w:tr>
            <w:tr w:rsidR="00CE5BFE" w:rsidRPr="00347B2A" w14:paraId="7AE2F043" w14:textId="77777777" w:rsidTr="00587CFF">
              <w:trPr>
                <w:trHeight w:val="290"/>
              </w:trPr>
              <w:tc>
                <w:tcPr>
                  <w:tcW w:w="435" w:type="dxa"/>
                  <w:vMerge/>
                  <w:tcBorders>
                    <w:top w:val="nil"/>
                    <w:left w:val="nil"/>
                    <w:bottom w:val="nil"/>
                    <w:right w:val="nil"/>
                  </w:tcBorders>
                  <w:hideMark/>
                </w:tcPr>
                <w:p w14:paraId="7CAD8AC5" w14:textId="77777777" w:rsidR="00CE5BFE" w:rsidRPr="00347B2A" w:rsidRDefault="00CE5BFE" w:rsidP="00587CFF">
                  <w:pPr>
                    <w:rPr>
                      <w:rFonts w:asciiTheme="minorHAnsi" w:hAnsiTheme="minorHAnsi" w:cstheme="minorHAnsi"/>
                      <w:sz w:val="18"/>
                      <w:szCs w:val="18"/>
                    </w:rPr>
                  </w:pPr>
                </w:p>
              </w:tc>
              <w:tc>
                <w:tcPr>
                  <w:tcW w:w="945" w:type="dxa"/>
                  <w:tcBorders>
                    <w:top w:val="single" w:sz="2" w:space="0" w:color="auto"/>
                    <w:left w:val="nil"/>
                    <w:bottom w:val="single" w:sz="2" w:space="0" w:color="auto"/>
                    <w:right w:val="single" w:sz="18" w:space="0" w:color="auto"/>
                  </w:tcBorders>
                  <w:noWrap/>
                  <w:hideMark/>
                </w:tcPr>
                <w:p w14:paraId="28B1A9A5"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Process I, II, III …</w:t>
                  </w:r>
                </w:p>
              </w:tc>
              <w:tc>
                <w:tcPr>
                  <w:tcW w:w="1597" w:type="dxa"/>
                  <w:tcBorders>
                    <w:top w:val="single" w:sz="2" w:space="0" w:color="auto"/>
                    <w:left w:val="single" w:sz="18" w:space="0" w:color="auto"/>
                    <w:bottom w:val="single" w:sz="2" w:space="0" w:color="auto"/>
                    <w:right w:val="single" w:sz="18" w:space="0" w:color="auto"/>
                  </w:tcBorders>
                  <w:noWrap/>
                  <w:hideMark/>
                </w:tcPr>
                <w:p w14:paraId="42C5DF01"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Activity 1, 2, 3 …</w:t>
                  </w:r>
                </w:p>
              </w:tc>
              <w:tc>
                <w:tcPr>
                  <w:tcW w:w="895" w:type="dxa"/>
                  <w:gridSpan w:val="2"/>
                  <w:tcBorders>
                    <w:top w:val="single" w:sz="2" w:space="0" w:color="auto"/>
                    <w:left w:val="single" w:sz="18" w:space="0" w:color="auto"/>
                    <w:bottom w:val="single" w:sz="2" w:space="0" w:color="auto"/>
                    <w:right w:val="nil"/>
                  </w:tcBorders>
                  <w:noWrap/>
                  <w:hideMark/>
                </w:tcPr>
                <w:p w14:paraId="3C090ED1"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982" w:type="dxa"/>
                  <w:tcBorders>
                    <w:top w:val="single" w:sz="2" w:space="0" w:color="auto"/>
                    <w:left w:val="nil"/>
                    <w:bottom w:val="single" w:sz="2" w:space="0" w:color="auto"/>
                    <w:right w:val="single" w:sz="18" w:space="0" w:color="auto"/>
                  </w:tcBorders>
                  <w:noWrap/>
                  <w:hideMark/>
                </w:tcPr>
                <w:p w14:paraId="428A3F84"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982" w:type="dxa"/>
                  <w:tcBorders>
                    <w:top w:val="single" w:sz="2" w:space="0" w:color="auto"/>
                    <w:left w:val="single" w:sz="18" w:space="0" w:color="auto"/>
                    <w:bottom w:val="single" w:sz="2" w:space="0" w:color="auto"/>
                    <w:right w:val="nil"/>
                  </w:tcBorders>
                  <w:noWrap/>
                  <w:hideMark/>
                </w:tcPr>
                <w:p w14:paraId="4CB391C1"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788" w:type="dxa"/>
                  <w:tcBorders>
                    <w:top w:val="single" w:sz="2" w:space="0" w:color="auto"/>
                    <w:left w:val="nil"/>
                    <w:bottom w:val="single" w:sz="2" w:space="0" w:color="auto"/>
                    <w:right w:val="nil"/>
                  </w:tcBorders>
                  <w:noWrap/>
                  <w:hideMark/>
                </w:tcPr>
                <w:p w14:paraId="1FEB7B0C"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1095" w:type="dxa"/>
                  <w:tcBorders>
                    <w:top w:val="single" w:sz="2" w:space="0" w:color="auto"/>
                    <w:left w:val="nil"/>
                    <w:bottom w:val="single" w:sz="2" w:space="0" w:color="auto"/>
                    <w:right w:val="single" w:sz="18" w:space="0" w:color="auto"/>
                  </w:tcBorders>
                  <w:noWrap/>
                  <w:hideMark/>
                </w:tcPr>
                <w:p w14:paraId="27DC3E59"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1307" w:type="dxa"/>
                  <w:tcBorders>
                    <w:top w:val="single" w:sz="2" w:space="0" w:color="auto"/>
                    <w:left w:val="single" w:sz="18" w:space="0" w:color="auto"/>
                    <w:bottom w:val="single" w:sz="2" w:space="0" w:color="auto"/>
                    <w:right w:val="nil"/>
                  </w:tcBorders>
                  <w:noWrap/>
                  <w:hideMark/>
                </w:tcPr>
                <w:p w14:paraId="47509EA5"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Quote 1, 2, 3</w:t>
                  </w:r>
                </w:p>
              </w:tc>
            </w:tr>
            <w:tr w:rsidR="00CE5BFE" w:rsidRPr="00347B2A" w14:paraId="699FA0E8" w14:textId="77777777" w:rsidTr="00587CFF">
              <w:trPr>
                <w:trHeight w:val="290"/>
              </w:trPr>
              <w:tc>
                <w:tcPr>
                  <w:tcW w:w="435" w:type="dxa"/>
                  <w:vMerge/>
                  <w:tcBorders>
                    <w:top w:val="nil"/>
                    <w:left w:val="nil"/>
                    <w:bottom w:val="nil"/>
                    <w:right w:val="nil"/>
                  </w:tcBorders>
                  <w:hideMark/>
                </w:tcPr>
                <w:p w14:paraId="6F282FC0" w14:textId="77777777" w:rsidR="00CE5BFE" w:rsidRPr="00347B2A" w:rsidRDefault="00CE5BFE" w:rsidP="00587CFF">
                  <w:pPr>
                    <w:rPr>
                      <w:rFonts w:asciiTheme="minorHAnsi" w:hAnsiTheme="minorHAnsi" w:cstheme="minorHAnsi"/>
                      <w:sz w:val="18"/>
                      <w:szCs w:val="18"/>
                    </w:rPr>
                  </w:pPr>
                </w:p>
              </w:tc>
              <w:tc>
                <w:tcPr>
                  <w:tcW w:w="945" w:type="dxa"/>
                  <w:tcBorders>
                    <w:top w:val="single" w:sz="2" w:space="0" w:color="auto"/>
                    <w:left w:val="nil"/>
                    <w:bottom w:val="single" w:sz="2" w:space="0" w:color="auto"/>
                    <w:right w:val="single" w:sz="18" w:space="0" w:color="auto"/>
                  </w:tcBorders>
                  <w:noWrap/>
                  <w:hideMark/>
                </w:tcPr>
                <w:p w14:paraId="73BCCADD"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Process I, II, III …</w:t>
                  </w:r>
                </w:p>
              </w:tc>
              <w:tc>
                <w:tcPr>
                  <w:tcW w:w="1597" w:type="dxa"/>
                  <w:tcBorders>
                    <w:top w:val="single" w:sz="2" w:space="0" w:color="auto"/>
                    <w:left w:val="single" w:sz="18" w:space="0" w:color="auto"/>
                    <w:bottom w:val="single" w:sz="18" w:space="0" w:color="auto"/>
                    <w:right w:val="single" w:sz="18" w:space="0" w:color="auto"/>
                  </w:tcBorders>
                  <w:noWrap/>
                  <w:hideMark/>
                </w:tcPr>
                <w:p w14:paraId="2CBF72B4"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Activity 1, 2, 3 …</w:t>
                  </w:r>
                </w:p>
              </w:tc>
              <w:tc>
                <w:tcPr>
                  <w:tcW w:w="895" w:type="dxa"/>
                  <w:gridSpan w:val="2"/>
                  <w:tcBorders>
                    <w:top w:val="single" w:sz="2" w:space="0" w:color="auto"/>
                    <w:left w:val="single" w:sz="18" w:space="0" w:color="auto"/>
                    <w:bottom w:val="single" w:sz="18" w:space="0" w:color="auto"/>
                    <w:right w:val="nil"/>
                  </w:tcBorders>
                  <w:noWrap/>
                  <w:hideMark/>
                </w:tcPr>
                <w:p w14:paraId="47A024F4"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982" w:type="dxa"/>
                  <w:tcBorders>
                    <w:top w:val="single" w:sz="2" w:space="0" w:color="auto"/>
                    <w:left w:val="nil"/>
                    <w:bottom w:val="single" w:sz="18" w:space="0" w:color="auto"/>
                    <w:right w:val="single" w:sz="18" w:space="0" w:color="auto"/>
                  </w:tcBorders>
                  <w:noWrap/>
                  <w:hideMark/>
                </w:tcPr>
                <w:p w14:paraId="65B67C01"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982" w:type="dxa"/>
                  <w:tcBorders>
                    <w:top w:val="single" w:sz="2" w:space="0" w:color="auto"/>
                    <w:left w:val="single" w:sz="18" w:space="0" w:color="auto"/>
                    <w:bottom w:val="single" w:sz="18" w:space="0" w:color="auto"/>
                    <w:right w:val="nil"/>
                  </w:tcBorders>
                  <w:noWrap/>
                  <w:hideMark/>
                </w:tcPr>
                <w:p w14:paraId="24C02AA0"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788" w:type="dxa"/>
                  <w:tcBorders>
                    <w:top w:val="single" w:sz="2" w:space="0" w:color="auto"/>
                    <w:left w:val="nil"/>
                    <w:bottom w:val="single" w:sz="18" w:space="0" w:color="auto"/>
                    <w:right w:val="nil"/>
                  </w:tcBorders>
                  <w:noWrap/>
                  <w:hideMark/>
                </w:tcPr>
                <w:p w14:paraId="7B30040E"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1095" w:type="dxa"/>
                  <w:tcBorders>
                    <w:top w:val="single" w:sz="2" w:space="0" w:color="auto"/>
                    <w:left w:val="nil"/>
                    <w:bottom w:val="single" w:sz="18" w:space="0" w:color="auto"/>
                    <w:right w:val="single" w:sz="18" w:space="0" w:color="auto"/>
                  </w:tcBorders>
                  <w:noWrap/>
                  <w:hideMark/>
                </w:tcPr>
                <w:p w14:paraId="7C18754F"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w:t>
                  </w:r>
                </w:p>
              </w:tc>
              <w:tc>
                <w:tcPr>
                  <w:tcW w:w="1307" w:type="dxa"/>
                  <w:tcBorders>
                    <w:top w:val="single" w:sz="2" w:space="0" w:color="auto"/>
                    <w:left w:val="single" w:sz="18" w:space="0" w:color="auto"/>
                    <w:bottom w:val="single" w:sz="2" w:space="0" w:color="auto"/>
                    <w:right w:val="nil"/>
                  </w:tcBorders>
                  <w:noWrap/>
                  <w:hideMark/>
                </w:tcPr>
                <w:p w14:paraId="51594B03" w14:textId="77777777" w:rsidR="00CE5BFE" w:rsidRPr="00347B2A" w:rsidRDefault="00CE5BFE" w:rsidP="00587CFF">
                  <w:pPr>
                    <w:rPr>
                      <w:rFonts w:asciiTheme="minorHAnsi" w:hAnsiTheme="minorHAnsi" w:cstheme="minorHAnsi"/>
                      <w:sz w:val="18"/>
                      <w:szCs w:val="18"/>
                    </w:rPr>
                  </w:pPr>
                  <w:r w:rsidRPr="00347B2A">
                    <w:rPr>
                      <w:rFonts w:asciiTheme="minorHAnsi" w:hAnsiTheme="minorHAnsi" w:cstheme="minorHAnsi"/>
                      <w:sz w:val="18"/>
                      <w:szCs w:val="18"/>
                    </w:rPr>
                    <w:t> Quote 1, 2, 3</w:t>
                  </w:r>
                </w:p>
              </w:tc>
            </w:tr>
          </w:tbl>
          <w:p w14:paraId="2BECD6EC" w14:textId="77777777" w:rsidR="00CE5BFE" w:rsidRPr="00003EFE" w:rsidRDefault="00CE5BFE" w:rsidP="00587CFF">
            <w:pPr>
              <w:rPr>
                <w:rFonts w:asciiTheme="minorHAnsi" w:hAnsiTheme="minorHAnsi" w:cstheme="minorHAnsi"/>
                <w:i/>
                <w:iCs/>
                <w:sz w:val="22"/>
                <w:szCs w:val="22"/>
              </w:rPr>
            </w:pPr>
          </w:p>
        </w:tc>
      </w:tr>
      <w:tr w:rsidR="00CE5BFE" w14:paraId="0A707626" w14:textId="77777777" w:rsidTr="00CE5BFE">
        <w:tc>
          <w:tcPr>
            <w:tcW w:w="9010" w:type="dxa"/>
          </w:tcPr>
          <w:p w14:paraId="243EA006" w14:textId="77777777" w:rsidR="00CE5BFE" w:rsidRDefault="00CE5BFE" w:rsidP="00587CFF">
            <w:pPr>
              <w:spacing w:before="240"/>
              <w:rPr>
                <w:rFonts w:asciiTheme="minorHAnsi" w:hAnsiTheme="minorHAnsi" w:cstheme="minorHAnsi"/>
                <w:b/>
                <w:bCs/>
              </w:rPr>
            </w:pPr>
          </w:p>
          <w:p w14:paraId="118DDD53" w14:textId="77777777" w:rsidR="00CE5BFE" w:rsidRPr="008E4426" w:rsidRDefault="00CE5BFE" w:rsidP="00587CFF">
            <w:pPr>
              <w:spacing w:before="240"/>
              <w:rPr>
                <w:rFonts w:asciiTheme="minorHAnsi" w:hAnsiTheme="minorHAnsi" w:cstheme="minorHAnsi"/>
                <w:b/>
                <w:bCs/>
                <w:i/>
                <w:iCs/>
                <w:sz w:val="22"/>
                <w:szCs w:val="22"/>
              </w:rPr>
            </w:pPr>
            <w:r w:rsidRPr="008E4426">
              <w:rPr>
                <w:rFonts w:asciiTheme="minorHAnsi" w:hAnsiTheme="minorHAnsi" w:cstheme="minorHAnsi"/>
                <w:b/>
                <w:bCs/>
              </w:rPr>
              <w:t>Table S</w:t>
            </w:r>
            <w:r>
              <w:rPr>
                <w:rFonts w:asciiTheme="minorHAnsi" w:hAnsiTheme="minorHAnsi" w:cstheme="minorHAnsi"/>
                <w:b/>
                <w:bCs/>
              </w:rPr>
              <w:t>1b</w:t>
            </w:r>
            <w:r w:rsidRPr="008E4426">
              <w:rPr>
                <w:rFonts w:asciiTheme="minorHAnsi" w:hAnsiTheme="minorHAnsi" w:cstheme="minorHAnsi"/>
                <w:b/>
                <w:bCs/>
              </w:rPr>
              <w:t xml:space="preserve">: The process-oriented logic framework with </w:t>
            </w:r>
            <w:r>
              <w:rPr>
                <w:rFonts w:asciiTheme="minorHAnsi" w:hAnsiTheme="minorHAnsi" w:cstheme="minorHAnsi"/>
                <w:b/>
                <w:bCs/>
              </w:rPr>
              <w:t xml:space="preserve">examples of </w:t>
            </w:r>
            <w:r w:rsidRPr="008E4426">
              <w:rPr>
                <w:rFonts w:asciiTheme="minorHAnsi" w:hAnsiTheme="minorHAnsi" w:cstheme="minorHAnsi"/>
                <w:b/>
                <w:bCs/>
              </w:rPr>
              <w:t>processes, inputs, outputs and selected quotes.</w:t>
            </w:r>
          </w:p>
        </w:tc>
      </w:tr>
    </w:tbl>
    <w:p w14:paraId="44FE40F8" w14:textId="77777777" w:rsidR="00CE5BFE" w:rsidRDefault="00CE5BFE" w:rsidP="00587CFF">
      <w:pPr>
        <w:jc w:val="center"/>
        <w:rPr>
          <w:rFonts w:asciiTheme="minorHAnsi" w:eastAsia="Times New Roman" w:hAnsiTheme="minorHAnsi" w:cstheme="minorHAnsi"/>
          <w:sz w:val="16"/>
          <w:szCs w:val="16"/>
        </w:rPr>
        <w:sectPr w:rsidR="00CE5BFE" w:rsidSect="00CE5BFE">
          <w:pgSz w:w="11900" w:h="16840"/>
          <w:pgMar w:top="1440" w:right="1440" w:bottom="1440" w:left="1440" w:header="708" w:footer="708" w:gutter="0"/>
          <w:cols w:space="708"/>
          <w:docGrid w:linePitch="360"/>
        </w:sectPr>
      </w:pPr>
    </w:p>
    <w:tbl>
      <w:tblPr>
        <w:tblStyle w:val="TableGrid"/>
        <w:tblW w:w="0" w:type="auto"/>
        <w:tblLook w:val="04A0" w:firstRow="1" w:lastRow="0" w:firstColumn="1" w:lastColumn="0" w:noHBand="0" w:noVBand="1"/>
      </w:tblPr>
      <w:tblGrid>
        <w:gridCol w:w="9010"/>
      </w:tblGrid>
      <w:tr w:rsidR="00CE5BFE" w14:paraId="6A50F36C" w14:textId="77777777" w:rsidTr="00CE5BFE">
        <w:tc>
          <w:tcPr>
            <w:tcW w:w="9010" w:type="dxa"/>
          </w:tcPr>
          <w:tbl>
            <w:tblPr>
              <w:tblW w:w="0" w:type="auto"/>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21"/>
              <w:gridCol w:w="1055"/>
              <w:gridCol w:w="1635"/>
              <w:gridCol w:w="1032"/>
              <w:gridCol w:w="1163"/>
              <w:gridCol w:w="1078"/>
              <w:gridCol w:w="1104"/>
              <w:gridCol w:w="1192"/>
            </w:tblGrid>
            <w:tr w:rsidR="00CE5BFE" w:rsidRPr="008E4426" w14:paraId="16CBEC80" w14:textId="77777777" w:rsidTr="00CE5BFE">
              <w:trPr>
                <w:trHeight w:val="290"/>
              </w:trPr>
              <w:tc>
                <w:tcPr>
                  <w:tcW w:w="1480" w:type="dxa"/>
                  <w:gridSpan w:val="2"/>
                  <w:vMerge w:val="restart"/>
                  <w:shd w:val="clear" w:color="auto" w:fill="auto"/>
                  <w:noWrap/>
                  <w:hideMark/>
                </w:tcPr>
                <w:p w14:paraId="17713DBD" w14:textId="77777777" w:rsidR="00CE5BFE" w:rsidRPr="008E4426" w:rsidRDefault="00CE5BFE" w:rsidP="00587CFF">
                  <w:pPr>
                    <w:jc w:val="center"/>
                    <w:rPr>
                      <w:rFonts w:asciiTheme="minorHAnsi" w:eastAsia="Times New Roman" w:hAnsiTheme="minorHAnsi" w:cstheme="minorHAnsi"/>
                      <w:sz w:val="16"/>
                      <w:szCs w:val="16"/>
                    </w:rPr>
                  </w:pPr>
                </w:p>
              </w:tc>
              <w:tc>
                <w:tcPr>
                  <w:tcW w:w="7200" w:type="dxa"/>
                  <w:gridSpan w:val="6"/>
                  <w:shd w:val="clear" w:color="auto" w:fill="auto"/>
                  <w:noWrap/>
                  <w:hideMark/>
                </w:tcPr>
                <w:p w14:paraId="6E5A3C65" w14:textId="77777777" w:rsidR="00CE5BFE" w:rsidRPr="008E4426" w:rsidRDefault="00CE5BFE" w:rsidP="00587CFF">
                  <w:pPr>
                    <w:jc w:val="center"/>
                    <w:rPr>
                      <w:rFonts w:asciiTheme="minorHAnsi" w:eastAsia="Times New Roman" w:hAnsiTheme="minorHAnsi" w:cstheme="minorHAnsi"/>
                      <w:b/>
                      <w:bCs/>
                      <w:color w:val="000000"/>
                      <w:sz w:val="16"/>
                      <w:szCs w:val="16"/>
                    </w:rPr>
                  </w:pPr>
                  <w:r w:rsidRPr="008E4426">
                    <w:rPr>
                      <w:rFonts w:asciiTheme="minorHAnsi" w:eastAsia="Times New Roman" w:hAnsiTheme="minorHAnsi" w:cstheme="minorHAnsi"/>
                      <w:b/>
                      <w:bCs/>
                      <w:color w:val="000000"/>
                      <w:sz w:val="16"/>
                      <w:szCs w:val="16"/>
                    </w:rPr>
                    <w:t>Processes</w:t>
                  </w:r>
                </w:p>
              </w:tc>
            </w:tr>
            <w:tr w:rsidR="00CE5BFE" w:rsidRPr="008E4426" w14:paraId="5DED2DD6" w14:textId="77777777" w:rsidTr="00CE5BFE">
              <w:trPr>
                <w:trHeight w:val="290"/>
              </w:trPr>
              <w:tc>
                <w:tcPr>
                  <w:tcW w:w="1480" w:type="dxa"/>
                  <w:gridSpan w:val="2"/>
                  <w:vMerge/>
                  <w:shd w:val="clear" w:color="auto" w:fill="auto"/>
                  <w:noWrap/>
                  <w:hideMark/>
                </w:tcPr>
                <w:p w14:paraId="283C9D14" w14:textId="77777777" w:rsidR="00CE5BFE" w:rsidRPr="008E4426" w:rsidRDefault="00CE5BFE" w:rsidP="00587CFF">
                  <w:pPr>
                    <w:rPr>
                      <w:rFonts w:asciiTheme="minorHAnsi" w:eastAsia="Times New Roman" w:hAnsiTheme="minorHAnsi" w:cstheme="minorHAnsi"/>
                      <w:sz w:val="16"/>
                      <w:szCs w:val="16"/>
                    </w:rPr>
                  </w:pPr>
                </w:p>
              </w:tc>
              <w:tc>
                <w:tcPr>
                  <w:tcW w:w="1638" w:type="dxa"/>
                  <w:shd w:val="clear" w:color="auto" w:fill="auto"/>
                  <w:noWrap/>
                  <w:hideMark/>
                </w:tcPr>
                <w:p w14:paraId="3862D30B" w14:textId="77777777" w:rsidR="00CE5BFE" w:rsidRPr="008E4426" w:rsidRDefault="00CE5BFE" w:rsidP="00587CFF">
                  <w:pPr>
                    <w:rPr>
                      <w:rFonts w:asciiTheme="minorHAnsi" w:eastAsia="Times New Roman" w:hAnsiTheme="minorHAnsi" w:cstheme="minorHAnsi"/>
                      <w:b/>
                      <w:bCs/>
                      <w:i/>
                      <w:iCs/>
                      <w:color w:val="000000"/>
                      <w:sz w:val="16"/>
                      <w:szCs w:val="16"/>
                    </w:rPr>
                  </w:pPr>
                  <w:r w:rsidRPr="008E4426">
                    <w:rPr>
                      <w:rFonts w:asciiTheme="minorHAnsi" w:eastAsia="Times New Roman" w:hAnsiTheme="minorHAnsi" w:cstheme="minorHAnsi"/>
                      <w:b/>
                      <w:bCs/>
                      <w:i/>
                      <w:iCs/>
                      <w:color w:val="000000"/>
                      <w:sz w:val="16"/>
                      <w:szCs w:val="16"/>
                    </w:rPr>
                    <w:t>Detection, notification and reporting</w:t>
                  </w:r>
                </w:p>
              </w:tc>
              <w:tc>
                <w:tcPr>
                  <w:tcW w:w="1034" w:type="dxa"/>
                  <w:shd w:val="clear" w:color="auto" w:fill="auto"/>
                  <w:noWrap/>
                  <w:hideMark/>
                </w:tcPr>
                <w:p w14:paraId="4247317A" w14:textId="77777777" w:rsidR="00CE5BFE" w:rsidRPr="008E4426" w:rsidRDefault="00CE5BFE" w:rsidP="00587CFF">
                  <w:pPr>
                    <w:rPr>
                      <w:rFonts w:asciiTheme="minorHAnsi" w:eastAsia="Times New Roman" w:hAnsiTheme="minorHAnsi" w:cstheme="minorHAnsi"/>
                      <w:b/>
                      <w:bCs/>
                      <w:i/>
                      <w:iCs/>
                      <w:color w:val="000000"/>
                      <w:sz w:val="16"/>
                      <w:szCs w:val="16"/>
                    </w:rPr>
                  </w:pPr>
                  <w:r w:rsidRPr="008E4426">
                    <w:rPr>
                      <w:rFonts w:asciiTheme="minorHAnsi" w:eastAsia="Times New Roman" w:hAnsiTheme="minorHAnsi" w:cstheme="minorHAnsi"/>
                      <w:b/>
                      <w:bCs/>
                      <w:i/>
                      <w:iCs/>
                      <w:color w:val="000000"/>
                      <w:sz w:val="16"/>
                      <w:szCs w:val="16"/>
                    </w:rPr>
                    <w:t>Sample collection and reporting</w:t>
                  </w:r>
                </w:p>
              </w:tc>
              <w:tc>
                <w:tcPr>
                  <w:tcW w:w="1160" w:type="dxa"/>
                  <w:shd w:val="clear" w:color="auto" w:fill="auto"/>
                  <w:noWrap/>
                  <w:hideMark/>
                </w:tcPr>
                <w:p w14:paraId="4041DF0D" w14:textId="77777777" w:rsidR="00CE5BFE" w:rsidRPr="008E4426" w:rsidRDefault="00CE5BFE" w:rsidP="00587CFF">
                  <w:pPr>
                    <w:rPr>
                      <w:rFonts w:asciiTheme="minorHAnsi" w:eastAsia="Times New Roman" w:hAnsiTheme="minorHAnsi" w:cstheme="minorHAnsi"/>
                      <w:b/>
                      <w:bCs/>
                      <w:i/>
                      <w:iCs/>
                      <w:color w:val="000000"/>
                      <w:sz w:val="16"/>
                      <w:szCs w:val="16"/>
                    </w:rPr>
                  </w:pPr>
                  <w:r w:rsidRPr="008E4426">
                    <w:rPr>
                      <w:rFonts w:asciiTheme="minorHAnsi" w:eastAsia="Times New Roman" w:hAnsiTheme="minorHAnsi" w:cstheme="minorHAnsi"/>
                      <w:b/>
                      <w:bCs/>
                      <w:i/>
                      <w:iCs/>
                      <w:color w:val="000000"/>
                      <w:sz w:val="16"/>
                      <w:szCs w:val="16"/>
                    </w:rPr>
                    <w:t>Case investigation</w:t>
                  </w:r>
                </w:p>
              </w:tc>
              <w:tc>
                <w:tcPr>
                  <w:tcW w:w="1080" w:type="dxa"/>
                  <w:shd w:val="clear" w:color="auto" w:fill="auto"/>
                  <w:noWrap/>
                  <w:hideMark/>
                </w:tcPr>
                <w:p w14:paraId="3A16C55F" w14:textId="77777777" w:rsidR="00CE5BFE" w:rsidRPr="008E4426" w:rsidRDefault="00CE5BFE" w:rsidP="00587CFF">
                  <w:pPr>
                    <w:rPr>
                      <w:rFonts w:asciiTheme="minorHAnsi" w:eastAsia="Times New Roman" w:hAnsiTheme="minorHAnsi" w:cstheme="minorHAnsi"/>
                      <w:b/>
                      <w:bCs/>
                      <w:i/>
                      <w:iCs/>
                      <w:color w:val="000000"/>
                      <w:sz w:val="16"/>
                      <w:szCs w:val="16"/>
                    </w:rPr>
                  </w:pPr>
                  <w:r w:rsidRPr="008E4426">
                    <w:rPr>
                      <w:rFonts w:asciiTheme="minorHAnsi" w:eastAsia="Times New Roman" w:hAnsiTheme="minorHAnsi" w:cstheme="minorHAnsi"/>
                      <w:b/>
                      <w:bCs/>
                      <w:i/>
                      <w:iCs/>
                      <w:color w:val="000000"/>
                      <w:sz w:val="16"/>
                      <w:szCs w:val="16"/>
                    </w:rPr>
                    <w:t>Data capturing</w:t>
                  </w:r>
                </w:p>
              </w:tc>
              <w:tc>
                <w:tcPr>
                  <w:tcW w:w="1094" w:type="dxa"/>
                  <w:shd w:val="clear" w:color="auto" w:fill="auto"/>
                  <w:noWrap/>
                  <w:hideMark/>
                </w:tcPr>
                <w:p w14:paraId="169EAA93" w14:textId="77777777" w:rsidR="00CE5BFE" w:rsidRPr="008E4426" w:rsidRDefault="00CE5BFE" w:rsidP="00587CFF">
                  <w:pPr>
                    <w:rPr>
                      <w:rFonts w:asciiTheme="minorHAnsi" w:eastAsia="Times New Roman" w:hAnsiTheme="minorHAnsi" w:cstheme="minorHAnsi"/>
                      <w:b/>
                      <w:bCs/>
                      <w:i/>
                      <w:iCs/>
                      <w:color w:val="000000"/>
                      <w:sz w:val="16"/>
                      <w:szCs w:val="16"/>
                    </w:rPr>
                  </w:pPr>
                  <w:r w:rsidRPr="008E4426">
                    <w:rPr>
                      <w:rFonts w:asciiTheme="minorHAnsi" w:eastAsia="Times New Roman" w:hAnsiTheme="minorHAnsi" w:cstheme="minorHAnsi"/>
                      <w:b/>
                      <w:bCs/>
                      <w:i/>
                      <w:iCs/>
                      <w:color w:val="000000"/>
                      <w:sz w:val="16"/>
                      <w:szCs w:val="16"/>
                    </w:rPr>
                    <w:t>Analysis and reporting</w:t>
                  </w:r>
                </w:p>
              </w:tc>
              <w:tc>
                <w:tcPr>
                  <w:tcW w:w="1194" w:type="dxa"/>
                  <w:shd w:val="clear" w:color="auto" w:fill="auto"/>
                  <w:noWrap/>
                  <w:hideMark/>
                </w:tcPr>
                <w:p w14:paraId="600293CE" w14:textId="77777777" w:rsidR="00CE5BFE" w:rsidRPr="008E4426" w:rsidRDefault="00CE5BFE" w:rsidP="00587CFF">
                  <w:pPr>
                    <w:rPr>
                      <w:rFonts w:asciiTheme="minorHAnsi" w:eastAsia="Times New Roman" w:hAnsiTheme="minorHAnsi" w:cstheme="minorHAnsi"/>
                      <w:b/>
                      <w:bCs/>
                      <w:i/>
                      <w:iCs/>
                      <w:color w:val="000000"/>
                      <w:sz w:val="16"/>
                      <w:szCs w:val="16"/>
                    </w:rPr>
                  </w:pPr>
                  <w:r w:rsidRPr="008E4426">
                    <w:rPr>
                      <w:rFonts w:asciiTheme="minorHAnsi" w:eastAsia="Times New Roman" w:hAnsiTheme="minorHAnsi" w:cstheme="minorHAnsi"/>
                      <w:b/>
                      <w:bCs/>
                      <w:i/>
                      <w:iCs/>
                      <w:color w:val="000000"/>
                      <w:sz w:val="16"/>
                      <w:szCs w:val="16"/>
                    </w:rPr>
                    <w:t>Others</w:t>
                  </w:r>
                </w:p>
              </w:tc>
            </w:tr>
            <w:tr w:rsidR="00CE5BFE" w:rsidRPr="008E4426" w14:paraId="166CD5D5" w14:textId="77777777" w:rsidTr="00CE5BFE">
              <w:trPr>
                <w:cantSplit/>
                <w:trHeight w:val="1881"/>
              </w:trPr>
              <w:tc>
                <w:tcPr>
                  <w:tcW w:w="1480" w:type="dxa"/>
                  <w:gridSpan w:val="2"/>
                  <w:shd w:val="clear" w:color="auto" w:fill="auto"/>
                  <w:noWrap/>
                  <w:hideMark/>
                </w:tcPr>
                <w:p w14:paraId="6F044913" w14:textId="77777777" w:rsidR="00CE5BFE" w:rsidRPr="008E4426" w:rsidRDefault="00CE5BFE" w:rsidP="00587CFF">
                  <w:pPr>
                    <w:rPr>
                      <w:rFonts w:asciiTheme="minorHAnsi" w:eastAsia="Times New Roman" w:hAnsiTheme="minorHAnsi" w:cstheme="minorHAnsi"/>
                      <w:b/>
                      <w:bCs/>
                      <w:color w:val="000000"/>
                      <w:sz w:val="16"/>
                      <w:szCs w:val="16"/>
                    </w:rPr>
                  </w:pPr>
                  <w:r w:rsidRPr="008E4426">
                    <w:rPr>
                      <w:rFonts w:asciiTheme="minorHAnsi" w:eastAsia="Times New Roman" w:hAnsiTheme="minorHAnsi" w:cstheme="minorHAnsi"/>
                      <w:b/>
                      <w:bCs/>
                      <w:color w:val="000000"/>
                      <w:sz w:val="16"/>
                      <w:szCs w:val="16"/>
                    </w:rPr>
                    <w:t>Inputs/Activities</w:t>
                  </w:r>
                </w:p>
              </w:tc>
              <w:tc>
                <w:tcPr>
                  <w:tcW w:w="1638" w:type="dxa"/>
                  <w:shd w:val="clear" w:color="auto" w:fill="auto"/>
                  <w:hideMark/>
                </w:tcPr>
                <w:p w14:paraId="1274520B"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Filling forms (additional contact information and address details)</w:t>
                  </w:r>
                </w:p>
              </w:tc>
              <w:tc>
                <w:tcPr>
                  <w:tcW w:w="1034" w:type="dxa"/>
                  <w:shd w:val="clear" w:color="auto" w:fill="auto"/>
                  <w:hideMark/>
                </w:tcPr>
                <w:p w14:paraId="137C3874"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Sample collection (dried blood spot collection and labelling)</w:t>
                  </w:r>
                  <w:r w:rsidRPr="008E4426">
                    <w:rPr>
                      <w:rFonts w:asciiTheme="minorHAnsi" w:eastAsia="Times New Roman" w:hAnsiTheme="minorHAnsi" w:cstheme="minorHAnsi"/>
                      <w:color w:val="000000"/>
                      <w:sz w:val="16"/>
                      <w:szCs w:val="16"/>
                    </w:rPr>
                    <w:br/>
                    <w:t>Assigning barcodes stickers</w:t>
                  </w:r>
                </w:p>
              </w:tc>
              <w:tc>
                <w:tcPr>
                  <w:tcW w:w="1160" w:type="dxa"/>
                  <w:shd w:val="clear" w:color="auto" w:fill="auto"/>
                  <w:hideMark/>
                </w:tcPr>
                <w:p w14:paraId="1F8E866C"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 xml:space="preserve">New location (GPS) collection </w:t>
                  </w:r>
                  <w:proofErr w:type="spellStart"/>
                  <w:r w:rsidRPr="008E4426">
                    <w:rPr>
                      <w:rFonts w:asciiTheme="minorHAnsi" w:eastAsia="Times New Roman" w:hAnsiTheme="minorHAnsi" w:cstheme="minorHAnsi"/>
                      <w:color w:val="000000"/>
                      <w:sz w:val="16"/>
                      <w:szCs w:val="16"/>
                    </w:rPr>
                    <w:t>SoPs</w:t>
                  </w:r>
                  <w:proofErr w:type="spellEnd"/>
                </w:p>
              </w:tc>
              <w:tc>
                <w:tcPr>
                  <w:tcW w:w="1080" w:type="dxa"/>
                  <w:shd w:val="clear" w:color="auto" w:fill="auto"/>
                  <w:hideMark/>
                </w:tcPr>
                <w:p w14:paraId="39C78D44"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br/>
                    <w:t>Barcode scanner</w:t>
                  </w:r>
                  <w:r w:rsidRPr="008E4426">
                    <w:rPr>
                      <w:rFonts w:asciiTheme="minorHAnsi" w:eastAsia="Times New Roman" w:hAnsiTheme="minorHAnsi" w:cstheme="minorHAnsi"/>
                      <w:color w:val="000000"/>
                      <w:sz w:val="16"/>
                      <w:szCs w:val="16"/>
                    </w:rPr>
                    <w:br/>
                    <w:t>Barcode scanning</w:t>
                  </w:r>
                </w:p>
              </w:tc>
              <w:tc>
                <w:tcPr>
                  <w:tcW w:w="1094" w:type="dxa"/>
                  <w:shd w:val="clear" w:color="auto" w:fill="auto"/>
                  <w:hideMark/>
                </w:tcPr>
                <w:p w14:paraId="37832DBD"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Monthly downloads of data and analysis</w:t>
                  </w:r>
                  <w:r w:rsidRPr="008E4426">
                    <w:rPr>
                      <w:rFonts w:asciiTheme="minorHAnsi" w:eastAsia="Times New Roman" w:hAnsiTheme="minorHAnsi" w:cstheme="minorHAnsi"/>
                      <w:color w:val="000000"/>
                      <w:sz w:val="16"/>
                      <w:szCs w:val="16"/>
                    </w:rPr>
                    <w:br/>
                    <w:t>Monthly data reporting</w:t>
                  </w:r>
                </w:p>
              </w:tc>
              <w:tc>
                <w:tcPr>
                  <w:tcW w:w="1194" w:type="dxa"/>
                  <w:shd w:val="clear" w:color="auto" w:fill="auto"/>
                  <w:hideMark/>
                </w:tcPr>
                <w:p w14:paraId="3E7E82CD" w14:textId="16569C82"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Training</w:t>
                  </w:r>
                  <w:r w:rsidRPr="008E4426">
                    <w:rPr>
                      <w:rFonts w:asciiTheme="minorHAnsi" w:eastAsia="Times New Roman" w:hAnsiTheme="minorHAnsi" w:cstheme="minorHAnsi"/>
                      <w:color w:val="000000"/>
                      <w:sz w:val="16"/>
                      <w:szCs w:val="16"/>
                    </w:rPr>
                    <w:br/>
                    <w:t>Usage of devices</w:t>
                  </w:r>
                  <w:r w:rsidRPr="008E4426">
                    <w:rPr>
                      <w:rFonts w:asciiTheme="minorHAnsi" w:eastAsia="Times New Roman" w:hAnsiTheme="minorHAnsi" w:cstheme="minorHAnsi"/>
                      <w:color w:val="000000"/>
                      <w:sz w:val="16"/>
                      <w:szCs w:val="16"/>
                    </w:rPr>
                    <w:br/>
                    <w:t>Sample collection</w:t>
                  </w:r>
                  <w:r w:rsidRPr="008E4426">
                    <w:rPr>
                      <w:rFonts w:asciiTheme="minorHAnsi" w:eastAsia="Times New Roman" w:hAnsiTheme="minorHAnsi" w:cstheme="minorHAnsi"/>
                      <w:color w:val="000000"/>
                      <w:sz w:val="16"/>
                      <w:szCs w:val="16"/>
                    </w:rPr>
                    <w:br/>
                    <w:t>Meaning of MMR &amp; surveillance in general</w:t>
                  </w:r>
                </w:p>
              </w:tc>
            </w:tr>
            <w:tr w:rsidR="00CE5BFE" w:rsidRPr="008E4426" w14:paraId="206E4B19" w14:textId="77777777" w:rsidTr="00CE5BFE">
              <w:trPr>
                <w:trHeight w:val="1928"/>
              </w:trPr>
              <w:tc>
                <w:tcPr>
                  <w:tcW w:w="406" w:type="dxa"/>
                  <w:vMerge w:val="restart"/>
                  <w:shd w:val="clear" w:color="auto" w:fill="auto"/>
                  <w:textDirection w:val="btLr"/>
                  <w:hideMark/>
                </w:tcPr>
                <w:p w14:paraId="6853FA4F" w14:textId="77777777" w:rsidR="00CE5BFE" w:rsidRPr="008E4426" w:rsidRDefault="00CE5BFE" w:rsidP="00CE5BFE">
                  <w:pPr>
                    <w:ind w:left="113" w:right="113"/>
                    <w:jc w:val="right"/>
                    <w:rPr>
                      <w:rFonts w:asciiTheme="minorHAnsi" w:eastAsia="Times New Roman" w:hAnsiTheme="minorHAnsi" w:cstheme="minorHAnsi"/>
                      <w:b/>
                      <w:bCs/>
                      <w:color w:val="000000"/>
                      <w:sz w:val="16"/>
                      <w:szCs w:val="16"/>
                    </w:rPr>
                  </w:pPr>
                  <w:r w:rsidRPr="008E4426">
                    <w:rPr>
                      <w:rFonts w:asciiTheme="minorHAnsi" w:eastAsia="Times New Roman" w:hAnsiTheme="minorHAnsi" w:cstheme="minorHAnsi"/>
                      <w:b/>
                      <w:bCs/>
                      <w:color w:val="000000"/>
                      <w:sz w:val="16"/>
                      <w:szCs w:val="16"/>
                    </w:rPr>
                    <w:t>Outputs</w:t>
                  </w:r>
                </w:p>
              </w:tc>
              <w:tc>
                <w:tcPr>
                  <w:tcW w:w="1074" w:type="dxa"/>
                  <w:shd w:val="clear" w:color="auto" w:fill="auto"/>
                  <w:hideMark/>
                </w:tcPr>
                <w:p w14:paraId="78B68FCC" w14:textId="77777777" w:rsidR="00CE5BFE" w:rsidRPr="008E4426" w:rsidRDefault="00CE5BFE" w:rsidP="00587CFF">
                  <w:pPr>
                    <w:rPr>
                      <w:rFonts w:asciiTheme="minorHAnsi" w:eastAsia="Times New Roman" w:hAnsiTheme="minorHAnsi" w:cstheme="minorHAnsi"/>
                      <w:i/>
                      <w:iCs/>
                      <w:color w:val="000000"/>
                      <w:sz w:val="16"/>
                      <w:szCs w:val="16"/>
                    </w:rPr>
                  </w:pPr>
                  <w:r w:rsidRPr="008E4426">
                    <w:rPr>
                      <w:rFonts w:asciiTheme="minorHAnsi" w:eastAsia="Times New Roman" w:hAnsiTheme="minorHAnsi" w:cstheme="minorHAnsi"/>
                      <w:i/>
                      <w:iCs/>
                      <w:color w:val="000000"/>
                      <w:sz w:val="16"/>
                      <w:szCs w:val="16"/>
                    </w:rPr>
                    <w:t>Intended</w:t>
                  </w:r>
                </w:p>
              </w:tc>
              <w:tc>
                <w:tcPr>
                  <w:tcW w:w="1638" w:type="dxa"/>
                  <w:shd w:val="clear" w:color="auto" w:fill="auto"/>
                  <w:hideMark/>
                </w:tcPr>
                <w:p w14:paraId="0EB782EB" w14:textId="3DF90C38" w:rsidR="00CE5BFE" w:rsidRPr="008E4426" w:rsidRDefault="00CE5BFE" w:rsidP="00587CFF">
                  <w:pPr>
                    <w:rPr>
                      <w:rFonts w:asciiTheme="minorHAnsi" w:eastAsia="Times New Roman" w:hAnsiTheme="minorHAnsi" w:cstheme="minorHAnsi"/>
                      <w:color w:val="000000"/>
                      <w:sz w:val="16"/>
                      <w:szCs w:val="16"/>
                    </w:rPr>
                  </w:pPr>
                  <w:r>
                    <w:rPr>
                      <w:rFonts w:asciiTheme="minorHAnsi" w:eastAsia="Times New Roman" w:hAnsiTheme="minorHAnsi" w:cstheme="minorHAnsi"/>
                      <w:color w:val="000000"/>
                      <w:sz w:val="16"/>
                      <w:szCs w:val="16"/>
                    </w:rPr>
                    <w:t>C</w:t>
                  </w:r>
                  <w:r w:rsidRPr="008E4426">
                    <w:rPr>
                      <w:rFonts w:asciiTheme="minorHAnsi" w:eastAsia="Times New Roman" w:hAnsiTheme="minorHAnsi" w:cstheme="minorHAnsi"/>
                      <w:color w:val="000000"/>
                      <w:sz w:val="16"/>
                      <w:szCs w:val="16"/>
                    </w:rPr>
                    <w:t>ompleted demographics and patient tracking information</w:t>
                  </w:r>
                </w:p>
              </w:tc>
              <w:tc>
                <w:tcPr>
                  <w:tcW w:w="1034" w:type="dxa"/>
                  <w:shd w:val="clear" w:color="auto" w:fill="auto"/>
                  <w:hideMark/>
                </w:tcPr>
                <w:p w14:paraId="312623F3" w14:textId="6DEA187F" w:rsidR="00CE5BFE" w:rsidRPr="008E4426" w:rsidRDefault="00CE5BFE" w:rsidP="00587CFF">
                  <w:pPr>
                    <w:rPr>
                      <w:rFonts w:asciiTheme="minorHAnsi" w:eastAsia="Times New Roman" w:hAnsiTheme="minorHAnsi" w:cstheme="minorHAnsi"/>
                      <w:color w:val="000000"/>
                      <w:sz w:val="16"/>
                      <w:szCs w:val="16"/>
                    </w:rPr>
                  </w:pPr>
                  <w:r>
                    <w:rPr>
                      <w:rFonts w:asciiTheme="minorHAnsi" w:eastAsia="Times New Roman" w:hAnsiTheme="minorHAnsi" w:cstheme="minorHAnsi"/>
                      <w:color w:val="000000"/>
                      <w:sz w:val="16"/>
                      <w:szCs w:val="16"/>
                    </w:rPr>
                    <w:t>B</w:t>
                  </w:r>
                  <w:r w:rsidRPr="008E4426">
                    <w:rPr>
                      <w:rFonts w:asciiTheme="minorHAnsi" w:eastAsia="Times New Roman" w:hAnsiTheme="minorHAnsi" w:cstheme="minorHAnsi"/>
                      <w:color w:val="000000"/>
                      <w:sz w:val="16"/>
                      <w:szCs w:val="16"/>
                    </w:rPr>
                    <w:t>arcoded filter papers of blood samples for molecular marking</w:t>
                  </w:r>
                </w:p>
              </w:tc>
              <w:tc>
                <w:tcPr>
                  <w:tcW w:w="1160" w:type="dxa"/>
                  <w:shd w:val="clear" w:color="auto" w:fill="auto"/>
                  <w:hideMark/>
                </w:tcPr>
                <w:p w14:paraId="1F3DEC0F"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Increased GPS accuracy</w:t>
                  </w:r>
                </w:p>
              </w:tc>
              <w:tc>
                <w:tcPr>
                  <w:tcW w:w="1080" w:type="dxa"/>
                  <w:shd w:val="clear" w:color="auto" w:fill="auto"/>
                  <w:hideMark/>
                </w:tcPr>
                <w:p w14:paraId="2595B991" w14:textId="5E41337B"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Automatic capture of barcodes</w:t>
                  </w:r>
                  <w:r w:rsidRPr="008E4426">
                    <w:rPr>
                      <w:rFonts w:asciiTheme="minorHAnsi" w:eastAsia="Times New Roman" w:hAnsiTheme="minorHAnsi" w:cstheme="minorHAnsi"/>
                      <w:color w:val="000000"/>
                      <w:sz w:val="16"/>
                      <w:szCs w:val="16"/>
                    </w:rPr>
                    <w:br/>
                    <w:t>avoidance of transcription errors</w:t>
                  </w:r>
                </w:p>
              </w:tc>
              <w:tc>
                <w:tcPr>
                  <w:tcW w:w="1094" w:type="dxa"/>
                  <w:shd w:val="clear" w:color="auto" w:fill="auto"/>
                  <w:hideMark/>
                </w:tcPr>
                <w:p w14:paraId="7BFCB967"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Data quality assessment</w:t>
                  </w:r>
                </w:p>
              </w:tc>
              <w:tc>
                <w:tcPr>
                  <w:tcW w:w="1194" w:type="dxa"/>
                  <w:shd w:val="clear" w:color="auto" w:fill="auto"/>
                  <w:hideMark/>
                </w:tcPr>
                <w:p w14:paraId="29619A6F" w14:textId="47EB2C82" w:rsidR="00CE5BFE" w:rsidRPr="008E4426" w:rsidRDefault="00CE5BFE" w:rsidP="00587CFF">
                  <w:pPr>
                    <w:rPr>
                      <w:rFonts w:asciiTheme="minorHAnsi" w:eastAsia="Times New Roman" w:hAnsiTheme="minorHAnsi" w:cstheme="minorHAnsi"/>
                      <w:color w:val="000000"/>
                      <w:sz w:val="16"/>
                      <w:szCs w:val="16"/>
                    </w:rPr>
                  </w:pPr>
                  <w:r>
                    <w:rPr>
                      <w:rFonts w:asciiTheme="minorHAnsi" w:eastAsia="Times New Roman" w:hAnsiTheme="minorHAnsi" w:cstheme="minorHAnsi"/>
                      <w:color w:val="000000"/>
                      <w:sz w:val="16"/>
                      <w:szCs w:val="16"/>
                    </w:rPr>
                    <w:t>T</w:t>
                  </w:r>
                  <w:r w:rsidRPr="008E4426">
                    <w:rPr>
                      <w:rFonts w:asciiTheme="minorHAnsi" w:eastAsia="Times New Roman" w:hAnsiTheme="minorHAnsi" w:cstheme="minorHAnsi"/>
                      <w:color w:val="000000"/>
                      <w:sz w:val="16"/>
                      <w:szCs w:val="16"/>
                    </w:rPr>
                    <w:t>rained staff on GPS devices, DBS sample collection and filling the notification forms</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r>
                  <w:r>
                    <w:rPr>
                      <w:rFonts w:asciiTheme="minorHAnsi" w:eastAsia="Times New Roman" w:hAnsiTheme="minorHAnsi" w:cstheme="minorHAnsi"/>
                      <w:color w:val="000000"/>
                      <w:sz w:val="16"/>
                      <w:szCs w:val="16"/>
                    </w:rPr>
                    <w:t>I</w:t>
                  </w:r>
                  <w:r w:rsidRPr="008E4426">
                    <w:rPr>
                      <w:rFonts w:asciiTheme="minorHAnsi" w:eastAsia="Times New Roman" w:hAnsiTheme="minorHAnsi" w:cstheme="minorHAnsi"/>
                      <w:color w:val="000000"/>
                      <w:sz w:val="16"/>
                      <w:szCs w:val="16"/>
                    </w:rPr>
                    <w:t>nformed staff on the meaning and importance of MMR and surveillance</w:t>
                  </w:r>
                </w:p>
              </w:tc>
            </w:tr>
            <w:tr w:rsidR="00CE5BFE" w:rsidRPr="008E4426" w14:paraId="43901810" w14:textId="77777777" w:rsidTr="00CE5BFE">
              <w:trPr>
                <w:trHeight w:val="3823"/>
              </w:trPr>
              <w:tc>
                <w:tcPr>
                  <w:tcW w:w="406" w:type="dxa"/>
                  <w:vMerge/>
                  <w:hideMark/>
                </w:tcPr>
                <w:p w14:paraId="4243CF74" w14:textId="77777777" w:rsidR="00CE5BFE" w:rsidRPr="008E4426" w:rsidRDefault="00CE5BFE" w:rsidP="00587CFF">
                  <w:pPr>
                    <w:rPr>
                      <w:rFonts w:asciiTheme="minorHAnsi" w:eastAsia="Times New Roman" w:hAnsiTheme="minorHAnsi" w:cstheme="minorHAnsi"/>
                      <w:b/>
                      <w:bCs/>
                      <w:color w:val="000000"/>
                      <w:sz w:val="16"/>
                      <w:szCs w:val="16"/>
                    </w:rPr>
                  </w:pPr>
                </w:p>
              </w:tc>
              <w:tc>
                <w:tcPr>
                  <w:tcW w:w="1074" w:type="dxa"/>
                  <w:shd w:val="clear" w:color="auto" w:fill="auto"/>
                  <w:hideMark/>
                </w:tcPr>
                <w:p w14:paraId="3E7A7905" w14:textId="77777777" w:rsidR="00CE5BFE" w:rsidRPr="008E4426" w:rsidRDefault="00CE5BFE" w:rsidP="00587CFF">
                  <w:pPr>
                    <w:rPr>
                      <w:rFonts w:asciiTheme="minorHAnsi" w:eastAsia="Times New Roman" w:hAnsiTheme="minorHAnsi" w:cstheme="minorHAnsi"/>
                      <w:i/>
                      <w:iCs/>
                      <w:color w:val="000000"/>
                      <w:sz w:val="16"/>
                      <w:szCs w:val="16"/>
                    </w:rPr>
                  </w:pPr>
                  <w:r w:rsidRPr="008E4426">
                    <w:rPr>
                      <w:rFonts w:asciiTheme="minorHAnsi" w:eastAsia="Times New Roman" w:hAnsiTheme="minorHAnsi" w:cstheme="minorHAnsi"/>
                      <w:i/>
                      <w:iCs/>
                      <w:color w:val="000000"/>
                      <w:sz w:val="16"/>
                      <w:szCs w:val="16"/>
                    </w:rPr>
                    <w:t>Unintended</w:t>
                  </w:r>
                </w:p>
              </w:tc>
              <w:tc>
                <w:tcPr>
                  <w:tcW w:w="1638" w:type="dxa"/>
                  <w:shd w:val="clear" w:color="auto" w:fill="auto"/>
                  <w:hideMark/>
                </w:tcPr>
                <w:p w14:paraId="7B819386"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Daunting start</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 xml:space="preserve">Increased workload </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Multiple reporting systems</w:t>
                  </w:r>
                </w:p>
              </w:tc>
              <w:tc>
                <w:tcPr>
                  <w:tcW w:w="1034" w:type="dxa"/>
                  <w:shd w:val="clear" w:color="auto" w:fill="auto"/>
                  <w:hideMark/>
                </w:tcPr>
                <w:p w14:paraId="35056C4C" w14:textId="4B3037B7" w:rsidR="00CE5BFE" w:rsidRPr="008E4426" w:rsidRDefault="00CE5BFE" w:rsidP="00587CFF">
                  <w:pPr>
                    <w:rPr>
                      <w:rFonts w:asciiTheme="minorHAnsi" w:eastAsia="Times New Roman" w:hAnsiTheme="minorHAnsi" w:cstheme="minorHAnsi"/>
                      <w:color w:val="000000"/>
                      <w:sz w:val="16"/>
                      <w:szCs w:val="16"/>
                    </w:rPr>
                  </w:pPr>
                  <w:r>
                    <w:rPr>
                      <w:rFonts w:asciiTheme="minorHAnsi" w:eastAsia="Times New Roman" w:hAnsiTheme="minorHAnsi" w:cstheme="minorHAnsi"/>
                      <w:color w:val="000000"/>
                      <w:sz w:val="16"/>
                      <w:szCs w:val="16"/>
                    </w:rPr>
                    <w:t>I</w:t>
                  </w:r>
                  <w:r w:rsidRPr="008E4426">
                    <w:rPr>
                      <w:rFonts w:asciiTheme="minorHAnsi" w:eastAsia="Times New Roman" w:hAnsiTheme="minorHAnsi" w:cstheme="minorHAnsi"/>
                      <w:color w:val="000000"/>
                      <w:sz w:val="16"/>
                      <w:szCs w:val="16"/>
                    </w:rPr>
                    <w:t>ncreased workload</w:t>
                  </w:r>
                  <w:r w:rsidRPr="008E4426">
                    <w:rPr>
                      <w:rFonts w:asciiTheme="minorHAnsi" w:eastAsia="Times New Roman" w:hAnsiTheme="minorHAnsi" w:cstheme="minorHAnsi"/>
                      <w:color w:val="000000"/>
                      <w:sz w:val="16"/>
                      <w:szCs w:val="16"/>
                    </w:rPr>
                    <w:br/>
                    <w:t>poor packaging and filing of the sample details</w:t>
                  </w:r>
                  <w:r w:rsidRPr="008E4426">
                    <w:rPr>
                      <w:rFonts w:asciiTheme="minorHAnsi" w:eastAsia="Times New Roman" w:hAnsiTheme="minorHAnsi" w:cstheme="minorHAnsi"/>
                      <w:color w:val="000000"/>
                      <w:sz w:val="16"/>
                      <w:szCs w:val="16"/>
                    </w:rPr>
                    <w:br/>
                    <w:t>Lack of barcode assignment</w:t>
                  </w:r>
                </w:p>
              </w:tc>
              <w:tc>
                <w:tcPr>
                  <w:tcW w:w="1160" w:type="dxa"/>
                  <w:shd w:val="clear" w:color="auto" w:fill="auto"/>
                  <w:hideMark/>
                </w:tcPr>
                <w:p w14:paraId="2C1879C0"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Extra training sessions</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Sense of ownership of the project that triggered the agency</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Threatened working relationships</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Requirement for airtime</w:t>
                  </w:r>
                </w:p>
              </w:tc>
              <w:tc>
                <w:tcPr>
                  <w:tcW w:w="1080" w:type="dxa"/>
                  <w:shd w:val="clear" w:color="auto" w:fill="auto"/>
                  <w:hideMark/>
                </w:tcPr>
                <w:p w14:paraId="420381EF"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 xml:space="preserve">Inconsistent barcode assignment </w:t>
                  </w:r>
                  <w:r w:rsidRPr="008E4426">
                    <w:rPr>
                      <w:rFonts w:asciiTheme="minorHAnsi" w:eastAsia="Times New Roman" w:hAnsiTheme="minorHAnsi" w:cstheme="minorHAnsi"/>
                      <w:color w:val="000000"/>
                      <w:sz w:val="16"/>
                      <w:szCs w:val="16"/>
                    </w:rPr>
                    <w:br/>
                    <w:t>Manual input of barcodes</w:t>
                  </w:r>
                  <w:r w:rsidRPr="008E4426">
                    <w:rPr>
                      <w:rFonts w:asciiTheme="minorHAnsi" w:eastAsia="Times New Roman" w:hAnsiTheme="minorHAnsi" w:cstheme="minorHAnsi"/>
                      <w:color w:val="000000"/>
                      <w:sz w:val="16"/>
                      <w:szCs w:val="16"/>
                    </w:rPr>
                    <w:br/>
                    <w:t>Increased workload</w:t>
                  </w:r>
                </w:p>
              </w:tc>
              <w:tc>
                <w:tcPr>
                  <w:tcW w:w="1094" w:type="dxa"/>
                  <w:shd w:val="clear" w:color="auto" w:fill="auto"/>
                  <w:hideMark/>
                </w:tcPr>
                <w:p w14:paraId="1B9C76BB" w14:textId="2D7C8BA0" w:rsidR="00CE5BFE" w:rsidRPr="008E4426" w:rsidRDefault="00CE5BFE" w:rsidP="00587CFF">
                  <w:pPr>
                    <w:rPr>
                      <w:rFonts w:asciiTheme="minorHAnsi" w:eastAsia="Times New Roman" w:hAnsiTheme="minorHAnsi" w:cstheme="minorHAnsi"/>
                      <w:color w:val="000000"/>
                      <w:sz w:val="16"/>
                      <w:szCs w:val="16"/>
                    </w:rPr>
                  </w:pPr>
                  <w:r>
                    <w:rPr>
                      <w:rFonts w:asciiTheme="minorHAnsi" w:eastAsia="Times New Roman" w:hAnsiTheme="minorHAnsi" w:cstheme="minorHAnsi"/>
                      <w:color w:val="000000"/>
                      <w:sz w:val="16"/>
                      <w:szCs w:val="16"/>
                    </w:rPr>
                    <w:t>I</w:t>
                  </w:r>
                  <w:r w:rsidRPr="008E4426">
                    <w:rPr>
                      <w:rFonts w:asciiTheme="minorHAnsi" w:eastAsia="Times New Roman" w:hAnsiTheme="minorHAnsi" w:cstheme="minorHAnsi"/>
                      <w:color w:val="000000"/>
                      <w:sz w:val="16"/>
                      <w:szCs w:val="16"/>
                    </w:rPr>
                    <w:t>ncreased workload due to the merging of the different three forms</w:t>
                  </w:r>
                </w:p>
              </w:tc>
              <w:tc>
                <w:tcPr>
                  <w:tcW w:w="1194" w:type="dxa"/>
                  <w:shd w:val="clear" w:color="auto" w:fill="auto"/>
                  <w:hideMark/>
                </w:tcPr>
                <w:p w14:paraId="5C83B3A8"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Increased awareness of resistance</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Added confidence to staff</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Positive perception of the added tasks</w:t>
                  </w:r>
                </w:p>
              </w:tc>
            </w:tr>
            <w:tr w:rsidR="00CE5BFE" w:rsidRPr="008E4426" w14:paraId="674B2337" w14:textId="77777777" w:rsidTr="00CE5BFE">
              <w:trPr>
                <w:trHeight w:val="2077"/>
              </w:trPr>
              <w:tc>
                <w:tcPr>
                  <w:tcW w:w="406" w:type="dxa"/>
                  <w:vMerge w:val="restart"/>
                  <w:shd w:val="clear" w:color="auto" w:fill="auto"/>
                  <w:textDirection w:val="btLr"/>
                  <w:hideMark/>
                </w:tcPr>
                <w:p w14:paraId="09F7E419" w14:textId="77777777" w:rsidR="00CE5BFE" w:rsidRPr="008E4426" w:rsidRDefault="00CE5BFE" w:rsidP="00CE5BFE">
                  <w:pPr>
                    <w:ind w:left="113" w:right="113"/>
                    <w:jc w:val="right"/>
                    <w:rPr>
                      <w:rFonts w:asciiTheme="minorHAnsi" w:eastAsia="Times New Roman" w:hAnsiTheme="minorHAnsi" w:cstheme="minorHAnsi"/>
                      <w:b/>
                      <w:bCs/>
                      <w:color w:val="000000"/>
                      <w:sz w:val="16"/>
                      <w:szCs w:val="16"/>
                    </w:rPr>
                  </w:pPr>
                  <w:r w:rsidRPr="008E4426">
                    <w:rPr>
                      <w:rFonts w:asciiTheme="minorHAnsi" w:eastAsia="Times New Roman" w:hAnsiTheme="minorHAnsi" w:cstheme="minorHAnsi"/>
                      <w:b/>
                      <w:bCs/>
                      <w:color w:val="000000"/>
                      <w:sz w:val="16"/>
                      <w:szCs w:val="16"/>
                    </w:rPr>
                    <w:t>Outcomes</w:t>
                  </w:r>
                </w:p>
              </w:tc>
              <w:tc>
                <w:tcPr>
                  <w:tcW w:w="1074" w:type="dxa"/>
                  <w:shd w:val="clear" w:color="auto" w:fill="auto"/>
                  <w:hideMark/>
                </w:tcPr>
                <w:p w14:paraId="05F65519" w14:textId="77777777" w:rsidR="00CE5BFE" w:rsidRPr="008E4426" w:rsidRDefault="00CE5BFE" w:rsidP="00587CFF">
                  <w:pPr>
                    <w:rPr>
                      <w:rFonts w:asciiTheme="minorHAnsi" w:eastAsia="Times New Roman" w:hAnsiTheme="minorHAnsi" w:cstheme="minorHAnsi"/>
                      <w:i/>
                      <w:iCs/>
                      <w:color w:val="000000"/>
                      <w:sz w:val="16"/>
                      <w:szCs w:val="16"/>
                    </w:rPr>
                  </w:pPr>
                  <w:r w:rsidRPr="008E4426">
                    <w:rPr>
                      <w:rFonts w:asciiTheme="minorHAnsi" w:eastAsia="Times New Roman" w:hAnsiTheme="minorHAnsi" w:cstheme="minorHAnsi"/>
                      <w:i/>
                      <w:iCs/>
                      <w:color w:val="000000"/>
                      <w:sz w:val="16"/>
                      <w:szCs w:val="16"/>
                    </w:rPr>
                    <w:t>Short-term</w:t>
                  </w:r>
                </w:p>
              </w:tc>
              <w:tc>
                <w:tcPr>
                  <w:tcW w:w="1638" w:type="dxa"/>
                  <w:shd w:val="clear" w:color="auto" w:fill="auto"/>
                  <w:hideMark/>
                </w:tcPr>
                <w:p w14:paraId="562B5488"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Resistance leads to a slow start</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Incomplete tracking information</w:t>
                  </w:r>
                </w:p>
              </w:tc>
              <w:tc>
                <w:tcPr>
                  <w:tcW w:w="1034" w:type="dxa"/>
                  <w:shd w:val="clear" w:color="auto" w:fill="auto"/>
                  <w:hideMark/>
                </w:tcPr>
                <w:p w14:paraId="5756C4F0"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Inadequate quality samples and data shipped to the central lab for molecular analysis</w:t>
                  </w:r>
                </w:p>
              </w:tc>
              <w:tc>
                <w:tcPr>
                  <w:tcW w:w="1160" w:type="dxa"/>
                  <w:shd w:val="clear" w:color="auto" w:fill="auto"/>
                  <w:hideMark/>
                </w:tcPr>
                <w:p w14:paraId="36CE1BBB"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Increased accuracy of patients' location</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Motivated teams</w:t>
                  </w:r>
                </w:p>
              </w:tc>
              <w:tc>
                <w:tcPr>
                  <w:tcW w:w="1080" w:type="dxa"/>
                  <w:shd w:val="clear" w:color="auto" w:fill="auto"/>
                  <w:hideMark/>
                </w:tcPr>
                <w:p w14:paraId="1C0AA808"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Non-barcoded-samples</w:t>
                  </w:r>
                  <w:r w:rsidRPr="008E4426">
                    <w:rPr>
                      <w:rFonts w:asciiTheme="minorHAnsi" w:eastAsia="Times New Roman" w:hAnsiTheme="minorHAnsi" w:cstheme="minorHAnsi"/>
                      <w:color w:val="000000"/>
                      <w:sz w:val="16"/>
                      <w:szCs w:val="16"/>
                    </w:rPr>
                    <w:br/>
                    <w:t>Transcription errors</w:t>
                  </w:r>
                  <w:r w:rsidRPr="008E4426">
                    <w:rPr>
                      <w:rFonts w:asciiTheme="minorHAnsi" w:eastAsia="Times New Roman" w:hAnsiTheme="minorHAnsi" w:cstheme="minorHAnsi"/>
                      <w:color w:val="000000"/>
                      <w:sz w:val="16"/>
                      <w:szCs w:val="16"/>
                    </w:rPr>
                    <w:br/>
                    <w:t>Slow data-capturing process</w:t>
                  </w:r>
                </w:p>
              </w:tc>
              <w:tc>
                <w:tcPr>
                  <w:tcW w:w="1094" w:type="dxa"/>
                  <w:shd w:val="clear" w:color="auto" w:fill="auto"/>
                  <w:hideMark/>
                </w:tcPr>
                <w:p w14:paraId="5FDCFF3D"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quarterly reports of cases' notification, investigation and linkage</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Feedback of areas of improvement and activities for areas of improvement</w:t>
                  </w:r>
                </w:p>
              </w:tc>
              <w:tc>
                <w:tcPr>
                  <w:tcW w:w="1194" w:type="dxa"/>
                  <w:shd w:val="clear" w:color="auto" w:fill="auto"/>
                  <w:hideMark/>
                </w:tcPr>
                <w:p w14:paraId="3C38BA2D"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Increased dedication to working with correct processes</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 xml:space="preserve">Contradictions (knowing vs not knowing staff, </w:t>
                  </w:r>
                  <w:r w:rsidRPr="008E4426">
                    <w:rPr>
                      <w:rFonts w:asciiTheme="minorHAnsi" w:eastAsia="Times New Roman" w:hAnsiTheme="minorHAnsi" w:cstheme="minorHAnsi"/>
                      <w:color w:val="000000"/>
                      <w:sz w:val="16"/>
                      <w:szCs w:val="16"/>
                    </w:rPr>
                    <w:br/>
                    <w:t>willing vs not-willing staff)</w:t>
                  </w:r>
                </w:p>
              </w:tc>
            </w:tr>
            <w:tr w:rsidR="00CE5BFE" w:rsidRPr="008E4426" w14:paraId="5C1525E6" w14:textId="77777777" w:rsidTr="00CE5BFE">
              <w:trPr>
                <w:trHeight w:val="2665"/>
              </w:trPr>
              <w:tc>
                <w:tcPr>
                  <w:tcW w:w="406" w:type="dxa"/>
                  <w:vMerge/>
                  <w:hideMark/>
                </w:tcPr>
                <w:p w14:paraId="4892F123" w14:textId="77777777" w:rsidR="00CE5BFE" w:rsidRPr="008E4426" w:rsidRDefault="00CE5BFE" w:rsidP="00587CFF">
                  <w:pPr>
                    <w:rPr>
                      <w:rFonts w:asciiTheme="minorHAnsi" w:eastAsia="Times New Roman" w:hAnsiTheme="minorHAnsi" w:cstheme="minorHAnsi"/>
                      <w:b/>
                      <w:bCs/>
                      <w:color w:val="000000"/>
                      <w:sz w:val="16"/>
                      <w:szCs w:val="16"/>
                    </w:rPr>
                  </w:pPr>
                </w:p>
              </w:tc>
              <w:tc>
                <w:tcPr>
                  <w:tcW w:w="1074" w:type="dxa"/>
                  <w:shd w:val="clear" w:color="auto" w:fill="auto"/>
                  <w:hideMark/>
                </w:tcPr>
                <w:p w14:paraId="4839A4BB" w14:textId="77777777" w:rsidR="00CE5BFE" w:rsidRPr="008E4426" w:rsidRDefault="00CE5BFE" w:rsidP="00587CFF">
                  <w:pPr>
                    <w:rPr>
                      <w:rFonts w:asciiTheme="minorHAnsi" w:eastAsia="Times New Roman" w:hAnsiTheme="minorHAnsi" w:cstheme="minorHAnsi"/>
                      <w:i/>
                      <w:iCs/>
                      <w:color w:val="000000"/>
                      <w:sz w:val="16"/>
                      <w:szCs w:val="16"/>
                    </w:rPr>
                  </w:pPr>
                  <w:r w:rsidRPr="008E4426">
                    <w:rPr>
                      <w:rFonts w:asciiTheme="minorHAnsi" w:eastAsia="Times New Roman" w:hAnsiTheme="minorHAnsi" w:cstheme="minorHAnsi"/>
                      <w:i/>
                      <w:iCs/>
                      <w:color w:val="000000"/>
                      <w:sz w:val="16"/>
                      <w:szCs w:val="16"/>
                    </w:rPr>
                    <w:t>Long-term</w:t>
                  </w:r>
                </w:p>
              </w:tc>
              <w:tc>
                <w:tcPr>
                  <w:tcW w:w="1638" w:type="dxa"/>
                  <w:shd w:val="clear" w:color="auto" w:fill="auto"/>
                  <w:hideMark/>
                </w:tcPr>
                <w:p w14:paraId="66716BAE"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Acceptance and adapting</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Increased programmatic support and monitoring</w:t>
                  </w:r>
                </w:p>
              </w:tc>
              <w:tc>
                <w:tcPr>
                  <w:tcW w:w="1034" w:type="dxa"/>
                  <w:shd w:val="clear" w:color="auto" w:fill="auto"/>
                  <w:hideMark/>
                </w:tcPr>
                <w:p w14:paraId="283CD292" w14:textId="77777777" w:rsidR="00CE5BFE" w:rsidRPr="008E4426" w:rsidRDefault="00CE5BFE" w:rsidP="00587CFF">
                  <w:pPr>
                    <w:rPr>
                      <w:rFonts w:asciiTheme="minorHAnsi" w:eastAsia="Times New Roman" w:hAnsiTheme="minorHAnsi" w:cstheme="minorHAnsi"/>
                      <w:color w:val="000000"/>
                      <w:sz w:val="16"/>
                      <w:szCs w:val="16"/>
                    </w:rPr>
                  </w:pPr>
                </w:p>
              </w:tc>
              <w:tc>
                <w:tcPr>
                  <w:tcW w:w="1160" w:type="dxa"/>
                  <w:shd w:val="clear" w:color="auto" w:fill="auto"/>
                  <w:hideMark/>
                </w:tcPr>
                <w:p w14:paraId="4066F525"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Failure to track all patients</w:t>
                  </w:r>
                </w:p>
              </w:tc>
              <w:tc>
                <w:tcPr>
                  <w:tcW w:w="1080" w:type="dxa"/>
                  <w:shd w:val="clear" w:color="auto" w:fill="auto"/>
                  <w:hideMark/>
                </w:tcPr>
                <w:p w14:paraId="48D75891"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Increased linked cases at the household level</w:t>
                  </w:r>
                  <w:r w:rsidRPr="008E4426">
                    <w:rPr>
                      <w:rFonts w:asciiTheme="minorHAnsi" w:eastAsia="Times New Roman" w:hAnsiTheme="minorHAnsi" w:cstheme="minorHAnsi"/>
                      <w:color w:val="000000"/>
                      <w:sz w:val="16"/>
                      <w:szCs w:val="16"/>
                    </w:rPr>
                    <w:br/>
                    <w:t>Overall increase in willingness and uptake of the programme</w:t>
                  </w:r>
                </w:p>
              </w:tc>
              <w:tc>
                <w:tcPr>
                  <w:tcW w:w="1094" w:type="dxa"/>
                  <w:shd w:val="clear" w:color="auto" w:fill="auto"/>
                  <w:hideMark/>
                </w:tcPr>
                <w:p w14:paraId="086DA180"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Improvement of data quality, timeliness in reporting and willingness to carry out MMR-RMSS</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Increased linkage</w:t>
                  </w:r>
                </w:p>
              </w:tc>
              <w:tc>
                <w:tcPr>
                  <w:tcW w:w="1194" w:type="dxa"/>
                  <w:shd w:val="clear" w:color="auto" w:fill="auto"/>
                  <w:hideMark/>
                </w:tcPr>
                <w:p w14:paraId="70D95169"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Raised knowledge about malaria and drug resistance</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Raised quality of data and samples.</w:t>
                  </w:r>
                  <w:r w:rsidRPr="008E4426">
                    <w:rPr>
                      <w:rFonts w:asciiTheme="minorHAnsi" w:eastAsia="Times New Roman" w:hAnsiTheme="minorHAnsi" w:cstheme="minorHAnsi"/>
                      <w:color w:val="000000"/>
                      <w:sz w:val="16"/>
                      <w:szCs w:val="16"/>
                    </w:rPr>
                    <w:br/>
                    <w:t xml:space="preserve"> </w:t>
                  </w:r>
                  <w:r w:rsidRPr="008E4426">
                    <w:rPr>
                      <w:rFonts w:asciiTheme="minorHAnsi" w:eastAsia="Times New Roman" w:hAnsiTheme="minorHAnsi" w:cstheme="minorHAnsi"/>
                      <w:color w:val="000000"/>
                      <w:sz w:val="16"/>
                      <w:szCs w:val="16"/>
                    </w:rPr>
                    <w:br/>
                    <w:t xml:space="preserve">Increased </w:t>
                  </w:r>
                  <w:proofErr w:type="spellStart"/>
                  <w:r w:rsidRPr="008E4426">
                    <w:rPr>
                      <w:rFonts w:asciiTheme="minorHAnsi" w:eastAsia="Times New Roman" w:hAnsiTheme="minorHAnsi" w:cstheme="minorHAnsi"/>
                      <w:color w:val="000000"/>
                      <w:sz w:val="16"/>
                      <w:szCs w:val="16"/>
                    </w:rPr>
                    <w:t>linkability</w:t>
                  </w:r>
                  <w:proofErr w:type="spellEnd"/>
                </w:p>
              </w:tc>
            </w:tr>
            <w:tr w:rsidR="00CE5BFE" w:rsidRPr="008E4426" w14:paraId="438C3FB2" w14:textId="77777777" w:rsidTr="00CE5BFE">
              <w:trPr>
                <w:cantSplit/>
                <w:trHeight w:val="4659"/>
              </w:trPr>
              <w:tc>
                <w:tcPr>
                  <w:tcW w:w="1480" w:type="dxa"/>
                  <w:gridSpan w:val="2"/>
                  <w:shd w:val="clear" w:color="auto" w:fill="auto"/>
                  <w:noWrap/>
                  <w:hideMark/>
                </w:tcPr>
                <w:p w14:paraId="325BD307" w14:textId="77777777" w:rsidR="00CE5BFE" w:rsidRPr="008E4426" w:rsidRDefault="00CE5BFE" w:rsidP="00CE5BFE">
                  <w:pPr>
                    <w:jc w:val="both"/>
                    <w:rPr>
                      <w:rFonts w:asciiTheme="minorHAnsi" w:eastAsia="Times New Roman" w:hAnsiTheme="minorHAnsi" w:cstheme="minorHAnsi"/>
                      <w:b/>
                      <w:bCs/>
                      <w:color w:val="000000"/>
                      <w:sz w:val="16"/>
                      <w:szCs w:val="16"/>
                    </w:rPr>
                  </w:pPr>
                  <w:r w:rsidRPr="008E4426">
                    <w:rPr>
                      <w:rFonts w:asciiTheme="minorHAnsi" w:eastAsia="Times New Roman" w:hAnsiTheme="minorHAnsi" w:cstheme="minorHAnsi"/>
                      <w:b/>
                      <w:bCs/>
                      <w:color w:val="000000"/>
                      <w:sz w:val="16"/>
                      <w:szCs w:val="16"/>
                    </w:rPr>
                    <w:lastRenderedPageBreak/>
                    <w:t>Quotes</w:t>
                  </w:r>
                </w:p>
              </w:tc>
              <w:tc>
                <w:tcPr>
                  <w:tcW w:w="1638" w:type="dxa"/>
                  <w:shd w:val="clear" w:color="auto" w:fill="auto"/>
                  <w:hideMark/>
                </w:tcPr>
                <w:p w14:paraId="07BB91A8"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‘We do the paper first, the notification book first, the remaining depends with their time or workload’. [Nurse, IDI06].</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‘But the volume you can look at the CHCs [Community Health Centres] and eight hour, there are more people coming in because day and night we are working.’ [Nurse FGD03].</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 xml:space="preserve">‘Basically at first it was quite a daunting task because now [I] remember we had facilities that recently introduced the new NMC form and also Malaria Connect and all of that. </w:t>
                  </w:r>
                  <w:proofErr w:type="gramStart"/>
                  <w:r w:rsidRPr="008E4426">
                    <w:rPr>
                      <w:rFonts w:asciiTheme="minorHAnsi" w:eastAsia="Times New Roman" w:hAnsiTheme="minorHAnsi" w:cstheme="minorHAnsi"/>
                      <w:color w:val="000000"/>
                      <w:sz w:val="16"/>
                      <w:szCs w:val="16"/>
                    </w:rPr>
                    <w:t>So</w:t>
                  </w:r>
                  <w:proofErr w:type="gramEnd"/>
                  <w:r w:rsidRPr="008E4426">
                    <w:rPr>
                      <w:rFonts w:asciiTheme="minorHAnsi" w:eastAsia="Times New Roman" w:hAnsiTheme="minorHAnsi" w:cstheme="minorHAnsi"/>
                      <w:color w:val="000000"/>
                      <w:sz w:val="16"/>
                      <w:szCs w:val="16"/>
                    </w:rPr>
                    <w:t xml:space="preserve"> when we went to train the health facilities they were resistant because they feel that it is extra work on their behalf. … Then even though they complied, we were getting a hint that they were not completely filling incorrectly the samples that we needed them to.’ [Environmental Health Officer, FGD01].</w:t>
                  </w:r>
                </w:p>
              </w:tc>
              <w:tc>
                <w:tcPr>
                  <w:tcW w:w="1034" w:type="dxa"/>
                  <w:shd w:val="clear" w:color="auto" w:fill="auto"/>
                  <w:hideMark/>
                </w:tcPr>
                <w:p w14:paraId="41CF92E7"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 xml:space="preserve">‘Yes, there is not enough (blood from one prick). There is a little but it is not enough. So most of the time they have to prick maybe twice or three times sometimes.’ And added by another staff member ‘I think the experience has taught us that mostly when the people are working in the farms to draw blood, sometimes they prick harder. </w:t>
                  </w:r>
                  <w:proofErr w:type="gramStart"/>
                  <w:r w:rsidRPr="008E4426">
                    <w:rPr>
                      <w:rFonts w:asciiTheme="minorHAnsi" w:eastAsia="Times New Roman" w:hAnsiTheme="minorHAnsi" w:cstheme="minorHAnsi"/>
                      <w:color w:val="000000"/>
                      <w:sz w:val="16"/>
                      <w:szCs w:val="16"/>
                    </w:rPr>
                    <w:t>So</w:t>
                  </w:r>
                  <w:proofErr w:type="gramEnd"/>
                  <w:r w:rsidRPr="008E4426">
                    <w:rPr>
                      <w:rFonts w:asciiTheme="minorHAnsi" w:eastAsia="Times New Roman" w:hAnsiTheme="minorHAnsi" w:cstheme="minorHAnsi"/>
                      <w:color w:val="000000"/>
                      <w:sz w:val="16"/>
                      <w:szCs w:val="16"/>
                    </w:rPr>
                    <w:t xml:space="preserve"> it is either they have to prick maybe two times or three times.’ [Case investigator, FGD01].</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‘These activities have helped us to know what we are doing and</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 xml:space="preserve"> to help the patients, if they ask me now why we are taking another blood sample, it is for monitoring drug resistance and make sure you are cured. </w:t>
                  </w:r>
                  <w:proofErr w:type="gramStart"/>
                  <w:r w:rsidRPr="008E4426">
                    <w:rPr>
                      <w:rFonts w:asciiTheme="minorHAnsi" w:eastAsia="Times New Roman" w:hAnsiTheme="minorHAnsi" w:cstheme="minorHAnsi"/>
                      <w:color w:val="000000"/>
                      <w:sz w:val="16"/>
                      <w:szCs w:val="16"/>
                    </w:rPr>
                    <w:t>So</w:t>
                  </w:r>
                  <w:proofErr w:type="gramEnd"/>
                  <w:r w:rsidRPr="008E4426">
                    <w:rPr>
                      <w:rFonts w:asciiTheme="minorHAnsi" w:eastAsia="Times New Roman" w:hAnsiTheme="minorHAnsi" w:cstheme="minorHAnsi"/>
                      <w:color w:val="000000"/>
                      <w:sz w:val="16"/>
                      <w:szCs w:val="16"/>
                    </w:rPr>
                    <w:t xml:space="preserve"> it’s a very good thing’ [Nurse, FGD04].</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lastRenderedPageBreak/>
                    <w:t xml:space="preserve">‘remember we went with the supervisor to a couple of clinics when we identified that problem (sample lacking respective DBS or with insufficient DBS) and then we went back and told them that now we no longer just take the RDT. We also need to take the dry blood spots, so we need enough blood for the dry blood because sometimes we find that the dry blood is just a tiny bit of the blood and it really cannot be used. </w:t>
                  </w:r>
                  <w:proofErr w:type="gramStart"/>
                  <w:r w:rsidRPr="008E4426">
                    <w:rPr>
                      <w:rFonts w:asciiTheme="minorHAnsi" w:eastAsia="Times New Roman" w:hAnsiTheme="minorHAnsi" w:cstheme="minorHAnsi"/>
                      <w:color w:val="000000"/>
                      <w:sz w:val="16"/>
                      <w:szCs w:val="16"/>
                    </w:rPr>
                    <w:t>So</w:t>
                  </w:r>
                  <w:proofErr w:type="gramEnd"/>
                  <w:r w:rsidRPr="008E4426">
                    <w:rPr>
                      <w:rFonts w:asciiTheme="minorHAnsi" w:eastAsia="Times New Roman" w:hAnsiTheme="minorHAnsi" w:cstheme="minorHAnsi"/>
                      <w:color w:val="000000"/>
                      <w:sz w:val="16"/>
                      <w:szCs w:val="16"/>
                    </w:rPr>
                    <w:t xml:space="preserve"> we had to make sure that we go back to them and tell and train them that when you prick make sure you prick enough just in case it is a positive you can also get more blood. They are currently a lot better’ [Nurse, FGD03].</w:t>
                  </w:r>
                </w:p>
              </w:tc>
              <w:tc>
                <w:tcPr>
                  <w:tcW w:w="1160" w:type="dxa"/>
                  <w:shd w:val="clear" w:color="auto" w:fill="auto"/>
                  <w:hideMark/>
                </w:tcPr>
                <w:p w14:paraId="53437C96"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lastRenderedPageBreak/>
                    <w:t>‘We drive almost 40 kms or more to find a case, then the number is wrong and there is only one line for address. Just looking for one case you take the whole day while other notifications are waiting.’ [Case investigator, FGD01]</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 xml:space="preserve">‘Sometimes I call a clinic before leaving home to know if there are cases near where I leave. </w:t>
                  </w:r>
                  <w:proofErr w:type="spellStart"/>
                  <w:r w:rsidRPr="008E4426">
                    <w:rPr>
                      <w:rFonts w:asciiTheme="minorHAnsi" w:eastAsia="Times New Roman" w:hAnsiTheme="minorHAnsi" w:cstheme="minorHAnsi"/>
                      <w:color w:val="000000"/>
                      <w:sz w:val="16"/>
                      <w:szCs w:val="16"/>
                    </w:rPr>
                    <w:t>And..travelling</w:t>
                  </w:r>
                  <w:proofErr w:type="spellEnd"/>
                  <w:r w:rsidRPr="008E4426">
                    <w:rPr>
                      <w:rFonts w:asciiTheme="minorHAnsi" w:eastAsia="Times New Roman" w:hAnsiTheme="minorHAnsi" w:cstheme="minorHAnsi"/>
                      <w:color w:val="000000"/>
                      <w:sz w:val="16"/>
                      <w:szCs w:val="16"/>
                    </w:rPr>
                    <w:t xml:space="preserve"> to Clinic easy closer to where I leave than the office, so I don’t spend too much time on the road going back and forth’ [Case investigation officer, FGD05].</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 xml:space="preserve">‘Sometimes I call a clinic before leaving home to know if there are cases near where I leave. </w:t>
                  </w:r>
                  <w:proofErr w:type="spellStart"/>
                  <w:r w:rsidRPr="008E4426">
                    <w:rPr>
                      <w:rFonts w:asciiTheme="minorHAnsi" w:eastAsia="Times New Roman" w:hAnsiTheme="minorHAnsi" w:cstheme="minorHAnsi"/>
                      <w:color w:val="000000"/>
                      <w:sz w:val="16"/>
                      <w:szCs w:val="16"/>
                    </w:rPr>
                    <w:t>And..travelling</w:t>
                  </w:r>
                  <w:proofErr w:type="spellEnd"/>
                  <w:r w:rsidRPr="008E4426">
                    <w:rPr>
                      <w:rFonts w:asciiTheme="minorHAnsi" w:eastAsia="Times New Roman" w:hAnsiTheme="minorHAnsi" w:cstheme="minorHAnsi"/>
                      <w:color w:val="000000"/>
                      <w:sz w:val="16"/>
                      <w:szCs w:val="16"/>
                    </w:rPr>
                    <w:t xml:space="preserve"> to Clinic easy closer to where I leave than the office, so I don’t spend too much time on the road going back and forth’ [Case investigation officer, FGD05].</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 xml:space="preserve">‘Yes, they do so (call) because in the notification </w:t>
                  </w:r>
                  <w:r w:rsidRPr="008E4426">
                    <w:rPr>
                      <w:rFonts w:asciiTheme="minorHAnsi" w:eastAsia="Times New Roman" w:hAnsiTheme="minorHAnsi" w:cstheme="minorHAnsi"/>
                      <w:color w:val="000000"/>
                      <w:sz w:val="16"/>
                      <w:szCs w:val="16"/>
                    </w:rPr>
                    <w:lastRenderedPageBreak/>
                    <w:t>book we also write our phone numbers when we notify a patient, if there is something missing they can call. Even if we are not on duty, yah, threatening our working relationship.’ [Nurse, FGD03]</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 xml:space="preserve">‘The ownership thing you know when you understand exactly what it is you are capturing and how important it is then it makes all the difference in terms of making sure it is on file because, how these things usually get presented it is a study and there is a lot of studies that we come across and it is always just another study that we do not know how it is going to end up, who it is going to benefit. So I think also that approach of you [referring to the study team] is excellent as we know what this </w:t>
                  </w:r>
                  <w:proofErr w:type="gramStart"/>
                  <w:r w:rsidRPr="008E4426">
                    <w:rPr>
                      <w:rFonts w:asciiTheme="minorHAnsi" w:eastAsia="Times New Roman" w:hAnsiTheme="minorHAnsi" w:cstheme="minorHAnsi"/>
                      <w:color w:val="000000"/>
                      <w:sz w:val="16"/>
                      <w:szCs w:val="16"/>
                    </w:rPr>
                    <w:t>is..</w:t>
                  </w:r>
                  <w:proofErr w:type="gramEnd"/>
                  <w:r w:rsidRPr="008E4426">
                    <w:rPr>
                      <w:rFonts w:asciiTheme="minorHAnsi" w:eastAsia="Times New Roman" w:hAnsiTheme="minorHAnsi" w:cstheme="minorHAnsi"/>
                      <w:color w:val="000000"/>
                      <w:sz w:val="16"/>
                      <w:szCs w:val="16"/>
                    </w:rPr>
                    <w:t xml:space="preserve"> and what this is for. This is how important it is, it is ours only. [Information officer, FG02]</w:t>
                  </w:r>
                </w:p>
              </w:tc>
              <w:tc>
                <w:tcPr>
                  <w:tcW w:w="1080" w:type="dxa"/>
                  <w:shd w:val="clear" w:color="auto" w:fill="auto"/>
                  <w:hideMark/>
                </w:tcPr>
                <w:p w14:paraId="5F0F6A12"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lastRenderedPageBreak/>
                    <w:br/>
                    <w:t>‘When it is the rainy days and the cases increase, sometimes it’s only two of us capturing data. Therefore, we would be late to capture… Late for a few days to one or two weeks.’ [Data clerk, FGD01].</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‘Typing is easier than using a barcode scanner’. [Data clerk, FGD01].</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‘Yes, that are missing, maybe the facility code or anything like that then maybe three or four times we have experience that the RDT came alone like just the RDT without the filter paper, without a barcode. So most of the times we just discard because there is nothing we can do or go back and find this person and do the thing again’ [Surveillance supervisor, FGD02]</w:t>
                  </w:r>
                </w:p>
              </w:tc>
              <w:tc>
                <w:tcPr>
                  <w:tcW w:w="1094" w:type="dxa"/>
                  <w:shd w:val="clear" w:color="auto" w:fill="auto"/>
                  <w:hideMark/>
                </w:tcPr>
                <w:p w14:paraId="6D651DBC"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t>‘…what I do is to, I need to merge the NMC form together with the page three case investigation form and to take it outside the computer and merge even if it is excel it is prone to changing formats and that could introduce issues that could lead to un-matching within the DHIS2 framework.’ [Information officer, KII03].</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‘Once notifications were submitted and paper forms were captured in the HMIS system, ideally, all cases were merged and duplicates removed. In our analysis and feedback some cases had duplicates that required further cleaning.’ [Information officer, KII03].</w:t>
                  </w:r>
                  <w:r w:rsidRPr="008E4426">
                    <w:rPr>
                      <w:rFonts w:asciiTheme="minorHAnsi" w:eastAsia="Times New Roman" w:hAnsiTheme="minorHAnsi" w:cstheme="minorHAnsi"/>
                      <w:color w:val="000000"/>
                      <w:sz w:val="16"/>
                      <w:szCs w:val="16"/>
                    </w:rPr>
                    <w:br/>
                  </w:r>
                  <w:r w:rsidRPr="008E4426">
                    <w:rPr>
                      <w:rFonts w:asciiTheme="minorHAnsi" w:eastAsia="Times New Roman" w:hAnsiTheme="minorHAnsi" w:cstheme="minorHAnsi"/>
                      <w:color w:val="000000"/>
                      <w:sz w:val="16"/>
                      <w:szCs w:val="16"/>
                    </w:rPr>
                    <w:br/>
                    <w:t xml:space="preserve">‘Ja I think another thing that is good our case investigation has also improved because I remember when we started our base line was thirty five </w:t>
                  </w:r>
                  <w:r w:rsidRPr="008E4426">
                    <w:rPr>
                      <w:rFonts w:asciiTheme="minorHAnsi" w:eastAsia="Times New Roman" w:hAnsiTheme="minorHAnsi" w:cstheme="minorHAnsi"/>
                      <w:color w:val="000000"/>
                      <w:sz w:val="16"/>
                      <w:szCs w:val="16"/>
                    </w:rPr>
                    <w:lastRenderedPageBreak/>
                    <w:t xml:space="preserve">percent. For forty eight </w:t>
                  </w:r>
                  <w:proofErr w:type="gramStart"/>
                  <w:r w:rsidRPr="008E4426">
                    <w:rPr>
                      <w:rFonts w:asciiTheme="minorHAnsi" w:eastAsia="Times New Roman" w:hAnsiTheme="minorHAnsi" w:cstheme="minorHAnsi"/>
                      <w:color w:val="000000"/>
                      <w:sz w:val="16"/>
                      <w:szCs w:val="16"/>
                    </w:rPr>
                    <w:t>hours  and</w:t>
                  </w:r>
                  <w:proofErr w:type="gramEnd"/>
                  <w:r w:rsidRPr="008E4426">
                    <w:rPr>
                      <w:rFonts w:asciiTheme="minorHAnsi" w:eastAsia="Times New Roman" w:hAnsiTheme="minorHAnsi" w:cstheme="minorHAnsi"/>
                      <w:color w:val="000000"/>
                      <w:sz w:val="16"/>
                      <w:szCs w:val="16"/>
                    </w:rPr>
                    <w:t xml:space="preserve"> seventy two hours[time between case reporting and investigation] it was around forty eight percent. So now on third quarter we reported above </w:t>
                  </w:r>
                  <w:proofErr w:type="gramStart"/>
                  <w:r w:rsidRPr="008E4426">
                    <w:rPr>
                      <w:rFonts w:asciiTheme="minorHAnsi" w:eastAsia="Times New Roman" w:hAnsiTheme="minorHAnsi" w:cstheme="minorHAnsi"/>
                      <w:color w:val="000000"/>
                      <w:sz w:val="16"/>
                      <w:szCs w:val="16"/>
                    </w:rPr>
                    <w:t>sixty five</w:t>
                  </w:r>
                  <w:proofErr w:type="gramEnd"/>
                  <w:r w:rsidRPr="008E4426">
                    <w:rPr>
                      <w:rFonts w:asciiTheme="minorHAnsi" w:eastAsia="Times New Roman" w:hAnsiTheme="minorHAnsi" w:cstheme="minorHAnsi"/>
                      <w:color w:val="000000"/>
                      <w:sz w:val="16"/>
                      <w:szCs w:val="16"/>
                    </w:rPr>
                    <w:t xml:space="preserve"> which was even above the target we set for this financial year. I think with them making the follow ups, having to go to the facilities to check on the stocks and everything has made them to also be involved in going there and investigating the cases because the thing was XXXX and XXXX [mentioning MMR-RMSS project staff] would be analysing and supporting with feedback e.g., saying no but the Primaquine the facility is this much and then we are not having the cases recorded. So </w:t>
                  </w:r>
                  <w:proofErr w:type="spellStart"/>
                  <w:r w:rsidRPr="008E4426">
                    <w:rPr>
                      <w:rFonts w:asciiTheme="minorHAnsi" w:eastAsia="Times New Roman" w:hAnsiTheme="minorHAnsi" w:cstheme="minorHAnsi"/>
                      <w:color w:val="000000"/>
                      <w:sz w:val="16"/>
                      <w:szCs w:val="16"/>
                    </w:rPr>
                    <w:t>ja</w:t>
                  </w:r>
                  <w:proofErr w:type="spellEnd"/>
                  <w:r w:rsidRPr="008E4426">
                    <w:rPr>
                      <w:rFonts w:asciiTheme="minorHAnsi" w:eastAsia="Times New Roman" w:hAnsiTheme="minorHAnsi" w:cstheme="minorHAnsi"/>
                      <w:color w:val="000000"/>
                      <w:sz w:val="16"/>
                      <w:szCs w:val="16"/>
                    </w:rPr>
                    <w:t xml:space="preserve"> I think our system improved with the Primaquine and the smart surveillance it has pushed </w:t>
                  </w:r>
                  <w:r w:rsidRPr="008E4426">
                    <w:rPr>
                      <w:rFonts w:asciiTheme="minorHAnsi" w:eastAsia="Times New Roman" w:hAnsiTheme="minorHAnsi" w:cstheme="minorHAnsi"/>
                      <w:color w:val="000000"/>
                      <w:sz w:val="16"/>
                      <w:szCs w:val="16"/>
                    </w:rPr>
                    <w:lastRenderedPageBreak/>
                    <w:t>them to go and investigate the cases within the required time.’ [Supervisory staff, KII02]</w:t>
                  </w:r>
                </w:p>
              </w:tc>
              <w:tc>
                <w:tcPr>
                  <w:tcW w:w="1194" w:type="dxa"/>
                  <w:shd w:val="clear" w:color="auto" w:fill="auto"/>
                  <w:hideMark/>
                </w:tcPr>
                <w:p w14:paraId="5B32B666" w14:textId="77777777" w:rsidR="00CE5BFE" w:rsidRPr="008E4426" w:rsidRDefault="00CE5BFE" w:rsidP="00587CFF">
                  <w:pPr>
                    <w:rPr>
                      <w:rFonts w:asciiTheme="minorHAnsi" w:eastAsia="Times New Roman" w:hAnsiTheme="minorHAnsi" w:cstheme="minorHAnsi"/>
                      <w:color w:val="000000"/>
                      <w:sz w:val="16"/>
                      <w:szCs w:val="16"/>
                    </w:rPr>
                  </w:pPr>
                  <w:r w:rsidRPr="008E4426">
                    <w:rPr>
                      <w:rFonts w:asciiTheme="minorHAnsi" w:eastAsia="Times New Roman" w:hAnsiTheme="minorHAnsi" w:cstheme="minorHAnsi"/>
                      <w:color w:val="000000"/>
                      <w:sz w:val="16"/>
                      <w:szCs w:val="16"/>
                    </w:rPr>
                    <w:lastRenderedPageBreak/>
                    <w:t xml:space="preserve">‘The ownership thing you know when you understand exactly what it is you are capturing and how important it is then it makes all the difference in terms of making sure it is on file because, how these things usually get presented it is a study and there is a lot of studies that we come across and it is always just another study that we do not know how it is going to end up, who it is going to benefit. So I think also that approach of you [referring to the study team] is excellent as we know what this </w:t>
                  </w:r>
                  <w:proofErr w:type="gramStart"/>
                  <w:r w:rsidRPr="008E4426">
                    <w:rPr>
                      <w:rFonts w:asciiTheme="minorHAnsi" w:eastAsia="Times New Roman" w:hAnsiTheme="minorHAnsi" w:cstheme="minorHAnsi"/>
                      <w:color w:val="000000"/>
                      <w:sz w:val="16"/>
                      <w:szCs w:val="16"/>
                    </w:rPr>
                    <w:t>is..</w:t>
                  </w:r>
                  <w:proofErr w:type="gramEnd"/>
                  <w:r w:rsidRPr="008E4426">
                    <w:rPr>
                      <w:rFonts w:asciiTheme="minorHAnsi" w:eastAsia="Times New Roman" w:hAnsiTheme="minorHAnsi" w:cstheme="minorHAnsi"/>
                      <w:color w:val="000000"/>
                      <w:sz w:val="16"/>
                      <w:szCs w:val="16"/>
                    </w:rPr>
                    <w:t xml:space="preserve"> and what this is for. This is how important it is, it is ours only. [Information officer, FG02]</w:t>
                  </w:r>
                </w:p>
              </w:tc>
            </w:tr>
          </w:tbl>
          <w:p w14:paraId="767464EE" w14:textId="77777777" w:rsidR="00CE5BFE" w:rsidRDefault="00CE5BFE" w:rsidP="00587CFF"/>
        </w:tc>
      </w:tr>
    </w:tbl>
    <w:p w14:paraId="690F5397" w14:textId="77777777" w:rsidR="00CE5BFE" w:rsidRDefault="00CE5BFE">
      <w:pPr>
        <w:sectPr w:rsidR="00CE5BFE" w:rsidSect="00CE5BFE">
          <w:type w:val="continuous"/>
          <w:pgSz w:w="11900" w:h="16840"/>
          <w:pgMar w:top="1440" w:right="1440" w:bottom="1440" w:left="1440" w:header="708" w:footer="708" w:gutter="0"/>
          <w:cols w:space="708"/>
          <w:docGrid w:linePitch="360"/>
        </w:sectPr>
      </w:pPr>
    </w:p>
    <w:p w14:paraId="2E2BC68A" w14:textId="77777777" w:rsidR="00BB45B6" w:rsidRDefault="00BB45B6"/>
    <w:sectPr w:rsidR="00BB45B6" w:rsidSect="00CE5BFE">
      <w:type w:val="continuous"/>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C61"/>
    <w:rsid w:val="00001862"/>
    <w:rsid w:val="00023712"/>
    <w:rsid w:val="00030B20"/>
    <w:rsid w:val="00034867"/>
    <w:rsid w:val="000362A6"/>
    <w:rsid w:val="000477B4"/>
    <w:rsid w:val="000563DE"/>
    <w:rsid w:val="00061239"/>
    <w:rsid w:val="000652AF"/>
    <w:rsid w:val="00065550"/>
    <w:rsid w:val="000668CC"/>
    <w:rsid w:val="0007168B"/>
    <w:rsid w:val="00073E3F"/>
    <w:rsid w:val="00077B19"/>
    <w:rsid w:val="0008024B"/>
    <w:rsid w:val="00081A96"/>
    <w:rsid w:val="00082DF0"/>
    <w:rsid w:val="00086D83"/>
    <w:rsid w:val="000968DC"/>
    <w:rsid w:val="00096F7B"/>
    <w:rsid w:val="000A1110"/>
    <w:rsid w:val="000A15E0"/>
    <w:rsid w:val="000A59C7"/>
    <w:rsid w:val="000A5C26"/>
    <w:rsid w:val="000B3EB4"/>
    <w:rsid w:val="000B5892"/>
    <w:rsid w:val="000C0147"/>
    <w:rsid w:val="000C1E55"/>
    <w:rsid w:val="000C4D6E"/>
    <w:rsid w:val="000C4FB0"/>
    <w:rsid w:val="000D254B"/>
    <w:rsid w:val="000D427D"/>
    <w:rsid w:val="000E2450"/>
    <w:rsid w:val="000E4070"/>
    <w:rsid w:val="000E4C75"/>
    <w:rsid w:val="000E5536"/>
    <w:rsid w:val="000F08C2"/>
    <w:rsid w:val="000F2A14"/>
    <w:rsid w:val="000F530D"/>
    <w:rsid w:val="00105AA3"/>
    <w:rsid w:val="00106780"/>
    <w:rsid w:val="0012179A"/>
    <w:rsid w:val="00121C52"/>
    <w:rsid w:val="001311EF"/>
    <w:rsid w:val="00150199"/>
    <w:rsid w:val="00156199"/>
    <w:rsid w:val="00160CD7"/>
    <w:rsid w:val="001620CA"/>
    <w:rsid w:val="001633E9"/>
    <w:rsid w:val="001743D5"/>
    <w:rsid w:val="00174CC8"/>
    <w:rsid w:val="00175E02"/>
    <w:rsid w:val="001818FC"/>
    <w:rsid w:val="001830C7"/>
    <w:rsid w:val="00191600"/>
    <w:rsid w:val="001949FA"/>
    <w:rsid w:val="001951C7"/>
    <w:rsid w:val="001B033C"/>
    <w:rsid w:val="001B4C4B"/>
    <w:rsid w:val="001B70FB"/>
    <w:rsid w:val="001C6C61"/>
    <w:rsid w:val="001C73DA"/>
    <w:rsid w:val="001D0E8F"/>
    <w:rsid w:val="001D2071"/>
    <w:rsid w:val="001D53AA"/>
    <w:rsid w:val="001D5F79"/>
    <w:rsid w:val="001F6D72"/>
    <w:rsid w:val="001F7383"/>
    <w:rsid w:val="001F7BF3"/>
    <w:rsid w:val="00202E87"/>
    <w:rsid w:val="00202EA5"/>
    <w:rsid w:val="002034D5"/>
    <w:rsid w:val="002034E9"/>
    <w:rsid w:val="00211512"/>
    <w:rsid w:val="00214935"/>
    <w:rsid w:val="00214A61"/>
    <w:rsid w:val="0021515C"/>
    <w:rsid w:val="002162CA"/>
    <w:rsid w:val="00236A03"/>
    <w:rsid w:val="002402CA"/>
    <w:rsid w:val="00241E61"/>
    <w:rsid w:val="00247BFF"/>
    <w:rsid w:val="00250E28"/>
    <w:rsid w:val="00256542"/>
    <w:rsid w:val="0025792C"/>
    <w:rsid w:val="0026208A"/>
    <w:rsid w:val="0026293C"/>
    <w:rsid w:val="002632B8"/>
    <w:rsid w:val="002661C0"/>
    <w:rsid w:val="00273B56"/>
    <w:rsid w:val="00274BCF"/>
    <w:rsid w:val="00274FC1"/>
    <w:rsid w:val="002918EA"/>
    <w:rsid w:val="002923B4"/>
    <w:rsid w:val="002938E1"/>
    <w:rsid w:val="00297931"/>
    <w:rsid w:val="002A0210"/>
    <w:rsid w:val="002A1735"/>
    <w:rsid w:val="002A5E1F"/>
    <w:rsid w:val="002B1194"/>
    <w:rsid w:val="002B38D1"/>
    <w:rsid w:val="002B4711"/>
    <w:rsid w:val="002C5895"/>
    <w:rsid w:val="002D285B"/>
    <w:rsid w:val="002D448B"/>
    <w:rsid w:val="002E3A22"/>
    <w:rsid w:val="003018CF"/>
    <w:rsid w:val="0030467A"/>
    <w:rsid w:val="0031194D"/>
    <w:rsid w:val="003168E0"/>
    <w:rsid w:val="00316D04"/>
    <w:rsid w:val="003232CC"/>
    <w:rsid w:val="0033384E"/>
    <w:rsid w:val="00333F96"/>
    <w:rsid w:val="00334BFA"/>
    <w:rsid w:val="00337240"/>
    <w:rsid w:val="003406A4"/>
    <w:rsid w:val="00343CBC"/>
    <w:rsid w:val="00354E84"/>
    <w:rsid w:val="0035674E"/>
    <w:rsid w:val="00363EB5"/>
    <w:rsid w:val="00377B3B"/>
    <w:rsid w:val="00377D4E"/>
    <w:rsid w:val="00380E20"/>
    <w:rsid w:val="00382161"/>
    <w:rsid w:val="00383C4F"/>
    <w:rsid w:val="00393014"/>
    <w:rsid w:val="00394FE1"/>
    <w:rsid w:val="00395427"/>
    <w:rsid w:val="00395A22"/>
    <w:rsid w:val="00395D33"/>
    <w:rsid w:val="003A33C3"/>
    <w:rsid w:val="003B1AD3"/>
    <w:rsid w:val="003B7318"/>
    <w:rsid w:val="003B7EFB"/>
    <w:rsid w:val="003C18D8"/>
    <w:rsid w:val="003C4CD9"/>
    <w:rsid w:val="003D1A5D"/>
    <w:rsid w:val="003D770B"/>
    <w:rsid w:val="003E001F"/>
    <w:rsid w:val="003E2676"/>
    <w:rsid w:val="003E2C5D"/>
    <w:rsid w:val="003E63C0"/>
    <w:rsid w:val="003E7A93"/>
    <w:rsid w:val="00402DBA"/>
    <w:rsid w:val="00411D02"/>
    <w:rsid w:val="00414D9A"/>
    <w:rsid w:val="004221C6"/>
    <w:rsid w:val="00423499"/>
    <w:rsid w:val="00426D9F"/>
    <w:rsid w:val="00432B2B"/>
    <w:rsid w:val="004361F1"/>
    <w:rsid w:val="00441E76"/>
    <w:rsid w:val="004446FE"/>
    <w:rsid w:val="00450010"/>
    <w:rsid w:val="004535B7"/>
    <w:rsid w:val="004578DF"/>
    <w:rsid w:val="00460403"/>
    <w:rsid w:val="00462D97"/>
    <w:rsid w:val="00463DF7"/>
    <w:rsid w:val="0046421D"/>
    <w:rsid w:val="004716F7"/>
    <w:rsid w:val="0047290D"/>
    <w:rsid w:val="00477CB4"/>
    <w:rsid w:val="00480CB4"/>
    <w:rsid w:val="004815DB"/>
    <w:rsid w:val="00492028"/>
    <w:rsid w:val="00492175"/>
    <w:rsid w:val="004B2E29"/>
    <w:rsid w:val="004D110A"/>
    <w:rsid w:val="004D5423"/>
    <w:rsid w:val="004D734B"/>
    <w:rsid w:val="004E38BB"/>
    <w:rsid w:val="0050220F"/>
    <w:rsid w:val="00505525"/>
    <w:rsid w:val="00506FBE"/>
    <w:rsid w:val="00507C4D"/>
    <w:rsid w:val="0051047C"/>
    <w:rsid w:val="005109D7"/>
    <w:rsid w:val="00517E1D"/>
    <w:rsid w:val="00521C17"/>
    <w:rsid w:val="00535464"/>
    <w:rsid w:val="00541219"/>
    <w:rsid w:val="00551B51"/>
    <w:rsid w:val="00560842"/>
    <w:rsid w:val="00561277"/>
    <w:rsid w:val="0056504D"/>
    <w:rsid w:val="00566AAB"/>
    <w:rsid w:val="00571E59"/>
    <w:rsid w:val="005736C3"/>
    <w:rsid w:val="00575B1F"/>
    <w:rsid w:val="00576126"/>
    <w:rsid w:val="005846C7"/>
    <w:rsid w:val="005847F5"/>
    <w:rsid w:val="00585361"/>
    <w:rsid w:val="005916DF"/>
    <w:rsid w:val="005925A0"/>
    <w:rsid w:val="0059411D"/>
    <w:rsid w:val="00594EED"/>
    <w:rsid w:val="005957DD"/>
    <w:rsid w:val="00596EC7"/>
    <w:rsid w:val="005A4BD6"/>
    <w:rsid w:val="005A64FD"/>
    <w:rsid w:val="005A6B8F"/>
    <w:rsid w:val="005B272A"/>
    <w:rsid w:val="005B5305"/>
    <w:rsid w:val="005C00CC"/>
    <w:rsid w:val="005D15B7"/>
    <w:rsid w:val="005D4061"/>
    <w:rsid w:val="005D57B8"/>
    <w:rsid w:val="005E2DB1"/>
    <w:rsid w:val="005E3553"/>
    <w:rsid w:val="005E70D4"/>
    <w:rsid w:val="005F032C"/>
    <w:rsid w:val="005F1943"/>
    <w:rsid w:val="00603BAC"/>
    <w:rsid w:val="00616445"/>
    <w:rsid w:val="0062727D"/>
    <w:rsid w:val="00627900"/>
    <w:rsid w:val="00630470"/>
    <w:rsid w:val="00652A4C"/>
    <w:rsid w:val="006534EC"/>
    <w:rsid w:val="00666918"/>
    <w:rsid w:val="00683FD0"/>
    <w:rsid w:val="00685620"/>
    <w:rsid w:val="00687C82"/>
    <w:rsid w:val="006902CB"/>
    <w:rsid w:val="006A0B39"/>
    <w:rsid w:val="006B0E7C"/>
    <w:rsid w:val="006B663E"/>
    <w:rsid w:val="006D68EB"/>
    <w:rsid w:val="006D6A56"/>
    <w:rsid w:val="006D7B68"/>
    <w:rsid w:val="006E213C"/>
    <w:rsid w:val="006E38BF"/>
    <w:rsid w:val="006E5645"/>
    <w:rsid w:val="006F129C"/>
    <w:rsid w:val="006F4195"/>
    <w:rsid w:val="006F5D23"/>
    <w:rsid w:val="0070017B"/>
    <w:rsid w:val="007033BD"/>
    <w:rsid w:val="00703CE8"/>
    <w:rsid w:val="007077A1"/>
    <w:rsid w:val="007104C6"/>
    <w:rsid w:val="007178C5"/>
    <w:rsid w:val="0072297F"/>
    <w:rsid w:val="00724FCD"/>
    <w:rsid w:val="007358C2"/>
    <w:rsid w:val="0073687A"/>
    <w:rsid w:val="00744BB9"/>
    <w:rsid w:val="00745016"/>
    <w:rsid w:val="0075273A"/>
    <w:rsid w:val="0076351B"/>
    <w:rsid w:val="00766A48"/>
    <w:rsid w:val="00773916"/>
    <w:rsid w:val="00786793"/>
    <w:rsid w:val="007873E2"/>
    <w:rsid w:val="00787D9E"/>
    <w:rsid w:val="007916F5"/>
    <w:rsid w:val="007921A2"/>
    <w:rsid w:val="007A4F07"/>
    <w:rsid w:val="007A69B0"/>
    <w:rsid w:val="007A7AB1"/>
    <w:rsid w:val="007B2191"/>
    <w:rsid w:val="007D5C4F"/>
    <w:rsid w:val="007D6889"/>
    <w:rsid w:val="007D765F"/>
    <w:rsid w:val="007E158F"/>
    <w:rsid w:val="007E27B2"/>
    <w:rsid w:val="007E7EF8"/>
    <w:rsid w:val="007F0E11"/>
    <w:rsid w:val="007F4330"/>
    <w:rsid w:val="007F63E9"/>
    <w:rsid w:val="007F788B"/>
    <w:rsid w:val="00801DD6"/>
    <w:rsid w:val="0080395A"/>
    <w:rsid w:val="00815CC9"/>
    <w:rsid w:val="008509DD"/>
    <w:rsid w:val="00852D59"/>
    <w:rsid w:val="008571DD"/>
    <w:rsid w:val="008655ED"/>
    <w:rsid w:val="008708B4"/>
    <w:rsid w:val="008719F4"/>
    <w:rsid w:val="00875482"/>
    <w:rsid w:val="00877667"/>
    <w:rsid w:val="0088013A"/>
    <w:rsid w:val="00880D6F"/>
    <w:rsid w:val="0088507B"/>
    <w:rsid w:val="00885BB0"/>
    <w:rsid w:val="00886C74"/>
    <w:rsid w:val="00894918"/>
    <w:rsid w:val="008949DD"/>
    <w:rsid w:val="00896BB3"/>
    <w:rsid w:val="008A1E58"/>
    <w:rsid w:val="008A26B9"/>
    <w:rsid w:val="008A4217"/>
    <w:rsid w:val="008A69A1"/>
    <w:rsid w:val="008B2173"/>
    <w:rsid w:val="008B236B"/>
    <w:rsid w:val="008B2549"/>
    <w:rsid w:val="008B6C4E"/>
    <w:rsid w:val="008C0A6F"/>
    <w:rsid w:val="008C7CE3"/>
    <w:rsid w:val="008D351E"/>
    <w:rsid w:val="008E0FD3"/>
    <w:rsid w:val="008E2B4A"/>
    <w:rsid w:val="008E2C88"/>
    <w:rsid w:val="008E69B2"/>
    <w:rsid w:val="008F4DD4"/>
    <w:rsid w:val="00911AD0"/>
    <w:rsid w:val="00913780"/>
    <w:rsid w:val="00921561"/>
    <w:rsid w:val="009267C7"/>
    <w:rsid w:val="009269AB"/>
    <w:rsid w:val="00926EA0"/>
    <w:rsid w:val="00932C64"/>
    <w:rsid w:val="00936929"/>
    <w:rsid w:val="00936A62"/>
    <w:rsid w:val="00937284"/>
    <w:rsid w:val="00942D14"/>
    <w:rsid w:val="0095054D"/>
    <w:rsid w:val="00950A1B"/>
    <w:rsid w:val="009579FC"/>
    <w:rsid w:val="00963139"/>
    <w:rsid w:val="0097659D"/>
    <w:rsid w:val="0098124E"/>
    <w:rsid w:val="009813CE"/>
    <w:rsid w:val="009818F5"/>
    <w:rsid w:val="00983AF8"/>
    <w:rsid w:val="00984A49"/>
    <w:rsid w:val="00985720"/>
    <w:rsid w:val="00986581"/>
    <w:rsid w:val="009A1D82"/>
    <w:rsid w:val="009A44C8"/>
    <w:rsid w:val="009A4674"/>
    <w:rsid w:val="009A6F2E"/>
    <w:rsid w:val="009B3922"/>
    <w:rsid w:val="009B5867"/>
    <w:rsid w:val="009C6C85"/>
    <w:rsid w:val="009D04EF"/>
    <w:rsid w:val="009D1EE5"/>
    <w:rsid w:val="009D7704"/>
    <w:rsid w:val="009E092B"/>
    <w:rsid w:val="009E0BDC"/>
    <w:rsid w:val="009F0C65"/>
    <w:rsid w:val="009F134F"/>
    <w:rsid w:val="009F20E1"/>
    <w:rsid w:val="00A124F5"/>
    <w:rsid w:val="00A141DD"/>
    <w:rsid w:val="00A1429C"/>
    <w:rsid w:val="00A211C7"/>
    <w:rsid w:val="00A267B5"/>
    <w:rsid w:val="00A26CC3"/>
    <w:rsid w:val="00A37FEF"/>
    <w:rsid w:val="00A4467A"/>
    <w:rsid w:val="00A73258"/>
    <w:rsid w:val="00A74795"/>
    <w:rsid w:val="00A82F65"/>
    <w:rsid w:val="00AA0807"/>
    <w:rsid w:val="00AA193A"/>
    <w:rsid w:val="00AA2D59"/>
    <w:rsid w:val="00AA786F"/>
    <w:rsid w:val="00AB2150"/>
    <w:rsid w:val="00AB2974"/>
    <w:rsid w:val="00AB4689"/>
    <w:rsid w:val="00AB59F7"/>
    <w:rsid w:val="00AB6150"/>
    <w:rsid w:val="00AB6272"/>
    <w:rsid w:val="00AB7ECD"/>
    <w:rsid w:val="00AC393D"/>
    <w:rsid w:val="00AD33D7"/>
    <w:rsid w:val="00AD76F0"/>
    <w:rsid w:val="00AE381D"/>
    <w:rsid w:val="00AE75DB"/>
    <w:rsid w:val="00AF0DBD"/>
    <w:rsid w:val="00AF31A4"/>
    <w:rsid w:val="00B01675"/>
    <w:rsid w:val="00B01E86"/>
    <w:rsid w:val="00B0489B"/>
    <w:rsid w:val="00B112D6"/>
    <w:rsid w:val="00B13ACD"/>
    <w:rsid w:val="00B24B24"/>
    <w:rsid w:val="00B2589C"/>
    <w:rsid w:val="00B25E30"/>
    <w:rsid w:val="00B4016E"/>
    <w:rsid w:val="00B41263"/>
    <w:rsid w:val="00B50A37"/>
    <w:rsid w:val="00B645D2"/>
    <w:rsid w:val="00B648D8"/>
    <w:rsid w:val="00B80A37"/>
    <w:rsid w:val="00B82E3E"/>
    <w:rsid w:val="00B914CB"/>
    <w:rsid w:val="00B93660"/>
    <w:rsid w:val="00B97BBF"/>
    <w:rsid w:val="00BB45B6"/>
    <w:rsid w:val="00BB4E32"/>
    <w:rsid w:val="00BC0902"/>
    <w:rsid w:val="00BC40D8"/>
    <w:rsid w:val="00BC6B31"/>
    <w:rsid w:val="00BD7151"/>
    <w:rsid w:val="00BD7553"/>
    <w:rsid w:val="00BE0153"/>
    <w:rsid w:val="00BE10A1"/>
    <w:rsid w:val="00BE4877"/>
    <w:rsid w:val="00BF2161"/>
    <w:rsid w:val="00BF3B3A"/>
    <w:rsid w:val="00C11517"/>
    <w:rsid w:val="00C2552F"/>
    <w:rsid w:val="00C32781"/>
    <w:rsid w:val="00C34A47"/>
    <w:rsid w:val="00C40D25"/>
    <w:rsid w:val="00C44CA7"/>
    <w:rsid w:val="00C44CFB"/>
    <w:rsid w:val="00C50FD0"/>
    <w:rsid w:val="00C51A57"/>
    <w:rsid w:val="00C60DD0"/>
    <w:rsid w:val="00C6183A"/>
    <w:rsid w:val="00C6316E"/>
    <w:rsid w:val="00C70B84"/>
    <w:rsid w:val="00C75BBC"/>
    <w:rsid w:val="00C77158"/>
    <w:rsid w:val="00C8358E"/>
    <w:rsid w:val="00C8480B"/>
    <w:rsid w:val="00C87F24"/>
    <w:rsid w:val="00C9109F"/>
    <w:rsid w:val="00C94769"/>
    <w:rsid w:val="00CB2D2D"/>
    <w:rsid w:val="00CB54B3"/>
    <w:rsid w:val="00CC47F3"/>
    <w:rsid w:val="00CC73EB"/>
    <w:rsid w:val="00CD6BDB"/>
    <w:rsid w:val="00CE258C"/>
    <w:rsid w:val="00CE4DFF"/>
    <w:rsid w:val="00CE562E"/>
    <w:rsid w:val="00CE5BFE"/>
    <w:rsid w:val="00CF2DF2"/>
    <w:rsid w:val="00CF4C29"/>
    <w:rsid w:val="00CF7439"/>
    <w:rsid w:val="00D0079D"/>
    <w:rsid w:val="00D11719"/>
    <w:rsid w:val="00D12FED"/>
    <w:rsid w:val="00D20BCB"/>
    <w:rsid w:val="00D26905"/>
    <w:rsid w:val="00D33149"/>
    <w:rsid w:val="00D35CB6"/>
    <w:rsid w:val="00D40E2A"/>
    <w:rsid w:val="00D44A55"/>
    <w:rsid w:val="00D46595"/>
    <w:rsid w:val="00D52D0E"/>
    <w:rsid w:val="00D6372E"/>
    <w:rsid w:val="00D745FE"/>
    <w:rsid w:val="00D91DBC"/>
    <w:rsid w:val="00D92206"/>
    <w:rsid w:val="00D93FFE"/>
    <w:rsid w:val="00D966D6"/>
    <w:rsid w:val="00DB53F4"/>
    <w:rsid w:val="00DC1AC9"/>
    <w:rsid w:val="00DC4BAB"/>
    <w:rsid w:val="00DC5113"/>
    <w:rsid w:val="00DC676B"/>
    <w:rsid w:val="00DD057A"/>
    <w:rsid w:val="00DE076E"/>
    <w:rsid w:val="00DE2DCC"/>
    <w:rsid w:val="00DE30EC"/>
    <w:rsid w:val="00DE552E"/>
    <w:rsid w:val="00DF2215"/>
    <w:rsid w:val="00DF69D2"/>
    <w:rsid w:val="00E00792"/>
    <w:rsid w:val="00E0159D"/>
    <w:rsid w:val="00E07EB8"/>
    <w:rsid w:val="00E21F06"/>
    <w:rsid w:val="00E21F51"/>
    <w:rsid w:val="00E23765"/>
    <w:rsid w:val="00E24462"/>
    <w:rsid w:val="00E27C6C"/>
    <w:rsid w:val="00E3212B"/>
    <w:rsid w:val="00E4019F"/>
    <w:rsid w:val="00E41ED9"/>
    <w:rsid w:val="00E41F63"/>
    <w:rsid w:val="00E42FD2"/>
    <w:rsid w:val="00E51891"/>
    <w:rsid w:val="00E70CF2"/>
    <w:rsid w:val="00E80190"/>
    <w:rsid w:val="00E81B4C"/>
    <w:rsid w:val="00E8204E"/>
    <w:rsid w:val="00E822CA"/>
    <w:rsid w:val="00E823F9"/>
    <w:rsid w:val="00E958D9"/>
    <w:rsid w:val="00E97334"/>
    <w:rsid w:val="00EC36AD"/>
    <w:rsid w:val="00EC7C7B"/>
    <w:rsid w:val="00EE2D9E"/>
    <w:rsid w:val="00EF1B14"/>
    <w:rsid w:val="00EF4A81"/>
    <w:rsid w:val="00EF66B0"/>
    <w:rsid w:val="00F26D2A"/>
    <w:rsid w:val="00F31FA7"/>
    <w:rsid w:val="00F433BC"/>
    <w:rsid w:val="00F50FC7"/>
    <w:rsid w:val="00F51D4D"/>
    <w:rsid w:val="00F539D2"/>
    <w:rsid w:val="00F61BA9"/>
    <w:rsid w:val="00F62D03"/>
    <w:rsid w:val="00F661E0"/>
    <w:rsid w:val="00F746DB"/>
    <w:rsid w:val="00F768F0"/>
    <w:rsid w:val="00F84105"/>
    <w:rsid w:val="00F841D7"/>
    <w:rsid w:val="00F85280"/>
    <w:rsid w:val="00F94B2A"/>
    <w:rsid w:val="00F9525F"/>
    <w:rsid w:val="00F95835"/>
    <w:rsid w:val="00FA022D"/>
    <w:rsid w:val="00FA1681"/>
    <w:rsid w:val="00FA63AD"/>
    <w:rsid w:val="00FA71D3"/>
    <w:rsid w:val="00FB49E3"/>
    <w:rsid w:val="00FB68C3"/>
    <w:rsid w:val="00FC2A08"/>
    <w:rsid w:val="00FC63B9"/>
    <w:rsid w:val="00FC6914"/>
    <w:rsid w:val="00FD10A2"/>
    <w:rsid w:val="00FD2CAD"/>
    <w:rsid w:val="00FD4964"/>
    <w:rsid w:val="00FE10F7"/>
    <w:rsid w:val="00FE1C26"/>
    <w:rsid w:val="00FE2E7E"/>
    <w:rsid w:val="00FF334B"/>
    <w:rsid w:val="00FF582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8DDD2E"/>
  <w15:chartTrackingRefBased/>
  <w15:docId w15:val="{8887D97C-92FD-1344-8747-0EBA99DBD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5BFE"/>
    <w:pPr>
      <w:autoSpaceDE w:val="0"/>
      <w:autoSpaceDN w:val="0"/>
      <w:adjustRightInd w:val="0"/>
    </w:pPr>
    <w:rPr>
      <w:rFonts w:ascii="Times New Roman" w:hAnsi="Times New Roman" w:cs="Times New Roman"/>
      <w:kern w:val="0"/>
      <w:sz w:val="20"/>
      <w:szCs w:val="20"/>
      <w:lang w:val="en-GB"/>
      <w14:ligatures w14:val="none"/>
    </w:rPr>
  </w:style>
  <w:style w:type="paragraph" w:styleId="Heading1">
    <w:name w:val="heading 1"/>
    <w:basedOn w:val="Normal"/>
    <w:next w:val="Normal"/>
    <w:link w:val="Heading1Char"/>
    <w:uiPriority w:val="9"/>
    <w:qFormat/>
    <w:rsid w:val="001C6C6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C6C6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C6C6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C6C6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C6C6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C6C6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C6C6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C6C6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C6C6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6C6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C6C6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C6C6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C6C6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C6C6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C6C6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C6C6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C6C6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C6C61"/>
    <w:rPr>
      <w:rFonts w:eastAsiaTheme="majorEastAsia" w:cstheme="majorBidi"/>
      <w:color w:val="272727" w:themeColor="text1" w:themeTint="D8"/>
    </w:rPr>
  </w:style>
  <w:style w:type="paragraph" w:styleId="Title">
    <w:name w:val="Title"/>
    <w:basedOn w:val="Normal"/>
    <w:next w:val="Normal"/>
    <w:link w:val="TitleChar"/>
    <w:uiPriority w:val="10"/>
    <w:qFormat/>
    <w:rsid w:val="001C6C6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6C6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C6C6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C6C6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C6C6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C6C61"/>
    <w:rPr>
      <w:i/>
      <w:iCs/>
      <w:color w:val="404040" w:themeColor="text1" w:themeTint="BF"/>
    </w:rPr>
  </w:style>
  <w:style w:type="paragraph" w:styleId="ListParagraph">
    <w:name w:val="List Paragraph"/>
    <w:basedOn w:val="Normal"/>
    <w:uiPriority w:val="34"/>
    <w:qFormat/>
    <w:rsid w:val="001C6C61"/>
    <w:pPr>
      <w:ind w:left="720"/>
      <w:contextualSpacing/>
    </w:pPr>
  </w:style>
  <w:style w:type="character" w:styleId="IntenseEmphasis">
    <w:name w:val="Intense Emphasis"/>
    <w:basedOn w:val="DefaultParagraphFont"/>
    <w:uiPriority w:val="21"/>
    <w:qFormat/>
    <w:rsid w:val="001C6C61"/>
    <w:rPr>
      <w:i/>
      <w:iCs/>
      <w:color w:val="0F4761" w:themeColor="accent1" w:themeShade="BF"/>
    </w:rPr>
  </w:style>
  <w:style w:type="paragraph" w:styleId="IntenseQuote">
    <w:name w:val="Intense Quote"/>
    <w:basedOn w:val="Normal"/>
    <w:next w:val="Normal"/>
    <w:link w:val="IntenseQuoteChar"/>
    <w:uiPriority w:val="30"/>
    <w:qFormat/>
    <w:rsid w:val="001C6C6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C6C61"/>
    <w:rPr>
      <w:i/>
      <w:iCs/>
      <w:color w:val="0F4761" w:themeColor="accent1" w:themeShade="BF"/>
    </w:rPr>
  </w:style>
  <w:style w:type="character" w:styleId="IntenseReference">
    <w:name w:val="Intense Reference"/>
    <w:basedOn w:val="DefaultParagraphFont"/>
    <w:uiPriority w:val="32"/>
    <w:qFormat/>
    <w:rsid w:val="001C6C61"/>
    <w:rPr>
      <w:b/>
      <w:bCs/>
      <w:smallCaps/>
      <w:color w:val="0F4761" w:themeColor="accent1" w:themeShade="BF"/>
      <w:spacing w:val="5"/>
    </w:rPr>
  </w:style>
  <w:style w:type="table" w:styleId="TableGrid">
    <w:name w:val="Table Grid"/>
    <w:basedOn w:val="TableNormal"/>
    <w:uiPriority w:val="39"/>
    <w:rsid w:val="00CE5BFE"/>
    <w:rPr>
      <w:kern w:val="0"/>
      <w:sz w:val="22"/>
      <w:szCs w:val="22"/>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E5BFE"/>
    <w:rPr>
      <w:kern w:val="0"/>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1473</Words>
  <Characters>8397</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Mrs. HJ Lotter</dc:creator>
  <cp:keywords/>
  <dc:description/>
  <cp:lastModifiedBy>Mrs. HJ Lotter</cp:lastModifiedBy>
  <cp:revision>2</cp:revision>
  <dcterms:created xsi:type="dcterms:W3CDTF">2025-10-24T11:52:00Z</dcterms:created>
  <dcterms:modified xsi:type="dcterms:W3CDTF">2025-10-24T11:52:00Z</dcterms:modified>
</cp:coreProperties>
</file>