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C838E9" w14:textId="77777777" w:rsidR="000D3080" w:rsidRDefault="000D3080" w:rsidP="00C91D79">
      <w:pPr>
        <w:spacing w:line="240" w:lineRule="auto"/>
        <w:jc w:val="both"/>
        <w:rPr>
          <w:rFonts w:ascii="Times New Roman" w:hAnsi="Times New Roman" w:cs="Times New Roman"/>
          <w:b/>
          <w:bCs/>
          <w:sz w:val="28"/>
          <w:szCs w:val="28"/>
        </w:rPr>
      </w:pPr>
      <w:r>
        <w:rPr>
          <w:rFonts w:ascii="Times New Roman" w:hAnsi="Times New Roman" w:cs="Times New Roman"/>
          <w:b/>
          <w:bCs/>
          <w:sz w:val="28"/>
          <w:szCs w:val="28"/>
        </w:rPr>
        <w:t>Supplemental Materials</w:t>
      </w:r>
    </w:p>
    <w:p w14:paraId="71125361" w14:textId="12382CCE" w:rsidR="00EF0818" w:rsidRDefault="008B2412" w:rsidP="00ED4A34">
      <w:pPr>
        <w:suppressAutoHyphens w:val="0"/>
        <w:spacing w:line="240" w:lineRule="auto"/>
        <w:ind w:left="-284" w:firstLine="142"/>
        <w:rPr>
          <w:rFonts w:ascii="Times New Roman" w:hAnsi="Times New Roman" w:cs="Times New Roman"/>
          <w:b/>
          <w:bCs/>
        </w:rPr>
      </w:pPr>
      <w:r>
        <w:rPr>
          <w:noProof/>
        </w:rPr>
        <w:drawing>
          <wp:inline distT="0" distB="0" distL="0" distR="0" wp14:anchorId="0C9A44DD" wp14:editId="54BBBA89">
            <wp:extent cx="5760720" cy="4461510"/>
            <wp:effectExtent l="0" t="0" r="0" b="0"/>
            <wp:docPr id="814761327" name="Picture 1" descr="A group of graphs showing different colo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761327" name="Picture 1" descr="A group of graphs showing different colors&#10;&#10;Description automatically generated with medium confidenc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4461510"/>
                    </a:xfrm>
                    <a:prstGeom prst="rect">
                      <a:avLst/>
                    </a:prstGeom>
                    <a:noFill/>
                    <a:ln>
                      <a:noFill/>
                    </a:ln>
                  </pic:spPr>
                </pic:pic>
              </a:graphicData>
            </a:graphic>
          </wp:inline>
        </w:drawing>
      </w:r>
    </w:p>
    <w:p w14:paraId="671594CA" w14:textId="63305420" w:rsidR="00EF0818" w:rsidRDefault="00EF0818" w:rsidP="00F50958">
      <w:pPr>
        <w:spacing w:after="0" w:line="240" w:lineRule="auto"/>
        <w:jc w:val="both"/>
        <w:rPr>
          <w:rFonts w:ascii="Times New Roman" w:hAnsi="Times New Roman" w:cs="Times New Roman"/>
        </w:rPr>
      </w:pPr>
      <w:r>
        <w:rPr>
          <w:rFonts w:ascii="Times New Roman" w:hAnsi="Times New Roman" w:cs="Times New Roman"/>
          <w:b/>
          <w:bCs/>
        </w:rPr>
        <w:t xml:space="preserve">Figure S1. </w:t>
      </w:r>
      <w:r w:rsidRPr="000173F9">
        <w:rPr>
          <w:rFonts w:ascii="Times New Roman" w:hAnsi="Times New Roman" w:cs="Times New Roman"/>
        </w:rPr>
        <w:t>Spectro</w:t>
      </w:r>
      <w:r>
        <w:rPr>
          <w:rFonts w:ascii="Times New Roman" w:hAnsi="Times New Roman" w:cs="Times New Roman"/>
        </w:rPr>
        <w:t>grams of examples of each of the call-types</w:t>
      </w:r>
      <w:r w:rsidR="00BD59BA">
        <w:rPr>
          <w:rFonts w:ascii="Times New Roman" w:hAnsi="Times New Roman" w:cs="Times New Roman"/>
        </w:rPr>
        <w:t xml:space="preserve"> found in submissive calling bouts</w:t>
      </w:r>
      <w:r>
        <w:rPr>
          <w:rFonts w:ascii="Times New Roman" w:hAnsi="Times New Roman" w:cs="Times New Roman"/>
        </w:rPr>
        <w:t>.</w:t>
      </w:r>
      <w:r w:rsidR="00262143">
        <w:rPr>
          <w:rFonts w:ascii="Times New Roman" w:hAnsi="Times New Roman" w:cs="Times New Roman"/>
        </w:rPr>
        <w:t xml:space="preserve"> </w:t>
      </w:r>
      <w:r w:rsidR="00262143" w:rsidRPr="00262143">
        <w:rPr>
          <w:rFonts w:ascii="Times New Roman" w:hAnsi="Times New Roman" w:cs="Times New Roman"/>
        </w:rPr>
        <w:t>Spectrograms produced using an FFT size of 1024 points, Hanning window and 50% window overlap in the R package ‘</w:t>
      </w:r>
      <w:proofErr w:type="spellStart"/>
      <w:r w:rsidR="00262143" w:rsidRPr="00262143">
        <w:rPr>
          <w:rFonts w:ascii="Times New Roman" w:hAnsi="Times New Roman" w:cs="Times New Roman"/>
        </w:rPr>
        <w:t>seewave</w:t>
      </w:r>
      <w:proofErr w:type="spellEnd"/>
      <w:proofErr w:type="gramStart"/>
      <w:r w:rsidR="00262143" w:rsidRPr="00262143">
        <w:rPr>
          <w:rFonts w:ascii="Times New Roman" w:hAnsi="Times New Roman" w:cs="Times New Roman"/>
        </w:rPr>
        <w:t>’[</w:t>
      </w:r>
      <w:proofErr w:type="gramEnd"/>
      <w:r w:rsidR="00262143" w:rsidRPr="00262143">
        <w:rPr>
          <w:rFonts w:ascii="Times New Roman" w:hAnsi="Times New Roman" w:cs="Times New Roman"/>
        </w:rPr>
        <w:t>32].</w:t>
      </w:r>
      <w:r w:rsidR="001932B9">
        <w:rPr>
          <w:rFonts w:ascii="Times New Roman" w:hAnsi="Times New Roman" w:cs="Times New Roman"/>
        </w:rPr>
        <w:t xml:space="preserve"> Medians and standard durations refer to all calls of that type.</w:t>
      </w:r>
    </w:p>
    <w:p w14:paraId="27172DBA" w14:textId="77777777" w:rsidR="00F84DDC" w:rsidRDefault="00F84DDC" w:rsidP="00F50958">
      <w:pPr>
        <w:spacing w:after="0" w:line="240" w:lineRule="auto"/>
        <w:jc w:val="both"/>
        <w:rPr>
          <w:rFonts w:ascii="Times New Roman" w:hAnsi="Times New Roman" w:cs="Times New Roman"/>
        </w:rPr>
      </w:pPr>
    </w:p>
    <w:p w14:paraId="2E707327" w14:textId="77777777" w:rsidR="00F55CD7" w:rsidRPr="000173F9" w:rsidRDefault="00F55CD7" w:rsidP="00F50958">
      <w:pPr>
        <w:spacing w:after="0" w:line="240" w:lineRule="auto"/>
        <w:jc w:val="both"/>
        <w:rPr>
          <w:rFonts w:ascii="Times New Roman" w:hAnsi="Times New Roman" w:cs="Times New Roman"/>
        </w:rPr>
      </w:pPr>
    </w:p>
    <w:p w14:paraId="2A3C2B8C" w14:textId="77777777" w:rsidR="000D3080" w:rsidRDefault="000D3080" w:rsidP="00F50958">
      <w:pPr>
        <w:spacing w:after="0" w:line="240" w:lineRule="auto"/>
        <w:jc w:val="both"/>
        <w:rPr>
          <w:rFonts w:ascii="Times New Roman" w:hAnsi="Times New Roman" w:cs="Times New Roman"/>
        </w:rPr>
      </w:pPr>
      <w:r>
        <w:rPr>
          <w:noProof/>
        </w:rPr>
        <w:drawing>
          <wp:inline distT="0" distB="0" distL="0" distR="0" wp14:anchorId="4392F9D7" wp14:editId="78877914">
            <wp:extent cx="5493385" cy="3167380"/>
            <wp:effectExtent l="0" t="0" r="0" b="0"/>
            <wp:docPr id="3" name="Image2" descr="A picture containing text, line,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 descr="A picture containing text, line, diagram, plot&#10;&#10;Description automatically generated"/>
                    <pic:cNvPicPr>
                      <a:picLocks noChangeAspect="1" noChangeArrowheads="1"/>
                    </pic:cNvPicPr>
                  </pic:nvPicPr>
                  <pic:blipFill>
                    <a:blip r:embed="rId5"/>
                    <a:stretch>
                      <a:fillRect/>
                    </a:stretch>
                  </pic:blipFill>
                  <pic:spPr bwMode="auto">
                    <a:xfrm>
                      <a:off x="0" y="0"/>
                      <a:ext cx="5493385" cy="3167380"/>
                    </a:xfrm>
                    <a:prstGeom prst="rect">
                      <a:avLst/>
                    </a:prstGeom>
                  </pic:spPr>
                </pic:pic>
              </a:graphicData>
            </a:graphic>
          </wp:inline>
        </w:drawing>
      </w:r>
    </w:p>
    <w:p w14:paraId="0032F412" w14:textId="77777777" w:rsidR="005A15A4" w:rsidRDefault="000D3080" w:rsidP="005A15A4">
      <w:pPr>
        <w:spacing w:after="0" w:line="240" w:lineRule="auto"/>
        <w:jc w:val="both"/>
        <w:rPr>
          <w:noProof/>
        </w:rPr>
      </w:pPr>
      <w:r>
        <w:rPr>
          <w:rFonts w:ascii="Times New Roman" w:hAnsi="Times New Roman" w:cs="Times New Roman"/>
          <w:b/>
          <w:bCs/>
        </w:rPr>
        <w:t>Figure S</w:t>
      </w:r>
      <w:r w:rsidR="005A15A4">
        <w:rPr>
          <w:rFonts w:ascii="Times New Roman" w:hAnsi="Times New Roman" w:cs="Times New Roman"/>
          <w:b/>
          <w:bCs/>
        </w:rPr>
        <w:t>2</w:t>
      </w:r>
      <w:r>
        <w:rPr>
          <w:rFonts w:ascii="Times New Roman" w:hAnsi="Times New Roman" w:cs="Times New Roman"/>
          <w:b/>
          <w:bCs/>
        </w:rPr>
        <w:t>.</w:t>
      </w:r>
      <w:r>
        <w:rPr>
          <w:rFonts w:ascii="Times New Roman" w:hAnsi="Times New Roman" w:cs="Times New Roman"/>
        </w:rPr>
        <w:t xml:space="preserve"> Sampling distribution for bouts consisting of different numbers of calls. Top: All data. Bottom: Only bouts of up to 50 calls.</w:t>
      </w:r>
      <w:r w:rsidR="005A15A4" w:rsidRPr="005A15A4">
        <w:rPr>
          <w:noProof/>
        </w:rPr>
        <w:t xml:space="preserve"> </w:t>
      </w:r>
    </w:p>
    <w:p w14:paraId="5781BB00" w14:textId="73B1B610" w:rsidR="00EA5568" w:rsidRDefault="00EA5568" w:rsidP="005A15A4">
      <w:pPr>
        <w:spacing w:after="0" w:line="240" w:lineRule="auto"/>
        <w:jc w:val="both"/>
        <w:rPr>
          <w:noProof/>
        </w:rPr>
      </w:pPr>
      <w:r>
        <w:rPr>
          <w:noProof/>
        </w:rPr>
        <w:lastRenderedPageBreak/>
        <w:drawing>
          <wp:inline distT="0" distB="0" distL="0" distR="0" wp14:anchorId="4F7C01FE" wp14:editId="695BFDEA">
            <wp:extent cx="4675517" cy="5354274"/>
            <wp:effectExtent l="0" t="0" r="0" b="0"/>
            <wp:docPr id="1737385892" name="Picture 1" descr="A graph of short calls and long cal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385892" name="Picture 1" descr="A graph of short calls and long calls&#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97575" cy="5379534"/>
                    </a:xfrm>
                    <a:prstGeom prst="rect">
                      <a:avLst/>
                    </a:prstGeom>
                    <a:noFill/>
                    <a:ln>
                      <a:noFill/>
                    </a:ln>
                  </pic:spPr>
                </pic:pic>
              </a:graphicData>
            </a:graphic>
          </wp:inline>
        </w:drawing>
      </w:r>
    </w:p>
    <w:p w14:paraId="60D676B4" w14:textId="4B9856CF" w:rsidR="00EA5568" w:rsidRDefault="00EA5568" w:rsidP="005A15A4">
      <w:pPr>
        <w:spacing w:after="0" w:line="240" w:lineRule="auto"/>
        <w:jc w:val="both"/>
        <w:rPr>
          <w:noProof/>
        </w:rPr>
      </w:pPr>
      <w:r w:rsidRPr="00F62C95">
        <w:rPr>
          <w:b/>
          <w:bCs/>
          <w:noProof/>
        </w:rPr>
        <w:t>Figure S</w:t>
      </w:r>
      <w:r w:rsidR="00F62C95" w:rsidRPr="00F62C95">
        <w:rPr>
          <w:b/>
          <w:bCs/>
          <w:noProof/>
        </w:rPr>
        <w:t>3</w:t>
      </w:r>
      <w:r w:rsidRPr="00F62C95">
        <w:rPr>
          <w:b/>
          <w:bCs/>
          <w:noProof/>
        </w:rPr>
        <w:t>.</w:t>
      </w:r>
      <w:r>
        <w:rPr>
          <w:noProof/>
        </w:rPr>
        <w:t xml:space="preserve"> </w:t>
      </w:r>
      <w:r w:rsidR="0096612B">
        <w:rPr>
          <w:noProof/>
        </w:rPr>
        <w:t>Proportional s</w:t>
      </w:r>
      <w:r>
        <w:rPr>
          <w:noProof/>
        </w:rPr>
        <w:t>ampling distribution for long and short calls.</w:t>
      </w:r>
      <w:r w:rsidR="0046638D">
        <w:rPr>
          <w:noProof/>
        </w:rPr>
        <w:t xml:space="preserve"> Proportions provided rather than raw numbers to facilitate comparisons between call-types.</w:t>
      </w:r>
    </w:p>
    <w:p w14:paraId="4990D3E8" w14:textId="77777777" w:rsidR="00EA5568" w:rsidRDefault="00EA5568" w:rsidP="005A15A4">
      <w:pPr>
        <w:spacing w:after="0" w:line="240" w:lineRule="auto"/>
        <w:jc w:val="both"/>
        <w:rPr>
          <w:noProof/>
        </w:rPr>
      </w:pPr>
    </w:p>
    <w:p w14:paraId="31D2E761" w14:textId="77777777" w:rsidR="00E54CBC" w:rsidRDefault="00E54CBC" w:rsidP="00E54CBC">
      <w:pPr>
        <w:spacing w:after="0" w:line="240" w:lineRule="auto"/>
        <w:jc w:val="both"/>
        <w:rPr>
          <w:rFonts w:ascii="Times New Roman" w:hAnsi="Times New Roman" w:cs="Times New Roman"/>
          <w:b/>
          <w:bCs/>
        </w:rPr>
      </w:pPr>
      <w:r>
        <w:rPr>
          <w:noProof/>
        </w:rPr>
        <w:drawing>
          <wp:inline distT="0" distB="0" distL="0" distR="0" wp14:anchorId="4CCB66B5" wp14:editId="32300798">
            <wp:extent cx="4710546" cy="3332483"/>
            <wp:effectExtent l="0" t="0" r="0" b="1270"/>
            <wp:docPr id="1001083083" name="Picture 4"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083083" name="Picture 4" descr="A graph with numbers and lines&#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15847" cy="3336233"/>
                    </a:xfrm>
                    <a:prstGeom prst="rect">
                      <a:avLst/>
                    </a:prstGeom>
                    <a:noFill/>
                    <a:ln>
                      <a:noFill/>
                    </a:ln>
                  </pic:spPr>
                </pic:pic>
              </a:graphicData>
            </a:graphic>
          </wp:inline>
        </w:drawing>
      </w:r>
    </w:p>
    <w:p w14:paraId="0303537A" w14:textId="558DBB37" w:rsidR="00E54CBC" w:rsidRDefault="00E54CBC" w:rsidP="00E54CBC">
      <w:pPr>
        <w:spacing w:after="0" w:line="240" w:lineRule="auto"/>
        <w:jc w:val="both"/>
        <w:rPr>
          <w:rFonts w:ascii="Times New Roman" w:hAnsi="Times New Roman" w:cs="Times New Roman"/>
        </w:rPr>
      </w:pPr>
      <w:r>
        <w:rPr>
          <w:rFonts w:ascii="Times New Roman" w:hAnsi="Times New Roman" w:cs="Times New Roman"/>
          <w:b/>
          <w:bCs/>
        </w:rPr>
        <w:t xml:space="preserve">Figure S4. </w:t>
      </w:r>
      <w:r w:rsidRPr="00793646">
        <w:rPr>
          <w:rFonts w:ascii="Times New Roman" w:hAnsi="Times New Roman" w:cs="Times New Roman"/>
        </w:rPr>
        <w:t>Sampling distribution for inter-call intervals</w:t>
      </w:r>
      <w:r>
        <w:rPr>
          <w:rFonts w:ascii="Times New Roman" w:hAnsi="Times New Roman" w:cs="Times New Roman"/>
        </w:rPr>
        <w:t xml:space="preserve"> in raw recordings, before bout-assignment procedure carried out</w:t>
      </w:r>
      <w:r w:rsidRPr="00793646">
        <w:rPr>
          <w:rFonts w:ascii="Times New Roman" w:hAnsi="Times New Roman" w:cs="Times New Roman"/>
        </w:rPr>
        <w:t>. X-axis restricted to 5s for readability</w:t>
      </w:r>
      <w:r>
        <w:rPr>
          <w:rFonts w:ascii="Times New Roman" w:hAnsi="Times New Roman" w:cs="Times New Roman"/>
        </w:rPr>
        <w:t>, accounting for ~95% of the data.</w:t>
      </w:r>
    </w:p>
    <w:p w14:paraId="31A61DA1" w14:textId="77777777" w:rsidR="00E54CBC" w:rsidRDefault="00E54CBC" w:rsidP="00E54CBC">
      <w:pPr>
        <w:spacing w:after="0" w:line="240" w:lineRule="auto"/>
        <w:jc w:val="both"/>
        <w:rPr>
          <w:rFonts w:ascii="Times New Roman" w:hAnsi="Times New Roman" w:cs="Times New Roman"/>
        </w:rPr>
      </w:pPr>
    </w:p>
    <w:p w14:paraId="462C7009" w14:textId="77777777" w:rsidR="00E54CBC" w:rsidRDefault="00E54CBC" w:rsidP="005A15A4">
      <w:pPr>
        <w:spacing w:after="0" w:line="240" w:lineRule="auto"/>
        <w:jc w:val="both"/>
        <w:rPr>
          <w:noProof/>
        </w:rPr>
      </w:pPr>
    </w:p>
    <w:p w14:paraId="3BCA7F71" w14:textId="6DB9B1E6" w:rsidR="005A15A4" w:rsidRDefault="006E7523" w:rsidP="005A15A4">
      <w:pPr>
        <w:spacing w:after="0" w:line="240" w:lineRule="auto"/>
        <w:jc w:val="both"/>
        <w:rPr>
          <w:rFonts w:ascii="Times New Roman" w:hAnsi="Times New Roman" w:cs="Times New Roman"/>
        </w:rPr>
      </w:pPr>
      <w:r>
        <w:rPr>
          <w:noProof/>
        </w:rPr>
        <w:drawing>
          <wp:inline distT="0" distB="0" distL="0" distR="0" wp14:anchorId="171FED5E" wp14:editId="366B4049">
            <wp:extent cx="5760720" cy="5760720"/>
            <wp:effectExtent l="0" t="0" r="0" b="0"/>
            <wp:docPr id="1367927507"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927507" name="Picture 2" descr="A screenshot of a graph&#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5760720"/>
                    </a:xfrm>
                    <a:prstGeom prst="rect">
                      <a:avLst/>
                    </a:prstGeom>
                    <a:noFill/>
                    <a:ln>
                      <a:noFill/>
                    </a:ln>
                  </pic:spPr>
                </pic:pic>
              </a:graphicData>
            </a:graphic>
          </wp:inline>
        </w:drawing>
      </w:r>
    </w:p>
    <w:p w14:paraId="6CA68D19" w14:textId="2DFFC023" w:rsidR="00831D4A" w:rsidRDefault="005A15A4" w:rsidP="00D76A3A">
      <w:pPr>
        <w:spacing w:after="0" w:line="240" w:lineRule="auto"/>
        <w:jc w:val="both"/>
        <w:rPr>
          <w:rFonts w:ascii="Times New Roman" w:hAnsi="Times New Roman" w:cs="Times New Roman"/>
        </w:rPr>
      </w:pPr>
      <w:r w:rsidRPr="00F84DDC">
        <w:rPr>
          <w:rFonts w:ascii="Times New Roman" w:hAnsi="Times New Roman" w:cs="Times New Roman"/>
          <w:b/>
          <w:bCs/>
        </w:rPr>
        <w:t>Figure S</w:t>
      </w:r>
      <w:r w:rsidR="00E54CBC">
        <w:rPr>
          <w:rFonts w:ascii="Times New Roman" w:hAnsi="Times New Roman" w:cs="Times New Roman"/>
          <w:b/>
          <w:bCs/>
        </w:rPr>
        <w:t>5</w:t>
      </w:r>
      <w:r w:rsidRPr="00F84DDC">
        <w:rPr>
          <w:rFonts w:ascii="Times New Roman" w:hAnsi="Times New Roman" w:cs="Times New Roman"/>
          <w:b/>
          <w:bCs/>
        </w:rPr>
        <w:t>.</w:t>
      </w:r>
      <w:r>
        <w:rPr>
          <w:rFonts w:ascii="Times New Roman" w:hAnsi="Times New Roman" w:cs="Times New Roman"/>
          <w:b/>
          <w:bCs/>
        </w:rPr>
        <w:t xml:space="preserve"> </w:t>
      </w:r>
      <w:r>
        <w:rPr>
          <w:rFonts w:ascii="Times New Roman" w:hAnsi="Times New Roman" w:cs="Times New Roman"/>
        </w:rPr>
        <w:t xml:space="preserve">Overall median duration of calls in a bout, for all bout sizes. </w:t>
      </w:r>
      <w:r w:rsidR="006E7523">
        <w:rPr>
          <w:rFonts w:ascii="Times New Roman" w:hAnsi="Times New Roman" w:cs="Times New Roman"/>
          <w:b/>
          <w:bCs/>
        </w:rPr>
        <w:t xml:space="preserve">Red: </w:t>
      </w:r>
      <w:r w:rsidR="006E7523">
        <w:rPr>
          <w:rFonts w:ascii="Times New Roman" w:hAnsi="Times New Roman" w:cs="Times New Roman"/>
        </w:rPr>
        <w:t xml:space="preserve">Short call-types. </w:t>
      </w:r>
      <w:r w:rsidR="006E7523" w:rsidRPr="006E7523">
        <w:rPr>
          <w:rFonts w:ascii="Times New Roman" w:hAnsi="Times New Roman" w:cs="Times New Roman"/>
          <w:b/>
          <w:bCs/>
        </w:rPr>
        <w:t>Blue:</w:t>
      </w:r>
      <w:r w:rsidR="006E7523">
        <w:rPr>
          <w:rFonts w:ascii="Times New Roman" w:hAnsi="Times New Roman" w:cs="Times New Roman"/>
        </w:rPr>
        <w:t xml:space="preserve"> Long call-type</w:t>
      </w:r>
      <w:r w:rsidR="006E7523" w:rsidRPr="00E55B59">
        <w:rPr>
          <w:rFonts w:ascii="Times New Roman" w:hAnsi="Times New Roman" w:cs="Times New Roman"/>
        </w:rPr>
        <w:t>s.</w:t>
      </w:r>
      <w:r w:rsidR="00C846E8" w:rsidRPr="00E55B59">
        <w:rPr>
          <w:rFonts w:ascii="Times New Roman" w:hAnsi="Times New Roman" w:cs="Times New Roman"/>
        </w:rPr>
        <w:t xml:space="preserve"> </w:t>
      </w:r>
      <w:r w:rsidR="006E7523" w:rsidRPr="00E55B59">
        <w:rPr>
          <w:rFonts w:ascii="Times New Roman" w:hAnsi="Times New Roman" w:cs="Times New Roman"/>
        </w:rPr>
        <w:t>In</w:t>
      </w:r>
      <w:r w:rsidR="006E7523">
        <w:rPr>
          <w:rFonts w:ascii="Times New Roman" w:hAnsi="Times New Roman" w:cs="Times New Roman"/>
        </w:rPr>
        <w:t xml:space="preserve"> second and third row of plots, no short-call boxes are higher than 0.08s.</w:t>
      </w:r>
    </w:p>
    <w:p w14:paraId="61EEEE68" w14:textId="77777777" w:rsidR="00831D4A" w:rsidRDefault="00831D4A">
      <w:pPr>
        <w:suppressAutoHyphens w:val="0"/>
        <w:rPr>
          <w:rFonts w:ascii="Times New Roman" w:hAnsi="Times New Roman" w:cs="Times New Roman"/>
        </w:rPr>
      </w:pPr>
      <w:r>
        <w:rPr>
          <w:rFonts w:ascii="Times New Roman" w:hAnsi="Times New Roman" w:cs="Times New Roman"/>
        </w:rPr>
        <w:br w:type="page"/>
      </w:r>
    </w:p>
    <w:p w14:paraId="43DF9AA6" w14:textId="77777777" w:rsidR="00C846E8" w:rsidRDefault="00C846E8" w:rsidP="00D76A3A">
      <w:pPr>
        <w:spacing w:after="0" w:line="240" w:lineRule="auto"/>
        <w:jc w:val="both"/>
        <w:rPr>
          <w:rFonts w:ascii="Times New Roman" w:hAnsi="Times New Roman" w:cs="Times New Roman"/>
        </w:rPr>
      </w:pPr>
    </w:p>
    <w:p w14:paraId="2066FE10" w14:textId="77777777" w:rsidR="0064125C" w:rsidRDefault="0064125C" w:rsidP="00F50958">
      <w:pPr>
        <w:spacing w:after="0" w:line="240" w:lineRule="auto"/>
        <w:jc w:val="both"/>
        <w:rPr>
          <w:rFonts w:ascii="Times New Roman" w:hAnsi="Times New Roman" w:cs="Times New Roman"/>
        </w:rPr>
      </w:pPr>
    </w:p>
    <w:p w14:paraId="29A7ABD1" w14:textId="39388BC1" w:rsidR="0064125C" w:rsidRDefault="00831D4A" w:rsidP="00F50958">
      <w:pPr>
        <w:spacing w:after="0" w:line="240" w:lineRule="auto"/>
        <w:jc w:val="both"/>
        <w:rPr>
          <w:rFonts w:ascii="Times New Roman" w:hAnsi="Times New Roman" w:cs="Times New Roman"/>
          <w:b/>
          <w:bCs/>
        </w:rPr>
      </w:pPr>
      <w:r>
        <w:rPr>
          <w:noProof/>
        </w:rPr>
        <w:drawing>
          <wp:inline distT="0" distB="0" distL="0" distR="0" wp14:anchorId="151C048B" wp14:editId="16BBD99A">
            <wp:extent cx="5760720" cy="5932805"/>
            <wp:effectExtent l="0" t="0" r="0" b="0"/>
            <wp:docPr id="1769801297"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801297" name="Picture 3" descr="A screenshot of a graph&#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5932805"/>
                    </a:xfrm>
                    <a:prstGeom prst="rect">
                      <a:avLst/>
                    </a:prstGeom>
                    <a:noFill/>
                    <a:ln>
                      <a:noFill/>
                    </a:ln>
                  </pic:spPr>
                </pic:pic>
              </a:graphicData>
            </a:graphic>
          </wp:inline>
        </w:drawing>
      </w:r>
    </w:p>
    <w:p w14:paraId="452706F8" w14:textId="192D9F59" w:rsidR="0064125C" w:rsidRDefault="0064125C" w:rsidP="0064125C">
      <w:pPr>
        <w:spacing w:after="0" w:line="240" w:lineRule="auto"/>
        <w:jc w:val="both"/>
        <w:rPr>
          <w:rFonts w:ascii="Times New Roman" w:hAnsi="Times New Roman" w:cs="Times New Roman"/>
        </w:rPr>
      </w:pPr>
      <w:r w:rsidRPr="00F84DDC">
        <w:rPr>
          <w:rFonts w:ascii="Times New Roman" w:hAnsi="Times New Roman" w:cs="Times New Roman"/>
          <w:b/>
          <w:bCs/>
        </w:rPr>
        <w:t>Figure S</w:t>
      </w:r>
      <w:r w:rsidR="00F62C95">
        <w:rPr>
          <w:rFonts w:ascii="Times New Roman" w:hAnsi="Times New Roman" w:cs="Times New Roman"/>
          <w:b/>
          <w:bCs/>
        </w:rPr>
        <w:t>6</w:t>
      </w:r>
      <w:r w:rsidRPr="00F84DDC">
        <w:rPr>
          <w:rFonts w:ascii="Times New Roman" w:hAnsi="Times New Roman" w:cs="Times New Roman"/>
          <w:b/>
          <w:bCs/>
        </w:rPr>
        <w:t>.</w:t>
      </w:r>
      <w:r>
        <w:rPr>
          <w:rFonts w:ascii="Times New Roman" w:hAnsi="Times New Roman" w:cs="Times New Roman"/>
          <w:b/>
          <w:bCs/>
        </w:rPr>
        <w:t xml:space="preserve"> </w:t>
      </w:r>
      <w:r>
        <w:rPr>
          <w:rFonts w:ascii="Times New Roman" w:hAnsi="Times New Roman" w:cs="Times New Roman"/>
        </w:rPr>
        <w:t>Overall median duration of inter-call interval</w:t>
      </w:r>
      <w:r w:rsidR="00027FA7">
        <w:rPr>
          <w:rFonts w:ascii="Times New Roman" w:hAnsi="Times New Roman" w:cs="Times New Roman"/>
        </w:rPr>
        <w:t xml:space="preserve"> preceding short (red boxes/top row) and long (blue boxes/bottom row) call-types</w:t>
      </w:r>
      <w:r>
        <w:rPr>
          <w:rFonts w:ascii="Times New Roman" w:hAnsi="Times New Roman" w:cs="Times New Roman"/>
        </w:rPr>
        <w:t xml:space="preserve"> in a bout, for all bout sizes. </w:t>
      </w:r>
    </w:p>
    <w:p w14:paraId="2BF3DB0B" w14:textId="77777777" w:rsidR="0064125C" w:rsidRDefault="0064125C" w:rsidP="00F50958">
      <w:pPr>
        <w:spacing w:after="0" w:line="240" w:lineRule="auto"/>
        <w:jc w:val="both"/>
        <w:rPr>
          <w:rFonts w:ascii="Times New Roman" w:hAnsi="Times New Roman" w:cs="Times New Roman"/>
          <w:b/>
          <w:bCs/>
        </w:rPr>
      </w:pPr>
    </w:p>
    <w:tbl>
      <w:tblPr>
        <w:tblW w:w="26355" w:type="dxa"/>
        <w:tblLayout w:type="fixed"/>
        <w:tblLook w:val="04A0" w:firstRow="1" w:lastRow="0" w:firstColumn="1" w:lastColumn="0" w:noHBand="0" w:noVBand="1"/>
      </w:tblPr>
      <w:tblGrid>
        <w:gridCol w:w="1904"/>
        <w:gridCol w:w="1373"/>
        <w:gridCol w:w="1826"/>
        <w:gridCol w:w="21252"/>
      </w:tblGrid>
      <w:tr w:rsidR="00BA191A" w:rsidRPr="00BA191A" w14:paraId="14B9BE0B" w14:textId="77777777" w:rsidTr="00BA191A">
        <w:trPr>
          <w:trHeight w:val="288"/>
        </w:trPr>
        <w:tc>
          <w:tcPr>
            <w:tcW w:w="1904" w:type="dxa"/>
            <w:tcBorders>
              <w:top w:val="nil"/>
              <w:left w:val="nil"/>
              <w:bottom w:val="nil"/>
              <w:right w:val="nil"/>
            </w:tcBorders>
            <w:shd w:val="clear" w:color="auto" w:fill="auto"/>
            <w:vAlign w:val="bottom"/>
            <w:hideMark/>
          </w:tcPr>
          <w:p w14:paraId="2DFBE358" w14:textId="77777777" w:rsidR="00BA191A" w:rsidRPr="00BA191A" w:rsidRDefault="00BA191A" w:rsidP="00BA191A">
            <w:pPr>
              <w:suppressAutoHyphens w:val="0"/>
              <w:spacing w:after="0" w:line="240" w:lineRule="auto"/>
              <w:rPr>
                <w:rFonts w:ascii="Times New Roman" w:eastAsia="Times New Roman" w:hAnsi="Times New Roman" w:cs="Times New Roman"/>
                <w:sz w:val="24"/>
                <w:szCs w:val="24"/>
                <w:lang w:val="en-CH" w:eastAsia="en-CH"/>
              </w:rPr>
            </w:pPr>
          </w:p>
        </w:tc>
        <w:tc>
          <w:tcPr>
            <w:tcW w:w="1373" w:type="dxa"/>
            <w:tcBorders>
              <w:top w:val="nil"/>
              <w:left w:val="nil"/>
              <w:bottom w:val="nil"/>
              <w:right w:val="nil"/>
            </w:tcBorders>
            <w:shd w:val="clear" w:color="auto" w:fill="auto"/>
            <w:vAlign w:val="bottom"/>
            <w:hideMark/>
          </w:tcPr>
          <w:p w14:paraId="334D659C" w14:textId="77777777" w:rsidR="00BA191A" w:rsidRPr="00BA191A" w:rsidRDefault="00BA191A" w:rsidP="00BA191A">
            <w:pPr>
              <w:suppressAutoHyphens w:val="0"/>
              <w:spacing w:after="0" w:line="240" w:lineRule="auto"/>
              <w:rPr>
                <w:rFonts w:ascii="Times New Roman" w:eastAsia="Times New Roman" w:hAnsi="Times New Roman" w:cs="Times New Roman"/>
                <w:sz w:val="20"/>
                <w:szCs w:val="20"/>
                <w:lang w:val="en-CH" w:eastAsia="en-CH"/>
              </w:rPr>
            </w:pPr>
          </w:p>
        </w:tc>
        <w:tc>
          <w:tcPr>
            <w:tcW w:w="1826" w:type="dxa"/>
            <w:tcBorders>
              <w:top w:val="nil"/>
              <w:left w:val="nil"/>
              <w:bottom w:val="nil"/>
              <w:right w:val="nil"/>
            </w:tcBorders>
            <w:shd w:val="clear" w:color="auto" w:fill="auto"/>
            <w:vAlign w:val="bottom"/>
            <w:hideMark/>
          </w:tcPr>
          <w:p w14:paraId="3B3FE5D1" w14:textId="77777777" w:rsidR="00BA191A" w:rsidRPr="00BA191A" w:rsidRDefault="00BA191A" w:rsidP="00BA191A">
            <w:pPr>
              <w:suppressAutoHyphens w:val="0"/>
              <w:spacing w:after="0" w:line="240" w:lineRule="auto"/>
              <w:rPr>
                <w:rFonts w:ascii="Times New Roman" w:eastAsia="Times New Roman" w:hAnsi="Times New Roman" w:cs="Times New Roman"/>
                <w:sz w:val="20"/>
                <w:szCs w:val="20"/>
                <w:lang w:val="en-CH" w:eastAsia="en-CH"/>
              </w:rPr>
            </w:pPr>
          </w:p>
        </w:tc>
        <w:tc>
          <w:tcPr>
            <w:tcW w:w="21252" w:type="dxa"/>
            <w:tcBorders>
              <w:top w:val="nil"/>
              <w:left w:val="nil"/>
              <w:bottom w:val="nil"/>
              <w:right w:val="nil"/>
            </w:tcBorders>
            <w:shd w:val="clear" w:color="auto" w:fill="auto"/>
            <w:vAlign w:val="bottom"/>
            <w:hideMark/>
          </w:tcPr>
          <w:p w14:paraId="1D605C18" w14:textId="77777777" w:rsidR="00BA191A" w:rsidRPr="00BA191A" w:rsidRDefault="00BA191A" w:rsidP="00BA191A">
            <w:pPr>
              <w:suppressAutoHyphens w:val="0"/>
              <w:spacing w:after="0" w:line="240" w:lineRule="auto"/>
              <w:rPr>
                <w:rFonts w:ascii="Times New Roman" w:eastAsia="Times New Roman" w:hAnsi="Times New Roman" w:cs="Times New Roman"/>
                <w:sz w:val="20"/>
                <w:szCs w:val="20"/>
                <w:lang w:val="en-CH" w:eastAsia="en-CH"/>
              </w:rPr>
            </w:pPr>
          </w:p>
        </w:tc>
      </w:tr>
    </w:tbl>
    <w:p w14:paraId="470053FF" w14:textId="77777777" w:rsidR="00BA191A" w:rsidRDefault="00BA191A">
      <w:r>
        <w:br w:type="page"/>
      </w:r>
    </w:p>
    <w:p w14:paraId="72646DCF" w14:textId="77777777" w:rsidR="00F46CA0" w:rsidRPr="000440EF" w:rsidRDefault="00F46CA0" w:rsidP="00F46CA0">
      <w:pPr>
        <w:spacing w:after="0" w:line="240" w:lineRule="auto"/>
        <w:jc w:val="both"/>
        <w:rPr>
          <w:rFonts w:ascii="Times New Roman" w:hAnsi="Times New Roman" w:cs="Times New Roman"/>
          <w:lang w:val="en-CH"/>
        </w:rPr>
      </w:pPr>
      <w:r>
        <w:rPr>
          <w:rFonts w:ascii="Times New Roman" w:hAnsi="Times New Roman" w:cs="Times New Roman"/>
          <w:b/>
          <w:bCs/>
          <w:lang w:val="en-CH"/>
        </w:rPr>
        <w:lastRenderedPageBreak/>
        <w:t xml:space="preserve">Table S1. </w:t>
      </w:r>
      <w:r w:rsidRPr="000440EF">
        <w:rPr>
          <w:rFonts w:ascii="Times New Roman" w:hAnsi="Times New Roman" w:cs="Times New Roman"/>
          <w:lang w:val="en-CH"/>
        </w:rPr>
        <w:t xml:space="preserve">Summary of </w:t>
      </w:r>
      <w:r>
        <w:rPr>
          <w:rFonts w:ascii="Times New Roman" w:hAnsi="Times New Roman" w:cs="Times New Roman"/>
          <w:lang w:val="en-CH"/>
        </w:rPr>
        <w:t xml:space="preserve">previous </w:t>
      </w:r>
      <w:r w:rsidRPr="000440EF">
        <w:rPr>
          <w:rFonts w:ascii="Times New Roman" w:hAnsi="Times New Roman" w:cs="Times New Roman"/>
          <w:lang w:val="en-CH"/>
        </w:rPr>
        <w:t>evidence for and against Menzerath’s law</w:t>
      </w:r>
      <w:r>
        <w:rPr>
          <w:rFonts w:ascii="Times New Roman" w:hAnsi="Times New Roman" w:cs="Times New Roman"/>
          <w:lang w:val="en-CH"/>
        </w:rPr>
        <w:t xml:space="preserve"> in animal communication systems.</w:t>
      </w:r>
    </w:p>
    <w:tbl>
      <w:tblPr>
        <w:tblW w:w="9080" w:type="dxa"/>
        <w:tblLayout w:type="fixed"/>
        <w:tblLook w:val="04A0" w:firstRow="1" w:lastRow="0" w:firstColumn="1" w:lastColumn="0" w:noHBand="0" w:noVBand="1"/>
      </w:tblPr>
      <w:tblGrid>
        <w:gridCol w:w="2268"/>
        <w:gridCol w:w="2094"/>
        <w:gridCol w:w="1843"/>
        <w:gridCol w:w="2875"/>
      </w:tblGrid>
      <w:tr w:rsidR="000440EF" w:rsidRPr="00AD2B9D" w14:paraId="1A36528F" w14:textId="77777777" w:rsidTr="00AD2B9D">
        <w:trPr>
          <w:trHeight w:val="491"/>
        </w:trPr>
        <w:tc>
          <w:tcPr>
            <w:tcW w:w="2268" w:type="dxa"/>
            <w:tcBorders>
              <w:top w:val="nil"/>
              <w:left w:val="nil"/>
              <w:bottom w:val="single" w:sz="4" w:space="0" w:color="auto"/>
              <w:right w:val="nil"/>
            </w:tcBorders>
            <w:shd w:val="clear" w:color="auto" w:fill="auto"/>
            <w:vAlign w:val="bottom"/>
            <w:hideMark/>
          </w:tcPr>
          <w:p w14:paraId="5240B469" w14:textId="77777777" w:rsidR="000440EF" w:rsidRPr="00AD2B9D" w:rsidRDefault="000440EF" w:rsidP="00AD2B9D">
            <w:pPr>
              <w:spacing w:after="0" w:line="276" w:lineRule="auto"/>
              <w:rPr>
                <w:rFonts w:ascii="Times New Roman" w:hAnsi="Times New Roman" w:cs="Times New Roman"/>
                <w:b/>
                <w:bCs/>
                <w:sz w:val="20"/>
                <w:szCs w:val="20"/>
                <w:lang w:val="en-CH" w:eastAsia="en-CH"/>
              </w:rPr>
            </w:pPr>
            <w:r w:rsidRPr="00AD2B9D">
              <w:rPr>
                <w:rFonts w:ascii="Times New Roman" w:hAnsi="Times New Roman" w:cs="Times New Roman"/>
                <w:b/>
                <w:bCs/>
                <w:sz w:val="20"/>
                <w:szCs w:val="20"/>
                <w:lang w:val="en-CH" w:eastAsia="en-CH"/>
              </w:rPr>
              <w:t>Species tested</w:t>
            </w:r>
          </w:p>
        </w:tc>
        <w:tc>
          <w:tcPr>
            <w:tcW w:w="2094" w:type="dxa"/>
            <w:tcBorders>
              <w:top w:val="nil"/>
              <w:left w:val="nil"/>
              <w:bottom w:val="single" w:sz="4" w:space="0" w:color="auto"/>
              <w:right w:val="nil"/>
            </w:tcBorders>
            <w:shd w:val="clear" w:color="auto" w:fill="auto"/>
            <w:vAlign w:val="bottom"/>
            <w:hideMark/>
          </w:tcPr>
          <w:p w14:paraId="1755F005" w14:textId="77777777" w:rsidR="000440EF" w:rsidRPr="00AD2B9D" w:rsidRDefault="000440EF" w:rsidP="00AD2B9D">
            <w:pPr>
              <w:spacing w:after="0" w:line="276" w:lineRule="auto"/>
              <w:rPr>
                <w:rFonts w:ascii="Times New Roman" w:hAnsi="Times New Roman" w:cs="Times New Roman"/>
                <w:b/>
                <w:bCs/>
                <w:sz w:val="20"/>
                <w:szCs w:val="20"/>
                <w:lang w:val="en-CH" w:eastAsia="en-CH"/>
              </w:rPr>
            </w:pPr>
            <w:r w:rsidRPr="00AD2B9D">
              <w:rPr>
                <w:rFonts w:ascii="Times New Roman" w:hAnsi="Times New Roman" w:cs="Times New Roman"/>
                <w:b/>
                <w:bCs/>
                <w:sz w:val="20"/>
                <w:szCs w:val="20"/>
                <w:lang w:val="en-CH" w:eastAsia="en-CH"/>
              </w:rPr>
              <w:t>Signal type</w:t>
            </w:r>
          </w:p>
        </w:tc>
        <w:tc>
          <w:tcPr>
            <w:tcW w:w="1843" w:type="dxa"/>
            <w:tcBorders>
              <w:top w:val="nil"/>
              <w:left w:val="nil"/>
              <w:bottom w:val="single" w:sz="4" w:space="0" w:color="auto"/>
              <w:right w:val="nil"/>
            </w:tcBorders>
            <w:shd w:val="clear" w:color="auto" w:fill="auto"/>
            <w:vAlign w:val="bottom"/>
            <w:hideMark/>
          </w:tcPr>
          <w:p w14:paraId="56E5BB6B" w14:textId="77777777" w:rsidR="000440EF" w:rsidRPr="00AD2B9D" w:rsidRDefault="000440EF" w:rsidP="00AD2B9D">
            <w:pPr>
              <w:spacing w:after="0" w:line="276" w:lineRule="auto"/>
              <w:rPr>
                <w:rFonts w:ascii="Times New Roman" w:hAnsi="Times New Roman" w:cs="Times New Roman"/>
                <w:b/>
                <w:bCs/>
                <w:sz w:val="20"/>
                <w:szCs w:val="20"/>
                <w:lang w:val="en-CH" w:eastAsia="en-CH"/>
              </w:rPr>
            </w:pPr>
            <w:r w:rsidRPr="00AD2B9D">
              <w:rPr>
                <w:rFonts w:ascii="Times New Roman" w:hAnsi="Times New Roman" w:cs="Times New Roman"/>
                <w:b/>
                <w:bCs/>
                <w:sz w:val="20"/>
                <w:szCs w:val="20"/>
                <w:lang w:val="en-CH" w:eastAsia="en-CH"/>
              </w:rPr>
              <w:t xml:space="preserve">Evidence for </w:t>
            </w:r>
            <w:r>
              <w:rPr>
                <w:rFonts w:ascii="Times New Roman" w:hAnsi="Times New Roman" w:cs="Times New Roman"/>
                <w:b/>
                <w:bCs/>
                <w:sz w:val="20"/>
                <w:szCs w:val="20"/>
                <w:lang w:val="en-CH" w:eastAsia="en-CH"/>
              </w:rPr>
              <w:t>M</w:t>
            </w:r>
            <w:r w:rsidRPr="00AD2B9D">
              <w:rPr>
                <w:rFonts w:ascii="Times New Roman" w:hAnsi="Times New Roman" w:cs="Times New Roman"/>
                <w:b/>
                <w:bCs/>
                <w:sz w:val="20"/>
                <w:szCs w:val="20"/>
                <w:lang w:val="en-CH" w:eastAsia="en-CH"/>
              </w:rPr>
              <w:t>enzerath's law?</w:t>
            </w:r>
          </w:p>
        </w:tc>
        <w:tc>
          <w:tcPr>
            <w:tcW w:w="2875" w:type="dxa"/>
            <w:tcBorders>
              <w:top w:val="nil"/>
              <w:left w:val="nil"/>
              <w:bottom w:val="single" w:sz="4" w:space="0" w:color="auto"/>
              <w:right w:val="nil"/>
            </w:tcBorders>
            <w:shd w:val="clear" w:color="auto" w:fill="auto"/>
            <w:vAlign w:val="bottom"/>
            <w:hideMark/>
          </w:tcPr>
          <w:p w14:paraId="4653DC46" w14:textId="77777777" w:rsidR="000440EF" w:rsidRPr="00AD2B9D" w:rsidRDefault="000440EF" w:rsidP="00AD2B9D">
            <w:pPr>
              <w:spacing w:after="0" w:line="276" w:lineRule="auto"/>
              <w:rPr>
                <w:rFonts w:ascii="Times New Roman" w:hAnsi="Times New Roman" w:cs="Times New Roman"/>
                <w:b/>
                <w:bCs/>
                <w:sz w:val="20"/>
                <w:szCs w:val="20"/>
                <w:lang w:val="en-CH" w:eastAsia="en-CH"/>
              </w:rPr>
            </w:pPr>
            <w:r w:rsidRPr="00AD2B9D">
              <w:rPr>
                <w:rFonts w:ascii="Times New Roman" w:hAnsi="Times New Roman" w:cs="Times New Roman"/>
                <w:b/>
                <w:bCs/>
                <w:sz w:val="20"/>
                <w:szCs w:val="20"/>
                <w:lang w:val="en-CH" w:eastAsia="en-CH"/>
              </w:rPr>
              <w:t>Citation</w:t>
            </w:r>
          </w:p>
        </w:tc>
      </w:tr>
      <w:tr w:rsidR="000440EF" w:rsidRPr="00AD2B9D" w14:paraId="6A6238CC" w14:textId="77777777" w:rsidTr="00AD2B9D">
        <w:trPr>
          <w:trHeight w:val="425"/>
        </w:trPr>
        <w:tc>
          <w:tcPr>
            <w:tcW w:w="2268" w:type="dxa"/>
            <w:tcBorders>
              <w:top w:val="nil"/>
              <w:left w:val="nil"/>
              <w:bottom w:val="nil"/>
              <w:right w:val="nil"/>
            </w:tcBorders>
            <w:shd w:val="clear" w:color="auto" w:fill="auto"/>
            <w:vAlign w:val="bottom"/>
            <w:hideMark/>
          </w:tcPr>
          <w:p w14:paraId="3109E55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15 songbird species</w:t>
            </w:r>
          </w:p>
        </w:tc>
        <w:tc>
          <w:tcPr>
            <w:tcW w:w="2094" w:type="dxa"/>
            <w:tcBorders>
              <w:top w:val="nil"/>
              <w:left w:val="nil"/>
              <w:bottom w:val="nil"/>
              <w:right w:val="nil"/>
            </w:tcBorders>
            <w:shd w:val="clear" w:color="auto" w:fill="auto"/>
            <w:vAlign w:val="bottom"/>
            <w:hideMark/>
          </w:tcPr>
          <w:p w14:paraId="63B0B0BE" w14:textId="446904DE"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Song</w:t>
            </w:r>
          </w:p>
        </w:tc>
        <w:tc>
          <w:tcPr>
            <w:tcW w:w="1843" w:type="dxa"/>
            <w:tcBorders>
              <w:top w:val="nil"/>
              <w:left w:val="nil"/>
              <w:bottom w:val="nil"/>
              <w:right w:val="nil"/>
            </w:tcBorders>
            <w:shd w:val="clear" w:color="auto" w:fill="auto"/>
            <w:vAlign w:val="bottom"/>
            <w:hideMark/>
          </w:tcPr>
          <w:p w14:paraId="0C795D51"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tcPr>
          <w:p w14:paraId="26FD9C4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James et al. 2021</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{"citationID":"kPbJf2bi","properties":{"formattedCitation":"\\super 2\\nosupersub{}","plainCitation":"2","noteIndex":0},"citationItems":[{"id":5079,"uris":["http://zotero.org/users/5935085/items/UPKVI9KE"],"itemData":{"id":5079,"type":"article-journal","abstract":"Organizational patterns can be shared across biological systems, and revealing the factors shaping common patterns can provide insight into fundamental biological mechanisms. The behavioral pattern that elements with more constituents tend to consist of shorter constituents (Menzerath’s law [ML]) was described first in speech and language (e.g., words with more syllables consist of shorter syllables) and subsequently in music and animal communication. Menzerath’s law is hypothesized to reflect efficiency in information transfer, but biases and constraints in motor production can also lead to this pattern. We investigated the evolutionary breadth of ML and the contribution of production mechanisms to ML in the songs of 15 songbird species. Negative relationships between the number and duration of constituents (e.g., syllables in phrases) were observed in all 15 species. However, negative relationships were also observed in null models in which constituents were randomly allocated into observed element durations, and the observed negative relationship for numerous species did not differ from the null model; consequently, ML in these species could simply reflect production constraints and not communicative efficiency. By contrast, ML was significantly different from the null model for more than half the cases, suggesting additional organizational rules are imposed onto birdsongs. Production mechanisms are also underscored by the finding that canaries and zebra finches reared without auditory experiences that guide vocal development produced songs with nearly identical ML patterning as typically reared birds. These analyses highlight the breadth with which production mechanisms contribute to this prevalent organizational pattern in behavior.","container-title":"Current Biology","DOI":"10.1016/j.cub.2021.04.015","ISSN":"0960-9822","issue":"13","journalAbbreviation":"Current Biology","page":"2796-2808.e9","source":"ScienceDirect","title":"Phylogeny and mechanisms of shared hierarchical patterns in birdsong","volume":"31","author":[{"family":"James","given":"Logan S."},{"family":"Mori","given":"Chihiro"},{"family":"Wada","given":"Kazuhiro"},{"family":"Sakata","given":"Jon T."}],"issued":{"date-parts":[["2021",7,12]]}}}],"schema":"https://github.com/citation-style-language/schema/raw/master/csl-citation.json"}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2</w:t>
            </w:r>
            <w:r w:rsidRPr="00AD2B9D">
              <w:rPr>
                <w:rFonts w:ascii="Times New Roman" w:hAnsi="Times New Roman" w:cs="Times New Roman"/>
                <w:sz w:val="20"/>
                <w:szCs w:val="20"/>
                <w:lang w:val="en-CH" w:eastAsia="en-CH"/>
              </w:rPr>
              <w:fldChar w:fldCharType="end"/>
            </w:r>
          </w:p>
        </w:tc>
      </w:tr>
      <w:tr w:rsidR="000440EF" w:rsidRPr="00AD2B9D" w14:paraId="1FA24E64" w14:textId="77777777" w:rsidTr="00AD2B9D">
        <w:trPr>
          <w:trHeight w:val="369"/>
        </w:trPr>
        <w:tc>
          <w:tcPr>
            <w:tcW w:w="2268" w:type="dxa"/>
            <w:tcBorders>
              <w:top w:val="nil"/>
              <w:left w:val="nil"/>
              <w:bottom w:val="nil"/>
              <w:right w:val="nil"/>
            </w:tcBorders>
            <w:shd w:val="clear" w:color="auto" w:fill="auto"/>
            <w:vAlign w:val="bottom"/>
            <w:hideMark/>
          </w:tcPr>
          <w:p w14:paraId="5529C97E"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16 Baleen whale species</w:t>
            </w:r>
          </w:p>
        </w:tc>
        <w:tc>
          <w:tcPr>
            <w:tcW w:w="2094" w:type="dxa"/>
            <w:tcBorders>
              <w:top w:val="nil"/>
              <w:left w:val="nil"/>
              <w:bottom w:val="nil"/>
              <w:right w:val="nil"/>
            </w:tcBorders>
            <w:shd w:val="clear" w:color="auto" w:fill="auto"/>
            <w:vAlign w:val="bottom"/>
            <w:hideMark/>
          </w:tcPr>
          <w:p w14:paraId="3F23C961" w14:textId="0BEC935A"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Song</w:t>
            </w:r>
          </w:p>
        </w:tc>
        <w:tc>
          <w:tcPr>
            <w:tcW w:w="1843" w:type="dxa"/>
            <w:tcBorders>
              <w:top w:val="nil"/>
              <w:left w:val="nil"/>
              <w:bottom w:val="nil"/>
              <w:right w:val="nil"/>
            </w:tcBorders>
            <w:shd w:val="clear" w:color="auto" w:fill="auto"/>
            <w:vAlign w:val="bottom"/>
            <w:hideMark/>
          </w:tcPr>
          <w:p w14:paraId="5AF16993"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 in 11 of 16</w:t>
            </w:r>
          </w:p>
        </w:tc>
        <w:tc>
          <w:tcPr>
            <w:tcW w:w="2875" w:type="dxa"/>
            <w:tcBorders>
              <w:top w:val="nil"/>
              <w:left w:val="nil"/>
              <w:bottom w:val="nil"/>
              <w:right w:val="nil"/>
            </w:tcBorders>
            <w:shd w:val="clear" w:color="auto" w:fill="auto"/>
            <w:vAlign w:val="bottom"/>
          </w:tcPr>
          <w:p w14:paraId="7A6C1659"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Youngblood 2024a</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{"citationID":"qMcA2q1r","properties":{"formattedCitation":"\\super 13\\nosupersub{}","plainCitation":"13","noteIndex":0},"citationItems":[{"id":5142,"uris":["http://zotero.org/users/5935085/items/FQR3AZDF"],"itemData":{"id":5142,"type":"article","abstract":"Human language and other animal communication systems tend to be optimized for efficiency—the benefits that they bestow relative to the costs of learning and producing them. One of the clearest manifestations of communicative efficiency is Menzerath's law, which predicts that longer sequences (e.g., songs) will be comprised of shorter elements (e.g., notes). In this study, I assessed the evidence for Menzerath's law in cetaceans by analyzing vocal sequences from 16 baleen and toothed whale species and comparing them to spoken data from 51 human languages. The vocalizations of 11 of the 16 whale species included in this analysis adhere to Menzerath's law to an extent that is comparable to, and sometimes far greater than, what is observed in spoken human language data. Humpback whales exhibit Menzerath's law both at the level of notes within phrases and phrases within songs. There is also a broad tendency for vocal shortening—elements or intervals getting shorter over the course of sequences—which may point to simple energetic constraints. Overall, the results of this study suggest that the vocalizations of a wide range of whale species have undergone compression for increased communicative efficiency.","DOI":"10.31234/osf.io/tduab","language":"en-us","publisher":"OSF","source":"OSF Preprints","title":"Language-like efficiency in whale communication","URL":"https://osf.io/tduab","author":[{"family":"Youngblood","given":"Mason"}],"accessed":{"date-parts":[["2024",9,27]]},"issued":{"date-parts":[["2024",5,19]]}}}],"schema":"https://github.com/citation-style-language/schema/raw/master/csl-citation.json"}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13</w:t>
            </w:r>
            <w:r w:rsidRPr="00AD2B9D">
              <w:rPr>
                <w:rFonts w:ascii="Times New Roman" w:hAnsi="Times New Roman" w:cs="Times New Roman"/>
                <w:sz w:val="20"/>
                <w:szCs w:val="20"/>
                <w:lang w:val="en-CH" w:eastAsia="en-CH"/>
              </w:rPr>
              <w:fldChar w:fldCharType="end"/>
            </w:r>
            <w:r w:rsidRPr="00AD2B9D">
              <w:rPr>
                <w:rFonts w:ascii="Times New Roman" w:hAnsi="Times New Roman" w:cs="Times New Roman"/>
                <w:sz w:val="20"/>
                <w:szCs w:val="20"/>
                <w:lang w:val="en-CH" w:eastAsia="en-CH"/>
              </w:rPr>
              <w:t xml:space="preserve"> (preprint)</w:t>
            </w:r>
          </w:p>
        </w:tc>
      </w:tr>
      <w:tr w:rsidR="000440EF" w:rsidRPr="00AD2B9D" w14:paraId="70B91CBF" w14:textId="77777777" w:rsidTr="00AD2B9D">
        <w:trPr>
          <w:trHeight w:val="444"/>
        </w:trPr>
        <w:tc>
          <w:tcPr>
            <w:tcW w:w="2268" w:type="dxa"/>
            <w:tcBorders>
              <w:top w:val="nil"/>
              <w:left w:val="nil"/>
              <w:bottom w:val="nil"/>
              <w:right w:val="nil"/>
            </w:tcBorders>
            <w:shd w:val="clear" w:color="auto" w:fill="auto"/>
            <w:vAlign w:val="bottom"/>
            <w:hideMark/>
          </w:tcPr>
          <w:p w14:paraId="30A6281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African penguin</w:t>
            </w:r>
          </w:p>
        </w:tc>
        <w:tc>
          <w:tcPr>
            <w:tcW w:w="2094" w:type="dxa"/>
            <w:tcBorders>
              <w:top w:val="nil"/>
              <w:left w:val="nil"/>
              <w:bottom w:val="nil"/>
              <w:right w:val="nil"/>
            </w:tcBorders>
            <w:shd w:val="clear" w:color="auto" w:fill="auto"/>
            <w:vAlign w:val="bottom"/>
            <w:hideMark/>
          </w:tcPr>
          <w:p w14:paraId="715E0646"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Display song</w:t>
            </w:r>
          </w:p>
        </w:tc>
        <w:tc>
          <w:tcPr>
            <w:tcW w:w="1843" w:type="dxa"/>
            <w:tcBorders>
              <w:top w:val="nil"/>
              <w:left w:val="nil"/>
              <w:bottom w:val="nil"/>
              <w:right w:val="nil"/>
            </w:tcBorders>
            <w:shd w:val="clear" w:color="auto" w:fill="auto"/>
            <w:vAlign w:val="bottom"/>
            <w:hideMark/>
          </w:tcPr>
          <w:p w14:paraId="3F23A38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tcPr>
          <w:p w14:paraId="5545C591"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Favaro et al.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{"citationID":"9ewI807u","properties":{"formattedCitation":"\\super 5\\nosupersub{}","plainCitation":"5","noteIndex":0},"citationItems":[{"id":124,"uris":["http://zotero.org/users/5935085/items/T2BQ2U37"],"itemData":{"id":124,"type":"article-journal","abstract":"Information compression is a general principle of human language: the most frequent words are shorter in length (Zipf's Law of Brevity) and the duration of constituents decreases as the size of the linguistic construct increases (Menzerath–Altmann Law). Vocal sequences of non-human primates have been shown to conform to both these laws, suggesting information compression might be a more general principle. Here, we investigated whether display songs of the African penguin, which mediate recognition, intersexual mate choice and territorial defence, conform with these laws. Display songs are long, loud sequences combining three types of syllables. We found that the shortest type of syllable was the most frequent (with the shortest syllable being repeated stereotypically, potentially favouring signal redundancy in crowded environments). We also found that the average duration of the song's constituents was negatively correlated with the size of the song (a consequence of increasing the relative number of the shortest syllable type, rather than reducing the duration across all syllable types, thus preserving the communication of size-related information in the duration of the longest syllable type). Our results provide the first evidence for conformity to Zipf's and Menzerath–Altmann Laws in the vocal sequences of a non-primate species, indicating that these laws can coexist with selection pressures specific to the species' ecology.","container-title":"Biology Letters","DOI":"10.1098/rsbl.2019.0589","issue":"2","journalAbbreviation":"Biology Letters","page":"20190589","source":"royalsocietypublishing.org (Atypon)","title":"Do penguins’ vocal sequences conform to linguistic laws?","volume":"16","author":[{"family":"Favaro","given":"Livio"},{"family":"Gamba","given":"Marco"},{"family":"Cresta","given":"Eleonora"},{"family":"Fumagalli","given":"Elena"},{"family":"Bandoli","given":"Francesca"},{"family":"Pilenga","given":"Cristina"},{"family":"Isaja","given":"Valentina"},{"family":"Mathevon","given":"Nicolas"},{"family":"Reby","given":"David"}],"issued":{"date-parts":[["2020",2,26]]}}}],"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5</w:t>
            </w:r>
            <w:r w:rsidRPr="00AD2B9D">
              <w:rPr>
                <w:rFonts w:ascii="Times New Roman" w:hAnsi="Times New Roman" w:cs="Times New Roman"/>
                <w:sz w:val="20"/>
                <w:szCs w:val="20"/>
                <w:lang w:val="en-CH" w:eastAsia="en-CH"/>
              </w:rPr>
              <w:fldChar w:fldCharType="end"/>
            </w:r>
          </w:p>
        </w:tc>
      </w:tr>
      <w:tr w:rsidR="000440EF" w:rsidRPr="00AD2B9D" w14:paraId="20985C5C" w14:textId="77777777" w:rsidTr="00AD2B9D">
        <w:trPr>
          <w:trHeight w:val="590"/>
        </w:trPr>
        <w:tc>
          <w:tcPr>
            <w:tcW w:w="2268" w:type="dxa"/>
            <w:tcBorders>
              <w:top w:val="nil"/>
              <w:left w:val="nil"/>
              <w:bottom w:val="nil"/>
              <w:right w:val="nil"/>
            </w:tcBorders>
            <w:shd w:val="clear" w:color="auto" w:fill="auto"/>
            <w:vAlign w:val="bottom"/>
            <w:hideMark/>
          </w:tcPr>
          <w:p w14:paraId="0890B9C3"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Asian </w:t>
            </w:r>
            <w:proofErr w:type="spellStart"/>
            <w:r w:rsidRPr="00AD2B9D">
              <w:rPr>
                <w:rFonts w:ascii="Times New Roman" w:hAnsi="Times New Roman" w:cs="Times New Roman"/>
                <w:sz w:val="20"/>
                <w:szCs w:val="20"/>
                <w:lang w:val="en-CH" w:eastAsia="en-CH"/>
              </w:rPr>
              <w:t>parti-colored</w:t>
            </w:r>
            <w:proofErr w:type="spellEnd"/>
            <w:r w:rsidRPr="00AD2B9D">
              <w:rPr>
                <w:rFonts w:ascii="Times New Roman" w:hAnsi="Times New Roman" w:cs="Times New Roman"/>
                <w:sz w:val="20"/>
                <w:szCs w:val="20"/>
                <w:lang w:val="en-CH" w:eastAsia="en-CH"/>
              </w:rPr>
              <w:t xml:space="preserve"> bat (</w:t>
            </w:r>
            <w:proofErr w:type="spellStart"/>
            <w:r w:rsidRPr="00AD2B9D">
              <w:rPr>
                <w:rFonts w:ascii="Times New Roman" w:hAnsi="Times New Roman" w:cs="Times New Roman"/>
                <w:i/>
                <w:iCs/>
                <w:sz w:val="20"/>
                <w:szCs w:val="20"/>
                <w:shd w:val="clear" w:color="auto" w:fill="FFFFFF"/>
              </w:rPr>
              <w:t>Vespertilio</w:t>
            </w:r>
            <w:proofErr w:type="spellEnd"/>
            <w:r w:rsidRPr="00AD2B9D">
              <w:rPr>
                <w:rFonts w:ascii="Times New Roman" w:hAnsi="Times New Roman" w:cs="Times New Roman"/>
                <w:i/>
                <w:iCs/>
                <w:sz w:val="20"/>
                <w:szCs w:val="20"/>
                <w:shd w:val="clear" w:color="auto" w:fill="FFFFFF"/>
              </w:rPr>
              <w:t xml:space="preserve"> sinensis)</w:t>
            </w:r>
          </w:p>
        </w:tc>
        <w:tc>
          <w:tcPr>
            <w:tcW w:w="2094" w:type="dxa"/>
            <w:tcBorders>
              <w:top w:val="nil"/>
              <w:left w:val="nil"/>
              <w:bottom w:val="nil"/>
              <w:right w:val="nil"/>
            </w:tcBorders>
            <w:shd w:val="clear" w:color="auto" w:fill="auto"/>
            <w:vAlign w:val="bottom"/>
            <w:hideMark/>
          </w:tcPr>
          <w:p w14:paraId="33331062"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Aggressive vocalisations</w:t>
            </w:r>
          </w:p>
        </w:tc>
        <w:tc>
          <w:tcPr>
            <w:tcW w:w="1843" w:type="dxa"/>
            <w:tcBorders>
              <w:top w:val="nil"/>
              <w:left w:val="nil"/>
              <w:bottom w:val="nil"/>
              <w:right w:val="nil"/>
            </w:tcBorders>
            <w:shd w:val="clear" w:color="auto" w:fill="auto"/>
            <w:vAlign w:val="bottom"/>
            <w:hideMark/>
          </w:tcPr>
          <w:p w14:paraId="49084F53"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hideMark/>
          </w:tcPr>
          <w:p w14:paraId="5ED8072E"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Zhang et al. 2024 </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{"citationID":"BEBM8Sn3","properties":{"formattedCitation":"\\super 1\\nosupersub{}","plainCitation":"1","noteIndex":0},"citationItems":[{"id":5136,"uris":["http://zotero.org/users/5935085/items/NC6E7KPM"],"itemData":{"id":5136,"type":"article-journal","container-title":"iScience","DOI":"10.1016/j.isci.2024.110401","ISSN":"2589-0042","issue":"7","journalAbbreviation":"iScience","language":"English","note":"publisher: Elsevier","source":"www.cell.com","title":"Do bats’ social vocalizations conform to Zipf’s law and the Menzerath-Altmann law?","URL":"https://www.cell.com/iscience/abstract/S2589-0042(24)01626-2","volume":"27","author":[{"family":"Zhang","given":"Chunmian"},{"family":"Zheng","given":"Ziqi"},{"family":"Lucas","given":"Jeffrey R."},{"family":"Wang","given":"Yicheng"},{"family":"Fan","given":"Xin"},{"family":"Zhao","given":"Xin"},{"family":"Feng","given":"Jiang"},{"family":"Sun","given":"Congnan"},{"family":"Jiang","given":"Tinglei"}],"accessed":{"date-parts":[["2024",9,27]]},"issued":{"date-parts":[["2024",7,19]]}}}],"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w:t>
            </w:r>
            <w:r w:rsidRPr="00AD2B9D">
              <w:rPr>
                <w:rFonts w:ascii="Times New Roman" w:hAnsi="Times New Roman" w:cs="Times New Roman"/>
                <w:sz w:val="20"/>
                <w:szCs w:val="20"/>
                <w:lang w:val="en-CH" w:eastAsia="en-CH"/>
              </w:rPr>
              <w:fldChar w:fldCharType="end"/>
            </w:r>
          </w:p>
        </w:tc>
      </w:tr>
      <w:tr w:rsidR="000440EF" w:rsidRPr="00AD2B9D" w14:paraId="2775320F" w14:textId="77777777" w:rsidTr="00AD2B9D">
        <w:trPr>
          <w:trHeight w:val="491"/>
        </w:trPr>
        <w:tc>
          <w:tcPr>
            <w:tcW w:w="2268" w:type="dxa"/>
            <w:tcBorders>
              <w:top w:val="nil"/>
              <w:left w:val="nil"/>
              <w:bottom w:val="nil"/>
              <w:right w:val="nil"/>
            </w:tcBorders>
            <w:shd w:val="clear" w:color="auto" w:fill="auto"/>
            <w:vAlign w:val="bottom"/>
            <w:hideMark/>
          </w:tcPr>
          <w:p w14:paraId="101BF770"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Bottlenosed dolphins</w:t>
            </w:r>
          </w:p>
        </w:tc>
        <w:tc>
          <w:tcPr>
            <w:tcW w:w="2094" w:type="dxa"/>
            <w:tcBorders>
              <w:top w:val="nil"/>
              <w:left w:val="nil"/>
              <w:bottom w:val="nil"/>
              <w:right w:val="nil"/>
            </w:tcBorders>
            <w:shd w:val="clear" w:color="auto" w:fill="auto"/>
            <w:vAlign w:val="bottom"/>
            <w:hideMark/>
          </w:tcPr>
          <w:p w14:paraId="1BF03824"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Click sequences</w:t>
            </w:r>
          </w:p>
        </w:tc>
        <w:tc>
          <w:tcPr>
            <w:tcW w:w="1843" w:type="dxa"/>
            <w:tcBorders>
              <w:top w:val="nil"/>
              <w:left w:val="nil"/>
              <w:bottom w:val="nil"/>
              <w:right w:val="nil"/>
            </w:tcBorders>
            <w:shd w:val="clear" w:color="auto" w:fill="auto"/>
            <w:vAlign w:val="bottom"/>
            <w:hideMark/>
          </w:tcPr>
          <w:p w14:paraId="69A6763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tcPr>
          <w:p w14:paraId="32133F6E"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Stepanov et al. 2023 </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{"citationID":"jB90vPIC","properties":{"formattedCitation":"\\super 3\\nosupersub{}","plainCitation":"3","noteIndex":0},"citationItems":[{"id":5090,"uris":["http://zotero.org/users/5935085/items/G5Y9Z7IK"],"itemData":{"id":5090,"type":"article","abstract":"Bottlenose dolphins’ broadband click vocalizations are well studied in the literature with respect to their echolocation function. Their use for communication among conspecifics has long been speculated, but not conclusively established so far. In this study we categorize dolphins’ click productions into types on the basis of their amplitude contour and analyze the distribution of individual clicks and click sequences against their duration and length. We demonstrate that the repertoire and composition of clicks and click sequences follow three key linguistic laws of efficient communication, namely, Zipf’s rank-frequency law, the law of brevity and Menzerath-Altmann law. Conforming to the rank-frequency law suggests that clicks may form a linguistic code that is subject to selective pressures for unification, on the one hand, and diversification, on the other. Conforming to the other two laws also implies that dolphins use clicks in accord with the compression criterion, or minimization of code length without loss of information. Our results furnish novel evidence for conformity to the linguistic laws in this type of dolphins’ signal and in the realm of animal vocalizations more generally.","DOI":"10.1101/2023.01.11.523588","language":"en","license":"© 2023, Posted by Cold Spring Harbor Laboratory. This pre-print is available under a Creative Commons License (Attribution 4.0 International), CC BY 4.0, as described at http://creativecommons.org/licenses/by/4.0/","note":"page: 2023.01.11.523588\nsection: New Results","publisher":"bioRxiv","source":"bioRxiv","title":"Bottlenose dolphins’ broadband clicks are structured for communication","URL":"https://www.biorxiv.org/content/10.1101/2023.01.11.523588v1","author":[{"family":"Stepanov","given":"Arthur"},{"family":"Zhivomirov","given":"Hristo"},{"family":"Nedelchev","given":"Ivaylo"},{"family":"Stateva","given":"Penka"}],"accessed":{"date-parts":[["2024",4,29]]},"issued":{"date-parts":[["2023",1,11]]}}}],"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3</w:t>
            </w:r>
            <w:r w:rsidRPr="00AD2B9D">
              <w:rPr>
                <w:rFonts w:ascii="Times New Roman" w:hAnsi="Times New Roman" w:cs="Times New Roman"/>
                <w:sz w:val="20"/>
                <w:szCs w:val="20"/>
                <w:lang w:val="en-CH" w:eastAsia="en-CH"/>
              </w:rPr>
              <w:fldChar w:fldCharType="end"/>
            </w:r>
            <w:r w:rsidRPr="00AD2B9D">
              <w:rPr>
                <w:rFonts w:ascii="Times New Roman" w:hAnsi="Times New Roman" w:cs="Times New Roman"/>
                <w:sz w:val="20"/>
                <w:szCs w:val="20"/>
                <w:lang w:val="en-CH" w:eastAsia="en-CH"/>
              </w:rPr>
              <w:t xml:space="preserve"> (preprint)</w:t>
            </w:r>
          </w:p>
        </w:tc>
      </w:tr>
      <w:tr w:rsidR="000440EF" w:rsidRPr="00AD2B9D" w14:paraId="2F005107" w14:textId="77777777" w:rsidTr="00AD2B9D">
        <w:trPr>
          <w:trHeight w:val="700"/>
        </w:trPr>
        <w:tc>
          <w:tcPr>
            <w:tcW w:w="2268" w:type="dxa"/>
            <w:tcBorders>
              <w:top w:val="nil"/>
              <w:left w:val="nil"/>
              <w:bottom w:val="nil"/>
              <w:right w:val="nil"/>
            </w:tcBorders>
            <w:shd w:val="clear" w:color="auto" w:fill="auto"/>
            <w:vAlign w:val="bottom"/>
            <w:hideMark/>
          </w:tcPr>
          <w:p w14:paraId="560E2DC8"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Cao vit gibbon (</w:t>
            </w:r>
            <w:proofErr w:type="spellStart"/>
            <w:r w:rsidRPr="00AD2B9D">
              <w:rPr>
                <w:rFonts w:ascii="Times New Roman" w:hAnsi="Times New Roman" w:cs="Times New Roman"/>
                <w:sz w:val="20"/>
                <w:szCs w:val="20"/>
                <w:lang w:val="en-CH" w:eastAsia="en-CH"/>
              </w:rPr>
              <w:t>Nomascus</w:t>
            </w:r>
            <w:proofErr w:type="spellEnd"/>
            <w:r w:rsidRPr="00AD2B9D">
              <w:rPr>
                <w:rFonts w:ascii="Times New Roman" w:hAnsi="Times New Roman" w:cs="Times New Roman"/>
                <w:sz w:val="20"/>
                <w:szCs w:val="20"/>
                <w:lang w:val="en-CH" w:eastAsia="en-CH"/>
              </w:rPr>
              <w:t xml:space="preserve"> </w:t>
            </w:r>
            <w:proofErr w:type="spellStart"/>
            <w:r w:rsidRPr="00AD2B9D">
              <w:rPr>
                <w:rFonts w:ascii="Times New Roman" w:hAnsi="Times New Roman" w:cs="Times New Roman"/>
                <w:sz w:val="20"/>
                <w:szCs w:val="20"/>
                <w:lang w:val="en-CH" w:eastAsia="en-CH"/>
              </w:rPr>
              <w:t>nasutus</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78FF44A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Morning calls</w:t>
            </w:r>
          </w:p>
        </w:tc>
        <w:tc>
          <w:tcPr>
            <w:tcW w:w="1843" w:type="dxa"/>
            <w:tcBorders>
              <w:top w:val="nil"/>
              <w:left w:val="nil"/>
              <w:bottom w:val="nil"/>
              <w:right w:val="nil"/>
            </w:tcBorders>
            <w:shd w:val="clear" w:color="auto" w:fill="auto"/>
            <w:vAlign w:val="bottom"/>
            <w:hideMark/>
          </w:tcPr>
          <w:p w14:paraId="73FA4D5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hideMark/>
          </w:tcPr>
          <w:p w14:paraId="64767200"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Huang et al. 2020</w:t>
            </w:r>
            <w:r w:rsidRPr="00AD2B9D">
              <w:rPr>
                <w:rFonts w:ascii="Times New Roman" w:hAnsi="Times New Roman" w:cs="Times New Roman"/>
                <w:sz w:val="20"/>
                <w:szCs w:val="20"/>
                <w:lang w:val="en-CH" w:eastAsia="en-CH"/>
              </w:rPr>
              <w:fldChar w:fldCharType="begin"/>
            </w:r>
            <w:r>
              <w:rPr>
                <w:rFonts w:ascii="Times New Roman" w:hAnsi="Times New Roman" w:cs="Times New Roman"/>
                <w:sz w:val="20"/>
                <w:szCs w:val="20"/>
                <w:lang w:val="en-CH" w:eastAsia="en-CH"/>
              </w:rPr>
              <w:instrText xml:space="preserve"> ADDIN ZOTERO_ITEM CSL_CITATION {"citationID":"yugoxtsK","properties":{"formattedCitation":"\\super 9\\nosupersub{}","plainCitation":"9","noteIndex":0},"citationItems":[{"id":122,"uris":["http://zotero.org/users/5935085/items/99I4TVZQ"],"itemData":{"id":122,"type":"article-journal","abstract":"The study of vocal communication in nonhuman primates, especially apes, offers critical insight into the origins of human language. Although human language represents a highly derived and complex form of communication, researchers have found that the organization of language follows a series of common statistical patterns, known as ‘linguistic laws’. Zipf's law of brevity and Menzerath's law are pervasive across human languages, and these laws have been identified in the communication of a small number of primate species. What remains less clear is whether these two laws also affect long-distance vocal communication in primates. Here, we provide evidence that the long-distance morning calls of male gibbons (cao vit gibbon, Nomascus nasutus, and western black-crested gibbon, Nomascus concolor) follow both Zipf's law of brevity and Menzerath's law. We found that notes of male gibbon calls conform to Zipf's law of brevity, with the most common notes being shortest in duration. Similarly, longer sequences are made up of shorter calls on average, consistent with Menzerath's law; we also found a shortening of specific note type duration and an increase in proportion of shorter call types in longer sequences, which may underpin the emergence of this law. Our findings support the generality of these two linguistic laws beyond human language and provide evidence for compression at two levels of organizations (how frequently different note types are used, and how vocal sequences are constructed) in a long-range communication system.","container-title":"Animal Behaviour","DOI":"10.1016/j.anbehav.2019.11.017","ISSN":"0003-3472","journalAbbreviation":"Animal Behaviour","language":"en","page":"145-155","source":"ScienceDirect","title":"Male gibbon loud morning calls conform to Zipf's law of brevity and Menzerath's law: insights into the origin of human language","title-short":"Male gibbon loud morning calls conform to Zipf's law of brevity and Menzerath's law","volume":"160","author":[{"family":"Huang","given":"Mingpan"},{"family":"Ma","given":"Haigang"},{"family":"Ma","given":"Changyong"},{"family":"Garber","given":"Paul A."},{"family":"Fan","given":"Pengfei"}],"issued":{"date-parts":[["2020",2,1]]}}}],"schema":"https://github.com/citation-style-language/schema/raw/master/csl-citation.json"}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9</w:t>
            </w:r>
            <w:r w:rsidRPr="00AD2B9D">
              <w:rPr>
                <w:rFonts w:ascii="Times New Roman" w:hAnsi="Times New Roman" w:cs="Times New Roman"/>
                <w:sz w:val="20"/>
                <w:szCs w:val="20"/>
                <w:lang w:val="en-CH" w:eastAsia="en-CH"/>
              </w:rPr>
              <w:fldChar w:fldCharType="end"/>
            </w:r>
          </w:p>
        </w:tc>
      </w:tr>
      <w:tr w:rsidR="000440EF" w:rsidRPr="00AD2B9D" w14:paraId="0BDCA696" w14:textId="77777777" w:rsidTr="00AD2B9D">
        <w:trPr>
          <w:trHeight w:val="704"/>
        </w:trPr>
        <w:tc>
          <w:tcPr>
            <w:tcW w:w="2268" w:type="dxa"/>
            <w:tcBorders>
              <w:top w:val="nil"/>
              <w:left w:val="nil"/>
              <w:bottom w:val="nil"/>
              <w:right w:val="nil"/>
            </w:tcBorders>
            <w:shd w:val="clear" w:color="auto" w:fill="auto"/>
            <w:vAlign w:val="bottom"/>
            <w:hideMark/>
          </w:tcPr>
          <w:p w14:paraId="3A314A04"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Chimpanzees (Pan troglodytes)</w:t>
            </w:r>
          </w:p>
        </w:tc>
        <w:tc>
          <w:tcPr>
            <w:tcW w:w="2094" w:type="dxa"/>
            <w:tcBorders>
              <w:top w:val="nil"/>
              <w:left w:val="nil"/>
              <w:bottom w:val="nil"/>
              <w:right w:val="nil"/>
            </w:tcBorders>
            <w:shd w:val="clear" w:color="auto" w:fill="auto"/>
            <w:vAlign w:val="bottom"/>
            <w:hideMark/>
          </w:tcPr>
          <w:p w14:paraId="0FF15871"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Pant-hoots (long distance contact call)</w:t>
            </w:r>
          </w:p>
        </w:tc>
        <w:tc>
          <w:tcPr>
            <w:tcW w:w="1843" w:type="dxa"/>
            <w:tcBorders>
              <w:top w:val="nil"/>
              <w:left w:val="nil"/>
              <w:bottom w:val="nil"/>
              <w:right w:val="nil"/>
            </w:tcBorders>
            <w:shd w:val="clear" w:color="auto" w:fill="auto"/>
            <w:vAlign w:val="bottom"/>
            <w:hideMark/>
          </w:tcPr>
          <w:p w14:paraId="38DAAA7D"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tcPr>
          <w:p w14:paraId="37CB432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Fedurek et al. 2017</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{"citationID":"Dn2zTjv8","properties":{"formattedCitation":"\\super 8\\nosupersub{}","plainCitation":"8","noteIndex":0},"citationItems":[{"id":150,"uris":["http://zotero.org/users/5935085/items/YXPAEWLX"],"itemData":{"id":150,"type":"article-journal","abstract":"Vocal sequences - utterances consisting of calls produced in close succession - are common phenomena in animal communication. While many studies have explored the adaptive benefits of producing such sequences, very little is known about how the costs and constraints involved in their production affect their form. Here, we investigated this issue in the chimpanzee (Pan troglodytes schweinfurthii) pant hoot, a long and structurally complex vocal sequence comprising four acoustically distinct phases – introduction, build-up, climax and let-down.","container-title":"Frontiers in Zoology","DOI":"10.1186/s12983-017-0235-8","ISSN":"1742-9994","issue":"1","journalAbbreviation":"Frontiers in Zoology","page":"50","source":"BioMed Central","title":"Trade-offs in the production of animal vocal sequences: insights from the structure of wild chimpanzee pant hoots","title-short":"Trade-offs in the production of animal vocal sequences","volume":"14","author":[{"family":"Fedurek","given":"Pawel"},{"family":"Zuberbühler","given":"Klaus"},{"family":"Semple","given":"Stuart"}],"issued":{"date-parts":[["2017",11,6]]}}}],"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8</w:t>
            </w:r>
            <w:r w:rsidRPr="00AD2B9D">
              <w:rPr>
                <w:rFonts w:ascii="Times New Roman" w:hAnsi="Times New Roman" w:cs="Times New Roman"/>
                <w:sz w:val="20"/>
                <w:szCs w:val="20"/>
                <w:lang w:val="en-CH" w:eastAsia="en-CH"/>
              </w:rPr>
              <w:fldChar w:fldCharType="end"/>
            </w:r>
          </w:p>
        </w:tc>
      </w:tr>
      <w:tr w:rsidR="000440EF" w:rsidRPr="00AD2B9D" w14:paraId="5019641A" w14:textId="77777777" w:rsidTr="000440EF">
        <w:trPr>
          <w:trHeight w:val="720"/>
        </w:trPr>
        <w:tc>
          <w:tcPr>
            <w:tcW w:w="2268" w:type="dxa"/>
            <w:tcBorders>
              <w:top w:val="nil"/>
              <w:left w:val="nil"/>
              <w:right w:val="nil"/>
            </w:tcBorders>
            <w:shd w:val="clear" w:color="auto" w:fill="auto"/>
            <w:vAlign w:val="bottom"/>
            <w:hideMark/>
          </w:tcPr>
          <w:p w14:paraId="2AEF736D"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Chimpanzees (Pan troglodytes)</w:t>
            </w:r>
          </w:p>
        </w:tc>
        <w:tc>
          <w:tcPr>
            <w:tcW w:w="2094" w:type="dxa"/>
            <w:tcBorders>
              <w:top w:val="nil"/>
              <w:left w:val="nil"/>
              <w:right w:val="nil"/>
            </w:tcBorders>
            <w:shd w:val="clear" w:color="auto" w:fill="auto"/>
            <w:vAlign w:val="bottom"/>
            <w:hideMark/>
          </w:tcPr>
          <w:p w14:paraId="3F2BF982"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Play-based gestures</w:t>
            </w:r>
          </w:p>
        </w:tc>
        <w:tc>
          <w:tcPr>
            <w:tcW w:w="1843" w:type="dxa"/>
            <w:tcBorders>
              <w:top w:val="nil"/>
              <w:left w:val="nil"/>
              <w:right w:val="nil"/>
            </w:tcBorders>
            <w:shd w:val="clear" w:color="auto" w:fill="auto"/>
            <w:vAlign w:val="bottom"/>
            <w:hideMark/>
          </w:tcPr>
          <w:p w14:paraId="150FD30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right w:val="nil"/>
            </w:tcBorders>
            <w:shd w:val="clear" w:color="auto" w:fill="auto"/>
            <w:vAlign w:val="bottom"/>
            <w:hideMark/>
          </w:tcPr>
          <w:p w14:paraId="1B20B055"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Heesen et al. 2019</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{"citationID":"rp2AuIUQ","properties":{"formattedCitation":"\\super 12\\nosupersub{}","plainCitation":"12","noteIndex":0},"citationItems":[{"id":151,"uris":["http://zotero.org/users/5935085/items/5ZBMUF3R"],"itemData":{"id":151,"type":"article-journal","abstract":"Studies testing linguistic laws outside language have provided important insights into the organization of biological systems. For example, patterns consistent with Zipf's law of abbreviation (which predicts a negative relationship between word length and frequency of use) have been found in the vocal and non-vocal behaviour of a range of animals, and patterns consistent with Menzerath's law (according to which longer sequences are made up of shorter constituents) have been found in primate vocal sequences, and in genes, proteins and genomes. Both laws have been linked to compression—the information theoretic principle of minimizing code length. Here, we present the first test of these laws in animal gestural communication. We initially did not find the negative relationship between gesture duration and frequency of use predicted by Zipf's law of abbreviation, but this relationship was seen in specific subsets of the repertoire. Furthermore, a pattern opposite to that predicted was seen in one subset of gestures—whole body signals. We found a negative correlation between number and mean duration of gestures in sequences, in line with Menzerath's law. These results provide the first evidence that compression underpins animal gestural communication, and highlight an important commonality between primate gesturing and language.","container-title":"Proceedings of the Royal Society B: Biological Sciences","DOI":"10.1098/rspb.2018.2900","issue":"1896","journalAbbreviation":"Proceedings of the Royal Society B: Biological Sciences","page":"20182900","source":"royalsocietypublishing.org (Atypon)","title":"Linguistic laws in chimpanzee gestural communication","volume":"286","author":[{"family":"Heesen","given":"Raphaela"},{"family":"Hobaiter","given":"Catherine"},{"family":"Ferrer-i-Cancho","given":"Ramon"},{"family":"Semple","given":"Stuart"}],"issued":{"date-parts":[["2019",2,13]]}}}],"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12</w:t>
            </w:r>
            <w:r w:rsidRPr="00AD2B9D">
              <w:rPr>
                <w:rFonts w:ascii="Times New Roman" w:hAnsi="Times New Roman" w:cs="Times New Roman"/>
                <w:sz w:val="20"/>
                <w:szCs w:val="20"/>
                <w:lang w:val="en-CH" w:eastAsia="en-CH"/>
              </w:rPr>
              <w:fldChar w:fldCharType="end"/>
            </w:r>
          </w:p>
        </w:tc>
      </w:tr>
      <w:tr w:rsidR="000440EF" w:rsidRPr="00AD2B9D" w14:paraId="52B67876" w14:textId="77777777" w:rsidTr="000440EF">
        <w:trPr>
          <w:trHeight w:val="722"/>
        </w:trPr>
        <w:tc>
          <w:tcPr>
            <w:tcW w:w="2268" w:type="dxa"/>
            <w:tcBorders>
              <w:top w:val="nil"/>
              <w:left w:val="nil"/>
              <w:right w:val="nil"/>
            </w:tcBorders>
            <w:shd w:val="clear" w:color="auto" w:fill="auto"/>
            <w:vAlign w:val="bottom"/>
            <w:hideMark/>
          </w:tcPr>
          <w:p w14:paraId="79220E43"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Chimpanzees (Pan troglodytes)</w:t>
            </w:r>
          </w:p>
        </w:tc>
        <w:tc>
          <w:tcPr>
            <w:tcW w:w="2094" w:type="dxa"/>
            <w:tcBorders>
              <w:top w:val="nil"/>
              <w:left w:val="nil"/>
              <w:right w:val="nil"/>
            </w:tcBorders>
            <w:shd w:val="clear" w:color="auto" w:fill="auto"/>
            <w:vAlign w:val="bottom"/>
            <w:hideMark/>
          </w:tcPr>
          <w:p w14:paraId="2A8A11DC"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Sexual solicitation gestures</w:t>
            </w:r>
          </w:p>
        </w:tc>
        <w:tc>
          <w:tcPr>
            <w:tcW w:w="1843" w:type="dxa"/>
            <w:tcBorders>
              <w:top w:val="nil"/>
              <w:left w:val="nil"/>
              <w:right w:val="nil"/>
            </w:tcBorders>
            <w:shd w:val="clear" w:color="auto" w:fill="auto"/>
            <w:vAlign w:val="bottom"/>
            <w:hideMark/>
          </w:tcPr>
          <w:p w14:paraId="0DDBDF98"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 in 11 of 16</w:t>
            </w:r>
          </w:p>
        </w:tc>
        <w:tc>
          <w:tcPr>
            <w:tcW w:w="2875" w:type="dxa"/>
            <w:tcBorders>
              <w:top w:val="nil"/>
              <w:left w:val="nil"/>
              <w:right w:val="nil"/>
            </w:tcBorders>
            <w:shd w:val="clear" w:color="auto" w:fill="auto"/>
            <w:vAlign w:val="bottom"/>
          </w:tcPr>
          <w:p w14:paraId="471D8650" w14:textId="77777777" w:rsidR="000440EF" w:rsidRPr="00AD2B9D" w:rsidRDefault="000440EF" w:rsidP="00AD2B9D">
            <w:pPr>
              <w:spacing w:after="0" w:line="276" w:lineRule="auto"/>
              <w:rPr>
                <w:rFonts w:ascii="Times New Roman" w:hAnsi="Times New Roman" w:cs="Times New Roman"/>
                <w:sz w:val="20"/>
                <w:szCs w:val="20"/>
                <w:lang w:val="en-CH" w:eastAsia="en-CH"/>
              </w:rPr>
            </w:pPr>
            <w:proofErr w:type="spellStart"/>
            <w:r w:rsidRPr="00AD2B9D">
              <w:rPr>
                <w:rFonts w:ascii="Times New Roman" w:hAnsi="Times New Roman" w:cs="Times New Roman"/>
                <w:sz w:val="20"/>
                <w:szCs w:val="20"/>
                <w:lang w:val="en-CH" w:eastAsia="en-CH"/>
              </w:rPr>
              <w:t>Safryghin</w:t>
            </w:r>
            <w:proofErr w:type="spellEnd"/>
            <w:r w:rsidRPr="00AD2B9D">
              <w:rPr>
                <w:rFonts w:ascii="Times New Roman" w:hAnsi="Times New Roman" w:cs="Times New Roman"/>
                <w:sz w:val="20"/>
                <w:szCs w:val="20"/>
                <w:lang w:val="en-CH" w:eastAsia="en-CH"/>
              </w:rPr>
              <w:t xml:space="preserve"> et al. 2022</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{"citationID":"IXO2EIDn","properties":{"formattedCitation":"\\super 15\\nosupersub{}","plainCitation":"15","noteIndex":0},"citationItems":[{"id":4782,"uris":["http://zotero.org/users/5935085/items/9F8RBF2M"],"itemData":{"id":4782,"type":"article-journal","abstract":"Two language laws have been identified as consistent patterns shaping animal behaviour, both acting on the organizational level of communicative systems. Zipf's law of brevity describes a negative relationship between behavioural length and frequency. Menzerath's law defines a negative correlation between the number of behaviours in a sequence and average length of the behaviour composing it. Both laws have been linked with the information-theoretic principle of compression, which tends to minimize code length. We investigated their presence in a case study of male chimpanzee sexual solicitation gesture. We failed to find evidence supporting Zipf's law of brevity, but solicitation gestures followed Menzerath's law: longer sequences had shorter average gesture duration. Our results extend previous findings suggesting gesturing may be limited by individual energetic constraints. However, such patterns may only emerge in sufficiently large datasets. Chimpanzee gestural repertoires do not appear to manifest a consistent principle of compression previously described in many other close-range systems of communication. Importantly, the same signallers and signals were previously shown to adhere to these laws in subsets of the repertoire when used in play; highlighting that, in addition to selection on the signal repertoire, ape gestural expression appears shaped by factors in the immediate socio-ecological context.","container-title":"Royal Society Open Science","DOI":"10.1098/rsos.220849","issue":"11","note":"publisher: Royal Society","page":"220849","source":"royalsocietypublishing.org (Atypon)","title":"Variable expression of linguistic laws in ape gesture: a case study from chimpanzee sexual solicitation","title-short":"Variable expression of linguistic laws in ape gesture","volume":"9","author":[{"family":"Safryghin","given":"Alexandra"},{"family":"Cross","given":"Catharine"},{"family":"Fallon","given":"Brittany"},{"family":"Heesen","given":"Raphaela"},{"family":"Ferrer-i-Cancho","given":"Ramon"},{"family":"Hobaiter","given":"Catherine"}],"issued":{"date-parts":[["2022",11,9]]}}}],"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15</w:t>
            </w:r>
            <w:r w:rsidRPr="00AD2B9D">
              <w:rPr>
                <w:rFonts w:ascii="Times New Roman" w:hAnsi="Times New Roman" w:cs="Times New Roman"/>
                <w:sz w:val="20"/>
                <w:szCs w:val="20"/>
                <w:lang w:val="en-CH" w:eastAsia="en-CH"/>
              </w:rPr>
              <w:fldChar w:fldCharType="end"/>
            </w:r>
          </w:p>
        </w:tc>
      </w:tr>
      <w:tr w:rsidR="000440EF" w:rsidRPr="00AD2B9D" w14:paraId="03A14065" w14:textId="77777777" w:rsidTr="000440EF">
        <w:trPr>
          <w:trHeight w:val="491"/>
        </w:trPr>
        <w:tc>
          <w:tcPr>
            <w:tcW w:w="2268" w:type="dxa"/>
            <w:tcBorders>
              <w:left w:val="nil"/>
              <w:bottom w:val="nil"/>
              <w:right w:val="nil"/>
            </w:tcBorders>
            <w:shd w:val="clear" w:color="auto" w:fill="auto"/>
            <w:vAlign w:val="bottom"/>
            <w:hideMark/>
          </w:tcPr>
          <w:p w14:paraId="3D38390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Geladas</w:t>
            </w:r>
          </w:p>
        </w:tc>
        <w:tc>
          <w:tcPr>
            <w:tcW w:w="2094" w:type="dxa"/>
            <w:tcBorders>
              <w:left w:val="nil"/>
              <w:bottom w:val="nil"/>
              <w:right w:val="nil"/>
            </w:tcBorders>
            <w:shd w:val="clear" w:color="auto" w:fill="auto"/>
            <w:vAlign w:val="bottom"/>
            <w:hideMark/>
          </w:tcPr>
          <w:p w14:paraId="30F1C765"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Contact call sequences</w:t>
            </w:r>
          </w:p>
        </w:tc>
        <w:tc>
          <w:tcPr>
            <w:tcW w:w="1843" w:type="dxa"/>
            <w:tcBorders>
              <w:left w:val="nil"/>
              <w:bottom w:val="nil"/>
              <w:right w:val="nil"/>
            </w:tcBorders>
            <w:shd w:val="clear" w:color="auto" w:fill="auto"/>
            <w:vAlign w:val="bottom"/>
            <w:hideMark/>
          </w:tcPr>
          <w:p w14:paraId="467B4A74"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left w:val="nil"/>
              <w:bottom w:val="nil"/>
              <w:right w:val="nil"/>
            </w:tcBorders>
            <w:shd w:val="clear" w:color="auto" w:fill="auto"/>
            <w:vAlign w:val="bottom"/>
          </w:tcPr>
          <w:p w14:paraId="02E4190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Gustison et al. 2016</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{"citationID":"2GtpLFW7","properties":{"formattedCitation":"\\super 4\\nosupersub{}","plainCitation":"4","noteIndex":0},"citationItems":[{"id":153,"uris":["http://zotero.org/users/5935085/items/KWS5NTJU"],"itemData":{"id":153,"type":"article-journal","abstract":"Identifying universal principles underpinning diverse natural systems is a key goal of the life sciences. A powerful approach in addressing this goal has been to test whether patterns consistent with linguistic laws are found in nonhuman animals. Menzerath’s law is a linguistic law that states that, the larger the construct, the smaller the size of its constituents. Here, to our knowledge, we present the first evidence that Menzerath’s law holds in the vocal communication of a nonhuman species. We show that, in vocal sequences of wild male geladas (Theropithecus gelada), construct size (sequence size in number of calls) is negatively correlated with constituent size (duration of calls). Call duration does not vary significantly with position in the sequence, but call sequence composition does change with sequence size and most call types are abbreviated in larger sequences. We also find that intercall intervals follow the same relationship with sequence size as do calls. Finally, we provide formal mathematical support for the idea that Menzerath’s law reflects compression—the principle of minimizing the expected length of a code. Our findings suggest that a common principle underpins human and gelada vocal communication, highlighting the value of exploring the applicability of linguistic laws in vocal systems outside the realm of language.","container-title":"Proceedings of the National Academy of Sciences","DOI":"10.1073/pnas.1522072113","ISSN":"0027-8424, 1091-6490","issue":"19","journalAbbreviation":"PNAS","language":"en","license":"©  . http://www.pnas.org/preview_site/misc/userlicense.xhtml","note":"PMID: 27091968","page":"E2750-E2758","source":"www.pnas.org","title":"Gelada vocal sequences follow Menzerath’s linguistic law","volume":"113","author":[{"family":"Gustison","given":"Morgan L."},{"family":"Semple","given":"Stuart"},{"family":"Ferrer-i-Cancho","given":"Ramon"},{"family":"Bergman","given":"Thore J."}],"issued":{"date-parts":[["2016",5,10]]}}}],"schema":"https://github.com/citation-style-language/schema/raw/master/csl-citation.json"}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4</w:t>
            </w:r>
            <w:r w:rsidRPr="00AD2B9D">
              <w:rPr>
                <w:rFonts w:ascii="Times New Roman" w:hAnsi="Times New Roman" w:cs="Times New Roman"/>
                <w:sz w:val="20"/>
                <w:szCs w:val="20"/>
                <w:lang w:val="en-CH" w:eastAsia="en-CH"/>
              </w:rPr>
              <w:fldChar w:fldCharType="end"/>
            </w:r>
          </w:p>
        </w:tc>
      </w:tr>
      <w:tr w:rsidR="000440EF" w:rsidRPr="00AD2B9D" w14:paraId="23439815" w14:textId="77777777" w:rsidTr="00AD2B9D">
        <w:trPr>
          <w:trHeight w:val="708"/>
        </w:trPr>
        <w:tc>
          <w:tcPr>
            <w:tcW w:w="2268" w:type="dxa"/>
            <w:tcBorders>
              <w:top w:val="nil"/>
              <w:left w:val="nil"/>
              <w:bottom w:val="nil"/>
              <w:right w:val="nil"/>
            </w:tcBorders>
            <w:shd w:val="clear" w:color="auto" w:fill="auto"/>
            <w:vAlign w:val="bottom"/>
            <w:hideMark/>
          </w:tcPr>
          <w:p w14:paraId="5C30192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Gibbons (Hylobates </w:t>
            </w:r>
            <w:proofErr w:type="spellStart"/>
            <w:r w:rsidRPr="00AD2B9D">
              <w:rPr>
                <w:rFonts w:ascii="Times New Roman" w:hAnsi="Times New Roman" w:cs="Times New Roman"/>
                <w:sz w:val="20"/>
                <w:szCs w:val="20"/>
                <w:lang w:val="en-CH" w:eastAsia="en-CH"/>
              </w:rPr>
              <w:t>funereus</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3C42531D"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Duets</w:t>
            </w:r>
          </w:p>
        </w:tc>
        <w:tc>
          <w:tcPr>
            <w:tcW w:w="1843" w:type="dxa"/>
            <w:tcBorders>
              <w:top w:val="nil"/>
              <w:left w:val="nil"/>
              <w:bottom w:val="nil"/>
              <w:right w:val="nil"/>
            </w:tcBorders>
            <w:shd w:val="clear" w:color="auto" w:fill="auto"/>
            <w:vAlign w:val="bottom"/>
            <w:hideMark/>
          </w:tcPr>
          <w:p w14:paraId="577B5B8C"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Partial (in some call-types)</w:t>
            </w:r>
          </w:p>
        </w:tc>
        <w:tc>
          <w:tcPr>
            <w:tcW w:w="2875" w:type="dxa"/>
            <w:tcBorders>
              <w:top w:val="nil"/>
              <w:left w:val="nil"/>
              <w:bottom w:val="nil"/>
              <w:right w:val="nil"/>
            </w:tcBorders>
            <w:shd w:val="clear" w:color="auto" w:fill="auto"/>
            <w:vAlign w:val="bottom"/>
            <w:hideMark/>
          </w:tcPr>
          <w:p w14:paraId="3273E5CC"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Clink &amp; Lau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{"citationID":"dx6MdhOj","properties":{"formattedCitation":"\\super 7\\nosupersub{}","plainCitation":"7","noteIndex":0},"citationItems":[{"id":3475,"uris":["http://zotero.org/users/5935085/items/T3ET3CVK"],"itemData":{"id":3475,"type":"article-journal","abstract":"Across diverse systems including language, music and genomes, there is a tendency for longer sequences to contain shorter constituents; this phenomenon is known as Menzerath's Law. Whether Menzerath's Law is a universal in biological systems, is the result of compression (wherein shortest possible strings represent the maximum amount of information) or emerges from an inevitable relationship between sequence and constituent length remains a topic of debate. In non-human primates, the vocalizations of geladas, male gibbons and chimpanzees exhibit patterns consistent with Menzerath's Law. Here, we use existing datasets of three duetting primate species (tarsiers, titi monkeys and gibbons) to examine the wide-scale applicability of Menzerath's Law. Primate duets provide a useful comparative model to test for the broad-scale applicability of Menzerath's Law, as they evolved independently under presumably similar selection pressures and are emitted under the same context(s) across taxa. Only four out of the eight call types we examined were consistent with Menzerath's Law. Two of these call types exhibited a negative relationship between the position of the note in the call and note duration, indicating that adherence to Menzerath's Law in these call types may be related to breathing constraints. Exceptions to Menzerath's Law occur when notes are relatively homogeneous, or when species-specific call structure leads to a deterministic decrease in note duration. We show that adherence to Menzerath's Law is the exception rather than the rule in duetting primates. It is possible that selection pressures for long-range signals that can travel effectively over large distances was stronger than that of compression in primate duets. Future studies investigating adherence to Menzerath's Law across the vocal repertoires of these species will help us better elucidate the pressures that shape both short- and long-distance acoustic signals.","container-title":"Royal Society Open Science","ISSN":"2054-5703","issue":"11","language":"eng","title":"Adherence to Menzerath's Law is the exception (not the rule) in three duetting primate species.","volume":"7","author":[{"family":"Clink","given":"Dena J."},{"family":"Lau","given":"Allison R."}],"issued":{"date-parts":[["2020"]]}}}],"schema":"https://github.com/citation-style-language/schema/raw/master/csl-citation.json"}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7</w:t>
            </w:r>
            <w:r w:rsidRPr="00AD2B9D">
              <w:rPr>
                <w:rFonts w:ascii="Times New Roman" w:hAnsi="Times New Roman" w:cs="Times New Roman"/>
                <w:sz w:val="20"/>
                <w:szCs w:val="20"/>
                <w:lang w:val="en-CH" w:eastAsia="en-CH"/>
              </w:rPr>
              <w:fldChar w:fldCharType="end"/>
            </w:r>
          </w:p>
        </w:tc>
      </w:tr>
      <w:tr w:rsidR="000440EF" w:rsidRPr="00AD2B9D" w14:paraId="2869B90D" w14:textId="77777777" w:rsidTr="00AD2B9D">
        <w:trPr>
          <w:trHeight w:val="706"/>
        </w:trPr>
        <w:tc>
          <w:tcPr>
            <w:tcW w:w="2268" w:type="dxa"/>
            <w:tcBorders>
              <w:top w:val="nil"/>
              <w:left w:val="nil"/>
              <w:bottom w:val="nil"/>
              <w:right w:val="nil"/>
            </w:tcBorders>
            <w:shd w:val="clear" w:color="auto" w:fill="auto"/>
            <w:vAlign w:val="bottom"/>
            <w:hideMark/>
          </w:tcPr>
          <w:p w14:paraId="732E105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Hainan frilled treefrogs (</w:t>
            </w:r>
            <w:proofErr w:type="spellStart"/>
            <w:r w:rsidRPr="00AD2B9D">
              <w:rPr>
                <w:rFonts w:ascii="Times New Roman" w:hAnsi="Times New Roman" w:cs="Times New Roman"/>
                <w:i/>
                <w:iCs/>
                <w:sz w:val="20"/>
                <w:szCs w:val="20"/>
                <w:lang w:val="en-CH" w:eastAsia="en-CH"/>
              </w:rPr>
              <w:t>Kurixalus</w:t>
            </w:r>
            <w:proofErr w:type="spellEnd"/>
            <w:r w:rsidRPr="00AD2B9D">
              <w:rPr>
                <w:rFonts w:ascii="Times New Roman" w:hAnsi="Times New Roman" w:cs="Times New Roman"/>
                <w:i/>
                <w:iCs/>
                <w:sz w:val="20"/>
                <w:szCs w:val="20"/>
                <w:lang w:val="en-CH" w:eastAsia="en-CH"/>
              </w:rPr>
              <w:t xml:space="preserve"> </w:t>
            </w:r>
            <w:proofErr w:type="spellStart"/>
            <w:r w:rsidRPr="00AD2B9D">
              <w:rPr>
                <w:rFonts w:ascii="Times New Roman" w:hAnsi="Times New Roman" w:cs="Times New Roman"/>
                <w:i/>
                <w:iCs/>
                <w:sz w:val="20"/>
                <w:szCs w:val="20"/>
                <w:lang w:val="en-CH" w:eastAsia="en-CH"/>
              </w:rPr>
              <w:t>hainanus</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49364BC6"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Various calls</w:t>
            </w:r>
          </w:p>
        </w:tc>
        <w:tc>
          <w:tcPr>
            <w:tcW w:w="1843" w:type="dxa"/>
            <w:tcBorders>
              <w:top w:val="nil"/>
              <w:left w:val="nil"/>
              <w:bottom w:val="nil"/>
              <w:right w:val="nil"/>
            </w:tcBorders>
            <w:shd w:val="clear" w:color="auto" w:fill="auto"/>
            <w:vAlign w:val="bottom"/>
            <w:hideMark/>
          </w:tcPr>
          <w:p w14:paraId="4305C72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Partial</w:t>
            </w:r>
          </w:p>
        </w:tc>
        <w:tc>
          <w:tcPr>
            <w:tcW w:w="2875" w:type="dxa"/>
            <w:tcBorders>
              <w:top w:val="nil"/>
              <w:left w:val="nil"/>
              <w:bottom w:val="nil"/>
              <w:right w:val="nil"/>
            </w:tcBorders>
            <w:shd w:val="clear" w:color="auto" w:fill="auto"/>
            <w:vAlign w:val="bottom"/>
          </w:tcPr>
          <w:p w14:paraId="4FB68719"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Deng et al. 2024</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{"citationID":"lT9jfvKW","properties":{"formattedCitation":"\\super 6\\nosupersub{}","plainCitation":"6","noteIndex":0},"citationItems":[{"id":5138,"uris":["http://zotero.org/users/5935085/items/QWTNKPXL"],"itemData":{"id":5138,"type":"article-journal","abstract":"Information compression is widely regarded as a fundamental principle that applies to human language. Zipf's law of abbreviation and Menzerath–Altmann's law are two linguistic laws related to information compression and have been demonstrated in human language and other communication systems. Female choice and male-male competition in anurans (frogs and toads) depend heavily on vocal communication. However, it remains unclear whether the laws reflecting information compression apply to vocal communication in anurans. Hainan frilled treefrogs, Kurixalus hainanus, are suitable anuran species to test Zipf's law of abbreviation and Menzerath–Altmann's law as male K. hainanus can emit either monosyllabic or multisyllabic calls with three types of notes (i.e. A, B and C notes). In the present study, we mathematically examined whether the vocalizations of K. hainanus conform to these laws. We found that the note type duration was positively correlated with its frequency of occurrence, which was the opposite finding to that predicted by Zipf's law of abbreviation. We also found that the note duration was negatively correlated with call size (the number of notes in a call), but only A notes exhibited patterns consistent with Menzerath–Altmann's law when analysed separately. These results may be caused by the different physical characteristics or different functions and selection pressures of different note types. Further linear mixed model analysis showed that the duration of A notes was significantly negatively correlated with note position in a call, which suggests that the conformity to Menzerath–Altmann's law in A note is caused by energetic or breathing constraints on vocal production. Lastly, we observed a negative correlation between internote interval duration and call size. Our findings support the existence of information compression in vocal communication systems in anurans, among other communication principles, and contribute to increasing our understanding of universal patterns in communication systems.","container-title":"Animal Behaviour","DOI":"10.1016/j.anbehav.2024.04.011","ISSN":"0003-3472","journalAbbreviation":"Animal Behaviour","page":"51-59","source":"ScienceDirect","title":"Hainan frilled treefrogs' calls partially conform to Menzerath–Altmann's law, but oppose Zipf's law of abbreviation","volume":"213","author":[{"family":"Deng","given":"Ke"},{"family":"He","given":"Yu-Xiao"},{"family":"Wang","given":"Xiao-Ping"},{"family":"Wang","given":"Tong-Liang"},{"family":"Wang","given":"Ji-Chao"},{"family":"Chen","given":"You-Hua"},{"family":"Cui","given":"Jian-Guo"}],"issued":{"date-parts":[["2024",7,1]]}}}],"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6</w:t>
            </w:r>
            <w:r w:rsidRPr="00AD2B9D">
              <w:rPr>
                <w:rFonts w:ascii="Times New Roman" w:hAnsi="Times New Roman" w:cs="Times New Roman"/>
                <w:sz w:val="20"/>
                <w:szCs w:val="20"/>
                <w:lang w:val="en-CH" w:eastAsia="en-CH"/>
              </w:rPr>
              <w:fldChar w:fldCharType="end"/>
            </w:r>
          </w:p>
        </w:tc>
      </w:tr>
      <w:tr w:rsidR="000440EF" w:rsidRPr="00AD2B9D" w14:paraId="60E103F1" w14:textId="77777777" w:rsidTr="00AD2B9D">
        <w:trPr>
          <w:trHeight w:val="1033"/>
        </w:trPr>
        <w:tc>
          <w:tcPr>
            <w:tcW w:w="2268" w:type="dxa"/>
            <w:tcBorders>
              <w:top w:val="nil"/>
              <w:left w:val="nil"/>
              <w:bottom w:val="nil"/>
              <w:right w:val="nil"/>
            </w:tcBorders>
            <w:shd w:val="clear" w:color="auto" w:fill="auto"/>
            <w:vAlign w:val="bottom"/>
            <w:hideMark/>
          </w:tcPr>
          <w:p w14:paraId="7AED01E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House finch (</w:t>
            </w:r>
            <w:proofErr w:type="spellStart"/>
            <w:r w:rsidRPr="00AD2B9D">
              <w:rPr>
                <w:rFonts w:ascii="Times New Roman" w:hAnsi="Times New Roman" w:cs="Times New Roman"/>
                <w:sz w:val="20"/>
                <w:szCs w:val="20"/>
                <w:lang w:val="en-CH" w:eastAsia="en-CH"/>
              </w:rPr>
              <w:t>Haemorhous</w:t>
            </w:r>
            <w:proofErr w:type="spellEnd"/>
            <w:r w:rsidRPr="00AD2B9D">
              <w:rPr>
                <w:rFonts w:ascii="Times New Roman" w:hAnsi="Times New Roman" w:cs="Times New Roman"/>
                <w:sz w:val="20"/>
                <w:szCs w:val="20"/>
                <w:lang w:val="en-CH" w:eastAsia="en-CH"/>
              </w:rPr>
              <w:t xml:space="preserve"> mexicanus)</w:t>
            </w:r>
          </w:p>
        </w:tc>
        <w:tc>
          <w:tcPr>
            <w:tcW w:w="2094" w:type="dxa"/>
            <w:tcBorders>
              <w:top w:val="nil"/>
              <w:left w:val="nil"/>
              <w:bottom w:val="nil"/>
              <w:right w:val="nil"/>
            </w:tcBorders>
            <w:shd w:val="clear" w:color="auto" w:fill="auto"/>
            <w:vAlign w:val="bottom"/>
            <w:hideMark/>
          </w:tcPr>
          <w:p w14:paraId="71702256"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Song</w:t>
            </w:r>
          </w:p>
        </w:tc>
        <w:tc>
          <w:tcPr>
            <w:tcW w:w="1843" w:type="dxa"/>
            <w:tcBorders>
              <w:top w:val="nil"/>
              <w:left w:val="nil"/>
              <w:bottom w:val="nil"/>
              <w:right w:val="nil"/>
            </w:tcBorders>
            <w:shd w:val="clear" w:color="auto" w:fill="auto"/>
            <w:vAlign w:val="bottom"/>
            <w:hideMark/>
          </w:tcPr>
          <w:p w14:paraId="75E22876"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hideMark/>
          </w:tcPr>
          <w:p w14:paraId="00373460"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Youngblood 2024b</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{"citationID":"wLQceINY","properties":{"formattedCitation":"\\super 14\\nosupersub{}","plainCitation":"14","noteIndex":0},"citationItems":[{"id":5132,"uris":["http://zotero.org/users/5935085/items/RIQS7LDR"],"itemData":{"id":5132,"type":"article-journal","abstract":"Communication needs to be complex enough to be functional while minimizing learning and production costs. Recent work suggests that the vocalizations and gestures of some songbirds, cetaceans and great apes may conform to linguistic laws that reflect this trade-off between efficiency and complexity. In studies of non-human communication, though, clustering signals into types cannot be done a priori, and decisions about the appropriate grain of analysis may affect statistical signals in the data. The aim of this study was to assess the evidence for language-like efficiency and structure in house finch (Haemorhous mexicanus) song across three levels of granularity in syllable clustering. The results show strong evidence for Zipf's rank–frequency law, Zipf's law of abbreviation and Menzerath's law. Additional analyses show that house finch songs have small-world structure, thought to reflect systematic structure in syntax, and the mutual information decay of sequences is consistent with a combination of Markovian and hierarchical processes. These statistical patterns are robust across three levels of granularity in syllable clustering, pointing to a limited form of scale invariance. In sum, it appears that house finch song has been shaped by pressure for efficiency, possibly to offset the costs of female preferences for complexity.","container-title":"Proceedings of the Royal Society B: Biological Sciences","DOI":"10.1098/rspb.2024.0250","issue":"2020","note":"publisher: Royal Society","page":"20240250","source":"royalsocietypublishing.org (Atypon)","title":"Language-like efficiency and structure in house finch song","volume":"291","author":[{"family":"Youngblood","given":"Mason"}],"issued":{"date-parts":[["2024",4,3]]}}}],"schema":"https://github.com/citation-style-language/schema/raw/master/csl-citation.json"}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14</w:t>
            </w:r>
            <w:r w:rsidRPr="00AD2B9D">
              <w:rPr>
                <w:rFonts w:ascii="Times New Roman" w:hAnsi="Times New Roman" w:cs="Times New Roman"/>
                <w:sz w:val="20"/>
                <w:szCs w:val="20"/>
                <w:lang w:val="en-CH" w:eastAsia="en-CH"/>
              </w:rPr>
              <w:fldChar w:fldCharType="end"/>
            </w:r>
          </w:p>
        </w:tc>
      </w:tr>
      <w:tr w:rsidR="000440EF" w:rsidRPr="00AD2B9D" w14:paraId="75076D47" w14:textId="77777777" w:rsidTr="00AD2B9D">
        <w:trPr>
          <w:trHeight w:val="696"/>
        </w:trPr>
        <w:tc>
          <w:tcPr>
            <w:tcW w:w="2268" w:type="dxa"/>
            <w:tcBorders>
              <w:top w:val="nil"/>
              <w:left w:val="nil"/>
              <w:bottom w:val="nil"/>
              <w:right w:val="nil"/>
            </w:tcBorders>
            <w:shd w:val="clear" w:color="auto" w:fill="auto"/>
            <w:vAlign w:val="bottom"/>
            <w:hideMark/>
          </w:tcPr>
          <w:p w14:paraId="33610FD1"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Java sparrow (Padda </w:t>
            </w:r>
            <w:proofErr w:type="spellStart"/>
            <w:r w:rsidRPr="00AD2B9D">
              <w:rPr>
                <w:rFonts w:ascii="Times New Roman" w:hAnsi="Times New Roman" w:cs="Times New Roman"/>
                <w:sz w:val="20"/>
                <w:szCs w:val="20"/>
                <w:lang w:val="en-CH" w:eastAsia="en-CH"/>
              </w:rPr>
              <w:t>oryzivora</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2DA88FEE"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Song</w:t>
            </w:r>
          </w:p>
        </w:tc>
        <w:tc>
          <w:tcPr>
            <w:tcW w:w="1843" w:type="dxa"/>
            <w:tcBorders>
              <w:top w:val="nil"/>
              <w:left w:val="nil"/>
              <w:bottom w:val="nil"/>
              <w:right w:val="nil"/>
            </w:tcBorders>
            <w:shd w:val="clear" w:color="auto" w:fill="auto"/>
            <w:vAlign w:val="bottom"/>
            <w:hideMark/>
          </w:tcPr>
          <w:p w14:paraId="36A6707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nil"/>
              <w:right w:val="nil"/>
            </w:tcBorders>
            <w:shd w:val="clear" w:color="auto" w:fill="auto"/>
            <w:vAlign w:val="bottom"/>
          </w:tcPr>
          <w:p w14:paraId="2A36026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Lewis et al. 2023</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{"citationID":"h97d3vfm","properties":{"formattedCitation":"\\super 11\\nosupersub{}","plainCitation":"11","noteIndex":0},"citationItems":[{"id":5140,"uris":["http://zotero.org/users/5935085/items/H48ERJYX"],"itemData":{"id":5140,"type":"article","abstract":"Linguistic laws, which describe common statistical patterns in human language, are often studied in animal communication systems. Despite good evidence for the existence of these laws in non-human primates, data is still limited for other taxa. Birdsong is often used as a model for human language development due to similarities in vocal learning and production. Therefore, it is useful to explore features of human language in birdsong to determine the value and limitations of such comparisons. Here, we looked for patterns consistent with Menzerath’s law, the tendency for longer sequences to be made up of smaller constituent parts, and Zipf’s Law of Abbreviation, the tendency for more frequently used elements to be shorter in length, in the songs of Java sparrows (Padda oryzivora). We found that songs conformed to Menzerath’s law at both the population and individual level; longer sequences were made up of shorter notes, and this pattern was achieved through note selection, rather than shortening existing notes. This adherence to Menzerath’s law may reflect species-specific constraints on song durations. However, we found no evidence to support adherence to Zipf’s Law of Abbreviation, either at population or individual level; more frequently used notes were not shorter in length. As they are used in courtship, songs may experience different selection pressure to other parts of the vocal repertoire, which could act against compression. Whilst there may be some limitations in applying linguistic laws designed for human language to birdsong, especially Zipf’s Law of Abbreviation, these laws may still provide insights into animal and human communication systems.","DOI":"10.1101/2023.12.13.571437","language":"en","license":"© 2023, Posted by Cold Spring Harbor Laboratory. This pre-print is available under a Creative Commons License (Attribution 4.0 International), CC BY 4.0, as described at http://creativecommons.org/licenses/by/4.0/","note":"page: 2023.12.13.571437\nsection: New Results","publisher":"bioRxiv","source":"bioRxiv","title":"Java sparrow song conforms to Menzerath’s Law but not Zipf’s Law of Abbreviation","URL":"https://www.biorxiv.org/content/10.1101/2023.12.13.571437v2","author":[{"family":"Lewis","given":"Rebecca N."},{"family":"Kwong","given":"Anthony"},{"family":"Soma","given":"Masayo"},{"family":"Kort","given":"Selvino R.","dropping-particle":"de"},{"family":"Gilman","given":"R. Tucker"}],"accessed":{"date-parts":[["2024",9,27]]},"issued":{"date-parts":[["2023",12,19]]}}}],"schema":"https://github.com/citation-style-language/schema/raw/master/csl-citation.json"}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11</w:t>
            </w:r>
            <w:r w:rsidRPr="00AD2B9D">
              <w:rPr>
                <w:rFonts w:ascii="Times New Roman" w:hAnsi="Times New Roman" w:cs="Times New Roman"/>
                <w:sz w:val="20"/>
                <w:szCs w:val="20"/>
                <w:lang w:val="en-CH" w:eastAsia="en-CH"/>
              </w:rPr>
              <w:fldChar w:fldCharType="end"/>
            </w:r>
            <w:r w:rsidRPr="00AD2B9D">
              <w:rPr>
                <w:rFonts w:ascii="Times New Roman" w:hAnsi="Times New Roman" w:cs="Times New Roman"/>
                <w:sz w:val="20"/>
                <w:szCs w:val="20"/>
                <w:lang w:val="en-CH" w:eastAsia="en-CH"/>
              </w:rPr>
              <w:t xml:space="preserve"> (preprint)</w:t>
            </w:r>
          </w:p>
        </w:tc>
      </w:tr>
      <w:tr w:rsidR="000440EF" w:rsidRPr="00AD2B9D" w14:paraId="04A291ED" w14:textId="77777777" w:rsidTr="00AD2B9D">
        <w:trPr>
          <w:trHeight w:val="1007"/>
        </w:trPr>
        <w:tc>
          <w:tcPr>
            <w:tcW w:w="2268" w:type="dxa"/>
            <w:tcBorders>
              <w:top w:val="nil"/>
              <w:left w:val="nil"/>
              <w:bottom w:val="nil"/>
              <w:right w:val="nil"/>
            </w:tcBorders>
            <w:shd w:val="clear" w:color="auto" w:fill="auto"/>
            <w:vAlign w:val="bottom"/>
            <w:hideMark/>
          </w:tcPr>
          <w:p w14:paraId="38F835A7"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 xml:space="preserve">Mountain gorillas (Gorilla </w:t>
            </w:r>
            <w:proofErr w:type="spellStart"/>
            <w:r w:rsidRPr="00AD2B9D">
              <w:rPr>
                <w:rFonts w:ascii="Times New Roman" w:hAnsi="Times New Roman" w:cs="Times New Roman"/>
                <w:sz w:val="20"/>
                <w:szCs w:val="20"/>
                <w:lang w:val="en-CH" w:eastAsia="en-CH"/>
              </w:rPr>
              <w:t>beringei</w:t>
            </w:r>
            <w:proofErr w:type="spellEnd"/>
            <w:r w:rsidRPr="00AD2B9D">
              <w:rPr>
                <w:rFonts w:ascii="Times New Roman" w:hAnsi="Times New Roman" w:cs="Times New Roman"/>
                <w:sz w:val="20"/>
                <w:szCs w:val="20"/>
                <w:lang w:val="en-CH" w:eastAsia="en-CH"/>
              </w:rPr>
              <w:t xml:space="preserve"> </w:t>
            </w:r>
            <w:proofErr w:type="spellStart"/>
            <w:r w:rsidRPr="00AD2B9D">
              <w:rPr>
                <w:rFonts w:ascii="Times New Roman" w:hAnsi="Times New Roman" w:cs="Times New Roman"/>
                <w:sz w:val="20"/>
                <w:szCs w:val="20"/>
                <w:lang w:val="en-CH" w:eastAsia="en-CH"/>
              </w:rPr>
              <w:t>beringei</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252F210F"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Food calls</w:t>
            </w:r>
          </w:p>
        </w:tc>
        <w:tc>
          <w:tcPr>
            <w:tcW w:w="1843" w:type="dxa"/>
            <w:tcBorders>
              <w:top w:val="nil"/>
              <w:left w:val="nil"/>
              <w:bottom w:val="nil"/>
              <w:right w:val="nil"/>
            </w:tcBorders>
            <w:shd w:val="clear" w:color="auto" w:fill="auto"/>
            <w:vAlign w:val="bottom"/>
            <w:hideMark/>
          </w:tcPr>
          <w:p w14:paraId="1C140AAD"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Partial (only if including bouts of n calls = 1)</w:t>
            </w:r>
          </w:p>
        </w:tc>
        <w:tc>
          <w:tcPr>
            <w:tcW w:w="2875" w:type="dxa"/>
            <w:tcBorders>
              <w:top w:val="nil"/>
              <w:left w:val="nil"/>
              <w:bottom w:val="nil"/>
              <w:right w:val="nil"/>
            </w:tcBorders>
            <w:shd w:val="clear" w:color="auto" w:fill="auto"/>
            <w:vAlign w:val="bottom"/>
            <w:hideMark/>
          </w:tcPr>
          <w:p w14:paraId="47EA5A9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Watson et al.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{"citationID":"yHGlUwmP","properties":{"formattedCitation":"\\super 10\\nosupersub{}","plainCitation":"10","noteIndex":0},"citationItems":[{"id":88,"uris":["http://zotero.org/users/5935085/items/DHMJNH8N"],"itemData":{"id":88,"type":"article-journal","abstract":"Menzerath's law, traditionally framed as a negative relationship between the size of a structure and its constituent parts (e.g. sentences with more clauses have shorter clauses), is widespread across information-coding systems ranging from human language and the vocal and gestural sequences of primates and birds, to the building blocks of DNA, genes and proteins. Here, we analysed an extensive dataset of ‘close-call' sequences produced by wild mountain gorillas (Gorilla beringei beringei, no. individuals = 10, no. sequences = 2189) to determine whether, in accordance with Menzerath's law, a negative relationship existed between the number of vocal units in a sequence and the duration of its constituent units. We initially found positive evidence for this but, on closer inspection, the negative relationship was driven entirely by the difference between single- and multi-unit (two to six unit) sequences. Once single-unit sequences were excluded from the analysis, we identified a relationship in the opposite direction, with longer sequences generally composed of longer units. The close-call sequences of mountain gorillas therefore represent an intriguing example of a non-human vocal system that only partially conforms to the predictions of Menzerath's law.","container-title":"Biology Letters","DOI":"10.1098/rsbl.2020.0380","issue":"10","journalAbbreviation":"Biology Letters","note":"publisher: Royal Society","page":"20200380","source":"royalsocietypublishing.org (Atypon)","title":"An exploration of Menzerath's law in wild mountain gorilla vocal sequences","volume":"16","author":[{"family":"Watson","given":"Stuart K."},{"family":"Heesen","given":"Raphaela"},{"family":"Hedwig","given":"Daniela"},{"family":"Robbins","given":"Martha M."},{"family":"Townsend","given":"Simon W."}],"issued":{"date-parts":[["2020",10,28]]}}}],"schema":"https://github.com/citation-style-language/schema/raw/master/csl-citation.json"}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10</w:t>
            </w:r>
            <w:r w:rsidRPr="00AD2B9D">
              <w:rPr>
                <w:rFonts w:ascii="Times New Roman" w:hAnsi="Times New Roman" w:cs="Times New Roman"/>
                <w:sz w:val="20"/>
                <w:szCs w:val="20"/>
                <w:lang w:val="en-CH" w:eastAsia="en-CH"/>
              </w:rPr>
              <w:fldChar w:fldCharType="end"/>
            </w:r>
          </w:p>
        </w:tc>
      </w:tr>
      <w:tr w:rsidR="000440EF" w:rsidRPr="00AD2B9D" w14:paraId="66FC0444" w14:textId="77777777" w:rsidTr="00AD2B9D">
        <w:trPr>
          <w:trHeight w:val="702"/>
        </w:trPr>
        <w:tc>
          <w:tcPr>
            <w:tcW w:w="2268" w:type="dxa"/>
            <w:tcBorders>
              <w:top w:val="nil"/>
              <w:left w:val="nil"/>
              <w:bottom w:val="nil"/>
              <w:right w:val="nil"/>
            </w:tcBorders>
            <w:shd w:val="clear" w:color="auto" w:fill="auto"/>
            <w:vAlign w:val="bottom"/>
            <w:hideMark/>
          </w:tcPr>
          <w:p w14:paraId="6BC4EB9D"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Tarsiers (</w:t>
            </w:r>
            <w:proofErr w:type="spellStart"/>
            <w:r w:rsidRPr="00AD2B9D">
              <w:rPr>
                <w:rFonts w:ascii="Times New Roman" w:hAnsi="Times New Roman" w:cs="Times New Roman"/>
                <w:sz w:val="20"/>
                <w:szCs w:val="20"/>
                <w:lang w:val="en-CH" w:eastAsia="en-CH"/>
              </w:rPr>
              <w:t>Tarsius</w:t>
            </w:r>
            <w:proofErr w:type="spellEnd"/>
            <w:r w:rsidRPr="00AD2B9D">
              <w:rPr>
                <w:rFonts w:ascii="Times New Roman" w:hAnsi="Times New Roman" w:cs="Times New Roman"/>
                <w:sz w:val="20"/>
                <w:szCs w:val="20"/>
                <w:lang w:val="en-CH" w:eastAsia="en-CH"/>
              </w:rPr>
              <w:t xml:space="preserve"> </w:t>
            </w:r>
            <w:proofErr w:type="spellStart"/>
            <w:r w:rsidRPr="00AD2B9D">
              <w:rPr>
                <w:rFonts w:ascii="Times New Roman" w:hAnsi="Times New Roman" w:cs="Times New Roman"/>
                <w:sz w:val="20"/>
                <w:szCs w:val="20"/>
                <w:lang w:val="en-CH" w:eastAsia="en-CH"/>
              </w:rPr>
              <w:t>spectrumgurskyae</w:t>
            </w:r>
            <w:proofErr w:type="spellEnd"/>
            <w:r w:rsidRPr="00AD2B9D">
              <w:rPr>
                <w:rFonts w:ascii="Times New Roman" w:hAnsi="Times New Roman" w:cs="Times New Roman"/>
                <w:sz w:val="20"/>
                <w:szCs w:val="20"/>
                <w:lang w:val="en-CH" w:eastAsia="en-CH"/>
              </w:rPr>
              <w:t>)</w:t>
            </w:r>
          </w:p>
        </w:tc>
        <w:tc>
          <w:tcPr>
            <w:tcW w:w="2094" w:type="dxa"/>
            <w:tcBorders>
              <w:top w:val="nil"/>
              <w:left w:val="nil"/>
              <w:bottom w:val="nil"/>
              <w:right w:val="nil"/>
            </w:tcBorders>
            <w:shd w:val="clear" w:color="auto" w:fill="auto"/>
            <w:vAlign w:val="bottom"/>
            <w:hideMark/>
          </w:tcPr>
          <w:p w14:paraId="7C8FE0EA"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Duets</w:t>
            </w:r>
          </w:p>
        </w:tc>
        <w:tc>
          <w:tcPr>
            <w:tcW w:w="1843" w:type="dxa"/>
            <w:tcBorders>
              <w:top w:val="nil"/>
              <w:left w:val="nil"/>
              <w:bottom w:val="nil"/>
              <w:right w:val="nil"/>
            </w:tcBorders>
            <w:shd w:val="clear" w:color="auto" w:fill="auto"/>
            <w:vAlign w:val="bottom"/>
            <w:hideMark/>
          </w:tcPr>
          <w:p w14:paraId="36B46D04"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Partial (some call-types)</w:t>
            </w:r>
          </w:p>
        </w:tc>
        <w:tc>
          <w:tcPr>
            <w:tcW w:w="2875" w:type="dxa"/>
            <w:tcBorders>
              <w:top w:val="nil"/>
              <w:left w:val="nil"/>
              <w:bottom w:val="nil"/>
              <w:right w:val="nil"/>
            </w:tcBorders>
            <w:shd w:val="clear" w:color="auto" w:fill="auto"/>
            <w:vAlign w:val="bottom"/>
          </w:tcPr>
          <w:p w14:paraId="42C6FD9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Clink &amp; Lau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{"citationID":"ZOJstpWC","properties":{"formattedCitation":"\\super 7\\nosupersub{}","plainCitation":"7","noteIndex":0},"citationItems":[{"id":3475,"uris":["http://zotero.org/users/5935085/items/T3ET3CVK"],"itemData":{"id":3475,"type":"article-journal","abstract":"Across diverse systems including language, music and genomes, there is a tendency for longer sequences to contain shorter constituents; this phenomenon is known as Menzerath's Law. Whether Menzerath's Law is a universal in biological systems, is the result of compression (wherein shortest possible strings represent the maximum amount of information) or emerges from an inevitable relationship between sequence and constituent length remains a topic of debate. In non-human primates, the vocalizations of geladas, male gibbons and chimpanzees exhibit patterns consistent with Menzerath's Law. Here, we use existing datasets of three duetting primate species (tarsiers, titi monkeys and gibbons) to examine the wide-scale applicability of Menzerath's Law. Primate duets provide a useful comparative model to test for the broad-scale applicability of Menzerath's Law, as they evolved independently under presumably similar selection pressures and are emitted under the same context(s) across taxa. Only four out of the eight call types we examined were consistent with Menzerath's Law. Two of these call types exhibited a negative relationship between the position of the note in the call and note duration, indicating that adherence to Menzerath's Law in these call types may be related to breathing constraints. Exceptions to Menzerath's Law occur when notes are relatively homogeneous, or when species-specific call structure leads to a deterministic decrease in note duration. We show that adherence to Menzerath's Law is the exception rather than the rule in duetting primates. It is possible that selection pressures for long-range signals that can travel effectively over large distances was stronger than that of compression in primate duets. Future studies investigating adherence to Menzerath's Law across the vocal repertoires of these species will help us better elucidate the pressures that shape both short- and long-distance acoustic signals.","container-title":"Royal Society Open Science","ISSN":"2054-5703","issue":"11","language":"eng","title":"Adherence to Menzerath's Law is the exception (not the rule) in three duetting primate species.","volume":"7","author":[{"family":"Clink","given":"Dena J."},{"family":"Lau","given":"Allison R."}],"issued":{"date-parts":[["2020"]]}}}],"schema":"https://github.com/citation-style-language/schema/raw/master/csl-citation.json"}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7</w:t>
            </w:r>
            <w:r w:rsidRPr="00AD2B9D">
              <w:rPr>
                <w:rFonts w:ascii="Times New Roman" w:hAnsi="Times New Roman" w:cs="Times New Roman"/>
                <w:sz w:val="20"/>
                <w:szCs w:val="20"/>
                <w:lang w:val="en-CH" w:eastAsia="en-CH"/>
              </w:rPr>
              <w:fldChar w:fldCharType="end"/>
            </w:r>
          </w:p>
        </w:tc>
      </w:tr>
      <w:tr w:rsidR="000440EF" w:rsidRPr="00AD2B9D" w14:paraId="56540D4C" w14:textId="77777777" w:rsidTr="000440EF">
        <w:trPr>
          <w:trHeight w:val="712"/>
        </w:trPr>
        <w:tc>
          <w:tcPr>
            <w:tcW w:w="2268" w:type="dxa"/>
            <w:tcBorders>
              <w:top w:val="nil"/>
              <w:left w:val="nil"/>
              <w:right w:val="nil"/>
            </w:tcBorders>
            <w:shd w:val="clear" w:color="auto" w:fill="auto"/>
            <w:vAlign w:val="bottom"/>
            <w:hideMark/>
          </w:tcPr>
          <w:p w14:paraId="6D3C8030"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Titi monkeys (</w:t>
            </w:r>
            <w:proofErr w:type="spellStart"/>
            <w:r w:rsidRPr="00AD2B9D">
              <w:rPr>
                <w:rFonts w:ascii="Times New Roman" w:hAnsi="Times New Roman" w:cs="Times New Roman"/>
                <w:sz w:val="20"/>
                <w:szCs w:val="20"/>
                <w:lang w:val="en-CH" w:eastAsia="en-CH"/>
              </w:rPr>
              <w:t>Plecturocebus</w:t>
            </w:r>
            <w:proofErr w:type="spellEnd"/>
            <w:r w:rsidRPr="00AD2B9D">
              <w:rPr>
                <w:rFonts w:ascii="Times New Roman" w:hAnsi="Times New Roman" w:cs="Times New Roman"/>
                <w:sz w:val="20"/>
                <w:szCs w:val="20"/>
                <w:lang w:val="en-CH" w:eastAsia="en-CH"/>
              </w:rPr>
              <w:t xml:space="preserve"> </w:t>
            </w:r>
            <w:proofErr w:type="spellStart"/>
            <w:r w:rsidRPr="00AD2B9D">
              <w:rPr>
                <w:rFonts w:ascii="Times New Roman" w:hAnsi="Times New Roman" w:cs="Times New Roman"/>
                <w:sz w:val="20"/>
                <w:szCs w:val="20"/>
                <w:lang w:val="en-CH" w:eastAsia="en-CH"/>
              </w:rPr>
              <w:t>cupreus</w:t>
            </w:r>
            <w:proofErr w:type="spellEnd"/>
            <w:r w:rsidRPr="00AD2B9D">
              <w:rPr>
                <w:rFonts w:ascii="Times New Roman" w:hAnsi="Times New Roman" w:cs="Times New Roman"/>
                <w:sz w:val="20"/>
                <w:szCs w:val="20"/>
                <w:lang w:val="en-CH" w:eastAsia="en-CH"/>
              </w:rPr>
              <w:t>)</w:t>
            </w:r>
          </w:p>
        </w:tc>
        <w:tc>
          <w:tcPr>
            <w:tcW w:w="2094" w:type="dxa"/>
            <w:tcBorders>
              <w:top w:val="nil"/>
              <w:left w:val="nil"/>
              <w:right w:val="nil"/>
            </w:tcBorders>
            <w:shd w:val="clear" w:color="auto" w:fill="auto"/>
            <w:vAlign w:val="bottom"/>
            <w:hideMark/>
          </w:tcPr>
          <w:p w14:paraId="450EA953"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Duets</w:t>
            </w:r>
          </w:p>
        </w:tc>
        <w:tc>
          <w:tcPr>
            <w:tcW w:w="1843" w:type="dxa"/>
            <w:tcBorders>
              <w:top w:val="nil"/>
              <w:left w:val="nil"/>
              <w:right w:val="nil"/>
            </w:tcBorders>
            <w:shd w:val="clear" w:color="auto" w:fill="auto"/>
            <w:vAlign w:val="bottom"/>
            <w:hideMark/>
          </w:tcPr>
          <w:p w14:paraId="5E82A09B"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Partial (in some call-types)</w:t>
            </w:r>
          </w:p>
        </w:tc>
        <w:tc>
          <w:tcPr>
            <w:tcW w:w="2875" w:type="dxa"/>
            <w:tcBorders>
              <w:top w:val="nil"/>
              <w:left w:val="nil"/>
              <w:right w:val="nil"/>
            </w:tcBorders>
            <w:shd w:val="clear" w:color="auto" w:fill="auto"/>
            <w:vAlign w:val="bottom"/>
            <w:hideMark/>
          </w:tcPr>
          <w:p w14:paraId="545830C6"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Clink &amp; Lau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{"citationID":"lDlS6yZi","properties":{"formattedCitation":"\\super 7\\nosupersub{}","plainCitation":"7","noteIndex":0},"citationItems":[{"id":3475,"uris":["http://zotero.org/users/5935085/items/T3ET3CVK"],"itemData":{"id":3475,"type":"article-journal","abstract":"Across diverse systems including language, music and genomes, there is a tendency for longer sequences to contain shorter constituents; this phenomenon is known as Menzerath's Law. Whether Menzerath's Law is a universal in biological systems, is the result of compression (wherein shortest possible strings represent the maximum amount of information) or emerges from an inevitable relationship between sequence and constituent length remains a topic of debate. In non-human primates, the vocalizations of geladas, male gibbons and chimpanzees exhibit patterns consistent with Menzerath's Law. Here, we use existing datasets of three duetting primate species (tarsiers, titi monkeys and gibbons) to examine the wide-scale applicability of Menzerath's Law. Primate duets provide a useful comparative model to test for the broad-scale applicability of Menzerath's Law, as they evolved independently under presumably similar selection pressures and are emitted under the same context(s) across taxa. Only four out of the eight call types we examined were consistent with Menzerath's Law. Two of these call types exhibited a negative relationship between the position of the note in the call and note duration, indicating that adherence to Menzerath's Law in these call types may be related to breathing constraints. Exceptions to Menzerath's Law occur when notes are relatively homogeneous, or when species-specific call structure leads to a deterministic decrease in note duration. We show that adherence to Menzerath's Law is the exception rather than the rule in duetting primates. It is possible that selection pressures for long-range signals that can travel effectively over large distances was stronger than that of compression in primate duets. Future studies investigating adherence to Menzerath's Law across the vocal repertoires of these species will help us better elucidate the pressures that shape both short- and long-distance acoustic signals.","container-title":"Royal Society Open Science","ISSN":"2054-5703","issue":"11","language":"eng","title":"Adherence to Menzerath's Law is the exception (not the rule) in three duetting primate species.","volume":"7","author":[{"family":"Clink","given":"Dena J."},{"family":"Lau","given":"Allison R."}],"issued":{"date-parts":[["2020"]]}}}],"schema":"https://github.com/citation-style-language/schema/raw/master/csl-citation.json"}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7</w:t>
            </w:r>
            <w:r w:rsidRPr="00AD2B9D">
              <w:rPr>
                <w:rFonts w:ascii="Times New Roman" w:hAnsi="Times New Roman" w:cs="Times New Roman"/>
                <w:sz w:val="20"/>
                <w:szCs w:val="20"/>
                <w:lang w:val="en-CH" w:eastAsia="en-CH"/>
              </w:rPr>
              <w:fldChar w:fldCharType="end"/>
            </w:r>
          </w:p>
        </w:tc>
      </w:tr>
      <w:tr w:rsidR="000440EF" w:rsidRPr="00AD2B9D" w14:paraId="3E2DA30C" w14:textId="77777777" w:rsidTr="000440EF">
        <w:trPr>
          <w:trHeight w:val="997"/>
        </w:trPr>
        <w:tc>
          <w:tcPr>
            <w:tcW w:w="2268" w:type="dxa"/>
            <w:tcBorders>
              <w:top w:val="nil"/>
              <w:left w:val="nil"/>
              <w:bottom w:val="single" w:sz="4" w:space="0" w:color="auto"/>
              <w:right w:val="nil"/>
            </w:tcBorders>
            <w:shd w:val="clear" w:color="auto" w:fill="auto"/>
            <w:vAlign w:val="bottom"/>
            <w:hideMark/>
          </w:tcPr>
          <w:p w14:paraId="718EEFA1" w14:textId="1CCE6B5C" w:rsidR="000440EF" w:rsidRPr="00AD2B9D" w:rsidRDefault="000440EF" w:rsidP="00AD2B9D">
            <w:pPr>
              <w:spacing w:after="0" w:line="276" w:lineRule="auto"/>
              <w:rPr>
                <w:rFonts w:ascii="Times New Roman" w:hAnsi="Times New Roman" w:cs="Times New Roman"/>
                <w:sz w:val="20"/>
                <w:szCs w:val="20"/>
                <w:lang w:val="en-CH" w:eastAsia="en-CH"/>
              </w:rPr>
            </w:pPr>
            <w:proofErr w:type="gramStart"/>
            <w:r>
              <w:rPr>
                <w:rFonts w:ascii="Times New Roman" w:hAnsi="Times New Roman" w:cs="Times New Roman"/>
                <w:sz w:val="20"/>
                <w:szCs w:val="20"/>
                <w:lang w:val="en-CH" w:eastAsia="en-CH"/>
              </w:rPr>
              <w:t>W</w:t>
            </w:r>
            <w:r w:rsidRPr="00AD2B9D">
              <w:rPr>
                <w:rFonts w:ascii="Times New Roman" w:hAnsi="Times New Roman" w:cs="Times New Roman"/>
                <w:sz w:val="20"/>
                <w:szCs w:val="20"/>
                <w:lang w:val="en-CH" w:eastAsia="en-CH"/>
              </w:rPr>
              <w:t>estern black-crested</w:t>
            </w:r>
            <w:proofErr w:type="gramEnd"/>
            <w:r w:rsidRPr="00AD2B9D">
              <w:rPr>
                <w:rFonts w:ascii="Times New Roman" w:hAnsi="Times New Roman" w:cs="Times New Roman"/>
                <w:sz w:val="20"/>
                <w:szCs w:val="20"/>
                <w:lang w:val="en-CH" w:eastAsia="en-CH"/>
              </w:rPr>
              <w:t xml:space="preserve"> gibbon (</w:t>
            </w:r>
            <w:proofErr w:type="spellStart"/>
            <w:r w:rsidRPr="00AD2B9D">
              <w:rPr>
                <w:rFonts w:ascii="Times New Roman" w:hAnsi="Times New Roman" w:cs="Times New Roman"/>
                <w:i/>
                <w:iCs/>
                <w:sz w:val="20"/>
                <w:szCs w:val="20"/>
                <w:lang w:val="en-CH" w:eastAsia="en-CH"/>
              </w:rPr>
              <w:t>Nomascus</w:t>
            </w:r>
            <w:proofErr w:type="spellEnd"/>
            <w:r w:rsidRPr="00AD2B9D">
              <w:rPr>
                <w:rFonts w:ascii="Times New Roman" w:hAnsi="Times New Roman" w:cs="Times New Roman"/>
                <w:i/>
                <w:iCs/>
                <w:sz w:val="20"/>
                <w:szCs w:val="20"/>
                <w:lang w:val="en-CH" w:eastAsia="en-CH"/>
              </w:rPr>
              <w:t xml:space="preserve"> concolor)</w:t>
            </w:r>
          </w:p>
        </w:tc>
        <w:tc>
          <w:tcPr>
            <w:tcW w:w="2094" w:type="dxa"/>
            <w:tcBorders>
              <w:top w:val="nil"/>
              <w:left w:val="nil"/>
              <w:bottom w:val="single" w:sz="4" w:space="0" w:color="auto"/>
              <w:right w:val="nil"/>
            </w:tcBorders>
            <w:shd w:val="clear" w:color="auto" w:fill="auto"/>
            <w:vAlign w:val="bottom"/>
            <w:hideMark/>
          </w:tcPr>
          <w:p w14:paraId="138BD739"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Morning calls</w:t>
            </w:r>
          </w:p>
        </w:tc>
        <w:tc>
          <w:tcPr>
            <w:tcW w:w="1843" w:type="dxa"/>
            <w:tcBorders>
              <w:top w:val="nil"/>
              <w:left w:val="nil"/>
              <w:bottom w:val="single" w:sz="4" w:space="0" w:color="auto"/>
              <w:right w:val="nil"/>
            </w:tcBorders>
            <w:shd w:val="clear" w:color="auto" w:fill="auto"/>
            <w:vAlign w:val="bottom"/>
            <w:hideMark/>
          </w:tcPr>
          <w:p w14:paraId="76CC5030"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Yes</w:t>
            </w:r>
          </w:p>
        </w:tc>
        <w:tc>
          <w:tcPr>
            <w:tcW w:w="2875" w:type="dxa"/>
            <w:tcBorders>
              <w:top w:val="nil"/>
              <w:left w:val="nil"/>
              <w:bottom w:val="single" w:sz="4" w:space="0" w:color="auto"/>
              <w:right w:val="nil"/>
            </w:tcBorders>
            <w:shd w:val="clear" w:color="auto" w:fill="auto"/>
            <w:vAlign w:val="bottom"/>
            <w:hideMark/>
          </w:tcPr>
          <w:p w14:paraId="172D4145" w14:textId="77777777" w:rsidR="000440EF" w:rsidRPr="00AD2B9D" w:rsidRDefault="000440EF" w:rsidP="00AD2B9D">
            <w:pPr>
              <w:spacing w:after="0" w:line="276" w:lineRule="auto"/>
              <w:rPr>
                <w:rFonts w:ascii="Times New Roman" w:hAnsi="Times New Roman" w:cs="Times New Roman"/>
                <w:sz w:val="20"/>
                <w:szCs w:val="20"/>
                <w:lang w:val="en-CH" w:eastAsia="en-CH"/>
              </w:rPr>
            </w:pPr>
            <w:r w:rsidRPr="00AD2B9D">
              <w:rPr>
                <w:rFonts w:ascii="Times New Roman" w:hAnsi="Times New Roman" w:cs="Times New Roman"/>
                <w:sz w:val="20"/>
                <w:szCs w:val="20"/>
                <w:lang w:val="en-CH" w:eastAsia="en-CH"/>
              </w:rPr>
              <w:t>Huang et al. 2020</w:t>
            </w:r>
            <w:r w:rsidRPr="00AD2B9D">
              <w:rPr>
                <w:rFonts w:ascii="Times New Roman" w:hAnsi="Times New Roman" w:cs="Times New Roman"/>
                <w:sz w:val="20"/>
                <w:szCs w:val="20"/>
                <w:lang w:val="en-CH" w:eastAsia="en-CH"/>
              </w:rPr>
              <w:fldChar w:fldCharType="begin"/>
            </w:r>
            <w:r w:rsidRPr="00AD2B9D">
              <w:rPr>
                <w:rFonts w:ascii="Times New Roman" w:hAnsi="Times New Roman" w:cs="Times New Roman"/>
                <w:sz w:val="20"/>
                <w:szCs w:val="20"/>
                <w:lang w:val="en-CH" w:eastAsia="en-CH"/>
              </w:rPr>
              <w:instrText xml:space="preserve"> ADDIN ZOTERO_ITEM CSL_CITATION {"citationID":"oRTBkqu9","properties":{"formattedCitation":"\\super 9\\nosupersub{}","plainCitation":"9","noteIndex":0},"citationItems":[{"id":122,"uris":["http://zotero.org/users/5935085/items/99I4TVZQ"],"itemData":{"id":122,"type":"article-journal","abstract":"The study of vocal communication in nonhuman primates, especially apes, offers critical insight into the origins of human language. Although human language represents a highly derived and complex form of communication, researchers have found that the organization of language follows a series of common statistical patterns, known as ‘linguistic laws’. Zipf's law of brevity and Menzerath's law are pervasive across human languages, and these laws have been identified in the communication of a small number of primate species. What remains less clear is whether these two laws also affect long-distance vocal communication in primates. Here, we provide evidence that the long-distance morning calls of male gibbons (cao vit gibbon, Nomascus nasutus, and western black-crested gibbon, Nomascus concolor) follow both Zipf's law of brevity and Menzerath's law. We found that notes of male gibbon calls conform to Zipf's law of brevity, with the most common notes being shortest in duration. Similarly, longer sequences are made up of shorter calls on average, consistent with Menzerath's law; we also found a shortening of specific note type duration and an increase in proportion of shorter call types in longer sequences, which may underpin the emergence of this law. Our findings support the generality of these two linguistic laws beyond human language and provide evidence for compression at two levels of organizations (how frequently different note types are used, and how vocal sequences are constructed) in a long-range communication system.","container-title":"Animal Behaviour","DOI":"10.1016/j.anbehav.2019.11.017","ISSN":"0003-3472","journalAbbreviation":"Animal Behaviour","language":"en","page":"145-155","source":"ScienceDirect","title":"Male gibbon loud morning calls conform to Zipf's law of brevity and Menzerath's law: insights into the origin of human language","title-short":"Male gibbon loud morning calls conform to Zipf's law of brevity and Menzerath's law","volume":"160","author":[{"family":"Huang","given":"Mingpan"},{"family":"Ma","given":"Haigang"},{"family":"Ma","given":"Changyong"},{"family":"Garber","given":"Paul A."},{"family":"Fan","given":"Pengfei"}],"issued":{"date-parts":[["2020",2,1]]}}}],"schema":"https://github.com/citation-style-language/schema/raw/master/csl-citation.json"} </w:instrText>
            </w:r>
            <w:r w:rsidRPr="00AD2B9D">
              <w:rPr>
                <w:rFonts w:ascii="Times New Roman" w:hAnsi="Times New Roman" w:cs="Times New Roman"/>
                <w:sz w:val="20"/>
                <w:szCs w:val="20"/>
                <w:lang w:val="en-CH" w:eastAsia="en-CH"/>
              </w:rPr>
              <w:fldChar w:fldCharType="separate"/>
            </w:r>
            <w:r w:rsidRPr="00AD2B9D">
              <w:rPr>
                <w:rFonts w:ascii="Times New Roman" w:hAnsi="Times New Roman" w:cs="Times New Roman"/>
                <w:sz w:val="20"/>
                <w:szCs w:val="20"/>
                <w:vertAlign w:val="superscript"/>
              </w:rPr>
              <w:t>9</w:t>
            </w:r>
            <w:r w:rsidRPr="00AD2B9D">
              <w:rPr>
                <w:rFonts w:ascii="Times New Roman" w:hAnsi="Times New Roman" w:cs="Times New Roman"/>
                <w:sz w:val="20"/>
                <w:szCs w:val="20"/>
                <w:lang w:val="en-CH" w:eastAsia="en-CH"/>
              </w:rPr>
              <w:fldChar w:fldCharType="end"/>
            </w:r>
          </w:p>
        </w:tc>
      </w:tr>
      <w:tr w:rsidR="00AD2B9D" w:rsidRPr="00AD2B9D" w14:paraId="19001145" w14:textId="77777777" w:rsidTr="000440EF">
        <w:trPr>
          <w:trHeight w:val="245"/>
        </w:trPr>
        <w:tc>
          <w:tcPr>
            <w:tcW w:w="2268" w:type="dxa"/>
            <w:tcBorders>
              <w:top w:val="single" w:sz="4" w:space="0" w:color="auto"/>
              <w:left w:val="nil"/>
              <w:bottom w:val="nil"/>
              <w:right w:val="nil"/>
            </w:tcBorders>
            <w:shd w:val="clear" w:color="auto" w:fill="auto"/>
            <w:vAlign w:val="bottom"/>
            <w:hideMark/>
          </w:tcPr>
          <w:p w14:paraId="1F436425" w14:textId="77777777" w:rsidR="00BA191A" w:rsidRPr="00AD2B9D" w:rsidRDefault="00BA191A" w:rsidP="00AD2B9D">
            <w:pPr>
              <w:spacing w:after="0" w:line="276" w:lineRule="auto"/>
              <w:rPr>
                <w:rFonts w:ascii="Times New Roman" w:hAnsi="Times New Roman" w:cs="Times New Roman"/>
                <w:sz w:val="20"/>
                <w:szCs w:val="20"/>
                <w:lang w:val="en-CH" w:eastAsia="en-CH"/>
              </w:rPr>
            </w:pPr>
          </w:p>
        </w:tc>
        <w:tc>
          <w:tcPr>
            <w:tcW w:w="2094" w:type="dxa"/>
            <w:tcBorders>
              <w:top w:val="single" w:sz="4" w:space="0" w:color="auto"/>
              <w:left w:val="nil"/>
              <w:bottom w:val="nil"/>
              <w:right w:val="nil"/>
            </w:tcBorders>
            <w:shd w:val="clear" w:color="auto" w:fill="auto"/>
            <w:vAlign w:val="bottom"/>
            <w:hideMark/>
          </w:tcPr>
          <w:p w14:paraId="77659889" w14:textId="77777777" w:rsidR="00BA191A" w:rsidRPr="00AD2B9D" w:rsidRDefault="00BA191A" w:rsidP="00AD2B9D">
            <w:pPr>
              <w:spacing w:after="0" w:line="276" w:lineRule="auto"/>
              <w:rPr>
                <w:rFonts w:ascii="Times New Roman" w:hAnsi="Times New Roman" w:cs="Times New Roman"/>
                <w:sz w:val="20"/>
                <w:szCs w:val="20"/>
                <w:lang w:val="en-CH" w:eastAsia="en-CH"/>
              </w:rPr>
            </w:pPr>
          </w:p>
        </w:tc>
        <w:tc>
          <w:tcPr>
            <w:tcW w:w="1843" w:type="dxa"/>
            <w:tcBorders>
              <w:top w:val="single" w:sz="4" w:space="0" w:color="auto"/>
              <w:left w:val="nil"/>
              <w:bottom w:val="nil"/>
              <w:right w:val="nil"/>
            </w:tcBorders>
            <w:shd w:val="clear" w:color="auto" w:fill="auto"/>
            <w:vAlign w:val="bottom"/>
            <w:hideMark/>
          </w:tcPr>
          <w:p w14:paraId="0F99A959" w14:textId="77777777" w:rsidR="00BA191A" w:rsidRPr="00AD2B9D" w:rsidRDefault="00BA191A" w:rsidP="00AD2B9D">
            <w:pPr>
              <w:spacing w:after="0" w:line="276" w:lineRule="auto"/>
              <w:rPr>
                <w:rFonts w:ascii="Times New Roman" w:hAnsi="Times New Roman" w:cs="Times New Roman"/>
                <w:sz w:val="20"/>
                <w:szCs w:val="20"/>
                <w:lang w:val="en-CH" w:eastAsia="en-CH"/>
              </w:rPr>
            </w:pPr>
          </w:p>
        </w:tc>
        <w:tc>
          <w:tcPr>
            <w:tcW w:w="2875" w:type="dxa"/>
            <w:tcBorders>
              <w:top w:val="single" w:sz="4" w:space="0" w:color="auto"/>
              <w:left w:val="nil"/>
              <w:bottom w:val="nil"/>
              <w:right w:val="nil"/>
            </w:tcBorders>
            <w:shd w:val="clear" w:color="auto" w:fill="auto"/>
            <w:vAlign w:val="bottom"/>
            <w:hideMark/>
          </w:tcPr>
          <w:p w14:paraId="15026C43" w14:textId="77777777" w:rsidR="00BA191A" w:rsidRPr="00AD2B9D" w:rsidRDefault="00BA191A" w:rsidP="00AD2B9D">
            <w:pPr>
              <w:spacing w:after="0" w:line="276" w:lineRule="auto"/>
              <w:rPr>
                <w:rFonts w:ascii="Times New Roman" w:hAnsi="Times New Roman" w:cs="Times New Roman"/>
                <w:sz w:val="20"/>
                <w:szCs w:val="20"/>
                <w:lang w:val="en-CH" w:eastAsia="en-CH"/>
              </w:rPr>
            </w:pPr>
          </w:p>
        </w:tc>
      </w:tr>
    </w:tbl>
    <w:p w14:paraId="58FE3286" w14:textId="77777777" w:rsidR="00BA191A" w:rsidRDefault="00BA191A" w:rsidP="00F50958">
      <w:pPr>
        <w:spacing w:after="0" w:line="240" w:lineRule="auto"/>
        <w:jc w:val="both"/>
        <w:rPr>
          <w:rFonts w:ascii="Times New Roman" w:hAnsi="Times New Roman" w:cs="Times New Roman"/>
          <w:b/>
          <w:bCs/>
        </w:rPr>
      </w:pPr>
    </w:p>
    <w:p w14:paraId="0BD90B3A" w14:textId="77777777" w:rsidR="000D3080" w:rsidRDefault="000D3080" w:rsidP="00F50958">
      <w:pPr>
        <w:spacing w:after="0" w:line="240" w:lineRule="auto"/>
        <w:jc w:val="both"/>
        <w:rPr>
          <w:rFonts w:ascii="Times New Roman" w:hAnsi="Times New Roman" w:cs="Times New Roman"/>
          <w:b/>
          <w:bCs/>
        </w:rPr>
      </w:pPr>
    </w:p>
    <w:p w14:paraId="2E03FCA7" w14:textId="77777777" w:rsidR="00444A0B" w:rsidRDefault="00444A0B" w:rsidP="00F50958">
      <w:pPr>
        <w:suppressAutoHyphens w:val="0"/>
        <w:spacing w:line="240" w:lineRule="auto"/>
        <w:rPr>
          <w:rFonts w:ascii="Times New Roman" w:hAnsi="Times New Roman" w:cs="Times New Roman"/>
          <w:b/>
          <w:bCs/>
        </w:rPr>
      </w:pPr>
    </w:p>
    <w:p w14:paraId="1E151D72" w14:textId="77777777" w:rsidR="00A7392D" w:rsidRDefault="00A7392D" w:rsidP="00F50958">
      <w:pPr>
        <w:suppressAutoHyphens w:val="0"/>
        <w:spacing w:line="240" w:lineRule="auto"/>
        <w:rPr>
          <w:rFonts w:ascii="Times New Roman" w:hAnsi="Times New Roman" w:cs="Times New Roman"/>
          <w:b/>
          <w:bCs/>
        </w:rPr>
      </w:pPr>
    </w:p>
    <w:p w14:paraId="3B50EB1C" w14:textId="77777777" w:rsidR="00A7392D" w:rsidRDefault="00A7392D" w:rsidP="00F50958">
      <w:pPr>
        <w:suppressAutoHyphens w:val="0"/>
        <w:spacing w:line="240" w:lineRule="auto"/>
        <w:rPr>
          <w:rFonts w:ascii="Times New Roman" w:hAnsi="Times New Roman" w:cs="Times New Roman"/>
          <w:b/>
          <w:bCs/>
        </w:rPr>
      </w:pPr>
    </w:p>
    <w:p w14:paraId="20907049" w14:textId="65E78CE6" w:rsidR="000D3080" w:rsidRDefault="000D3080" w:rsidP="00F50958">
      <w:pPr>
        <w:spacing w:after="0" w:line="240" w:lineRule="auto"/>
        <w:jc w:val="both"/>
        <w:rPr>
          <w:rFonts w:ascii="Times New Roman" w:hAnsi="Times New Roman" w:cs="Times New Roman"/>
        </w:rPr>
      </w:pPr>
      <w:r>
        <w:rPr>
          <w:rFonts w:ascii="Times New Roman" w:hAnsi="Times New Roman" w:cs="Times New Roman"/>
          <w:b/>
          <w:bCs/>
        </w:rPr>
        <w:lastRenderedPageBreak/>
        <w:t>Table S</w:t>
      </w:r>
      <w:r w:rsidR="00901CA1">
        <w:rPr>
          <w:rFonts w:ascii="Times New Roman" w:hAnsi="Times New Roman" w:cs="Times New Roman"/>
          <w:b/>
          <w:bCs/>
        </w:rPr>
        <w:t>2</w:t>
      </w:r>
      <w:r>
        <w:rPr>
          <w:rFonts w:ascii="Times New Roman" w:hAnsi="Times New Roman" w:cs="Times New Roman"/>
          <w:b/>
          <w:bCs/>
        </w:rPr>
        <w:t xml:space="preserve">. </w:t>
      </w:r>
      <w:r w:rsidR="00444A0B">
        <w:rPr>
          <w:rFonts w:ascii="Times New Roman" w:hAnsi="Times New Roman" w:cs="Times New Roman"/>
        </w:rPr>
        <w:t>Model comparison table for analysis rerun without the first bout in each recording.</w:t>
      </w:r>
    </w:p>
    <w:tbl>
      <w:tblPr>
        <w:tblW w:w="9356" w:type="dxa"/>
        <w:tblLook w:val="04A0" w:firstRow="1" w:lastRow="0" w:firstColumn="1" w:lastColumn="0" w:noHBand="0" w:noVBand="1"/>
      </w:tblPr>
      <w:tblGrid>
        <w:gridCol w:w="3254"/>
        <w:gridCol w:w="2196"/>
        <w:gridCol w:w="1780"/>
        <w:gridCol w:w="2126"/>
      </w:tblGrid>
      <w:tr w:rsidR="00444A0B" w:rsidRPr="00444A0B" w14:paraId="0B6746F9" w14:textId="77777777" w:rsidTr="00D61D5F">
        <w:trPr>
          <w:trHeight w:val="597"/>
        </w:trPr>
        <w:tc>
          <w:tcPr>
            <w:tcW w:w="3254" w:type="dxa"/>
            <w:tcBorders>
              <w:top w:val="nil"/>
              <w:left w:val="nil"/>
              <w:bottom w:val="single" w:sz="8" w:space="0" w:color="auto"/>
              <w:right w:val="nil"/>
            </w:tcBorders>
            <w:shd w:val="clear" w:color="auto" w:fill="auto"/>
            <w:vAlign w:val="center"/>
            <w:hideMark/>
          </w:tcPr>
          <w:p w14:paraId="443B44DB" w14:textId="77777777" w:rsidR="00444A0B" w:rsidRPr="00444A0B" w:rsidRDefault="00444A0B" w:rsidP="00F50958">
            <w:pPr>
              <w:suppressAutoHyphens w:val="0"/>
              <w:spacing w:after="0" w:line="240" w:lineRule="auto"/>
              <w:jc w:val="center"/>
              <w:rPr>
                <w:rFonts w:ascii="Times New Roman" w:eastAsia="Times New Roman" w:hAnsi="Times New Roman" w:cs="Times New Roman"/>
                <w:b/>
                <w:bCs/>
                <w:color w:val="000000"/>
                <w:sz w:val="20"/>
                <w:szCs w:val="20"/>
              </w:rPr>
            </w:pPr>
            <w:r w:rsidRPr="00444A0B">
              <w:rPr>
                <w:rFonts w:ascii="Times New Roman" w:eastAsia="Times New Roman" w:hAnsi="Times New Roman" w:cs="Times New Roman"/>
                <w:b/>
                <w:bCs/>
                <w:color w:val="000000"/>
                <w:sz w:val="20"/>
                <w:szCs w:val="20"/>
              </w:rPr>
              <w:t>Data</w:t>
            </w:r>
          </w:p>
        </w:tc>
        <w:tc>
          <w:tcPr>
            <w:tcW w:w="2196" w:type="dxa"/>
            <w:tcBorders>
              <w:top w:val="nil"/>
              <w:left w:val="nil"/>
              <w:bottom w:val="single" w:sz="8" w:space="0" w:color="auto"/>
              <w:right w:val="nil"/>
            </w:tcBorders>
            <w:shd w:val="clear" w:color="auto" w:fill="auto"/>
            <w:noWrap/>
            <w:vAlign w:val="center"/>
            <w:hideMark/>
          </w:tcPr>
          <w:p w14:paraId="30CD5ECD" w14:textId="77777777" w:rsidR="00444A0B" w:rsidRPr="00444A0B" w:rsidRDefault="00444A0B" w:rsidP="00F50958">
            <w:pPr>
              <w:suppressAutoHyphens w:val="0"/>
              <w:spacing w:after="0" w:line="240" w:lineRule="auto"/>
              <w:jc w:val="center"/>
              <w:rPr>
                <w:rFonts w:ascii="Times New Roman" w:eastAsia="Times New Roman" w:hAnsi="Times New Roman" w:cs="Times New Roman"/>
                <w:b/>
                <w:bCs/>
                <w:color w:val="000000"/>
                <w:sz w:val="20"/>
                <w:szCs w:val="20"/>
              </w:rPr>
            </w:pPr>
            <w:r w:rsidRPr="00444A0B">
              <w:rPr>
                <w:rFonts w:ascii="Times New Roman" w:eastAsia="Times New Roman" w:hAnsi="Times New Roman" w:cs="Times New Roman"/>
                <w:b/>
                <w:bCs/>
                <w:color w:val="000000"/>
                <w:sz w:val="20"/>
                <w:szCs w:val="20"/>
              </w:rPr>
              <w:t>Model</w:t>
            </w:r>
          </w:p>
        </w:tc>
        <w:tc>
          <w:tcPr>
            <w:tcW w:w="1780" w:type="dxa"/>
            <w:tcBorders>
              <w:top w:val="nil"/>
              <w:left w:val="nil"/>
              <w:bottom w:val="single" w:sz="8" w:space="0" w:color="auto"/>
              <w:right w:val="nil"/>
            </w:tcBorders>
            <w:shd w:val="clear" w:color="auto" w:fill="auto"/>
            <w:vAlign w:val="center"/>
            <w:hideMark/>
          </w:tcPr>
          <w:p w14:paraId="51BA9EC3" w14:textId="77777777" w:rsidR="00444A0B" w:rsidRPr="00444A0B" w:rsidRDefault="00444A0B" w:rsidP="00F50958">
            <w:pPr>
              <w:suppressAutoHyphens w:val="0"/>
              <w:spacing w:after="0" w:line="240" w:lineRule="auto"/>
              <w:jc w:val="center"/>
              <w:rPr>
                <w:rFonts w:ascii="Times New Roman" w:eastAsia="Times New Roman" w:hAnsi="Times New Roman" w:cs="Times New Roman"/>
                <w:b/>
                <w:bCs/>
                <w:color w:val="000000"/>
                <w:sz w:val="20"/>
                <w:szCs w:val="20"/>
              </w:rPr>
            </w:pPr>
            <w:r w:rsidRPr="00444A0B">
              <w:rPr>
                <w:rFonts w:ascii="Times New Roman" w:eastAsia="Times New Roman" w:hAnsi="Times New Roman" w:cs="Times New Roman"/>
                <w:b/>
                <w:bCs/>
                <w:color w:val="000000"/>
                <w:sz w:val="20"/>
                <w:szCs w:val="20"/>
              </w:rPr>
              <w:t>ELPD Difference from best model</w:t>
            </w:r>
          </w:p>
        </w:tc>
        <w:tc>
          <w:tcPr>
            <w:tcW w:w="2126" w:type="dxa"/>
            <w:tcBorders>
              <w:top w:val="nil"/>
              <w:left w:val="nil"/>
              <w:bottom w:val="single" w:sz="8" w:space="0" w:color="auto"/>
              <w:right w:val="nil"/>
            </w:tcBorders>
            <w:shd w:val="clear" w:color="auto" w:fill="auto"/>
            <w:vAlign w:val="center"/>
            <w:hideMark/>
          </w:tcPr>
          <w:p w14:paraId="7F6972D5" w14:textId="77777777" w:rsidR="00444A0B" w:rsidRPr="00444A0B" w:rsidRDefault="00444A0B" w:rsidP="00F50958">
            <w:pPr>
              <w:suppressAutoHyphens w:val="0"/>
              <w:spacing w:after="0" w:line="240" w:lineRule="auto"/>
              <w:jc w:val="center"/>
              <w:rPr>
                <w:rFonts w:ascii="Times New Roman" w:eastAsia="Times New Roman" w:hAnsi="Times New Roman" w:cs="Times New Roman"/>
                <w:b/>
                <w:bCs/>
                <w:color w:val="000000"/>
                <w:sz w:val="20"/>
                <w:szCs w:val="20"/>
              </w:rPr>
            </w:pPr>
            <w:r w:rsidRPr="00444A0B">
              <w:rPr>
                <w:rFonts w:ascii="Times New Roman" w:eastAsia="Times New Roman" w:hAnsi="Times New Roman" w:cs="Times New Roman"/>
                <w:b/>
                <w:bCs/>
                <w:color w:val="000000"/>
                <w:sz w:val="20"/>
                <w:szCs w:val="20"/>
              </w:rPr>
              <w:t>SE Difference from best model</w:t>
            </w:r>
          </w:p>
        </w:tc>
      </w:tr>
      <w:tr w:rsidR="00F50958" w:rsidRPr="00444A0B" w14:paraId="2940A531" w14:textId="77777777" w:rsidTr="00D61D5F">
        <w:trPr>
          <w:trHeight w:val="592"/>
        </w:trPr>
        <w:tc>
          <w:tcPr>
            <w:tcW w:w="3254" w:type="dxa"/>
            <w:tcBorders>
              <w:top w:val="nil"/>
              <w:left w:val="nil"/>
              <w:right w:val="nil"/>
            </w:tcBorders>
            <w:shd w:val="clear" w:color="auto" w:fill="auto"/>
            <w:vAlign w:val="center"/>
            <w:hideMark/>
          </w:tcPr>
          <w:p w14:paraId="141A8006" w14:textId="1BD9BC28" w:rsidR="00F50958" w:rsidRPr="00444A0B" w:rsidRDefault="00F50958" w:rsidP="00D61D5F">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All data</w:t>
            </w:r>
          </w:p>
        </w:tc>
        <w:tc>
          <w:tcPr>
            <w:tcW w:w="2196" w:type="dxa"/>
            <w:tcBorders>
              <w:top w:val="nil"/>
              <w:left w:val="nil"/>
              <w:bottom w:val="nil"/>
              <w:right w:val="nil"/>
            </w:tcBorders>
            <w:shd w:val="clear" w:color="auto" w:fill="auto"/>
            <w:noWrap/>
            <w:vAlign w:val="center"/>
            <w:hideMark/>
          </w:tcPr>
          <w:p w14:paraId="57AE172F" w14:textId="54A76CD5" w:rsidR="00F50958" w:rsidRPr="00444A0B" w:rsidRDefault="00482F48" w:rsidP="00D61D5F">
            <w:pPr>
              <w:suppressAutoHyphens w:val="0"/>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Full</w:t>
            </w:r>
          </w:p>
        </w:tc>
        <w:tc>
          <w:tcPr>
            <w:tcW w:w="1780" w:type="dxa"/>
            <w:tcBorders>
              <w:top w:val="nil"/>
              <w:left w:val="nil"/>
              <w:bottom w:val="nil"/>
              <w:right w:val="nil"/>
            </w:tcBorders>
            <w:shd w:val="clear" w:color="auto" w:fill="auto"/>
            <w:noWrap/>
            <w:vAlign w:val="center"/>
            <w:hideMark/>
          </w:tcPr>
          <w:p w14:paraId="4CBC37F8" w14:textId="77777777" w:rsidR="00F50958" w:rsidRPr="00444A0B" w:rsidRDefault="00F50958" w:rsidP="00D61D5F">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c>
          <w:tcPr>
            <w:tcW w:w="2126" w:type="dxa"/>
            <w:tcBorders>
              <w:top w:val="nil"/>
              <w:left w:val="nil"/>
              <w:bottom w:val="nil"/>
              <w:right w:val="nil"/>
            </w:tcBorders>
            <w:shd w:val="clear" w:color="auto" w:fill="auto"/>
            <w:noWrap/>
            <w:vAlign w:val="center"/>
            <w:hideMark/>
          </w:tcPr>
          <w:p w14:paraId="6BBC1363" w14:textId="77777777" w:rsidR="00F50958" w:rsidRPr="00444A0B" w:rsidRDefault="00F50958" w:rsidP="00D61D5F">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r>
      <w:tr w:rsidR="00444A0B" w:rsidRPr="00444A0B" w14:paraId="6DF53CFB" w14:textId="77777777" w:rsidTr="00D61D5F">
        <w:trPr>
          <w:trHeight w:val="73"/>
        </w:trPr>
        <w:tc>
          <w:tcPr>
            <w:tcW w:w="3254" w:type="dxa"/>
            <w:tcBorders>
              <w:top w:val="nil"/>
              <w:left w:val="nil"/>
              <w:bottom w:val="dotted" w:sz="4" w:space="0" w:color="auto"/>
              <w:right w:val="nil"/>
            </w:tcBorders>
            <w:shd w:val="clear" w:color="auto" w:fill="auto"/>
            <w:vAlign w:val="center"/>
            <w:hideMark/>
          </w:tcPr>
          <w:p w14:paraId="46A582ED"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 </w:t>
            </w:r>
          </w:p>
        </w:tc>
        <w:tc>
          <w:tcPr>
            <w:tcW w:w="2196" w:type="dxa"/>
            <w:tcBorders>
              <w:top w:val="nil"/>
              <w:left w:val="nil"/>
              <w:bottom w:val="dotted" w:sz="4" w:space="0" w:color="auto"/>
              <w:right w:val="nil"/>
            </w:tcBorders>
            <w:shd w:val="clear" w:color="auto" w:fill="auto"/>
            <w:noWrap/>
            <w:vAlign w:val="center"/>
            <w:hideMark/>
          </w:tcPr>
          <w:p w14:paraId="569C8FB2"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Null</w:t>
            </w:r>
          </w:p>
        </w:tc>
        <w:tc>
          <w:tcPr>
            <w:tcW w:w="1780" w:type="dxa"/>
            <w:tcBorders>
              <w:top w:val="nil"/>
              <w:left w:val="nil"/>
              <w:bottom w:val="dotted" w:sz="4" w:space="0" w:color="auto"/>
              <w:right w:val="nil"/>
            </w:tcBorders>
            <w:shd w:val="clear" w:color="auto" w:fill="auto"/>
            <w:noWrap/>
            <w:vAlign w:val="center"/>
            <w:hideMark/>
          </w:tcPr>
          <w:p w14:paraId="4F417216"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-16.46</w:t>
            </w:r>
          </w:p>
        </w:tc>
        <w:tc>
          <w:tcPr>
            <w:tcW w:w="2126" w:type="dxa"/>
            <w:tcBorders>
              <w:top w:val="nil"/>
              <w:left w:val="nil"/>
              <w:bottom w:val="dotted" w:sz="4" w:space="0" w:color="auto"/>
              <w:right w:val="nil"/>
            </w:tcBorders>
            <w:shd w:val="clear" w:color="auto" w:fill="auto"/>
            <w:noWrap/>
            <w:vAlign w:val="center"/>
            <w:hideMark/>
          </w:tcPr>
          <w:p w14:paraId="1CC28857"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7.38</w:t>
            </w:r>
          </w:p>
        </w:tc>
      </w:tr>
      <w:tr w:rsidR="00444A0B" w:rsidRPr="00444A0B" w14:paraId="62D0CEB1" w14:textId="77777777" w:rsidTr="00D61D5F">
        <w:trPr>
          <w:trHeight w:val="219"/>
        </w:trPr>
        <w:tc>
          <w:tcPr>
            <w:tcW w:w="3254" w:type="dxa"/>
            <w:tcBorders>
              <w:top w:val="nil"/>
              <w:left w:val="nil"/>
              <w:bottom w:val="nil"/>
              <w:right w:val="nil"/>
            </w:tcBorders>
            <w:shd w:val="clear" w:color="auto" w:fill="auto"/>
            <w:vAlign w:val="center"/>
            <w:hideMark/>
          </w:tcPr>
          <w:p w14:paraId="74315F0B"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 xml:space="preserve">Only bouts &gt; 1 call </w:t>
            </w:r>
          </w:p>
        </w:tc>
        <w:tc>
          <w:tcPr>
            <w:tcW w:w="2196" w:type="dxa"/>
            <w:tcBorders>
              <w:top w:val="nil"/>
              <w:left w:val="nil"/>
              <w:bottom w:val="nil"/>
              <w:right w:val="nil"/>
            </w:tcBorders>
            <w:shd w:val="clear" w:color="auto" w:fill="auto"/>
            <w:noWrap/>
            <w:vAlign w:val="center"/>
            <w:hideMark/>
          </w:tcPr>
          <w:p w14:paraId="25181E90" w14:textId="45FA50B0" w:rsidR="00444A0B" w:rsidRPr="00444A0B" w:rsidRDefault="00482F48" w:rsidP="00F50958">
            <w:pPr>
              <w:suppressAutoHyphens w:val="0"/>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Full</w:t>
            </w:r>
          </w:p>
        </w:tc>
        <w:tc>
          <w:tcPr>
            <w:tcW w:w="1780" w:type="dxa"/>
            <w:tcBorders>
              <w:top w:val="nil"/>
              <w:left w:val="nil"/>
              <w:bottom w:val="nil"/>
              <w:right w:val="nil"/>
            </w:tcBorders>
            <w:shd w:val="clear" w:color="auto" w:fill="auto"/>
            <w:noWrap/>
            <w:vAlign w:val="center"/>
            <w:hideMark/>
          </w:tcPr>
          <w:p w14:paraId="29592DA4"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c>
          <w:tcPr>
            <w:tcW w:w="2126" w:type="dxa"/>
            <w:tcBorders>
              <w:top w:val="nil"/>
              <w:left w:val="nil"/>
              <w:bottom w:val="nil"/>
              <w:right w:val="nil"/>
            </w:tcBorders>
            <w:shd w:val="clear" w:color="auto" w:fill="auto"/>
            <w:noWrap/>
            <w:vAlign w:val="center"/>
            <w:hideMark/>
          </w:tcPr>
          <w:p w14:paraId="5D38B050"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r>
      <w:tr w:rsidR="00444A0B" w:rsidRPr="00444A0B" w14:paraId="09C6D184" w14:textId="77777777" w:rsidTr="00D61D5F">
        <w:trPr>
          <w:trHeight w:val="219"/>
        </w:trPr>
        <w:tc>
          <w:tcPr>
            <w:tcW w:w="3254" w:type="dxa"/>
            <w:tcBorders>
              <w:top w:val="nil"/>
              <w:left w:val="nil"/>
              <w:bottom w:val="dotted" w:sz="4" w:space="0" w:color="auto"/>
              <w:right w:val="nil"/>
            </w:tcBorders>
            <w:shd w:val="clear" w:color="auto" w:fill="auto"/>
            <w:vAlign w:val="center"/>
            <w:hideMark/>
          </w:tcPr>
          <w:p w14:paraId="618F8525"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 </w:t>
            </w:r>
          </w:p>
        </w:tc>
        <w:tc>
          <w:tcPr>
            <w:tcW w:w="2196" w:type="dxa"/>
            <w:tcBorders>
              <w:top w:val="nil"/>
              <w:left w:val="nil"/>
              <w:bottom w:val="dotted" w:sz="4" w:space="0" w:color="auto"/>
              <w:right w:val="nil"/>
            </w:tcBorders>
            <w:shd w:val="clear" w:color="auto" w:fill="auto"/>
            <w:noWrap/>
            <w:vAlign w:val="center"/>
            <w:hideMark/>
          </w:tcPr>
          <w:p w14:paraId="59F3BE99"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Null</w:t>
            </w:r>
          </w:p>
        </w:tc>
        <w:tc>
          <w:tcPr>
            <w:tcW w:w="1780" w:type="dxa"/>
            <w:tcBorders>
              <w:top w:val="nil"/>
              <w:left w:val="nil"/>
              <w:bottom w:val="dotted" w:sz="4" w:space="0" w:color="auto"/>
              <w:right w:val="nil"/>
            </w:tcBorders>
            <w:shd w:val="clear" w:color="auto" w:fill="auto"/>
            <w:noWrap/>
            <w:vAlign w:val="center"/>
            <w:hideMark/>
          </w:tcPr>
          <w:p w14:paraId="76E3CB78" w14:textId="4633A7DC"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r w:rsidR="00F46CA0">
              <w:rPr>
                <w:rFonts w:ascii="Times New Roman" w:eastAsia="Times New Roman" w:hAnsi="Times New Roman" w:cs="Times New Roman"/>
                <w:color w:val="000000"/>
                <w:sz w:val="20"/>
                <w:szCs w:val="20"/>
              </w:rPr>
              <w:t>1</w:t>
            </w:r>
            <w:r w:rsidR="00520BF1">
              <w:rPr>
                <w:rFonts w:ascii="Times New Roman" w:eastAsia="Times New Roman" w:hAnsi="Times New Roman" w:cs="Times New Roman"/>
                <w:color w:val="000000"/>
                <w:sz w:val="20"/>
                <w:szCs w:val="20"/>
              </w:rPr>
              <w:t>3</w:t>
            </w:r>
            <w:r w:rsidR="00F46CA0">
              <w:rPr>
                <w:rFonts w:ascii="Times New Roman" w:eastAsia="Times New Roman" w:hAnsi="Times New Roman" w:cs="Times New Roman"/>
                <w:color w:val="000000"/>
                <w:sz w:val="20"/>
                <w:szCs w:val="20"/>
              </w:rPr>
              <w:t>.26</w:t>
            </w:r>
          </w:p>
        </w:tc>
        <w:tc>
          <w:tcPr>
            <w:tcW w:w="2126" w:type="dxa"/>
            <w:tcBorders>
              <w:top w:val="nil"/>
              <w:left w:val="nil"/>
              <w:bottom w:val="dotted" w:sz="4" w:space="0" w:color="auto"/>
              <w:right w:val="nil"/>
            </w:tcBorders>
            <w:shd w:val="clear" w:color="auto" w:fill="auto"/>
            <w:noWrap/>
            <w:vAlign w:val="center"/>
            <w:hideMark/>
          </w:tcPr>
          <w:p w14:paraId="1C01BD45" w14:textId="6FBAD9E2" w:rsidR="00444A0B" w:rsidRPr="00444A0B" w:rsidRDefault="00F46CA0" w:rsidP="00F50958">
            <w:pPr>
              <w:suppressAutoHyphens w:val="0"/>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6.15</w:t>
            </w:r>
          </w:p>
        </w:tc>
      </w:tr>
      <w:tr w:rsidR="00444A0B" w:rsidRPr="00444A0B" w14:paraId="496CCB44" w14:textId="77777777" w:rsidTr="00D61D5F">
        <w:trPr>
          <w:trHeight w:val="219"/>
        </w:trPr>
        <w:tc>
          <w:tcPr>
            <w:tcW w:w="3254" w:type="dxa"/>
            <w:tcBorders>
              <w:top w:val="nil"/>
              <w:left w:val="nil"/>
              <w:bottom w:val="nil"/>
              <w:right w:val="nil"/>
            </w:tcBorders>
            <w:shd w:val="clear" w:color="auto" w:fill="auto"/>
            <w:vAlign w:val="center"/>
            <w:hideMark/>
          </w:tcPr>
          <w:p w14:paraId="2B607970"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Bouts &lt; 32 calls</w:t>
            </w:r>
          </w:p>
        </w:tc>
        <w:tc>
          <w:tcPr>
            <w:tcW w:w="2196" w:type="dxa"/>
            <w:tcBorders>
              <w:top w:val="nil"/>
              <w:left w:val="nil"/>
              <w:bottom w:val="nil"/>
              <w:right w:val="nil"/>
            </w:tcBorders>
            <w:shd w:val="clear" w:color="auto" w:fill="auto"/>
            <w:noWrap/>
            <w:vAlign w:val="center"/>
            <w:hideMark/>
          </w:tcPr>
          <w:p w14:paraId="2F1F9847" w14:textId="39C9A558" w:rsidR="00444A0B" w:rsidRPr="00444A0B" w:rsidRDefault="00482F48" w:rsidP="00F50958">
            <w:pPr>
              <w:suppressAutoHyphens w:val="0"/>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Full</w:t>
            </w:r>
          </w:p>
        </w:tc>
        <w:tc>
          <w:tcPr>
            <w:tcW w:w="1780" w:type="dxa"/>
            <w:tcBorders>
              <w:top w:val="nil"/>
              <w:left w:val="nil"/>
              <w:bottom w:val="nil"/>
              <w:right w:val="nil"/>
            </w:tcBorders>
            <w:shd w:val="clear" w:color="auto" w:fill="auto"/>
            <w:noWrap/>
            <w:vAlign w:val="center"/>
            <w:hideMark/>
          </w:tcPr>
          <w:p w14:paraId="6A21A66B"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c>
          <w:tcPr>
            <w:tcW w:w="2126" w:type="dxa"/>
            <w:tcBorders>
              <w:top w:val="nil"/>
              <w:left w:val="nil"/>
              <w:bottom w:val="nil"/>
              <w:right w:val="nil"/>
            </w:tcBorders>
            <w:shd w:val="clear" w:color="auto" w:fill="auto"/>
            <w:noWrap/>
            <w:vAlign w:val="center"/>
            <w:hideMark/>
          </w:tcPr>
          <w:p w14:paraId="27FA53C7"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r>
      <w:tr w:rsidR="00444A0B" w:rsidRPr="00444A0B" w14:paraId="5CCFA836" w14:textId="77777777" w:rsidTr="00D61D5F">
        <w:trPr>
          <w:trHeight w:val="219"/>
        </w:trPr>
        <w:tc>
          <w:tcPr>
            <w:tcW w:w="3254" w:type="dxa"/>
            <w:tcBorders>
              <w:top w:val="nil"/>
              <w:left w:val="nil"/>
              <w:bottom w:val="dotted" w:sz="4" w:space="0" w:color="auto"/>
              <w:right w:val="nil"/>
            </w:tcBorders>
            <w:shd w:val="clear" w:color="auto" w:fill="auto"/>
            <w:vAlign w:val="center"/>
            <w:hideMark/>
          </w:tcPr>
          <w:p w14:paraId="1026765A"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 </w:t>
            </w:r>
          </w:p>
        </w:tc>
        <w:tc>
          <w:tcPr>
            <w:tcW w:w="2196" w:type="dxa"/>
            <w:tcBorders>
              <w:top w:val="nil"/>
              <w:left w:val="nil"/>
              <w:bottom w:val="dotted" w:sz="4" w:space="0" w:color="auto"/>
              <w:right w:val="nil"/>
            </w:tcBorders>
            <w:shd w:val="clear" w:color="auto" w:fill="auto"/>
            <w:noWrap/>
            <w:vAlign w:val="center"/>
            <w:hideMark/>
          </w:tcPr>
          <w:p w14:paraId="2E971045"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Null</w:t>
            </w:r>
          </w:p>
        </w:tc>
        <w:tc>
          <w:tcPr>
            <w:tcW w:w="1780" w:type="dxa"/>
            <w:tcBorders>
              <w:top w:val="nil"/>
              <w:left w:val="nil"/>
              <w:bottom w:val="dotted" w:sz="4" w:space="0" w:color="auto"/>
              <w:right w:val="nil"/>
            </w:tcBorders>
            <w:shd w:val="clear" w:color="auto" w:fill="auto"/>
            <w:noWrap/>
            <w:vAlign w:val="center"/>
            <w:hideMark/>
          </w:tcPr>
          <w:p w14:paraId="7457FC08" w14:textId="788E706B"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r w:rsidR="00F46CA0">
              <w:rPr>
                <w:rFonts w:ascii="Times New Roman" w:eastAsia="Times New Roman" w:hAnsi="Times New Roman" w:cs="Times New Roman"/>
                <w:color w:val="000000"/>
                <w:sz w:val="20"/>
                <w:szCs w:val="20"/>
              </w:rPr>
              <w:t>21</w:t>
            </w:r>
            <w:r w:rsidRPr="00444A0B">
              <w:rPr>
                <w:rFonts w:ascii="Times New Roman" w:eastAsia="Times New Roman" w:hAnsi="Times New Roman" w:cs="Times New Roman"/>
                <w:color w:val="000000"/>
                <w:sz w:val="20"/>
                <w:szCs w:val="20"/>
              </w:rPr>
              <w:t>.</w:t>
            </w:r>
            <w:r w:rsidR="00F46CA0">
              <w:rPr>
                <w:rFonts w:ascii="Times New Roman" w:eastAsia="Times New Roman" w:hAnsi="Times New Roman" w:cs="Times New Roman"/>
                <w:color w:val="000000"/>
                <w:sz w:val="20"/>
                <w:szCs w:val="20"/>
              </w:rPr>
              <w:t>73</w:t>
            </w:r>
          </w:p>
        </w:tc>
        <w:tc>
          <w:tcPr>
            <w:tcW w:w="2126" w:type="dxa"/>
            <w:tcBorders>
              <w:top w:val="nil"/>
              <w:left w:val="nil"/>
              <w:bottom w:val="dotted" w:sz="4" w:space="0" w:color="auto"/>
              <w:right w:val="nil"/>
            </w:tcBorders>
            <w:shd w:val="clear" w:color="auto" w:fill="auto"/>
            <w:noWrap/>
            <w:vAlign w:val="center"/>
            <w:hideMark/>
          </w:tcPr>
          <w:p w14:paraId="6E6CBE5B" w14:textId="671885F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5.</w:t>
            </w:r>
            <w:r w:rsidR="00F46CA0">
              <w:rPr>
                <w:rFonts w:ascii="Times New Roman" w:eastAsia="Times New Roman" w:hAnsi="Times New Roman" w:cs="Times New Roman"/>
                <w:color w:val="000000"/>
                <w:sz w:val="20"/>
                <w:szCs w:val="20"/>
              </w:rPr>
              <w:t>54</w:t>
            </w:r>
          </w:p>
        </w:tc>
      </w:tr>
      <w:tr w:rsidR="00444A0B" w:rsidRPr="00444A0B" w14:paraId="697C0AB5" w14:textId="77777777" w:rsidTr="00D61D5F">
        <w:trPr>
          <w:trHeight w:val="219"/>
        </w:trPr>
        <w:tc>
          <w:tcPr>
            <w:tcW w:w="3254" w:type="dxa"/>
            <w:tcBorders>
              <w:top w:val="nil"/>
              <w:left w:val="nil"/>
              <w:bottom w:val="nil"/>
              <w:right w:val="nil"/>
            </w:tcBorders>
            <w:shd w:val="clear" w:color="auto" w:fill="auto"/>
            <w:noWrap/>
            <w:vAlign w:val="center"/>
            <w:hideMark/>
          </w:tcPr>
          <w:p w14:paraId="257502E6"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Bouts &gt; 1 and &gt; 42 calls</w:t>
            </w:r>
          </w:p>
        </w:tc>
        <w:tc>
          <w:tcPr>
            <w:tcW w:w="2196" w:type="dxa"/>
            <w:tcBorders>
              <w:top w:val="nil"/>
              <w:left w:val="nil"/>
              <w:bottom w:val="nil"/>
              <w:right w:val="nil"/>
            </w:tcBorders>
            <w:shd w:val="clear" w:color="auto" w:fill="auto"/>
            <w:noWrap/>
            <w:vAlign w:val="center"/>
            <w:hideMark/>
          </w:tcPr>
          <w:p w14:paraId="14FCFEE2" w14:textId="054A4FB5" w:rsidR="00444A0B" w:rsidRPr="00444A0B" w:rsidRDefault="00482F48" w:rsidP="00F50958">
            <w:pPr>
              <w:suppressAutoHyphens w:val="0"/>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Full</w:t>
            </w:r>
          </w:p>
        </w:tc>
        <w:tc>
          <w:tcPr>
            <w:tcW w:w="1780" w:type="dxa"/>
            <w:tcBorders>
              <w:top w:val="nil"/>
              <w:left w:val="nil"/>
              <w:bottom w:val="nil"/>
              <w:right w:val="nil"/>
            </w:tcBorders>
            <w:shd w:val="clear" w:color="auto" w:fill="auto"/>
            <w:noWrap/>
            <w:vAlign w:val="center"/>
            <w:hideMark/>
          </w:tcPr>
          <w:p w14:paraId="48CAE8F6"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c>
          <w:tcPr>
            <w:tcW w:w="2126" w:type="dxa"/>
            <w:tcBorders>
              <w:top w:val="nil"/>
              <w:left w:val="nil"/>
              <w:bottom w:val="nil"/>
              <w:right w:val="nil"/>
            </w:tcBorders>
            <w:shd w:val="clear" w:color="auto" w:fill="auto"/>
            <w:noWrap/>
            <w:vAlign w:val="center"/>
            <w:hideMark/>
          </w:tcPr>
          <w:p w14:paraId="2B57FC6F"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w:t>
            </w:r>
          </w:p>
        </w:tc>
      </w:tr>
      <w:tr w:rsidR="00444A0B" w:rsidRPr="00444A0B" w14:paraId="387056EC" w14:textId="77777777" w:rsidTr="00D61D5F">
        <w:trPr>
          <w:trHeight w:val="227"/>
        </w:trPr>
        <w:tc>
          <w:tcPr>
            <w:tcW w:w="3254" w:type="dxa"/>
            <w:tcBorders>
              <w:top w:val="nil"/>
              <w:left w:val="nil"/>
              <w:bottom w:val="single" w:sz="8" w:space="0" w:color="auto"/>
              <w:right w:val="nil"/>
            </w:tcBorders>
            <w:shd w:val="clear" w:color="auto" w:fill="auto"/>
            <w:vAlign w:val="center"/>
            <w:hideMark/>
          </w:tcPr>
          <w:p w14:paraId="4E285978"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 </w:t>
            </w:r>
          </w:p>
        </w:tc>
        <w:tc>
          <w:tcPr>
            <w:tcW w:w="2196" w:type="dxa"/>
            <w:tcBorders>
              <w:top w:val="nil"/>
              <w:left w:val="nil"/>
              <w:bottom w:val="single" w:sz="8" w:space="0" w:color="auto"/>
              <w:right w:val="nil"/>
            </w:tcBorders>
            <w:shd w:val="clear" w:color="auto" w:fill="auto"/>
            <w:noWrap/>
            <w:vAlign w:val="center"/>
            <w:hideMark/>
          </w:tcPr>
          <w:p w14:paraId="7CFD3020"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Null</w:t>
            </w:r>
          </w:p>
        </w:tc>
        <w:tc>
          <w:tcPr>
            <w:tcW w:w="1780" w:type="dxa"/>
            <w:tcBorders>
              <w:top w:val="nil"/>
              <w:left w:val="nil"/>
              <w:bottom w:val="single" w:sz="8" w:space="0" w:color="auto"/>
              <w:right w:val="nil"/>
            </w:tcBorders>
            <w:shd w:val="clear" w:color="auto" w:fill="auto"/>
            <w:noWrap/>
            <w:vAlign w:val="center"/>
            <w:hideMark/>
          </w:tcPr>
          <w:p w14:paraId="182C2C2C" w14:textId="4CE47CB8"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-1</w:t>
            </w:r>
            <w:r w:rsidR="00F46CA0">
              <w:rPr>
                <w:rFonts w:ascii="Times New Roman" w:eastAsia="Times New Roman" w:hAnsi="Times New Roman" w:cs="Times New Roman"/>
                <w:color w:val="000000"/>
                <w:sz w:val="20"/>
                <w:szCs w:val="20"/>
              </w:rPr>
              <w:t>0.20</w:t>
            </w:r>
          </w:p>
        </w:tc>
        <w:tc>
          <w:tcPr>
            <w:tcW w:w="2126" w:type="dxa"/>
            <w:tcBorders>
              <w:top w:val="nil"/>
              <w:left w:val="nil"/>
              <w:bottom w:val="single" w:sz="8" w:space="0" w:color="auto"/>
              <w:right w:val="nil"/>
            </w:tcBorders>
            <w:shd w:val="clear" w:color="auto" w:fill="auto"/>
            <w:noWrap/>
            <w:vAlign w:val="center"/>
            <w:hideMark/>
          </w:tcPr>
          <w:p w14:paraId="71A740DD" w14:textId="77777777" w:rsidR="00444A0B" w:rsidRPr="00444A0B" w:rsidRDefault="00444A0B" w:rsidP="00F50958">
            <w:pPr>
              <w:suppressAutoHyphens w:val="0"/>
              <w:spacing w:after="0" w:line="240" w:lineRule="auto"/>
              <w:jc w:val="center"/>
              <w:rPr>
                <w:rFonts w:ascii="Times New Roman" w:eastAsia="Times New Roman" w:hAnsi="Times New Roman" w:cs="Times New Roman"/>
                <w:color w:val="000000"/>
                <w:sz w:val="20"/>
                <w:szCs w:val="20"/>
              </w:rPr>
            </w:pPr>
            <w:r w:rsidRPr="00444A0B">
              <w:rPr>
                <w:rFonts w:ascii="Times New Roman" w:eastAsia="Times New Roman" w:hAnsi="Times New Roman" w:cs="Times New Roman"/>
                <w:color w:val="000000"/>
                <w:sz w:val="20"/>
                <w:szCs w:val="20"/>
              </w:rPr>
              <w:t>4.42</w:t>
            </w:r>
          </w:p>
        </w:tc>
      </w:tr>
    </w:tbl>
    <w:p w14:paraId="4B988710" w14:textId="77777777" w:rsidR="00D5074D" w:rsidRDefault="00D5074D" w:rsidP="00F50958">
      <w:pPr>
        <w:spacing w:after="0" w:line="240" w:lineRule="auto"/>
        <w:jc w:val="both"/>
        <w:rPr>
          <w:rFonts w:ascii="Times New Roman" w:hAnsi="Times New Roman" w:cs="Times New Roman"/>
        </w:rPr>
      </w:pPr>
    </w:p>
    <w:p w14:paraId="4B22077A" w14:textId="56BE5732" w:rsidR="00F46CA0" w:rsidRDefault="00444A0B" w:rsidP="00F50958">
      <w:pPr>
        <w:spacing w:after="0" w:line="240" w:lineRule="auto"/>
        <w:jc w:val="both"/>
        <w:rPr>
          <w:rFonts w:ascii="Times New Roman" w:hAnsi="Times New Roman" w:cs="Times New Roman"/>
        </w:rPr>
      </w:pPr>
      <w:r w:rsidRPr="00444A0B">
        <w:rPr>
          <w:rFonts w:ascii="Times New Roman" w:hAnsi="Times New Roman" w:cs="Times New Roman"/>
          <w:b/>
          <w:bCs/>
        </w:rPr>
        <w:t>Table S</w:t>
      </w:r>
      <w:r w:rsidR="00901CA1">
        <w:rPr>
          <w:rFonts w:ascii="Times New Roman" w:hAnsi="Times New Roman" w:cs="Times New Roman"/>
          <w:b/>
          <w:bCs/>
        </w:rPr>
        <w:t>3</w:t>
      </w:r>
      <w:r w:rsidRPr="00444A0B">
        <w:rPr>
          <w:rFonts w:ascii="Times New Roman" w:hAnsi="Times New Roman" w:cs="Times New Roman"/>
          <w:b/>
          <w:bCs/>
        </w:rPr>
        <w:t>.</w:t>
      </w:r>
      <w:r>
        <w:rPr>
          <w:rFonts w:ascii="Times New Roman" w:hAnsi="Times New Roman" w:cs="Times New Roman"/>
        </w:rPr>
        <w:t xml:space="preserve"> Model outputs for</w:t>
      </w:r>
      <w:r w:rsidR="00482F48">
        <w:rPr>
          <w:rFonts w:ascii="Times New Roman" w:hAnsi="Times New Roman" w:cs="Times New Roman"/>
        </w:rPr>
        <w:t xml:space="preserve"> Full</w:t>
      </w:r>
      <w:r>
        <w:rPr>
          <w:rFonts w:ascii="Times New Roman" w:hAnsi="Times New Roman" w:cs="Times New Roman"/>
        </w:rPr>
        <w:t xml:space="preserve"> models from Table S2.</w:t>
      </w:r>
    </w:p>
    <w:tbl>
      <w:tblPr>
        <w:tblW w:w="9366" w:type="dxa"/>
        <w:tblLayout w:type="fixed"/>
        <w:tblLook w:val="04A0" w:firstRow="1" w:lastRow="0" w:firstColumn="1" w:lastColumn="0" w:noHBand="0" w:noVBand="1"/>
      </w:tblPr>
      <w:tblGrid>
        <w:gridCol w:w="1381"/>
        <w:gridCol w:w="1842"/>
        <w:gridCol w:w="1189"/>
        <w:gridCol w:w="1421"/>
        <w:gridCol w:w="1688"/>
        <w:gridCol w:w="154"/>
        <w:gridCol w:w="1691"/>
      </w:tblGrid>
      <w:tr w:rsidR="00C61C7F" w:rsidRPr="00C61C7F" w14:paraId="0FA8B9D9" w14:textId="77777777" w:rsidTr="00C61C7F">
        <w:trPr>
          <w:trHeight w:val="367"/>
        </w:trPr>
        <w:tc>
          <w:tcPr>
            <w:tcW w:w="1381" w:type="dxa"/>
            <w:tcBorders>
              <w:top w:val="nil"/>
              <w:left w:val="nil"/>
              <w:bottom w:val="single" w:sz="8" w:space="0" w:color="000000"/>
              <w:right w:val="nil"/>
            </w:tcBorders>
            <w:shd w:val="clear" w:color="auto" w:fill="auto"/>
            <w:vAlign w:val="center"/>
            <w:hideMark/>
          </w:tcPr>
          <w:p w14:paraId="67ADE19B"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Data</w:t>
            </w:r>
          </w:p>
        </w:tc>
        <w:tc>
          <w:tcPr>
            <w:tcW w:w="1842" w:type="dxa"/>
            <w:tcBorders>
              <w:top w:val="nil"/>
              <w:left w:val="nil"/>
              <w:bottom w:val="single" w:sz="8" w:space="0" w:color="000000"/>
              <w:right w:val="nil"/>
            </w:tcBorders>
            <w:shd w:val="clear" w:color="auto" w:fill="auto"/>
            <w:vAlign w:val="center"/>
            <w:hideMark/>
          </w:tcPr>
          <w:p w14:paraId="14B4E18F"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Parameter</w:t>
            </w:r>
          </w:p>
        </w:tc>
        <w:tc>
          <w:tcPr>
            <w:tcW w:w="1189" w:type="dxa"/>
            <w:tcBorders>
              <w:top w:val="nil"/>
              <w:left w:val="nil"/>
              <w:bottom w:val="single" w:sz="8" w:space="0" w:color="000000"/>
              <w:right w:val="nil"/>
            </w:tcBorders>
            <w:shd w:val="clear" w:color="auto" w:fill="auto"/>
            <w:vAlign w:val="center"/>
            <w:hideMark/>
          </w:tcPr>
          <w:p w14:paraId="7A3DF427"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Estimate</w:t>
            </w:r>
          </w:p>
        </w:tc>
        <w:tc>
          <w:tcPr>
            <w:tcW w:w="1421" w:type="dxa"/>
            <w:tcBorders>
              <w:top w:val="nil"/>
              <w:left w:val="nil"/>
              <w:bottom w:val="single" w:sz="8" w:space="0" w:color="000000"/>
              <w:right w:val="nil"/>
            </w:tcBorders>
            <w:shd w:val="clear" w:color="auto" w:fill="auto"/>
            <w:vAlign w:val="center"/>
            <w:hideMark/>
          </w:tcPr>
          <w:p w14:paraId="35CC67C4"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Estimate Error</w:t>
            </w:r>
          </w:p>
        </w:tc>
        <w:tc>
          <w:tcPr>
            <w:tcW w:w="1688" w:type="dxa"/>
            <w:tcBorders>
              <w:top w:val="nil"/>
              <w:left w:val="nil"/>
              <w:bottom w:val="single" w:sz="8" w:space="0" w:color="000000"/>
              <w:right w:val="nil"/>
            </w:tcBorders>
            <w:shd w:val="clear" w:color="auto" w:fill="auto"/>
            <w:vAlign w:val="center"/>
            <w:hideMark/>
          </w:tcPr>
          <w:p w14:paraId="7DB59DBF"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Lower 95% credible interval</w:t>
            </w:r>
          </w:p>
        </w:tc>
        <w:tc>
          <w:tcPr>
            <w:tcW w:w="1844" w:type="dxa"/>
            <w:gridSpan w:val="2"/>
            <w:tcBorders>
              <w:top w:val="nil"/>
              <w:left w:val="nil"/>
              <w:bottom w:val="single" w:sz="8" w:space="0" w:color="000000"/>
              <w:right w:val="nil"/>
            </w:tcBorders>
            <w:shd w:val="clear" w:color="auto" w:fill="auto"/>
            <w:vAlign w:val="center"/>
            <w:hideMark/>
          </w:tcPr>
          <w:p w14:paraId="3B719688" w14:textId="77777777" w:rsidR="00C61C7F" w:rsidRPr="00C61C7F" w:rsidRDefault="00C61C7F" w:rsidP="00C61C7F">
            <w:pPr>
              <w:suppressAutoHyphens w:val="0"/>
              <w:spacing w:after="0" w:line="240" w:lineRule="auto"/>
              <w:jc w:val="center"/>
              <w:rPr>
                <w:rFonts w:ascii="Times New Roman" w:eastAsia="Times New Roman" w:hAnsi="Times New Roman" w:cs="Times New Roman"/>
                <w:b/>
                <w:bCs/>
                <w:color w:val="000000"/>
                <w:sz w:val="20"/>
                <w:szCs w:val="20"/>
                <w:lang w:val="en-CH" w:eastAsia="en-CH"/>
              </w:rPr>
            </w:pPr>
            <w:r w:rsidRPr="00C61C7F">
              <w:rPr>
                <w:rFonts w:ascii="Times New Roman" w:eastAsia="Times New Roman" w:hAnsi="Times New Roman" w:cs="Times New Roman"/>
                <w:b/>
                <w:bCs/>
                <w:color w:val="000000"/>
                <w:sz w:val="20"/>
                <w:szCs w:val="20"/>
                <w:lang w:val="en-CH" w:eastAsia="en-CH"/>
              </w:rPr>
              <w:t>Upper 95% credible interval</w:t>
            </w:r>
          </w:p>
        </w:tc>
      </w:tr>
      <w:tr w:rsidR="00C61C7F" w:rsidRPr="00C61C7F" w14:paraId="42EF3809" w14:textId="77777777" w:rsidTr="00C61C7F">
        <w:trPr>
          <w:trHeight w:val="93"/>
        </w:trPr>
        <w:tc>
          <w:tcPr>
            <w:tcW w:w="1381" w:type="dxa"/>
            <w:tcBorders>
              <w:top w:val="nil"/>
              <w:left w:val="nil"/>
              <w:bottom w:val="nil"/>
              <w:right w:val="nil"/>
            </w:tcBorders>
            <w:shd w:val="clear" w:color="auto" w:fill="auto"/>
            <w:vAlign w:val="center"/>
            <w:hideMark/>
          </w:tcPr>
          <w:p w14:paraId="56EE768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All data</w:t>
            </w:r>
          </w:p>
        </w:tc>
        <w:tc>
          <w:tcPr>
            <w:tcW w:w="1842" w:type="dxa"/>
            <w:tcBorders>
              <w:top w:val="nil"/>
              <w:left w:val="nil"/>
              <w:bottom w:val="nil"/>
              <w:right w:val="nil"/>
            </w:tcBorders>
            <w:shd w:val="clear" w:color="auto" w:fill="auto"/>
            <w:vAlign w:val="center"/>
            <w:hideMark/>
          </w:tcPr>
          <w:p w14:paraId="1545D17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Intercept</w:t>
            </w:r>
          </w:p>
        </w:tc>
        <w:tc>
          <w:tcPr>
            <w:tcW w:w="1189" w:type="dxa"/>
            <w:tcBorders>
              <w:top w:val="nil"/>
              <w:left w:val="nil"/>
              <w:bottom w:val="nil"/>
              <w:right w:val="nil"/>
            </w:tcBorders>
            <w:shd w:val="clear" w:color="auto" w:fill="auto"/>
            <w:vAlign w:val="center"/>
            <w:hideMark/>
          </w:tcPr>
          <w:p w14:paraId="32819374"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-3.3026</w:t>
            </w:r>
          </w:p>
        </w:tc>
        <w:tc>
          <w:tcPr>
            <w:tcW w:w="1421" w:type="dxa"/>
            <w:tcBorders>
              <w:top w:val="nil"/>
              <w:left w:val="nil"/>
              <w:bottom w:val="nil"/>
              <w:right w:val="nil"/>
            </w:tcBorders>
            <w:shd w:val="clear" w:color="auto" w:fill="auto"/>
            <w:vAlign w:val="center"/>
            <w:hideMark/>
          </w:tcPr>
          <w:p w14:paraId="30029F1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0.0171</w:t>
            </w:r>
          </w:p>
        </w:tc>
        <w:tc>
          <w:tcPr>
            <w:tcW w:w="1842" w:type="dxa"/>
            <w:gridSpan w:val="2"/>
            <w:tcBorders>
              <w:top w:val="nil"/>
              <w:left w:val="nil"/>
              <w:bottom w:val="nil"/>
              <w:right w:val="nil"/>
            </w:tcBorders>
            <w:shd w:val="clear" w:color="auto" w:fill="auto"/>
            <w:vAlign w:val="center"/>
            <w:hideMark/>
          </w:tcPr>
          <w:p w14:paraId="6F9DCF94"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-3.337</w:t>
            </w:r>
          </w:p>
        </w:tc>
        <w:tc>
          <w:tcPr>
            <w:tcW w:w="1691" w:type="dxa"/>
            <w:tcBorders>
              <w:top w:val="nil"/>
              <w:left w:val="nil"/>
              <w:bottom w:val="nil"/>
              <w:right w:val="nil"/>
            </w:tcBorders>
            <w:shd w:val="clear" w:color="auto" w:fill="auto"/>
            <w:vAlign w:val="center"/>
            <w:hideMark/>
          </w:tcPr>
          <w:p w14:paraId="143150A3"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-3.2697</w:t>
            </w:r>
          </w:p>
        </w:tc>
      </w:tr>
      <w:tr w:rsidR="00C61C7F" w:rsidRPr="00C61C7F" w14:paraId="1F0324F7" w14:textId="77777777" w:rsidTr="00C61C7F">
        <w:trPr>
          <w:trHeight w:val="272"/>
        </w:trPr>
        <w:tc>
          <w:tcPr>
            <w:tcW w:w="1381" w:type="dxa"/>
            <w:tcBorders>
              <w:top w:val="nil"/>
              <w:left w:val="nil"/>
              <w:bottom w:val="nil"/>
              <w:right w:val="nil"/>
            </w:tcBorders>
            <w:shd w:val="clear" w:color="auto" w:fill="auto"/>
            <w:vAlign w:val="center"/>
            <w:hideMark/>
          </w:tcPr>
          <w:p w14:paraId="6E457B4C" w14:textId="0E378CEF"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7A97FE2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w:t>
            </w:r>
          </w:p>
        </w:tc>
        <w:tc>
          <w:tcPr>
            <w:tcW w:w="1189" w:type="dxa"/>
            <w:tcBorders>
              <w:top w:val="nil"/>
              <w:left w:val="nil"/>
              <w:bottom w:val="nil"/>
              <w:right w:val="nil"/>
            </w:tcBorders>
            <w:shd w:val="clear" w:color="auto" w:fill="auto"/>
            <w:vAlign w:val="center"/>
            <w:hideMark/>
          </w:tcPr>
          <w:p w14:paraId="33FD2B0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0.0009</w:t>
            </w:r>
          </w:p>
        </w:tc>
        <w:tc>
          <w:tcPr>
            <w:tcW w:w="1421" w:type="dxa"/>
            <w:tcBorders>
              <w:top w:val="nil"/>
              <w:left w:val="nil"/>
              <w:bottom w:val="nil"/>
              <w:right w:val="nil"/>
            </w:tcBorders>
            <w:shd w:val="clear" w:color="auto" w:fill="auto"/>
            <w:vAlign w:val="center"/>
            <w:hideMark/>
          </w:tcPr>
          <w:p w14:paraId="1267985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0.0002</w:t>
            </w:r>
          </w:p>
        </w:tc>
        <w:tc>
          <w:tcPr>
            <w:tcW w:w="1842" w:type="dxa"/>
            <w:gridSpan w:val="2"/>
            <w:tcBorders>
              <w:top w:val="nil"/>
              <w:left w:val="nil"/>
              <w:bottom w:val="nil"/>
              <w:right w:val="nil"/>
            </w:tcBorders>
            <w:shd w:val="clear" w:color="auto" w:fill="auto"/>
            <w:vAlign w:val="center"/>
            <w:hideMark/>
          </w:tcPr>
          <w:p w14:paraId="2B4AEB7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0.0006</w:t>
            </w:r>
          </w:p>
        </w:tc>
        <w:tc>
          <w:tcPr>
            <w:tcW w:w="1691" w:type="dxa"/>
            <w:tcBorders>
              <w:top w:val="nil"/>
              <w:left w:val="nil"/>
              <w:bottom w:val="nil"/>
              <w:right w:val="nil"/>
            </w:tcBorders>
            <w:shd w:val="clear" w:color="auto" w:fill="auto"/>
            <w:vAlign w:val="center"/>
            <w:hideMark/>
          </w:tcPr>
          <w:p w14:paraId="7437E2C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0.0012</w:t>
            </w:r>
          </w:p>
        </w:tc>
      </w:tr>
      <w:tr w:rsidR="00C61C7F" w:rsidRPr="00C61C7F" w14:paraId="61ADF699" w14:textId="77777777" w:rsidTr="00C61C7F">
        <w:trPr>
          <w:trHeight w:val="454"/>
        </w:trPr>
        <w:tc>
          <w:tcPr>
            <w:tcW w:w="1381" w:type="dxa"/>
            <w:tcBorders>
              <w:top w:val="nil"/>
              <w:left w:val="nil"/>
              <w:bottom w:val="nil"/>
              <w:right w:val="nil"/>
            </w:tcBorders>
            <w:shd w:val="clear" w:color="auto" w:fill="auto"/>
            <w:vAlign w:val="center"/>
            <w:hideMark/>
          </w:tcPr>
          <w:p w14:paraId="56ADCE34"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64CC7CC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Call-length category (Long/Short)</w:t>
            </w:r>
          </w:p>
        </w:tc>
        <w:tc>
          <w:tcPr>
            <w:tcW w:w="1189" w:type="dxa"/>
            <w:tcBorders>
              <w:top w:val="nil"/>
              <w:left w:val="nil"/>
              <w:bottom w:val="nil"/>
              <w:right w:val="nil"/>
            </w:tcBorders>
            <w:shd w:val="clear" w:color="auto" w:fill="auto"/>
            <w:vAlign w:val="center"/>
            <w:hideMark/>
          </w:tcPr>
          <w:p w14:paraId="13DAC61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1.5008</w:t>
            </w:r>
          </w:p>
        </w:tc>
        <w:tc>
          <w:tcPr>
            <w:tcW w:w="1421" w:type="dxa"/>
            <w:tcBorders>
              <w:top w:val="nil"/>
              <w:left w:val="nil"/>
              <w:bottom w:val="nil"/>
              <w:right w:val="nil"/>
            </w:tcBorders>
            <w:shd w:val="clear" w:color="auto" w:fill="auto"/>
            <w:vAlign w:val="center"/>
            <w:hideMark/>
          </w:tcPr>
          <w:p w14:paraId="4AEF23B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0.0108</w:t>
            </w:r>
          </w:p>
        </w:tc>
        <w:tc>
          <w:tcPr>
            <w:tcW w:w="1842" w:type="dxa"/>
            <w:gridSpan w:val="2"/>
            <w:tcBorders>
              <w:top w:val="nil"/>
              <w:left w:val="nil"/>
              <w:bottom w:val="nil"/>
              <w:right w:val="nil"/>
            </w:tcBorders>
            <w:shd w:val="clear" w:color="auto" w:fill="auto"/>
            <w:vAlign w:val="center"/>
            <w:hideMark/>
          </w:tcPr>
          <w:p w14:paraId="533B2EB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1.4794</w:t>
            </w:r>
          </w:p>
        </w:tc>
        <w:tc>
          <w:tcPr>
            <w:tcW w:w="1691" w:type="dxa"/>
            <w:tcBorders>
              <w:top w:val="nil"/>
              <w:left w:val="nil"/>
              <w:bottom w:val="nil"/>
              <w:right w:val="nil"/>
            </w:tcBorders>
            <w:shd w:val="clear" w:color="auto" w:fill="auto"/>
            <w:vAlign w:val="center"/>
            <w:hideMark/>
          </w:tcPr>
          <w:p w14:paraId="207C7555"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1.522</w:t>
            </w:r>
          </w:p>
        </w:tc>
      </w:tr>
      <w:tr w:rsidR="00C61C7F" w:rsidRPr="00C61C7F" w14:paraId="5811F7F8" w14:textId="77777777" w:rsidTr="00C61C7F">
        <w:trPr>
          <w:trHeight w:val="363"/>
        </w:trPr>
        <w:tc>
          <w:tcPr>
            <w:tcW w:w="1381" w:type="dxa"/>
            <w:tcBorders>
              <w:top w:val="nil"/>
              <w:left w:val="nil"/>
              <w:bottom w:val="nil"/>
              <w:right w:val="nil"/>
            </w:tcBorders>
            <w:shd w:val="clear" w:color="auto" w:fill="auto"/>
            <w:vAlign w:val="center"/>
            <w:hideMark/>
          </w:tcPr>
          <w:p w14:paraId="69DA38A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73BD30AB"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xml:space="preserve">Logged position of </w:t>
            </w:r>
            <w:proofErr w:type="gramStart"/>
            <w:r w:rsidRPr="00C61C7F">
              <w:rPr>
                <w:rFonts w:ascii="Times New Roman" w:eastAsia="Times New Roman" w:hAnsi="Times New Roman" w:cs="Times New Roman"/>
                <w:color w:val="000000"/>
                <w:sz w:val="20"/>
                <w:szCs w:val="20"/>
                <w:lang w:val="en-CH" w:eastAsia="en-CH"/>
              </w:rPr>
              <w:t>call in</w:t>
            </w:r>
            <w:proofErr w:type="gramEnd"/>
            <w:r w:rsidRPr="00C61C7F">
              <w:rPr>
                <w:rFonts w:ascii="Times New Roman" w:eastAsia="Times New Roman" w:hAnsi="Times New Roman" w:cs="Times New Roman"/>
                <w:color w:val="000000"/>
                <w:sz w:val="20"/>
                <w:szCs w:val="20"/>
                <w:lang w:val="en-CH" w:eastAsia="en-CH"/>
              </w:rPr>
              <w:t xml:space="preserve"> bout</w:t>
            </w:r>
          </w:p>
        </w:tc>
        <w:tc>
          <w:tcPr>
            <w:tcW w:w="1189" w:type="dxa"/>
            <w:tcBorders>
              <w:top w:val="nil"/>
              <w:left w:val="nil"/>
              <w:bottom w:val="nil"/>
              <w:right w:val="nil"/>
            </w:tcBorders>
            <w:shd w:val="clear" w:color="auto" w:fill="auto"/>
            <w:vAlign w:val="center"/>
            <w:hideMark/>
          </w:tcPr>
          <w:p w14:paraId="3C00F89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0.0192</w:t>
            </w:r>
          </w:p>
        </w:tc>
        <w:tc>
          <w:tcPr>
            <w:tcW w:w="1421" w:type="dxa"/>
            <w:tcBorders>
              <w:top w:val="nil"/>
              <w:left w:val="nil"/>
              <w:bottom w:val="nil"/>
              <w:right w:val="nil"/>
            </w:tcBorders>
            <w:shd w:val="clear" w:color="auto" w:fill="auto"/>
            <w:vAlign w:val="center"/>
            <w:hideMark/>
          </w:tcPr>
          <w:p w14:paraId="0C4CDAF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0.0019</w:t>
            </w:r>
          </w:p>
        </w:tc>
        <w:tc>
          <w:tcPr>
            <w:tcW w:w="1842" w:type="dxa"/>
            <w:gridSpan w:val="2"/>
            <w:tcBorders>
              <w:top w:val="nil"/>
              <w:left w:val="nil"/>
              <w:bottom w:val="nil"/>
              <w:right w:val="nil"/>
            </w:tcBorders>
            <w:shd w:val="clear" w:color="auto" w:fill="auto"/>
            <w:vAlign w:val="center"/>
            <w:hideMark/>
          </w:tcPr>
          <w:p w14:paraId="7B79457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0.0155</w:t>
            </w:r>
          </w:p>
        </w:tc>
        <w:tc>
          <w:tcPr>
            <w:tcW w:w="1691" w:type="dxa"/>
            <w:tcBorders>
              <w:top w:val="nil"/>
              <w:left w:val="nil"/>
              <w:bottom w:val="nil"/>
              <w:right w:val="nil"/>
            </w:tcBorders>
            <w:shd w:val="clear" w:color="auto" w:fill="auto"/>
            <w:vAlign w:val="center"/>
            <w:hideMark/>
          </w:tcPr>
          <w:p w14:paraId="7669E8B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0.0229</w:t>
            </w:r>
          </w:p>
        </w:tc>
      </w:tr>
      <w:tr w:rsidR="00C61C7F" w:rsidRPr="00C61C7F" w14:paraId="30B755DD" w14:textId="77777777" w:rsidTr="00C61C7F">
        <w:trPr>
          <w:trHeight w:val="544"/>
        </w:trPr>
        <w:tc>
          <w:tcPr>
            <w:tcW w:w="1381" w:type="dxa"/>
            <w:tcBorders>
              <w:top w:val="nil"/>
              <w:left w:val="nil"/>
              <w:bottom w:val="dotted" w:sz="4" w:space="0" w:color="000000"/>
              <w:right w:val="nil"/>
            </w:tcBorders>
            <w:shd w:val="clear" w:color="auto" w:fill="auto"/>
            <w:vAlign w:val="center"/>
            <w:hideMark/>
          </w:tcPr>
          <w:p w14:paraId="4462BB30" w14:textId="77777777" w:rsidR="00C61C7F" w:rsidRPr="00C61C7F" w:rsidRDefault="00C61C7F" w:rsidP="00C61C7F">
            <w:pPr>
              <w:suppressAutoHyphens w:val="0"/>
              <w:spacing w:after="0" w:line="240" w:lineRule="auto"/>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w:t>
            </w:r>
          </w:p>
        </w:tc>
        <w:tc>
          <w:tcPr>
            <w:tcW w:w="1842" w:type="dxa"/>
            <w:tcBorders>
              <w:top w:val="nil"/>
              <w:left w:val="nil"/>
              <w:bottom w:val="dotted" w:sz="4" w:space="0" w:color="000000"/>
              <w:right w:val="nil"/>
            </w:tcBorders>
            <w:shd w:val="clear" w:color="auto" w:fill="auto"/>
            <w:vAlign w:val="center"/>
            <w:hideMark/>
          </w:tcPr>
          <w:p w14:paraId="1AB3EEF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 * Call-length category</w:t>
            </w:r>
          </w:p>
        </w:tc>
        <w:tc>
          <w:tcPr>
            <w:tcW w:w="1189" w:type="dxa"/>
            <w:tcBorders>
              <w:top w:val="nil"/>
              <w:left w:val="nil"/>
              <w:bottom w:val="dotted" w:sz="4" w:space="0" w:color="000000"/>
              <w:right w:val="nil"/>
            </w:tcBorders>
            <w:shd w:val="clear" w:color="auto" w:fill="auto"/>
            <w:vAlign w:val="center"/>
            <w:hideMark/>
          </w:tcPr>
          <w:p w14:paraId="03E33AF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-0.0004</w:t>
            </w:r>
          </w:p>
        </w:tc>
        <w:tc>
          <w:tcPr>
            <w:tcW w:w="1421" w:type="dxa"/>
            <w:tcBorders>
              <w:top w:val="nil"/>
              <w:left w:val="nil"/>
              <w:bottom w:val="dotted" w:sz="4" w:space="0" w:color="000000"/>
              <w:right w:val="nil"/>
            </w:tcBorders>
            <w:shd w:val="clear" w:color="auto" w:fill="auto"/>
            <w:vAlign w:val="center"/>
            <w:hideMark/>
          </w:tcPr>
          <w:p w14:paraId="3F5B042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0.0001</w:t>
            </w:r>
          </w:p>
        </w:tc>
        <w:tc>
          <w:tcPr>
            <w:tcW w:w="1842" w:type="dxa"/>
            <w:gridSpan w:val="2"/>
            <w:tcBorders>
              <w:top w:val="nil"/>
              <w:left w:val="nil"/>
              <w:bottom w:val="dotted" w:sz="4" w:space="0" w:color="000000"/>
              <w:right w:val="nil"/>
            </w:tcBorders>
            <w:shd w:val="clear" w:color="auto" w:fill="auto"/>
            <w:vAlign w:val="center"/>
            <w:hideMark/>
          </w:tcPr>
          <w:p w14:paraId="21BA485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-0.0006</w:t>
            </w:r>
          </w:p>
        </w:tc>
        <w:tc>
          <w:tcPr>
            <w:tcW w:w="1691" w:type="dxa"/>
            <w:tcBorders>
              <w:top w:val="nil"/>
              <w:left w:val="nil"/>
              <w:bottom w:val="dotted" w:sz="4" w:space="0" w:color="000000"/>
              <w:right w:val="nil"/>
            </w:tcBorders>
            <w:shd w:val="clear" w:color="auto" w:fill="auto"/>
            <w:vAlign w:val="center"/>
            <w:hideMark/>
          </w:tcPr>
          <w:p w14:paraId="02772AF3"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-0.0003</w:t>
            </w:r>
          </w:p>
        </w:tc>
      </w:tr>
      <w:tr w:rsidR="00C61C7F" w:rsidRPr="00C61C7F" w14:paraId="57978989" w14:textId="77777777" w:rsidTr="00C61C7F">
        <w:trPr>
          <w:trHeight w:val="93"/>
        </w:trPr>
        <w:tc>
          <w:tcPr>
            <w:tcW w:w="1381" w:type="dxa"/>
            <w:tcBorders>
              <w:top w:val="nil"/>
              <w:left w:val="nil"/>
              <w:bottom w:val="nil"/>
              <w:right w:val="nil"/>
            </w:tcBorders>
            <w:shd w:val="clear" w:color="auto" w:fill="auto"/>
            <w:vAlign w:val="center"/>
            <w:hideMark/>
          </w:tcPr>
          <w:p w14:paraId="0465D1D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Bouts &gt; 1</w:t>
            </w:r>
          </w:p>
        </w:tc>
        <w:tc>
          <w:tcPr>
            <w:tcW w:w="1842" w:type="dxa"/>
            <w:tcBorders>
              <w:top w:val="nil"/>
              <w:left w:val="nil"/>
              <w:bottom w:val="nil"/>
              <w:right w:val="nil"/>
            </w:tcBorders>
            <w:shd w:val="clear" w:color="auto" w:fill="auto"/>
            <w:vAlign w:val="center"/>
            <w:hideMark/>
          </w:tcPr>
          <w:p w14:paraId="5130B5D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Intercept</w:t>
            </w:r>
          </w:p>
        </w:tc>
        <w:tc>
          <w:tcPr>
            <w:tcW w:w="1189" w:type="dxa"/>
            <w:tcBorders>
              <w:top w:val="nil"/>
              <w:left w:val="nil"/>
              <w:bottom w:val="nil"/>
              <w:right w:val="nil"/>
            </w:tcBorders>
            <w:shd w:val="clear" w:color="auto" w:fill="auto"/>
            <w:vAlign w:val="center"/>
            <w:hideMark/>
          </w:tcPr>
          <w:p w14:paraId="54BCFFE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-3.2831</w:t>
            </w:r>
          </w:p>
        </w:tc>
        <w:tc>
          <w:tcPr>
            <w:tcW w:w="1421" w:type="dxa"/>
            <w:tcBorders>
              <w:top w:val="nil"/>
              <w:left w:val="nil"/>
              <w:bottom w:val="nil"/>
              <w:right w:val="nil"/>
            </w:tcBorders>
            <w:shd w:val="clear" w:color="auto" w:fill="auto"/>
            <w:vAlign w:val="center"/>
            <w:hideMark/>
          </w:tcPr>
          <w:p w14:paraId="71B211F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0.0169</w:t>
            </w:r>
          </w:p>
        </w:tc>
        <w:tc>
          <w:tcPr>
            <w:tcW w:w="1842" w:type="dxa"/>
            <w:gridSpan w:val="2"/>
            <w:tcBorders>
              <w:top w:val="nil"/>
              <w:left w:val="nil"/>
              <w:bottom w:val="nil"/>
              <w:right w:val="nil"/>
            </w:tcBorders>
            <w:shd w:val="clear" w:color="auto" w:fill="auto"/>
            <w:vAlign w:val="center"/>
            <w:hideMark/>
          </w:tcPr>
          <w:p w14:paraId="5769054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-3.3154</w:t>
            </w:r>
          </w:p>
        </w:tc>
        <w:tc>
          <w:tcPr>
            <w:tcW w:w="1691" w:type="dxa"/>
            <w:tcBorders>
              <w:top w:val="nil"/>
              <w:left w:val="nil"/>
              <w:bottom w:val="nil"/>
              <w:right w:val="nil"/>
            </w:tcBorders>
            <w:shd w:val="clear" w:color="auto" w:fill="auto"/>
            <w:vAlign w:val="center"/>
            <w:hideMark/>
          </w:tcPr>
          <w:p w14:paraId="72FC640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-3.2501</w:t>
            </w:r>
          </w:p>
        </w:tc>
      </w:tr>
      <w:tr w:rsidR="00C61C7F" w:rsidRPr="00C61C7F" w14:paraId="5A6D5139" w14:textId="77777777" w:rsidTr="00C61C7F">
        <w:trPr>
          <w:trHeight w:val="272"/>
        </w:trPr>
        <w:tc>
          <w:tcPr>
            <w:tcW w:w="1381" w:type="dxa"/>
            <w:tcBorders>
              <w:top w:val="nil"/>
              <w:left w:val="nil"/>
              <w:bottom w:val="nil"/>
              <w:right w:val="nil"/>
            </w:tcBorders>
            <w:shd w:val="clear" w:color="auto" w:fill="auto"/>
            <w:vAlign w:val="center"/>
            <w:hideMark/>
          </w:tcPr>
          <w:p w14:paraId="6B8430CC" w14:textId="04265BCF"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4950EEC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w:t>
            </w:r>
          </w:p>
        </w:tc>
        <w:tc>
          <w:tcPr>
            <w:tcW w:w="1189" w:type="dxa"/>
            <w:tcBorders>
              <w:top w:val="nil"/>
              <w:left w:val="nil"/>
              <w:bottom w:val="nil"/>
              <w:right w:val="nil"/>
            </w:tcBorders>
            <w:shd w:val="clear" w:color="auto" w:fill="auto"/>
            <w:vAlign w:val="center"/>
            <w:hideMark/>
          </w:tcPr>
          <w:p w14:paraId="40E44AA3"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0.0007</w:t>
            </w:r>
          </w:p>
        </w:tc>
        <w:tc>
          <w:tcPr>
            <w:tcW w:w="1421" w:type="dxa"/>
            <w:tcBorders>
              <w:top w:val="nil"/>
              <w:left w:val="nil"/>
              <w:bottom w:val="nil"/>
              <w:right w:val="nil"/>
            </w:tcBorders>
            <w:shd w:val="clear" w:color="auto" w:fill="auto"/>
            <w:vAlign w:val="center"/>
            <w:hideMark/>
          </w:tcPr>
          <w:p w14:paraId="111037F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0.0001</w:t>
            </w:r>
          </w:p>
        </w:tc>
        <w:tc>
          <w:tcPr>
            <w:tcW w:w="1842" w:type="dxa"/>
            <w:gridSpan w:val="2"/>
            <w:tcBorders>
              <w:top w:val="nil"/>
              <w:left w:val="nil"/>
              <w:bottom w:val="nil"/>
              <w:right w:val="nil"/>
            </w:tcBorders>
            <w:shd w:val="clear" w:color="auto" w:fill="auto"/>
            <w:vAlign w:val="center"/>
            <w:hideMark/>
          </w:tcPr>
          <w:p w14:paraId="363FD60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0.0004</w:t>
            </w:r>
          </w:p>
        </w:tc>
        <w:tc>
          <w:tcPr>
            <w:tcW w:w="1691" w:type="dxa"/>
            <w:tcBorders>
              <w:top w:val="nil"/>
              <w:left w:val="nil"/>
              <w:bottom w:val="nil"/>
              <w:right w:val="nil"/>
            </w:tcBorders>
            <w:shd w:val="clear" w:color="auto" w:fill="auto"/>
            <w:vAlign w:val="center"/>
            <w:hideMark/>
          </w:tcPr>
          <w:p w14:paraId="4A026F1C"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w:t>
            </w:r>
          </w:p>
        </w:tc>
      </w:tr>
      <w:tr w:rsidR="00C61C7F" w:rsidRPr="00C61C7F" w14:paraId="0E769BCE" w14:textId="77777777" w:rsidTr="00C61C7F">
        <w:trPr>
          <w:trHeight w:val="454"/>
        </w:trPr>
        <w:tc>
          <w:tcPr>
            <w:tcW w:w="1381" w:type="dxa"/>
            <w:tcBorders>
              <w:top w:val="nil"/>
              <w:left w:val="nil"/>
              <w:bottom w:val="nil"/>
              <w:right w:val="nil"/>
            </w:tcBorders>
            <w:shd w:val="clear" w:color="auto" w:fill="auto"/>
            <w:vAlign w:val="center"/>
            <w:hideMark/>
          </w:tcPr>
          <w:p w14:paraId="2ED1DF8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447A415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Call-length category (Long/Short)</w:t>
            </w:r>
          </w:p>
        </w:tc>
        <w:tc>
          <w:tcPr>
            <w:tcW w:w="1189" w:type="dxa"/>
            <w:tcBorders>
              <w:top w:val="nil"/>
              <w:left w:val="nil"/>
              <w:bottom w:val="nil"/>
              <w:right w:val="nil"/>
            </w:tcBorders>
            <w:shd w:val="clear" w:color="auto" w:fill="auto"/>
            <w:vAlign w:val="center"/>
            <w:hideMark/>
          </w:tcPr>
          <w:p w14:paraId="2129C95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1.4889</w:t>
            </w:r>
          </w:p>
        </w:tc>
        <w:tc>
          <w:tcPr>
            <w:tcW w:w="1421" w:type="dxa"/>
            <w:tcBorders>
              <w:top w:val="nil"/>
              <w:left w:val="nil"/>
              <w:bottom w:val="nil"/>
              <w:right w:val="nil"/>
            </w:tcBorders>
            <w:shd w:val="clear" w:color="auto" w:fill="auto"/>
            <w:vAlign w:val="center"/>
            <w:hideMark/>
          </w:tcPr>
          <w:p w14:paraId="5B1E494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0.0111</w:t>
            </w:r>
          </w:p>
        </w:tc>
        <w:tc>
          <w:tcPr>
            <w:tcW w:w="1842" w:type="dxa"/>
            <w:gridSpan w:val="2"/>
            <w:tcBorders>
              <w:top w:val="nil"/>
              <w:left w:val="nil"/>
              <w:bottom w:val="nil"/>
              <w:right w:val="nil"/>
            </w:tcBorders>
            <w:shd w:val="clear" w:color="auto" w:fill="auto"/>
            <w:vAlign w:val="center"/>
            <w:hideMark/>
          </w:tcPr>
          <w:p w14:paraId="33ED07F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1.4673</w:t>
            </w:r>
          </w:p>
        </w:tc>
        <w:tc>
          <w:tcPr>
            <w:tcW w:w="1691" w:type="dxa"/>
            <w:tcBorders>
              <w:top w:val="nil"/>
              <w:left w:val="nil"/>
              <w:bottom w:val="nil"/>
              <w:right w:val="nil"/>
            </w:tcBorders>
            <w:shd w:val="clear" w:color="auto" w:fill="auto"/>
            <w:vAlign w:val="center"/>
            <w:hideMark/>
          </w:tcPr>
          <w:p w14:paraId="2758A31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1.5111</w:t>
            </w:r>
          </w:p>
        </w:tc>
      </w:tr>
      <w:tr w:rsidR="00C61C7F" w:rsidRPr="00C61C7F" w14:paraId="4413B6B3" w14:textId="77777777" w:rsidTr="00C61C7F">
        <w:trPr>
          <w:trHeight w:val="363"/>
        </w:trPr>
        <w:tc>
          <w:tcPr>
            <w:tcW w:w="1381" w:type="dxa"/>
            <w:tcBorders>
              <w:top w:val="nil"/>
              <w:left w:val="nil"/>
              <w:bottom w:val="nil"/>
              <w:right w:val="nil"/>
            </w:tcBorders>
            <w:shd w:val="clear" w:color="auto" w:fill="auto"/>
            <w:vAlign w:val="center"/>
            <w:hideMark/>
          </w:tcPr>
          <w:p w14:paraId="7743E28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025589AB"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xml:space="preserve">Logged position of </w:t>
            </w:r>
            <w:proofErr w:type="gramStart"/>
            <w:r w:rsidRPr="00C61C7F">
              <w:rPr>
                <w:rFonts w:ascii="Times New Roman" w:eastAsia="Times New Roman" w:hAnsi="Times New Roman" w:cs="Times New Roman"/>
                <w:color w:val="000000"/>
                <w:sz w:val="20"/>
                <w:szCs w:val="20"/>
                <w:lang w:val="en-CH" w:eastAsia="en-CH"/>
              </w:rPr>
              <w:t>call in</w:t>
            </w:r>
            <w:proofErr w:type="gramEnd"/>
            <w:r w:rsidRPr="00C61C7F">
              <w:rPr>
                <w:rFonts w:ascii="Times New Roman" w:eastAsia="Times New Roman" w:hAnsi="Times New Roman" w:cs="Times New Roman"/>
                <w:color w:val="000000"/>
                <w:sz w:val="20"/>
                <w:szCs w:val="20"/>
                <w:lang w:val="en-CH" w:eastAsia="en-CH"/>
              </w:rPr>
              <w:t xml:space="preserve"> bout</w:t>
            </w:r>
          </w:p>
        </w:tc>
        <w:tc>
          <w:tcPr>
            <w:tcW w:w="1189" w:type="dxa"/>
            <w:tcBorders>
              <w:top w:val="nil"/>
              <w:left w:val="nil"/>
              <w:bottom w:val="nil"/>
              <w:right w:val="nil"/>
            </w:tcBorders>
            <w:shd w:val="clear" w:color="auto" w:fill="auto"/>
            <w:vAlign w:val="center"/>
            <w:hideMark/>
          </w:tcPr>
          <w:p w14:paraId="268F231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0.0203</w:t>
            </w:r>
          </w:p>
        </w:tc>
        <w:tc>
          <w:tcPr>
            <w:tcW w:w="1421" w:type="dxa"/>
            <w:tcBorders>
              <w:top w:val="nil"/>
              <w:left w:val="nil"/>
              <w:bottom w:val="nil"/>
              <w:right w:val="nil"/>
            </w:tcBorders>
            <w:shd w:val="clear" w:color="auto" w:fill="auto"/>
            <w:vAlign w:val="center"/>
            <w:hideMark/>
          </w:tcPr>
          <w:p w14:paraId="5C41E52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0.0019</w:t>
            </w:r>
          </w:p>
        </w:tc>
        <w:tc>
          <w:tcPr>
            <w:tcW w:w="1842" w:type="dxa"/>
            <w:gridSpan w:val="2"/>
            <w:tcBorders>
              <w:top w:val="nil"/>
              <w:left w:val="nil"/>
              <w:bottom w:val="nil"/>
              <w:right w:val="nil"/>
            </w:tcBorders>
            <w:shd w:val="clear" w:color="auto" w:fill="auto"/>
            <w:vAlign w:val="center"/>
            <w:hideMark/>
          </w:tcPr>
          <w:p w14:paraId="6700D1B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0.0167</w:t>
            </w:r>
          </w:p>
        </w:tc>
        <w:tc>
          <w:tcPr>
            <w:tcW w:w="1691" w:type="dxa"/>
            <w:tcBorders>
              <w:top w:val="nil"/>
              <w:left w:val="nil"/>
              <w:bottom w:val="nil"/>
              <w:right w:val="nil"/>
            </w:tcBorders>
            <w:shd w:val="clear" w:color="auto" w:fill="auto"/>
            <w:vAlign w:val="center"/>
            <w:hideMark/>
          </w:tcPr>
          <w:p w14:paraId="2579934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0.0238</w:t>
            </w:r>
          </w:p>
        </w:tc>
      </w:tr>
      <w:tr w:rsidR="00C61C7F" w:rsidRPr="00C61C7F" w14:paraId="1999BAB5" w14:textId="77777777" w:rsidTr="00C61C7F">
        <w:trPr>
          <w:trHeight w:val="544"/>
        </w:trPr>
        <w:tc>
          <w:tcPr>
            <w:tcW w:w="1381" w:type="dxa"/>
            <w:tcBorders>
              <w:top w:val="nil"/>
              <w:left w:val="nil"/>
              <w:bottom w:val="dotted" w:sz="4" w:space="0" w:color="000000"/>
              <w:right w:val="nil"/>
            </w:tcBorders>
            <w:shd w:val="clear" w:color="auto" w:fill="auto"/>
            <w:vAlign w:val="center"/>
            <w:hideMark/>
          </w:tcPr>
          <w:p w14:paraId="4354DBCD" w14:textId="77777777" w:rsidR="00C61C7F" w:rsidRPr="00C61C7F" w:rsidRDefault="00C61C7F" w:rsidP="00C61C7F">
            <w:pPr>
              <w:suppressAutoHyphens w:val="0"/>
              <w:spacing w:after="0" w:line="240" w:lineRule="auto"/>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w:t>
            </w:r>
          </w:p>
        </w:tc>
        <w:tc>
          <w:tcPr>
            <w:tcW w:w="1842" w:type="dxa"/>
            <w:tcBorders>
              <w:top w:val="nil"/>
              <w:left w:val="nil"/>
              <w:bottom w:val="dotted" w:sz="4" w:space="0" w:color="000000"/>
              <w:right w:val="nil"/>
            </w:tcBorders>
            <w:shd w:val="clear" w:color="auto" w:fill="auto"/>
            <w:vAlign w:val="center"/>
            <w:hideMark/>
          </w:tcPr>
          <w:p w14:paraId="29811B1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 * Call-length category</w:t>
            </w:r>
          </w:p>
        </w:tc>
        <w:tc>
          <w:tcPr>
            <w:tcW w:w="1189" w:type="dxa"/>
            <w:tcBorders>
              <w:top w:val="nil"/>
              <w:left w:val="nil"/>
              <w:bottom w:val="dotted" w:sz="4" w:space="0" w:color="000000"/>
              <w:right w:val="nil"/>
            </w:tcBorders>
            <w:shd w:val="clear" w:color="auto" w:fill="auto"/>
            <w:vAlign w:val="center"/>
            <w:hideMark/>
          </w:tcPr>
          <w:p w14:paraId="58F9367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-0.0004</w:t>
            </w:r>
          </w:p>
        </w:tc>
        <w:tc>
          <w:tcPr>
            <w:tcW w:w="1421" w:type="dxa"/>
            <w:tcBorders>
              <w:top w:val="nil"/>
              <w:left w:val="nil"/>
              <w:bottom w:val="dotted" w:sz="4" w:space="0" w:color="000000"/>
              <w:right w:val="nil"/>
            </w:tcBorders>
            <w:shd w:val="clear" w:color="auto" w:fill="auto"/>
            <w:vAlign w:val="center"/>
            <w:hideMark/>
          </w:tcPr>
          <w:p w14:paraId="6BAB6FC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0.0001</w:t>
            </w:r>
          </w:p>
        </w:tc>
        <w:tc>
          <w:tcPr>
            <w:tcW w:w="1842" w:type="dxa"/>
            <w:gridSpan w:val="2"/>
            <w:tcBorders>
              <w:top w:val="nil"/>
              <w:left w:val="nil"/>
              <w:bottom w:val="dotted" w:sz="4" w:space="0" w:color="000000"/>
              <w:right w:val="nil"/>
            </w:tcBorders>
            <w:shd w:val="clear" w:color="auto" w:fill="auto"/>
            <w:vAlign w:val="center"/>
            <w:hideMark/>
          </w:tcPr>
          <w:p w14:paraId="2AEB615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-0.0006</w:t>
            </w:r>
          </w:p>
        </w:tc>
        <w:tc>
          <w:tcPr>
            <w:tcW w:w="1691" w:type="dxa"/>
            <w:tcBorders>
              <w:top w:val="nil"/>
              <w:left w:val="nil"/>
              <w:bottom w:val="dotted" w:sz="4" w:space="0" w:color="000000"/>
              <w:right w:val="nil"/>
            </w:tcBorders>
            <w:shd w:val="clear" w:color="auto" w:fill="auto"/>
            <w:vAlign w:val="center"/>
            <w:hideMark/>
          </w:tcPr>
          <w:p w14:paraId="2301DD7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-0.0002</w:t>
            </w:r>
          </w:p>
        </w:tc>
      </w:tr>
      <w:tr w:rsidR="00C61C7F" w:rsidRPr="00C61C7F" w14:paraId="3EF8E85D" w14:textId="77777777" w:rsidTr="00C61C7F">
        <w:trPr>
          <w:trHeight w:val="180"/>
        </w:trPr>
        <w:tc>
          <w:tcPr>
            <w:tcW w:w="1381" w:type="dxa"/>
            <w:tcBorders>
              <w:top w:val="nil"/>
              <w:left w:val="nil"/>
              <w:bottom w:val="nil"/>
              <w:right w:val="nil"/>
            </w:tcBorders>
            <w:shd w:val="clear" w:color="auto" w:fill="auto"/>
            <w:vAlign w:val="center"/>
            <w:hideMark/>
          </w:tcPr>
          <w:p w14:paraId="399C662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Bouts &lt; 35</w:t>
            </w:r>
          </w:p>
        </w:tc>
        <w:tc>
          <w:tcPr>
            <w:tcW w:w="1842" w:type="dxa"/>
            <w:tcBorders>
              <w:top w:val="nil"/>
              <w:left w:val="nil"/>
              <w:bottom w:val="nil"/>
              <w:right w:val="nil"/>
            </w:tcBorders>
            <w:shd w:val="clear" w:color="auto" w:fill="auto"/>
            <w:vAlign w:val="center"/>
            <w:hideMark/>
          </w:tcPr>
          <w:p w14:paraId="4006D88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Intercept</w:t>
            </w:r>
          </w:p>
        </w:tc>
        <w:tc>
          <w:tcPr>
            <w:tcW w:w="1189" w:type="dxa"/>
            <w:tcBorders>
              <w:top w:val="nil"/>
              <w:left w:val="nil"/>
              <w:bottom w:val="nil"/>
              <w:right w:val="nil"/>
            </w:tcBorders>
            <w:shd w:val="clear" w:color="auto" w:fill="auto"/>
            <w:vAlign w:val="center"/>
            <w:hideMark/>
          </w:tcPr>
          <w:p w14:paraId="61AE8DE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-3.3331</w:t>
            </w:r>
          </w:p>
        </w:tc>
        <w:tc>
          <w:tcPr>
            <w:tcW w:w="1421" w:type="dxa"/>
            <w:tcBorders>
              <w:top w:val="nil"/>
              <w:left w:val="nil"/>
              <w:bottom w:val="nil"/>
              <w:right w:val="nil"/>
            </w:tcBorders>
            <w:shd w:val="clear" w:color="auto" w:fill="auto"/>
            <w:vAlign w:val="center"/>
            <w:hideMark/>
          </w:tcPr>
          <w:p w14:paraId="0086103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0.0185</w:t>
            </w:r>
          </w:p>
        </w:tc>
        <w:tc>
          <w:tcPr>
            <w:tcW w:w="1842" w:type="dxa"/>
            <w:gridSpan w:val="2"/>
            <w:tcBorders>
              <w:top w:val="nil"/>
              <w:left w:val="nil"/>
              <w:bottom w:val="nil"/>
              <w:right w:val="nil"/>
            </w:tcBorders>
            <w:shd w:val="clear" w:color="auto" w:fill="auto"/>
            <w:vAlign w:val="center"/>
            <w:hideMark/>
          </w:tcPr>
          <w:p w14:paraId="3227C94B"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-3.3693</w:t>
            </w:r>
          </w:p>
        </w:tc>
        <w:tc>
          <w:tcPr>
            <w:tcW w:w="1691" w:type="dxa"/>
            <w:tcBorders>
              <w:top w:val="nil"/>
              <w:left w:val="nil"/>
              <w:bottom w:val="nil"/>
              <w:right w:val="nil"/>
            </w:tcBorders>
            <w:shd w:val="clear" w:color="auto" w:fill="auto"/>
            <w:vAlign w:val="center"/>
            <w:hideMark/>
          </w:tcPr>
          <w:p w14:paraId="3B62238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-3.2964</w:t>
            </w:r>
          </w:p>
        </w:tc>
      </w:tr>
      <w:tr w:rsidR="00C61C7F" w:rsidRPr="00C61C7F" w14:paraId="6E154363" w14:textId="77777777" w:rsidTr="00C61C7F">
        <w:trPr>
          <w:trHeight w:val="272"/>
        </w:trPr>
        <w:tc>
          <w:tcPr>
            <w:tcW w:w="1381" w:type="dxa"/>
            <w:tcBorders>
              <w:top w:val="nil"/>
              <w:left w:val="nil"/>
              <w:bottom w:val="nil"/>
              <w:right w:val="nil"/>
            </w:tcBorders>
            <w:shd w:val="clear" w:color="auto" w:fill="auto"/>
            <w:vAlign w:val="center"/>
            <w:hideMark/>
          </w:tcPr>
          <w:p w14:paraId="6DF70782" w14:textId="4E9CC36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38E7EA4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w:t>
            </w:r>
          </w:p>
        </w:tc>
        <w:tc>
          <w:tcPr>
            <w:tcW w:w="1189" w:type="dxa"/>
            <w:tcBorders>
              <w:top w:val="nil"/>
              <w:left w:val="nil"/>
              <w:bottom w:val="nil"/>
              <w:right w:val="nil"/>
            </w:tcBorders>
            <w:shd w:val="clear" w:color="auto" w:fill="auto"/>
            <w:vAlign w:val="center"/>
            <w:hideMark/>
          </w:tcPr>
          <w:p w14:paraId="3412AC5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0.0059</w:t>
            </w:r>
          </w:p>
        </w:tc>
        <w:tc>
          <w:tcPr>
            <w:tcW w:w="1421" w:type="dxa"/>
            <w:tcBorders>
              <w:top w:val="nil"/>
              <w:left w:val="nil"/>
              <w:bottom w:val="nil"/>
              <w:right w:val="nil"/>
            </w:tcBorders>
            <w:shd w:val="clear" w:color="auto" w:fill="auto"/>
            <w:vAlign w:val="center"/>
            <w:hideMark/>
          </w:tcPr>
          <w:p w14:paraId="4B6A283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0.0006</w:t>
            </w:r>
          </w:p>
        </w:tc>
        <w:tc>
          <w:tcPr>
            <w:tcW w:w="1842" w:type="dxa"/>
            <w:gridSpan w:val="2"/>
            <w:tcBorders>
              <w:top w:val="nil"/>
              <w:left w:val="nil"/>
              <w:bottom w:val="nil"/>
              <w:right w:val="nil"/>
            </w:tcBorders>
            <w:shd w:val="clear" w:color="auto" w:fill="auto"/>
            <w:vAlign w:val="center"/>
            <w:hideMark/>
          </w:tcPr>
          <w:p w14:paraId="4295E96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0.0048</w:t>
            </w:r>
          </w:p>
        </w:tc>
        <w:tc>
          <w:tcPr>
            <w:tcW w:w="1691" w:type="dxa"/>
            <w:tcBorders>
              <w:top w:val="nil"/>
              <w:left w:val="nil"/>
              <w:bottom w:val="nil"/>
              <w:right w:val="nil"/>
            </w:tcBorders>
            <w:shd w:val="clear" w:color="auto" w:fill="auto"/>
            <w:vAlign w:val="center"/>
            <w:hideMark/>
          </w:tcPr>
          <w:p w14:paraId="0C27CDF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0.0071</w:t>
            </w:r>
          </w:p>
        </w:tc>
      </w:tr>
      <w:tr w:rsidR="00C61C7F" w:rsidRPr="00C61C7F" w14:paraId="2386EEF5" w14:textId="77777777" w:rsidTr="00C61C7F">
        <w:trPr>
          <w:trHeight w:val="454"/>
        </w:trPr>
        <w:tc>
          <w:tcPr>
            <w:tcW w:w="1381" w:type="dxa"/>
            <w:tcBorders>
              <w:top w:val="nil"/>
              <w:left w:val="nil"/>
              <w:bottom w:val="nil"/>
              <w:right w:val="nil"/>
            </w:tcBorders>
            <w:shd w:val="clear" w:color="auto" w:fill="auto"/>
            <w:vAlign w:val="center"/>
            <w:hideMark/>
          </w:tcPr>
          <w:p w14:paraId="40C711D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30036BA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Call-length category (Long/Short)</w:t>
            </w:r>
          </w:p>
        </w:tc>
        <w:tc>
          <w:tcPr>
            <w:tcW w:w="1189" w:type="dxa"/>
            <w:tcBorders>
              <w:top w:val="nil"/>
              <w:left w:val="nil"/>
              <w:bottom w:val="nil"/>
              <w:right w:val="nil"/>
            </w:tcBorders>
            <w:shd w:val="clear" w:color="auto" w:fill="auto"/>
            <w:vAlign w:val="center"/>
            <w:hideMark/>
          </w:tcPr>
          <w:p w14:paraId="0E45884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1.5252</w:t>
            </w:r>
          </w:p>
        </w:tc>
        <w:tc>
          <w:tcPr>
            <w:tcW w:w="1421" w:type="dxa"/>
            <w:tcBorders>
              <w:top w:val="nil"/>
              <w:left w:val="nil"/>
              <w:bottom w:val="nil"/>
              <w:right w:val="nil"/>
            </w:tcBorders>
            <w:shd w:val="clear" w:color="auto" w:fill="auto"/>
            <w:vAlign w:val="center"/>
            <w:hideMark/>
          </w:tcPr>
          <w:p w14:paraId="1C8A2F3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0.0202</w:t>
            </w:r>
          </w:p>
        </w:tc>
        <w:tc>
          <w:tcPr>
            <w:tcW w:w="1842" w:type="dxa"/>
            <w:gridSpan w:val="2"/>
            <w:tcBorders>
              <w:top w:val="nil"/>
              <w:left w:val="nil"/>
              <w:bottom w:val="nil"/>
              <w:right w:val="nil"/>
            </w:tcBorders>
            <w:shd w:val="clear" w:color="auto" w:fill="auto"/>
            <w:vAlign w:val="center"/>
            <w:hideMark/>
          </w:tcPr>
          <w:p w14:paraId="7C420A8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1.4857</w:t>
            </w:r>
          </w:p>
        </w:tc>
        <w:tc>
          <w:tcPr>
            <w:tcW w:w="1691" w:type="dxa"/>
            <w:tcBorders>
              <w:top w:val="nil"/>
              <w:left w:val="nil"/>
              <w:bottom w:val="nil"/>
              <w:right w:val="nil"/>
            </w:tcBorders>
            <w:shd w:val="clear" w:color="auto" w:fill="auto"/>
            <w:vAlign w:val="center"/>
            <w:hideMark/>
          </w:tcPr>
          <w:p w14:paraId="0C9AA3B4"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1.5636</w:t>
            </w:r>
          </w:p>
        </w:tc>
      </w:tr>
      <w:tr w:rsidR="00C61C7F" w:rsidRPr="00C61C7F" w14:paraId="466818FA" w14:textId="77777777" w:rsidTr="00C61C7F">
        <w:trPr>
          <w:trHeight w:val="363"/>
        </w:trPr>
        <w:tc>
          <w:tcPr>
            <w:tcW w:w="1381" w:type="dxa"/>
            <w:tcBorders>
              <w:top w:val="nil"/>
              <w:left w:val="nil"/>
              <w:bottom w:val="nil"/>
              <w:right w:val="nil"/>
            </w:tcBorders>
            <w:shd w:val="clear" w:color="auto" w:fill="auto"/>
            <w:vAlign w:val="center"/>
            <w:hideMark/>
          </w:tcPr>
          <w:p w14:paraId="0A89FA2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6A4F93FF"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xml:space="preserve">Logged position of </w:t>
            </w:r>
            <w:proofErr w:type="gramStart"/>
            <w:r w:rsidRPr="00C61C7F">
              <w:rPr>
                <w:rFonts w:ascii="Times New Roman" w:eastAsia="Times New Roman" w:hAnsi="Times New Roman" w:cs="Times New Roman"/>
                <w:color w:val="000000"/>
                <w:sz w:val="20"/>
                <w:szCs w:val="20"/>
                <w:lang w:val="en-CH" w:eastAsia="en-CH"/>
              </w:rPr>
              <w:t>call in</w:t>
            </w:r>
            <w:proofErr w:type="gramEnd"/>
            <w:r w:rsidRPr="00C61C7F">
              <w:rPr>
                <w:rFonts w:ascii="Times New Roman" w:eastAsia="Times New Roman" w:hAnsi="Times New Roman" w:cs="Times New Roman"/>
                <w:color w:val="000000"/>
                <w:sz w:val="20"/>
                <w:szCs w:val="20"/>
                <w:lang w:val="en-CH" w:eastAsia="en-CH"/>
              </w:rPr>
              <w:t xml:space="preserve"> bout</w:t>
            </w:r>
          </w:p>
        </w:tc>
        <w:tc>
          <w:tcPr>
            <w:tcW w:w="1189" w:type="dxa"/>
            <w:tcBorders>
              <w:top w:val="nil"/>
              <w:left w:val="nil"/>
              <w:bottom w:val="nil"/>
              <w:right w:val="nil"/>
            </w:tcBorders>
            <w:shd w:val="clear" w:color="auto" w:fill="auto"/>
            <w:vAlign w:val="center"/>
            <w:hideMark/>
          </w:tcPr>
          <w:p w14:paraId="09ED7CF3"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0.034</w:t>
            </w:r>
          </w:p>
        </w:tc>
        <w:tc>
          <w:tcPr>
            <w:tcW w:w="1421" w:type="dxa"/>
            <w:tcBorders>
              <w:top w:val="nil"/>
              <w:left w:val="nil"/>
              <w:bottom w:val="nil"/>
              <w:right w:val="nil"/>
            </w:tcBorders>
            <w:shd w:val="clear" w:color="auto" w:fill="auto"/>
            <w:vAlign w:val="center"/>
            <w:hideMark/>
          </w:tcPr>
          <w:p w14:paraId="76DF2B8C"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0.0033</w:t>
            </w:r>
          </w:p>
        </w:tc>
        <w:tc>
          <w:tcPr>
            <w:tcW w:w="1842" w:type="dxa"/>
            <w:gridSpan w:val="2"/>
            <w:tcBorders>
              <w:top w:val="nil"/>
              <w:left w:val="nil"/>
              <w:bottom w:val="nil"/>
              <w:right w:val="nil"/>
            </w:tcBorders>
            <w:shd w:val="clear" w:color="auto" w:fill="auto"/>
            <w:vAlign w:val="center"/>
            <w:hideMark/>
          </w:tcPr>
          <w:p w14:paraId="6A969FA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0.0274</w:t>
            </w:r>
          </w:p>
        </w:tc>
        <w:tc>
          <w:tcPr>
            <w:tcW w:w="1691" w:type="dxa"/>
            <w:tcBorders>
              <w:top w:val="nil"/>
              <w:left w:val="nil"/>
              <w:bottom w:val="nil"/>
              <w:right w:val="nil"/>
            </w:tcBorders>
            <w:shd w:val="clear" w:color="auto" w:fill="auto"/>
            <w:vAlign w:val="center"/>
            <w:hideMark/>
          </w:tcPr>
          <w:p w14:paraId="2F78BFF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0.0406</w:t>
            </w:r>
          </w:p>
        </w:tc>
      </w:tr>
      <w:tr w:rsidR="00C61C7F" w:rsidRPr="00C61C7F" w14:paraId="153C11F2" w14:textId="77777777" w:rsidTr="00C61C7F">
        <w:trPr>
          <w:trHeight w:val="544"/>
        </w:trPr>
        <w:tc>
          <w:tcPr>
            <w:tcW w:w="1381" w:type="dxa"/>
            <w:tcBorders>
              <w:top w:val="nil"/>
              <w:left w:val="nil"/>
              <w:bottom w:val="dotted" w:sz="4" w:space="0" w:color="000000"/>
              <w:right w:val="nil"/>
            </w:tcBorders>
            <w:shd w:val="clear" w:color="auto" w:fill="auto"/>
            <w:vAlign w:val="center"/>
            <w:hideMark/>
          </w:tcPr>
          <w:p w14:paraId="229310E7" w14:textId="77777777" w:rsidR="00C61C7F" w:rsidRPr="00C61C7F" w:rsidRDefault="00C61C7F" w:rsidP="00C61C7F">
            <w:pPr>
              <w:suppressAutoHyphens w:val="0"/>
              <w:spacing w:after="0" w:line="240" w:lineRule="auto"/>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w:t>
            </w:r>
          </w:p>
        </w:tc>
        <w:tc>
          <w:tcPr>
            <w:tcW w:w="1842" w:type="dxa"/>
            <w:tcBorders>
              <w:top w:val="nil"/>
              <w:left w:val="nil"/>
              <w:bottom w:val="dotted" w:sz="4" w:space="0" w:color="000000"/>
              <w:right w:val="nil"/>
            </w:tcBorders>
            <w:shd w:val="clear" w:color="auto" w:fill="auto"/>
            <w:vAlign w:val="center"/>
            <w:hideMark/>
          </w:tcPr>
          <w:p w14:paraId="7EFC3ED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 * Call-length category</w:t>
            </w:r>
          </w:p>
        </w:tc>
        <w:tc>
          <w:tcPr>
            <w:tcW w:w="1189" w:type="dxa"/>
            <w:tcBorders>
              <w:top w:val="nil"/>
              <w:left w:val="nil"/>
              <w:bottom w:val="dotted" w:sz="4" w:space="0" w:color="000000"/>
              <w:right w:val="nil"/>
            </w:tcBorders>
            <w:shd w:val="clear" w:color="auto" w:fill="auto"/>
            <w:vAlign w:val="center"/>
            <w:hideMark/>
          </w:tcPr>
          <w:p w14:paraId="2E039E8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-0.0015</w:t>
            </w:r>
          </w:p>
        </w:tc>
        <w:tc>
          <w:tcPr>
            <w:tcW w:w="1421" w:type="dxa"/>
            <w:tcBorders>
              <w:top w:val="nil"/>
              <w:left w:val="nil"/>
              <w:bottom w:val="dotted" w:sz="4" w:space="0" w:color="000000"/>
              <w:right w:val="nil"/>
            </w:tcBorders>
            <w:shd w:val="clear" w:color="auto" w:fill="auto"/>
            <w:vAlign w:val="center"/>
            <w:hideMark/>
          </w:tcPr>
          <w:p w14:paraId="5BE5E547"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0.0012</w:t>
            </w:r>
          </w:p>
        </w:tc>
        <w:tc>
          <w:tcPr>
            <w:tcW w:w="1842" w:type="dxa"/>
            <w:gridSpan w:val="2"/>
            <w:tcBorders>
              <w:top w:val="nil"/>
              <w:left w:val="nil"/>
              <w:bottom w:val="dotted" w:sz="4" w:space="0" w:color="000000"/>
              <w:right w:val="nil"/>
            </w:tcBorders>
            <w:shd w:val="clear" w:color="auto" w:fill="auto"/>
            <w:vAlign w:val="center"/>
            <w:hideMark/>
          </w:tcPr>
          <w:p w14:paraId="1D99CA2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-0.0038</w:t>
            </w:r>
          </w:p>
        </w:tc>
        <w:tc>
          <w:tcPr>
            <w:tcW w:w="1691" w:type="dxa"/>
            <w:tcBorders>
              <w:top w:val="nil"/>
              <w:left w:val="nil"/>
              <w:bottom w:val="dotted" w:sz="4" w:space="0" w:color="000000"/>
              <w:right w:val="nil"/>
            </w:tcBorders>
            <w:shd w:val="clear" w:color="auto" w:fill="auto"/>
            <w:vAlign w:val="center"/>
            <w:hideMark/>
          </w:tcPr>
          <w:p w14:paraId="2FEC3F1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0.0008</w:t>
            </w:r>
          </w:p>
        </w:tc>
      </w:tr>
      <w:tr w:rsidR="00C61C7F" w:rsidRPr="00C61C7F" w14:paraId="59B53C74" w14:textId="77777777" w:rsidTr="00C61C7F">
        <w:trPr>
          <w:trHeight w:val="180"/>
        </w:trPr>
        <w:tc>
          <w:tcPr>
            <w:tcW w:w="1381" w:type="dxa"/>
            <w:tcBorders>
              <w:top w:val="nil"/>
              <w:left w:val="nil"/>
              <w:bottom w:val="nil"/>
              <w:right w:val="nil"/>
            </w:tcBorders>
            <w:shd w:val="clear" w:color="auto" w:fill="auto"/>
            <w:vAlign w:val="center"/>
            <w:hideMark/>
          </w:tcPr>
          <w:p w14:paraId="3C892F2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xml:space="preserve">Bouts &gt; 1 </w:t>
            </w:r>
            <w:r w:rsidRPr="00C61C7F">
              <w:rPr>
                <w:rFonts w:ascii="Times New Roman" w:eastAsia="Times New Roman" w:hAnsi="Times New Roman" w:cs="Times New Roman"/>
                <w:b/>
                <w:bCs/>
                <w:color w:val="000000"/>
                <w:sz w:val="20"/>
                <w:szCs w:val="20"/>
                <w:lang w:val="en-CH" w:eastAsia="en-CH"/>
              </w:rPr>
              <w:t>and</w:t>
            </w:r>
            <w:r w:rsidRPr="00C61C7F">
              <w:rPr>
                <w:rFonts w:ascii="Times New Roman" w:eastAsia="Times New Roman" w:hAnsi="Times New Roman" w:cs="Times New Roman"/>
                <w:color w:val="000000"/>
                <w:sz w:val="20"/>
                <w:szCs w:val="20"/>
                <w:lang w:val="en-CH" w:eastAsia="en-CH"/>
              </w:rPr>
              <w:t xml:space="preserve"> &lt; 42</w:t>
            </w:r>
          </w:p>
        </w:tc>
        <w:tc>
          <w:tcPr>
            <w:tcW w:w="1842" w:type="dxa"/>
            <w:tcBorders>
              <w:top w:val="nil"/>
              <w:left w:val="nil"/>
              <w:bottom w:val="nil"/>
              <w:right w:val="nil"/>
            </w:tcBorders>
            <w:shd w:val="clear" w:color="auto" w:fill="auto"/>
            <w:vAlign w:val="center"/>
            <w:hideMark/>
          </w:tcPr>
          <w:p w14:paraId="75E3CF6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Intercept</w:t>
            </w:r>
          </w:p>
        </w:tc>
        <w:tc>
          <w:tcPr>
            <w:tcW w:w="1189" w:type="dxa"/>
            <w:tcBorders>
              <w:top w:val="nil"/>
              <w:left w:val="nil"/>
              <w:bottom w:val="nil"/>
              <w:right w:val="nil"/>
            </w:tcBorders>
            <w:shd w:val="clear" w:color="auto" w:fill="auto"/>
            <w:vAlign w:val="center"/>
            <w:hideMark/>
          </w:tcPr>
          <w:p w14:paraId="3F9783A5"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-3.3058</w:t>
            </w:r>
          </w:p>
        </w:tc>
        <w:tc>
          <w:tcPr>
            <w:tcW w:w="1421" w:type="dxa"/>
            <w:tcBorders>
              <w:top w:val="nil"/>
              <w:left w:val="nil"/>
              <w:bottom w:val="nil"/>
              <w:right w:val="nil"/>
            </w:tcBorders>
            <w:shd w:val="clear" w:color="auto" w:fill="auto"/>
            <w:vAlign w:val="center"/>
            <w:hideMark/>
          </w:tcPr>
          <w:p w14:paraId="32A22ED4"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0.0171</w:t>
            </w:r>
          </w:p>
        </w:tc>
        <w:tc>
          <w:tcPr>
            <w:tcW w:w="1842" w:type="dxa"/>
            <w:gridSpan w:val="2"/>
            <w:tcBorders>
              <w:top w:val="nil"/>
              <w:left w:val="nil"/>
              <w:bottom w:val="nil"/>
              <w:right w:val="nil"/>
            </w:tcBorders>
            <w:shd w:val="clear" w:color="auto" w:fill="auto"/>
            <w:vAlign w:val="center"/>
            <w:hideMark/>
          </w:tcPr>
          <w:p w14:paraId="12EB455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-3.3387</w:t>
            </w:r>
          </w:p>
        </w:tc>
        <w:tc>
          <w:tcPr>
            <w:tcW w:w="1691" w:type="dxa"/>
            <w:tcBorders>
              <w:top w:val="nil"/>
              <w:left w:val="nil"/>
              <w:bottom w:val="nil"/>
              <w:right w:val="nil"/>
            </w:tcBorders>
            <w:shd w:val="clear" w:color="auto" w:fill="auto"/>
            <w:vAlign w:val="center"/>
            <w:hideMark/>
          </w:tcPr>
          <w:p w14:paraId="66D02200"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-3.2719</w:t>
            </w:r>
          </w:p>
        </w:tc>
      </w:tr>
      <w:tr w:rsidR="00C61C7F" w:rsidRPr="00C61C7F" w14:paraId="24EA2F4B" w14:textId="77777777" w:rsidTr="00C61C7F">
        <w:trPr>
          <w:trHeight w:val="272"/>
        </w:trPr>
        <w:tc>
          <w:tcPr>
            <w:tcW w:w="1381" w:type="dxa"/>
            <w:tcBorders>
              <w:top w:val="nil"/>
              <w:left w:val="nil"/>
              <w:bottom w:val="nil"/>
              <w:right w:val="nil"/>
            </w:tcBorders>
            <w:shd w:val="clear" w:color="auto" w:fill="auto"/>
            <w:vAlign w:val="center"/>
            <w:hideMark/>
          </w:tcPr>
          <w:p w14:paraId="18DD21E8" w14:textId="6F0130E3"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766A8D1B"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w:t>
            </w:r>
          </w:p>
        </w:tc>
        <w:tc>
          <w:tcPr>
            <w:tcW w:w="1189" w:type="dxa"/>
            <w:tcBorders>
              <w:top w:val="nil"/>
              <w:left w:val="nil"/>
              <w:bottom w:val="nil"/>
              <w:right w:val="nil"/>
            </w:tcBorders>
            <w:shd w:val="clear" w:color="auto" w:fill="auto"/>
            <w:vAlign w:val="center"/>
            <w:hideMark/>
          </w:tcPr>
          <w:p w14:paraId="70B43E1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0.0044</w:t>
            </w:r>
          </w:p>
        </w:tc>
        <w:tc>
          <w:tcPr>
            <w:tcW w:w="1421" w:type="dxa"/>
            <w:tcBorders>
              <w:top w:val="nil"/>
              <w:left w:val="nil"/>
              <w:bottom w:val="nil"/>
              <w:right w:val="nil"/>
            </w:tcBorders>
            <w:shd w:val="clear" w:color="auto" w:fill="auto"/>
            <w:vAlign w:val="center"/>
            <w:hideMark/>
          </w:tcPr>
          <w:p w14:paraId="4DBFE1BC"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0.0005</w:t>
            </w:r>
          </w:p>
        </w:tc>
        <w:tc>
          <w:tcPr>
            <w:tcW w:w="1842" w:type="dxa"/>
            <w:gridSpan w:val="2"/>
            <w:tcBorders>
              <w:top w:val="nil"/>
              <w:left w:val="nil"/>
              <w:bottom w:val="nil"/>
              <w:right w:val="nil"/>
            </w:tcBorders>
            <w:shd w:val="clear" w:color="auto" w:fill="auto"/>
            <w:vAlign w:val="center"/>
            <w:hideMark/>
          </w:tcPr>
          <w:p w14:paraId="5543C53C"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0.0035</w:t>
            </w:r>
          </w:p>
        </w:tc>
        <w:tc>
          <w:tcPr>
            <w:tcW w:w="1691" w:type="dxa"/>
            <w:tcBorders>
              <w:top w:val="nil"/>
              <w:left w:val="nil"/>
              <w:bottom w:val="nil"/>
              <w:right w:val="nil"/>
            </w:tcBorders>
            <w:shd w:val="clear" w:color="auto" w:fill="auto"/>
            <w:vAlign w:val="center"/>
            <w:hideMark/>
          </w:tcPr>
          <w:p w14:paraId="23F263C5"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0.0054</w:t>
            </w:r>
          </w:p>
        </w:tc>
      </w:tr>
      <w:tr w:rsidR="00C61C7F" w:rsidRPr="00C61C7F" w14:paraId="089D49A8" w14:textId="77777777" w:rsidTr="00C61C7F">
        <w:trPr>
          <w:trHeight w:val="454"/>
        </w:trPr>
        <w:tc>
          <w:tcPr>
            <w:tcW w:w="1381" w:type="dxa"/>
            <w:tcBorders>
              <w:top w:val="nil"/>
              <w:left w:val="nil"/>
              <w:bottom w:val="nil"/>
              <w:right w:val="nil"/>
            </w:tcBorders>
            <w:shd w:val="clear" w:color="auto" w:fill="auto"/>
            <w:vAlign w:val="center"/>
            <w:hideMark/>
          </w:tcPr>
          <w:p w14:paraId="472528F6"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77A1419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Call-length category (Long/Short)</w:t>
            </w:r>
          </w:p>
        </w:tc>
        <w:tc>
          <w:tcPr>
            <w:tcW w:w="1189" w:type="dxa"/>
            <w:tcBorders>
              <w:top w:val="nil"/>
              <w:left w:val="nil"/>
              <w:bottom w:val="nil"/>
              <w:right w:val="nil"/>
            </w:tcBorders>
            <w:shd w:val="clear" w:color="auto" w:fill="auto"/>
            <w:vAlign w:val="center"/>
            <w:hideMark/>
          </w:tcPr>
          <w:p w14:paraId="005EA1CB"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1.4966</w:t>
            </w:r>
          </w:p>
        </w:tc>
        <w:tc>
          <w:tcPr>
            <w:tcW w:w="1421" w:type="dxa"/>
            <w:tcBorders>
              <w:top w:val="nil"/>
              <w:left w:val="nil"/>
              <w:bottom w:val="nil"/>
              <w:right w:val="nil"/>
            </w:tcBorders>
            <w:shd w:val="clear" w:color="auto" w:fill="auto"/>
            <w:vAlign w:val="center"/>
            <w:hideMark/>
          </w:tcPr>
          <w:p w14:paraId="49718B23"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0.0199</w:t>
            </w:r>
          </w:p>
        </w:tc>
        <w:tc>
          <w:tcPr>
            <w:tcW w:w="1842" w:type="dxa"/>
            <w:gridSpan w:val="2"/>
            <w:tcBorders>
              <w:top w:val="nil"/>
              <w:left w:val="nil"/>
              <w:bottom w:val="nil"/>
              <w:right w:val="nil"/>
            </w:tcBorders>
            <w:shd w:val="clear" w:color="auto" w:fill="auto"/>
            <w:vAlign w:val="center"/>
            <w:hideMark/>
          </w:tcPr>
          <w:p w14:paraId="23F3A5D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1.459</w:t>
            </w:r>
          </w:p>
        </w:tc>
        <w:tc>
          <w:tcPr>
            <w:tcW w:w="1691" w:type="dxa"/>
            <w:tcBorders>
              <w:top w:val="nil"/>
              <w:left w:val="nil"/>
              <w:bottom w:val="nil"/>
              <w:right w:val="nil"/>
            </w:tcBorders>
            <w:shd w:val="clear" w:color="auto" w:fill="auto"/>
            <w:vAlign w:val="center"/>
            <w:hideMark/>
          </w:tcPr>
          <w:p w14:paraId="552F09F1"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1.5353</w:t>
            </w:r>
          </w:p>
        </w:tc>
      </w:tr>
      <w:tr w:rsidR="00C61C7F" w:rsidRPr="00C61C7F" w14:paraId="339BDD34" w14:textId="77777777" w:rsidTr="00C61C7F">
        <w:trPr>
          <w:trHeight w:val="363"/>
        </w:trPr>
        <w:tc>
          <w:tcPr>
            <w:tcW w:w="1381" w:type="dxa"/>
            <w:tcBorders>
              <w:top w:val="nil"/>
              <w:left w:val="nil"/>
              <w:bottom w:val="nil"/>
              <w:right w:val="nil"/>
            </w:tcBorders>
            <w:shd w:val="clear" w:color="auto" w:fill="auto"/>
            <w:vAlign w:val="center"/>
            <w:hideMark/>
          </w:tcPr>
          <w:p w14:paraId="151F631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p>
        </w:tc>
        <w:tc>
          <w:tcPr>
            <w:tcW w:w="1842" w:type="dxa"/>
            <w:tcBorders>
              <w:top w:val="nil"/>
              <w:left w:val="nil"/>
              <w:bottom w:val="nil"/>
              <w:right w:val="nil"/>
            </w:tcBorders>
            <w:shd w:val="clear" w:color="auto" w:fill="auto"/>
            <w:vAlign w:val="center"/>
            <w:hideMark/>
          </w:tcPr>
          <w:p w14:paraId="702A020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xml:space="preserve">Logged position of </w:t>
            </w:r>
            <w:proofErr w:type="gramStart"/>
            <w:r w:rsidRPr="00C61C7F">
              <w:rPr>
                <w:rFonts w:ascii="Times New Roman" w:eastAsia="Times New Roman" w:hAnsi="Times New Roman" w:cs="Times New Roman"/>
                <w:color w:val="000000"/>
                <w:sz w:val="20"/>
                <w:szCs w:val="20"/>
                <w:lang w:val="en-CH" w:eastAsia="en-CH"/>
              </w:rPr>
              <w:t>call in</w:t>
            </w:r>
            <w:proofErr w:type="gramEnd"/>
            <w:r w:rsidRPr="00C61C7F">
              <w:rPr>
                <w:rFonts w:ascii="Times New Roman" w:eastAsia="Times New Roman" w:hAnsi="Times New Roman" w:cs="Times New Roman"/>
                <w:color w:val="000000"/>
                <w:sz w:val="20"/>
                <w:szCs w:val="20"/>
                <w:lang w:val="en-CH" w:eastAsia="en-CH"/>
              </w:rPr>
              <w:t xml:space="preserve"> bout</w:t>
            </w:r>
          </w:p>
        </w:tc>
        <w:tc>
          <w:tcPr>
            <w:tcW w:w="1189" w:type="dxa"/>
            <w:tcBorders>
              <w:top w:val="nil"/>
              <w:left w:val="nil"/>
              <w:bottom w:val="nil"/>
              <w:right w:val="nil"/>
            </w:tcBorders>
            <w:shd w:val="clear" w:color="auto" w:fill="auto"/>
            <w:vAlign w:val="center"/>
            <w:hideMark/>
          </w:tcPr>
          <w:p w14:paraId="169CFD72"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0.0349</w:t>
            </w:r>
          </w:p>
        </w:tc>
        <w:tc>
          <w:tcPr>
            <w:tcW w:w="1421" w:type="dxa"/>
            <w:tcBorders>
              <w:top w:val="nil"/>
              <w:left w:val="nil"/>
              <w:bottom w:val="nil"/>
              <w:right w:val="nil"/>
            </w:tcBorders>
            <w:shd w:val="clear" w:color="auto" w:fill="auto"/>
            <w:vAlign w:val="center"/>
            <w:hideMark/>
          </w:tcPr>
          <w:p w14:paraId="1FB3C0BA"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0.0031</w:t>
            </w:r>
          </w:p>
        </w:tc>
        <w:tc>
          <w:tcPr>
            <w:tcW w:w="1842" w:type="dxa"/>
            <w:gridSpan w:val="2"/>
            <w:tcBorders>
              <w:top w:val="nil"/>
              <w:left w:val="nil"/>
              <w:bottom w:val="nil"/>
              <w:right w:val="nil"/>
            </w:tcBorders>
            <w:shd w:val="clear" w:color="auto" w:fill="auto"/>
            <w:vAlign w:val="center"/>
            <w:hideMark/>
          </w:tcPr>
          <w:p w14:paraId="4DF56FE5"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0.0289</w:t>
            </w:r>
          </w:p>
        </w:tc>
        <w:tc>
          <w:tcPr>
            <w:tcW w:w="1691" w:type="dxa"/>
            <w:tcBorders>
              <w:top w:val="nil"/>
              <w:left w:val="nil"/>
              <w:bottom w:val="nil"/>
              <w:right w:val="nil"/>
            </w:tcBorders>
            <w:shd w:val="clear" w:color="auto" w:fill="auto"/>
            <w:vAlign w:val="center"/>
            <w:hideMark/>
          </w:tcPr>
          <w:p w14:paraId="5BD2733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0.0409</w:t>
            </w:r>
          </w:p>
        </w:tc>
      </w:tr>
      <w:tr w:rsidR="00C61C7F" w:rsidRPr="00C61C7F" w14:paraId="5F9B9483" w14:textId="77777777" w:rsidTr="00C61C7F">
        <w:trPr>
          <w:trHeight w:val="549"/>
        </w:trPr>
        <w:tc>
          <w:tcPr>
            <w:tcW w:w="1381" w:type="dxa"/>
            <w:tcBorders>
              <w:top w:val="nil"/>
              <w:left w:val="nil"/>
              <w:bottom w:val="single" w:sz="8" w:space="0" w:color="000000"/>
              <w:right w:val="nil"/>
            </w:tcBorders>
            <w:shd w:val="clear" w:color="auto" w:fill="auto"/>
            <w:vAlign w:val="center"/>
            <w:hideMark/>
          </w:tcPr>
          <w:p w14:paraId="7D81D8E5" w14:textId="77777777" w:rsidR="00C61C7F" w:rsidRPr="00C61C7F" w:rsidRDefault="00C61C7F" w:rsidP="00C61C7F">
            <w:pPr>
              <w:suppressAutoHyphens w:val="0"/>
              <w:spacing w:after="0" w:line="240" w:lineRule="auto"/>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 </w:t>
            </w:r>
          </w:p>
        </w:tc>
        <w:tc>
          <w:tcPr>
            <w:tcW w:w="1842" w:type="dxa"/>
            <w:tcBorders>
              <w:top w:val="nil"/>
              <w:left w:val="nil"/>
              <w:bottom w:val="single" w:sz="8" w:space="0" w:color="000000"/>
              <w:right w:val="nil"/>
            </w:tcBorders>
            <w:shd w:val="clear" w:color="auto" w:fill="auto"/>
            <w:vAlign w:val="center"/>
            <w:hideMark/>
          </w:tcPr>
          <w:p w14:paraId="796AD48E"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val="en-CH" w:eastAsia="en-CH"/>
              </w:rPr>
              <w:t>Number of calls in bout * Call-length category</w:t>
            </w:r>
          </w:p>
        </w:tc>
        <w:tc>
          <w:tcPr>
            <w:tcW w:w="1189" w:type="dxa"/>
            <w:tcBorders>
              <w:top w:val="nil"/>
              <w:left w:val="nil"/>
              <w:bottom w:val="single" w:sz="8" w:space="0" w:color="000000"/>
              <w:right w:val="nil"/>
            </w:tcBorders>
            <w:shd w:val="clear" w:color="auto" w:fill="auto"/>
            <w:vAlign w:val="center"/>
            <w:hideMark/>
          </w:tcPr>
          <w:p w14:paraId="12694619"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-0.0009</w:t>
            </w:r>
          </w:p>
        </w:tc>
        <w:tc>
          <w:tcPr>
            <w:tcW w:w="1421" w:type="dxa"/>
            <w:tcBorders>
              <w:top w:val="nil"/>
              <w:left w:val="nil"/>
              <w:bottom w:val="single" w:sz="8" w:space="0" w:color="000000"/>
              <w:right w:val="nil"/>
            </w:tcBorders>
            <w:shd w:val="clear" w:color="auto" w:fill="auto"/>
            <w:vAlign w:val="center"/>
            <w:hideMark/>
          </w:tcPr>
          <w:p w14:paraId="6BB2DFF5"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0.0009</w:t>
            </w:r>
          </w:p>
        </w:tc>
        <w:tc>
          <w:tcPr>
            <w:tcW w:w="1842" w:type="dxa"/>
            <w:gridSpan w:val="2"/>
            <w:tcBorders>
              <w:top w:val="nil"/>
              <w:left w:val="nil"/>
              <w:bottom w:val="single" w:sz="8" w:space="0" w:color="000000"/>
              <w:right w:val="nil"/>
            </w:tcBorders>
            <w:shd w:val="clear" w:color="auto" w:fill="auto"/>
            <w:vAlign w:val="center"/>
            <w:hideMark/>
          </w:tcPr>
          <w:p w14:paraId="4846A0A8"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-0.0028</w:t>
            </w:r>
          </w:p>
        </w:tc>
        <w:tc>
          <w:tcPr>
            <w:tcW w:w="1691" w:type="dxa"/>
            <w:tcBorders>
              <w:top w:val="nil"/>
              <w:left w:val="nil"/>
              <w:bottom w:val="single" w:sz="8" w:space="0" w:color="000000"/>
              <w:right w:val="nil"/>
            </w:tcBorders>
            <w:shd w:val="clear" w:color="auto" w:fill="auto"/>
            <w:vAlign w:val="center"/>
            <w:hideMark/>
          </w:tcPr>
          <w:p w14:paraId="588E212D" w14:textId="77777777" w:rsidR="00C61C7F" w:rsidRPr="00C61C7F" w:rsidRDefault="00C61C7F" w:rsidP="00C61C7F">
            <w:pPr>
              <w:suppressAutoHyphens w:val="0"/>
              <w:spacing w:after="0" w:line="240" w:lineRule="auto"/>
              <w:jc w:val="center"/>
              <w:rPr>
                <w:rFonts w:ascii="Times New Roman" w:eastAsia="Times New Roman" w:hAnsi="Times New Roman" w:cs="Times New Roman"/>
                <w:color w:val="000000"/>
                <w:sz w:val="20"/>
                <w:szCs w:val="20"/>
                <w:lang w:val="en-CH" w:eastAsia="en-CH"/>
              </w:rPr>
            </w:pPr>
            <w:r w:rsidRPr="00C61C7F">
              <w:rPr>
                <w:rFonts w:ascii="Times New Roman" w:eastAsia="Times New Roman" w:hAnsi="Times New Roman" w:cs="Times New Roman"/>
                <w:color w:val="000000"/>
                <w:sz w:val="20"/>
                <w:szCs w:val="20"/>
                <w:lang w:eastAsia="en-CH"/>
              </w:rPr>
              <w:t>0.0009</w:t>
            </w:r>
          </w:p>
        </w:tc>
      </w:tr>
    </w:tbl>
    <w:p w14:paraId="1B9594B5" w14:textId="77777777" w:rsidR="00A7392D" w:rsidRDefault="00A7392D">
      <w:pPr>
        <w:suppressAutoHyphens w:val="0"/>
        <w:rPr>
          <w:b/>
          <w:bCs/>
        </w:rPr>
      </w:pPr>
      <w:r>
        <w:rPr>
          <w:b/>
          <w:bCs/>
        </w:rPr>
        <w:br w:type="page"/>
      </w:r>
    </w:p>
    <w:p w14:paraId="381A0171" w14:textId="2A586132" w:rsidR="0007123D" w:rsidRPr="00AD2B9D" w:rsidRDefault="00AD2B9D" w:rsidP="00F50958">
      <w:pPr>
        <w:spacing w:line="240" w:lineRule="auto"/>
        <w:rPr>
          <w:b/>
          <w:bCs/>
        </w:rPr>
      </w:pPr>
      <w:r w:rsidRPr="00AD2B9D">
        <w:rPr>
          <w:b/>
          <w:bCs/>
        </w:rPr>
        <w:lastRenderedPageBreak/>
        <w:t>References</w:t>
      </w:r>
    </w:p>
    <w:p w14:paraId="02391A87" w14:textId="77777777" w:rsidR="00AD2B9D" w:rsidRPr="00AD2B9D" w:rsidRDefault="00AD2B9D" w:rsidP="00AD2B9D">
      <w:pPr>
        <w:pStyle w:val="Bibliography"/>
        <w:rPr>
          <w:rFonts w:ascii="Calibri" w:hAnsi="Calibri" w:cs="Calibri"/>
        </w:rPr>
      </w:pPr>
      <w:r>
        <w:fldChar w:fldCharType="begin"/>
      </w:r>
      <w:r>
        <w:instrText xml:space="preserve"> ADDIN ZOTERO_BIBL {"uncited":[],"omitted":[],"custom":[]} CSL_BIBLIOGRAPHY </w:instrText>
      </w:r>
      <w:r>
        <w:fldChar w:fldCharType="separate"/>
      </w:r>
      <w:r w:rsidRPr="00AD2B9D">
        <w:rPr>
          <w:rFonts w:ascii="Calibri" w:hAnsi="Calibri" w:cs="Calibri"/>
        </w:rPr>
        <w:t>1.</w:t>
      </w:r>
      <w:r w:rsidRPr="00AD2B9D">
        <w:rPr>
          <w:rFonts w:ascii="Calibri" w:hAnsi="Calibri" w:cs="Calibri"/>
        </w:rPr>
        <w:tab/>
        <w:t xml:space="preserve">Zhang, C., Zheng, Z., Lucas, J.R., Wang, Y., Fan, X., Zhao, X., Feng, J., Sun, C., and Jiang, T. (2024). Do bats’ social vocalizations conform to Zipf’s law and the Menzerath-Altmann law? iScience </w:t>
      </w:r>
      <w:r w:rsidRPr="00AD2B9D">
        <w:rPr>
          <w:rFonts w:ascii="Calibri" w:hAnsi="Calibri" w:cs="Calibri"/>
          <w:i/>
          <w:iCs/>
        </w:rPr>
        <w:t>27</w:t>
      </w:r>
      <w:r w:rsidRPr="00AD2B9D">
        <w:rPr>
          <w:rFonts w:ascii="Calibri" w:hAnsi="Calibri" w:cs="Calibri"/>
        </w:rPr>
        <w:t>. https://doi.org/10.1016/j.isci.2024.110401.</w:t>
      </w:r>
    </w:p>
    <w:p w14:paraId="63BB5BF2" w14:textId="77777777" w:rsidR="00AD2B9D" w:rsidRPr="00AD2B9D" w:rsidRDefault="00AD2B9D" w:rsidP="00AD2B9D">
      <w:pPr>
        <w:pStyle w:val="Bibliography"/>
        <w:rPr>
          <w:rFonts w:ascii="Calibri" w:hAnsi="Calibri" w:cs="Calibri"/>
        </w:rPr>
      </w:pPr>
      <w:r w:rsidRPr="00AD2B9D">
        <w:rPr>
          <w:rFonts w:ascii="Calibri" w:hAnsi="Calibri" w:cs="Calibri"/>
        </w:rPr>
        <w:t>2.</w:t>
      </w:r>
      <w:r w:rsidRPr="00AD2B9D">
        <w:rPr>
          <w:rFonts w:ascii="Calibri" w:hAnsi="Calibri" w:cs="Calibri"/>
        </w:rPr>
        <w:tab/>
        <w:t xml:space="preserve">James, L.S., Mori, C., Wada, K., and Sakata, J.T. (2021). Phylogeny and mechanisms of shared hierarchical patterns in birdsong. Curr. Biol. </w:t>
      </w:r>
      <w:r w:rsidRPr="00AD2B9D">
        <w:rPr>
          <w:rFonts w:ascii="Calibri" w:hAnsi="Calibri" w:cs="Calibri"/>
          <w:i/>
          <w:iCs/>
        </w:rPr>
        <w:t>31</w:t>
      </w:r>
      <w:r w:rsidRPr="00AD2B9D">
        <w:rPr>
          <w:rFonts w:ascii="Calibri" w:hAnsi="Calibri" w:cs="Calibri"/>
        </w:rPr>
        <w:t>, 2796-2808.e9. https://doi.org/10.1016/j.cub.2021.04.015.</w:t>
      </w:r>
    </w:p>
    <w:p w14:paraId="25C347E2" w14:textId="77777777" w:rsidR="00AD2B9D" w:rsidRPr="00AD2B9D" w:rsidRDefault="00AD2B9D" w:rsidP="00AD2B9D">
      <w:pPr>
        <w:pStyle w:val="Bibliography"/>
        <w:rPr>
          <w:rFonts w:ascii="Calibri" w:hAnsi="Calibri" w:cs="Calibri"/>
        </w:rPr>
      </w:pPr>
      <w:r w:rsidRPr="00AD2B9D">
        <w:rPr>
          <w:rFonts w:ascii="Calibri" w:hAnsi="Calibri" w:cs="Calibri"/>
        </w:rPr>
        <w:t>3.</w:t>
      </w:r>
      <w:r w:rsidRPr="00AD2B9D">
        <w:rPr>
          <w:rFonts w:ascii="Calibri" w:hAnsi="Calibri" w:cs="Calibri"/>
        </w:rPr>
        <w:tab/>
        <w:t>Stepanov, A., Zhivomirov, H., Nedelchev, I., and Stateva, P. (2023). Bottlenose dolphins’ broadband clicks are structured for communication. Preprint at bioRxiv, https://doi.org/10.1101/2023.01.11.523588 https://doi.org/10.1101/2023.01.11.523588.</w:t>
      </w:r>
    </w:p>
    <w:p w14:paraId="4FA961F9" w14:textId="77777777" w:rsidR="00AD2B9D" w:rsidRPr="00AD2B9D" w:rsidRDefault="00AD2B9D" w:rsidP="00AD2B9D">
      <w:pPr>
        <w:pStyle w:val="Bibliography"/>
        <w:rPr>
          <w:rFonts w:ascii="Calibri" w:hAnsi="Calibri" w:cs="Calibri"/>
        </w:rPr>
      </w:pPr>
      <w:r w:rsidRPr="00AD2B9D">
        <w:rPr>
          <w:rFonts w:ascii="Calibri" w:hAnsi="Calibri" w:cs="Calibri"/>
        </w:rPr>
        <w:t>4.</w:t>
      </w:r>
      <w:r w:rsidRPr="00AD2B9D">
        <w:rPr>
          <w:rFonts w:ascii="Calibri" w:hAnsi="Calibri" w:cs="Calibri"/>
        </w:rPr>
        <w:tab/>
        <w:t xml:space="preserve">Gustison, M.L., Semple, S., Ferrer-i-Cancho, R., and Bergman, T.J. (2016). Gelada vocal sequences follow Menzerath’s linguistic law. Proc. Natl. Acad. Sci. </w:t>
      </w:r>
      <w:r w:rsidRPr="00AD2B9D">
        <w:rPr>
          <w:rFonts w:ascii="Calibri" w:hAnsi="Calibri" w:cs="Calibri"/>
          <w:i/>
          <w:iCs/>
        </w:rPr>
        <w:t>113</w:t>
      </w:r>
      <w:r w:rsidRPr="00AD2B9D">
        <w:rPr>
          <w:rFonts w:ascii="Calibri" w:hAnsi="Calibri" w:cs="Calibri"/>
        </w:rPr>
        <w:t>, E2750–E2758. https://doi.org/10.1073/pnas.1522072113.</w:t>
      </w:r>
    </w:p>
    <w:p w14:paraId="30206221" w14:textId="77777777" w:rsidR="00AD2B9D" w:rsidRPr="00AD2B9D" w:rsidRDefault="00AD2B9D" w:rsidP="00AD2B9D">
      <w:pPr>
        <w:pStyle w:val="Bibliography"/>
        <w:rPr>
          <w:rFonts w:ascii="Calibri" w:hAnsi="Calibri" w:cs="Calibri"/>
        </w:rPr>
      </w:pPr>
      <w:r w:rsidRPr="00AD2B9D">
        <w:rPr>
          <w:rFonts w:ascii="Calibri" w:hAnsi="Calibri" w:cs="Calibri"/>
        </w:rPr>
        <w:t>5.</w:t>
      </w:r>
      <w:r w:rsidRPr="00AD2B9D">
        <w:rPr>
          <w:rFonts w:ascii="Calibri" w:hAnsi="Calibri" w:cs="Calibri"/>
        </w:rPr>
        <w:tab/>
        <w:t xml:space="preserve">Favaro, L., Gamba, M., Cresta, E., Fumagalli, E., Bandoli, F., Pilenga, C., Isaja, V., Mathevon, N., and Reby, D. (2020). Do penguins’ vocal sequences conform to linguistic laws? Biol. Lett. </w:t>
      </w:r>
      <w:r w:rsidRPr="00AD2B9D">
        <w:rPr>
          <w:rFonts w:ascii="Calibri" w:hAnsi="Calibri" w:cs="Calibri"/>
          <w:i/>
          <w:iCs/>
        </w:rPr>
        <w:t>16</w:t>
      </w:r>
      <w:r w:rsidRPr="00AD2B9D">
        <w:rPr>
          <w:rFonts w:ascii="Calibri" w:hAnsi="Calibri" w:cs="Calibri"/>
        </w:rPr>
        <w:t>, 20190589. https://doi.org/10.1098/rsbl.2019.0589.</w:t>
      </w:r>
    </w:p>
    <w:p w14:paraId="65614934" w14:textId="77777777" w:rsidR="00AD2B9D" w:rsidRPr="00AD2B9D" w:rsidRDefault="00AD2B9D" w:rsidP="00AD2B9D">
      <w:pPr>
        <w:pStyle w:val="Bibliography"/>
        <w:rPr>
          <w:rFonts w:ascii="Calibri" w:hAnsi="Calibri" w:cs="Calibri"/>
        </w:rPr>
      </w:pPr>
      <w:r w:rsidRPr="00AD2B9D">
        <w:rPr>
          <w:rFonts w:ascii="Calibri" w:hAnsi="Calibri" w:cs="Calibri"/>
        </w:rPr>
        <w:t>6.</w:t>
      </w:r>
      <w:r w:rsidRPr="00AD2B9D">
        <w:rPr>
          <w:rFonts w:ascii="Calibri" w:hAnsi="Calibri" w:cs="Calibri"/>
        </w:rPr>
        <w:tab/>
        <w:t xml:space="preserve">Deng, K., He, Y.-X., Wang, X.-P., Wang, T.-L., Wang, J.-C., Chen, Y.-H., and Cui, J.-G. (2024). Hainan frilled treefrogs’ calls partially conform to Menzerath–Altmann’s law, but oppose Zipf’s law of abbreviation. Anim. Behav. </w:t>
      </w:r>
      <w:r w:rsidRPr="00AD2B9D">
        <w:rPr>
          <w:rFonts w:ascii="Calibri" w:hAnsi="Calibri" w:cs="Calibri"/>
          <w:i/>
          <w:iCs/>
        </w:rPr>
        <w:t>213</w:t>
      </w:r>
      <w:r w:rsidRPr="00AD2B9D">
        <w:rPr>
          <w:rFonts w:ascii="Calibri" w:hAnsi="Calibri" w:cs="Calibri"/>
        </w:rPr>
        <w:t>, 51–59. https://doi.org/10.1016/j.anbehav.2024.04.011.</w:t>
      </w:r>
    </w:p>
    <w:p w14:paraId="60423917" w14:textId="77777777" w:rsidR="00AD2B9D" w:rsidRPr="00AD2B9D" w:rsidRDefault="00AD2B9D" w:rsidP="00AD2B9D">
      <w:pPr>
        <w:pStyle w:val="Bibliography"/>
        <w:rPr>
          <w:rFonts w:ascii="Calibri" w:hAnsi="Calibri" w:cs="Calibri"/>
        </w:rPr>
      </w:pPr>
      <w:r w:rsidRPr="00AD2B9D">
        <w:rPr>
          <w:rFonts w:ascii="Calibri" w:hAnsi="Calibri" w:cs="Calibri"/>
        </w:rPr>
        <w:t>7.</w:t>
      </w:r>
      <w:r w:rsidRPr="00AD2B9D">
        <w:rPr>
          <w:rFonts w:ascii="Calibri" w:hAnsi="Calibri" w:cs="Calibri"/>
        </w:rPr>
        <w:tab/>
        <w:t xml:space="preserve">Clink, D.J., and Lau, A.R. (2020). Adherence to Menzerath’s Law is the exception (not the rule) in three duetting primate species. R. Soc. Open Sci. </w:t>
      </w:r>
      <w:r w:rsidRPr="00AD2B9D">
        <w:rPr>
          <w:rFonts w:ascii="Calibri" w:hAnsi="Calibri" w:cs="Calibri"/>
          <w:i/>
          <w:iCs/>
        </w:rPr>
        <w:t>7</w:t>
      </w:r>
      <w:r w:rsidRPr="00AD2B9D">
        <w:rPr>
          <w:rFonts w:ascii="Calibri" w:hAnsi="Calibri" w:cs="Calibri"/>
        </w:rPr>
        <w:t>.</w:t>
      </w:r>
    </w:p>
    <w:p w14:paraId="67950217" w14:textId="77777777" w:rsidR="00AD2B9D" w:rsidRPr="00AD2B9D" w:rsidRDefault="00AD2B9D" w:rsidP="00AD2B9D">
      <w:pPr>
        <w:pStyle w:val="Bibliography"/>
        <w:rPr>
          <w:rFonts w:ascii="Calibri" w:hAnsi="Calibri" w:cs="Calibri"/>
          <w:lang w:val="de-DE"/>
        </w:rPr>
      </w:pPr>
      <w:r w:rsidRPr="00AD2B9D">
        <w:rPr>
          <w:rFonts w:ascii="Calibri" w:hAnsi="Calibri" w:cs="Calibri"/>
        </w:rPr>
        <w:t>8.</w:t>
      </w:r>
      <w:r w:rsidRPr="00AD2B9D">
        <w:rPr>
          <w:rFonts w:ascii="Calibri" w:hAnsi="Calibri" w:cs="Calibri"/>
        </w:rPr>
        <w:tab/>
        <w:t xml:space="preserve">Fedurek, P., Zuberbühler, K., and Semple, S. (2017). Trade-offs in the production of animal vocal sequences: insights from the structure of wild chimpanzee pant hoots. </w:t>
      </w:r>
      <w:r w:rsidRPr="00AD2B9D">
        <w:rPr>
          <w:rFonts w:ascii="Calibri" w:hAnsi="Calibri" w:cs="Calibri"/>
          <w:lang w:val="de-DE"/>
        </w:rPr>
        <w:t xml:space="preserve">Front. Zool. </w:t>
      </w:r>
      <w:r w:rsidRPr="00AD2B9D">
        <w:rPr>
          <w:rFonts w:ascii="Calibri" w:hAnsi="Calibri" w:cs="Calibri"/>
          <w:i/>
          <w:iCs/>
          <w:lang w:val="de-DE"/>
        </w:rPr>
        <w:t>14</w:t>
      </w:r>
      <w:r w:rsidRPr="00AD2B9D">
        <w:rPr>
          <w:rFonts w:ascii="Calibri" w:hAnsi="Calibri" w:cs="Calibri"/>
          <w:lang w:val="de-DE"/>
        </w:rPr>
        <w:t>, 50. https://doi.org/10.1186/s12983-017-0235-8.</w:t>
      </w:r>
    </w:p>
    <w:p w14:paraId="5A7E2B48" w14:textId="77777777" w:rsidR="00AD2B9D" w:rsidRPr="00AD2B9D" w:rsidRDefault="00AD2B9D" w:rsidP="00AD2B9D">
      <w:pPr>
        <w:pStyle w:val="Bibliography"/>
        <w:rPr>
          <w:rFonts w:ascii="Calibri" w:hAnsi="Calibri" w:cs="Calibri"/>
        </w:rPr>
      </w:pPr>
      <w:r w:rsidRPr="00AD2B9D">
        <w:rPr>
          <w:rFonts w:ascii="Calibri" w:hAnsi="Calibri" w:cs="Calibri"/>
          <w:lang w:val="de-DE"/>
        </w:rPr>
        <w:t>9.</w:t>
      </w:r>
      <w:r w:rsidRPr="00AD2B9D">
        <w:rPr>
          <w:rFonts w:ascii="Calibri" w:hAnsi="Calibri" w:cs="Calibri"/>
          <w:lang w:val="de-DE"/>
        </w:rPr>
        <w:tab/>
        <w:t xml:space="preserve">Huang, M., Ma, H., Ma, C., Garber, P.A., and Fan, P. (2020). </w:t>
      </w:r>
      <w:r w:rsidRPr="00AD2B9D">
        <w:rPr>
          <w:rFonts w:ascii="Calibri" w:hAnsi="Calibri" w:cs="Calibri"/>
        </w:rPr>
        <w:t xml:space="preserve">Male gibbon loud morning calls conform to Zipf’s law of brevity and Menzerath’s law: insights into the origin of human language. Anim. Behav. </w:t>
      </w:r>
      <w:r w:rsidRPr="00AD2B9D">
        <w:rPr>
          <w:rFonts w:ascii="Calibri" w:hAnsi="Calibri" w:cs="Calibri"/>
          <w:i/>
          <w:iCs/>
        </w:rPr>
        <w:t>160</w:t>
      </w:r>
      <w:r w:rsidRPr="00AD2B9D">
        <w:rPr>
          <w:rFonts w:ascii="Calibri" w:hAnsi="Calibri" w:cs="Calibri"/>
        </w:rPr>
        <w:t>, 145–155. https://doi.org/10.1016/j.anbehav.2019.11.017.</w:t>
      </w:r>
    </w:p>
    <w:p w14:paraId="354F5DD2" w14:textId="77777777" w:rsidR="00AD2B9D" w:rsidRPr="00AD2B9D" w:rsidRDefault="00AD2B9D" w:rsidP="00AD2B9D">
      <w:pPr>
        <w:pStyle w:val="Bibliography"/>
        <w:rPr>
          <w:rFonts w:ascii="Calibri" w:hAnsi="Calibri" w:cs="Calibri"/>
        </w:rPr>
      </w:pPr>
      <w:r w:rsidRPr="00AD2B9D">
        <w:rPr>
          <w:rFonts w:ascii="Calibri" w:hAnsi="Calibri" w:cs="Calibri"/>
        </w:rPr>
        <w:t>10.</w:t>
      </w:r>
      <w:r w:rsidRPr="00AD2B9D">
        <w:rPr>
          <w:rFonts w:ascii="Calibri" w:hAnsi="Calibri" w:cs="Calibri"/>
        </w:rPr>
        <w:tab/>
        <w:t xml:space="preserve">Watson, S.K., Heesen, R., Hedwig, D., Robbins, M.M., and Townsend, S.W. (2020). An exploration of Menzerath’s law in wild mountain gorilla vocal sequences. Biol. Lett. </w:t>
      </w:r>
      <w:r w:rsidRPr="00AD2B9D">
        <w:rPr>
          <w:rFonts w:ascii="Calibri" w:hAnsi="Calibri" w:cs="Calibri"/>
          <w:i/>
          <w:iCs/>
        </w:rPr>
        <w:t>16</w:t>
      </w:r>
      <w:r w:rsidRPr="00AD2B9D">
        <w:rPr>
          <w:rFonts w:ascii="Calibri" w:hAnsi="Calibri" w:cs="Calibri"/>
        </w:rPr>
        <w:t>, 20200380. https://doi.org/10.1098/rsbl.2020.0380.</w:t>
      </w:r>
    </w:p>
    <w:p w14:paraId="40CF1403" w14:textId="77777777" w:rsidR="00AD2B9D" w:rsidRPr="00AD2B9D" w:rsidRDefault="00AD2B9D" w:rsidP="00AD2B9D">
      <w:pPr>
        <w:pStyle w:val="Bibliography"/>
        <w:rPr>
          <w:rFonts w:ascii="Calibri" w:hAnsi="Calibri" w:cs="Calibri"/>
        </w:rPr>
      </w:pPr>
      <w:r w:rsidRPr="00AD2B9D">
        <w:rPr>
          <w:rFonts w:ascii="Calibri" w:hAnsi="Calibri" w:cs="Calibri"/>
        </w:rPr>
        <w:t>11.</w:t>
      </w:r>
      <w:r w:rsidRPr="00AD2B9D">
        <w:rPr>
          <w:rFonts w:ascii="Calibri" w:hAnsi="Calibri" w:cs="Calibri"/>
        </w:rPr>
        <w:tab/>
        <w:t>Lewis, R.N., Kwong, A., Soma, M., Kort, S.R. de, and Gilman, R.T. (2023). Java sparrow song conforms to Menzerath’s Law but not Zipf’s Law of Abbreviation. Preprint at bioRxiv, https://doi.org/10.1101/2023.12.13.571437 https://doi.org/10.1101/2023.12.13.571437.</w:t>
      </w:r>
    </w:p>
    <w:p w14:paraId="633F7EF2" w14:textId="77777777" w:rsidR="00AD2B9D" w:rsidRPr="00AD2B9D" w:rsidRDefault="00AD2B9D" w:rsidP="00AD2B9D">
      <w:pPr>
        <w:pStyle w:val="Bibliography"/>
        <w:rPr>
          <w:rFonts w:ascii="Calibri" w:hAnsi="Calibri" w:cs="Calibri"/>
        </w:rPr>
      </w:pPr>
      <w:r w:rsidRPr="00AD2B9D">
        <w:rPr>
          <w:rFonts w:ascii="Calibri" w:hAnsi="Calibri" w:cs="Calibri"/>
        </w:rPr>
        <w:t>12.</w:t>
      </w:r>
      <w:r w:rsidRPr="00AD2B9D">
        <w:rPr>
          <w:rFonts w:ascii="Calibri" w:hAnsi="Calibri" w:cs="Calibri"/>
        </w:rPr>
        <w:tab/>
        <w:t xml:space="preserve">Heesen, R., Hobaiter, C., Ferrer-i-Cancho, R., and Semple, S. (2019). Linguistic laws in chimpanzee gestural communication. Proc. R. Soc. B Biol. Sci. </w:t>
      </w:r>
      <w:r w:rsidRPr="00AD2B9D">
        <w:rPr>
          <w:rFonts w:ascii="Calibri" w:hAnsi="Calibri" w:cs="Calibri"/>
          <w:i/>
          <w:iCs/>
        </w:rPr>
        <w:t>286</w:t>
      </w:r>
      <w:r w:rsidRPr="00AD2B9D">
        <w:rPr>
          <w:rFonts w:ascii="Calibri" w:hAnsi="Calibri" w:cs="Calibri"/>
        </w:rPr>
        <w:t>, 20182900. https://doi.org/10.1098/rspb.2018.2900.</w:t>
      </w:r>
    </w:p>
    <w:p w14:paraId="15F5EB2D" w14:textId="77777777" w:rsidR="00AD2B9D" w:rsidRPr="00AD2B9D" w:rsidRDefault="00AD2B9D" w:rsidP="00AD2B9D">
      <w:pPr>
        <w:pStyle w:val="Bibliography"/>
        <w:rPr>
          <w:rFonts w:ascii="Calibri" w:hAnsi="Calibri" w:cs="Calibri"/>
        </w:rPr>
      </w:pPr>
      <w:r w:rsidRPr="00AD2B9D">
        <w:rPr>
          <w:rFonts w:ascii="Calibri" w:hAnsi="Calibri" w:cs="Calibri"/>
        </w:rPr>
        <w:t>13.</w:t>
      </w:r>
      <w:r w:rsidRPr="00AD2B9D">
        <w:rPr>
          <w:rFonts w:ascii="Calibri" w:hAnsi="Calibri" w:cs="Calibri"/>
        </w:rPr>
        <w:tab/>
        <w:t>Youngblood, M. (2024). Language-like efficiency in whale communication. Preprint at OSF, https://doi.org/10.31234/osf.io/tduab https://doi.org/10.31234/osf.io/tduab.</w:t>
      </w:r>
    </w:p>
    <w:p w14:paraId="164BC7FC" w14:textId="77777777" w:rsidR="00AD2B9D" w:rsidRPr="00AD2B9D" w:rsidRDefault="00AD2B9D" w:rsidP="00AD2B9D">
      <w:pPr>
        <w:pStyle w:val="Bibliography"/>
        <w:rPr>
          <w:rFonts w:ascii="Calibri" w:hAnsi="Calibri" w:cs="Calibri"/>
        </w:rPr>
      </w:pPr>
      <w:r w:rsidRPr="00AD2B9D">
        <w:rPr>
          <w:rFonts w:ascii="Calibri" w:hAnsi="Calibri" w:cs="Calibri"/>
        </w:rPr>
        <w:t>14.</w:t>
      </w:r>
      <w:r w:rsidRPr="00AD2B9D">
        <w:rPr>
          <w:rFonts w:ascii="Calibri" w:hAnsi="Calibri" w:cs="Calibri"/>
        </w:rPr>
        <w:tab/>
        <w:t xml:space="preserve">Youngblood, M. (2024). Language-like efficiency and structure in house finch song. Proc. R. Soc. B Biol. Sci. </w:t>
      </w:r>
      <w:r w:rsidRPr="00AD2B9D">
        <w:rPr>
          <w:rFonts w:ascii="Calibri" w:hAnsi="Calibri" w:cs="Calibri"/>
          <w:i/>
          <w:iCs/>
        </w:rPr>
        <w:t>291</w:t>
      </w:r>
      <w:r w:rsidRPr="00AD2B9D">
        <w:rPr>
          <w:rFonts w:ascii="Calibri" w:hAnsi="Calibri" w:cs="Calibri"/>
        </w:rPr>
        <w:t>, 20240250. https://doi.org/10.1098/rspb.2024.0250.</w:t>
      </w:r>
    </w:p>
    <w:p w14:paraId="7443CF95" w14:textId="77777777" w:rsidR="00AD2B9D" w:rsidRPr="00AD2B9D" w:rsidRDefault="00AD2B9D" w:rsidP="00AD2B9D">
      <w:pPr>
        <w:pStyle w:val="Bibliography"/>
        <w:rPr>
          <w:rFonts w:ascii="Calibri" w:hAnsi="Calibri" w:cs="Calibri"/>
        </w:rPr>
      </w:pPr>
      <w:r w:rsidRPr="00AD2B9D">
        <w:rPr>
          <w:rFonts w:ascii="Calibri" w:hAnsi="Calibri" w:cs="Calibri"/>
        </w:rPr>
        <w:t>15.</w:t>
      </w:r>
      <w:r w:rsidRPr="00AD2B9D">
        <w:rPr>
          <w:rFonts w:ascii="Calibri" w:hAnsi="Calibri" w:cs="Calibri"/>
        </w:rPr>
        <w:tab/>
        <w:t xml:space="preserve">Safryghin, A., Cross, C., Fallon, B., Heesen, R., Ferrer-i-Cancho, R., and Hobaiter, C. (2022). Variable expression of linguistic laws in ape gesture: a case study from chimpanzee sexual solicitation. R. Soc. Open Sci. </w:t>
      </w:r>
      <w:r w:rsidRPr="00AD2B9D">
        <w:rPr>
          <w:rFonts w:ascii="Calibri" w:hAnsi="Calibri" w:cs="Calibri"/>
          <w:i/>
          <w:iCs/>
        </w:rPr>
        <w:t>9</w:t>
      </w:r>
      <w:r w:rsidRPr="00AD2B9D">
        <w:rPr>
          <w:rFonts w:ascii="Calibri" w:hAnsi="Calibri" w:cs="Calibri"/>
        </w:rPr>
        <w:t>, 220849. https://doi.org/10.1098/rsos.220849.</w:t>
      </w:r>
    </w:p>
    <w:p w14:paraId="0AA79767" w14:textId="12FE4A4B" w:rsidR="00AD2B9D" w:rsidRDefault="00AD2B9D" w:rsidP="00F50958">
      <w:pPr>
        <w:spacing w:line="240" w:lineRule="auto"/>
      </w:pPr>
      <w:r>
        <w:lastRenderedPageBreak/>
        <w:fldChar w:fldCharType="end"/>
      </w:r>
    </w:p>
    <w:sectPr w:rsidR="00AD2B9D" w:rsidSect="00EF0818">
      <w:pgSz w:w="11906" w:h="16838"/>
      <w:pgMar w:top="1135" w:right="1417" w:bottom="284"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UwNTQ3NLc0M7EwNDBT0lEKTi0uzszPAykwMqwFABXupAUtAAAA"/>
  </w:docVars>
  <w:rsids>
    <w:rsidRoot w:val="0007527B"/>
    <w:rsid w:val="000173F9"/>
    <w:rsid w:val="00027FA7"/>
    <w:rsid w:val="000440EF"/>
    <w:rsid w:val="00067045"/>
    <w:rsid w:val="0007123D"/>
    <w:rsid w:val="0007527B"/>
    <w:rsid w:val="000D3080"/>
    <w:rsid w:val="000F403F"/>
    <w:rsid w:val="0013499F"/>
    <w:rsid w:val="001932B9"/>
    <w:rsid w:val="001D5886"/>
    <w:rsid w:val="00244A58"/>
    <w:rsid w:val="0024733F"/>
    <w:rsid w:val="00262143"/>
    <w:rsid w:val="002975D6"/>
    <w:rsid w:val="002D4CDC"/>
    <w:rsid w:val="00330DC9"/>
    <w:rsid w:val="0039470A"/>
    <w:rsid w:val="003A4660"/>
    <w:rsid w:val="003A5769"/>
    <w:rsid w:val="003E21E4"/>
    <w:rsid w:val="0040177C"/>
    <w:rsid w:val="00404023"/>
    <w:rsid w:val="004109F1"/>
    <w:rsid w:val="00444A0B"/>
    <w:rsid w:val="0046638D"/>
    <w:rsid w:val="00482F48"/>
    <w:rsid w:val="00520BF1"/>
    <w:rsid w:val="0052188E"/>
    <w:rsid w:val="00522F46"/>
    <w:rsid w:val="00550E43"/>
    <w:rsid w:val="00582C1F"/>
    <w:rsid w:val="00594810"/>
    <w:rsid w:val="005A15A4"/>
    <w:rsid w:val="0064125C"/>
    <w:rsid w:val="00695B0B"/>
    <w:rsid w:val="00696D61"/>
    <w:rsid w:val="006E7523"/>
    <w:rsid w:val="00742585"/>
    <w:rsid w:val="00793646"/>
    <w:rsid w:val="00796F46"/>
    <w:rsid w:val="00803085"/>
    <w:rsid w:val="00831D4A"/>
    <w:rsid w:val="0088050D"/>
    <w:rsid w:val="008B2412"/>
    <w:rsid w:val="00901CA1"/>
    <w:rsid w:val="00924FF7"/>
    <w:rsid w:val="0096612B"/>
    <w:rsid w:val="009A2ABB"/>
    <w:rsid w:val="009C6912"/>
    <w:rsid w:val="009E1416"/>
    <w:rsid w:val="00A00A14"/>
    <w:rsid w:val="00A342CA"/>
    <w:rsid w:val="00A7392D"/>
    <w:rsid w:val="00AD2B9D"/>
    <w:rsid w:val="00AD5084"/>
    <w:rsid w:val="00B06162"/>
    <w:rsid w:val="00B95A8D"/>
    <w:rsid w:val="00BA191A"/>
    <w:rsid w:val="00BD59BA"/>
    <w:rsid w:val="00C03ECF"/>
    <w:rsid w:val="00C534E7"/>
    <w:rsid w:val="00C60058"/>
    <w:rsid w:val="00C61C7F"/>
    <w:rsid w:val="00C6469A"/>
    <w:rsid w:val="00C846E8"/>
    <w:rsid w:val="00C91D79"/>
    <w:rsid w:val="00D05806"/>
    <w:rsid w:val="00D472AF"/>
    <w:rsid w:val="00D5074D"/>
    <w:rsid w:val="00D61D5F"/>
    <w:rsid w:val="00D76A3A"/>
    <w:rsid w:val="00DA1D2F"/>
    <w:rsid w:val="00E06AD9"/>
    <w:rsid w:val="00E15011"/>
    <w:rsid w:val="00E54CBC"/>
    <w:rsid w:val="00E55B59"/>
    <w:rsid w:val="00E66148"/>
    <w:rsid w:val="00E84F03"/>
    <w:rsid w:val="00E87D09"/>
    <w:rsid w:val="00EA5568"/>
    <w:rsid w:val="00EB2C39"/>
    <w:rsid w:val="00ED4A34"/>
    <w:rsid w:val="00EF0818"/>
    <w:rsid w:val="00F02E02"/>
    <w:rsid w:val="00F12417"/>
    <w:rsid w:val="00F22826"/>
    <w:rsid w:val="00F27250"/>
    <w:rsid w:val="00F46CA0"/>
    <w:rsid w:val="00F50958"/>
    <w:rsid w:val="00F55CD7"/>
    <w:rsid w:val="00F62C95"/>
    <w:rsid w:val="00F63B3E"/>
    <w:rsid w:val="00F77A63"/>
    <w:rsid w:val="00F84DDC"/>
    <w:rsid w:val="00FC3F34"/>
    <w:rsid w:val="00FE5395"/>
    <w:rsid w:val="00FF05DB"/>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204E0"/>
  <w15:chartTrackingRefBased/>
  <w15:docId w15:val="{A3427CFB-1F72-4A3B-8D69-4D846FB3A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125C"/>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03ECF"/>
    <w:rPr>
      <w:sz w:val="16"/>
      <w:szCs w:val="16"/>
    </w:rPr>
  </w:style>
  <w:style w:type="paragraph" w:styleId="CommentText">
    <w:name w:val="annotation text"/>
    <w:basedOn w:val="Normal"/>
    <w:link w:val="CommentTextChar"/>
    <w:uiPriority w:val="99"/>
    <w:unhideWhenUsed/>
    <w:rsid w:val="00C03ECF"/>
    <w:pPr>
      <w:spacing w:line="240" w:lineRule="auto"/>
    </w:pPr>
    <w:rPr>
      <w:sz w:val="20"/>
      <w:szCs w:val="20"/>
    </w:rPr>
  </w:style>
  <w:style w:type="character" w:customStyle="1" w:styleId="CommentTextChar">
    <w:name w:val="Comment Text Char"/>
    <w:basedOn w:val="DefaultParagraphFont"/>
    <w:link w:val="CommentText"/>
    <w:uiPriority w:val="99"/>
    <w:rsid w:val="00C03ECF"/>
    <w:rPr>
      <w:sz w:val="20"/>
      <w:szCs w:val="20"/>
    </w:rPr>
  </w:style>
  <w:style w:type="paragraph" w:styleId="CommentSubject">
    <w:name w:val="annotation subject"/>
    <w:basedOn w:val="CommentText"/>
    <w:next w:val="CommentText"/>
    <w:link w:val="CommentSubjectChar"/>
    <w:uiPriority w:val="99"/>
    <w:semiHidden/>
    <w:unhideWhenUsed/>
    <w:rsid w:val="00C03ECF"/>
    <w:rPr>
      <w:b/>
      <w:bCs/>
    </w:rPr>
  </w:style>
  <w:style w:type="character" w:customStyle="1" w:styleId="CommentSubjectChar">
    <w:name w:val="Comment Subject Char"/>
    <w:basedOn w:val="CommentTextChar"/>
    <w:link w:val="CommentSubject"/>
    <w:uiPriority w:val="99"/>
    <w:semiHidden/>
    <w:rsid w:val="00C03ECF"/>
    <w:rPr>
      <w:b/>
      <w:bCs/>
      <w:sz w:val="20"/>
      <w:szCs w:val="20"/>
    </w:rPr>
  </w:style>
  <w:style w:type="paragraph" w:styleId="Revision">
    <w:name w:val="Revision"/>
    <w:hidden/>
    <w:uiPriority w:val="99"/>
    <w:semiHidden/>
    <w:rsid w:val="00582C1F"/>
    <w:pPr>
      <w:spacing w:after="0" w:line="240" w:lineRule="auto"/>
    </w:pPr>
  </w:style>
  <w:style w:type="character" w:styleId="Hyperlink">
    <w:name w:val="Hyperlink"/>
    <w:basedOn w:val="DefaultParagraphFont"/>
    <w:uiPriority w:val="99"/>
    <w:semiHidden/>
    <w:unhideWhenUsed/>
    <w:rsid w:val="00BA191A"/>
    <w:rPr>
      <w:color w:val="467886"/>
      <w:u w:val="single"/>
    </w:rPr>
  </w:style>
  <w:style w:type="paragraph" w:styleId="Bibliography">
    <w:name w:val="Bibliography"/>
    <w:basedOn w:val="Normal"/>
    <w:next w:val="Normal"/>
    <w:uiPriority w:val="37"/>
    <w:unhideWhenUsed/>
    <w:rsid w:val="00AD2B9D"/>
    <w:pPr>
      <w:tabs>
        <w:tab w:val="left" w:pos="384"/>
      </w:tabs>
      <w:spacing w:after="24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490653">
      <w:bodyDiv w:val="1"/>
      <w:marLeft w:val="0"/>
      <w:marRight w:val="0"/>
      <w:marTop w:val="0"/>
      <w:marBottom w:val="0"/>
      <w:divBdr>
        <w:top w:val="none" w:sz="0" w:space="0" w:color="auto"/>
        <w:left w:val="none" w:sz="0" w:space="0" w:color="auto"/>
        <w:bottom w:val="none" w:sz="0" w:space="0" w:color="auto"/>
        <w:right w:val="none" w:sz="0" w:space="0" w:color="auto"/>
      </w:divBdr>
    </w:div>
    <w:div w:id="1136869793">
      <w:bodyDiv w:val="1"/>
      <w:marLeft w:val="0"/>
      <w:marRight w:val="0"/>
      <w:marTop w:val="0"/>
      <w:marBottom w:val="0"/>
      <w:divBdr>
        <w:top w:val="none" w:sz="0" w:space="0" w:color="auto"/>
        <w:left w:val="none" w:sz="0" w:space="0" w:color="auto"/>
        <w:bottom w:val="none" w:sz="0" w:space="0" w:color="auto"/>
        <w:right w:val="none" w:sz="0" w:space="0" w:color="auto"/>
      </w:divBdr>
    </w:div>
    <w:div w:id="1503737940">
      <w:bodyDiv w:val="1"/>
      <w:marLeft w:val="0"/>
      <w:marRight w:val="0"/>
      <w:marTop w:val="0"/>
      <w:marBottom w:val="0"/>
      <w:divBdr>
        <w:top w:val="none" w:sz="0" w:space="0" w:color="auto"/>
        <w:left w:val="none" w:sz="0" w:space="0" w:color="auto"/>
        <w:bottom w:val="none" w:sz="0" w:space="0" w:color="auto"/>
        <w:right w:val="none" w:sz="0" w:space="0" w:color="auto"/>
      </w:divBdr>
    </w:div>
    <w:div w:id="1549603541">
      <w:bodyDiv w:val="1"/>
      <w:marLeft w:val="0"/>
      <w:marRight w:val="0"/>
      <w:marTop w:val="0"/>
      <w:marBottom w:val="0"/>
      <w:divBdr>
        <w:top w:val="none" w:sz="0" w:space="0" w:color="auto"/>
        <w:left w:val="none" w:sz="0" w:space="0" w:color="auto"/>
        <w:bottom w:val="none" w:sz="0" w:space="0" w:color="auto"/>
        <w:right w:val="none" w:sz="0" w:space="0" w:color="auto"/>
      </w:divBdr>
    </w:div>
    <w:div w:id="1568346821">
      <w:bodyDiv w:val="1"/>
      <w:marLeft w:val="0"/>
      <w:marRight w:val="0"/>
      <w:marTop w:val="0"/>
      <w:marBottom w:val="0"/>
      <w:divBdr>
        <w:top w:val="none" w:sz="0" w:space="0" w:color="auto"/>
        <w:left w:val="none" w:sz="0" w:space="0" w:color="auto"/>
        <w:bottom w:val="none" w:sz="0" w:space="0" w:color="auto"/>
        <w:right w:val="none" w:sz="0" w:space="0" w:color="auto"/>
      </w:divBdr>
    </w:div>
    <w:div w:id="1747219648">
      <w:bodyDiv w:val="1"/>
      <w:marLeft w:val="0"/>
      <w:marRight w:val="0"/>
      <w:marTop w:val="0"/>
      <w:marBottom w:val="0"/>
      <w:divBdr>
        <w:top w:val="none" w:sz="0" w:space="0" w:color="auto"/>
        <w:left w:val="none" w:sz="0" w:space="0" w:color="auto"/>
        <w:bottom w:val="none" w:sz="0" w:space="0" w:color="auto"/>
        <w:right w:val="none" w:sz="0" w:space="0" w:color="auto"/>
      </w:divBdr>
    </w:div>
    <w:div w:id="1752774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7623</Words>
  <Characters>43454</Characters>
  <Application>Microsoft Office Word</Application>
  <DocSecurity>0</DocSecurity>
  <Lines>362</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Watson</dc:creator>
  <cp:keywords/>
  <dc:description/>
  <cp:lastModifiedBy>Stuart Watson</cp:lastModifiedBy>
  <cp:revision>11</cp:revision>
  <dcterms:created xsi:type="dcterms:W3CDTF">2024-10-03T07:51:00Z</dcterms:created>
  <dcterms:modified xsi:type="dcterms:W3CDTF">2024-10-14T14:19:00Z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id="CjvwTkYz"/&gt;&lt;style id="http://www.zotero.org/styles/cell" hasBibliography="1" bibliographyStyleHasBeenSet="1"/&gt;&lt;prefs&gt;&lt;pref name="fieldType" value="Field"/&gt;&lt;pref name="automaticJournalAbbreviation</vt:lpwstr>
  </property>
  <property fmtid="{D5CDD505-2E9C-101B-9397-08002B2CF9AE}" pid="3" name="ZOTERO_PREF_2">
    <vt:lpwstr>s" value="true"/&gt;&lt;/prefs&gt;&lt;/data&gt;</vt:lpwstr>
  </property>
</Properties>
</file>