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23D81E" w14:textId="0DC18657" w:rsidR="008751E9" w:rsidRDefault="00554CE3" w:rsidP="00D11FB1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 xml:space="preserve">Supplementary Table 8: Relative Vaccine Effectiveness </w:t>
      </w:r>
      <w:r w:rsidR="00D11FB1">
        <w:rPr>
          <w:rFonts w:eastAsiaTheme="minorHAnsi"/>
          <w:b/>
          <w:bCs/>
        </w:rPr>
        <w:t>of the mRNA-1273 booster using the matched cohort analysis approach</w:t>
      </w:r>
    </w:p>
    <w:p w14:paraId="34D9C469" w14:textId="77777777" w:rsidR="00D11FB1" w:rsidRDefault="00D11FB1" w:rsidP="00D11FB1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256"/>
        <w:gridCol w:w="3257"/>
        <w:gridCol w:w="2838"/>
      </w:tblGrid>
      <w:tr w:rsidR="00F963E8" w:rsidRPr="00F963E8" w14:paraId="4B894C3A" w14:textId="77777777" w:rsidTr="00FF1FD1">
        <w:trPr>
          <w:trHeight w:val="301"/>
        </w:trPr>
        <w:tc>
          <w:tcPr>
            <w:tcW w:w="3256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C040EE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  <w:r w:rsidRPr="00F963E8">
              <w:rPr>
                <w:rFonts w:eastAsiaTheme="minorHAnsi"/>
                <w:b/>
                <w:bCs/>
                <w:lang w:val="en-US"/>
              </w:rPr>
              <w:t>SHERPA</w:t>
            </w:r>
          </w:p>
        </w:tc>
        <w:tc>
          <w:tcPr>
            <w:tcW w:w="325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287AD12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  <w:r w:rsidRPr="00F963E8">
              <w:rPr>
                <w:rFonts w:eastAsiaTheme="minorHAnsi"/>
                <w:b/>
                <w:bCs/>
                <w:lang w:val="en-US"/>
              </w:rPr>
              <w:t>Non-SHERPA</w:t>
            </w:r>
          </w:p>
        </w:tc>
        <w:tc>
          <w:tcPr>
            <w:tcW w:w="283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0777BC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</w:p>
        </w:tc>
      </w:tr>
      <w:tr w:rsidR="00F963E8" w:rsidRPr="00F963E8" w14:paraId="5776F3C1" w14:textId="77777777" w:rsidTr="00FF1FD1">
        <w:trPr>
          <w:trHeight w:val="24"/>
        </w:trPr>
        <w:tc>
          <w:tcPr>
            <w:tcW w:w="3256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3E1A3E" w14:textId="53BB83F2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  <w:r w:rsidRPr="00F963E8">
              <w:rPr>
                <w:rFonts w:eastAsiaTheme="minorHAnsi"/>
                <w:b/>
                <w:bCs/>
                <w:lang w:val="en-US"/>
              </w:rPr>
              <w:t>Events/P</w:t>
            </w:r>
            <w:r w:rsidR="00C96D3D">
              <w:rPr>
                <w:rFonts w:eastAsiaTheme="minorHAnsi"/>
                <w:b/>
                <w:bCs/>
                <w:lang w:val="en-US"/>
              </w:rPr>
              <w:t>e</w:t>
            </w:r>
            <w:r w:rsidR="00C92F23">
              <w:rPr>
                <w:rFonts w:eastAsiaTheme="minorHAnsi"/>
                <w:b/>
                <w:bCs/>
                <w:lang w:val="en-US"/>
              </w:rPr>
              <w:t>rson Years</w:t>
            </w:r>
          </w:p>
        </w:tc>
        <w:tc>
          <w:tcPr>
            <w:tcW w:w="325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81C02D" w14:textId="5153197D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  <w:r w:rsidRPr="00F963E8">
              <w:rPr>
                <w:rFonts w:eastAsiaTheme="minorHAnsi"/>
                <w:b/>
                <w:bCs/>
                <w:lang w:val="en-US"/>
              </w:rPr>
              <w:t>Events/P</w:t>
            </w:r>
            <w:r w:rsidR="00C96D3D">
              <w:rPr>
                <w:rFonts w:eastAsiaTheme="minorHAnsi"/>
                <w:b/>
                <w:bCs/>
                <w:lang w:val="en-US"/>
              </w:rPr>
              <w:t>erson Years</w:t>
            </w:r>
          </w:p>
        </w:tc>
        <w:tc>
          <w:tcPr>
            <w:tcW w:w="283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6B6375E" w14:textId="265273A1" w:rsidR="00F963E8" w:rsidRPr="00F963E8" w:rsidRDefault="00C96D3D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b/>
                <w:bCs/>
                <w:lang w:val="en-ZA"/>
              </w:rPr>
            </w:pPr>
            <w:r w:rsidRPr="00C96D3D">
              <w:rPr>
                <w:rFonts w:eastAsiaTheme="minorHAnsi"/>
                <w:b/>
                <w:bCs/>
                <w:lang w:val="en-US"/>
              </w:rPr>
              <w:t>Relative Vaccine Effectiveness</w:t>
            </w:r>
          </w:p>
        </w:tc>
      </w:tr>
      <w:tr w:rsidR="00F963E8" w:rsidRPr="00F963E8" w14:paraId="731C8EAB" w14:textId="77777777" w:rsidTr="00FF1FD1">
        <w:trPr>
          <w:trHeight w:val="429"/>
        </w:trPr>
        <w:tc>
          <w:tcPr>
            <w:tcW w:w="3256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9722575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lang w:val="en-ZA"/>
              </w:rPr>
            </w:pPr>
            <w:r w:rsidRPr="00F963E8">
              <w:rPr>
                <w:rFonts w:eastAsiaTheme="minorHAnsi"/>
                <w:lang w:val="en-US"/>
              </w:rPr>
              <w:t>12/3140</w:t>
            </w:r>
          </w:p>
        </w:tc>
        <w:tc>
          <w:tcPr>
            <w:tcW w:w="325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B13B405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lang w:val="en-ZA"/>
              </w:rPr>
            </w:pPr>
            <w:r w:rsidRPr="00F963E8">
              <w:rPr>
                <w:rFonts w:eastAsiaTheme="minorHAnsi"/>
                <w:lang w:val="en-US"/>
              </w:rPr>
              <w:t>33/3125</w:t>
            </w:r>
          </w:p>
        </w:tc>
        <w:tc>
          <w:tcPr>
            <w:tcW w:w="283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EE1EB3" w14:textId="77777777" w:rsidR="00F963E8" w:rsidRPr="00F963E8" w:rsidRDefault="00F963E8" w:rsidP="00F963E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240" w:lineRule="auto"/>
              <w:contextualSpacing/>
              <w:rPr>
                <w:rFonts w:eastAsiaTheme="minorHAnsi"/>
                <w:lang w:val="en-ZA"/>
              </w:rPr>
            </w:pPr>
            <w:r w:rsidRPr="00F963E8">
              <w:rPr>
                <w:rFonts w:eastAsiaTheme="minorHAnsi"/>
                <w:lang w:val="en-US"/>
              </w:rPr>
              <w:t>63% (32%- 82%)</w:t>
            </w:r>
          </w:p>
        </w:tc>
      </w:tr>
    </w:tbl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43027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845EF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2024-11-11T06:41:00Z</dcterms:created>
  <dcterms:modified xsi:type="dcterms:W3CDTF">2024-11-11T06:41:00Z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