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files</w:t>
      </w:r>
    </w:p>
    <w:p>
      <w:pPr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jc w:val="both"/>
        <w:rPr>
          <w:rFonts w:ascii="Times New Roman" w:hAnsi="Times New Roman" w:cs="Times New Roman"/>
          <w:sz w:val="24"/>
          <w:szCs w:val="24"/>
        </w:rPr>
      </w:pPr>
      <w:r>
        <w:drawing>
          <wp:inline distT="0" distB="0" distL="0" distR="0">
            <wp:extent cx="6305550" cy="643890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11" r="19551"/>
                    <a:stretch>
                      <a:fillRect/>
                    </a:stretch>
                  </pic:blipFill>
                  <pic:spPr>
                    <a:xfrm>
                      <a:off x="0" y="0"/>
                      <a:ext cx="6305550" cy="643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 xml:space="preserve">1. Continent subgroup analysis on prevalence of polymyxin resistance in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V. </w:t>
      </w:r>
      <w:r>
        <w:rPr>
          <w:rFonts w:ascii="Times New Roman" w:hAnsi="Times New Roman" w:cs="Times New Roman"/>
          <w:b/>
          <w:i/>
          <w:sz w:val="24"/>
          <w:szCs w:val="24"/>
        </w:rPr>
        <w:t>cholerae</w:t>
      </w:r>
    </w:p>
    <w:p>
      <w:pPr>
        <w:spacing w:after="0" w:line="48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drawing>
          <wp:inline distT="0" distB="0" distL="0" distR="0">
            <wp:extent cx="6134100" cy="6115050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37" r="11057"/>
                    <a:stretch>
                      <a:fillRect/>
                    </a:stretch>
                  </pic:blipFill>
                  <pic:spPr>
                    <a:xfrm>
                      <a:off x="0" y="0"/>
                      <a:ext cx="6134100" cy="611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0"/>
        <w:jc w:val="both"/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 xml:space="preserve">2. Sources subgroup analysis on prevalence of polymyxin resistance in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V. </w:t>
      </w:r>
      <w:r>
        <w:rPr>
          <w:rFonts w:ascii="Times New Roman" w:hAnsi="Times New Roman" w:cs="Times New Roman"/>
          <w:b/>
          <w:sz w:val="24"/>
          <w:szCs w:val="24"/>
        </w:rPr>
        <w:t>cholerae</w:t>
      </w:r>
      <w:r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  <w:t>.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</w:p>
    <w:p>
      <w:pPr>
        <w:rPr>
          <w:rFonts w:ascii="Times New Roman" w:hAnsi="Times New Roman" w:cs="Times New Roman"/>
          <w:b/>
          <w:sz w:val="24"/>
          <w:szCs w:val="24"/>
        </w:rPr>
      </w:pPr>
    </w:p>
    <w:p>
      <w:pPr>
        <w:rPr>
          <w:rFonts w:ascii="Times New Roman" w:hAnsi="Times New Roman" w:cs="Times New Roman"/>
          <w:b/>
          <w:sz w:val="24"/>
          <w:szCs w:val="24"/>
        </w:rPr>
      </w:pPr>
    </w:p>
    <w:p>
      <w:pPr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4663440" cy="7305675"/>
            <wp:effectExtent l="0" t="0" r="381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46" t="3085" r="11280" b="3472"/>
                    <a:stretch>
                      <a:fillRect/>
                    </a:stretch>
                  </pic:blipFill>
                  <pic:spPr>
                    <a:xfrm>
                      <a:off x="0" y="0"/>
                      <a:ext cx="4663440" cy="7305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0"/>
        <w:jc w:val="both"/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 xml:space="preserve">3. Strains subgroup analysis on prevalence of polymyxin resistance in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Vibrio</w:t>
      </w:r>
      <w:r>
        <w:rPr>
          <w:rFonts w:ascii="Times New Roman" w:hAnsi="Times New Roman" w:cs="Times New Roman"/>
          <w:b/>
          <w:sz w:val="24"/>
          <w:szCs w:val="24"/>
        </w:rPr>
        <w:t xml:space="preserve"> cholerae</w:t>
      </w:r>
      <w:r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  <w:t>.</w:t>
      </w:r>
    </w:p>
    <w:p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5029200" cy="5969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00" t="2322" r="10150" b="2804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5969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jc w:val="both"/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>
        <w:rPr>
          <w:rFonts w:hint="eastAsia" w:ascii="Times New Roman" w:hAnsi="Times New Roman" w:eastAsia="宋体" w:cs="Times New Roman"/>
          <w:b/>
          <w:sz w:val="24"/>
          <w:szCs w:val="24"/>
          <w:lang w:val="en-US" w:eastAsia="zh-CN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 xml:space="preserve">4. Biotypes subgroup analysis on prevalence of polymyxin resistance in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Vibrio</w:t>
      </w:r>
      <w:r>
        <w:rPr>
          <w:rFonts w:ascii="Times New Roman" w:hAnsi="Times New Roman" w:cs="Times New Roman"/>
          <w:b/>
          <w:i/>
          <w:sz w:val="24"/>
          <w:szCs w:val="24"/>
        </w:rPr>
        <w:t>cholerae</w:t>
      </w:r>
      <w:r>
        <w:rPr>
          <w:rFonts w:hint="eastAsia" w:ascii="Times New Roman" w:hAnsi="Times New Roman" w:eastAsia="宋体" w:cs="Times New Roman"/>
          <w:b/>
          <w:i/>
          <w:sz w:val="24"/>
          <w:szCs w:val="24"/>
          <w:lang w:val="en-US" w:eastAsia="zh-CN"/>
        </w:rPr>
        <w:t>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sz w:val="23"/>
          <w:szCs w:val="23"/>
        </w:rPr>
        <w:t>Table S</w:t>
      </w:r>
      <w:r>
        <w:rPr>
          <w:rFonts w:hint="eastAsia" w:ascii="Times New Roman" w:hAnsi="Times New Roman" w:eastAsia="宋体" w:cs="Times New Roman"/>
          <w:b/>
          <w:sz w:val="23"/>
          <w:szCs w:val="23"/>
          <w:lang w:val="en-US" w:eastAsia="zh-CN"/>
        </w:rPr>
        <w:t>1</w:t>
      </w:r>
      <w:r>
        <w:rPr>
          <w:rFonts w:ascii="Times New Roman" w:hAnsi="Times New Roman" w:cs="Times New Roman"/>
          <w:b/>
          <w:sz w:val="23"/>
          <w:szCs w:val="23"/>
        </w:rPr>
        <w:t>a: Quality assessment of the included studies based on Newcastle-Ottawa Scale (NOS)</w:t>
      </w:r>
    </w:p>
    <w:tbl>
      <w:tblPr>
        <w:tblStyle w:val="4"/>
        <w:tblW w:w="11880" w:type="dxa"/>
        <w:tblInd w:w="-1152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1620"/>
        <w:gridCol w:w="630"/>
        <w:gridCol w:w="630"/>
        <w:gridCol w:w="630"/>
        <w:gridCol w:w="630"/>
        <w:gridCol w:w="630"/>
        <w:gridCol w:w="630"/>
        <w:gridCol w:w="630"/>
        <w:gridCol w:w="630"/>
        <w:gridCol w:w="630"/>
        <w:gridCol w:w="630"/>
        <w:gridCol w:w="630"/>
        <w:gridCol w:w="720"/>
        <w:gridCol w:w="990"/>
      </w:tblGrid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Authors</w:t>
            </w:r>
          </w:p>
        </w:tc>
        <w:tc>
          <w:tcPr>
            <w:tcW w:w="162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Year of Isolation /reporting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1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2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3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4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5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6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7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8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Item 9 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Item 10</w:t>
            </w:r>
          </w:p>
        </w:tc>
        <w:tc>
          <w:tcPr>
            <w:tcW w:w="63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Item 11</w:t>
            </w:r>
          </w:p>
        </w:tc>
        <w:tc>
          <w:tcPr>
            <w:tcW w:w="72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Total score </w:t>
            </w:r>
          </w:p>
        </w:tc>
        <w:tc>
          <w:tcPr>
            <w:tcW w:w="9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Level of bias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162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NA-UBOL  et al.</w:t>
            </w:r>
          </w:p>
        </w:tc>
        <w:tc>
          <w:tcPr>
            <w:tcW w:w="162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90" w:type="dxa"/>
            <w:tcBorders>
              <w:top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NDIP Rnet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RAHIM &amp; AZIZ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1994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DE MELO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Moderate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KHATOVICH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1998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PHANTOUAMATH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2001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NARANGet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1994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Moderate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PAL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Moderate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HIGAet al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1993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WATURANGI 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IGERE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PAL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BUDIMAN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SAMANTAet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PAYNE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MERCY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PAL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BALAJI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Moderate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JAIN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KUTAR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GOEL and JIANG 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PHANTOUAMATHet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2001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ISRAIL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1998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DALSGAARD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1996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HIGA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1995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RAHIM and AZIZ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1994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UCHIYAMA and TODOROKI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1991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SRIDHAR and POLASA 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1980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SAXENA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1980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OGG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1978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KONGSAMRAN and DHIRAPUTRA 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1975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SIL et al.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1974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GUGNANI and PAL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1974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BISWAS and MUKERJEE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1967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3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90" w:type="dxa"/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low</w:t>
            </w:r>
          </w:p>
        </w:tc>
      </w:tr>
    </w:tbl>
    <w:p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0"/>
        </w:rPr>
        <w:t xml:space="preserve">Keyword for total score interpretation of bias level: Total score </w:t>
      </w:r>
      <w:r>
        <w:rPr>
          <w:rFonts w:ascii="Times New Roman" w:hAnsi="Times New Roman" w:cs="Times New Roman"/>
          <w:b/>
          <w:sz w:val="20"/>
          <w:u w:val="single"/>
        </w:rPr>
        <w:t>&gt;</w:t>
      </w:r>
      <w:r>
        <w:rPr>
          <w:rFonts w:ascii="Times New Roman" w:hAnsi="Times New Roman" w:cs="Times New Roman"/>
          <w:b/>
          <w:sz w:val="20"/>
        </w:rPr>
        <w:t xml:space="preserve">18 = low;  14 – 18 = moderate ; </w:t>
      </w:r>
      <w:r>
        <w:rPr>
          <w:rFonts w:ascii="Times New Roman" w:hAnsi="Times New Roman" w:cs="Times New Roman"/>
          <w:b/>
          <w:sz w:val="20"/>
          <w:u w:val="single"/>
        </w:rPr>
        <w:t>&lt;</w:t>
      </w:r>
      <w:r>
        <w:rPr>
          <w:rFonts w:ascii="Times New Roman" w:hAnsi="Times New Roman" w:cs="Times New Roman"/>
          <w:b/>
          <w:sz w:val="20"/>
        </w:rPr>
        <w:t>13 = high</w:t>
      </w:r>
    </w:p>
    <w:p>
      <w:pPr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after="0"/>
        <w:rPr>
          <w:rFonts w:ascii="Times New Roman" w:hAnsi="Times New Roman" w:cs="Times New Roman"/>
          <w:b/>
          <w:szCs w:val="21"/>
        </w:rPr>
      </w:pPr>
      <w:r>
        <w:rPr>
          <w:rFonts w:ascii="Times New Roman" w:hAnsi="Times New Roman" w:cs="Times New Roman"/>
          <w:b/>
        </w:rPr>
        <w:t>Table S</w:t>
      </w:r>
      <w:r>
        <w:rPr>
          <w:rFonts w:hint="eastAsia" w:ascii="Times New Roman" w:hAnsi="Times New Roman" w:eastAsia="宋体" w:cs="Times New Roman"/>
          <w:b/>
          <w:lang w:val="en-US" w:eastAsia="zh-CN"/>
        </w:rPr>
        <w:t>1</w:t>
      </w:r>
      <w:r>
        <w:rPr>
          <w:rFonts w:ascii="Times New Roman" w:hAnsi="Times New Roman" w:cs="Times New Roman"/>
          <w:b/>
        </w:rPr>
        <w:t>b:</w:t>
      </w:r>
      <w:bookmarkStart w:id="0" w:name="_GoBack"/>
      <w:bookmarkEnd w:id="0"/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  <w:szCs w:val="21"/>
        </w:rPr>
        <w:t>Quality assessement Response Instrument for nonhuman-based prevalence studies</w:t>
      </w:r>
    </w:p>
    <w:tbl>
      <w:tblPr>
        <w:tblStyle w:val="5"/>
        <w:tblW w:w="0" w:type="auto"/>
        <w:tblInd w:w="-5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1"/>
        <w:gridCol w:w="1483"/>
        <w:gridCol w:w="2520"/>
        <w:gridCol w:w="24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0098" w:type="dxa"/>
            <w:gridSpan w:val="4"/>
          </w:tcPr>
          <w:p>
            <w:pPr>
              <w:spacing w:after="0" w:line="276" w:lineRule="auto"/>
              <w:rPr>
                <w:rFonts w:ascii="Times New Roman" w:hAnsi="Times New Roman" w:cs="Times New Roman"/>
                <w:b/>
                <w:szCs w:val="21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bCs/>
                <w:szCs w:val="21"/>
                <w:lang w:val="en-GB"/>
              </w:rPr>
              <w:t xml:space="preserve">To assess risk of bias related to the study purpose, data collection, method applied and statistical soundness of </w:t>
            </w:r>
            <w:r>
              <w:rPr>
                <w:rFonts w:ascii="Times New Roman" w:hAnsi="Times New Roman" w:cs="Times New Roman"/>
                <w:b/>
                <w:szCs w:val="21"/>
              </w:rPr>
              <w:t xml:space="preserve">nonhuman-based prevalence studies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661" w:type="dxa"/>
            <w:vAlign w:val="center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Major Components</w:t>
            </w:r>
          </w:p>
        </w:tc>
        <w:tc>
          <w:tcPr>
            <w:tcW w:w="0" w:type="auto"/>
            <w:gridSpan w:val="3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Response options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Does the title speaks directly to the present subject being addressed?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Yes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Was the aim of study clearly stated and is it relevant to the present study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Unclear and irrelevant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Clearly stated but some how relevant 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Clearly stated and relevant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Do results reported in abstract and/or summary similar/matched with those ones presented within the text?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Unmatched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Matched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Was the sampling plan description adequate, accompany with date and sample handling information?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inadequate (lack sampling period /sample handling information)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Adequately reported  with sampling period and sample handling information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Was the sample size appropriately stated or computable from reported data of the study?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inadequate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Yes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 Was the sample size adequate enough (≥50arbitrary selected)?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&lt;50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≥50or &lt;100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≥100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7. Was the bacterial density, concentration, recovery or </w:t>
            </w:r>
            <w:r>
              <w:rPr>
                <w:rFonts w:ascii="Times New Roman" w:hAnsi="Times New Roman"/>
                <w:sz w:val="24"/>
              </w:rPr>
              <w:t>extraction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procedure adequately reported and accompanied with a control sample?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Not reported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with no positive control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Reported and adequate with positive control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 Was the bacterial detection assay described in details and reproducible?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with no positive control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Yes and with positive control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 Does the endpoints address the study focus and appropriate for the achievement of the study aim and objectives?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inadequate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Yes and adequate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 Does the method employed and assessed enhance the study endpoint (outcome) qualitatively or quantitatively in an unbiased manner?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inadequate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Yes and adequate (2 point)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3661" w:type="dxa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11.Was the choice of statistical analysis adequate for the study?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Not reported (0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Somehow but inadequate (1 point)</w:t>
            </w:r>
          </w:p>
        </w:tc>
        <w:tc>
          <w:tcPr>
            <w:tcW w:w="0" w:type="auto"/>
          </w:tcPr>
          <w:p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Yes and adequate (2 point)</w:t>
            </w:r>
          </w:p>
        </w:tc>
      </w:tr>
    </w:tbl>
    <w:p>
      <w:pPr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0"/>
        </w:rPr>
        <w:t xml:space="preserve">Keyword for total score interpretation of bias level: Total score </w:t>
      </w:r>
      <w:r>
        <w:rPr>
          <w:rFonts w:ascii="Times New Roman" w:hAnsi="Times New Roman" w:cs="Times New Roman"/>
          <w:b/>
          <w:sz w:val="20"/>
          <w:u w:val="single"/>
        </w:rPr>
        <w:t>&gt;</w:t>
      </w:r>
      <w:r>
        <w:rPr>
          <w:rFonts w:ascii="Times New Roman" w:hAnsi="Times New Roman" w:cs="Times New Roman"/>
          <w:b/>
          <w:sz w:val="20"/>
        </w:rPr>
        <w:t xml:space="preserve">18 = low; 14 – 17 = moderate; </w:t>
      </w:r>
      <w:r>
        <w:rPr>
          <w:rFonts w:ascii="Times New Roman" w:hAnsi="Times New Roman" w:cs="Times New Roman"/>
          <w:b/>
          <w:sz w:val="20"/>
          <w:u w:val="single"/>
        </w:rPr>
        <w:t>&lt;</w:t>
      </w:r>
      <w:r>
        <w:rPr>
          <w:rFonts w:ascii="Times New Roman" w:hAnsi="Times New Roman" w:cs="Times New Roman"/>
          <w:b/>
          <w:sz w:val="20"/>
        </w:rPr>
        <w:t>13 = high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2NLKwNDU2MDQzNTM3NTZV0lEKTi0uzszPAykwrAUAIqBeAywAAAA="/>
    <w:docVar w:name="commondata" w:val="eyJoZGlkIjoiOGI2ZTRhZTc5ZjBiNDgwNmNkOTRkODEyOTA2MjllM2QifQ=="/>
  </w:docVars>
  <w:rsids>
    <w:rsidRoot w:val="00852133"/>
    <w:rsid w:val="00010CC8"/>
    <w:rsid w:val="000114AF"/>
    <w:rsid w:val="000A066F"/>
    <w:rsid w:val="000D053E"/>
    <w:rsid w:val="001226F5"/>
    <w:rsid w:val="0014435C"/>
    <w:rsid w:val="001A3B21"/>
    <w:rsid w:val="002638E6"/>
    <w:rsid w:val="00303893"/>
    <w:rsid w:val="003B7070"/>
    <w:rsid w:val="003E0857"/>
    <w:rsid w:val="00451A52"/>
    <w:rsid w:val="00533534"/>
    <w:rsid w:val="005B73F9"/>
    <w:rsid w:val="005E6326"/>
    <w:rsid w:val="00690E06"/>
    <w:rsid w:val="00696876"/>
    <w:rsid w:val="007672A3"/>
    <w:rsid w:val="0081504C"/>
    <w:rsid w:val="00852133"/>
    <w:rsid w:val="008D46CB"/>
    <w:rsid w:val="00936854"/>
    <w:rsid w:val="00A07794"/>
    <w:rsid w:val="00C22B8D"/>
    <w:rsid w:val="00C760CC"/>
    <w:rsid w:val="00D37964"/>
    <w:rsid w:val="00DA14B5"/>
    <w:rsid w:val="00DB554D"/>
    <w:rsid w:val="00DD7510"/>
    <w:rsid w:val="00DF487A"/>
    <w:rsid w:val="00F36C2C"/>
    <w:rsid w:val="00FD1462"/>
    <w:rsid w:val="00FD22BA"/>
    <w:rsid w:val="26ED276E"/>
    <w:rsid w:val="6FF2313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3">
    <w:name w:val="header"/>
    <w:basedOn w:val="1"/>
    <w:link w:val="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table" w:styleId="5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Header Char"/>
    <w:basedOn w:val="6"/>
    <w:link w:val="3"/>
    <w:qFormat/>
    <w:uiPriority w:val="99"/>
  </w:style>
  <w:style w:type="character" w:customStyle="1" w:styleId="8">
    <w:name w:val="Footer Char"/>
    <w:basedOn w:val="6"/>
    <w:link w:val="2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734</Words>
  <Characters>4189</Characters>
  <Lines>34</Lines>
  <Paragraphs>9</Paragraphs>
  <TotalTime>189</TotalTime>
  <ScaleCrop>false</ScaleCrop>
  <LinksUpToDate>false</LinksUpToDate>
  <CharactersWithSpaces>4914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2022-11-14T10:28:00Z</dcterms:created>
  <dc:creator>ELITE BOOK</dc:creator>
  <cp:lastModifiedBy>solo</cp:lastModifiedBy>
  <dcterms:modified xsi:type="dcterms:W3CDTF">2023-11-05T14:43:50Z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E9538099A0784FC4904F4C497FB77798_12</vt:lpwstr>
  </property>
</Properties>
</file>