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AE988F" w14:textId="77777777" w:rsidR="00FB488F" w:rsidRDefault="00FB488F" w:rsidP="00FB488F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>Appendix 1: Risk of bias assessment of the included studies</w:t>
      </w:r>
    </w:p>
    <w:tbl>
      <w:tblPr>
        <w:tblStyle w:val="TableGrid"/>
        <w:tblW w:w="15218" w:type="dxa"/>
        <w:tblInd w:w="-801" w:type="dxa"/>
        <w:tblLayout w:type="fixed"/>
        <w:tblLook w:val="04A0" w:firstRow="1" w:lastRow="0" w:firstColumn="1" w:lastColumn="0" w:noHBand="0" w:noVBand="1"/>
      </w:tblPr>
      <w:tblGrid>
        <w:gridCol w:w="1292"/>
        <w:gridCol w:w="1216"/>
        <w:gridCol w:w="1346"/>
        <w:gridCol w:w="1260"/>
        <w:gridCol w:w="1205"/>
        <w:gridCol w:w="1205"/>
        <w:gridCol w:w="1205"/>
        <w:gridCol w:w="1205"/>
        <w:gridCol w:w="967"/>
        <w:gridCol w:w="1195"/>
        <w:gridCol w:w="1108"/>
        <w:gridCol w:w="1108"/>
        <w:gridCol w:w="906"/>
      </w:tblGrid>
      <w:tr w:rsidR="00FB488F" w14:paraId="04D4BE85" w14:textId="77777777" w:rsidTr="00D30CE9">
        <w:tc>
          <w:tcPr>
            <w:tcW w:w="1292" w:type="dxa"/>
          </w:tcPr>
          <w:p w14:paraId="3C1F9897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Study ID</w:t>
            </w:r>
          </w:p>
          <w:p w14:paraId="232DAF4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  <w:p w14:paraId="2AA8EE4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  <w:p w14:paraId="2DCA3DA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  <w:p w14:paraId="42AC5FC0" w14:textId="77777777" w:rsidR="00FB488F" w:rsidRDefault="00FB488F" w:rsidP="00D30CE9">
            <w:pPr>
              <w:tabs>
                <w:tab w:val="left" w:pos="1061"/>
              </w:tabs>
              <w:rPr>
                <w:rFonts w:ascii="Times New Roman" w:hAnsi="Times New Roman" w:cs="Times New Roman"/>
              </w:rPr>
            </w:pPr>
          </w:p>
        </w:tc>
        <w:tc>
          <w:tcPr>
            <w:tcW w:w="1216" w:type="dxa"/>
          </w:tcPr>
          <w:p w14:paraId="69E21D0B" w14:textId="77777777" w:rsidR="00FB488F" w:rsidRDefault="00FB488F" w:rsidP="00D30CE9">
            <w:pPr>
              <w:tabs>
                <w:tab w:val="left" w:pos="3297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Were the two groups similar and recruited from the same population?</w:t>
            </w:r>
          </w:p>
        </w:tc>
        <w:tc>
          <w:tcPr>
            <w:tcW w:w="1346" w:type="dxa"/>
          </w:tcPr>
          <w:p w14:paraId="22811619" w14:textId="77777777" w:rsidR="00FB488F" w:rsidRDefault="00FB488F" w:rsidP="00D30CE9">
            <w:pPr>
              <w:tabs>
                <w:tab w:val="left" w:pos="3297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Were the exposures measured similarly to assign people to both exposed and unexposed groups?</w:t>
            </w:r>
          </w:p>
        </w:tc>
        <w:tc>
          <w:tcPr>
            <w:tcW w:w="1260" w:type="dxa"/>
          </w:tcPr>
          <w:p w14:paraId="4D399486" w14:textId="77777777" w:rsidR="00FB488F" w:rsidRDefault="00FB488F" w:rsidP="00D30CE9">
            <w:pPr>
              <w:tabs>
                <w:tab w:val="left" w:pos="3297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Was the exposure measured in a valid and reliable way?</w:t>
            </w:r>
          </w:p>
          <w:p w14:paraId="3503B18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  <w:p w14:paraId="69BF0BA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05" w:type="dxa"/>
          </w:tcPr>
          <w:p w14:paraId="612F87B8" w14:textId="77777777" w:rsidR="00FB488F" w:rsidRDefault="00FB488F" w:rsidP="00D30CE9">
            <w:pPr>
              <w:tabs>
                <w:tab w:val="left" w:pos="3297"/>
              </w:tabs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Were</w:t>
            </w:r>
            <w:proofErr w:type="spellEnd"/>
            <w:r>
              <w:rPr>
                <w:rFonts w:ascii="Times New Roman" w:hAnsi="Times New Roman" w:cs="Times New Roman"/>
              </w:rPr>
              <w:t xml:space="preserve"> confounding factors identified?</w:t>
            </w:r>
          </w:p>
          <w:p w14:paraId="77768D8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  <w:p w14:paraId="1A21A07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  <w:p w14:paraId="1716808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  <w:p w14:paraId="554C84F7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  <w:p w14:paraId="7395E918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05" w:type="dxa"/>
          </w:tcPr>
          <w:p w14:paraId="591C371A" w14:textId="77777777" w:rsidR="00FB488F" w:rsidRDefault="00FB488F" w:rsidP="00D30CE9">
            <w:pPr>
              <w:tabs>
                <w:tab w:val="left" w:pos="3297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Were strategies to deal with confounding factors stated?</w:t>
            </w:r>
          </w:p>
        </w:tc>
        <w:tc>
          <w:tcPr>
            <w:tcW w:w="1205" w:type="dxa"/>
          </w:tcPr>
          <w:p w14:paraId="2A7AC42D" w14:textId="77777777" w:rsidR="00FB488F" w:rsidRDefault="00FB488F" w:rsidP="00D30CE9">
            <w:pPr>
              <w:tabs>
                <w:tab w:val="left" w:pos="3297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Were the participants free of the outcome at the start of the study</w:t>
            </w:r>
          </w:p>
        </w:tc>
        <w:tc>
          <w:tcPr>
            <w:tcW w:w="1205" w:type="dxa"/>
          </w:tcPr>
          <w:p w14:paraId="42C4C31F" w14:textId="77777777" w:rsidR="00FB488F" w:rsidRDefault="00FB488F" w:rsidP="00D30CE9">
            <w:pPr>
              <w:tabs>
                <w:tab w:val="left" w:pos="3297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Were the outcomes measured in a valid and reliable way?</w:t>
            </w:r>
          </w:p>
          <w:p w14:paraId="117E4EC3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  <w:p w14:paraId="35A041C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  <w:p w14:paraId="6008D00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67" w:type="dxa"/>
          </w:tcPr>
          <w:p w14:paraId="4D20863D" w14:textId="77777777" w:rsidR="00FB488F" w:rsidRDefault="00FB488F" w:rsidP="00D30CE9">
            <w:pPr>
              <w:tabs>
                <w:tab w:val="left" w:pos="3297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Was the follow up time reported and sufficient to be long enough for outcomes to occur?</w:t>
            </w:r>
          </w:p>
        </w:tc>
        <w:tc>
          <w:tcPr>
            <w:tcW w:w="1195" w:type="dxa"/>
          </w:tcPr>
          <w:p w14:paraId="73CA9DC3" w14:textId="77777777" w:rsidR="00FB488F" w:rsidRDefault="00FB488F" w:rsidP="00D30CE9">
            <w:pPr>
              <w:tabs>
                <w:tab w:val="left" w:pos="3297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Was follow up complete, and if not, were the reasons to loss to follow up described and explored?</w:t>
            </w:r>
          </w:p>
        </w:tc>
        <w:tc>
          <w:tcPr>
            <w:tcW w:w="1108" w:type="dxa"/>
          </w:tcPr>
          <w:p w14:paraId="3F13263E" w14:textId="77777777" w:rsidR="00FB488F" w:rsidRDefault="00FB488F" w:rsidP="00D30CE9">
            <w:pPr>
              <w:tabs>
                <w:tab w:val="left" w:pos="3297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Were strategies to address incomplete follow up utilized?</w:t>
            </w:r>
          </w:p>
        </w:tc>
        <w:tc>
          <w:tcPr>
            <w:tcW w:w="1108" w:type="dxa"/>
          </w:tcPr>
          <w:p w14:paraId="5CAF01A5" w14:textId="77777777" w:rsidR="00FB488F" w:rsidRDefault="00FB488F" w:rsidP="00D30CE9">
            <w:pPr>
              <w:tabs>
                <w:tab w:val="left" w:pos="3297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Was appropriate statistical analysis used?</w:t>
            </w:r>
          </w:p>
        </w:tc>
        <w:tc>
          <w:tcPr>
            <w:tcW w:w="906" w:type="dxa"/>
          </w:tcPr>
          <w:p w14:paraId="40DF1113" w14:textId="77777777" w:rsidR="00FB488F" w:rsidRDefault="00FB488F" w:rsidP="00D30CE9">
            <w:pPr>
              <w:tabs>
                <w:tab w:val="left" w:pos="3297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Total</w:t>
            </w:r>
          </w:p>
          <w:p w14:paraId="489EE297" w14:textId="77777777" w:rsidR="00FB488F" w:rsidRDefault="00FB488F" w:rsidP="00D30CE9">
            <w:pPr>
              <w:tabs>
                <w:tab w:val="left" w:pos="3297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Score</w:t>
            </w:r>
          </w:p>
          <w:p w14:paraId="126788C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  <w:p w14:paraId="28F736E7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  <w:p w14:paraId="2F01F204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  <w:p w14:paraId="78AE62D5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  <w:p w14:paraId="55128E5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  <w:p w14:paraId="43EBC7A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  <w:p w14:paraId="4757D51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  <w:p w14:paraId="0F95E73D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</w:tc>
      </w:tr>
      <w:tr w:rsidR="00FB488F" w14:paraId="6A0FF5DE" w14:textId="77777777" w:rsidTr="00D30CE9">
        <w:tc>
          <w:tcPr>
            <w:tcW w:w="15218" w:type="dxa"/>
            <w:gridSpan w:val="13"/>
          </w:tcPr>
          <w:p w14:paraId="709D9FFF" w14:textId="77777777" w:rsidR="00FB488F" w:rsidRDefault="00FB488F" w:rsidP="00D30CE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Cohort studies</w:t>
            </w:r>
          </w:p>
        </w:tc>
      </w:tr>
      <w:tr w:rsidR="00FB488F" w14:paraId="181FE553" w14:textId="77777777" w:rsidTr="00D30CE9">
        <w:tc>
          <w:tcPr>
            <w:tcW w:w="1292" w:type="dxa"/>
          </w:tcPr>
          <w:p w14:paraId="015825C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>Chammartin et al., 2022</w:t>
            </w:r>
          </w:p>
        </w:tc>
        <w:tc>
          <w:tcPr>
            <w:tcW w:w="1216" w:type="dxa"/>
          </w:tcPr>
          <w:p w14:paraId="2DAE4538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11A24DD7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1A90DD94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429135E5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57CD5A15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7C05CF83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05F6C66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67265A5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95" w:type="dxa"/>
          </w:tcPr>
          <w:p w14:paraId="4563F42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26993E87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08" w:type="dxa"/>
          </w:tcPr>
          <w:p w14:paraId="60007EC8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06" w:type="dxa"/>
          </w:tcPr>
          <w:p w14:paraId="0E0CB246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01192413" w14:textId="77777777" w:rsidTr="00D30CE9">
        <w:tc>
          <w:tcPr>
            <w:tcW w:w="1292" w:type="dxa"/>
          </w:tcPr>
          <w:p w14:paraId="1AAD55F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>Chow et al., 2018(a)</w:t>
            </w:r>
          </w:p>
        </w:tc>
        <w:tc>
          <w:tcPr>
            <w:tcW w:w="1216" w:type="dxa"/>
          </w:tcPr>
          <w:p w14:paraId="06C833D6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49794E5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4DBE4E65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18D251C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57983E5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069D9EC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67DFF63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15F5FE0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95" w:type="dxa"/>
          </w:tcPr>
          <w:p w14:paraId="191F9FD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6D4415F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08" w:type="dxa"/>
          </w:tcPr>
          <w:p w14:paraId="680C2954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06" w:type="dxa"/>
          </w:tcPr>
          <w:p w14:paraId="359A722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8044DC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68C7EFC2" w14:textId="77777777" w:rsidTr="00D30CE9">
        <w:tc>
          <w:tcPr>
            <w:tcW w:w="1292" w:type="dxa"/>
          </w:tcPr>
          <w:p w14:paraId="3C899657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>Chow et al., 2018(b)</w:t>
            </w:r>
          </w:p>
        </w:tc>
        <w:tc>
          <w:tcPr>
            <w:tcW w:w="1216" w:type="dxa"/>
          </w:tcPr>
          <w:p w14:paraId="05594C3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4DCEB426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0DE1F68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30BBD2B7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308F945E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0F3BA47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7E21BD5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6F6A0826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Yes </w:t>
            </w:r>
          </w:p>
        </w:tc>
        <w:tc>
          <w:tcPr>
            <w:tcW w:w="1195" w:type="dxa"/>
          </w:tcPr>
          <w:p w14:paraId="51C78DB8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108" w:type="dxa"/>
          </w:tcPr>
          <w:p w14:paraId="6F94A5AE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108" w:type="dxa"/>
          </w:tcPr>
          <w:p w14:paraId="34A4FC3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06" w:type="dxa"/>
          </w:tcPr>
          <w:p w14:paraId="386DD66D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8044DC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1ADB1AF1" w14:textId="77777777" w:rsidTr="00D30CE9">
        <w:tc>
          <w:tcPr>
            <w:tcW w:w="1292" w:type="dxa"/>
          </w:tcPr>
          <w:p w14:paraId="5945CF5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>Cole et al., 2004</w:t>
            </w:r>
          </w:p>
        </w:tc>
        <w:tc>
          <w:tcPr>
            <w:tcW w:w="1216" w:type="dxa"/>
          </w:tcPr>
          <w:p w14:paraId="66307C6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6D22151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4F8F4B93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47531FF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5AFD3CB6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400EFBFE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19E60C0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296735D7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95" w:type="dxa"/>
          </w:tcPr>
          <w:p w14:paraId="77894AC6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69068DAE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3B7640E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06" w:type="dxa"/>
          </w:tcPr>
          <w:p w14:paraId="42A3A41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8044DC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00C7CB7B" w14:textId="77777777" w:rsidTr="00D30CE9">
        <w:tc>
          <w:tcPr>
            <w:tcW w:w="1292" w:type="dxa"/>
          </w:tcPr>
          <w:p w14:paraId="62A54A7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>Harding et al., 2021</w:t>
            </w:r>
          </w:p>
        </w:tc>
        <w:tc>
          <w:tcPr>
            <w:tcW w:w="1216" w:type="dxa"/>
          </w:tcPr>
          <w:p w14:paraId="7A25C86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16864B8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390D06D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43CB21F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62E2063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1415933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1ABDB55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7AE3B1C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95" w:type="dxa"/>
          </w:tcPr>
          <w:p w14:paraId="0C294A2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08" w:type="dxa"/>
          </w:tcPr>
          <w:p w14:paraId="270ED964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08" w:type="dxa"/>
          </w:tcPr>
          <w:p w14:paraId="7FB6AAA4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06" w:type="dxa"/>
          </w:tcPr>
          <w:p w14:paraId="1DBD4333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B3720E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390F3132" w14:textId="77777777" w:rsidTr="00D30CE9">
        <w:tc>
          <w:tcPr>
            <w:tcW w:w="1292" w:type="dxa"/>
          </w:tcPr>
          <w:p w14:paraId="0BD5D9E5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>Hatleberg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 xml:space="preserve"> et al., 2019</w:t>
            </w:r>
          </w:p>
        </w:tc>
        <w:tc>
          <w:tcPr>
            <w:tcW w:w="1216" w:type="dxa"/>
          </w:tcPr>
          <w:p w14:paraId="2614E01D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09E6872D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6BDC81E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056F839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22184134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178A195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27FB1A5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672D44A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95" w:type="dxa"/>
          </w:tcPr>
          <w:p w14:paraId="4EAEBEF6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08" w:type="dxa"/>
          </w:tcPr>
          <w:p w14:paraId="20E0C17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08" w:type="dxa"/>
          </w:tcPr>
          <w:p w14:paraId="696B448D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06" w:type="dxa"/>
          </w:tcPr>
          <w:p w14:paraId="5331D04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B3720E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4D1F983D" w14:textId="77777777" w:rsidTr="00D30CE9">
        <w:tc>
          <w:tcPr>
            <w:tcW w:w="1292" w:type="dxa"/>
          </w:tcPr>
          <w:p w14:paraId="16DF0E0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>Krsak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 xml:space="preserve"> et al., 2015</w:t>
            </w:r>
          </w:p>
        </w:tc>
        <w:tc>
          <w:tcPr>
            <w:tcW w:w="1216" w:type="dxa"/>
          </w:tcPr>
          <w:p w14:paraId="0628F0BE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6BA85B3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34C08E5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5A22A54E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7E2C9685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0F976FD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3FA9766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632F055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95" w:type="dxa"/>
          </w:tcPr>
          <w:p w14:paraId="1DED7503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108" w:type="dxa"/>
          </w:tcPr>
          <w:p w14:paraId="39AEBEB8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7FD76F6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06" w:type="dxa"/>
          </w:tcPr>
          <w:p w14:paraId="06D8FAF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B3720E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55BF061B" w14:textId="77777777" w:rsidTr="00D30CE9">
        <w:tc>
          <w:tcPr>
            <w:tcW w:w="1292" w:type="dxa"/>
          </w:tcPr>
          <w:p w14:paraId="502027D6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>Sabin et al., 2013</w:t>
            </w:r>
          </w:p>
        </w:tc>
        <w:tc>
          <w:tcPr>
            <w:tcW w:w="1216" w:type="dxa"/>
          </w:tcPr>
          <w:p w14:paraId="7CA5281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6700C58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23A71348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5B9B63F5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73568DA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5A86710D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72ABF0F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494712A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95" w:type="dxa"/>
          </w:tcPr>
          <w:p w14:paraId="46A2BCF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6C387A6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4DBD2C2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06" w:type="dxa"/>
          </w:tcPr>
          <w:p w14:paraId="6D544A9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B3720E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6211664C" w14:textId="77777777" w:rsidTr="00D30CE9">
        <w:tc>
          <w:tcPr>
            <w:tcW w:w="1292" w:type="dxa"/>
          </w:tcPr>
          <w:p w14:paraId="1C5A25E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>Sarfo et al., 2021</w:t>
            </w:r>
          </w:p>
        </w:tc>
        <w:tc>
          <w:tcPr>
            <w:tcW w:w="1216" w:type="dxa"/>
          </w:tcPr>
          <w:p w14:paraId="496DF96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1B06758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61D7BF5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2CD3694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4579D2D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6D9AF924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6D54D54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6A86367E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195" w:type="dxa"/>
          </w:tcPr>
          <w:p w14:paraId="39E560CE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08" w:type="dxa"/>
          </w:tcPr>
          <w:p w14:paraId="2FBFA14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08" w:type="dxa"/>
          </w:tcPr>
          <w:p w14:paraId="659B87A5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06" w:type="dxa"/>
          </w:tcPr>
          <w:p w14:paraId="1AAFB72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B3720E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126E3E28" w14:textId="77777777" w:rsidTr="00D30CE9">
        <w:tc>
          <w:tcPr>
            <w:tcW w:w="1292" w:type="dxa"/>
          </w:tcPr>
          <w:p w14:paraId="508E4E5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>Vinikoor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 xml:space="preserve"> et al., 2024</w:t>
            </w:r>
          </w:p>
        </w:tc>
        <w:tc>
          <w:tcPr>
            <w:tcW w:w="1216" w:type="dxa"/>
          </w:tcPr>
          <w:p w14:paraId="7E616767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79C8D2E6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284FC4C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173BFC0E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734153B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2C348664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7614831D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0BF6F91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95" w:type="dxa"/>
          </w:tcPr>
          <w:p w14:paraId="1CBF472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108" w:type="dxa"/>
          </w:tcPr>
          <w:p w14:paraId="711A059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0E55BBA4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06" w:type="dxa"/>
          </w:tcPr>
          <w:p w14:paraId="0A0C3C34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B3720E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7F45AA23" w14:textId="77777777" w:rsidTr="00D30CE9">
        <w:tc>
          <w:tcPr>
            <w:tcW w:w="1292" w:type="dxa"/>
          </w:tcPr>
          <w:p w14:paraId="2A533EE7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>Yen et al., 2016</w:t>
            </w:r>
          </w:p>
        </w:tc>
        <w:tc>
          <w:tcPr>
            <w:tcW w:w="1216" w:type="dxa"/>
          </w:tcPr>
          <w:p w14:paraId="56A0EA8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76510E6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1EA1B64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3CDB3C47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41A4524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57F42EA6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4DAE887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3BB74315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95" w:type="dxa"/>
          </w:tcPr>
          <w:p w14:paraId="00955965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08" w:type="dxa"/>
          </w:tcPr>
          <w:p w14:paraId="7C932638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08" w:type="dxa"/>
          </w:tcPr>
          <w:p w14:paraId="342E2AD5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06" w:type="dxa"/>
          </w:tcPr>
          <w:p w14:paraId="6A2DEF63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B3720E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2839CA6E" w14:textId="77777777" w:rsidTr="00D30CE9">
        <w:tc>
          <w:tcPr>
            <w:tcW w:w="1292" w:type="dxa"/>
          </w:tcPr>
          <w:p w14:paraId="2E9D069D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lastRenderedPageBreak/>
              <w:t>Bizzotte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 xml:space="preserve"> et al., 2003</w:t>
            </w:r>
          </w:p>
        </w:tc>
        <w:tc>
          <w:tcPr>
            <w:tcW w:w="1216" w:type="dxa"/>
          </w:tcPr>
          <w:p w14:paraId="59137F4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5C0713F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1695117E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6FCCDBC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211916D3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5A8D5DE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7C58BBD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732BEFA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195" w:type="dxa"/>
          </w:tcPr>
          <w:p w14:paraId="779639A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EF5886"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592DAC7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EF5886"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483EC02D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06" w:type="dxa"/>
          </w:tcPr>
          <w:p w14:paraId="2A5F61D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416AAE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06FC080D" w14:textId="77777777" w:rsidTr="00D30CE9">
        <w:tc>
          <w:tcPr>
            <w:tcW w:w="1292" w:type="dxa"/>
          </w:tcPr>
          <w:p w14:paraId="4C179675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>Hiransuthikul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 xml:space="preserve"> et al., 2022</w:t>
            </w:r>
          </w:p>
        </w:tc>
        <w:tc>
          <w:tcPr>
            <w:tcW w:w="1216" w:type="dxa"/>
          </w:tcPr>
          <w:p w14:paraId="3FF3DEB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09B3247D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388B906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5D2E78D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5ADF5C6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45E98688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2ADAED7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2BD3E05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195" w:type="dxa"/>
          </w:tcPr>
          <w:p w14:paraId="7A515C36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08" w:type="dxa"/>
          </w:tcPr>
          <w:p w14:paraId="1E4B8D3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08" w:type="dxa"/>
          </w:tcPr>
          <w:p w14:paraId="537430C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06" w:type="dxa"/>
          </w:tcPr>
          <w:p w14:paraId="2B80CB17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416AAE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6EDD1525" w14:textId="77777777" w:rsidTr="00D30CE9">
        <w:tc>
          <w:tcPr>
            <w:tcW w:w="1292" w:type="dxa"/>
          </w:tcPr>
          <w:p w14:paraId="0DCD9445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>Lee et al., 2012</w:t>
            </w:r>
          </w:p>
        </w:tc>
        <w:tc>
          <w:tcPr>
            <w:tcW w:w="1216" w:type="dxa"/>
          </w:tcPr>
          <w:p w14:paraId="22BDE1B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69895B0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55773B05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5A20103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1B1B39A5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7E7F27B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6F244B5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5E6BF03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195" w:type="dxa"/>
          </w:tcPr>
          <w:p w14:paraId="6DEA9E08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108" w:type="dxa"/>
          </w:tcPr>
          <w:p w14:paraId="5CBD7A03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108" w:type="dxa"/>
          </w:tcPr>
          <w:p w14:paraId="6BFEAE83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06" w:type="dxa"/>
          </w:tcPr>
          <w:p w14:paraId="2479C73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416AAE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5A4603A9" w14:textId="77777777" w:rsidTr="00D30CE9">
        <w:tc>
          <w:tcPr>
            <w:tcW w:w="1292" w:type="dxa"/>
          </w:tcPr>
          <w:p w14:paraId="3281302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 xml:space="preserve">Marconi et al., 2018 </w:t>
            </w:r>
          </w:p>
        </w:tc>
        <w:tc>
          <w:tcPr>
            <w:tcW w:w="1216" w:type="dxa"/>
          </w:tcPr>
          <w:p w14:paraId="2121A1B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22449C07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3D22902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72004F27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10E96D1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660B418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58DCE18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2CC4046E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95" w:type="dxa"/>
          </w:tcPr>
          <w:p w14:paraId="76EABF6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EF5886"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26BD011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EF5886"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3BE0D91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06" w:type="dxa"/>
          </w:tcPr>
          <w:p w14:paraId="3BF5A84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416AAE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49AB4F1D" w14:textId="77777777" w:rsidTr="00D30CE9">
        <w:tc>
          <w:tcPr>
            <w:tcW w:w="1292" w:type="dxa"/>
          </w:tcPr>
          <w:p w14:paraId="4B074FF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 xml:space="preserve">Monforte et al., 2013 </w:t>
            </w:r>
          </w:p>
        </w:tc>
        <w:tc>
          <w:tcPr>
            <w:tcW w:w="1216" w:type="dxa"/>
          </w:tcPr>
          <w:p w14:paraId="7294CF2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51DC5CD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0DE1A0C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23E0FC5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093E0CA6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2C77EAC3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0F7605F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3DD0C23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95" w:type="dxa"/>
          </w:tcPr>
          <w:p w14:paraId="0CB82CED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EF5886"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10A02B4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EF5886"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6BA84E6D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06" w:type="dxa"/>
          </w:tcPr>
          <w:p w14:paraId="32D5A86E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416AAE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3E1409A1" w14:textId="77777777" w:rsidTr="00D30CE9">
        <w:tc>
          <w:tcPr>
            <w:tcW w:w="1292" w:type="dxa"/>
          </w:tcPr>
          <w:p w14:paraId="4C06EC7E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>Rasmussen et al., 2011</w:t>
            </w:r>
          </w:p>
        </w:tc>
        <w:tc>
          <w:tcPr>
            <w:tcW w:w="1216" w:type="dxa"/>
          </w:tcPr>
          <w:p w14:paraId="40AB7943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0D57D0DE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7CF479B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49EF1E2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7563A323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0A767D0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7EA79DE7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7F61ACBD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95" w:type="dxa"/>
          </w:tcPr>
          <w:p w14:paraId="612CB86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08" w:type="dxa"/>
          </w:tcPr>
          <w:p w14:paraId="0BAA6CD5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08" w:type="dxa"/>
          </w:tcPr>
          <w:p w14:paraId="241DEA1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06" w:type="dxa"/>
          </w:tcPr>
          <w:p w14:paraId="2AA95AF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416AAE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332F2D40" w14:textId="77777777" w:rsidTr="00D30CE9">
        <w:tc>
          <w:tcPr>
            <w:tcW w:w="1292" w:type="dxa"/>
          </w:tcPr>
          <w:p w14:paraId="21C2330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>Sabin et al., 2013</w:t>
            </w:r>
          </w:p>
        </w:tc>
        <w:tc>
          <w:tcPr>
            <w:tcW w:w="1216" w:type="dxa"/>
          </w:tcPr>
          <w:p w14:paraId="322CE066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7EA973C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45CAB6FD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0CDAD5C4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4247691D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48985E1E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185F83E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2354416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95" w:type="dxa"/>
          </w:tcPr>
          <w:p w14:paraId="725E22B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EF5886"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2066FB4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EF5886"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29C2DE8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06" w:type="dxa"/>
          </w:tcPr>
          <w:p w14:paraId="33DFFE65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416AAE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1D597D0B" w14:textId="77777777" w:rsidTr="00D30CE9">
        <w:tc>
          <w:tcPr>
            <w:tcW w:w="1292" w:type="dxa"/>
          </w:tcPr>
          <w:p w14:paraId="33E7D1C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>Chow et al., 2013</w:t>
            </w:r>
          </w:p>
        </w:tc>
        <w:tc>
          <w:tcPr>
            <w:tcW w:w="1216" w:type="dxa"/>
          </w:tcPr>
          <w:p w14:paraId="5F68B8B5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4F82CEA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683F6AE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63F6337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7721DBA8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68F4C466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111F6D6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7DB3BA1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95" w:type="dxa"/>
          </w:tcPr>
          <w:p w14:paraId="72F5EED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EF5886"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5FD9D2F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EF5886"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427FA54D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06" w:type="dxa"/>
          </w:tcPr>
          <w:p w14:paraId="35F544B4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416AAE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7C85BF18" w14:textId="77777777" w:rsidTr="00D30CE9">
        <w:tc>
          <w:tcPr>
            <w:tcW w:w="1292" w:type="dxa"/>
          </w:tcPr>
          <w:p w14:paraId="0D1EC5B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>Bedimo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 xml:space="preserve"> et al., 2011</w:t>
            </w:r>
          </w:p>
        </w:tc>
        <w:tc>
          <w:tcPr>
            <w:tcW w:w="1216" w:type="dxa"/>
          </w:tcPr>
          <w:p w14:paraId="7093081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53A95C2D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234208A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3753EF5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2A12180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132F9CB5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249B8407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7D24C3D3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95" w:type="dxa"/>
          </w:tcPr>
          <w:p w14:paraId="06797A34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EF5886"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7D51DCCD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EF5886"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4890A25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06" w:type="dxa"/>
          </w:tcPr>
          <w:p w14:paraId="6FB13687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416AAE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5CC74A48" w14:textId="77777777" w:rsidTr="00D30CE9">
        <w:tc>
          <w:tcPr>
            <w:tcW w:w="1292" w:type="dxa"/>
          </w:tcPr>
          <w:p w14:paraId="3200E4D8" w14:textId="77777777" w:rsidR="00FB488F" w:rsidRDefault="004A0F6D" w:rsidP="00D30CE9">
            <w:pPr>
              <w:rPr>
                <w:rFonts w:ascii="Times New Roman" w:hAnsi="Times New Roman" w:cs="Times New Roman"/>
              </w:rPr>
            </w:pPr>
            <w:hyperlink r:id="rId4" w:history="1">
              <w:proofErr w:type="spellStart"/>
              <w:r w:rsidR="00FB488F">
                <w:rPr>
                  <w:rFonts w:ascii="Times New Roman" w:eastAsia="Times New Roman" w:hAnsi="Times New Roman" w:cs="Times New Roman"/>
                  <w:color w:val="000000" w:themeColor="text1"/>
                  <w:lang w:eastAsia="en-ZA"/>
                </w:rPr>
                <w:t>Vinikoor</w:t>
              </w:r>
              <w:proofErr w:type="spellEnd"/>
              <w:r w:rsidR="00FB488F">
                <w:rPr>
                  <w:rFonts w:ascii="Times New Roman" w:eastAsia="Times New Roman" w:hAnsi="Times New Roman" w:cs="Times New Roman"/>
                  <w:color w:val="000000" w:themeColor="text1"/>
                  <w:lang w:eastAsia="en-ZA"/>
                </w:rPr>
                <w:t xml:space="preserve"> et al., 2013</w:t>
              </w:r>
            </w:hyperlink>
          </w:p>
        </w:tc>
        <w:tc>
          <w:tcPr>
            <w:tcW w:w="1216" w:type="dxa"/>
          </w:tcPr>
          <w:p w14:paraId="6758065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36F70EB8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3EFC72A6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75C720E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7346D6A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7FA675B3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2FFE3F8D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47D8D0E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95" w:type="dxa"/>
          </w:tcPr>
          <w:p w14:paraId="63D1F43E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EF5886"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0893EAA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EF5886"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2D9EEE3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06" w:type="dxa"/>
          </w:tcPr>
          <w:p w14:paraId="4525F8D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416AAE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45D05A95" w14:textId="77777777" w:rsidTr="00D30CE9">
        <w:tc>
          <w:tcPr>
            <w:tcW w:w="1292" w:type="dxa"/>
          </w:tcPr>
          <w:p w14:paraId="64799C9F" w14:textId="77777777" w:rsidR="00FB488F" w:rsidRDefault="00FB488F" w:rsidP="00D30CE9"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>Gutierrez et al., 2019</w:t>
            </w:r>
          </w:p>
        </w:tc>
        <w:tc>
          <w:tcPr>
            <w:tcW w:w="1216" w:type="dxa"/>
          </w:tcPr>
          <w:p w14:paraId="287A724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7C7DF01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066FAED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05925E7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5B3EF39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1912D094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01D87B83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6906F77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195" w:type="dxa"/>
          </w:tcPr>
          <w:p w14:paraId="4B50E794" w14:textId="77777777" w:rsidR="00FB488F" w:rsidRPr="00EF5886" w:rsidRDefault="00FB488F" w:rsidP="00D30CE9">
            <w:pPr>
              <w:rPr>
                <w:rFonts w:ascii="Times New Roman" w:hAnsi="Times New Roman" w:cs="Times New Roman"/>
              </w:rPr>
            </w:pPr>
            <w:r w:rsidRPr="00EF5886"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79D0E497" w14:textId="77777777" w:rsidR="00FB488F" w:rsidRPr="00EF5886" w:rsidRDefault="00FB488F" w:rsidP="00D30CE9">
            <w:pPr>
              <w:rPr>
                <w:rFonts w:ascii="Times New Roman" w:hAnsi="Times New Roman" w:cs="Times New Roman"/>
              </w:rPr>
            </w:pPr>
            <w:r w:rsidRPr="00EF5886">
              <w:rPr>
                <w:rFonts w:ascii="Times New Roman" w:hAnsi="Times New Roman" w:cs="Times New Roman"/>
              </w:rPr>
              <w:t>Can’t’ tell</w:t>
            </w:r>
          </w:p>
        </w:tc>
        <w:tc>
          <w:tcPr>
            <w:tcW w:w="1108" w:type="dxa"/>
          </w:tcPr>
          <w:p w14:paraId="5DDE6E2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06" w:type="dxa"/>
          </w:tcPr>
          <w:p w14:paraId="39351E18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416AAE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76E9D332" w14:textId="77777777" w:rsidTr="00D30CE9">
        <w:tc>
          <w:tcPr>
            <w:tcW w:w="15218" w:type="dxa"/>
            <w:gridSpan w:val="13"/>
          </w:tcPr>
          <w:p w14:paraId="652FD421" w14:textId="77777777" w:rsidR="00FB488F" w:rsidRDefault="00FB488F" w:rsidP="00D30CE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Case-control Studies</w:t>
            </w:r>
          </w:p>
        </w:tc>
      </w:tr>
      <w:tr w:rsidR="00FB488F" w14:paraId="4C79CAA6" w14:textId="77777777" w:rsidTr="00D30CE9">
        <w:tc>
          <w:tcPr>
            <w:tcW w:w="1292" w:type="dxa"/>
          </w:tcPr>
          <w:p w14:paraId="035823D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16" w:type="dxa"/>
          </w:tcPr>
          <w:p w14:paraId="6764DB7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Were the groups comparable?</w:t>
            </w:r>
          </w:p>
        </w:tc>
        <w:tc>
          <w:tcPr>
            <w:tcW w:w="1346" w:type="dxa"/>
          </w:tcPr>
          <w:p w14:paraId="2344E3BD" w14:textId="77777777" w:rsidR="00FB488F" w:rsidRDefault="00FB488F" w:rsidP="00D30CE9">
            <w:pPr>
              <w:tabs>
                <w:tab w:val="left" w:pos="3297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Were cases and controls matched appropriately?</w:t>
            </w:r>
          </w:p>
          <w:p w14:paraId="24E18C46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14:paraId="7BCF1F42" w14:textId="77777777" w:rsidR="00FB488F" w:rsidRDefault="00FB488F" w:rsidP="00D30CE9">
            <w:pPr>
              <w:tabs>
                <w:tab w:val="left" w:pos="3297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Were the same criteria used for identification of cases and controls?</w:t>
            </w:r>
          </w:p>
        </w:tc>
        <w:tc>
          <w:tcPr>
            <w:tcW w:w="1205" w:type="dxa"/>
          </w:tcPr>
          <w:p w14:paraId="53EF3244" w14:textId="77777777" w:rsidR="00FB488F" w:rsidRDefault="00FB488F" w:rsidP="00D30CE9">
            <w:pPr>
              <w:tabs>
                <w:tab w:val="left" w:pos="3297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Was exposure measured in a standard, valid and reliable way?</w:t>
            </w:r>
          </w:p>
        </w:tc>
        <w:tc>
          <w:tcPr>
            <w:tcW w:w="1205" w:type="dxa"/>
          </w:tcPr>
          <w:p w14:paraId="1A684E5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Was exposure measured in the same way for cases and controls?</w:t>
            </w:r>
          </w:p>
        </w:tc>
        <w:tc>
          <w:tcPr>
            <w:tcW w:w="1205" w:type="dxa"/>
          </w:tcPr>
          <w:p w14:paraId="2E915DAE" w14:textId="77777777" w:rsidR="00FB488F" w:rsidRDefault="00FB488F" w:rsidP="00D30CE9">
            <w:pPr>
              <w:tabs>
                <w:tab w:val="left" w:pos="3297"/>
              </w:tabs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Were</w:t>
            </w:r>
            <w:proofErr w:type="spellEnd"/>
            <w:r>
              <w:rPr>
                <w:rFonts w:ascii="Times New Roman" w:hAnsi="Times New Roman" w:cs="Times New Roman"/>
              </w:rPr>
              <w:t xml:space="preserve"> confounding factors identified?</w:t>
            </w:r>
          </w:p>
          <w:p w14:paraId="19C3B767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  <w:p w14:paraId="045FA01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  <w:p w14:paraId="638C881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05" w:type="dxa"/>
          </w:tcPr>
          <w:p w14:paraId="214E9582" w14:textId="77777777" w:rsidR="00FB488F" w:rsidRDefault="00FB488F" w:rsidP="00D30CE9">
            <w:pPr>
              <w:tabs>
                <w:tab w:val="left" w:pos="3297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Were strategies to deal with confounding factors stated?</w:t>
            </w:r>
          </w:p>
          <w:p w14:paraId="5ECA4EF4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  <w:p w14:paraId="1243BF5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  <w:p w14:paraId="4C10E24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67" w:type="dxa"/>
          </w:tcPr>
          <w:p w14:paraId="3EC64817" w14:textId="77777777" w:rsidR="00FB488F" w:rsidRDefault="00FB488F" w:rsidP="00D30CE9">
            <w:pPr>
              <w:tabs>
                <w:tab w:val="left" w:pos="3297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Were outcomes assessed in a standard, valid and reliable way for cases and controls?</w:t>
            </w:r>
          </w:p>
        </w:tc>
        <w:tc>
          <w:tcPr>
            <w:tcW w:w="1195" w:type="dxa"/>
          </w:tcPr>
          <w:p w14:paraId="57C862F6" w14:textId="77777777" w:rsidR="00FB488F" w:rsidRDefault="00FB488F" w:rsidP="00D30CE9">
            <w:pPr>
              <w:tabs>
                <w:tab w:val="left" w:pos="3297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Was the exposure period of interest long enough to be meaningful?</w:t>
            </w:r>
          </w:p>
        </w:tc>
        <w:tc>
          <w:tcPr>
            <w:tcW w:w="1108" w:type="dxa"/>
          </w:tcPr>
          <w:p w14:paraId="3D895195" w14:textId="77777777" w:rsidR="00FB488F" w:rsidRDefault="00FB488F" w:rsidP="00D30CE9">
            <w:pPr>
              <w:tabs>
                <w:tab w:val="left" w:pos="3297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Was appropriate statistical analysis used?</w:t>
            </w:r>
          </w:p>
        </w:tc>
        <w:tc>
          <w:tcPr>
            <w:tcW w:w="1108" w:type="dxa"/>
          </w:tcPr>
          <w:p w14:paraId="580B8F47" w14:textId="77777777" w:rsidR="00FB488F" w:rsidRDefault="00FB488F" w:rsidP="00D30CE9">
            <w:pPr>
              <w:tabs>
                <w:tab w:val="left" w:pos="3297"/>
              </w:tabs>
              <w:rPr>
                <w:rFonts w:ascii="Times New Roman" w:hAnsi="Times New Roman" w:cs="Times New Roman"/>
              </w:rPr>
            </w:pPr>
          </w:p>
        </w:tc>
        <w:tc>
          <w:tcPr>
            <w:tcW w:w="906" w:type="dxa"/>
          </w:tcPr>
          <w:p w14:paraId="4E8481F1" w14:textId="77777777" w:rsidR="00FB488F" w:rsidRDefault="00FB488F" w:rsidP="00D30CE9">
            <w:pPr>
              <w:tabs>
                <w:tab w:val="left" w:pos="3297"/>
              </w:tabs>
              <w:rPr>
                <w:rFonts w:ascii="Times New Roman" w:hAnsi="Times New Roman" w:cs="Times New Roman"/>
              </w:rPr>
            </w:pPr>
          </w:p>
        </w:tc>
      </w:tr>
      <w:tr w:rsidR="00FB488F" w14:paraId="5C8D3AF1" w14:textId="77777777" w:rsidTr="00D30CE9">
        <w:tc>
          <w:tcPr>
            <w:tcW w:w="1292" w:type="dxa"/>
          </w:tcPr>
          <w:p w14:paraId="776022C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>Benjamin et al., 2015</w:t>
            </w:r>
          </w:p>
        </w:tc>
        <w:tc>
          <w:tcPr>
            <w:tcW w:w="1216" w:type="dxa"/>
          </w:tcPr>
          <w:p w14:paraId="3E245D9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1427C746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5514723D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0C6F75A4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2B00C223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57247CF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2DDB488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507953D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95" w:type="dxa"/>
          </w:tcPr>
          <w:p w14:paraId="5992CDF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Can’t tell</w:t>
            </w:r>
          </w:p>
        </w:tc>
        <w:tc>
          <w:tcPr>
            <w:tcW w:w="1108" w:type="dxa"/>
          </w:tcPr>
          <w:p w14:paraId="6FF4CC5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08" w:type="dxa"/>
          </w:tcPr>
          <w:p w14:paraId="1D50A56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06" w:type="dxa"/>
          </w:tcPr>
          <w:p w14:paraId="39E68BC8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FF62D9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11EF4C55" w14:textId="77777777" w:rsidTr="00D30CE9">
        <w:tc>
          <w:tcPr>
            <w:tcW w:w="1292" w:type="dxa"/>
          </w:tcPr>
          <w:p w14:paraId="311B0DBD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>Chow et al., 2014</w:t>
            </w:r>
          </w:p>
        </w:tc>
        <w:tc>
          <w:tcPr>
            <w:tcW w:w="1216" w:type="dxa"/>
          </w:tcPr>
          <w:p w14:paraId="75EACB7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346" w:type="dxa"/>
          </w:tcPr>
          <w:p w14:paraId="4B8DBE0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260" w:type="dxa"/>
          </w:tcPr>
          <w:p w14:paraId="17C0B664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5721E09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49B2A90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660C0C2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773BD384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4D2E5F7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95" w:type="dxa"/>
          </w:tcPr>
          <w:p w14:paraId="07125E63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Can’t tell</w:t>
            </w:r>
          </w:p>
        </w:tc>
        <w:tc>
          <w:tcPr>
            <w:tcW w:w="1108" w:type="dxa"/>
          </w:tcPr>
          <w:p w14:paraId="66BBA7D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08" w:type="dxa"/>
          </w:tcPr>
          <w:p w14:paraId="482400C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06" w:type="dxa"/>
          </w:tcPr>
          <w:p w14:paraId="283EF2A4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FF62D9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23196327" w14:textId="77777777" w:rsidTr="00D30CE9">
        <w:tc>
          <w:tcPr>
            <w:tcW w:w="1292" w:type="dxa"/>
          </w:tcPr>
          <w:p w14:paraId="245008AF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lastRenderedPageBreak/>
              <w:t>Ku et al. 2023</w:t>
            </w:r>
          </w:p>
        </w:tc>
        <w:tc>
          <w:tcPr>
            <w:tcW w:w="1216" w:type="dxa"/>
          </w:tcPr>
          <w:p w14:paraId="2D69F71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55382AAE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66CA3771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76BDC8E8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69D16AD5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21FC65A4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6AD40C82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63F0BF73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95" w:type="dxa"/>
          </w:tcPr>
          <w:p w14:paraId="25ED9218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Can’t tell</w:t>
            </w:r>
          </w:p>
        </w:tc>
        <w:tc>
          <w:tcPr>
            <w:tcW w:w="1108" w:type="dxa"/>
          </w:tcPr>
          <w:p w14:paraId="260A6B1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08" w:type="dxa"/>
          </w:tcPr>
          <w:p w14:paraId="78BB89C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06" w:type="dxa"/>
          </w:tcPr>
          <w:p w14:paraId="4DA08BA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FF62D9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4FC7208D" w14:textId="77777777" w:rsidTr="00D30CE9">
        <w:tc>
          <w:tcPr>
            <w:tcW w:w="1292" w:type="dxa"/>
          </w:tcPr>
          <w:p w14:paraId="1FFD8378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>Allie et al., 2015</w:t>
            </w:r>
          </w:p>
        </w:tc>
        <w:tc>
          <w:tcPr>
            <w:tcW w:w="1216" w:type="dxa"/>
          </w:tcPr>
          <w:p w14:paraId="5BA9643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0C757E3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1278230E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25E59B77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7489F3B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6B581C0E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2E393E1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6510060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95" w:type="dxa"/>
          </w:tcPr>
          <w:p w14:paraId="32C4C058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Can’t tell</w:t>
            </w:r>
          </w:p>
        </w:tc>
        <w:tc>
          <w:tcPr>
            <w:tcW w:w="1108" w:type="dxa"/>
          </w:tcPr>
          <w:p w14:paraId="4113BC7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08" w:type="dxa"/>
          </w:tcPr>
          <w:p w14:paraId="2D3232E4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06" w:type="dxa"/>
          </w:tcPr>
          <w:p w14:paraId="79D732DC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A1495E">
              <w:rPr>
                <w:rFonts w:ascii="Times New Roman" w:hAnsi="Times New Roman" w:cs="Times New Roman"/>
              </w:rPr>
              <w:t>Low risk</w:t>
            </w:r>
          </w:p>
        </w:tc>
      </w:tr>
      <w:tr w:rsidR="00FB488F" w14:paraId="04B76D9C" w14:textId="77777777" w:rsidTr="00D30CE9">
        <w:tc>
          <w:tcPr>
            <w:tcW w:w="1292" w:type="dxa"/>
          </w:tcPr>
          <w:p w14:paraId="25389A2A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en-ZA"/>
              </w:rPr>
              <w:t xml:space="preserve">Silva-Pinto et al., 2017 </w:t>
            </w:r>
          </w:p>
        </w:tc>
        <w:tc>
          <w:tcPr>
            <w:tcW w:w="1216" w:type="dxa"/>
          </w:tcPr>
          <w:p w14:paraId="077F080A" w14:textId="77777777" w:rsidR="00FB488F" w:rsidRDefault="00FB488F" w:rsidP="00D30CE9">
            <w:pPr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46" w:type="dxa"/>
          </w:tcPr>
          <w:p w14:paraId="2F6425C0" w14:textId="77777777" w:rsidR="00FB488F" w:rsidRDefault="00FB488F" w:rsidP="00D30CE9">
            <w:pPr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3009007B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64643E55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74B81FF0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56AE2AF4" w14:textId="77777777" w:rsidR="00FB488F" w:rsidRDefault="00FB488F" w:rsidP="00D30CE9">
            <w:pPr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05" w:type="dxa"/>
          </w:tcPr>
          <w:p w14:paraId="72B2BAB7" w14:textId="77777777" w:rsidR="00FB488F" w:rsidRDefault="00FB488F" w:rsidP="00D30CE9">
            <w:pPr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67" w:type="dxa"/>
          </w:tcPr>
          <w:p w14:paraId="4DB1E3C8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95" w:type="dxa"/>
          </w:tcPr>
          <w:p w14:paraId="3C7C5FAD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Can’t tell</w:t>
            </w:r>
          </w:p>
        </w:tc>
        <w:tc>
          <w:tcPr>
            <w:tcW w:w="1108" w:type="dxa"/>
          </w:tcPr>
          <w:p w14:paraId="0A6F3888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108" w:type="dxa"/>
          </w:tcPr>
          <w:p w14:paraId="67D8743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06" w:type="dxa"/>
          </w:tcPr>
          <w:p w14:paraId="75EF9F19" w14:textId="77777777" w:rsidR="00FB488F" w:rsidRDefault="00FB488F" w:rsidP="00D30CE9">
            <w:pPr>
              <w:rPr>
                <w:rFonts w:ascii="Times New Roman" w:hAnsi="Times New Roman" w:cs="Times New Roman"/>
              </w:rPr>
            </w:pPr>
            <w:r w:rsidRPr="00A1495E">
              <w:rPr>
                <w:rFonts w:ascii="Times New Roman" w:hAnsi="Times New Roman" w:cs="Times New Roman"/>
              </w:rPr>
              <w:t>Low risk</w:t>
            </w:r>
          </w:p>
        </w:tc>
      </w:tr>
    </w:tbl>
    <w:p w14:paraId="0BF49FF7" w14:textId="77777777" w:rsidR="00FB488F" w:rsidRDefault="00FB488F" w:rsidP="00FB488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27A88F" w14:textId="77777777" w:rsidR="00701B66" w:rsidRDefault="00701B66"/>
    <w:sectPr w:rsidR="00701B66" w:rsidSect="00FB488F">
      <w:pgSz w:w="16838" w:h="11906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488F"/>
    <w:rsid w:val="00026DCC"/>
    <w:rsid w:val="004A0F6D"/>
    <w:rsid w:val="00504EB0"/>
    <w:rsid w:val="00701B66"/>
    <w:rsid w:val="00A74553"/>
    <w:rsid w:val="00FB4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972992D"/>
  <w15:chartTrackingRefBased/>
  <w15:docId w15:val="{E7F7855A-5A4C-45CA-ABFF-EF016F10C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488F"/>
    <w:pPr>
      <w:spacing w:after="0" w:line="240" w:lineRule="auto"/>
    </w:pPr>
    <w:rPr>
      <w:rFonts w:eastAsiaTheme="minorEastAsia"/>
      <w:sz w:val="20"/>
      <w:szCs w:val="20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qFormat/>
    <w:rsid w:val="00FB488F"/>
    <w:pPr>
      <w:widowControl w:val="0"/>
      <w:spacing w:after="0" w:line="240" w:lineRule="auto"/>
      <w:jc w:val="both"/>
    </w:pPr>
    <w:rPr>
      <w:rFonts w:eastAsiaTheme="minorEastAsia"/>
      <w:sz w:val="20"/>
      <w:szCs w:val="2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pubmed.ncbi.nlm.nih.gov/?term=Vinikoor+MJ&amp;cauthor_id=2356588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558</Words>
  <Characters>3186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Mrs. HJ Lotter</cp:lastModifiedBy>
  <cp:revision>2</cp:revision>
  <dcterms:created xsi:type="dcterms:W3CDTF">2025-06-13T04:46:00Z</dcterms:created>
  <dcterms:modified xsi:type="dcterms:W3CDTF">2025-06-13T04:46:00Z</dcterms:modified>
</cp:coreProperties>
</file>