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E41BD" w14:textId="6D4B726F" w:rsidR="00460902" w:rsidRDefault="00460902" w:rsidP="00460902">
      <w:pPr>
        <w:spacing w:after="12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Table </w:t>
      </w:r>
      <w:r w:rsidR="00B356EA">
        <w:rPr>
          <w:rFonts w:ascii="Times New Roman" w:eastAsia="Times New Roman" w:hAnsi="Times New Roman" w:cs="Times New Roman"/>
          <w:b/>
          <w:sz w:val="20"/>
          <w:szCs w:val="20"/>
        </w:rPr>
        <w:t xml:space="preserve">b 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Alignment of </w:t>
      </w:r>
      <w:r w:rsidR="00414307">
        <w:rPr>
          <w:rFonts w:ascii="Times New Roman" w:eastAsia="Times New Roman" w:hAnsi="Times New Roman" w:cs="Times New Roman"/>
          <w:b/>
          <w:sz w:val="20"/>
          <w:szCs w:val="20"/>
        </w:rPr>
        <w:t xml:space="preserve">policy document 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spatial </w:t>
      </w:r>
      <w:r w:rsidR="00EC2AE6">
        <w:rPr>
          <w:rFonts w:ascii="Times New Roman" w:eastAsia="Times New Roman" w:hAnsi="Times New Roman" w:cs="Times New Roman"/>
          <w:b/>
          <w:sz w:val="20"/>
          <w:szCs w:val="20"/>
        </w:rPr>
        <w:t xml:space="preserve">planning 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>principles</w:t>
      </w:r>
      <w:r w:rsidR="00414307">
        <w:rPr>
          <w:rFonts w:ascii="Times New Roman" w:eastAsia="Times New Roman" w:hAnsi="Times New Roman" w:cs="Times New Roman"/>
          <w:b/>
          <w:sz w:val="20"/>
          <w:szCs w:val="20"/>
        </w:rPr>
        <w:t xml:space="preserve"> (left)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 and </w:t>
      </w:r>
      <w:r w:rsidR="003B3B1F">
        <w:rPr>
          <w:rFonts w:ascii="Times New Roman" w:eastAsia="Times New Roman" w:hAnsi="Times New Roman" w:cs="Times New Roman"/>
          <w:b/>
          <w:sz w:val="20"/>
          <w:szCs w:val="20"/>
        </w:rPr>
        <w:t>policy documents grouped at national, provincial and metro level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</w:tblGrid>
      <w:tr w:rsidR="008412AD" w14:paraId="6E8EB1CC" w14:textId="77777777" w:rsidTr="00874825">
        <w:trPr>
          <w:cantSplit/>
          <w:trHeight w:val="340"/>
        </w:trPr>
        <w:tc>
          <w:tcPr>
            <w:tcW w:w="1838" w:type="dxa"/>
            <w:vMerge w:val="restart"/>
            <w:shd w:val="clear" w:color="auto" w:fill="BFBFBF" w:themeFill="background1" w:themeFillShade="BF"/>
            <w:textDirection w:val="btLr"/>
          </w:tcPr>
          <w:p w14:paraId="37229566" w14:textId="79900DBC" w:rsidR="00460902" w:rsidRPr="0019379A" w:rsidRDefault="00460902" w:rsidP="006475D4">
            <w:pPr>
              <w:ind w:left="113" w:right="113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</w:pPr>
            <w:r w:rsidRPr="0019379A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 xml:space="preserve">Spatial </w:t>
            </w:r>
            <w:r w:rsidR="00EC2AE6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>planning</w:t>
            </w:r>
            <w:r w:rsidRPr="0019379A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 xml:space="preserve"> principles</w:t>
            </w:r>
          </w:p>
          <w:p w14:paraId="44CA2DCA" w14:textId="4B938754" w:rsidR="00460902" w:rsidRPr="002B7BA9" w:rsidRDefault="00460902" w:rsidP="006475D4">
            <w:pPr>
              <w:ind w:left="113" w:right="113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19379A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 xml:space="preserve">from </w:t>
            </w:r>
            <w:proofErr w:type="gramStart"/>
            <w:r w:rsidR="0022591B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 xml:space="preserve">policy </w:t>
            </w:r>
            <w:r w:rsidRPr="0019379A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 xml:space="preserve"> documents</w:t>
            </w:r>
            <w:proofErr w:type="gramEnd"/>
          </w:p>
        </w:tc>
        <w:tc>
          <w:tcPr>
            <w:tcW w:w="11792" w:type="dxa"/>
            <w:gridSpan w:val="16"/>
            <w:shd w:val="clear" w:color="auto" w:fill="BFBFBF" w:themeFill="background1" w:themeFillShade="BF"/>
          </w:tcPr>
          <w:p w14:paraId="17FA0B42" w14:textId="5A05DB42" w:rsidR="00460902" w:rsidRPr="0019379A" w:rsidRDefault="008C58A4" w:rsidP="006475D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Sources</w:t>
            </w:r>
          </w:p>
        </w:tc>
      </w:tr>
      <w:tr w:rsidR="00CD79BB" w14:paraId="6D87F44B" w14:textId="77777777" w:rsidTr="00874825">
        <w:trPr>
          <w:cantSplit/>
          <w:trHeight w:val="260"/>
        </w:trPr>
        <w:tc>
          <w:tcPr>
            <w:tcW w:w="1838" w:type="dxa"/>
            <w:vMerge/>
            <w:shd w:val="clear" w:color="auto" w:fill="BFBFBF" w:themeFill="background1" w:themeFillShade="BF"/>
          </w:tcPr>
          <w:p w14:paraId="27CD4C1F" w14:textId="77777777" w:rsidR="00CD79BB" w:rsidRPr="008865A0" w:rsidRDefault="00CD79BB" w:rsidP="005151FB">
            <w:pP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4422" w:type="dxa"/>
            <w:gridSpan w:val="6"/>
            <w:shd w:val="clear" w:color="auto" w:fill="A8D08D" w:themeFill="accent6" w:themeFillTint="99"/>
          </w:tcPr>
          <w:p w14:paraId="26FD9E3E" w14:textId="77777777" w:rsidR="00CD79BB" w:rsidRDefault="00CD79BB" w:rsidP="006475D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National</w:t>
            </w:r>
          </w:p>
        </w:tc>
        <w:tc>
          <w:tcPr>
            <w:tcW w:w="2211" w:type="dxa"/>
            <w:gridSpan w:val="3"/>
            <w:shd w:val="clear" w:color="auto" w:fill="DEEAF6" w:themeFill="accent5" w:themeFillTint="33"/>
          </w:tcPr>
          <w:p w14:paraId="7B945030" w14:textId="42F982E2" w:rsidR="00CD79BB" w:rsidRPr="008865A0" w:rsidRDefault="00CD79BB" w:rsidP="006475D4">
            <w:pPr>
              <w:spacing w:line="24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Provincial</w:t>
            </w:r>
          </w:p>
        </w:tc>
        <w:tc>
          <w:tcPr>
            <w:tcW w:w="5159" w:type="dxa"/>
            <w:gridSpan w:val="7"/>
            <w:shd w:val="clear" w:color="auto" w:fill="FFF2CC" w:themeFill="accent4" w:themeFillTint="33"/>
          </w:tcPr>
          <w:p w14:paraId="0B8AF93B" w14:textId="52E8404B" w:rsidR="00CD79BB" w:rsidRPr="008865A0" w:rsidRDefault="00CD79BB" w:rsidP="006475D4">
            <w:pPr>
              <w:spacing w:line="24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City of Tshwane</w:t>
            </w:r>
          </w:p>
        </w:tc>
      </w:tr>
      <w:tr w:rsidR="00CD79BB" w14:paraId="0BBB8CCC" w14:textId="77777777" w:rsidTr="00146A48">
        <w:trPr>
          <w:cantSplit/>
          <w:trHeight w:val="2687"/>
        </w:trPr>
        <w:tc>
          <w:tcPr>
            <w:tcW w:w="1838" w:type="dxa"/>
            <w:vMerge/>
            <w:shd w:val="clear" w:color="auto" w:fill="BFBFBF" w:themeFill="background1" w:themeFillShade="BF"/>
          </w:tcPr>
          <w:p w14:paraId="74C062D6" w14:textId="77777777" w:rsidR="00CD79BB" w:rsidRPr="008865A0" w:rsidRDefault="00CD79BB" w:rsidP="00CD79BB">
            <w:pP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C5E0B3" w:themeFill="accent6" w:themeFillTint="66"/>
            <w:textDirection w:val="btLr"/>
          </w:tcPr>
          <w:p w14:paraId="139C9399" w14:textId="739B5A24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National Development Plan 2030 (Republic of South Africa, 2012)</w:t>
            </w:r>
          </w:p>
        </w:tc>
        <w:tc>
          <w:tcPr>
            <w:tcW w:w="737" w:type="dxa"/>
            <w:shd w:val="clear" w:color="auto" w:fill="C5E0B3" w:themeFill="accent6" w:themeFillTint="66"/>
            <w:textDirection w:val="btLr"/>
          </w:tcPr>
          <w:p w14:paraId="78D6FEC3" w14:textId="2ED92E13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Spatial Planning and Land Use Management Act 16 of 2013. (Republic of South Africa, 2013)</w:t>
            </w:r>
          </w:p>
        </w:tc>
        <w:tc>
          <w:tcPr>
            <w:tcW w:w="737" w:type="dxa"/>
            <w:shd w:val="clear" w:color="auto" w:fill="C5E0B3" w:themeFill="accent6" w:themeFillTint="66"/>
            <w:textDirection w:val="btLr"/>
          </w:tcPr>
          <w:p w14:paraId="6AF88928" w14:textId="5985E9AE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National Environmental Management Act, 107 of 1998 (Republic of South Africa, 1998a)</w:t>
            </w:r>
          </w:p>
        </w:tc>
        <w:tc>
          <w:tcPr>
            <w:tcW w:w="737" w:type="dxa"/>
            <w:shd w:val="clear" w:color="auto" w:fill="E2EFD9" w:themeFill="accent6" w:themeFillTint="33"/>
            <w:textDirection w:val="btLr"/>
          </w:tcPr>
          <w:p w14:paraId="5BB2A95C" w14:textId="7545E20D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Draft Guidelines for the Provision of Open Space (</w:t>
            </w:r>
            <w:proofErr w:type="spellStart"/>
            <w:r w:rsidRPr="00CD79BB">
              <w:rPr>
                <w:sz w:val="16"/>
                <w:szCs w:val="16"/>
              </w:rPr>
              <w:t>Isikhungusethu</w:t>
            </w:r>
            <w:proofErr w:type="spellEnd"/>
            <w:r w:rsidRPr="00CD79BB">
              <w:rPr>
                <w:sz w:val="16"/>
                <w:szCs w:val="16"/>
              </w:rPr>
              <w:t xml:space="preserve"> Environmental Services, Louw and Dewar, 2017)</w:t>
            </w:r>
          </w:p>
        </w:tc>
        <w:tc>
          <w:tcPr>
            <w:tcW w:w="737" w:type="dxa"/>
            <w:shd w:val="clear" w:color="auto" w:fill="E2EFD9" w:themeFill="accent6" w:themeFillTint="33"/>
            <w:textDirection w:val="btLr"/>
          </w:tcPr>
          <w:p w14:paraId="64274DD7" w14:textId="6E71323A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Department of Human Settlements – Red Book (Department of Human Settlements, 2019)</w:t>
            </w:r>
          </w:p>
        </w:tc>
        <w:tc>
          <w:tcPr>
            <w:tcW w:w="737" w:type="dxa"/>
            <w:shd w:val="clear" w:color="auto" w:fill="E2EFD9" w:themeFill="accent6" w:themeFillTint="33"/>
            <w:textDirection w:val="btLr"/>
          </w:tcPr>
          <w:p w14:paraId="52E210F0" w14:textId="40C1017C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Council for Scientific and Industrial Research (CSIR) – Green Book (Van Niekerk, Pieterse and Le Roux, 2020)</w:t>
            </w:r>
          </w:p>
        </w:tc>
        <w:tc>
          <w:tcPr>
            <w:tcW w:w="737" w:type="dxa"/>
            <w:shd w:val="clear" w:color="auto" w:fill="DEEAF6" w:themeFill="accent5" w:themeFillTint="33"/>
            <w:textDirection w:val="btLr"/>
          </w:tcPr>
          <w:p w14:paraId="45B0AD3D" w14:textId="346B32AE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Gauteng Conservation Plan, 2014 v 3.3 (C-Plan-3) (Gauteng Province, 2014)</w:t>
            </w:r>
          </w:p>
        </w:tc>
        <w:tc>
          <w:tcPr>
            <w:tcW w:w="737" w:type="dxa"/>
            <w:shd w:val="clear" w:color="auto" w:fill="DEEAF6" w:themeFill="accent5" w:themeFillTint="33"/>
            <w:textDirection w:val="btLr"/>
          </w:tcPr>
          <w:p w14:paraId="25F2E623" w14:textId="592782E3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The Gauteng Ridges Policy (Gauteng Province, 2019)</w:t>
            </w:r>
          </w:p>
        </w:tc>
        <w:tc>
          <w:tcPr>
            <w:tcW w:w="737" w:type="dxa"/>
            <w:shd w:val="clear" w:color="auto" w:fill="DEEAF6" w:themeFill="accent5" w:themeFillTint="33"/>
            <w:textDirection w:val="btLr"/>
          </w:tcPr>
          <w:p w14:paraId="7273928C" w14:textId="186E6162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Gauteng Province, 2022. GSDF 2030. (Gauteng Province, 2022)</w:t>
            </w:r>
          </w:p>
        </w:tc>
        <w:tc>
          <w:tcPr>
            <w:tcW w:w="737" w:type="dxa"/>
            <w:shd w:val="clear" w:color="auto" w:fill="FFF2CC" w:themeFill="accent4" w:themeFillTint="33"/>
            <w:textDirection w:val="btLr"/>
          </w:tcPr>
          <w:p w14:paraId="56C9E9C9" w14:textId="2BE31FA8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Tshwane Town Planning Scheme, 2008 (revised 2014)</w:t>
            </w:r>
          </w:p>
        </w:tc>
        <w:tc>
          <w:tcPr>
            <w:tcW w:w="737" w:type="dxa"/>
            <w:shd w:val="clear" w:color="auto" w:fill="FFF2CC" w:themeFill="accent4" w:themeFillTint="33"/>
            <w:textDirection w:val="btLr"/>
          </w:tcPr>
          <w:p w14:paraId="1B1AB7A3" w14:textId="43424048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Metropolitan Spatial Development Framework 2030 (City of Tshwane, 2021)</w:t>
            </w:r>
          </w:p>
        </w:tc>
        <w:tc>
          <w:tcPr>
            <w:tcW w:w="737" w:type="dxa"/>
            <w:shd w:val="clear" w:color="auto" w:fill="FFF2CC" w:themeFill="accent4" w:themeFillTint="33"/>
            <w:textDirection w:val="btLr"/>
          </w:tcPr>
          <w:p w14:paraId="6B03A61A" w14:textId="5FA8D23C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proofErr w:type="spellStart"/>
            <w:r w:rsidRPr="00CD79BB">
              <w:rPr>
                <w:sz w:val="16"/>
                <w:szCs w:val="16"/>
              </w:rPr>
              <w:t>Regionalised</w:t>
            </w:r>
            <w:proofErr w:type="spellEnd"/>
            <w:r w:rsidRPr="00CD79BB">
              <w:rPr>
                <w:sz w:val="16"/>
                <w:szCs w:val="16"/>
              </w:rPr>
              <w:t xml:space="preserve"> Spatial Development Framework (RSDF) for Region 1 &amp; 3 Draft 2023 (City of Tshwane, 2018a; 2008b)</w:t>
            </w:r>
          </w:p>
        </w:tc>
        <w:tc>
          <w:tcPr>
            <w:tcW w:w="737" w:type="dxa"/>
            <w:shd w:val="clear" w:color="auto" w:fill="FFF2CC" w:themeFill="accent4" w:themeFillTint="33"/>
            <w:textDirection w:val="btLr"/>
          </w:tcPr>
          <w:p w14:paraId="06083500" w14:textId="6A963DF5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Tshwane Open Space Framework (TOSF) 2020 draft (City of Tshwane, 2020)</w:t>
            </w:r>
          </w:p>
        </w:tc>
        <w:tc>
          <w:tcPr>
            <w:tcW w:w="737" w:type="dxa"/>
            <w:shd w:val="clear" w:color="auto" w:fill="FFF2CC" w:themeFill="accent4" w:themeFillTint="33"/>
            <w:textDirection w:val="btLr"/>
          </w:tcPr>
          <w:p w14:paraId="03E5F6BA" w14:textId="20D3CB01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Local Open Space Plans (LOSPs) (KH Landscape Architects. 2008; 2012)</w:t>
            </w:r>
          </w:p>
        </w:tc>
        <w:tc>
          <w:tcPr>
            <w:tcW w:w="737" w:type="dxa"/>
            <w:shd w:val="clear" w:color="auto" w:fill="FFE599" w:themeFill="accent4" w:themeFillTint="66"/>
            <w:textDirection w:val="btLr"/>
          </w:tcPr>
          <w:p w14:paraId="2836FA1D" w14:textId="0BD2D82A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Interviews</w:t>
            </w:r>
          </w:p>
        </w:tc>
        <w:tc>
          <w:tcPr>
            <w:tcW w:w="737" w:type="dxa"/>
            <w:shd w:val="clear" w:color="auto" w:fill="FFE599" w:themeFill="accent4" w:themeFillTint="66"/>
            <w:textDirection w:val="btLr"/>
          </w:tcPr>
          <w:p w14:paraId="6025FB62" w14:textId="4277B40E" w:rsidR="00CD79BB" w:rsidRPr="00CD79BB" w:rsidRDefault="00CD79BB" w:rsidP="00CD79BB">
            <w:pPr>
              <w:spacing w:line="240" w:lineRule="auto"/>
              <w:ind w:left="113" w:right="113"/>
              <w:rPr>
                <w:sz w:val="16"/>
                <w:szCs w:val="16"/>
              </w:rPr>
            </w:pPr>
            <w:r w:rsidRPr="00CD79BB">
              <w:rPr>
                <w:sz w:val="16"/>
                <w:szCs w:val="16"/>
              </w:rPr>
              <w:t>Workshop</w:t>
            </w:r>
          </w:p>
        </w:tc>
      </w:tr>
      <w:tr w:rsidR="00CD79BB" w14:paraId="0B0B25E6" w14:textId="77777777" w:rsidTr="00D46425">
        <w:trPr>
          <w:cantSplit/>
          <w:trHeight w:val="726"/>
        </w:trPr>
        <w:tc>
          <w:tcPr>
            <w:tcW w:w="1838" w:type="dxa"/>
            <w:shd w:val="clear" w:color="auto" w:fill="F2F2F2" w:themeFill="background1" w:themeFillShade="F2"/>
          </w:tcPr>
          <w:p w14:paraId="074042F6" w14:textId="466A359C" w:rsidR="00CD79BB" w:rsidRPr="0076548F" w:rsidRDefault="00CD79BB" w:rsidP="00CD79BB">
            <w:pPr>
              <w:spacing w:after="0" w:line="240" w:lineRule="auto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bookmarkStart w:id="0" w:name="_Hlk127974415"/>
            <w:r w:rsidRPr="00536E9A">
              <w:rPr>
                <w:rFonts w:asciiTheme="minorHAnsi" w:eastAsia="Times New Roman" w:hAnsiTheme="minorHAnsi" w:cstheme="minorHAnsi"/>
                <w:bCs/>
                <w:sz w:val="18"/>
                <w:szCs w:val="18"/>
              </w:rPr>
              <w:t>Spatial &amp; Environmental justice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47558466" w14:textId="559F84C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36C51D43" w14:textId="1DC8CFE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430075DF" w14:textId="3BDCD2D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03B6C063" w14:textId="5D9AA45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1DF9A506" w14:textId="5D04945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0D3C8A0F" w14:textId="2848FF0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668921BC" w14:textId="136DBD3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5E023A8" w14:textId="73FFB30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DEEAF6" w:themeFill="accent5" w:themeFillTint="33"/>
          </w:tcPr>
          <w:p w14:paraId="72C4AF42" w14:textId="42FD7B8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7E845EE6" w14:textId="1A08748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37399B5C" w14:textId="781FA78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3809F15D" w14:textId="716AA86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707D4790" w14:textId="23CC5B6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12F43CB" w14:textId="71DB575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5D488C8D" w14:textId="07DB9AE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4344D3D7" w14:textId="0ED34D1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69E811F4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7B1CC22A" w14:textId="73976C39" w:rsidR="00CD79BB" w:rsidRPr="0076548F" w:rsidRDefault="00CD79BB" w:rsidP="00CD79BB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Spatial &amp; Environmental sustainability 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1951B607" w14:textId="743F089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6EC0EC41" w14:textId="4629975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7A345EEA" w14:textId="449F2A1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62A2707" w14:textId="07972A4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BA04BC2" w14:textId="596867E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5F873DBF" w14:textId="1567A77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6258B448" w14:textId="51C79C2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00091D94" w14:textId="5F0FDCB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78C06E0F" w14:textId="51AD22A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094B379B" w14:textId="06B32F3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5A0E3B1" w14:textId="23269C2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284BC17D" w14:textId="2B47949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7D4A971F" w14:textId="1B41823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319481BD" w14:textId="3B2CA5E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294204B5" w14:textId="5F667F6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4BB4D72" w14:textId="680E571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0FD42B57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0173831A" w14:textId="5A82750E" w:rsidR="00CD79BB" w:rsidRPr="0073687F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Spatial resilience 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477939E3" w14:textId="55BA5C7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10AE9136" w14:textId="6CA0C17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14057819" w14:textId="4C22BDC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30DD0264" w14:textId="373822E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1BE35412" w14:textId="33CB53C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B1D024A" w14:textId="17BFE24A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22EDC33A" w14:textId="6C31419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166742BE" w14:textId="6E13D8D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12782F1E" w14:textId="6FC5572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27B45F4D" w14:textId="54B505A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4DB8D8CD" w14:textId="203B338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4762036B" w14:textId="1A35B0A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629FCA3" w14:textId="18C7610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63CDA7BE" w14:textId="33E2C36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3A91C82" w14:textId="2E704FB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9B7840F" w14:textId="25B0286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14C58DC5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6CB258F4" w14:textId="59D187C8" w:rsidR="00CD79BB" w:rsidRPr="0076548F" w:rsidRDefault="00CD79BB" w:rsidP="00CD79BB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Spatial &amp; Environmental quality 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110B719E" w14:textId="56CC4CE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7F12804E" w14:textId="76AE512A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03D11C3D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0834F2DB" w14:textId="00AC9BC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53241758" w14:textId="0DC3FDC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2AA07871" w14:textId="32EB3C6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693948FC" w14:textId="269B000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55B1E5C1" w14:textId="3905A89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24C800C5" w14:textId="60B181B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27D24F5F" w14:textId="1C5429C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4A3BC621" w14:textId="1D70240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722CB8ED" w14:textId="6EB5759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38BF4D3D" w14:textId="7223354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E0301CB" w14:textId="4BBFAD9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74687A0C" w14:textId="03FFFC8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71F0C21" w14:textId="0E8842C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069CE7B8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7E20FD8C" w14:textId="5652DA7F" w:rsidR="00CD79BB" w:rsidRPr="00545215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Spatial efficiency 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52ABF1C6" w14:textId="7592B4A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296713F8" w14:textId="1829A6E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7275DF2B" w14:textId="10F4371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EFF58CD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03383A4F" w14:textId="787A88A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1F2199C8" w14:textId="14C9223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67154029" w14:textId="03336E2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54B3FB5" w14:textId="6716A36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DEEAF6" w:themeFill="accent5" w:themeFillTint="33"/>
          </w:tcPr>
          <w:p w14:paraId="22D7E24A" w14:textId="6A87148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4F10FB10" w14:textId="060E7C6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597C67E8" w14:textId="3F01CCC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14AB19FB" w14:textId="6C9737D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03107ED7" w14:textId="13749BE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ADEAA9D" w14:textId="7B8CEEE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3B441ED5" w14:textId="5F41601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3F5F9B09" w14:textId="6A10501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43B74BA3" w14:textId="77777777" w:rsidTr="006475D4">
        <w:trPr>
          <w:trHeight w:val="701"/>
        </w:trPr>
        <w:tc>
          <w:tcPr>
            <w:tcW w:w="1838" w:type="dxa"/>
            <w:shd w:val="clear" w:color="auto" w:fill="F2F2F2" w:themeFill="background1" w:themeFillShade="F2"/>
          </w:tcPr>
          <w:p w14:paraId="51DE1F5A" w14:textId="439527FB" w:rsidR="00CD79BB" w:rsidRPr="00545215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Equitable access to environmental resources </w:t>
            </w:r>
          </w:p>
        </w:tc>
        <w:tc>
          <w:tcPr>
            <w:tcW w:w="737" w:type="dxa"/>
            <w:shd w:val="clear" w:color="auto" w:fill="FFFFFF" w:themeFill="background1"/>
          </w:tcPr>
          <w:p w14:paraId="5165999C" w14:textId="00C57D0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1C2CE50" w14:textId="3FE1222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6971A854" w14:textId="6809E16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853937A" w14:textId="5B2AC69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1AFF7BE" w14:textId="1312A43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16C016C8" w14:textId="4D32C5B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6236B991" w14:textId="2FD8FC3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879D161" w14:textId="32509CE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462710C" w14:textId="59A10CD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F97A808" w14:textId="3F13EAD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8163078" w14:textId="43195D0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764E4548" w14:textId="63BE707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33C4C541" w14:textId="68B566B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ED0303F" w14:textId="1233264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33D7AE5D" w14:textId="343068E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7448F894" w14:textId="40344C6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68538B35" w14:textId="77777777" w:rsidTr="006475D4">
        <w:trPr>
          <w:trHeight w:val="959"/>
        </w:trPr>
        <w:tc>
          <w:tcPr>
            <w:tcW w:w="1838" w:type="dxa"/>
            <w:shd w:val="clear" w:color="auto" w:fill="F2F2F2" w:themeFill="background1" w:themeFillShade="F2"/>
          </w:tcPr>
          <w:p w14:paraId="73277059" w14:textId="7824BF49" w:rsidR="00CD79BB" w:rsidRPr="00545215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>Equitable &amp; effective</w:t>
            </w:r>
            <w:r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</w:t>
            </w: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participation of all </w:t>
            </w:r>
            <w:r w:rsidR="00760721">
              <w:rPr>
                <w:rFonts w:asciiTheme="minorHAnsi" w:eastAsia="Times New Roman" w:hAnsiTheme="minorHAnsi" w:cstheme="minorHAnsi"/>
                <w:sz w:val="18"/>
                <w:szCs w:val="18"/>
              </w:rPr>
              <w:t>stakeholders</w:t>
            </w: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</w:t>
            </w:r>
            <w:r w:rsidR="00760721">
              <w:rPr>
                <w:rFonts w:asciiTheme="minorHAnsi" w:eastAsia="Times New Roman" w:hAnsiTheme="minorHAnsi" w:cstheme="minorHAnsi"/>
                <w:sz w:val="18"/>
                <w:szCs w:val="18"/>
              </w:rPr>
              <w:t>&amp;</w:t>
            </w: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forms of knowledge </w:t>
            </w:r>
          </w:p>
        </w:tc>
        <w:tc>
          <w:tcPr>
            <w:tcW w:w="737" w:type="dxa"/>
            <w:shd w:val="clear" w:color="auto" w:fill="FFFFFF" w:themeFill="background1"/>
          </w:tcPr>
          <w:p w14:paraId="4B0E06C2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74262733" w14:textId="77737C9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76BAD0DA" w14:textId="1100E6C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7EB28D0" w14:textId="127728D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2346C906" w14:textId="0065AC0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6D9AAC11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DEEAF6" w:themeFill="accent5" w:themeFillTint="33"/>
          </w:tcPr>
          <w:p w14:paraId="61C7ED8D" w14:textId="504DCB0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4DF13148" w14:textId="5372A7E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8FC890C" w14:textId="70A12DE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B226ECB" w14:textId="6D13028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03014EFF" w14:textId="6AA318B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44039AB" w14:textId="7A24B3C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0EF13556" w14:textId="4F4FF51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5697D10C" w14:textId="497A4CE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193BAB07" w14:textId="470F1E6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211CF413" w14:textId="2A0DAC5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01775E16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56D16B8A" w14:textId="1E13D353" w:rsidR="00CD79BB" w:rsidRPr="0076548F" w:rsidRDefault="00CD79BB" w:rsidP="00CD79BB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lastRenderedPageBreak/>
              <w:t xml:space="preserve">Environmental integration and linkage </w:t>
            </w:r>
          </w:p>
        </w:tc>
        <w:tc>
          <w:tcPr>
            <w:tcW w:w="737" w:type="dxa"/>
            <w:shd w:val="clear" w:color="auto" w:fill="FFFFFF" w:themeFill="background1"/>
          </w:tcPr>
          <w:p w14:paraId="3B1781F2" w14:textId="7777777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0FE10193" w14:textId="7777777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46062404" w14:textId="28AC34BB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74A08F75" w14:textId="7269D119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7B13BEB" w14:textId="50173C32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5547E09" w14:textId="46A30E29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45740D0A" w14:textId="0D1F1676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10251685" w14:textId="24CE4531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79DDB6A4" w14:textId="18412A11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9B4B8F9" w14:textId="45E28D53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35290AFD" w14:textId="73E4C95A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02976049" w14:textId="2B0D6B92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045571DE" w14:textId="3CE48CD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5CFDFE9B" w14:textId="26FBF4EA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171D708B" w14:textId="09487A52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5F7352CB" w14:textId="3C895DA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6130C58D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3AEF86DC" w14:textId="799ED377" w:rsidR="00CD79BB" w:rsidRPr="0076548F" w:rsidRDefault="00CD79BB" w:rsidP="00CD79BB">
            <w:pPr>
              <w:spacing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Protect the environment </w:t>
            </w:r>
          </w:p>
        </w:tc>
        <w:tc>
          <w:tcPr>
            <w:tcW w:w="737" w:type="dxa"/>
            <w:shd w:val="clear" w:color="auto" w:fill="FFFFFF" w:themeFill="background1"/>
          </w:tcPr>
          <w:p w14:paraId="121579C5" w14:textId="7777777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5CED37DB" w14:textId="7777777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1384BCBB" w14:textId="182339AB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6649022F" w14:textId="16F789AC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1EAB8805" w14:textId="2EE8E64C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358DE5EF" w14:textId="6B295D85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1FBACB8E" w14:textId="64C5B22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5C1FD63C" w14:textId="1E41ACB6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4C6A98DB" w14:textId="588B924A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076FA54" w14:textId="25CB17B5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5F6E2A27" w14:textId="2AEF828F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053F881" w14:textId="417081B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50713AA3" w14:textId="142D1430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2E36DE3" w14:textId="206C2C96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09FB5BCF" w14:textId="3ADAF56E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0AFDCC79" w14:textId="7D064EC7" w:rsidR="00CD79BB" w:rsidRPr="00146A48" w:rsidRDefault="00CD79BB" w:rsidP="00CD79BB">
            <w:pPr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6475D4" w14:paraId="5B05B675" w14:textId="77777777" w:rsidTr="006475D4">
        <w:tc>
          <w:tcPr>
            <w:tcW w:w="1838" w:type="dxa"/>
            <w:shd w:val="clear" w:color="auto" w:fill="F2F2F2" w:themeFill="background1" w:themeFillShade="F2"/>
          </w:tcPr>
          <w:p w14:paraId="0E93517A" w14:textId="5D2384E6" w:rsidR="00CD79BB" w:rsidRPr="008C58A4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Flexibility </w:t>
            </w:r>
          </w:p>
        </w:tc>
        <w:tc>
          <w:tcPr>
            <w:tcW w:w="737" w:type="dxa"/>
            <w:shd w:val="clear" w:color="auto" w:fill="FFFFFF" w:themeFill="background1"/>
          </w:tcPr>
          <w:p w14:paraId="44A97888" w14:textId="253EE9C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481D0A0" w14:textId="4A8D2E8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732D4E15" w14:textId="4DF852C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C19722B" w14:textId="20BEACC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1B86BF5" w14:textId="271D0E6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5B127862" w14:textId="7D78085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6EA13465" w14:textId="00E5855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963FD01" w14:textId="0039453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BEDE202" w14:textId="799A5C7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00044DFB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0305533" w14:textId="7B5934D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19415627" w14:textId="3016B19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7A92E896" w14:textId="70F7445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70F1BB33" w14:textId="5905B33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04A78559" w14:textId="040BDF3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29B35783" w14:textId="567FE8F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49F42304" w14:textId="77777777" w:rsidTr="006475D4">
        <w:tc>
          <w:tcPr>
            <w:tcW w:w="1838" w:type="dxa"/>
            <w:shd w:val="clear" w:color="auto" w:fill="F2F2F2" w:themeFill="background1" w:themeFillShade="F2"/>
          </w:tcPr>
          <w:p w14:paraId="72190FA9" w14:textId="36AE5162" w:rsidR="00CD79BB" w:rsidRPr="0076548F" w:rsidRDefault="00CD79BB" w:rsidP="00CD79BB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Anticipatory planning </w:t>
            </w:r>
          </w:p>
        </w:tc>
        <w:tc>
          <w:tcPr>
            <w:tcW w:w="737" w:type="dxa"/>
            <w:shd w:val="clear" w:color="auto" w:fill="FFFFFF" w:themeFill="background1"/>
          </w:tcPr>
          <w:p w14:paraId="467AC8C5" w14:textId="20DCD1C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F750980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77FA6ED4" w14:textId="7F6A7A1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5D7ABA9E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C017497" w14:textId="70C6C21A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4EE28BF6" w14:textId="3021AE1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642044AA" w14:textId="7EB9A74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44F727F7" w14:textId="1733CD38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58C51262" w14:textId="3954AE6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1B5F29C6" w14:textId="2BD62D1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CD2412F" w14:textId="4673A61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191B8104" w14:textId="6BEB8C5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4F31413B" w14:textId="4ABA324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FA058EA" w14:textId="6426D48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357FD2BD" w14:textId="33106CA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03C46C50" w14:textId="18245B4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5882A3A0" w14:textId="77777777" w:rsidTr="006475D4">
        <w:tc>
          <w:tcPr>
            <w:tcW w:w="1838" w:type="dxa"/>
            <w:shd w:val="clear" w:color="auto" w:fill="F2F2F2" w:themeFill="background1" w:themeFillShade="F2"/>
          </w:tcPr>
          <w:p w14:paraId="576E9E85" w14:textId="3AA25FD0" w:rsidR="00CD79BB" w:rsidRPr="00536E9A" w:rsidRDefault="00CD79BB" w:rsidP="00CD79BB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Transparent &amp; inclusive decision-making </w:t>
            </w:r>
          </w:p>
        </w:tc>
        <w:tc>
          <w:tcPr>
            <w:tcW w:w="737" w:type="dxa"/>
            <w:shd w:val="clear" w:color="auto" w:fill="FFFFFF" w:themeFill="background1"/>
          </w:tcPr>
          <w:p w14:paraId="49C42D2E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060627E3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3534F1B4" w14:textId="02428BA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4B294FBF" w14:textId="4DF3438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0AE52590" w14:textId="08727A0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13DEAA41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DEEAF6" w:themeFill="accent5" w:themeFillTint="33"/>
          </w:tcPr>
          <w:p w14:paraId="60364824" w14:textId="2AC0ED5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1D7A86B0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DEEAF6" w:themeFill="accent5" w:themeFillTint="33"/>
          </w:tcPr>
          <w:p w14:paraId="008DE037" w14:textId="465DC0F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5DDF3C06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580EAC2A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5EFA179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15126D1C" w14:textId="15C019C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7EF08FF4" w14:textId="05A97F3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DCF7A1A" w14:textId="528178D4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4B8C1807" w14:textId="4C054AC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64BACE01" w14:textId="77777777" w:rsidTr="00D46425">
        <w:tc>
          <w:tcPr>
            <w:tcW w:w="1838" w:type="dxa"/>
            <w:shd w:val="clear" w:color="auto" w:fill="F2F2F2" w:themeFill="background1" w:themeFillShade="F2"/>
          </w:tcPr>
          <w:p w14:paraId="287405BF" w14:textId="1941C8AF" w:rsidR="00CD79BB" w:rsidRPr="0076548F" w:rsidRDefault="00CD79BB" w:rsidP="00CD79BB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Empowering communities </w:t>
            </w:r>
          </w:p>
        </w:tc>
        <w:tc>
          <w:tcPr>
            <w:tcW w:w="737" w:type="dxa"/>
            <w:shd w:val="clear" w:color="auto" w:fill="FFFFFF" w:themeFill="background1"/>
          </w:tcPr>
          <w:p w14:paraId="060D4BBA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71EE228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06D6EC3B" w14:textId="66D3262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E3142C9" w14:textId="6C8EACA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0F957EE8" w14:textId="388365C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5324ADE" w14:textId="23E36F2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256F1685" w14:textId="672C4DC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1BFA723" w14:textId="29B011D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207BB3BF" w14:textId="62A8994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4AB6B8C" w14:textId="18346A8A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7F49A66F" w14:textId="510A6E4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782E297" w14:textId="5BDD2F5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033B94D9" w14:textId="3DB1869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FCA0214" w14:textId="5E84717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23BE8A6B" w14:textId="32CEFD5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5FD0EA7C" w14:textId="49DAB1A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7206E18D" w14:textId="77777777" w:rsidTr="006475D4">
        <w:tc>
          <w:tcPr>
            <w:tcW w:w="1838" w:type="dxa"/>
            <w:shd w:val="clear" w:color="auto" w:fill="F2F2F2" w:themeFill="background1" w:themeFillShade="F2"/>
          </w:tcPr>
          <w:p w14:paraId="60D0EA78" w14:textId="5E2D3431" w:rsidR="00CD79BB" w:rsidRPr="00536E9A" w:rsidRDefault="00CD79BB" w:rsidP="00CD79BB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>Co-operative governance</w:t>
            </w:r>
          </w:p>
        </w:tc>
        <w:tc>
          <w:tcPr>
            <w:tcW w:w="737" w:type="dxa"/>
            <w:shd w:val="clear" w:color="auto" w:fill="FFFFFF" w:themeFill="background1"/>
          </w:tcPr>
          <w:p w14:paraId="49BFF075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378A3CD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C5E0B3" w:themeFill="accent6" w:themeFillTint="66"/>
          </w:tcPr>
          <w:p w14:paraId="2630CD82" w14:textId="43C5344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3948CC7E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38D9D690" w14:textId="790D198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E2EFD9" w:themeFill="accent6" w:themeFillTint="33"/>
          </w:tcPr>
          <w:p w14:paraId="18093585" w14:textId="3A05D62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3456F5AD" w14:textId="4A19ECA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FFF" w:themeFill="background1"/>
          </w:tcPr>
          <w:p w14:paraId="071BB6D5" w14:textId="5F99D8C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4D41B9B5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FFF" w:themeFill="background1"/>
          </w:tcPr>
          <w:p w14:paraId="6D7E34A9" w14:textId="7777777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737" w:type="dxa"/>
            <w:shd w:val="clear" w:color="auto" w:fill="FFF2CC" w:themeFill="accent4" w:themeFillTint="33"/>
          </w:tcPr>
          <w:p w14:paraId="1DB7246B" w14:textId="1A02E28A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15FCDB70" w14:textId="7BB993F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07B24DE" w14:textId="196E1751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2F420F92" w14:textId="2F8134E6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145C335A" w14:textId="703074A3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302AB8F8" w14:textId="0DF7850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tr w:rsidR="00CD79BB" w14:paraId="25FD3F6B" w14:textId="77777777" w:rsidTr="00146A48">
        <w:tc>
          <w:tcPr>
            <w:tcW w:w="1838" w:type="dxa"/>
            <w:shd w:val="clear" w:color="auto" w:fill="F2F2F2" w:themeFill="background1" w:themeFillShade="F2"/>
          </w:tcPr>
          <w:p w14:paraId="07DB42C2" w14:textId="11AAF7D3" w:rsidR="00CD79BB" w:rsidRPr="00536E9A" w:rsidRDefault="00CD79BB" w:rsidP="00CD79BB">
            <w:pPr>
              <w:spacing w:line="240" w:lineRule="auto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536E9A">
              <w:rPr>
                <w:rFonts w:asciiTheme="minorHAnsi" w:eastAsia="Times New Roman" w:hAnsiTheme="minorHAnsi" w:cstheme="minorHAnsi"/>
                <w:sz w:val="18"/>
                <w:szCs w:val="18"/>
              </w:rPr>
              <w:t>Safety &amp; security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019CC02E" w14:textId="2B32C52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758564EC" w14:textId="55C3084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C5E0B3" w:themeFill="accent6" w:themeFillTint="66"/>
          </w:tcPr>
          <w:p w14:paraId="197DA521" w14:textId="362200E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04349784" w14:textId="1E315D70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70A56317" w14:textId="5E23735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E2EFD9" w:themeFill="accent6" w:themeFillTint="33"/>
          </w:tcPr>
          <w:p w14:paraId="13D755C8" w14:textId="4D923CE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470286D7" w14:textId="2BFDDAD2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46FBADE3" w14:textId="239D7115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DEEAF6" w:themeFill="accent5" w:themeFillTint="33"/>
          </w:tcPr>
          <w:p w14:paraId="404AB7C1" w14:textId="50017E37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0D783C3C" w14:textId="0AD7376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58AB8A75" w14:textId="7D75D1DE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47EBA157" w14:textId="2C013539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35996398" w14:textId="4563A40C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F2CC" w:themeFill="accent4" w:themeFillTint="33"/>
          </w:tcPr>
          <w:p w14:paraId="588E81A7" w14:textId="1A99401F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6E10CFC9" w14:textId="02E0CEFB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  <w:tc>
          <w:tcPr>
            <w:tcW w:w="737" w:type="dxa"/>
            <w:shd w:val="clear" w:color="auto" w:fill="FFE599" w:themeFill="accent4" w:themeFillTint="66"/>
          </w:tcPr>
          <w:p w14:paraId="16005659" w14:textId="0571332D" w:rsidR="00CD79BB" w:rsidRPr="00146A48" w:rsidRDefault="00CD79BB" w:rsidP="00CD79BB">
            <w:pPr>
              <w:spacing w:after="0"/>
              <w:jc w:val="center"/>
              <w:rPr>
                <w:sz w:val="28"/>
                <w:szCs w:val="28"/>
              </w:rPr>
            </w:pPr>
            <w:r w:rsidRPr="00146A48">
              <w:rPr>
                <w:sz w:val="28"/>
                <w:szCs w:val="28"/>
              </w:rPr>
              <w:t>x</w:t>
            </w:r>
          </w:p>
        </w:tc>
      </w:tr>
      <w:bookmarkEnd w:id="0"/>
    </w:tbl>
    <w:p w14:paraId="1EE6093C" w14:textId="77777777" w:rsidR="009C5329" w:rsidRDefault="009C5329" w:rsidP="00AB477B">
      <w:pPr>
        <w:spacing w:after="0"/>
        <w:rPr>
          <w:sz w:val="18"/>
          <w:szCs w:val="18"/>
        </w:rPr>
      </w:pPr>
    </w:p>
    <w:p w14:paraId="6C77E622" w14:textId="7A610801" w:rsidR="009D06B5" w:rsidRPr="00DE1E24" w:rsidRDefault="009D06B5" w:rsidP="009D06B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E1E24">
        <w:rPr>
          <w:rFonts w:ascii="Times New Roman" w:hAnsi="Times New Roman" w:cs="Times New Roman"/>
          <w:b/>
          <w:bCs/>
          <w:sz w:val="20"/>
          <w:szCs w:val="20"/>
        </w:rPr>
        <w:t>References</w:t>
      </w:r>
    </w:p>
    <w:p w14:paraId="3EE446C9" w14:textId="656B9D21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City of Tshwane. 2014. Tshwane Town Planning Scheme, 2008 (revised 2014). Pretoria: City of Tshwane, South Africa. </w:t>
      </w:r>
    </w:p>
    <w:p w14:paraId="22941C7A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City of Tshwane. 2018a. City of Tshwane: Regionalized Spatial Development Framework 2018: Regions 1. Pretoria: City of Tshwane, South Africa.</w:t>
      </w:r>
    </w:p>
    <w:p w14:paraId="27153E80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City of Tshwane. 2018b. City of Tshwane: Regionalized Spatial Development Framework 2018: Regions 3. Pretoria: City of Tshwane, South Africa.</w:t>
      </w:r>
    </w:p>
    <w:p w14:paraId="65255005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City of Tshwane. 2020. Review of the Open Space Framework 2020. Volumes 1–5. Pretoria, City of Tshwane, South Africa.</w:t>
      </w:r>
    </w:p>
    <w:p w14:paraId="17C519F9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Department of Human Settlements. 2019. The </w:t>
      </w:r>
      <w:proofErr w:type="spellStart"/>
      <w:r w:rsidRPr="00DE1E24">
        <w:rPr>
          <w:rFonts w:ascii="Times New Roman" w:hAnsi="Times New Roman" w:cs="Times New Roman"/>
          <w:sz w:val="20"/>
          <w:szCs w:val="20"/>
        </w:rPr>
        <w:t>Neighbourhood</w:t>
      </w:r>
      <w:proofErr w:type="spellEnd"/>
      <w:r w:rsidRPr="00DE1E24">
        <w:rPr>
          <w:rFonts w:ascii="Times New Roman" w:hAnsi="Times New Roman" w:cs="Times New Roman"/>
          <w:sz w:val="20"/>
          <w:szCs w:val="20"/>
        </w:rPr>
        <w:t xml:space="preserve"> Planning and Design Guide. Creating sustainable human settlements. Version 1.1. Pretoria: Government Printer.</w:t>
      </w:r>
    </w:p>
    <w:p w14:paraId="7F8210D6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Gauteng Province. 2014. Conservation Plan (C-PLAN v3.3). Department of Agriculture and Rural Development. Pretoria: Government Printer. </w:t>
      </w:r>
    </w:p>
    <w:p w14:paraId="3BCCE877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Gauteng Province. 2019. The Gauteng Ridges Policy, 2019. Department of Agriculture and Rural Development. Pretoria: Government Printer.</w:t>
      </w:r>
    </w:p>
    <w:p w14:paraId="3EFEE77C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Gauteng Province. 2022. Gauteng Spatial Development Framework 2030. Version 60-day Public Commenting Period 2022. Johannesburg. </w:t>
      </w:r>
    </w:p>
    <w:p w14:paraId="54035A1C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proofErr w:type="spellStart"/>
      <w:r w:rsidRPr="00DE1E24">
        <w:rPr>
          <w:rFonts w:ascii="Times New Roman" w:hAnsi="Times New Roman" w:cs="Times New Roman"/>
          <w:sz w:val="20"/>
          <w:szCs w:val="20"/>
        </w:rPr>
        <w:lastRenderedPageBreak/>
        <w:t>Isikhungusethu</w:t>
      </w:r>
      <w:proofErr w:type="spellEnd"/>
      <w:r w:rsidRPr="00DE1E24">
        <w:rPr>
          <w:rFonts w:ascii="Times New Roman" w:hAnsi="Times New Roman" w:cs="Times New Roman"/>
          <w:sz w:val="20"/>
          <w:szCs w:val="20"/>
        </w:rPr>
        <w:t xml:space="preserve"> Environmental Services, Louw, I., and Dewar, D. 2017. Draft Guidelines for the Provision of Open Space. National Department of Rural Development and Land Reform. Pretoria: Government Printer.</w:t>
      </w:r>
    </w:p>
    <w:p w14:paraId="1FA4CAC0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KH Landscape Architects. 2008. Local Open Space Framework for Atteridgeville and </w:t>
      </w:r>
      <w:proofErr w:type="spellStart"/>
      <w:r w:rsidRPr="00DE1E24">
        <w:rPr>
          <w:rFonts w:ascii="Times New Roman" w:hAnsi="Times New Roman" w:cs="Times New Roman"/>
          <w:sz w:val="20"/>
          <w:szCs w:val="20"/>
        </w:rPr>
        <w:t>Saulsville</w:t>
      </w:r>
      <w:proofErr w:type="spellEnd"/>
      <w:r w:rsidRPr="00DE1E24">
        <w:rPr>
          <w:rFonts w:ascii="Times New Roman" w:hAnsi="Times New Roman" w:cs="Times New Roman"/>
          <w:sz w:val="20"/>
          <w:szCs w:val="20"/>
        </w:rPr>
        <w:t>. City of Tshwane, Pretoria.</w:t>
      </w:r>
    </w:p>
    <w:p w14:paraId="1002F4C8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KH Landscape Architects. 2012. Local Open Space Framework for </w:t>
      </w:r>
      <w:proofErr w:type="spellStart"/>
      <w:r w:rsidRPr="00DE1E24">
        <w:rPr>
          <w:rFonts w:ascii="Times New Roman" w:hAnsi="Times New Roman" w:cs="Times New Roman"/>
          <w:sz w:val="20"/>
          <w:szCs w:val="20"/>
        </w:rPr>
        <w:t>Mabopane</w:t>
      </w:r>
      <w:proofErr w:type="spellEnd"/>
      <w:r w:rsidRPr="00DE1E24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DE1E24">
        <w:rPr>
          <w:rFonts w:ascii="Times New Roman" w:hAnsi="Times New Roman" w:cs="Times New Roman"/>
          <w:sz w:val="20"/>
          <w:szCs w:val="20"/>
        </w:rPr>
        <w:t>Winterveldt</w:t>
      </w:r>
      <w:proofErr w:type="spellEnd"/>
      <w:r w:rsidRPr="00DE1E24">
        <w:rPr>
          <w:rFonts w:ascii="Times New Roman" w:hAnsi="Times New Roman" w:cs="Times New Roman"/>
          <w:sz w:val="20"/>
          <w:szCs w:val="20"/>
        </w:rPr>
        <w:t>. City of Tshwane, Pretoria.</w:t>
      </w:r>
    </w:p>
    <w:p w14:paraId="19FD8C22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Republic of South Africa. 1998a. National Environmental Management Act 107 of 1998. Pretoria: Government Printer.</w:t>
      </w:r>
    </w:p>
    <w:p w14:paraId="6EB46617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Republic of South Africa. 2012. National Planning Commission. National Development Plan 2030 Our Future – Make it work. Pretoria: Government Printer.</w:t>
      </w:r>
    </w:p>
    <w:p w14:paraId="19BD6CB4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>Republic of South Africa. 2013. Spatial Planning and Land Use Management Act 16 of 2013. Pretoria: Government Printer.</w:t>
      </w:r>
    </w:p>
    <w:p w14:paraId="1300020C" w14:textId="77777777" w:rsidR="009B2589" w:rsidRPr="00DE1E24" w:rsidRDefault="009B2589" w:rsidP="009D06B5">
      <w:pPr>
        <w:ind w:left="360"/>
        <w:rPr>
          <w:rFonts w:ascii="Times New Roman" w:hAnsi="Times New Roman" w:cs="Times New Roman"/>
          <w:sz w:val="20"/>
          <w:szCs w:val="20"/>
        </w:rPr>
      </w:pPr>
      <w:r w:rsidRPr="00DE1E24">
        <w:rPr>
          <w:rFonts w:ascii="Times New Roman" w:hAnsi="Times New Roman" w:cs="Times New Roman"/>
          <w:sz w:val="20"/>
          <w:szCs w:val="20"/>
        </w:rPr>
        <w:t xml:space="preserve">Van Niekerk, C.W., Pieterse, A. and Le Roux, A. 2020. Introducing the Green Book: A practical planning tool for adapting South African settlements to climate change. </w:t>
      </w:r>
      <w:r w:rsidRPr="00DE1E24">
        <w:rPr>
          <w:rFonts w:ascii="Times New Roman" w:hAnsi="Times New Roman" w:cs="Times New Roman"/>
          <w:i/>
          <w:iCs/>
          <w:sz w:val="20"/>
          <w:szCs w:val="20"/>
        </w:rPr>
        <w:t>Town and Regional Planning</w:t>
      </w:r>
      <w:r w:rsidRPr="00DE1E24">
        <w:rPr>
          <w:rFonts w:ascii="Times New Roman" w:hAnsi="Times New Roman" w:cs="Times New Roman"/>
          <w:sz w:val="20"/>
          <w:szCs w:val="20"/>
        </w:rPr>
        <w:t xml:space="preserve">, 77. Retrieved from </w:t>
      </w:r>
      <w:hyperlink r:id="rId8" w:history="1">
        <w:r w:rsidRPr="00DE1E24">
          <w:rPr>
            <w:rStyle w:val="Hyperlink"/>
            <w:rFonts w:ascii="Times New Roman" w:hAnsi="Times New Roman" w:cs="Times New Roman"/>
            <w:color w:val="auto"/>
            <w:sz w:val="20"/>
            <w:szCs w:val="20"/>
          </w:rPr>
          <w:t>http://hdl.handle.net/10204/11771</w:t>
        </w:r>
      </w:hyperlink>
    </w:p>
    <w:p w14:paraId="3741CFB2" w14:textId="77777777" w:rsidR="009B2589" w:rsidRPr="00DE1E24" w:rsidRDefault="009B2589" w:rsidP="00484A5B">
      <w:pPr>
        <w:spacing w:after="0"/>
        <w:rPr>
          <w:rFonts w:ascii="Times New Roman" w:hAnsi="Times New Roman" w:cs="Times New Roman"/>
          <w:sz w:val="20"/>
          <w:szCs w:val="20"/>
        </w:rPr>
      </w:pPr>
    </w:p>
    <w:sectPr w:rsidR="009B2589" w:rsidRPr="00DE1E24" w:rsidSect="005A133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A166B" w14:textId="77777777" w:rsidR="00B56894" w:rsidRDefault="00B56894" w:rsidP="00545215">
      <w:pPr>
        <w:spacing w:after="0" w:line="240" w:lineRule="auto"/>
      </w:pPr>
      <w:r>
        <w:separator/>
      </w:r>
    </w:p>
  </w:endnote>
  <w:endnote w:type="continuationSeparator" w:id="0">
    <w:p w14:paraId="647F4C2A" w14:textId="77777777" w:rsidR="00B56894" w:rsidRDefault="00B56894" w:rsidP="00545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50555" w14:textId="77777777" w:rsidR="00B56894" w:rsidRDefault="00B56894" w:rsidP="00545215">
      <w:pPr>
        <w:spacing w:after="0" w:line="240" w:lineRule="auto"/>
      </w:pPr>
      <w:r>
        <w:separator/>
      </w:r>
    </w:p>
  </w:footnote>
  <w:footnote w:type="continuationSeparator" w:id="0">
    <w:p w14:paraId="39B0013C" w14:textId="77777777" w:rsidR="00B56894" w:rsidRDefault="00B56894" w:rsidP="005452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7C4DDD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A94995"/>
    <w:multiLevelType w:val="multilevel"/>
    <w:tmpl w:val="648257F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2408BF"/>
    <w:multiLevelType w:val="hybridMultilevel"/>
    <w:tmpl w:val="52563F60"/>
    <w:lvl w:ilvl="0" w:tplc="FC3C195C">
      <w:start w:val="1"/>
      <w:numFmt w:val="upperLetter"/>
      <w:lvlText w:val="%1)"/>
      <w:lvlJc w:val="left"/>
      <w:pPr>
        <w:ind w:left="475" w:hanging="360"/>
      </w:pPr>
      <w:rPr>
        <w:rFonts w:ascii="Times New Roman" w:eastAsia="Times New Roman" w:hAnsi="Times New Roman" w:cs="Times New Roman" w:hint="default"/>
        <w:b w:val="0"/>
        <w:color w:val="000000"/>
        <w:sz w:val="20"/>
      </w:rPr>
    </w:lvl>
    <w:lvl w:ilvl="1" w:tplc="1C090019" w:tentative="1">
      <w:start w:val="1"/>
      <w:numFmt w:val="lowerLetter"/>
      <w:lvlText w:val="%2."/>
      <w:lvlJc w:val="left"/>
      <w:pPr>
        <w:ind w:left="1195" w:hanging="360"/>
      </w:pPr>
    </w:lvl>
    <w:lvl w:ilvl="2" w:tplc="1C09001B" w:tentative="1">
      <w:start w:val="1"/>
      <w:numFmt w:val="lowerRoman"/>
      <w:lvlText w:val="%3."/>
      <w:lvlJc w:val="right"/>
      <w:pPr>
        <w:ind w:left="1915" w:hanging="180"/>
      </w:pPr>
    </w:lvl>
    <w:lvl w:ilvl="3" w:tplc="1C09000F" w:tentative="1">
      <w:start w:val="1"/>
      <w:numFmt w:val="decimal"/>
      <w:lvlText w:val="%4."/>
      <w:lvlJc w:val="left"/>
      <w:pPr>
        <w:ind w:left="2635" w:hanging="360"/>
      </w:pPr>
    </w:lvl>
    <w:lvl w:ilvl="4" w:tplc="1C090019" w:tentative="1">
      <w:start w:val="1"/>
      <w:numFmt w:val="lowerLetter"/>
      <w:lvlText w:val="%5."/>
      <w:lvlJc w:val="left"/>
      <w:pPr>
        <w:ind w:left="3355" w:hanging="360"/>
      </w:pPr>
    </w:lvl>
    <w:lvl w:ilvl="5" w:tplc="1C09001B" w:tentative="1">
      <w:start w:val="1"/>
      <w:numFmt w:val="lowerRoman"/>
      <w:lvlText w:val="%6."/>
      <w:lvlJc w:val="right"/>
      <w:pPr>
        <w:ind w:left="4075" w:hanging="180"/>
      </w:pPr>
    </w:lvl>
    <w:lvl w:ilvl="6" w:tplc="1C09000F" w:tentative="1">
      <w:start w:val="1"/>
      <w:numFmt w:val="decimal"/>
      <w:lvlText w:val="%7."/>
      <w:lvlJc w:val="left"/>
      <w:pPr>
        <w:ind w:left="4795" w:hanging="360"/>
      </w:pPr>
    </w:lvl>
    <w:lvl w:ilvl="7" w:tplc="1C090019" w:tentative="1">
      <w:start w:val="1"/>
      <w:numFmt w:val="lowerLetter"/>
      <w:lvlText w:val="%8."/>
      <w:lvlJc w:val="left"/>
      <w:pPr>
        <w:ind w:left="5515" w:hanging="360"/>
      </w:pPr>
    </w:lvl>
    <w:lvl w:ilvl="8" w:tplc="1C09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3" w15:restartNumberingAfterBreak="0">
    <w:nsid w:val="0FCB15D1"/>
    <w:multiLevelType w:val="multilevel"/>
    <w:tmpl w:val="0246B08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51919DC"/>
    <w:multiLevelType w:val="hybridMultilevel"/>
    <w:tmpl w:val="2B9C835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681EDB"/>
    <w:multiLevelType w:val="hybridMultilevel"/>
    <w:tmpl w:val="6ED66212"/>
    <w:lvl w:ilvl="0" w:tplc="FFFFFFFF">
      <w:start w:val="1"/>
      <w:numFmt w:val="decimal"/>
      <w:lvlText w:val="%1."/>
      <w:lvlJc w:val="left"/>
      <w:pPr>
        <w:ind w:left="833" w:hanging="360"/>
      </w:pPr>
    </w:lvl>
    <w:lvl w:ilvl="1" w:tplc="FFFFFFFF" w:tentative="1">
      <w:start w:val="1"/>
      <w:numFmt w:val="lowerLetter"/>
      <w:lvlText w:val="%2."/>
      <w:lvlJc w:val="left"/>
      <w:pPr>
        <w:ind w:left="1553" w:hanging="360"/>
      </w:pPr>
    </w:lvl>
    <w:lvl w:ilvl="2" w:tplc="FFFFFFFF" w:tentative="1">
      <w:start w:val="1"/>
      <w:numFmt w:val="lowerRoman"/>
      <w:lvlText w:val="%3."/>
      <w:lvlJc w:val="right"/>
      <w:pPr>
        <w:ind w:left="2273" w:hanging="180"/>
      </w:pPr>
    </w:lvl>
    <w:lvl w:ilvl="3" w:tplc="FFFFFFFF" w:tentative="1">
      <w:start w:val="1"/>
      <w:numFmt w:val="decimal"/>
      <w:lvlText w:val="%4."/>
      <w:lvlJc w:val="left"/>
      <w:pPr>
        <w:ind w:left="2993" w:hanging="360"/>
      </w:pPr>
    </w:lvl>
    <w:lvl w:ilvl="4" w:tplc="FFFFFFFF" w:tentative="1">
      <w:start w:val="1"/>
      <w:numFmt w:val="lowerLetter"/>
      <w:lvlText w:val="%5."/>
      <w:lvlJc w:val="left"/>
      <w:pPr>
        <w:ind w:left="3713" w:hanging="360"/>
      </w:pPr>
    </w:lvl>
    <w:lvl w:ilvl="5" w:tplc="FFFFFFFF" w:tentative="1">
      <w:start w:val="1"/>
      <w:numFmt w:val="lowerRoman"/>
      <w:lvlText w:val="%6."/>
      <w:lvlJc w:val="right"/>
      <w:pPr>
        <w:ind w:left="4433" w:hanging="180"/>
      </w:pPr>
    </w:lvl>
    <w:lvl w:ilvl="6" w:tplc="FFFFFFFF" w:tentative="1">
      <w:start w:val="1"/>
      <w:numFmt w:val="decimal"/>
      <w:lvlText w:val="%7."/>
      <w:lvlJc w:val="left"/>
      <w:pPr>
        <w:ind w:left="5153" w:hanging="360"/>
      </w:pPr>
    </w:lvl>
    <w:lvl w:ilvl="7" w:tplc="FFFFFFFF" w:tentative="1">
      <w:start w:val="1"/>
      <w:numFmt w:val="lowerLetter"/>
      <w:lvlText w:val="%8."/>
      <w:lvlJc w:val="left"/>
      <w:pPr>
        <w:ind w:left="5873" w:hanging="360"/>
      </w:pPr>
    </w:lvl>
    <w:lvl w:ilvl="8" w:tplc="FFFFFFFF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6" w15:restartNumberingAfterBreak="0">
    <w:nsid w:val="47750585"/>
    <w:multiLevelType w:val="hybridMultilevel"/>
    <w:tmpl w:val="AA5AF186"/>
    <w:lvl w:ilvl="0" w:tplc="99ACE6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CE5203"/>
    <w:multiLevelType w:val="hybridMultilevel"/>
    <w:tmpl w:val="47981CF6"/>
    <w:lvl w:ilvl="0" w:tplc="EB22F958">
      <w:start w:val="18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3526EB"/>
    <w:multiLevelType w:val="multilevel"/>
    <w:tmpl w:val="BDAE533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4B82094E"/>
    <w:multiLevelType w:val="hybridMultilevel"/>
    <w:tmpl w:val="4C76B87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5A2E87"/>
    <w:multiLevelType w:val="hybridMultilevel"/>
    <w:tmpl w:val="73B8CAB8"/>
    <w:lvl w:ilvl="0" w:tplc="76D2C516">
      <w:start w:val="18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C01776"/>
    <w:multiLevelType w:val="hybridMultilevel"/>
    <w:tmpl w:val="6ED66212"/>
    <w:lvl w:ilvl="0" w:tplc="1C09000F">
      <w:start w:val="1"/>
      <w:numFmt w:val="decimal"/>
      <w:lvlText w:val="%1."/>
      <w:lvlJc w:val="left"/>
      <w:pPr>
        <w:ind w:left="833" w:hanging="360"/>
      </w:pPr>
    </w:lvl>
    <w:lvl w:ilvl="1" w:tplc="1C090019" w:tentative="1">
      <w:start w:val="1"/>
      <w:numFmt w:val="lowerLetter"/>
      <w:lvlText w:val="%2."/>
      <w:lvlJc w:val="left"/>
      <w:pPr>
        <w:ind w:left="1553" w:hanging="360"/>
      </w:pPr>
    </w:lvl>
    <w:lvl w:ilvl="2" w:tplc="1C09001B" w:tentative="1">
      <w:start w:val="1"/>
      <w:numFmt w:val="lowerRoman"/>
      <w:lvlText w:val="%3."/>
      <w:lvlJc w:val="right"/>
      <w:pPr>
        <w:ind w:left="2273" w:hanging="180"/>
      </w:pPr>
    </w:lvl>
    <w:lvl w:ilvl="3" w:tplc="1C09000F" w:tentative="1">
      <w:start w:val="1"/>
      <w:numFmt w:val="decimal"/>
      <w:lvlText w:val="%4."/>
      <w:lvlJc w:val="left"/>
      <w:pPr>
        <w:ind w:left="2993" w:hanging="360"/>
      </w:pPr>
    </w:lvl>
    <w:lvl w:ilvl="4" w:tplc="1C090019" w:tentative="1">
      <w:start w:val="1"/>
      <w:numFmt w:val="lowerLetter"/>
      <w:lvlText w:val="%5."/>
      <w:lvlJc w:val="left"/>
      <w:pPr>
        <w:ind w:left="3713" w:hanging="360"/>
      </w:pPr>
    </w:lvl>
    <w:lvl w:ilvl="5" w:tplc="1C09001B" w:tentative="1">
      <w:start w:val="1"/>
      <w:numFmt w:val="lowerRoman"/>
      <w:lvlText w:val="%6."/>
      <w:lvlJc w:val="right"/>
      <w:pPr>
        <w:ind w:left="4433" w:hanging="180"/>
      </w:pPr>
    </w:lvl>
    <w:lvl w:ilvl="6" w:tplc="1C09000F" w:tentative="1">
      <w:start w:val="1"/>
      <w:numFmt w:val="decimal"/>
      <w:lvlText w:val="%7."/>
      <w:lvlJc w:val="left"/>
      <w:pPr>
        <w:ind w:left="5153" w:hanging="360"/>
      </w:pPr>
    </w:lvl>
    <w:lvl w:ilvl="7" w:tplc="1C090019" w:tentative="1">
      <w:start w:val="1"/>
      <w:numFmt w:val="lowerLetter"/>
      <w:lvlText w:val="%8."/>
      <w:lvlJc w:val="left"/>
      <w:pPr>
        <w:ind w:left="5873" w:hanging="360"/>
      </w:pPr>
    </w:lvl>
    <w:lvl w:ilvl="8" w:tplc="1C09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12" w15:restartNumberingAfterBreak="0">
    <w:nsid w:val="5FA57C38"/>
    <w:multiLevelType w:val="hybridMultilevel"/>
    <w:tmpl w:val="988A643A"/>
    <w:lvl w:ilvl="0" w:tplc="1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1D0565"/>
    <w:multiLevelType w:val="hybridMultilevel"/>
    <w:tmpl w:val="734A5EA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3D87B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6D065DE1"/>
    <w:multiLevelType w:val="hybridMultilevel"/>
    <w:tmpl w:val="9AA8AEBE"/>
    <w:lvl w:ilvl="0" w:tplc="F00A4D9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6446569">
    <w:abstractNumId w:val="1"/>
  </w:num>
  <w:num w:numId="2" w16cid:durableId="1530607774">
    <w:abstractNumId w:val="2"/>
  </w:num>
  <w:num w:numId="3" w16cid:durableId="1487740328">
    <w:abstractNumId w:val="15"/>
  </w:num>
  <w:num w:numId="4" w16cid:durableId="2130468871">
    <w:abstractNumId w:val="10"/>
  </w:num>
  <w:num w:numId="5" w16cid:durableId="1432361264">
    <w:abstractNumId w:val="7"/>
  </w:num>
  <w:num w:numId="6" w16cid:durableId="2131048498">
    <w:abstractNumId w:val="0"/>
  </w:num>
  <w:num w:numId="7" w16cid:durableId="1580753406">
    <w:abstractNumId w:val="14"/>
  </w:num>
  <w:num w:numId="8" w16cid:durableId="863985625">
    <w:abstractNumId w:val="6"/>
  </w:num>
  <w:num w:numId="9" w16cid:durableId="1833137084">
    <w:abstractNumId w:val="13"/>
  </w:num>
  <w:num w:numId="10" w16cid:durableId="340395665">
    <w:abstractNumId w:val="4"/>
  </w:num>
  <w:num w:numId="11" w16cid:durableId="2025083973">
    <w:abstractNumId w:val="3"/>
  </w:num>
  <w:num w:numId="12" w16cid:durableId="660472696">
    <w:abstractNumId w:val="8"/>
  </w:num>
  <w:num w:numId="13" w16cid:durableId="1085687186">
    <w:abstractNumId w:val="12"/>
  </w:num>
  <w:num w:numId="14" w16cid:durableId="1918978384">
    <w:abstractNumId w:val="11"/>
  </w:num>
  <w:num w:numId="15" w16cid:durableId="1908883771">
    <w:abstractNumId w:val="5"/>
  </w:num>
  <w:num w:numId="16" w16cid:durableId="675046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14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Q2MTczMjA0NzSzNDBQ0lEKTi0uzszPAykwNKgFADhqJ14tAAAA"/>
  </w:docVars>
  <w:rsids>
    <w:rsidRoot w:val="00D66CCE"/>
    <w:rsid w:val="00051F38"/>
    <w:rsid w:val="000A2707"/>
    <w:rsid w:val="000C5805"/>
    <w:rsid w:val="00146A48"/>
    <w:rsid w:val="0019379A"/>
    <w:rsid w:val="001C07CB"/>
    <w:rsid w:val="00220ECE"/>
    <w:rsid w:val="0022591B"/>
    <w:rsid w:val="002333FF"/>
    <w:rsid w:val="00236584"/>
    <w:rsid w:val="002B7BA9"/>
    <w:rsid w:val="002C1E16"/>
    <w:rsid w:val="002E380D"/>
    <w:rsid w:val="003044FC"/>
    <w:rsid w:val="00314196"/>
    <w:rsid w:val="00340450"/>
    <w:rsid w:val="003B3B1F"/>
    <w:rsid w:val="00414307"/>
    <w:rsid w:val="0042007A"/>
    <w:rsid w:val="00460902"/>
    <w:rsid w:val="00482D97"/>
    <w:rsid w:val="00484A5B"/>
    <w:rsid w:val="004B787A"/>
    <w:rsid w:val="004F21B6"/>
    <w:rsid w:val="00545215"/>
    <w:rsid w:val="00576198"/>
    <w:rsid w:val="005A133B"/>
    <w:rsid w:val="005B7437"/>
    <w:rsid w:val="005C099E"/>
    <w:rsid w:val="005C2084"/>
    <w:rsid w:val="005F4232"/>
    <w:rsid w:val="006475D4"/>
    <w:rsid w:val="00651407"/>
    <w:rsid w:val="0073492C"/>
    <w:rsid w:val="0073687F"/>
    <w:rsid w:val="00760721"/>
    <w:rsid w:val="0076548F"/>
    <w:rsid w:val="007F6ACD"/>
    <w:rsid w:val="00801877"/>
    <w:rsid w:val="0081169F"/>
    <w:rsid w:val="008412AD"/>
    <w:rsid w:val="00863EB8"/>
    <w:rsid w:val="00874825"/>
    <w:rsid w:val="008865A0"/>
    <w:rsid w:val="008C58A4"/>
    <w:rsid w:val="009404DC"/>
    <w:rsid w:val="00995658"/>
    <w:rsid w:val="009B2589"/>
    <w:rsid w:val="009C5329"/>
    <w:rsid w:val="009D06B5"/>
    <w:rsid w:val="00A05799"/>
    <w:rsid w:val="00A13161"/>
    <w:rsid w:val="00A47DDD"/>
    <w:rsid w:val="00A92A9A"/>
    <w:rsid w:val="00AB477B"/>
    <w:rsid w:val="00AC0BC0"/>
    <w:rsid w:val="00AC5EDC"/>
    <w:rsid w:val="00AD270C"/>
    <w:rsid w:val="00B039B2"/>
    <w:rsid w:val="00B356EA"/>
    <w:rsid w:val="00B56894"/>
    <w:rsid w:val="00B915E3"/>
    <w:rsid w:val="00BA32E3"/>
    <w:rsid w:val="00BE598E"/>
    <w:rsid w:val="00C35F49"/>
    <w:rsid w:val="00C67004"/>
    <w:rsid w:val="00C90CE5"/>
    <w:rsid w:val="00CB6D42"/>
    <w:rsid w:val="00CD79BB"/>
    <w:rsid w:val="00D17ADF"/>
    <w:rsid w:val="00D46425"/>
    <w:rsid w:val="00D64AD7"/>
    <w:rsid w:val="00D66CCE"/>
    <w:rsid w:val="00D8653A"/>
    <w:rsid w:val="00DE1E24"/>
    <w:rsid w:val="00DE47DD"/>
    <w:rsid w:val="00DE65C2"/>
    <w:rsid w:val="00E01464"/>
    <w:rsid w:val="00E412AC"/>
    <w:rsid w:val="00E75F48"/>
    <w:rsid w:val="00EA0143"/>
    <w:rsid w:val="00EB5883"/>
    <w:rsid w:val="00EC2AE6"/>
    <w:rsid w:val="00EF0630"/>
    <w:rsid w:val="00EF0A29"/>
    <w:rsid w:val="00EF20DC"/>
    <w:rsid w:val="00F66BC5"/>
    <w:rsid w:val="00F97014"/>
    <w:rsid w:val="00FD5275"/>
    <w:rsid w:val="00FD6F9F"/>
    <w:rsid w:val="00FE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2A01CC3"/>
  <w15:chartTrackingRefBased/>
  <w15:docId w15:val="{7A7D1CAE-4838-4C50-8847-F615A905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6CCE"/>
    <w:pPr>
      <w:spacing w:after="200" w:line="276" w:lineRule="auto"/>
    </w:pPr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6CCE"/>
    <w:pPr>
      <w:spacing w:after="160" w:line="259" w:lineRule="auto"/>
      <w:ind w:left="720"/>
      <w:contextualSpacing/>
    </w:pPr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D66C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66CC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66CCE"/>
    <w:rPr>
      <w:rFonts w:ascii="Calibri" w:eastAsia="Calibri" w:hAnsi="Calibri" w:cs="Calibri"/>
      <w:sz w:val="20"/>
      <w:szCs w:val="20"/>
      <w:lang w:val="en-US" w:eastAsia="en-ZA"/>
    </w:rPr>
  </w:style>
  <w:style w:type="table" w:customStyle="1" w:styleId="1">
    <w:name w:val="1"/>
    <w:basedOn w:val="TableNormal"/>
    <w:rsid w:val="00D66CCE"/>
    <w:pPr>
      <w:spacing w:after="0" w:line="240" w:lineRule="auto"/>
    </w:pPr>
    <w:rPr>
      <w:rFonts w:ascii="Arial" w:eastAsia="Arial" w:hAnsi="Arial" w:cs="Arial"/>
      <w:lang w:val="en-US" w:eastAsia="en-ZA"/>
    </w:rPr>
    <w:tblPr>
      <w:tblStyleRowBandSize w:val="1"/>
      <w:tblStyleColBandSize w:val="1"/>
    </w:tblPr>
  </w:style>
  <w:style w:type="table" w:styleId="TableGrid">
    <w:name w:val="Table Grid"/>
    <w:basedOn w:val="TableNormal"/>
    <w:uiPriority w:val="39"/>
    <w:rsid w:val="003404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76198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92A9A"/>
    <w:pPr>
      <w:spacing w:line="240" w:lineRule="atLeast"/>
    </w:pPr>
    <w:rPr>
      <w:rFonts w:ascii="Arial" w:hAnsi="Arial" w:cs="Arial"/>
      <w:color w:val="auto"/>
    </w:rPr>
  </w:style>
  <w:style w:type="character" w:customStyle="1" w:styleId="A1">
    <w:name w:val="A1"/>
    <w:uiPriority w:val="99"/>
    <w:rsid w:val="00A92A9A"/>
    <w:rPr>
      <w:color w:val="000000"/>
      <w:sz w:val="32"/>
      <w:szCs w:val="32"/>
    </w:rPr>
  </w:style>
  <w:style w:type="paragraph" w:customStyle="1" w:styleId="Pa1">
    <w:name w:val="Pa1"/>
    <w:basedOn w:val="Default"/>
    <w:next w:val="Default"/>
    <w:uiPriority w:val="99"/>
    <w:rsid w:val="00A92A9A"/>
    <w:pPr>
      <w:spacing w:line="240" w:lineRule="atLeast"/>
    </w:pPr>
    <w:rPr>
      <w:rFonts w:ascii="Arial" w:hAnsi="Arial" w:cs="Arial"/>
      <w:color w:val="auto"/>
    </w:rPr>
  </w:style>
  <w:style w:type="character" w:customStyle="1" w:styleId="A2">
    <w:name w:val="A2"/>
    <w:uiPriority w:val="99"/>
    <w:rsid w:val="00A92A9A"/>
    <w:rPr>
      <w:color w:val="000000"/>
      <w:sz w:val="34"/>
      <w:szCs w:val="34"/>
    </w:rPr>
  </w:style>
  <w:style w:type="character" w:customStyle="1" w:styleId="A3">
    <w:name w:val="A3"/>
    <w:uiPriority w:val="99"/>
    <w:rsid w:val="00A92A9A"/>
    <w:rPr>
      <w:color w:val="000000"/>
      <w:sz w:val="28"/>
      <w:szCs w:val="28"/>
    </w:rPr>
  </w:style>
  <w:style w:type="paragraph" w:customStyle="1" w:styleId="Pa4">
    <w:name w:val="Pa4"/>
    <w:basedOn w:val="Default"/>
    <w:next w:val="Default"/>
    <w:uiPriority w:val="99"/>
    <w:rsid w:val="00A92A9A"/>
    <w:pPr>
      <w:spacing w:line="240" w:lineRule="atLeast"/>
    </w:pPr>
    <w:rPr>
      <w:rFonts w:ascii="Arial" w:hAnsi="Arial" w:cs="Arial"/>
      <w:color w:val="auto"/>
    </w:rPr>
  </w:style>
  <w:style w:type="character" w:customStyle="1" w:styleId="A5">
    <w:name w:val="A5"/>
    <w:uiPriority w:val="99"/>
    <w:rsid w:val="00A92A9A"/>
    <w:rPr>
      <w:color w:val="000000"/>
    </w:rPr>
  </w:style>
  <w:style w:type="paragraph" w:customStyle="1" w:styleId="Pa7">
    <w:name w:val="Pa7"/>
    <w:basedOn w:val="Default"/>
    <w:next w:val="Default"/>
    <w:uiPriority w:val="99"/>
    <w:rsid w:val="00A92A9A"/>
    <w:pPr>
      <w:spacing w:line="240" w:lineRule="atLeast"/>
    </w:pPr>
    <w:rPr>
      <w:rFonts w:ascii="Arial" w:hAnsi="Arial" w:cs="Arial"/>
      <w:color w:val="auto"/>
    </w:rPr>
  </w:style>
  <w:style w:type="character" w:styleId="Strong">
    <w:name w:val="Strong"/>
    <w:basedOn w:val="DefaultParagraphFont"/>
    <w:uiPriority w:val="22"/>
    <w:qFormat/>
    <w:rsid w:val="00051F38"/>
    <w:rPr>
      <w:b/>
      <w:bCs/>
    </w:rPr>
  </w:style>
  <w:style w:type="table" w:customStyle="1" w:styleId="10">
    <w:name w:val="10"/>
    <w:basedOn w:val="TableNormal"/>
    <w:rsid w:val="002E380D"/>
    <w:pPr>
      <w:spacing w:line="276" w:lineRule="auto"/>
      <w:jc w:val="both"/>
    </w:pPr>
    <w:rPr>
      <w:rFonts w:ascii="Arial" w:eastAsia="Arial" w:hAnsi="Arial" w:cs="Arial"/>
      <w:lang w:eastAsia="en-Z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2E380D"/>
    <w:pPr>
      <w:spacing w:line="240" w:lineRule="auto"/>
      <w:jc w:val="both"/>
    </w:pPr>
    <w:rPr>
      <w:rFonts w:ascii="Arial" w:eastAsia="Arial" w:hAnsi="Arial" w:cs="Arial"/>
      <w:i/>
      <w:iCs/>
      <w:color w:val="44546A" w:themeColor="text2"/>
      <w:sz w:val="18"/>
      <w:szCs w:val="18"/>
      <w:lang w:val="en-ZA"/>
    </w:rPr>
  </w:style>
  <w:style w:type="paragraph" w:styleId="Header">
    <w:name w:val="header"/>
    <w:basedOn w:val="Normal"/>
    <w:link w:val="HeaderChar"/>
    <w:uiPriority w:val="99"/>
    <w:unhideWhenUsed/>
    <w:rsid w:val="005452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5215"/>
    <w:rPr>
      <w:rFonts w:ascii="Calibri" w:eastAsia="Calibri" w:hAnsi="Calibri" w:cs="Calibri"/>
      <w:lang w:val="en-US" w:eastAsia="en-ZA"/>
    </w:rPr>
  </w:style>
  <w:style w:type="paragraph" w:styleId="Footer">
    <w:name w:val="footer"/>
    <w:basedOn w:val="Normal"/>
    <w:link w:val="FooterChar"/>
    <w:uiPriority w:val="99"/>
    <w:unhideWhenUsed/>
    <w:rsid w:val="005452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5215"/>
    <w:rPr>
      <w:rFonts w:ascii="Calibri" w:eastAsia="Calibri" w:hAnsi="Calibri" w:cs="Calibri"/>
      <w:lang w:val="en-US" w:eastAsia="en-ZA"/>
    </w:rPr>
  </w:style>
  <w:style w:type="character" w:styleId="Hyperlink">
    <w:name w:val="Hyperlink"/>
    <w:basedOn w:val="DefaultParagraphFont"/>
    <w:uiPriority w:val="99"/>
    <w:unhideWhenUsed/>
    <w:rsid w:val="009B25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dl.handle.net/10204/1177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C31F0-27FD-4C2C-9134-E18497550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666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CA Breed</dc:creator>
  <cp:keywords/>
  <dc:description/>
  <cp:lastModifiedBy>Dr. CA Breed</cp:lastModifiedBy>
  <cp:revision>8</cp:revision>
  <cp:lastPrinted>2023-02-22T13:49:00Z</cp:lastPrinted>
  <dcterms:created xsi:type="dcterms:W3CDTF">2023-03-02T19:25:00Z</dcterms:created>
  <dcterms:modified xsi:type="dcterms:W3CDTF">2023-03-06T10:25:00Z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f68b8e188098f4b17b4de4924a335b079f115bf5be3d6ff25ca939e580af5e43</vt:lpwstr>
  </property>
</Properties>
</file>