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753054">
      <w:pPr>
        <w:ind w:firstLine="960" w:firstLineChars="3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护士视角下道德困扰的特征:一项综合综述</w:t>
      </w:r>
    </w:p>
    <w:p w14:paraId="664DDE9A">
      <w:pPr>
        <w:spacing w:line="360" w:lineRule="auto"/>
        <w:ind w:firstLine="420" w:firstLineChars="200"/>
        <w:rPr>
          <w:rFonts w:ascii="Times New Roman" w:hAnsi="Times New Roman" w:eastAsia="Yu Mincho" w:cs="Times New Roman"/>
          <w:bCs/>
          <w:color w:val="000000"/>
          <w:vertAlign w:val="superscript"/>
          <w:lang w:val="en-US"/>
        </w:rPr>
      </w:pPr>
      <w:bookmarkStart w:id="0" w:name="OLE_LINK1"/>
      <w:r>
        <w:rPr>
          <w:rFonts w:ascii="Times New Roman" w:hAnsi="Times New Roman" w:eastAsia="Yu Mincho" w:cs="Times New Roman"/>
          <w:bCs/>
          <w:color w:val="000000"/>
          <w:lang w:val="en-US"/>
        </w:rPr>
        <w:t>Mohannad Aljabery,</w:t>
      </w:r>
      <w:r>
        <w:rPr>
          <w:rFonts w:hint="eastAsia" w:ascii="Times New Roman" w:hAnsi="Times New Roman" w:eastAsia="宋体" w:cs="Times New Roman"/>
          <w:bCs/>
          <w:color w:val="000000"/>
          <w:lang w:val="en-US" w:eastAsia="zh-CN"/>
        </w:rPr>
        <w:t xml:space="preserve"> </w:t>
      </w:r>
      <w:r>
        <w:rPr>
          <w:rFonts w:ascii="Times New Roman" w:hAnsi="Times New Roman" w:eastAsia="Yu Mincho" w:cs="Times New Roman"/>
          <w:bCs/>
          <w:color w:val="000000"/>
          <w:lang w:val="en-US"/>
        </w:rPr>
        <w:t>Isabel Coetzee-Prinsloo, Annatjie van der Wath, Nathira Al-Hmaimat</w:t>
      </w:r>
    </w:p>
    <w:bookmarkEnd w:id="0"/>
    <w:p w14:paraId="5557996E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【</w:t>
      </w:r>
      <w:r>
        <w:rPr>
          <w:rFonts w:hint="eastAsia"/>
          <w:lang w:val="en-US" w:eastAsia="zh-CN"/>
        </w:rPr>
        <w:t>摘要</w:t>
      </w:r>
      <w:r>
        <w:rPr>
          <w:rFonts w:hint="eastAsia"/>
          <w:lang w:eastAsia="zh-CN"/>
        </w:rPr>
        <w:t>】</w:t>
      </w:r>
    </w:p>
    <w:p w14:paraId="66428D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eastAsia="zh-CN"/>
        </w:rPr>
      </w:pPr>
      <w:r>
        <w:rPr>
          <w:rFonts w:hint="eastAsia"/>
          <w:b/>
          <w:bCs/>
          <w:lang w:eastAsia="zh-CN"/>
        </w:rPr>
        <w:t>目的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  <w:lang w:eastAsia="zh-CN"/>
        </w:rPr>
        <w:t>旨在通过</w:t>
      </w:r>
      <w:r>
        <w:rPr>
          <w:rFonts w:hint="eastAsia"/>
          <w:lang w:val="en-US" w:eastAsia="zh-CN"/>
        </w:rPr>
        <w:t>分析</w:t>
      </w:r>
      <w:r>
        <w:rPr>
          <w:rFonts w:hint="eastAsia"/>
          <w:lang w:eastAsia="zh-CN"/>
        </w:rPr>
        <w:t>文献中护士的观点，识别护理中道德困扰的共同特征，并将其与其他类型的困扰区分开。这些见解将有助于更新现有工具并创建新的工具，以更好地捕捉道德困境，指导</w:t>
      </w:r>
      <w:r>
        <w:rPr>
          <w:rFonts w:hint="eastAsia"/>
          <w:lang w:val="en-US" w:eastAsia="zh-CN"/>
        </w:rPr>
        <w:t>制订</w:t>
      </w:r>
      <w:r>
        <w:rPr>
          <w:rFonts w:hint="eastAsia"/>
          <w:lang w:eastAsia="zh-CN"/>
        </w:rPr>
        <w:t>和实施支持护士应对这一挑战的战略。</w:t>
      </w:r>
    </w:p>
    <w:p w14:paraId="740F0F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eastAsia"/>
          <w:b/>
          <w:bCs/>
          <w:lang w:eastAsia="zh-CN"/>
        </w:rPr>
        <w:t>方法</w:t>
      </w:r>
      <w:r>
        <w:rPr>
          <w:rFonts w:hint="eastAsia"/>
          <w:lang w:val="en-US" w:eastAsia="zh-CN"/>
        </w:rPr>
        <w:t xml:space="preserve"> 采用</w:t>
      </w:r>
      <w:r>
        <w:rPr>
          <w:rFonts w:hint="eastAsia"/>
          <w:lang w:eastAsia="zh-CN"/>
        </w:rPr>
        <w:t>Whittemore和Knafl</w:t>
      </w:r>
      <w:r>
        <w:rPr>
          <w:rFonts w:hint="eastAsia"/>
          <w:lang w:val="en-US" w:eastAsia="zh-CN"/>
        </w:rPr>
        <w:t>提出的整合性综述方法框架，在</w:t>
      </w:r>
      <w:r>
        <w:rPr>
          <w:rFonts w:hint="eastAsia"/>
          <w:lang w:eastAsia="zh-CN"/>
        </w:rPr>
        <w:t>EBSCO</w:t>
      </w:r>
      <w:r>
        <w:rPr>
          <w:rFonts w:hint="eastAsia"/>
          <w:lang w:val="en-US" w:eastAsia="zh-CN"/>
        </w:rPr>
        <w:t xml:space="preserve"> Mdeline</w:t>
      </w:r>
      <w:bookmarkStart w:id="2" w:name="_GoBack"/>
      <w:bookmarkEnd w:id="2"/>
      <w:r>
        <w:rPr>
          <w:rFonts w:hint="eastAsia"/>
          <w:lang w:eastAsia="zh-CN"/>
        </w:rPr>
        <w:t>、CINAHL和PubMed</w:t>
      </w:r>
      <w:r>
        <w:rPr>
          <w:rFonts w:hint="eastAsia"/>
          <w:lang w:val="en-US" w:eastAsia="zh-CN"/>
        </w:rPr>
        <w:t>数据库中进行检索，并</w:t>
      </w:r>
      <w:r>
        <w:rPr>
          <w:rFonts w:hint="eastAsia"/>
          <w:lang w:eastAsia="zh-CN"/>
        </w:rPr>
        <w:t>检索生物伦理学和护理伦理学</w:t>
      </w:r>
      <w:r>
        <w:rPr>
          <w:rFonts w:hint="eastAsia"/>
          <w:lang w:val="en-US" w:eastAsia="zh-CN"/>
        </w:rPr>
        <w:t>2</w:t>
      </w:r>
      <w:r>
        <w:rPr>
          <w:rFonts w:hint="eastAsia"/>
          <w:lang w:eastAsia="zh-CN"/>
        </w:rPr>
        <w:t>种期刊，以减少检索偏差。</w:t>
      </w:r>
      <w:r>
        <w:rPr>
          <w:rFonts w:hint="eastAsia"/>
          <w:lang w:val="en-US" w:eastAsia="zh-CN"/>
        </w:rPr>
        <w:t>检索文献发表时间限定为</w:t>
      </w:r>
      <w:r>
        <w:rPr>
          <w:rFonts w:hint="eastAsia"/>
          <w:lang w:eastAsia="zh-CN"/>
        </w:rPr>
        <w:t>2018</w:t>
      </w:r>
      <w:r>
        <w:rPr>
          <w:rFonts w:hint="eastAsia"/>
          <w:lang w:val="en-US" w:eastAsia="zh-CN"/>
        </w:rPr>
        <w:t>年</w:t>
      </w:r>
      <w:r>
        <w:rPr>
          <w:rFonts w:hint="eastAsia"/>
          <w:lang w:eastAsia="zh-CN"/>
        </w:rPr>
        <w:t>—2023年，</w:t>
      </w:r>
      <w:r>
        <w:rPr>
          <w:rFonts w:hint="eastAsia"/>
          <w:lang w:val="en-US" w:eastAsia="zh-CN"/>
        </w:rPr>
        <w:t>仅纳入经过同行评审的英文文献，包括采用</w:t>
      </w:r>
      <w:r>
        <w:rPr>
          <w:rFonts w:hint="eastAsia"/>
          <w:lang w:eastAsia="zh-CN"/>
        </w:rPr>
        <w:t>定量、定性或混合方法来</w:t>
      </w:r>
      <w:r>
        <w:rPr>
          <w:rFonts w:hint="eastAsia"/>
          <w:lang w:val="en-US" w:eastAsia="zh-CN"/>
        </w:rPr>
        <w:t>确定</w:t>
      </w:r>
      <w:r>
        <w:rPr>
          <w:rFonts w:hint="eastAsia"/>
          <w:lang w:eastAsia="zh-CN"/>
        </w:rPr>
        <w:t>道德困境的特征、组成部分和定义。</w:t>
      </w:r>
      <w:r>
        <w:rPr>
          <w:rFonts w:hint="eastAsia"/>
          <w:lang w:val="en-US" w:eastAsia="zh-CN"/>
        </w:rPr>
        <w:t>由2名研究员独立进行文献的筛选、提取和分析。</w:t>
      </w:r>
    </w:p>
    <w:p w14:paraId="2D4703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b/>
          <w:bCs/>
          <w:lang w:val="en-US" w:eastAsia="zh-CN"/>
        </w:rPr>
        <w:t>结果</w:t>
      </w:r>
      <w:r>
        <w:rPr>
          <w:rFonts w:hint="eastAsia"/>
          <w:lang w:val="en-US" w:eastAsia="zh-CN"/>
        </w:rPr>
        <w:t xml:space="preserve"> 共纳入19项研究。分为3个主题：1）经历道德情境，确定了五种道德冲突情境，包括治疗方案、职业和个人道德价值观、团队动态、复杂情境、临床实践和以患者为中心的护理；2）做出道德判断，当护士不能按照自己的价值观、伦理原则和道德义务行事时，会遇到道德困境；3）存在约束，分为3个层面:与护士、患者和患者家属相关的个体因素；与所涉及的团队或单位的因素；制度因素和政策因素；4）错误的道德行为，即护士无法履行正确的道德行为；5）道德痛苦，研究表明道德痛苦会影响身体、情感和心理健康。</w:t>
      </w:r>
    </w:p>
    <w:p w14:paraId="6A02E8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lang w:val="en-US" w:eastAsia="zh-CN"/>
        </w:rPr>
      </w:pPr>
      <w:r>
        <w:rPr>
          <w:rFonts w:hint="default"/>
          <w:b/>
          <w:bCs/>
          <w:lang w:val="en-US" w:eastAsia="zh-CN"/>
        </w:rPr>
        <w:t>结论</w:t>
      </w:r>
      <w:r>
        <w:rPr>
          <w:rFonts w:hint="eastAsia"/>
          <w:lang w:val="en-US" w:eastAsia="zh-CN"/>
        </w:rPr>
        <w:t xml:space="preserve"> </w:t>
      </w:r>
      <w:r>
        <w:rPr>
          <w:rFonts w:hint="default"/>
          <w:lang w:val="en-US" w:eastAsia="zh-CN"/>
        </w:rPr>
        <w:t>研究结果</w:t>
      </w:r>
      <w:r>
        <w:rPr>
          <w:rFonts w:hint="eastAsia"/>
          <w:lang w:val="en-US" w:eastAsia="zh-CN"/>
        </w:rPr>
        <w:t>加深了</w:t>
      </w:r>
      <w:r>
        <w:rPr>
          <w:rFonts w:hint="default"/>
          <w:lang w:val="en-US" w:eastAsia="zh-CN"/>
        </w:rPr>
        <w:t>对</w:t>
      </w:r>
      <w:r>
        <w:rPr>
          <w:rFonts w:hint="eastAsia"/>
          <w:lang w:val="en-US" w:eastAsia="zh-CN"/>
        </w:rPr>
        <w:t>护士</w:t>
      </w:r>
      <w:r>
        <w:rPr>
          <w:rFonts w:hint="default"/>
          <w:lang w:val="en-US" w:eastAsia="zh-CN"/>
        </w:rPr>
        <w:t>道德困扰特征的理解，突出了渐强效应的概念，强调了积极解决道德冲突的必要性，以防止</w:t>
      </w:r>
      <w:r>
        <w:rPr>
          <w:rFonts w:hint="eastAsia"/>
          <w:lang w:val="en-US" w:eastAsia="zh-CN"/>
        </w:rPr>
        <w:t>对护士</w:t>
      </w:r>
      <w:r>
        <w:rPr>
          <w:rFonts w:hint="default"/>
          <w:lang w:val="en-US" w:eastAsia="zh-CN"/>
        </w:rPr>
        <w:t>道德操守和职业满意度的</w:t>
      </w:r>
      <w:r>
        <w:rPr>
          <w:rFonts w:hint="eastAsia"/>
          <w:lang w:val="en-US" w:eastAsia="zh-CN"/>
        </w:rPr>
        <w:t>影响</w:t>
      </w:r>
      <w:r>
        <w:rPr>
          <w:rFonts w:hint="default"/>
          <w:lang w:val="en-US" w:eastAsia="zh-CN"/>
        </w:rPr>
        <w:t>。</w:t>
      </w:r>
    </w:p>
    <w:p w14:paraId="47A25B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【</w:t>
      </w:r>
      <w:r>
        <w:rPr>
          <w:rFonts w:hint="eastAsia"/>
          <w:b/>
          <w:bCs/>
          <w:lang w:val="en-US" w:eastAsia="zh-CN"/>
        </w:rPr>
        <w:t>关键词</w:t>
      </w:r>
      <w:r>
        <w:rPr>
          <w:rFonts w:hint="eastAsia"/>
          <w:lang w:val="en-US" w:eastAsia="zh-CN"/>
        </w:rPr>
        <w:t>】特征；定义；伦理冲突；道德冲突；道德困扰；护士</w:t>
      </w:r>
    </w:p>
    <w:p w14:paraId="581D13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通信作者：</w:t>
      </w:r>
      <w:bookmarkStart w:id="1" w:name="OLE_LINK2"/>
      <w:r>
        <w:rPr>
          <w:rFonts w:ascii="Times New Roman" w:hAnsi="Times New Roman" w:eastAsia="Yu Mincho" w:cs="Times New Roman"/>
          <w:bCs/>
          <w:color w:val="000000"/>
          <w:lang w:val="en-US"/>
        </w:rPr>
        <w:t>Nathira Al-Hmaimat</w:t>
      </w:r>
      <w:bookmarkEnd w:id="1"/>
      <w:r>
        <w:rPr>
          <w:rFonts w:hint="eastAsia" w:ascii="Times New Roman" w:hAnsi="Times New Roman" w:eastAsia="宋体" w:cs="Times New Roman"/>
          <w:bCs/>
          <w:color w:val="000000"/>
          <w:lang w:val="en-US" w:eastAsia="zh-CN"/>
        </w:rPr>
        <w:t>, E-mail:</w:t>
      </w:r>
      <w:r>
        <w:rPr>
          <w:rFonts w:ascii="Times New Roman" w:hAnsi="Times New Roman" w:eastAsia="Yu Mincho" w:cs="Times New Roman"/>
          <w:bCs/>
          <w:color w:val="auto"/>
          <w:u w:val="none"/>
          <w:lang w:val="en-US"/>
        </w:rPr>
        <w:fldChar w:fldCharType="begin"/>
      </w:r>
      <w:r>
        <w:rPr>
          <w:rFonts w:ascii="Times New Roman" w:hAnsi="Times New Roman" w:eastAsia="Yu Mincho" w:cs="Times New Roman"/>
          <w:bCs/>
          <w:color w:val="auto"/>
          <w:u w:val="none"/>
          <w:lang w:val="en-US"/>
        </w:rPr>
        <w:instrText xml:space="preserve"> HYPERLINK "mailto:Nathira.Alhmaimat@actvet.gov.ae" </w:instrText>
      </w:r>
      <w:r>
        <w:rPr>
          <w:rFonts w:ascii="Times New Roman" w:hAnsi="Times New Roman" w:eastAsia="Yu Mincho" w:cs="Times New Roman"/>
          <w:bCs/>
          <w:color w:val="auto"/>
          <w:u w:val="none"/>
          <w:lang w:val="en-US"/>
        </w:rPr>
        <w:fldChar w:fldCharType="separate"/>
      </w:r>
      <w:r>
        <w:rPr>
          <w:rStyle w:val="4"/>
          <w:rFonts w:ascii="Times New Roman" w:hAnsi="Times New Roman" w:eastAsia="Yu Mincho" w:cs="Times New Roman"/>
          <w:bCs/>
          <w:color w:val="auto"/>
          <w:u w:val="none"/>
          <w:lang w:val="en-US"/>
        </w:rPr>
        <w:t>Nathira.Alhmaimat@actvet.gov.ae</w:t>
      </w:r>
      <w:r>
        <w:rPr>
          <w:rFonts w:ascii="Times New Roman" w:hAnsi="Times New Roman" w:eastAsia="Yu Mincho" w:cs="Times New Roman"/>
          <w:bCs/>
          <w:color w:val="auto"/>
          <w:u w:val="none"/>
          <w:lang w:val="en-US"/>
        </w:rPr>
        <w:fldChar w:fldCharType="end"/>
      </w:r>
      <w:r>
        <w:rPr>
          <w:rFonts w:hint="eastAsia" w:ascii="Times New Roman" w:hAnsi="Times New Roman" w:eastAsia="宋体" w:cs="Times New Roman"/>
          <w:bCs/>
          <w:lang w:val="en-US" w:eastAsia="zh-CN"/>
        </w:rPr>
        <w:t xml:space="preserve">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Yu Mincho">
    <w:altName w:val="Yu Gothic"/>
    <w:panose1 w:val="00000000000000000000"/>
    <w:charset w:val="80"/>
    <w:family w:val="roman"/>
    <w:pitch w:val="default"/>
    <w:sig w:usb0="00000000" w:usb1="00000000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zODM2Y2E1NmI5ZDMxN2QzMTFhY2MwNmY3Y2RjOTkifQ=="/>
  </w:docVars>
  <w:rsids>
    <w:rsidRoot w:val="059E67F8"/>
    <w:rsid w:val="02520C40"/>
    <w:rsid w:val="059E67F8"/>
    <w:rsid w:val="097906FF"/>
    <w:rsid w:val="0C4F5747"/>
    <w:rsid w:val="19F945AB"/>
    <w:rsid w:val="1AA17AB6"/>
    <w:rsid w:val="20FD17BE"/>
    <w:rsid w:val="27BA21B7"/>
    <w:rsid w:val="307F3F9D"/>
    <w:rsid w:val="311566B0"/>
    <w:rsid w:val="37FE7E9E"/>
    <w:rsid w:val="48E8538D"/>
    <w:rsid w:val="4C4105CA"/>
    <w:rsid w:val="50DF063F"/>
    <w:rsid w:val="537C51B2"/>
    <w:rsid w:val="597B0EF6"/>
    <w:rsid w:val="736C3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nhideWhenUsed/>
    <w:qFormat/>
    <w:uiPriority w:val="99"/>
    <w:rPr>
      <w:color w:val="0026E5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624</Words>
  <Characters>777</Characters>
  <Lines>0</Lines>
  <Paragraphs>0</Paragraphs>
  <TotalTime>29</TotalTime>
  <ScaleCrop>false</ScaleCrop>
  <LinksUpToDate>false</LinksUpToDate>
  <CharactersWithSpaces>793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2024-10-12T03:54:00Z</dcterms:created>
  <dc:creator>GYY</dc:creator>
  <cp:lastModifiedBy>leo</cp:lastModifiedBy>
  <dcterms:modified xsi:type="dcterms:W3CDTF">2024-11-02T08:33:07Z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CBF0881ACCA547E09962353067521233_13</vt:lpwstr>
  </property>
</Properties>
</file>