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3B2BE0" w14:textId="17205DF4" w:rsidR="000D56FF" w:rsidRPr="000D56FF" w:rsidRDefault="004C7D9C" w:rsidP="000D56FF">
      <w:pPr>
        <w:pStyle w:val="Heading1"/>
        <w:spacing w:before="172" w:line="276" w:lineRule="auto"/>
        <w:ind w:left="125"/>
        <w:jc w:val="center"/>
        <w:rPr>
          <w:i/>
          <w:iCs/>
          <w:sz w:val="28"/>
          <w:szCs w:val="28"/>
        </w:rPr>
      </w:pPr>
      <w:bookmarkStart w:id="0" w:name="_Hlk129561158"/>
      <w:r w:rsidRPr="000D56FF">
        <w:rPr>
          <w:bCs/>
          <w:sz w:val="28"/>
          <w:szCs w:val="28"/>
        </w:rPr>
        <w:t>Supplementary Figure to:</w:t>
      </w:r>
      <w:r w:rsidRPr="000D56FF">
        <w:rPr>
          <w:bCs/>
          <w:i/>
          <w:iCs/>
          <w:sz w:val="28"/>
          <w:szCs w:val="28"/>
        </w:rPr>
        <w:t xml:space="preserve"> </w:t>
      </w:r>
      <w:bookmarkStart w:id="1" w:name="_Hlk143678674"/>
      <w:r w:rsidR="000D56FF" w:rsidRPr="000D56FF">
        <w:rPr>
          <w:i/>
          <w:iCs/>
          <w:sz w:val="28"/>
          <w:szCs w:val="28"/>
        </w:rPr>
        <w:t>Visualisation of in vivo protein synthesis during mycobacterial infection through [</w:t>
      </w:r>
      <w:r w:rsidR="000D56FF" w:rsidRPr="000D56FF">
        <w:rPr>
          <w:i/>
          <w:iCs/>
          <w:sz w:val="28"/>
          <w:szCs w:val="28"/>
          <w:vertAlign w:val="superscript"/>
        </w:rPr>
        <w:t>68</w:t>
      </w:r>
      <w:proofErr w:type="gramStart"/>
      <w:r w:rsidR="000D56FF" w:rsidRPr="000D56FF">
        <w:rPr>
          <w:i/>
          <w:iCs/>
          <w:sz w:val="28"/>
          <w:szCs w:val="28"/>
        </w:rPr>
        <w:t>Ga]Ga</w:t>
      </w:r>
      <w:proofErr w:type="gramEnd"/>
      <w:r w:rsidR="000D56FF" w:rsidRPr="000D56FF">
        <w:rPr>
          <w:i/>
          <w:iCs/>
          <w:sz w:val="28"/>
          <w:szCs w:val="28"/>
        </w:rPr>
        <w:t>-DOTA-puromycin µPET/MRI</w:t>
      </w:r>
    </w:p>
    <w:p w14:paraId="30817D45" w14:textId="510F13F4" w:rsidR="00526938" w:rsidRPr="000D56FF" w:rsidRDefault="00526938" w:rsidP="00526938">
      <w:pPr>
        <w:pStyle w:val="Title"/>
        <w:spacing w:line="276" w:lineRule="auto"/>
        <w:jc w:val="center"/>
        <w:rPr>
          <w:sz w:val="32"/>
          <w:szCs w:val="32"/>
          <w:lang w:val="en-GB"/>
        </w:rPr>
      </w:pPr>
    </w:p>
    <w:bookmarkEnd w:id="1"/>
    <w:p w14:paraId="00C949CF" w14:textId="72AF7D21" w:rsidR="004C7D9C" w:rsidRPr="00FC1B3A" w:rsidRDefault="004C7D9C" w:rsidP="004C7D9C">
      <w:pPr>
        <w:pStyle w:val="Title"/>
        <w:jc w:val="center"/>
        <w:rPr>
          <w:rFonts w:ascii="Arial" w:hAnsi="Arial"/>
          <w:b/>
          <w:bCs/>
          <w:sz w:val="28"/>
          <w:szCs w:val="28"/>
        </w:rPr>
      </w:pPr>
    </w:p>
    <w:p w14:paraId="45213941" w14:textId="77777777" w:rsidR="004C7D9C" w:rsidRPr="00FC1B3A" w:rsidRDefault="004C7D9C" w:rsidP="004C7D9C">
      <w:pPr>
        <w:spacing w:before="240" w:after="240"/>
        <w:jc w:val="center"/>
        <w:rPr>
          <w:rFonts w:ascii="Arial" w:eastAsia="Times" w:hAnsi="Arial"/>
          <w:sz w:val="22"/>
          <w:vertAlign w:val="superscript"/>
        </w:rPr>
      </w:pPr>
      <w:r w:rsidRPr="00FC1B3A">
        <w:rPr>
          <w:rFonts w:ascii="Arial" w:eastAsia="Times" w:hAnsi="Arial"/>
          <w:sz w:val="22"/>
        </w:rPr>
        <w:t xml:space="preserve">Sebastian </w:t>
      </w:r>
      <w:proofErr w:type="spellStart"/>
      <w:r w:rsidRPr="00FC1B3A">
        <w:rPr>
          <w:rFonts w:ascii="Arial" w:eastAsia="Times" w:hAnsi="Arial"/>
          <w:sz w:val="22"/>
        </w:rPr>
        <w:t>Eigner</w:t>
      </w:r>
      <w:proofErr w:type="spellEnd"/>
      <w:r w:rsidRPr="00FC1B3A">
        <w:rPr>
          <w:rFonts w:ascii="Arial" w:eastAsia="Times" w:hAnsi="Arial"/>
          <w:sz w:val="22"/>
        </w:rPr>
        <w:t xml:space="preserve"> </w:t>
      </w:r>
      <w:r w:rsidRPr="00FC1B3A">
        <w:rPr>
          <w:rFonts w:ascii="Arial" w:eastAsia="Times" w:hAnsi="Arial"/>
          <w:sz w:val="22"/>
          <w:vertAlign w:val="superscript"/>
        </w:rPr>
        <w:t>1,2</w:t>
      </w:r>
      <w:r w:rsidRPr="00FC1B3A">
        <w:rPr>
          <w:rFonts w:ascii="Arial" w:eastAsia="Times" w:hAnsi="Arial"/>
          <w:sz w:val="22"/>
        </w:rPr>
        <w:t>, Janke Kleynhans</w:t>
      </w:r>
      <w:r w:rsidRPr="00FC1B3A">
        <w:rPr>
          <w:rFonts w:ascii="Arial" w:eastAsia="Times" w:hAnsi="Arial"/>
          <w:sz w:val="22"/>
          <w:vertAlign w:val="superscript"/>
        </w:rPr>
        <w:t>3</w:t>
      </w:r>
      <w:r w:rsidRPr="00FC1B3A">
        <w:rPr>
          <w:rFonts w:ascii="Arial" w:eastAsia="Times" w:hAnsi="Arial"/>
          <w:sz w:val="22"/>
        </w:rPr>
        <w:t>, Denis R. Beckford Vera</w:t>
      </w:r>
      <w:r w:rsidRPr="00FC1B3A">
        <w:rPr>
          <w:rFonts w:ascii="Arial" w:eastAsia="Times" w:hAnsi="Arial"/>
          <w:sz w:val="22"/>
          <w:vertAlign w:val="superscript"/>
        </w:rPr>
        <w:t>1</w:t>
      </w:r>
      <w:r w:rsidRPr="00FC1B3A">
        <w:rPr>
          <w:rFonts w:ascii="Arial" w:eastAsia="Times" w:hAnsi="Arial"/>
          <w:sz w:val="22"/>
        </w:rPr>
        <w:t xml:space="preserve">, Mike M. Sathekge </w:t>
      </w:r>
      <w:r w:rsidRPr="00FC1B3A">
        <w:rPr>
          <w:rFonts w:ascii="Arial" w:eastAsia="Times" w:hAnsi="Arial"/>
          <w:sz w:val="22"/>
          <w:vertAlign w:val="superscript"/>
        </w:rPr>
        <w:t>3,4</w:t>
      </w:r>
      <w:r w:rsidRPr="00FC1B3A">
        <w:rPr>
          <w:rFonts w:ascii="Arial" w:eastAsia="Times" w:hAnsi="Arial"/>
          <w:sz w:val="22"/>
        </w:rPr>
        <w:t xml:space="preserve">, Katerina </w:t>
      </w:r>
      <w:proofErr w:type="spellStart"/>
      <w:r w:rsidRPr="00FC1B3A">
        <w:rPr>
          <w:rFonts w:ascii="Arial" w:eastAsia="Times" w:hAnsi="Arial"/>
          <w:sz w:val="22"/>
        </w:rPr>
        <w:t>Eigner</w:t>
      </w:r>
      <w:proofErr w:type="spellEnd"/>
      <w:r w:rsidRPr="00FC1B3A">
        <w:rPr>
          <w:rFonts w:ascii="Arial" w:eastAsia="Times" w:hAnsi="Arial"/>
          <w:sz w:val="22"/>
        </w:rPr>
        <w:t xml:space="preserve"> Henke</w:t>
      </w:r>
      <w:r w:rsidRPr="00FC1B3A">
        <w:rPr>
          <w:rFonts w:ascii="Arial" w:eastAsia="Times" w:hAnsi="Arial"/>
          <w:sz w:val="22"/>
          <w:vertAlign w:val="superscript"/>
        </w:rPr>
        <w:t>2,</w:t>
      </w:r>
      <w:proofErr w:type="gramStart"/>
      <w:r w:rsidRPr="00FC1B3A">
        <w:rPr>
          <w:rFonts w:ascii="Arial" w:eastAsia="Times" w:hAnsi="Arial"/>
          <w:sz w:val="22"/>
          <w:vertAlign w:val="superscript"/>
        </w:rPr>
        <w:t>5</w:t>
      </w:r>
      <w:r w:rsidRPr="00FC1B3A">
        <w:rPr>
          <w:rFonts w:ascii="Arial" w:eastAsia="Times" w:hAnsi="Arial"/>
          <w:sz w:val="22"/>
        </w:rPr>
        <w:t xml:space="preserve"> ,</w:t>
      </w:r>
      <w:proofErr w:type="gramEnd"/>
      <w:r w:rsidRPr="00FC1B3A">
        <w:rPr>
          <w:rFonts w:ascii="Arial" w:eastAsia="Times" w:hAnsi="Arial"/>
          <w:sz w:val="22"/>
        </w:rPr>
        <w:t xml:space="preserve"> and Thomas Ebenhan</w:t>
      </w:r>
      <w:r w:rsidRPr="00FC1B3A">
        <w:rPr>
          <w:rFonts w:ascii="Arial" w:eastAsia="Times" w:hAnsi="Arial"/>
          <w:sz w:val="22"/>
          <w:vertAlign w:val="superscript"/>
        </w:rPr>
        <w:t>3,6#</w:t>
      </w:r>
    </w:p>
    <w:bookmarkEnd w:id="0"/>
    <w:p w14:paraId="269E4F27" w14:textId="77777777" w:rsidR="004C7D9C" w:rsidRPr="00FC1B3A" w:rsidRDefault="004C7D9C" w:rsidP="004C7D9C">
      <w:pPr>
        <w:rPr>
          <w:rFonts w:ascii="Arial" w:eastAsia="Times" w:hAnsi="Arial"/>
          <w:i/>
          <w:iCs/>
          <w:sz w:val="22"/>
        </w:rPr>
      </w:pPr>
      <w:r w:rsidRPr="00FC1B3A">
        <w:rPr>
          <w:rFonts w:ascii="Arial" w:eastAsia="Times" w:hAnsi="Arial"/>
          <w:i/>
          <w:iCs/>
          <w:sz w:val="22"/>
          <w:vertAlign w:val="superscript"/>
        </w:rPr>
        <w:t>1</w:t>
      </w:r>
      <w:r w:rsidRPr="00FC1B3A">
        <w:rPr>
          <w:rFonts w:ascii="Arial" w:eastAsia="Times" w:hAnsi="Arial"/>
          <w:i/>
          <w:iCs/>
          <w:sz w:val="22"/>
        </w:rPr>
        <w:t>Department of Radiopharmaceuticals, Nuclear Physics Institute, Academy of Science of the Czech Republic, Rez near Prague, Czech Republic</w:t>
      </w:r>
      <w:r w:rsidRPr="00FC1B3A">
        <w:rPr>
          <w:rFonts w:ascii="Arial" w:eastAsia="Times" w:hAnsi="Arial"/>
          <w:i/>
          <w:iCs/>
          <w:sz w:val="22"/>
          <w:vertAlign w:val="superscript"/>
        </w:rPr>
        <w:br/>
        <w:t>2</w:t>
      </w:r>
      <w:r w:rsidRPr="00FC1B3A">
        <w:rPr>
          <w:rFonts w:ascii="Arial" w:eastAsia="Times" w:hAnsi="Arial"/>
          <w:i/>
          <w:iCs/>
          <w:sz w:val="22"/>
        </w:rPr>
        <w:t>Department of Radiopharmacy, Charles University Prague, Czech Republic;</w:t>
      </w:r>
      <w:r w:rsidRPr="00FC1B3A">
        <w:rPr>
          <w:rFonts w:ascii="Arial" w:eastAsia="Times" w:hAnsi="Arial"/>
          <w:i/>
          <w:iCs/>
          <w:sz w:val="22"/>
        </w:rPr>
        <w:br/>
      </w:r>
      <w:r w:rsidRPr="00FC1B3A">
        <w:rPr>
          <w:rFonts w:ascii="Arial" w:eastAsia="Times" w:hAnsi="Arial"/>
          <w:i/>
          <w:iCs/>
          <w:sz w:val="22"/>
          <w:vertAlign w:val="superscript"/>
        </w:rPr>
        <w:t>3</w:t>
      </w:r>
      <w:r w:rsidRPr="00FC1B3A">
        <w:rPr>
          <w:rFonts w:ascii="Arial" w:eastAsia="Times" w:hAnsi="Arial"/>
          <w:i/>
          <w:iCs/>
          <w:sz w:val="22"/>
        </w:rPr>
        <w:t>Nuclear Medicine Research Infrastructure NPC, Pretoria, South Africa,</w:t>
      </w:r>
      <w:r w:rsidRPr="00FC1B3A">
        <w:rPr>
          <w:rFonts w:ascii="Arial" w:eastAsia="Times" w:hAnsi="Arial"/>
          <w:i/>
          <w:iCs/>
          <w:sz w:val="22"/>
        </w:rPr>
        <w:br/>
      </w:r>
      <w:r w:rsidRPr="00FC1B3A">
        <w:rPr>
          <w:rFonts w:ascii="Arial" w:eastAsia="Times" w:hAnsi="Arial"/>
          <w:i/>
          <w:iCs/>
          <w:sz w:val="22"/>
          <w:vertAlign w:val="superscript"/>
        </w:rPr>
        <w:t>4</w:t>
      </w:r>
      <w:r w:rsidRPr="00FC1B3A">
        <w:rPr>
          <w:rFonts w:ascii="Arial" w:eastAsia="Times" w:hAnsi="Arial"/>
          <w:i/>
          <w:iCs/>
          <w:sz w:val="22"/>
        </w:rPr>
        <w:t>Department of</w:t>
      </w:r>
      <w:r w:rsidRPr="00FC1B3A">
        <w:rPr>
          <w:rFonts w:ascii="Arial" w:eastAsia="Times" w:hAnsi="Arial"/>
          <w:i/>
          <w:iCs/>
          <w:sz w:val="22"/>
          <w:vertAlign w:val="superscript"/>
        </w:rPr>
        <w:t xml:space="preserve"> </w:t>
      </w:r>
      <w:r w:rsidRPr="00FC1B3A">
        <w:rPr>
          <w:rFonts w:ascii="Arial" w:eastAsia="Times" w:hAnsi="Arial"/>
          <w:i/>
          <w:iCs/>
          <w:sz w:val="22"/>
        </w:rPr>
        <w:t>Nuclear Medicine and Steve Biko Academic Hospital, University of Pretoria, Pretoria, South Africa</w:t>
      </w:r>
    </w:p>
    <w:p w14:paraId="224F569F" w14:textId="77777777" w:rsidR="004C7D9C" w:rsidRPr="00FC1B3A" w:rsidRDefault="004C7D9C" w:rsidP="004C7D9C">
      <w:pPr>
        <w:rPr>
          <w:rFonts w:ascii="Arial" w:hAnsi="Arial"/>
          <w:sz w:val="22"/>
        </w:rPr>
      </w:pPr>
      <w:r w:rsidRPr="00FC1B3A">
        <w:rPr>
          <w:rFonts w:ascii="Arial" w:eastAsia="Times" w:hAnsi="Arial"/>
          <w:i/>
          <w:iCs/>
          <w:sz w:val="22"/>
          <w:vertAlign w:val="superscript"/>
        </w:rPr>
        <w:t xml:space="preserve">5 </w:t>
      </w:r>
      <w:r w:rsidRPr="00FC1B3A">
        <w:rPr>
          <w:rFonts w:ascii="Arial" w:eastAsia="Times" w:hAnsi="Arial"/>
          <w:i/>
          <w:iCs/>
          <w:sz w:val="22"/>
        </w:rPr>
        <w:t xml:space="preserve">Clinic for Nuclear Medicine, University Hospital RWTH Aachen, Aachen, Germany; </w:t>
      </w:r>
      <w:r w:rsidRPr="00FC1B3A">
        <w:rPr>
          <w:rFonts w:ascii="Arial" w:eastAsia="Times" w:hAnsi="Arial"/>
          <w:i/>
          <w:iCs/>
          <w:sz w:val="22"/>
        </w:rPr>
        <w:br/>
      </w:r>
      <w:r w:rsidRPr="00FC1B3A">
        <w:rPr>
          <w:rFonts w:ascii="Arial" w:eastAsia="Times" w:hAnsi="Arial"/>
          <w:i/>
          <w:iCs/>
          <w:sz w:val="22"/>
          <w:vertAlign w:val="superscript"/>
        </w:rPr>
        <w:t>6</w:t>
      </w:r>
      <w:r w:rsidRPr="00FC1B3A">
        <w:rPr>
          <w:rFonts w:ascii="Arial" w:eastAsia="Times" w:hAnsi="Arial"/>
          <w:i/>
          <w:iCs/>
          <w:sz w:val="22"/>
        </w:rPr>
        <w:t>Department of</w:t>
      </w:r>
      <w:r w:rsidRPr="00FC1B3A">
        <w:rPr>
          <w:rFonts w:ascii="Arial" w:eastAsia="Times" w:hAnsi="Arial"/>
          <w:i/>
          <w:iCs/>
          <w:sz w:val="22"/>
          <w:vertAlign w:val="superscript"/>
        </w:rPr>
        <w:t xml:space="preserve"> </w:t>
      </w:r>
      <w:r w:rsidRPr="00FC1B3A">
        <w:rPr>
          <w:rFonts w:ascii="Arial" w:eastAsia="Times" w:hAnsi="Arial"/>
          <w:i/>
          <w:iCs/>
          <w:sz w:val="22"/>
        </w:rPr>
        <w:t xml:space="preserve">Nuclear Medicine University of Pretoria, Pretoria, South </w:t>
      </w:r>
      <w:proofErr w:type="gramStart"/>
      <w:r w:rsidRPr="00FC1B3A">
        <w:rPr>
          <w:rFonts w:ascii="Arial" w:eastAsia="Times" w:hAnsi="Arial"/>
          <w:i/>
          <w:iCs/>
          <w:sz w:val="22"/>
        </w:rPr>
        <w:t>Africa;</w:t>
      </w:r>
      <w:proofErr w:type="gramEnd"/>
      <w:r w:rsidRPr="00FC1B3A">
        <w:rPr>
          <w:rFonts w:ascii="Arial" w:hAnsi="Arial"/>
          <w:sz w:val="22"/>
        </w:rPr>
        <w:t xml:space="preserve"> </w:t>
      </w:r>
    </w:p>
    <w:p w14:paraId="264BB2A7" w14:textId="15DCFC5D" w:rsidR="009C0A64" w:rsidRPr="00FC1B3A" w:rsidRDefault="009C0A64">
      <w:pPr>
        <w:rPr>
          <w:rFonts w:ascii="Arial" w:hAnsi="Arial"/>
          <w:sz w:val="22"/>
        </w:rPr>
      </w:pPr>
    </w:p>
    <w:p w14:paraId="3ECB74C2" w14:textId="77777777" w:rsidR="004C7D9C" w:rsidRPr="00FC1B3A" w:rsidRDefault="004C7D9C" w:rsidP="004C7D9C">
      <w:pPr>
        <w:spacing w:before="60"/>
        <w:jc w:val="center"/>
        <w:rPr>
          <w:rFonts w:ascii="Arial" w:hAnsi="Arial"/>
          <w:b/>
          <w:bCs/>
          <w:sz w:val="22"/>
        </w:rPr>
      </w:pPr>
      <w:r w:rsidRPr="00FC1B3A">
        <w:rPr>
          <w:rFonts w:ascii="Arial" w:hAnsi="Arial"/>
          <w:noProof/>
          <w:sz w:val="22"/>
        </w:rPr>
        <w:drawing>
          <wp:inline distT="0" distB="0" distL="0" distR="0" wp14:anchorId="5AD3A14D" wp14:editId="03DFF80B">
            <wp:extent cx="4572000" cy="2771775"/>
            <wp:effectExtent l="0" t="0" r="0" b="0"/>
            <wp:docPr id="9" name="Chart 9">
              <a:extLst xmlns:a="http://schemas.openxmlformats.org/drawingml/2006/main">
                <a:ext uri="{FF2B5EF4-FFF2-40B4-BE49-F238E27FC236}">
                  <a16:creationId xmlns:a16="http://schemas.microsoft.com/office/drawing/2014/main" id="{137B8481-1458-45C3-81EE-2164A3B2B79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41C91912" w14:textId="67168038" w:rsidR="004C7D9C" w:rsidRPr="00FC1B3A" w:rsidRDefault="004C7D9C" w:rsidP="004C7D9C">
      <w:pPr>
        <w:spacing w:before="60"/>
        <w:rPr>
          <w:rFonts w:ascii="Arial" w:hAnsi="Arial"/>
          <w:sz w:val="22"/>
          <w:lang w:val="en-GB"/>
        </w:rPr>
      </w:pPr>
      <w:r w:rsidRPr="00FC1B3A">
        <w:rPr>
          <w:rFonts w:ascii="Arial" w:hAnsi="Arial"/>
          <w:b/>
          <w:bCs/>
          <w:sz w:val="22"/>
          <w:lang w:val="en-GB"/>
        </w:rPr>
        <w:t xml:space="preserve">SUPPLEMENT FIGURE S1. </w:t>
      </w:r>
      <w:r w:rsidRPr="00FC1B3A">
        <w:rPr>
          <w:rFonts w:ascii="Arial" w:hAnsi="Arial"/>
          <w:sz w:val="22"/>
          <w:lang w:val="en-GB"/>
        </w:rPr>
        <w:t xml:space="preserve">Correlation plot for NUV values from image guided analysis for 68Ga-Pur </w:t>
      </w:r>
      <w:r w:rsidRPr="00FC1B3A">
        <w:rPr>
          <w:rFonts w:ascii="Arial" w:hAnsi="Arial"/>
          <w:i/>
          <w:iCs/>
          <w:sz w:val="22"/>
          <w:lang w:val="en-GB"/>
        </w:rPr>
        <w:t xml:space="preserve">versus </w:t>
      </w:r>
      <w:r w:rsidRPr="00FC1B3A">
        <w:rPr>
          <w:rFonts w:ascii="Arial" w:hAnsi="Arial"/>
          <w:sz w:val="22"/>
          <w:lang w:val="en-GB"/>
        </w:rPr>
        <w:t xml:space="preserve">18F-FDG (y=7.51x; N=16). </w:t>
      </w:r>
      <w:r w:rsidRPr="00FC1B3A">
        <w:rPr>
          <w:rFonts w:ascii="Arial" w:hAnsi="Arial"/>
          <w:sz w:val="22"/>
        </w:rPr>
        <w:t>The linear regression (r</w:t>
      </w:r>
      <w:r w:rsidRPr="00FC1B3A">
        <w:rPr>
          <w:rFonts w:ascii="Arial" w:hAnsi="Arial"/>
          <w:sz w:val="22"/>
          <w:vertAlign w:val="superscript"/>
        </w:rPr>
        <w:t>2</w:t>
      </w:r>
      <w:r w:rsidRPr="00FC1B3A">
        <w:rPr>
          <w:rFonts w:ascii="Arial" w:hAnsi="Arial"/>
          <w:sz w:val="22"/>
        </w:rPr>
        <w:t>) analysis returned a value of 0.651.</w:t>
      </w:r>
      <w:r w:rsidRPr="00FC1B3A">
        <w:rPr>
          <w:rFonts w:ascii="Arial" w:hAnsi="Arial"/>
          <w:sz w:val="22"/>
          <w:vertAlign w:val="superscript"/>
        </w:rPr>
        <w:t xml:space="preserve">  </w:t>
      </w:r>
    </w:p>
    <w:p w14:paraId="59CA3E78" w14:textId="519EF486" w:rsidR="00C741F9" w:rsidRPr="00FC1B3A" w:rsidRDefault="00C741F9">
      <w:pPr>
        <w:spacing w:after="160" w:line="259" w:lineRule="auto"/>
        <w:rPr>
          <w:rFonts w:ascii="Arial" w:hAnsi="Arial"/>
          <w:sz w:val="22"/>
        </w:rPr>
      </w:pPr>
      <w:r w:rsidRPr="00FC1B3A">
        <w:rPr>
          <w:rFonts w:ascii="Arial" w:hAnsi="Arial"/>
          <w:sz w:val="22"/>
        </w:rPr>
        <w:br w:type="page"/>
      </w:r>
    </w:p>
    <w:p w14:paraId="420A2922" w14:textId="77777777" w:rsidR="00E4581D" w:rsidRPr="00FC1B3A" w:rsidRDefault="00E4581D">
      <w:pPr>
        <w:rPr>
          <w:rFonts w:ascii="Arial" w:hAnsi="Arial"/>
          <w:b/>
          <w:bCs/>
          <w:sz w:val="22"/>
        </w:rPr>
      </w:pPr>
    </w:p>
    <w:p w14:paraId="09E719F2" w14:textId="76946986" w:rsidR="00E4581D" w:rsidRPr="00FC1B3A" w:rsidRDefault="00063509">
      <w:pPr>
        <w:rPr>
          <w:rFonts w:ascii="Arial" w:hAnsi="Arial"/>
          <w:b/>
          <w:bCs/>
          <w:sz w:val="22"/>
        </w:rPr>
      </w:pPr>
      <w:r w:rsidRPr="00FC1B3A">
        <w:rPr>
          <w:rFonts w:ascii="Arial" w:hAnsi="Arial"/>
          <w:b/>
          <w:bCs/>
          <w:noProof/>
          <w:sz w:val="22"/>
        </w:rPr>
        <w:drawing>
          <wp:inline distT="0" distB="0" distL="0" distR="0" wp14:anchorId="36A12C52" wp14:editId="109DBC0D">
            <wp:extent cx="5760720" cy="2640330"/>
            <wp:effectExtent l="0" t="0" r="0" b="0"/>
            <wp:docPr id="2" name="Picture 2" descr="A close-up of a test tub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close-up of a test tube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6EB5E6" w14:textId="77777777" w:rsidR="00E4581D" w:rsidRPr="00FC1B3A" w:rsidRDefault="00E4581D">
      <w:pPr>
        <w:rPr>
          <w:rFonts w:ascii="Arial" w:hAnsi="Arial"/>
          <w:b/>
          <w:bCs/>
          <w:sz w:val="22"/>
        </w:rPr>
      </w:pPr>
    </w:p>
    <w:p w14:paraId="553DB5E2" w14:textId="2AA449F0" w:rsidR="00C741F9" w:rsidRPr="00FC1B3A" w:rsidRDefault="00C741F9" w:rsidP="00FC1B3A">
      <w:pPr>
        <w:rPr>
          <w:rFonts w:ascii="Arial" w:hAnsi="Arial"/>
          <w:color w:val="000000"/>
          <w:sz w:val="22"/>
        </w:rPr>
      </w:pPr>
      <w:r w:rsidRPr="00FC1B3A">
        <w:rPr>
          <w:rFonts w:ascii="Arial" w:hAnsi="Arial"/>
          <w:b/>
          <w:bCs/>
          <w:sz w:val="22"/>
        </w:rPr>
        <w:t>Supplementary Figure S2:</w:t>
      </w:r>
      <w:r w:rsidRPr="00FC1B3A">
        <w:rPr>
          <w:rFonts w:ascii="Arial" w:hAnsi="Arial"/>
          <w:sz w:val="22"/>
        </w:rPr>
        <w:t xml:space="preserve"> Autoradiography images of 3 synthesis of [68</w:t>
      </w:r>
      <w:proofErr w:type="gramStart"/>
      <w:r w:rsidRPr="00FC1B3A">
        <w:rPr>
          <w:rFonts w:ascii="Arial" w:hAnsi="Arial"/>
          <w:sz w:val="22"/>
        </w:rPr>
        <w:t>Ga]Ga</w:t>
      </w:r>
      <w:proofErr w:type="gramEnd"/>
      <w:r w:rsidRPr="00FC1B3A">
        <w:rPr>
          <w:rFonts w:ascii="Arial" w:hAnsi="Arial"/>
          <w:sz w:val="22"/>
        </w:rPr>
        <w:t xml:space="preserve">-DOTA-Puromycin. </w:t>
      </w:r>
      <w:r w:rsidRPr="00FC1B3A">
        <w:rPr>
          <w:rFonts w:ascii="Arial" w:hAnsi="Arial"/>
          <w:color w:val="000000"/>
          <w:sz w:val="22"/>
        </w:rPr>
        <w:t>Radio-TLC analysis shows free gallium-68 retaining at the origin (Rf = 0.05) whilst [</w:t>
      </w:r>
      <w:r w:rsidRPr="00FC1B3A">
        <w:rPr>
          <w:rFonts w:ascii="Arial" w:hAnsi="Arial"/>
          <w:color w:val="000000"/>
          <w:sz w:val="22"/>
          <w:vertAlign w:val="superscript"/>
        </w:rPr>
        <w:t>68</w:t>
      </w:r>
      <w:proofErr w:type="gramStart"/>
      <w:r w:rsidRPr="00FC1B3A">
        <w:rPr>
          <w:rFonts w:ascii="Arial" w:hAnsi="Arial"/>
          <w:color w:val="000000"/>
          <w:sz w:val="22"/>
        </w:rPr>
        <w:t>Ga]Ga</w:t>
      </w:r>
      <w:proofErr w:type="gramEnd"/>
      <w:r w:rsidRPr="00FC1B3A">
        <w:rPr>
          <w:rFonts w:ascii="Arial" w:hAnsi="Arial"/>
          <w:color w:val="000000"/>
          <w:sz w:val="22"/>
        </w:rPr>
        <w:t>-DOTA-puromycin migrates with the solvent front (Rf =0.85 – 1.00</w:t>
      </w:r>
      <w:r w:rsidR="00FC1B3A" w:rsidRPr="00FC1B3A">
        <w:rPr>
          <w:rFonts w:ascii="Arial" w:hAnsi="Arial"/>
          <w:color w:val="000000"/>
          <w:sz w:val="22"/>
        </w:rPr>
        <w:t xml:space="preserve">). ITLC was cross-validated with HPLC during previous work – as described in </w:t>
      </w:r>
      <w:proofErr w:type="spellStart"/>
      <w:r w:rsidR="00FC1B3A" w:rsidRPr="00FC1B3A">
        <w:rPr>
          <w:rFonts w:ascii="Arial" w:hAnsi="Arial"/>
          <w:color w:val="000000"/>
          <w:sz w:val="22"/>
        </w:rPr>
        <w:t>Eigner</w:t>
      </w:r>
      <w:proofErr w:type="spellEnd"/>
      <w:r w:rsidR="00FC1B3A" w:rsidRPr="00FC1B3A">
        <w:rPr>
          <w:rFonts w:ascii="Arial" w:hAnsi="Arial"/>
          <w:color w:val="000000"/>
          <w:sz w:val="22"/>
        </w:rPr>
        <w:t xml:space="preserve"> et al., (2013).</w:t>
      </w:r>
    </w:p>
    <w:p w14:paraId="74F77021" w14:textId="77777777" w:rsidR="00FC1B3A" w:rsidRPr="00FC1B3A" w:rsidRDefault="00FC1B3A" w:rsidP="00FC1B3A">
      <w:pPr>
        <w:rPr>
          <w:rFonts w:ascii="Arial" w:hAnsi="Arial"/>
          <w:sz w:val="22"/>
        </w:rPr>
      </w:pPr>
    </w:p>
    <w:p w14:paraId="0A40432B" w14:textId="299E6F70" w:rsidR="00F84B1E" w:rsidRPr="00FC1B3A" w:rsidRDefault="002E6AC2">
      <w:pPr>
        <w:rPr>
          <w:rFonts w:ascii="Arial" w:hAnsi="Arial"/>
          <w:b/>
          <w:bCs/>
          <w:sz w:val="22"/>
        </w:rPr>
      </w:pPr>
      <w:r w:rsidRPr="00FC1B3A">
        <w:rPr>
          <w:rFonts w:ascii="Arial" w:hAnsi="Arial"/>
          <w:noProof/>
          <w:sz w:val="22"/>
        </w:rPr>
        <w:drawing>
          <wp:inline distT="0" distB="0" distL="0" distR="0" wp14:anchorId="3E25F0BB" wp14:editId="0E1ED24E">
            <wp:extent cx="4572000" cy="2743200"/>
            <wp:effectExtent l="0" t="0" r="0" b="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F509056-291E-B115-E2E5-EED3C01A670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5600ACF9" w14:textId="77777777" w:rsidR="002E6AC2" w:rsidRPr="00FC1B3A" w:rsidRDefault="002E6AC2">
      <w:pPr>
        <w:rPr>
          <w:rFonts w:ascii="Arial" w:hAnsi="Arial"/>
          <w:b/>
          <w:bCs/>
          <w:sz w:val="22"/>
        </w:rPr>
      </w:pPr>
    </w:p>
    <w:p w14:paraId="68635D1F" w14:textId="72A1332E" w:rsidR="00C741F9" w:rsidRPr="00FC1B3A" w:rsidRDefault="00C741F9" w:rsidP="0007537E">
      <w:pPr>
        <w:jc w:val="both"/>
        <w:rPr>
          <w:rFonts w:ascii="Arial" w:hAnsi="Arial"/>
          <w:color w:val="000000"/>
          <w:sz w:val="22"/>
        </w:rPr>
      </w:pPr>
      <w:r w:rsidRPr="00FC1B3A">
        <w:rPr>
          <w:rFonts w:ascii="Arial" w:hAnsi="Arial"/>
          <w:b/>
          <w:bCs/>
          <w:sz w:val="22"/>
        </w:rPr>
        <w:t xml:space="preserve">Supplementary Figure </w:t>
      </w:r>
      <w:r w:rsidR="00FC1B3A" w:rsidRPr="00FC1B3A">
        <w:rPr>
          <w:rFonts w:ascii="Arial" w:hAnsi="Arial"/>
          <w:b/>
          <w:bCs/>
          <w:sz w:val="22"/>
        </w:rPr>
        <w:t>S</w:t>
      </w:r>
      <w:r w:rsidR="00E2581B">
        <w:rPr>
          <w:rFonts w:ascii="Arial" w:hAnsi="Arial"/>
          <w:b/>
          <w:bCs/>
          <w:sz w:val="22"/>
        </w:rPr>
        <w:t>3</w:t>
      </w:r>
      <w:r w:rsidRPr="00FC1B3A">
        <w:rPr>
          <w:rFonts w:ascii="Arial" w:hAnsi="Arial"/>
          <w:sz w:val="22"/>
        </w:rPr>
        <w:t xml:space="preserve">: Ex-vivo biodistribution studies on </w:t>
      </w:r>
      <w:r w:rsidRPr="00FC1B3A">
        <w:rPr>
          <w:rFonts w:ascii="Arial" w:hAnsi="Arial"/>
          <w:color w:val="000000"/>
          <w:sz w:val="22"/>
        </w:rPr>
        <w:t>[</w:t>
      </w:r>
      <w:r w:rsidRPr="00FC1B3A">
        <w:rPr>
          <w:rFonts w:ascii="Arial" w:hAnsi="Arial"/>
          <w:color w:val="000000"/>
          <w:sz w:val="22"/>
          <w:vertAlign w:val="superscript"/>
        </w:rPr>
        <w:t>68</w:t>
      </w:r>
      <w:proofErr w:type="gramStart"/>
      <w:r w:rsidRPr="00FC1B3A">
        <w:rPr>
          <w:rFonts w:ascii="Arial" w:hAnsi="Arial"/>
          <w:color w:val="000000"/>
          <w:sz w:val="22"/>
        </w:rPr>
        <w:t>Ga]Ga</w:t>
      </w:r>
      <w:proofErr w:type="gramEnd"/>
      <w:r w:rsidRPr="00FC1B3A">
        <w:rPr>
          <w:rFonts w:ascii="Arial" w:hAnsi="Arial"/>
          <w:color w:val="000000"/>
          <w:sz w:val="22"/>
        </w:rPr>
        <w:t xml:space="preserve">-DOTA-puromycin performed previously in xenograft </w:t>
      </w:r>
      <w:r w:rsidR="0007537E">
        <w:rPr>
          <w:rFonts w:ascii="Arial" w:hAnsi="Arial"/>
          <w:color w:val="000000"/>
          <w:sz w:val="22"/>
        </w:rPr>
        <w:t xml:space="preserve">(PC3 cells) </w:t>
      </w:r>
      <w:r w:rsidRPr="00FC1B3A">
        <w:rPr>
          <w:rFonts w:ascii="Arial" w:hAnsi="Arial"/>
          <w:color w:val="000000"/>
          <w:sz w:val="22"/>
        </w:rPr>
        <w:t>animal models.</w:t>
      </w:r>
      <w:r w:rsidR="0007537E">
        <w:rPr>
          <w:rFonts w:ascii="Arial" w:hAnsi="Arial"/>
          <w:color w:val="000000"/>
          <w:sz w:val="22"/>
        </w:rPr>
        <w:t xml:space="preserve"> </w:t>
      </w:r>
      <w:proofErr w:type="spellStart"/>
      <w:r w:rsidR="0007537E">
        <w:rPr>
          <w:rFonts w:ascii="Arial" w:hAnsi="Arial"/>
          <w:color w:val="000000"/>
          <w:sz w:val="22"/>
        </w:rPr>
        <w:t>Tumour</w:t>
      </w:r>
      <w:proofErr w:type="spellEnd"/>
      <w:r w:rsidR="0007537E">
        <w:rPr>
          <w:rFonts w:ascii="Arial" w:hAnsi="Arial"/>
          <w:color w:val="000000"/>
          <w:sz w:val="22"/>
        </w:rPr>
        <w:t xml:space="preserve"> data is not included.</w:t>
      </w:r>
      <w:r w:rsidRPr="00FC1B3A">
        <w:rPr>
          <w:rFonts w:ascii="Arial" w:hAnsi="Arial"/>
          <w:color w:val="000000"/>
          <w:sz w:val="22"/>
        </w:rPr>
        <w:t xml:space="preserve"> </w:t>
      </w:r>
      <w:r w:rsidR="0007537E" w:rsidRPr="00FC1B3A">
        <w:rPr>
          <w:rFonts w:ascii="Arial" w:hAnsi="Arial"/>
          <w:color w:val="000000"/>
          <w:sz w:val="22"/>
        </w:rPr>
        <w:t>These measurements</w:t>
      </w:r>
      <w:r w:rsidR="002E6AC2" w:rsidRPr="00FC1B3A">
        <w:rPr>
          <w:rFonts w:ascii="Arial" w:hAnsi="Arial"/>
          <w:color w:val="000000"/>
          <w:sz w:val="22"/>
        </w:rPr>
        <w:t xml:space="preserve"> are </w:t>
      </w:r>
      <w:r w:rsidR="0007537E">
        <w:rPr>
          <w:rFonts w:ascii="Arial" w:hAnsi="Arial"/>
          <w:color w:val="000000"/>
          <w:sz w:val="22"/>
        </w:rPr>
        <w:t xml:space="preserve">done in animals euthanized </w:t>
      </w:r>
      <w:r w:rsidR="002E6AC2" w:rsidRPr="00FC1B3A">
        <w:rPr>
          <w:rFonts w:ascii="Arial" w:hAnsi="Arial"/>
          <w:color w:val="000000"/>
          <w:sz w:val="22"/>
        </w:rPr>
        <w:t xml:space="preserve">2 hours post-injection and there are 4 animals in the test group. </w:t>
      </w:r>
    </w:p>
    <w:p w14:paraId="3B851A85" w14:textId="63CF02B4" w:rsidR="00E4581D" w:rsidRPr="00FC1B3A" w:rsidRDefault="00E4581D">
      <w:pPr>
        <w:rPr>
          <w:rFonts w:ascii="Arial" w:hAnsi="Arial"/>
          <w:b/>
          <w:bCs/>
          <w:sz w:val="22"/>
        </w:rPr>
      </w:pPr>
      <w:r w:rsidRPr="00FC1B3A">
        <w:rPr>
          <w:rFonts w:ascii="Arial" w:hAnsi="Arial"/>
          <w:b/>
          <w:bCs/>
          <w:noProof/>
          <w:sz w:val="22"/>
        </w:rPr>
        <w:lastRenderedPageBreak/>
        <w:drawing>
          <wp:inline distT="0" distB="0" distL="0" distR="0" wp14:anchorId="0F2F13E2" wp14:editId="4FC117E8">
            <wp:extent cx="5760720" cy="3403406"/>
            <wp:effectExtent l="0" t="0" r="0" b="69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03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173894" w14:textId="57951BDB" w:rsidR="00776ECC" w:rsidRDefault="00C741F9" w:rsidP="00776ECC">
      <w:pPr>
        <w:spacing w:before="240"/>
        <w:rPr>
          <w:rFonts w:ascii="Arial" w:hAnsi="Arial"/>
          <w:sz w:val="22"/>
        </w:rPr>
      </w:pPr>
      <w:r w:rsidRPr="00776ECC">
        <w:rPr>
          <w:rFonts w:ascii="Arial" w:hAnsi="Arial"/>
          <w:b/>
          <w:bCs/>
          <w:sz w:val="22"/>
        </w:rPr>
        <w:t>Supplementary Figure S</w:t>
      </w:r>
      <w:r w:rsidR="00FC1B3A" w:rsidRPr="00776ECC">
        <w:rPr>
          <w:rFonts w:ascii="Arial" w:hAnsi="Arial"/>
          <w:b/>
          <w:bCs/>
          <w:sz w:val="22"/>
        </w:rPr>
        <w:t>4</w:t>
      </w:r>
      <w:r w:rsidRPr="00776ECC">
        <w:rPr>
          <w:rFonts w:ascii="Arial" w:hAnsi="Arial"/>
          <w:b/>
          <w:bCs/>
          <w:sz w:val="22"/>
        </w:rPr>
        <w:t>:</w:t>
      </w:r>
      <w:r w:rsidRPr="00776ECC">
        <w:rPr>
          <w:rFonts w:ascii="Arial" w:hAnsi="Arial"/>
          <w:sz w:val="22"/>
        </w:rPr>
        <w:t xml:space="preserve"> Whole-body </w:t>
      </w:r>
      <w:r w:rsidR="00776ECC" w:rsidRPr="00776ECC">
        <w:rPr>
          <w:rFonts w:ascii="Arial" w:hAnsi="Arial"/>
          <w:sz w:val="22"/>
        </w:rPr>
        <w:t>[</w:t>
      </w:r>
      <w:r w:rsidR="00776ECC" w:rsidRPr="00776ECC">
        <w:rPr>
          <w:rFonts w:ascii="Arial" w:hAnsi="Arial"/>
          <w:sz w:val="22"/>
          <w:vertAlign w:val="superscript"/>
        </w:rPr>
        <w:t>68</w:t>
      </w:r>
      <w:proofErr w:type="gramStart"/>
      <w:r w:rsidR="00776ECC" w:rsidRPr="00776ECC">
        <w:rPr>
          <w:rFonts w:ascii="Arial" w:hAnsi="Arial"/>
          <w:sz w:val="22"/>
        </w:rPr>
        <w:t>Ga]Ga</w:t>
      </w:r>
      <w:proofErr w:type="gramEnd"/>
      <w:r w:rsidR="00776ECC" w:rsidRPr="00776ECC">
        <w:rPr>
          <w:rFonts w:ascii="Arial" w:hAnsi="Arial"/>
          <w:sz w:val="22"/>
        </w:rPr>
        <w:t>-DOTA-puromycin-µPET/MRI (representative posterior, coronal whole-body image slice), the full scanner field of view of 6.7 cm including MRI (left) and fused PET/MRI (right) projection from neck – pelvis. Unwanted high bladder activity (bottom right) is limiting the image quality.</w:t>
      </w:r>
    </w:p>
    <w:p w14:paraId="48E819D6" w14:textId="77777777" w:rsidR="00655948" w:rsidRDefault="00655948" w:rsidP="00776ECC">
      <w:pPr>
        <w:spacing w:before="240"/>
        <w:rPr>
          <w:rFonts w:ascii="Arial" w:hAnsi="Arial"/>
          <w:sz w:val="22"/>
        </w:rPr>
      </w:pPr>
    </w:p>
    <w:p w14:paraId="257072A7" w14:textId="77777777" w:rsidR="00B135C4" w:rsidRDefault="00B135C4">
      <w:pPr>
        <w:spacing w:after="160" w:line="259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4"/>
      </w:tblGrid>
      <w:tr w:rsidR="00741714" w14:paraId="50F6567C" w14:textId="77777777" w:rsidTr="0011128D">
        <w:tc>
          <w:tcPr>
            <w:tcW w:w="3964" w:type="dxa"/>
          </w:tcPr>
          <w:p w14:paraId="381CC578" w14:textId="17428FC2" w:rsidR="00741714" w:rsidRDefault="00741714" w:rsidP="00776ECC">
            <w:pPr>
              <w:spacing w:before="240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noProof/>
                <w:sz w:val="22"/>
              </w:rPr>
              <w:lastRenderedPageBreak/>
              <w:drawing>
                <wp:inline distT="0" distB="0" distL="0" distR="0" wp14:anchorId="6F91C949" wp14:editId="15466640">
                  <wp:extent cx="2341418" cy="2305801"/>
                  <wp:effectExtent l="0" t="0" r="1905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5857" cy="2320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1714" w14:paraId="40F97829" w14:textId="77777777" w:rsidTr="0011128D">
        <w:tc>
          <w:tcPr>
            <w:tcW w:w="3964" w:type="dxa"/>
          </w:tcPr>
          <w:p w14:paraId="1560BD4C" w14:textId="53467D04" w:rsidR="00741714" w:rsidRDefault="00741714" w:rsidP="00776ECC">
            <w:pPr>
              <w:spacing w:before="240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 xml:space="preserve">+3 </w:t>
            </w:r>
            <w:r w:rsidRPr="00741714">
              <w:rPr>
                <w:rFonts w:ascii="Arial" w:hAnsi="Arial"/>
                <w:sz w:val="22"/>
              </w:rPr>
              <w:t xml:space="preserve">Ziehl </w:t>
            </w:r>
            <w:proofErr w:type="spellStart"/>
            <w:r w:rsidRPr="00741714">
              <w:rPr>
                <w:rFonts w:ascii="Arial" w:hAnsi="Arial"/>
                <w:sz w:val="22"/>
              </w:rPr>
              <w:t>Neelsen</w:t>
            </w:r>
            <w:proofErr w:type="spellEnd"/>
            <w:r>
              <w:rPr>
                <w:rFonts w:ascii="Arial" w:hAnsi="Arial"/>
                <w:sz w:val="22"/>
              </w:rPr>
              <w:t xml:space="preserve"> grading </w:t>
            </w:r>
          </w:p>
        </w:tc>
      </w:tr>
      <w:tr w:rsidR="00741714" w14:paraId="3B97F3AB" w14:textId="77777777" w:rsidTr="0011128D">
        <w:tc>
          <w:tcPr>
            <w:tcW w:w="3964" w:type="dxa"/>
          </w:tcPr>
          <w:p w14:paraId="3D839071" w14:textId="531111CA" w:rsidR="00741714" w:rsidRDefault="00741714" w:rsidP="00776ECC">
            <w:pPr>
              <w:spacing w:before="240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noProof/>
                <w:sz w:val="22"/>
              </w:rPr>
              <w:drawing>
                <wp:inline distT="0" distB="0" distL="0" distR="0" wp14:anchorId="50E4664C" wp14:editId="7A91D5DA">
                  <wp:extent cx="2085109" cy="2053390"/>
                  <wp:effectExtent l="0" t="0" r="0" b="444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8757" cy="2066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1714" w14:paraId="4F6106CD" w14:textId="77777777" w:rsidTr="0011128D">
        <w:tc>
          <w:tcPr>
            <w:tcW w:w="3964" w:type="dxa"/>
          </w:tcPr>
          <w:p w14:paraId="4F6BBC50" w14:textId="1FB083C5" w:rsidR="00741714" w:rsidRDefault="00741714" w:rsidP="00776ECC">
            <w:pPr>
              <w:spacing w:before="240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 xml:space="preserve">+1 </w:t>
            </w:r>
            <w:r w:rsidRPr="00741714">
              <w:rPr>
                <w:rFonts w:ascii="Arial" w:hAnsi="Arial"/>
                <w:sz w:val="22"/>
              </w:rPr>
              <w:t xml:space="preserve">Ziehl </w:t>
            </w:r>
            <w:proofErr w:type="spellStart"/>
            <w:r w:rsidRPr="00741714">
              <w:rPr>
                <w:rFonts w:ascii="Arial" w:hAnsi="Arial"/>
                <w:sz w:val="22"/>
              </w:rPr>
              <w:t>Neelsen</w:t>
            </w:r>
            <w:proofErr w:type="spellEnd"/>
            <w:r>
              <w:rPr>
                <w:rFonts w:ascii="Arial" w:hAnsi="Arial"/>
                <w:sz w:val="22"/>
              </w:rPr>
              <w:t xml:space="preserve"> grading </w:t>
            </w:r>
          </w:p>
        </w:tc>
      </w:tr>
    </w:tbl>
    <w:p w14:paraId="63F33237" w14:textId="655AC591" w:rsidR="00655948" w:rsidRPr="00776ECC" w:rsidRDefault="00655948" w:rsidP="00776ECC">
      <w:pPr>
        <w:spacing w:before="240"/>
        <w:rPr>
          <w:rFonts w:ascii="Arial" w:hAnsi="Arial"/>
          <w:sz w:val="22"/>
        </w:rPr>
      </w:pPr>
      <w:r w:rsidRPr="00B135C4">
        <w:rPr>
          <w:rFonts w:ascii="Arial" w:hAnsi="Arial"/>
          <w:b/>
          <w:bCs/>
          <w:sz w:val="22"/>
        </w:rPr>
        <w:t>Supplementary Figures S5:</w:t>
      </w:r>
      <w:r>
        <w:rPr>
          <w:rFonts w:ascii="Arial" w:hAnsi="Arial"/>
          <w:sz w:val="22"/>
        </w:rPr>
        <w:t xml:space="preserve"> </w:t>
      </w:r>
      <w:r w:rsidR="00B135C4">
        <w:rPr>
          <w:rFonts w:ascii="Arial" w:hAnsi="Arial"/>
          <w:sz w:val="22"/>
        </w:rPr>
        <w:t>Representative</w:t>
      </w:r>
      <w:r>
        <w:rPr>
          <w:rFonts w:ascii="Arial" w:hAnsi="Arial"/>
          <w:sz w:val="22"/>
        </w:rPr>
        <w:t xml:space="preserve"> images of</w:t>
      </w:r>
      <w:r w:rsidR="00741714">
        <w:rPr>
          <w:rFonts w:ascii="Arial" w:hAnsi="Arial"/>
          <w:sz w:val="22"/>
        </w:rPr>
        <w:t xml:space="preserve"> the </w:t>
      </w:r>
      <w:r w:rsidR="00741714" w:rsidRPr="00741714">
        <w:rPr>
          <w:rFonts w:ascii="Arial" w:hAnsi="Arial"/>
          <w:sz w:val="22"/>
        </w:rPr>
        <w:t xml:space="preserve">Ziehl </w:t>
      </w:r>
      <w:proofErr w:type="spellStart"/>
      <w:r w:rsidR="00741714" w:rsidRPr="00741714">
        <w:rPr>
          <w:rFonts w:ascii="Arial" w:hAnsi="Arial"/>
          <w:sz w:val="22"/>
        </w:rPr>
        <w:t>Neelsen</w:t>
      </w:r>
      <w:proofErr w:type="spellEnd"/>
      <w:r w:rsidR="00741714" w:rsidRPr="00741714">
        <w:rPr>
          <w:rFonts w:ascii="Arial" w:hAnsi="Arial"/>
          <w:sz w:val="22"/>
        </w:rPr>
        <w:t xml:space="preserve"> </w:t>
      </w:r>
      <w:proofErr w:type="gramStart"/>
      <w:r w:rsidR="00741714" w:rsidRPr="00741714">
        <w:rPr>
          <w:rFonts w:ascii="Arial" w:hAnsi="Arial"/>
          <w:sz w:val="22"/>
        </w:rPr>
        <w:t>staining</w:t>
      </w:r>
      <w:proofErr w:type="gramEnd"/>
      <w:r>
        <w:rPr>
          <w:rFonts w:ascii="Arial" w:hAnsi="Arial"/>
          <w:sz w:val="22"/>
        </w:rPr>
        <w:t xml:space="preserve"> </w:t>
      </w:r>
    </w:p>
    <w:p w14:paraId="746144F3" w14:textId="64E2459A" w:rsidR="00C741F9" w:rsidRPr="00FC1B3A" w:rsidRDefault="00C741F9">
      <w:pPr>
        <w:rPr>
          <w:rFonts w:ascii="Arial" w:hAnsi="Arial"/>
          <w:color w:val="000000"/>
          <w:sz w:val="22"/>
        </w:rPr>
      </w:pPr>
    </w:p>
    <w:p w14:paraId="1B71A1D7" w14:textId="77777777" w:rsidR="00C741F9" w:rsidRPr="00FC1B3A" w:rsidRDefault="00C741F9">
      <w:pPr>
        <w:rPr>
          <w:rFonts w:ascii="Arial" w:hAnsi="Arial"/>
          <w:color w:val="000000"/>
          <w:sz w:val="22"/>
        </w:rPr>
      </w:pPr>
    </w:p>
    <w:p w14:paraId="58AFBE93" w14:textId="77777777" w:rsidR="00C741F9" w:rsidRPr="00FC1B3A" w:rsidRDefault="00C741F9">
      <w:pPr>
        <w:rPr>
          <w:rFonts w:ascii="Arial" w:hAnsi="Arial"/>
          <w:color w:val="000000"/>
          <w:sz w:val="22"/>
        </w:rPr>
      </w:pPr>
    </w:p>
    <w:p w14:paraId="4838FDE2" w14:textId="2DCB57F4" w:rsidR="00C741F9" w:rsidRPr="00FC1B3A" w:rsidRDefault="00C741F9">
      <w:pPr>
        <w:rPr>
          <w:rFonts w:ascii="Arial" w:hAnsi="Arial"/>
          <w:sz w:val="22"/>
        </w:rPr>
      </w:pPr>
    </w:p>
    <w:sectPr w:rsidR="00C741F9" w:rsidRPr="00FC1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D9C"/>
    <w:rsid w:val="00007716"/>
    <w:rsid w:val="00063509"/>
    <w:rsid w:val="0007537E"/>
    <w:rsid w:val="0008130A"/>
    <w:rsid w:val="000D56FF"/>
    <w:rsid w:val="0011128D"/>
    <w:rsid w:val="002E6AC2"/>
    <w:rsid w:val="00353953"/>
    <w:rsid w:val="004C7D9C"/>
    <w:rsid w:val="00526938"/>
    <w:rsid w:val="00655948"/>
    <w:rsid w:val="00675B4B"/>
    <w:rsid w:val="00691375"/>
    <w:rsid w:val="00741714"/>
    <w:rsid w:val="00776ECC"/>
    <w:rsid w:val="009C0A64"/>
    <w:rsid w:val="00A3648A"/>
    <w:rsid w:val="00AA575D"/>
    <w:rsid w:val="00B135C4"/>
    <w:rsid w:val="00C741F9"/>
    <w:rsid w:val="00E2581B"/>
    <w:rsid w:val="00E4581D"/>
    <w:rsid w:val="00F84B1E"/>
    <w:rsid w:val="00FA56F6"/>
    <w:rsid w:val="00FC1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30B59"/>
  <w15:chartTrackingRefBased/>
  <w15:docId w15:val="{5A880D5E-D3FD-4DCC-8343-E20D74829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7D9C"/>
    <w:pPr>
      <w:spacing w:after="0" w:line="360" w:lineRule="auto"/>
    </w:pPr>
    <w:rPr>
      <w:rFonts w:ascii="Times New Roman" w:eastAsia="Arial" w:hAnsi="Times New Roman" w:cs="Arial"/>
      <w:sz w:val="24"/>
      <w:lang w:val="en" w:eastAsia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56FF"/>
    <w:pPr>
      <w:widowControl w:val="0"/>
      <w:spacing w:line="240" w:lineRule="auto"/>
      <w:ind w:left="133"/>
      <w:outlineLvl w:val="0"/>
    </w:pPr>
    <w:rPr>
      <w:rFonts w:ascii="Arial" w:hAnsi="Arial"/>
      <w:b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C7D9C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C7D9C"/>
    <w:rPr>
      <w:rFonts w:ascii="Times New Roman" w:eastAsia="Arial" w:hAnsi="Times New Roman" w:cs="Arial"/>
      <w:sz w:val="52"/>
      <w:szCs w:val="52"/>
      <w:lang w:val="en" w:eastAsia="en-ZA"/>
    </w:rPr>
  </w:style>
  <w:style w:type="table" w:styleId="TableGrid">
    <w:name w:val="Table Grid"/>
    <w:basedOn w:val="TableNormal"/>
    <w:uiPriority w:val="39"/>
    <w:rsid w:val="00B135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D56FF"/>
    <w:rPr>
      <w:rFonts w:ascii="Arial" w:eastAsia="Arial" w:hAnsi="Arial" w:cs="Arial"/>
      <w:b/>
      <w:sz w:val="24"/>
      <w:szCs w:val="24"/>
      <w:lang w:val="en-GB"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2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36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8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chart" Target="charts/chart1.xml"/><Relationship Id="rId9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Thomas%20Ebenhan\OneDrive%20-%20Sanumeri\Documents\TE-DOCS\publications\2023\NMB-%20UP_DOTA-Pur-TB\DOTA-pur%20files\collelation-pur-zn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0158988\Desktop\Puromycin\biodistribution%20gallium-68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6326159230096238"/>
          <c:y val="3.0721829874358487E-2"/>
          <c:w val="0.7268495188101487"/>
          <c:h val="0.75313905349460186"/>
        </c:manualLayout>
      </c:layout>
      <c:scatterChart>
        <c:scatterStyle val="lineMarker"/>
        <c:varyColors val="0"/>
        <c:ser>
          <c:idx val="0"/>
          <c:order val="0"/>
          <c:spPr>
            <a:ln w="2540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Sheet1!$B$4:$B$19</c:f>
              <c:numCache>
                <c:formatCode>0.00</c:formatCode>
                <c:ptCount val="16"/>
                <c:pt idx="0">
                  <c:v>0.13500000000000001</c:v>
                </c:pt>
                <c:pt idx="1">
                  <c:v>0.127</c:v>
                </c:pt>
                <c:pt idx="2">
                  <c:v>0.22800000000000001</c:v>
                </c:pt>
                <c:pt idx="3">
                  <c:v>0.128</c:v>
                </c:pt>
                <c:pt idx="4">
                  <c:v>0.23100000000000001</c:v>
                </c:pt>
                <c:pt idx="5">
                  <c:v>0.11</c:v>
                </c:pt>
                <c:pt idx="6">
                  <c:v>7.8E-2</c:v>
                </c:pt>
                <c:pt idx="7">
                  <c:v>8.6999999999999994E-2</c:v>
                </c:pt>
                <c:pt idx="8">
                  <c:v>0.13700000000000001</c:v>
                </c:pt>
                <c:pt idx="9">
                  <c:v>8.7999999999999995E-2</c:v>
                </c:pt>
                <c:pt idx="10">
                  <c:v>8.5000000000000006E-2</c:v>
                </c:pt>
                <c:pt idx="11">
                  <c:v>0.11</c:v>
                </c:pt>
                <c:pt idx="12">
                  <c:v>0.125</c:v>
                </c:pt>
                <c:pt idx="13">
                  <c:v>7.0999999999999994E-2</c:v>
                </c:pt>
                <c:pt idx="14">
                  <c:v>6.6000000000000003E-2</c:v>
                </c:pt>
                <c:pt idx="15">
                  <c:v>5.8999999999999997E-2</c:v>
                </c:pt>
              </c:numCache>
            </c:numRef>
          </c:xVal>
          <c:yVal>
            <c:numRef>
              <c:f>Sheet1!$C$4:$C$19</c:f>
              <c:numCache>
                <c:formatCode>General</c:formatCode>
                <c:ptCount val="16"/>
                <c:pt idx="0">
                  <c:v>0.88</c:v>
                </c:pt>
                <c:pt idx="1">
                  <c:v>1.65</c:v>
                </c:pt>
                <c:pt idx="2">
                  <c:v>0.75</c:v>
                </c:pt>
                <c:pt idx="3">
                  <c:v>1.35</c:v>
                </c:pt>
                <c:pt idx="4">
                  <c:v>1.5</c:v>
                </c:pt>
                <c:pt idx="5">
                  <c:v>0.72</c:v>
                </c:pt>
                <c:pt idx="6">
                  <c:v>0.64</c:v>
                </c:pt>
                <c:pt idx="7">
                  <c:v>0.41</c:v>
                </c:pt>
                <c:pt idx="8">
                  <c:v>0.66</c:v>
                </c:pt>
                <c:pt idx="9">
                  <c:v>0.85</c:v>
                </c:pt>
                <c:pt idx="10">
                  <c:v>2.89</c:v>
                </c:pt>
                <c:pt idx="11">
                  <c:v>0.65</c:v>
                </c:pt>
                <c:pt idx="12">
                  <c:v>0.68</c:v>
                </c:pt>
                <c:pt idx="13">
                  <c:v>0.57999999999999996</c:v>
                </c:pt>
                <c:pt idx="14">
                  <c:v>1.05</c:v>
                </c:pt>
                <c:pt idx="15">
                  <c:v>1.06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AF06-4FF9-9F67-DCF6FD30C0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013521631"/>
        <c:axId val="2013510815"/>
      </c:scatterChart>
      <c:valAx>
        <c:axId val="2013521631"/>
        <c:scaling>
          <c:orientation val="minMax"/>
          <c:max val="0.25"/>
          <c:min val="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400" b="1" i="0" baseline="0">
                    <a:effectLst/>
                  </a:rPr>
                  <a:t>[</a:t>
                </a:r>
                <a:r>
                  <a:rPr lang="en-US" sz="1400" b="1" i="0" baseline="30000">
                    <a:effectLst/>
                  </a:rPr>
                  <a:t>68</a:t>
                </a:r>
                <a:r>
                  <a:rPr lang="en-US" sz="1400" b="1" i="0" baseline="0">
                    <a:effectLst/>
                  </a:rPr>
                  <a:t>Ga]DOTA-Pur (NUV)</a:t>
                </a:r>
                <a:endParaRPr lang="en-ZA" sz="1400">
                  <a:effectLst/>
                </a:endParaRPr>
              </a:p>
            </c:rich>
          </c:tx>
          <c:layout>
            <c:manualLayout>
              <c:xMode val="edge"/>
              <c:yMode val="edge"/>
              <c:x val="0.31956933508311464"/>
              <c:y val="0.9065292096219931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4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nl-BE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nl-BE"/>
          </a:p>
        </c:txPr>
        <c:crossAx val="2013510815"/>
        <c:crosses val="autoZero"/>
        <c:crossBetween val="midCat"/>
        <c:majorUnit val="5.000000000000001E-2"/>
      </c:valAx>
      <c:valAx>
        <c:axId val="20135108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1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400" b="1">
                    <a:solidFill>
                      <a:sysClr val="windowText" lastClr="000000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[</a:t>
                </a:r>
                <a:r>
                  <a:rPr lang="en-US" sz="1400" b="1" baseline="30000">
                    <a:solidFill>
                      <a:sysClr val="windowText" lastClr="000000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18</a:t>
                </a:r>
                <a:r>
                  <a:rPr lang="en-US" sz="1400" b="1">
                    <a:solidFill>
                      <a:sysClr val="windowText" lastClr="000000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F]FDG (NUV)</a:t>
                </a:r>
              </a:p>
            </c:rich>
          </c:tx>
          <c:layout>
            <c:manualLayout>
              <c:xMode val="edge"/>
              <c:yMode val="edge"/>
              <c:x val="1.6097112860892389E-2"/>
              <c:y val="0.1170740770805711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400" b="1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nl-BE"/>
            </a:p>
          </c:txPr>
        </c:title>
        <c:numFmt formatCode="#,##0.0" sourceLinked="0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nl-BE"/>
          </a:p>
        </c:txPr>
        <c:crossAx val="2013521631"/>
        <c:crosses val="autoZero"/>
        <c:crossBetween val="midCat"/>
      </c:valAx>
      <c:spPr>
        <a:noFill/>
        <a:ln w="12700">
          <a:solidFill>
            <a:schemeClr val="tx1"/>
          </a:solidFill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nl-BE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cap="none" spc="2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Ex-vivo</a:t>
            </a:r>
            <a:r>
              <a:rPr lang="en-US" baseline="0"/>
              <a:t> biodistribution 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cap="none" spc="2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nl-BE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Average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tint val="50000"/>
                    <a:satMod val="300000"/>
                  </a:schemeClr>
                </a:gs>
                <a:gs pos="35000">
                  <a:schemeClr val="accent1">
                    <a:tint val="37000"/>
                    <a:satMod val="300000"/>
                  </a:schemeClr>
                </a:gs>
                <a:gs pos="100000">
                  <a:schemeClr val="accent1">
                    <a:tint val="15000"/>
                    <a:satMod val="350000"/>
                  </a:schemeClr>
                </a:gs>
              </a:gsLst>
              <a:lin ang="16200000" scaled="1"/>
            </a:gradFill>
            <a:ln w="9525" cap="flat" cmpd="sng" algn="ctr">
              <a:solidFill>
                <a:schemeClr val="accent1">
                  <a:shade val="95000"/>
                </a:schemeClr>
              </a:solidFill>
              <a:round/>
            </a:ln>
            <a:effectLst>
              <a:outerShdw blurRad="40000" dist="20000" dir="5400000" rotWithShape="0">
                <a:srgbClr val="000000">
                  <a:alpha val="38000"/>
                </a:srgbClr>
              </a:outerShdw>
            </a:effectLst>
          </c:spPr>
          <c:invertIfNegative val="0"/>
          <c:errBars>
            <c:errBarType val="both"/>
            <c:errValType val="cust"/>
            <c:noEndCap val="0"/>
            <c:plus>
              <c:numRef>
                <c:f>Sheet1!$C$2:$C$7</c:f>
                <c:numCache>
                  <c:formatCode>General</c:formatCode>
                  <c:ptCount val="6"/>
                  <c:pt idx="0">
                    <c:v>7.0520758615269102E-2</c:v>
                  </c:pt>
                  <c:pt idx="1">
                    <c:v>0.65239573986065558</c:v>
                  </c:pt>
                  <c:pt idx="2">
                    <c:v>0.38522959565982734</c:v>
                  </c:pt>
                  <c:pt idx="3">
                    <c:v>0.22743055958551386</c:v>
                  </c:pt>
                  <c:pt idx="4">
                    <c:v>1.8815030349059005E-3</c:v>
                  </c:pt>
                  <c:pt idx="5">
                    <c:v>0.39130174937732259</c:v>
                  </c:pt>
                </c:numCache>
              </c:numRef>
            </c:plus>
            <c:minus>
              <c:numRef>
                <c:f>Sheet1!$C$2:$C$7</c:f>
                <c:numCache>
                  <c:formatCode>General</c:formatCode>
                  <c:ptCount val="6"/>
                  <c:pt idx="0">
                    <c:v>7.0520758615269102E-2</c:v>
                  </c:pt>
                  <c:pt idx="1">
                    <c:v>0.65239573986065558</c:v>
                  </c:pt>
                  <c:pt idx="2">
                    <c:v>0.38522959565982734</c:v>
                  </c:pt>
                  <c:pt idx="3">
                    <c:v>0.22743055958551386</c:v>
                  </c:pt>
                  <c:pt idx="4">
                    <c:v>1.8815030349059005E-3</c:v>
                  </c:pt>
                  <c:pt idx="5">
                    <c:v>0.39130174937732259</c:v>
                  </c:pt>
                </c:numCache>
              </c:numRef>
            </c:minus>
            <c:spPr>
              <a:noFill/>
              <a:ln w="9525">
                <a:solidFill>
                  <a:schemeClr val="tx1">
                    <a:lumMod val="50000"/>
                    <a:lumOff val="50000"/>
                  </a:schemeClr>
                </a:solidFill>
              </a:ln>
              <a:effectLst/>
            </c:spPr>
          </c:errBars>
          <c:cat>
            <c:strRef>
              <c:f>Sheet1!$A$2:$A$7</c:f>
              <c:strCache>
                <c:ptCount val="6"/>
                <c:pt idx="0">
                  <c:v>blood</c:v>
                </c:pt>
                <c:pt idx="1">
                  <c:v>brain</c:v>
                </c:pt>
                <c:pt idx="2">
                  <c:v>kidney</c:v>
                </c:pt>
                <c:pt idx="3">
                  <c:v>muscle</c:v>
                </c:pt>
                <c:pt idx="4">
                  <c:v>bone</c:v>
                </c:pt>
                <c:pt idx="5">
                  <c:v>liver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1.2555177859590061</c:v>
                </c:pt>
                <c:pt idx="1">
                  <c:v>0.67021261373091034</c:v>
                </c:pt>
                <c:pt idx="2">
                  <c:v>9.2753212242405727</c:v>
                </c:pt>
                <c:pt idx="3">
                  <c:v>0.71702231486277901</c:v>
                </c:pt>
                <c:pt idx="4">
                  <c:v>2.3072368421052634E-3</c:v>
                </c:pt>
                <c:pt idx="5">
                  <c:v>3.5080355197241451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CF6-4AC5-912C-90E2C4712C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2077943503"/>
        <c:axId val="1331961967"/>
      </c:barChart>
      <c:catAx>
        <c:axId val="207794350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nl-BE"/>
          </a:p>
        </c:txPr>
        <c:crossAx val="1331961967"/>
        <c:crosses val="autoZero"/>
        <c:auto val="1"/>
        <c:lblAlgn val="ctr"/>
        <c:lblOffset val="100"/>
        <c:noMultiLvlLbl val="0"/>
      </c:catAx>
      <c:valAx>
        <c:axId val="133196196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800" b="0" i="0" u="none" strike="noStrike" kern="1200" cap="none" baseline="0">
                    <a:solidFill>
                      <a:sysClr val="windowText" lastClr="000000"/>
                    </a:solidFill>
                  </a:rPr>
                  <a:t>%ID per gram of organ </a:t>
                </a:r>
                <a:endParaRPr lang="nl-BE" cap="none">
                  <a:solidFill>
                    <a:sysClr val="windowText" lastClr="000000"/>
                  </a:solidFill>
                </a:endParaRPr>
              </a:p>
            </c:rich>
          </c:tx>
          <c:layout>
            <c:manualLayout>
              <c:xMode val="edge"/>
              <c:yMode val="edge"/>
              <c:x val="2.7777777777777776E-2"/>
              <c:y val="0.2993095654709828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chemeClr val="tx1">
                      <a:lumMod val="50000"/>
                      <a:lumOff val="50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nl-BE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nl-BE"/>
          </a:p>
        </c:txPr>
        <c:crossAx val="207794350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nl-BE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6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331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KU Leuven</Company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Janke Kleynhans</dc:creator>
  <cp:keywords/>
  <dc:description/>
  <cp:lastModifiedBy>Janke Kleynhans</cp:lastModifiedBy>
  <cp:revision>15</cp:revision>
  <dcterms:created xsi:type="dcterms:W3CDTF">2024-06-27T07:20:00Z</dcterms:created>
  <dcterms:modified xsi:type="dcterms:W3CDTF">2024-07-04T05:39:00Z</dcterms:modified>
</cp:coreProperties>
</file>