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0E41" w:rsidRPr="001E0E41" w:rsidRDefault="001E0E41" w:rsidP="001E0E41">
      <w:pPr>
        <w:spacing w:line="480" w:lineRule="auto"/>
        <w:jc w:val="center"/>
        <w:rPr>
          <w:rFonts w:eastAsiaTheme="minorEastAsia"/>
          <w:b/>
          <w:sz w:val="28"/>
          <w:szCs w:val="28"/>
          <w:lang w:eastAsia="zh-CN"/>
        </w:rPr>
      </w:pPr>
      <w:r w:rsidRPr="001E0E41">
        <w:rPr>
          <w:rFonts w:eastAsiaTheme="minorEastAsia"/>
          <w:b/>
          <w:sz w:val="28"/>
          <w:szCs w:val="28"/>
          <w:lang w:eastAsia="zh-CN"/>
        </w:rPr>
        <w:t>Details of Data Sources</w:t>
      </w:r>
    </w:p>
    <w:p w:rsidR="001E0E41" w:rsidRPr="0094446A" w:rsidRDefault="001E0E41" w:rsidP="001E0E41">
      <w:pPr>
        <w:spacing w:line="480" w:lineRule="auto"/>
        <w:rPr>
          <w:rFonts w:eastAsiaTheme="minorEastAsia"/>
          <w:b/>
          <w:szCs w:val="24"/>
          <w:lang w:eastAsia="zh-CN"/>
        </w:rPr>
      </w:pPr>
      <w:r w:rsidRPr="0094446A">
        <w:rPr>
          <w:rFonts w:eastAsiaTheme="minorEastAsia"/>
          <w:b/>
          <w:szCs w:val="24"/>
          <w:lang w:eastAsia="zh-CN"/>
        </w:rPr>
        <w:t>1. Data of Japan</w:t>
      </w:r>
      <w:bookmarkStart w:id="0" w:name="_GoBack"/>
      <w:bookmarkEnd w:id="0"/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(1) The average commercia</w:t>
      </w:r>
      <w:r>
        <w:rPr>
          <w:rFonts w:eastAsiaTheme="minorEastAsia"/>
          <w:szCs w:val="24"/>
          <w:lang w:eastAsia="zh-CN"/>
        </w:rPr>
        <w:t>l land price (CP) by prefecture</w:t>
      </w:r>
      <w:r w:rsidRPr="0094446A"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15 Real Estate and Land, Price and Rent, 15-20  Average Prices of Housing Land by Use and Prefecture (Per 1sq. m) (1980--2004)(Excel:140KB), Commercial Site,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http://www.stat.go.jp/english/data/chouki/15.htm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(2) The average residential land price (RP) by prefect</w:t>
      </w:r>
      <w:r>
        <w:rPr>
          <w:rFonts w:eastAsiaTheme="minorEastAsia"/>
          <w:szCs w:val="24"/>
          <w:lang w:eastAsia="zh-CN"/>
        </w:rPr>
        <w:t>ure</w:t>
      </w:r>
      <w:r w:rsidRPr="0094446A"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15 Real Estate and Land, Price and Rent, 15-20  Average Prices of Housing Land by Use and Prefecture (Per 1sq. m) (1980--2004)(Excel:140KB), Residential Site,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http://www.stat.go.jp/english/data/chouki/15.htm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eastAsiaTheme="minorEastAsia"/>
          <w:szCs w:val="24"/>
          <w:lang w:eastAsia="zh-CN"/>
        </w:rPr>
        <w:t>(3) Nominal GDP by prefecture</w:t>
      </w:r>
      <w:r w:rsidRPr="0094446A"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3 National Accounts, Prefectural Accounts, 3-37- a  Prefectural Accounts - 68SNA, Benchmark year = 1990 (F.Y.1975--1999)(Excel:54KB), Gross prefectural domestic product (at current price),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http://www.stat.go.jp/english/data/chouki/03.htm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eastAsiaTheme="minorEastAsia"/>
          <w:szCs w:val="24"/>
          <w:lang w:eastAsia="zh-CN"/>
        </w:rPr>
        <w:t>(4) Population by prefecture</w:t>
      </w:r>
      <w:r w:rsidRPr="0094446A"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2 Population and Households, 2- 5 Population by Prefecture and Sex (1884--2009)(Excel:139KB),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http://www.stat.go.jp/english/data/chouki/02.htm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lastRenderedPageBreak/>
        <w:t>(5</w:t>
      </w:r>
      <w:r>
        <w:rPr>
          <w:rFonts w:eastAsiaTheme="minorEastAsia"/>
          <w:szCs w:val="24"/>
          <w:lang w:eastAsia="zh-CN"/>
        </w:rPr>
        <w:t>) Administer area by prefecture</w:t>
      </w:r>
      <w:r w:rsidRPr="0094446A"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1 Land and Climate, 1-11 Area by Prefectures (1920--2010) (Excel:42KB),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http://www.stat.go.jp/english/data/chouki/01.htm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(6) The lending rate (LI):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14 Finance and Insurance, Interest Rate, 14- 1 Principal Interest Rates (1946--2004)(Excel:63KB), Lending rate, Prime Lending Rate, Short-term,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http://www.stat.go.jp/english/data/chouki/14.htm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 xml:space="preserve"> (7) Commercial land price index in national level (LCPN):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22 Prices, Price of Land, 22-20  Urban Land Price Index - All Urban Land, 6 Major Cities and excluding 6 Large Cities (1955--2005)(Excel:32KB), Year: 1980-1999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http://www.stat.go.jp/english/data/chouki/22.htm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eastAsiaTheme="minorEastAsia"/>
          <w:szCs w:val="24"/>
          <w:lang w:eastAsia="zh-CN"/>
        </w:rPr>
        <w:t>(</w:t>
      </w:r>
      <w:r w:rsidRPr="0094446A">
        <w:rPr>
          <w:rFonts w:eastAsiaTheme="minorEastAsia"/>
          <w:szCs w:val="24"/>
          <w:lang w:eastAsia="zh-CN"/>
        </w:rPr>
        <w:t>8</w:t>
      </w:r>
      <w:r>
        <w:rPr>
          <w:rFonts w:eastAsiaTheme="minorEastAsia"/>
          <w:szCs w:val="24"/>
          <w:lang w:eastAsia="zh-CN"/>
        </w:rPr>
        <w:t xml:space="preserve">) </w:t>
      </w:r>
      <w:r w:rsidRPr="0094446A">
        <w:rPr>
          <w:rFonts w:eastAsiaTheme="minorEastAsia"/>
          <w:szCs w:val="24"/>
          <w:lang w:eastAsia="zh-CN"/>
        </w:rPr>
        <w:t>Nominal GDP in national level (GDPN):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Japan Statistics Bureau, Historical Statistics of Japan, Contents, Chapter 3 National Accounts, [68SNA] Flow, 3- 3- a  Gross Domestic Product Classified by Economic Activities (Major Industry Group) (At Current Prices, At Constant Prices, Deflators) - 68SNA, Benchmark year = 1990 (1955--1998)(Excel:61KB), Gross domestic product (not including statistical discrepancy), Year: 1970-1999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 xml:space="preserve">URL: </w:t>
      </w:r>
      <w:hyperlink r:id="rId6" w:history="1">
        <w:r w:rsidRPr="0094446A">
          <w:rPr>
            <w:lang w:eastAsia="zh-CN"/>
          </w:rPr>
          <w:t>http://www.stat.go.jp/english/data/chouki/03.htm</w:t>
        </w:r>
      </w:hyperlink>
    </w:p>
    <w:p w:rsidR="001E0E41" w:rsidRPr="0094446A" w:rsidRDefault="001E0E41" w:rsidP="001E0E41">
      <w:pPr>
        <w:spacing w:line="480" w:lineRule="auto"/>
        <w:rPr>
          <w:rFonts w:eastAsiaTheme="minorEastAsia"/>
          <w:b/>
          <w:szCs w:val="24"/>
          <w:lang w:eastAsia="zh-CN"/>
        </w:rPr>
      </w:pPr>
      <w:r>
        <w:rPr>
          <w:rFonts w:eastAsiaTheme="minorEastAsia"/>
          <w:b/>
          <w:szCs w:val="24"/>
          <w:lang w:eastAsia="zh-CN"/>
        </w:rPr>
        <w:t xml:space="preserve">2. </w:t>
      </w:r>
      <w:r w:rsidRPr="0094446A">
        <w:rPr>
          <w:rFonts w:eastAsiaTheme="minorEastAsia"/>
          <w:b/>
          <w:szCs w:val="24"/>
          <w:lang w:eastAsia="zh-CN"/>
        </w:rPr>
        <w:t>Data of China: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 w:rsidRPr="0094446A">
        <w:rPr>
          <w:rFonts w:eastAsiaTheme="minorEastAsia"/>
          <w:szCs w:val="24"/>
          <w:lang w:eastAsia="zh-CN"/>
        </w:rPr>
        <w:t>1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>
        <w:rPr>
          <w:rFonts w:ascii="宋体" w:eastAsiaTheme="minorEastAsia" w:hAnsi="宋体" w:cs="宋体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The average commodity building prices (CBP) by province</w:t>
      </w:r>
      <w:r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lastRenderedPageBreak/>
        <w:t>National Bureau of Statistics of China, National Data, regional, Annual by Province, Indicators, Investments in Fixed Assets and Real Estate, Average Selling Price of Commercialized Buildings by use, Region: Beijing/Tianjin/..., Average Selling Price of Commercialized Buildings(yuan/sq. m), Year: 1994-2014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http://data.stats.gov.cn/english/easyquery.htm?cn=E0103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 w:rsidRPr="0094446A">
        <w:rPr>
          <w:rFonts w:eastAsiaTheme="minorEastAsia"/>
          <w:szCs w:val="24"/>
          <w:lang w:eastAsia="zh-CN"/>
        </w:rPr>
        <w:t>2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>
        <w:rPr>
          <w:rFonts w:ascii="宋体" w:eastAsiaTheme="minorEastAsia" w:hAnsi="宋体" w:cs="宋体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Nominal GDP by province</w:t>
      </w:r>
      <w:r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National Bureau of Statistics of China, National Data, regional, Annual by Province, Indicators, National Accounts, Gross Regional Product, Region: Beijing/Tianjin/..., Gross Regional Product(100 million yuan), Year: 1994-2014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http://data.stats.gov.cn</w:t>
      </w:r>
      <w:r>
        <w:rPr>
          <w:rFonts w:eastAsiaTheme="minorEastAsia"/>
          <w:szCs w:val="24"/>
          <w:lang w:eastAsia="zh-CN"/>
        </w:rPr>
        <w:t>/english/easyquery.htm?cn=E0103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/>
          <w:szCs w:val="24"/>
          <w:lang w:eastAsia="zh-CN"/>
        </w:rPr>
        <w:t>(</w:t>
      </w:r>
      <w:r w:rsidRPr="0094446A">
        <w:rPr>
          <w:rFonts w:eastAsiaTheme="minorEastAsia"/>
          <w:szCs w:val="24"/>
          <w:lang w:eastAsia="zh-CN"/>
        </w:rPr>
        <w:t>3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>
        <w:rPr>
          <w:rFonts w:ascii="宋体" w:eastAsiaTheme="minorEastAsia" w:hAnsi="宋体" w:cs="宋体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Population by provinces</w:t>
      </w:r>
      <w:r>
        <w:rPr>
          <w:rFonts w:eastAsiaTheme="minorEastAsia"/>
          <w:szCs w:val="24"/>
          <w:lang w:eastAsia="zh-CN"/>
        </w:rPr>
        <w:t>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National Bureau of Statistics of China, National Data, regional, Annual by Province, Indicators, Population, Region: Beijing/Tianjin/..., Resident Population (year-end) (10000 persons), Year: 1994-2014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http://data.stats.gov.cn</w:t>
      </w:r>
      <w:r>
        <w:rPr>
          <w:rFonts w:eastAsiaTheme="minorEastAsia"/>
          <w:szCs w:val="24"/>
          <w:lang w:eastAsia="zh-CN"/>
        </w:rPr>
        <w:t>/english/easyquery.htm?cn=E0103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 w:rsidRPr="0094446A">
        <w:rPr>
          <w:rFonts w:eastAsiaTheme="minorEastAsia"/>
          <w:szCs w:val="24"/>
          <w:lang w:eastAsia="zh-CN"/>
        </w:rPr>
        <w:t>4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>
        <w:rPr>
          <w:rFonts w:ascii="宋体" w:eastAsiaTheme="minorEastAsia" w:hAnsi="宋体" w:cs="宋体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Administer area by provin</w:t>
      </w:r>
      <w:r>
        <w:rPr>
          <w:rFonts w:eastAsiaTheme="minorEastAsia"/>
          <w:szCs w:val="24"/>
          <w:lang w:eastAsia="zh-CN"/>
        </w:rPr>
        <w:t>ce: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CEIC Database, China, Annual, Territorial Resources, Administer Area, by Province, Region: Beiji</w:t>
      </w:r>
      <w:r>
        <w:rPr>
          <w:rFonts w:eastAsiaTheme="minorEastAsia"/>
          <w:szCs w:val="24"/>
          <w:lang w:eastAsia="zh-CN"/>
        </w:rPr>
        <w:t>ng/Tianjin/..., Year: 1994-2014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/>
          <w:szCs w:val="24"/>
          <w:lang w:eastAsia="zh-CN"/>
        </w:rPr>
        <w:t>(</w:t>
      </w:r>
      <w:r w:rsidRPr="0094446A">
        <w:rPr>
          <w:rFonts w:eastAsiaTheme="minorEastAsia"/>
          <w:szCs w:val="24"/>
          <w:lang w:eastAsia="zh-CN"/>
        </w:rPr>
        <w:t>5</w:t>
      </w:r>
      <w:r>
        <w:rPr>
          <w:rFonts w:ascii="宋体" w:eastAsiaTheme="minorEastAsia" w:hAnsi="宋体" w:cs="宋体"/>
          <w:szCs w:val="24"/>
          <w:lang w:eastAsia="zh-CN"/>
        </w:rPr>
        <w:t>)</w:t>
      </w:r>
      <w:r w:rsidRPr="0094446A">
        <w:rPr>
          <w:rFonts w:eastAsiaTheme="minorEastAsia"/>
          <w:szCs w:val="24"/>
          <w:lang w:eastAsia="zh-CN"/>
        </w:rPr>
        <w:t>The average residential commodi</w:t>
      </w:r>
      <w:r>
        <w:rPr>
          <w:rFonts w:eastAsiaTheme="minorEastAsia"/>
          <w:szCs w:val="24"/>
          <w:lang w:eastAsia="zh-CN"/>
        </w:rPr>
        <w:t>ty building price (RCP) by city: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National Bureau of Statistics of China, National Data, regional, Annual by Selected Cities, Indicators, Real Estate, Region: Beijing/Tianjin/..., Average Selling Price of Commercialized Residential Buildings (yuan/sq. m), Year: 2001-2014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lastRenderedPageBreak/>
        <w:t>URL: http://data.stats.gov.cn/english/easyquery.htm?cn=E0105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>
        <w:rPr>
          <w:rFonts w:eastAsiaTheme="minorEastAsia"/>
          <w:szCs w:val="24"/>
          <w:lang w:eastAsia="zh-CN"/>
        </w:rPr>
        <w:t>6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 w:rsidRPr="0094446A">
        <w:rPr>
          <w:rFonts w:eastAsiaTheme="minorEastAsia"/>
          <w:szCs w:val="24"/>
          <w:lang w:eastAsia="zh-CN"/>
        </w:rPr>
        <w:t>The average commercial commodi</w:t>
      </w:r>
      <w:r>
        <w:rPr>
          <w:rFonts w:eastAsiaTheme="minorEastAsia"/>
          <w:szCs w:val="24"/>
          <w:lang w:eastAsia="zh-CN"/>
        </w:rPr>
        <w:t>ty building price (CCP) by city: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CEIC Database, China, Annual, Real Estate, Average Selling Price of Commercialized Buildings by use, 35 cities, Average Selling Price of Houses for Business Use(yuan/sq.</w:t>
      </w:r>
      <w:r>
        <w:rPr>
          <w:rFonts w:eastAsiaTheme="minorEastAsia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m), Region: Beijing/Tianjin/... , Year: 2001-2014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>
        <w:rPr>
          <w:rFonts w:eastAsiaTheme="minorEastAsia"/>
          <w:szCs w:val="24"/>
          <w:lang w:eastAsia="zh-CN"/>
        </w:rPr>
        <w:t>7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>
        <w:rPr>
          <w:rFonts w:eastAsiaTheme="minorEastAsia"/>
          <w:szCs w:val="24"/>
          <w:lang w:eastAsia="zh-CN"/>
        </w:rPr>
        <w:t>Population by city: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National Bureau of Statistics of China, National Data, regional, Annual by Selected Cities, Indicators, Population and Employment, Region: Beijing/Tianjin/..., Total Population (year-end)</w:t>
      </w:r>
      <w:r>
        <w:rPr>
          <w:rFonts w:eastAsiaTheme="minorEastAsia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(10000 persons), Year: 2001-2014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http://data.stats.gov.cn</w:t>
      </w:r>
      <w:r>
        <w:rPr>
          <w:rFonts w:eastAsiaTheme="minorEastAsia"/>
          <w:szCs w:val="24"/>
          <w:lang w:eastAsia="zh-CN"/>
        </w:rPr>
        <w:t>/english/easyquery.htm?cn=E0105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>
        <w:rPr>
          <w:rFonts w:eastAsiaTheme="minorEastAsia"/>
          <w:szCs w:val="24"/>
          <w:lang w:eastAsia="zh-CN"/>
        </w:rPr>
        <w:t>8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 w:rsidRPr="0094446A">
        <w:rPr>
          <w:rFonts w:eastAsiaTheme="minorEastAsia"/>
          <w:szCs w:val="24"/>
          <w:lang w:eastAsia="zh-CN"/>
        </w:rPr>
        <w:t xml:space="preserve">Nominal </w:t>
      </w:r>
      <w:r>
        <w:rPr>
          <w:rFonts w:eastAsiaTheme="minorEastAsia"/>
          <w:szCs w:val="24"/>
          <w:lang w:eastAsia="zh-CN"/>
        </w:rPr>
        <w:t>GDP by city: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National Bureau of Statistics of China, National Data, regional, Annual by Selected Cities, Indicators, National Accounts, Region: Beijing/Tianjin/..., Gross Domestic Product (100 million yuan), Year: 2001-2014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URL: http://data.stats.gov.cn/english/easyquery.htm?cn=E0105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>
        <w:rPr>
          <w:rFonts w:eastAsiaTheme="minorEastAsia"/>
          <w:szCs w:val="24"/>
          <w:lang w:eastAsia="zh-CN"/>
        </w:rPr>
        <w:t>9</w:t>
      </w:r>
      <w:r>
        <w:rPr>
          <w:rFonts w:ascii="宋体" w:eastAsiaTheme="minorEastAsia" w:hAnsi="宋体" w:cs="宋体" w:hint="eastAsia"/>
          <w:szCs w:val="24"/>
          <w:lang w:eastAsia="zh-CN"/>
        </w:rPr>
        <w:t>)</w:t>
      </w:r>
      <w:r w:rsidRPr="0094446A">
        <w:rPr>
          <w:rFonts w:eastAsiaTheme="minorEastAsia"/>
          <w:szCs w:val="24"/>
          <w:lang w:eastAsia="zh-CN"/>
        </w:rPr>
        <w:t>Administer area by city</w:t>
      </w:r>
      <w:r>
        <w:rPr>
          <w:rFonts w:eastAsiaTheme="minorEastAsia"/>
          <w:szCs w:val="24"/>
          <w:lang w:eastAsia="zh-CN"/>
        </w:rPr>
        <w:t>:</w:t>
      </w:r>
      <w:r w:rsidRPr="0094446A">
        <w:rPr>
          <w:rFonts w:eastAsiaTheme="minorEastAsia"/>
          <w:szCs w:val="24"/>
          <w:lang w:eastAsia="zh-CN"/>
        </w:rPr>
        <w:t xml:space="preserve"> 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CEIC Database, China, Territorial Resources, Administer Area, by cities, Region: Beiji</w:t>
      </w:r>
      <w:r>
        <w:rPr>
          <w:rFonts w:eastAsiaTheme="minorEastAsia"/>
          <w:szCs w:val="24"/>
          <w:lang w:eastAsia="zh-CN"/>
        </w:rPr>
        <w:t>ng/Tianjin/..., Year: 2001-2014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>
        <w:rPr>
          <w:rFonts w:ascii="宋体" w:eastAsiaTheme="minorEastAsia" w:hAnsi="宋体" w:cs="宋体"/>
          <w:szCs w:val="24"/>
          <w:lang w:eastAsia="zh-CN"/>
        </w:rPr>
        <w:t>10)</w:t>
      </w:r>
      <w:r w:rsidRPr="0094446A">
        <w:rPr>
          <w:rFonts w:eastAsiaTheme="minorEastAsia"/>
          <w:szCs w:val="24"/>
          <w:lang w:eastAsia="zh-CN"/>
        </w:rPr>
        <w:t xml:space="preserve">The lending rate (LI): 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t>CEIC Database, China, Finance, interest rate, lending rate, short-term lending rate: 6 months-1 year (inc</w:t>
      </w:r>
      <w:r>
        <w:rPr>
          <w:rFonts w:eastAsiaTheme="minorEastAsia"/>
          <w:szCs w:val="24"/>
          <w:lang w:eastAsia="zh-CN"/>
        </w:rPr>
        <w:t>luding 1 year), Year: 1994-2014</w:t>
      </w:r>
    </w:p>
    <w:p w:rsidR="001E0E41" w:rsidRPr="0094446A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>
        <w:rPr>
          <w:rFonts w:ascii="宋体" w:eastAsiaTheme="minorEastAsia" w:hAnsi="宋体" w:cs="宋体" w:hint="eastAsia"/>
          <w:szCs w:val="24"/>
          <w:lang w:eastAsia="zh-CN"/>
        </w:rPr>
        <w:t>(</w:t>
      </w:r>
      <w:r>
        <w:rPr>
          <w:rFonts w:ascii="宋体" w:eastAsiaTheme="minorEastAsia" w:hAnsi="宋体" w:cs="宋体"/>
          <w:szCs w:val="24"/>
          <w:lang w:eastAsia="zh-CN"/>
        </w:rPr>
        <w:t>11)</w:t>
      </w:r>
      <w:r w:rsidRPr="0094446A">
        <w:rPr>
          <w:rFonts w:eastAsiaTheme="minorEastAsia"/>
          <w:szCs w:val="24"/>
          <w:lang w:eastAsia="zh-CN"/>
        </w:rPr>
        <w:t xml:space="preserve">The average commodity building price in 35 major cities (CBP35): </w:t>
      </w:r>
    </w:p>
    <w:p w:rsidR="001E0E41" w:rsidRDefault="001E0E41" w:rsidP="001E0E41">
      <w:pPr>
        <w:spacing w:line="480" w:lineRule="auto"/>
        <w:rPr>
          <w:rFonts w:eastAsiaTheme="minorEastAsia"/>
          <w:szCs w:val="24"/>
          <w:lang w:eastAsia="zh-CN"/>
        </w:rPr>
      </w:pPr>
      <w:r w:rsidRPr="0094446A">
        <w:rPr>
          <w:rFonts w:eastAsiaTheme="minorEastAsia"/>
          <w:szCs w:val="24"/>
          <w:lang w:eastAsia="zh-CN"/>
        </w:rPr>
        <w:lastRenderedPageBreak/>
        <w:t>CEIC Database, China, Annual, Real Estate, Average Selling Price of Commercialized Buildings by use, 35 cities, Average Selling Price of Commercialized Buildings(yuan/sq.</w:t>
      </w:r>
      <w:r>
        <w:rPr>
          <w:rFonts w:eastAsiaTheme="minorEastAsia"/>
          <w:szCs w:val="24"/>
          <w:lang w:eastAsia="zh-CN"/>
        </w:rPr>
        <w:t xml:space="preserve"> </w:t>
      </w:r>
      <w:r w:rsidRPr="0094446A">
        <w:rPr>
          <w:rFonts w:eastAsiaTheme="minorEastAsia"/>
          <w:szCs w:val="24"/>
          <w:lang w:eastAsia="zh-CN"/>
        </w:rPr>
        <w:t>m), Region: 35 cities , Year: 2001-2014</w:t>
      </w:r>
    </w:p>
    <w:p w:rsidR="00EC4D67" w:rsidRDefault="00EC4D67"/>
    <w:sectPr w:rsidR="00EC4D67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6D7" w:rsidRDefault="006246D7" w:rsidP="001E0E41">
      <w:pPr>
        <w:spacing w:line="240" w:lineRule="auto"/>
      </w:pPr>
      <w:r>
        <w:separator/>
      </w:r>
    </w:p>
  </w:endnote>
  <w:endnote w:type="continuationSeparator" w:id="0">
    <w:p w:rsidR="006246D7" w:rsidRDefault="006246D7" w:rsidP="001E0E4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6D7" w:rsidRDefault="006246D7" w:rsidP="001E0E41">
      <w:pPr>
        <w:spacing w:line="240" w:lineRule="auto"/>
      </w:pPr>
      <w:r>
        <w:separator/>
      </w:r>
    </w:p>
  </w:footnote>
  <w:footnote w:type="continuationSeparator" w:id="0">
    <w:p w:rsidR="006246D7" w:rsidRDefault="006246D7" w:rsidP="001E0E4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4C8"/>
    <w:rsid w:val="000039FB"/>
    <w:rsid w:val="00003D89"/>
    <w:rsid w:val="000048BF"/>
    <w:rsid w:val="00011EE5"/>
    <w:rsid w:val="000142D4"/>
    <w:rsid w:val="00015C30"/>
    <w:rsid w:val="00017789"/>
    <w:rsid w:val="00020D1E"/>
    <w:rsid w:val="000215E8"/>
    <w:rsid w:val="00021AC1"/>
    <w:rsid w:val="00021F55"/>
    <w:rsid w:val="00022053"/>
    <w:rsid w:val="00022D7D"/>
    <w:rsid w:val="0002300E"/>
    <w:rsid w:val="00023270"/>
    <w:rsid w:val="000235E1"/>
    <w:rsid w:val="00024A6C"/>
    <w:rsid w:val="00026A23"/>
    <w:rsid w:val="00026CF0"/>
    <w:rsid w:val="00032BC6"/>
    <w:rsid w:val="00033300"/>
    <w:rsid w:val="0003737F"/>
    <w:rsid w:val="00042B24"/>
    <w:rsid w:val="000441F2"/>
    <w:rsid w:val="00044F2B"/>
    <w:rsid w:val="00045DDC"/>
    <w:rsid w:val="00046370"/>
    <w:rsid w:val="000466BC"/>
    <w:rsid w:val="0004711D"/>
    <w:rsid w:val="0004716F"/>
    <w:rsid w:val="00047EE9"/>
    <w:rsid w:val="000508CC"/>
    <w:rsid w:val="00050D9D"/>
    <w:rsid w:val="00051173"/>
    <w:rsid w:val="0005346E"/>
    <w:rsid w:val="000542E4"/>
    <w:rsid w:val="0005536E"/>
    <w:rsid w:val="0006008D"/>
    <w:rsid w:val="00061648"/>
    <w:rsid w:val="00061999"/>
    <w:rsid w:val="000623C0"/>
    <w:rsid w:val="00062A30"/>
    <w:rsid w:val="000643DF"/>
    <w:rsid w:val="000662B1"/>
    <w:rsid w:val="00072AC1"/>
    <w:rsid w:val="00074BC9"/>
    <w:rsid w:val="00075565"/>
    <w:rsid w:val="00084F5D"/>
    <w:rsid w:val="000852EB"/>
    <w:rsid w:val="00092C4B"/>
    <w:rsid w:val="0009667F"/>
    <w:rsid w:val="000A191B"/>
    <w:rsid w:val="000A2102"/>
    <w:rsid w:val="000A29F4"/>
    <w:rsid w:val="000A58B4"/>
    <w:rsid w:val="000A6B67"/>
    <w:rsid w:val="000B242D"/>
    <w:rsid w:val="000B41C1"/>
    <w:rsid w:val="000B4676"/>
    <w:rsid w:val="000B532B"/>
    <w:rsid w:val="000B55FB"/>
    <w:rsid w:val="000C2E44"/>
    <w:rsid w:val="000C549A"/>
    <w:rsid w:val="000C5AC7"/>
    <w:rsid w:val="000D4284"/>
    <w:rsid w:val="000D5C70"/>
    <w:rsid w:val="000D5FB9"/>
    <w:rsid w:val="000D64CD"/>
    <w:rsid w:val="000D660D"/>
    <w:rsid w:val="000E009C"/>
    <w:rsid w:val="000E10B0"/>
    <w:rsid w:val="000E132A"/>
    <w:rsid w:val="000E14E0"/>
    <w:rsid w:val="000E2EB2"/>
    <w:rsid w:val="000E5414"/>
    <w:rsid w:val="000E5AD0"/>
    <w:rsid w:val="000E6BA0"/>
    <w:rsid w:val="000E6DB3"/>
    <w:rsid w:val="000E7AAD"/>
    <w:rsid w:val="000E7B0E"/>
    <w:rsid w:val="000E7CA5"/>
    <w:rsid w:val="000F00A9"/>
    <w:rsid w:val="000F2872"/>
    <w:rsid w:val="000F3035"/>
    <w:rsid w:val="001005CF"/>
    <w:rsid w:val="00100DB7"/>
    <w:rsid w:val="001015F2"/>
    <w:rsid w:val="00102DB5"/>
    <w:rsid w:val="00105059"/>
    <w:rsid w:val="0011103E"/>
    <w:rsid w:val="00113BC7"/>
    <w:rsid w:val="00114A11"/>
    <w:rsid w:val="0011554D"/>
    <w:rsid w:val="00115F40"/>
    <w:rsid w:val="00116CD2"/>
    <w:rsid w:val="00120C75"/>
    <w:rsid w:val="001228BD"/>
    <w:rsid w:val="00124E45"/>
    <w:rsid w:val="001275D9"/>
    <w:rsid w:val="00130984"/>
    <w:rsid w:val="00130EF6"/>
    <w:rsid w:val="0013756B"/>
    <w:rsid w:val="00137D91"/>
    <w:rsid w:val="00141519"/>
    <w:rsid w:val="00142457"/>
    <w:rsid w:val="00143F3C"/>
    <w:rsid w:val="00144392"/>
    <w:rsid w:val="00147A26"/>
    <w:rsid w:val="00152258"/>
    <w:rsid w:val="0015289D"/>
    <w:rsid w:val="001532A9"/>
    <w:rsid w:val="00154299"/>
    <w:rsid w:val="00155328"/>
    <w:rsid w:val="00161F08"/>
    <w:rsid w:val="00164C2D"/>
    <w:rsid w:val="00165D32"/>
    <w:rsid w:val="0016683D"/>
    <w:rsid w:val="00170BC7"/>
    <w:rsid w:val="001731FC"/>
    <w:rsid w:val="0018059C"/>
    <w:rsid w:val="001824AE"/>
    <w:rsid w:val="0018442A"/>
    <w:rsid w:val="001854D2"/>
    <w:rsid w:val="0018565A"/>
    <w:rsid w:val="00186B91"/>
    <w:rsid w:val="0019034F"/>
    <w:rsid w:val="00191B7E"/>
    <w:rsid w:val="001921D7"/>
    <w:rsid w:val="001933A1"/>
    <w:rsid w:val="00197833"/>
    <w:rsid w:val="001A0589"/>
    <w:rsid w:val="001A0FFB"/>
    <w:rsid w:val="001A10CB"/>
    <w:rsid w:val="001A1404"/>
    <w:rsid w:val="001A3D49"/>
    <w:rsid w:val="001A447A"/>
    <w:rsid w:val="001A61DD"/>
    <w:rsid w:val="001A6514"/>
    <w:rsid w:val="001A659B"/>
    <w:rsid w:val="001B0553"/>
    <w:rsid w:val="001B1DE9"/>
    <w:rsid w:val="001B30E4"/>
    <w:rsid w:val="001B33E4"/>
    <w:rsid w:val="001B5A7B"/>
    <w:rsid w:val="001B7A76"/>
    <w:rsid w:val="001C01C6"/>
    <w:rsid w:val="001C0A6F"/>
    <w:rsid w:val="001C27F7"/>
    <w:rsid w:val="001C39BA"/>
    <w:rsid w:val="001C54B8"/>
    <w:rsid w:val="001C6A78"/>
    <w:rsid w:val="001C7B0E"/>
    <w:rsid w:val="001D0343"/>
    <w:rsid w:val="001D0CE8"/>
    <w:rsid w:val="001D25A5"/>
    <w:rsid w:val="001D35B7"/>
    <w:rsid w:val="001D4FAE"/>
    <w:rsid w:val="001D60DA"/>
    <w:rsid w:val="001E0E41"/>
    <w:rsid w:val="001E5E06"/>
    <w:rsid w:val="001E77DB"/>
    <w:rsid w:val="001F1F5D"/>
    <w:rsid w:val="0020338D"/>
    <w:rsid w:val="002043A4"/>
    <w:rsid w:val="00204CB8"/>
    <w:rsid w:val="002059F5"/>
    <w:rsid w:val="00206132"/>
    <w:rsid w:val="00206D85"/>
    <w:rsid w:val="00207B35"/>
    <w:rsid w:val="00207FE2"/>
    <w:rsid w:val="00210E04"/>
    <w:rsid w:val="00211EE2"/>
    <w:rsid w:val="00212460"/>
    <w:rsid w:val="00213F6E"/>
    <w:rsid w:val="00214437"/>
    <w:rsid w:val="0021796C"/>
    <w:rsid w:val="00217AB7"/>
    <w:rsid w:val="002223CE"/>
    <w:rsid w:val="0022561D"/>
    <w:rsid w:val="0022599D"/>
    <w:rsid w:val="00226097"/>
    <w:rsid w:val="00227218"/>
    <w:rsid w:val="00232F44"/>
    <w:rsid w:val="00236907"/>
    <w:rsid w:val="00236ED3"/>
    <w:rsid w:val="0024117C"/>
    <w:rsid w:val="00247167"/>
    <w:rsid w:val="00250658"/>
    <w:rsid w:val="0025235E"/>
    <w:rsid w:val="002561CF"/>
    <w:rsid w:val="002566A5"/>
    <w:rsid w:val="00257A74"/>
    <w:rsid w:val="00257B05"/>
    <w:rsid w:val="00260A80"/>
    <w:rsid w:val="00262C55"/>
    <w:rsid w:val="00265328"/>
    <w:rsid w:val="00266B1D"/>
    <w:rsid w:val="00270B2A"/>
    <w:rsid w:val="002725A1"/>
    <w:rsid w:val="00274D4A"/>
    <w:rsid w:val="00275ADC"/>
    <w:rsid w:val="00276A93"/>
    <w:rsid w:val="00276F19"/>
    <w:rsid w:val="00280592"/>
    <w:rsid w:val="00285DB6"/>
    <w:rsid w:val="0028676C"/>
    <w:rsid w:val="00290510"/>
    <w:rsid w:val="0029400E"/>
    <w:rsid w:val="002A2E1B"/>
    <w:rsid w:val="002A4221"/>
    <w:rsid w:val="002A4543"/>
    <w:rsid w:val="002A5872"/>
    <w:rsid w:val="002A61E9"/>
    <w:rsid w:val="002A7DC0"/>
    <w:rsid w:val="002B1A36"/>
    <w:rsid w:val="002B47A6"/>
    <w:rsid w:val="002B4FD4"/>
    <w:rsid w:val="002B5CDE"/>
    <w:rsid w:val="002C3E89"/>
    <w:rsid w:val="002C3F69"/>
    <w:rsid w:val="002C459B"/>
    <w:rsid w:val="002D1571"/>
    <w:rsid w:val="002D460C"/>
    <w:rsid w:val="002D49A3"/>
    <w:rsid w:val="002D5A90"/>
    <w:rsid w:val="002D6DC8"/>
    <w:rsid w:val="002D6FDB"/>
    <w:rsid w:val="002D73C5"/>
    <w:rsid w:val="002E0655"/>
    <w:rsid w:val="002E0684"/>
    <w:rsid w:val="002E1F7B"/>
    <w:rsid w:val="002E206D"/>
    <w:rsid w:val="002E20DE"/>
    <w:rsid w:val="002E2B27"/>
    <w:rsid w:val="002E32DE"/>
    <w:rsid w:val="002E417B"/>
    <w:rsid w:val="002E43F8"/>
    <w:rsid w:val="002E5C71"/>
    <w:rsid w:val="002E5F8D"/>
    <w:rsid w:val="002E6479"/>
    <w:rsid w:val="002E64C6"/>
    <w:rsid w:val="002E6DBA"/>
    <w:rsid w:val="002E7752"/>
    <w:rsid w:val="002F0E25"/>
    <w:rsid w:val="002F257F"/>
    <w:rsid w:val="002F28A2"/>
    <w:rsid w:val="002F3405"/>
    <w:rsid w:val="002F4504"/>
    <w:rsid w:val="002F6DE9"/>
    <w:rsid w:val="00300025"/>
    <w:rsid w:val="00300410"/>
    <w:rsid w:val="003049BB"/>
    <w:rsid w:val="00304ADD"/>
    <w:rsid w:val="00304E62"/>
    <w:rsid w:val="00304F98"/>
    <w:rsid w:val="003053FB"/>
    <w:rsid w:val="00306317"/>
    <w:rsid w:val="00310C53"/>
    <w:rsid w:val="00313825"/>
    <w:rsid w:val="003143F9"/>
    <w:rsid w:val="00315B45"/>
    <w:rsid w:val="003171AF"/>
    <w:rsid w:val="00317A45"/>
    <w:rsid w:val="00324B7E"/>
    <w:rsid w:val="00330F20"/>
    <w:rsid w:val="00331B98"/>
    <w:rsid w:val="00334BC7"/>
    <w:rsid w:val="0033614E"/>
    <w:rsid w:val="003412BA"/>
    <w:rsid w:val="003414AB"/>
    <w:rsid w:val="00342393"/>
    <w:rsid w:val="003424E2"/>
    <w:rsid w:val="00343AE9"/>
    <w:rsid w:val="003453EE"/>
    <w:rsid w:val="00347419"/>
    <w:rsid w:val="00350BF3"/>
    <w:rsid w:val="003510D1"/>
    <w:rsid w:val="0035157B"/>
    <w:rsid w:val="00351DD7"/>
    <w:rsid w:val="00352FAF"/>
    <w:rsid w:val="00353E43"/>
    <w:rsid w:val="003546A7"/>
    <w:rsid w:val="00355500"/>
    <w:rsid w:val="00357B1E"/>
    <w:rsid w:val="003604D0"/>
    <w:rsid w:val="00360706"/>
    <w:rsid w:val="0036230A"/>
    <w:rsid w:val="003651C0"/>
    <w:rsid w:val="00365707"/>
    <w:rsid w:val="00367AD3"/>
    <w:rsid w:val="00371132"/>
    <w:rsid w:val="0037188E"/>
    <w:rsid w:val="0037215F"/>
    <w:rsid w:val="00372CC6"/>
    <w:rsid w:val="0037374A"/>
    <w:rsid w:val="003751A3"/>
    <w:rsid w:val="00375B94"/>
    <w:rsid w:val="00375E87"/>
    <w:rsid w:val="00376E11"/>
    <w:rsid w:val="00377EF8"/>
    <w:rsid w:val="00380F62"/>
    <w:rsid w:val="00382058"/>
    <w:rsid w:val="00385120"/>
    <w:rsid w:val="003921E1"/>
    <w:rsid w:val="003932FA"/>
    <w:rsid w:val="00393DBD"/>
    <w:rsid w:val="00394B72"/>
    <w:rsid w:val="003956F2"/>
    <w:rsid w:val="00396B7A"/>
    <w:rsid w:val="003A0658"/>
    <w:rsid w:val="003A14A2"/>
    <w:rsid w:val="003A21A1"/>
    <w:rsid w:val="003A275B"/>
    <w:rsid w:val="003A52D9"/>
    <w:rsid w:val="003A66FA"/>
    <w:rsid w:val="003A697A"/>
    <w:rsid w:val="003B014C"/>
    <w:rsid w:val="003B0EE7"/>
    <w:rsid w:val="003B1ECE"/>
    <w:rsid w:val="003B2658"/>
    <w:rsid w:val="003B2837"/>
    <w:rsid w:val="003B4D59"/>
    <w:rsid w:val="003B51CB"/>
    <w:rsid w:val="003B72CC"/>
    <w:rsid w:val="003C0219"/>
    <w:rsid w:val="003C0DC3"/>
    <w:rsid w:val="003C5672"/>
    <w:rsid w:val="003C683D"/>
    <w:rsid w:val="003C7C91"/>
    <w:rsid w:val="003D0827"/>
    <w:rsid w:val="003D4A53"/>
    <w:rsid w:val="003D574D"/>
    <w:rsid w:val="003D5C3B"/>
    <w:rsid w:val="003E0570"/>
    <w:rsid w:val="003E34B6"/>
    <w:rsid w:val="003E3659"/>
    <w:rsid w:val="003E40B6"/>
    <w:rsid w:val="003E5B19"/>
    <w:rsid w:val="003E5E64"/>
    <w:rsid w:val="003E617D"/>
    <w:rsid w:val="003F2F61"/>
    <w:rsid w:val="003F35EB"/>
    <w:rsid w:val="003F3C46"/>
    <w:rsid w:val="003F4E41"/>
    <w:rsid w:val="003F5418"/>
    <w:rsid w:val="003F5630"/>
    <w:rsid w:val="003F5928"/>
    <w:rsid w:val="003F5988"/>
    <w:rsid w:val="003F6200"/>
    <w:rsid w:val="003F6E34"/>
    <w:rsid w:val="004004FA"/>
    <w:rsid w:val="0040068A"/>
    <w:rsid w:val="004021E4"/>
    <w:rsid w:val="00404F73"/>
    <w:rsid w:val="00405732"/>
    <w:rsid w:val="00407405"/>
    <w:rsid w:val="00407F4B"/>
    <w:rsid w:val="00413D37"/>
    <w:rsid w:val="00414673"/>
    <w:rsid w:val="00415005"/>
    <w:rsid w:val="00420968"/>
    <w:rsid w:val="00421991"/>
    <w:rsid w:val="00422E2A"/>
    <w:rsid w:val="0042345A"/>
    <w:rsid w:val="004243F5"/>
    <w:rsid w:val="00425419"/>
    <w:rsid w:val="00425EA0"/>
    <w:rsid w:val="004262CE"/>
    <w:rsid w:val="00426D42"/>
    <w:rsid w:val="004323E1"/>
    <w:rsid w:val="00432709"/>
    <w:rsid w:val="00433D43"/>
    <w:rsid w:val="00434C8B"/>
    <w:rsid w:val="00434DD0"/>
    <w:rsid w:val="00436764"/>
    <w:rsid w:val="004374D0"/>
    <w:rsid w:val="00437A0C"/>
    <w:rsid w:val="00444634"/>
    <w:rsid w:val="00446CFC"/>
    <w:rsid w:val="00447B67"/>
    <w:rsid w:val="00447D36"/>
    <w:rsid w:val="004508E1"/>
    <w:rsid w:val="00450A9E"/>
    <w:rsid w:val="00453114"/>
    <w:rsid w:val="00453D36"/>
    <w:rsid w:val="00456414"/>
    <w:rsid w:val="00456571"/>
    <w:rsid w:val="004565AC"/>
    <w:rsid w:val="00460644"/>
    <w:rsid w:val="00460921"/>
    <w:rsid w:val="00461E76"/>
    <w:rsid w:val="0046389A"/>
    <w:rsid w:val="004703C8"/>
    <w:rsid w:val="00473ECA"/>
    <w:rsid w:val="0047559F"/>
    <w:rsid w:val="004813B8"/>
    <w:rsid w:val="004873D6"/>
    <w:rsid w:val="00491624"/>
    <w:rsid w:val="00493464"/>
    <w:rsid w:val="0049634B"/>
    <w:rsid w:val="004972CA"/>
    <w:rsid w:val="004A21EF"/>
    <w:rsid w:val="004A5204"/>
    <w:rsid w:val="004A60A5"/>
    <w:rsid w:val="004A6779"/>
    <w:rsid w:val="004A6951"/>
    <w:rsid w:val="004A7088"/>
    <w:rsid w:val="004B094C"/>
    <w:rsid w:val="004B177A"/>
    <w:rsid w:val="004B2F69"/>
    <w:rsid w:val="004B417D"/>
    <w:rsid w:val="004B7EFC"/>
    <w:rsid w:val="004C22F5"/>
    <w:rsid w:val="004C4F60"/>
    <w:rsid w:val="004C52B0"/>
    <w:rsid w:val="004C5324"/>
    <w:rsid w:val="004C586F"/>
    <w:rsid w:val="004C6EB1"/>
    <w:rsid w:val="004D2F2A"/>
    <w:rsid w:val="004D4B96"/>
    <w:rsid w:val="004D5FBA"/>
    <w:rsid w:val="004D629F"/>
    <w:rsid w:val="004D6F03"/>
    <w:rsid w:val="004D79AC"/>
    <w:rsid w:val="004E19EB"/>
    <w:rsid w:val="004E230E"/>
    <w:rsid w:val="004F128F"/>
    <w:rsid w:val="004F1B1D"/>
    <w:rsid w:val="004F2D4F"/>
    <w:rsid w:val="00501C0C"/>
    <w:rsid w:val="00504F1D"/>
    <w:rsid w:val="00506603"/>
    <w:rsid w:val="0051164C"/>
    <w:rsid w:val="005122C3"/>
    <w:rsid w:val="00513E1E"/>
    <w:rsid w:val="00515BF8"/>
    <w:rsid w:val="00521348"/>
    <w:rsid w:val="00521D9F"/>
    <w:rsid w:val="005252DF"/>
    <w:rsid w:val="00531A82"/>
    <w:rsid w:val="00532216"/>
    <w:rsid w:val="00532D9F"/>
    <w:rsid w:val="0054129F"/>
    <w:rsid w:val="005432AE"/>
    <w:rsid w:val="00543FD1"/>
    <w:rsid w:val="005527F4"/>
    <w:rsid w:val="00553B18"/>
    <w:rsid w:val="00554E55"/>
    <w:rsid w:val="00555214"/>
    <w:rsid w:val="00556366"/>
    <w:rsid w:val="00563920"/>
    <w:rsid w:val="00566DB3"/>
    <w:rsid w:val="00566F49"/>
    <w:rsid w:val="00567052"/>
    <w:rsid w:val="0057149A"/>
    <w:rsid w:val="005758E3"/>
    <w:rsid w:val="00575B31"/>
    <w:rsid w:val="00576B3A"/>
    <w:rsid w:val="005771EE"/>
    <w:rsid w:val="00580B2B"/>
    <w:rsid w:val="00580B66"/>
    <w:rsid w:val="00582DF6"/>
    <w:rsid w:val="00584668"/>
    <w:rsid w:val="005875EF"/>
    <w:rsid w:val="0059186F"/>
    <w:rsid w:val="00592CAB"/>
    <w:rsid w:val="0059305A"/>
    <w:rsid w:val="005931F1"/>
    <w:rsid w:val="00594AEA"/>
    <w:rsid w:val="0059502A"/>
    <w:rsid w:val="005954DC"/>
    <w:rsid w:val="00595FF8"/>
    <w:rsid w:val="00596388"/>
    <w:rsid w:val="005A3963"/>
    <w:rsid w:val="005A459A"/>
    <w:rsid w:val="005A754D"/>
    <w:rsid w:val="005B2536"/>
    <w:rsid w:val="005B286D"/>
    <w:rsid w:val="005C27F8"/>
    <w:rsid w:val="005C5DAC"/>
    <w:rsid w:val="005D1573"/>
    <w:rsid w:val="005D16F6"/>
    <w:rsid w:val="005D3EDF"/>
    <w:rsid w:val="005D5B67"/>
    <w:rsid w:val="005D61FD"/>
    <w:rsid w:val="005D7D51"/>
    <w:rsid w:val="005E0468"/>
    <w:rsid w:val="005E1026"/>
    <w:rsid w:val="005E11D9"/>
    <w:rsid w:val="005E28D4"/>
    <w:rsid w:val="005E3183"/>
    <w:rsid w:val="005E33F6"/>
    <w:rsid w:val="005E46B6"/>
    <w:rsid w:val="005E5858"/>
    <w:rsid w:val="005E598A"/>
    <w:rsid w:val="005E5B0F"/>
    <w:rsid w:val="005E6A21"/>
    <w:rsid w:val="005E7993"/>
    <w:rsid w:val="005E7C02"/>
    <w:rsid w:val="005E7E20"/>
    <w:rsid w:val="005F0D9A"/>
    <w:rsid w:val="005F11AA"/>
    <w:rsid w:val="005F1699"/>
    <w:rsid w:val="005F1F1F"/>
    <w:rsid w:val="005F6963"/>
    <w:rsid w:val="005F6CD4"/>
    <w:rsid w:val="006002B1"/>
    <w:rsid w:val="00601AB8"/>
    <w:rsid w:val="00601AD3"/>
    <w:rsid w:val="006050EB"/>
    <w:rsid w:val="006102A6"/>
    <w:rsid w:val="00610E2D"/>
    <w:rsid w:val="00612EC3"/>
    <w:rsid w:val="00613DE3"/>
    <w:rsid w:val="00614736"/>
    <w:rsid w:val="006164B7"/>
    <w:rsid w:val="00616E24"/>
    <w:rsid w:val="00617571"/>
    <w:rsid w:val="00617E79"/>
    <w:rsid w:val="00620D80"/>
    <w:rsid w:val="0062334F"/>
    <w:rsid w:val="006246D7"/>
    <w:rsid w:val="00625612"/>
    <w:rsid w:val="00625B20"/>
    <w:rsid w:val="0062649C"/>
    <w:rsid w:val="006302CB"/>
    <w:rsid w:val="00631DEB"/>
    <w:rsid w:val="00632CD0"/>
    <w:rsid w:val="00634079"/>
    <w:rsid w:val="00642A87"/>
    <w:rsid w:val="00642AB3"/>
    <w:rsid w:val="00642FEC"/>
    <w:rsid w:val="00644284"/>
    <w:rsid w:val="00645236"/>
    <w:rsid w:val="006546A2"/>
    <w:rsid w:val="00654816"/>
    <w:rsid w:val="00654D27"/>
    <w:rsid w:val="00661910"/>
    <w:rsid w:val="00662231"/>
    <w:rsid w:val="00662263"/>
    <w:rsid w:val="00663229"/>
    <w:rsid w:val="00664BDD"/>
    <w:rsid w:val="00665046"/>
    <w:rsid w:val="00667408"/>
    <w:rsid w:val="00667BAD"/>
    <w:rsid w:val="0067049E"/>
    <w:rsid w:val="00671B09"/>
    <w:rsid w:val="006751CA"/>
    <w:rsid w:val="00677D73"/>
    <w:rsid w:val="00680E48"/>
    <w:rsid w:val="0068129F"/>
    <w:rsid w:val="00683704"/>
    <w:rsid w:val="00683869"/>
    <w:rsid w:val="00684D88"/>
    <w:rsid w:val="00686987"/>
    <w:rsid w:val="00687AE7"/>
    <w:rsid w:val="00687E98"/>
    <w:rsid w:val="0069150B"/>
    <w:rsid w:val="00694804"/>
    <w:rsid w:val="00694EEF"/>
    <w:rsid w:val="00695560"/>
    <w:rsid w:val="006959EA"/>
    <w:rsid w:val="006A0569"/>
    <w:rsid w:val="006A1350"/>
    <w:rsid w:val="006A19CD"/>
    <w:rsid w:val="006A2340"/>
    <w:rsid w:val="006A24D1"/>
    <w:rsid w:val="006A346D"/>
    <w:rsid w:val="006A3552"/>
    <w:rsid w:val="006A45D0"/>
    <w:rsid w:val="006A4738"/>
    <w:rsid w:val="006A676C"/>
    <w:rsid w:val="006B09D7"/>
    <w:rsid w:val="006B23C4"/>
    <w:rsid w:val="006B3163"/>
    <w:rsid w:val="006B32A1"/>
    <w:rsid w:val="006B4523"/>
    <w:rsid w:val="006B763A"/>
    <w:rsid w:val="006B783C"/>
    <w:rsid w:val="006C23AF"/>
    <w:rsid w:val="006C2557"/>
    <w:rsid w:val="006C2BA2"/>
    <w:rsid w:val="006C31A2"/>
    <w:rsid w:val="006C4F0F"/>
    <w:rsid w:val="006D00E2"/>
    <w:rsid w:val="006D70F8"/>
    <w:rsid w:val="006E0CF4"/>
    <w:rsid w:val="006E1186"/>
    <w:rsid w:val="006E1BF9"/>
    <w:rsid w:val="006E2BB3"/>
    <w:rsid w:val="006E5E40"/>
    <w:rsid w:val="006E6441"/>
    <w:rsid w:val="006E70AD"/>
    <w:rsid w:val="006E7365"/>
    <w:rsid w:val="006F0563"/>
    <w:rsid w:val="006F0614"/>
    <w:rsid w:val="006F285D"/>
    <w:rsid w:val="006F2D3B"/>
    <w:rsid w:val="006F4196"/>
    <w:rsid w:val="006F794D"/>
    <w:rsid w:val="007007F4"/>
    <w:rsid w:val="007013F1"/>
    <w:rsid w:val="007050A4"/>
    <w:rsid w:val="007062B5"/>
    <w:rsid w:val="00707748"/>
    <w:rsid w:val="00707D66"/>
    <w:rsid w:val="007100A0"/>
    <w:rsid w:val="00711134"/>
    <w:rsid w:val="00711F73"/>
    <w:rsid w:val="0071535B"/>
    <w:rsid w:val="007201E2"/>
    <w:rsid w:val="007209B8"/>
    <w:rsid w:val="00726B20"/>
    <w:rsid w:val="0072748A"/>
    <w:rsid w:val="00727972"/>
    <w:rsid w:val="0073177F"/>
    <w:rsid w:val="00731D0F"/>
    <w:rsid w:val="0073242B"/>
    <w:rsid w:val="007330F7"/>
    <w:rsid w:val="00735667"/>
    <w:rsid w:val="0073592F"/>
    <w:rsid w:val="007428EB"/>
    <w:rsid w:val="00743940"/>
    <w:rsid w:val="0074404F"/>
    <w:rsid w:val="00754094"/>
    <w:rsid w:val="00754EBF"/>
    <w:rsid w:val="00757064"/>
    <w:rsid w:val="007661B1"/>
    <w:rsid w:val="00774ED2"/>
    <w:rsid w:val="00776685"/>
    <w:rsid w:val="00776BE6"/>
    <w:rsid w:val="007770B0"/>
    <w:rsid w:val="00783CE9"/>
    <w:rsid w:val="007874C2"/>
    <w:rsid w:val="00790E43"/>
    <w:rsid w:val="00791885"/>
    <w:rsid w:val="0079351E"/>
    <w:rsid w:val="00793C8F"/>
    <w:rsid w:val="007957A6"/>
    <w:rsid w:val="00796378"/>
    <w:rsid w:val="00797566"/>
    <w:rsid w:val="00797F7B"/>
    <w:rsid w:val="007A178C"/>
    <w:rsid w:val="007A25A5"/>
    <w:rsid w:val="007A29CA"/>
    <w:rsid w:val="007A30C0"/>
    <w:rsid w:val="007A4E92"/>
    <w:rsid w:val="007A5491"/>
    <w:rsid w:val="007B1050"/>
    <w:rsid w:val="007B1403"/>
    <w:rsid w:val="007B1D97"/>
    <w:rsid w:val="007B3CA3"/>
    <w:rsid w:val="007B5661"/>
    <w:rsid w:val="007B6148"/>
    <w:rsid w:val="007B67AB"/>
    <w:rsid w:val="007C2612"/>
    <w:rsid w:val="007C346B"/>
    <w:rsid w:val="007C3728"/>
    <w:rsid w:val="007C38B0"/>
    <w:rsid w:val="007C3F51"/>
    <w:rsid w:val="007C5088"/>
    <w:rsid w:val="007C5A50"/>
    <w:rsid w:val="007C5F34"/>
    <w:rsid w:val="007C600D"/>
    <w:rsid w:val="007D1103"/>
    <w:rsid w:val="007D11ED"/>
    <w:rsid w:val="007D2240"/>
    <w:rsid w:val="007D54B8"/>
    <w:rsid w:val="007D68C2"/>
    <w:rsid w:val="007D6E07"/>
    <w:rsid w:val="007E0D62"/>
    <w:rsid w:val="007E3887"/>
    <w:rsid w:val="007E3C54"/>
    <w:rsid w:val="007E5488"/>
    <w:rsid w:val="007E59B8"/>
    <w:rsid w:val="007E7351"/>
    <w:rsid w:val="007F4D64"/>
    <w:rsid w:val="007F690B"/>
    <w:rsid w:val="007F6B5E"/>
    <w:rsid w:val="007F6B9B"/>
    <w:rsid w:val="007F739E"/>
    <w:rsid w:val="007F75A0"/>
    <w:rsid w:val="00802EEE"/>
    <w:rsid w:val="00803B29"/>
    <w:rsid w:val="008041E5"/>
    <w:rsid w:val="008051AD"/>
    <w:rsid w:val="008056C3"/>
    <w:rsid w:val="00806DFE"/>
    <w:rsid w:val="00810852"/>
    <w:rsid w:val="00810A99"/>
    <w:rsid w:val="00813DD1"/>
    <w:rsid w:val="008148D8"/>
    <w:rsid w:val="00814D50"/>
    <w:rsid w:val="00814E64"/>
    <w:rsid w:val="00816557"/>
    <w:rsid w:val="008171EC"/>
    <w:rsid w:val="00817F21"/>
    <w:rsid w:val="008201DF"/>
    <w:rsid w:val="0082226C"/>
    <w:rsid w:val="00825F78"/>
    <w:rsid w:val="00827467"/>
    <w:rsid w:val="008305CC"/>
    <w:rsid w:val="00834500"/>
    <w:rsid w:val="008351D7"/>
    <w:rsid w:val="00835569"/>
    <w:rsid w:val="008415A5"/>
    <w:rsid w:val="00841E7D"/>
    <w:rsid w:val="00842C26"/>
    <w:rsid w:val="00843E31"/>
    <w:rsid w:val="0085339D"/>
    <w:rsid w:val="00854566"/>
    <w:rsid w:val="00854627"/>
    <w:rsid w:val="00857B7F"/>
    <w:rsid w:val="008610BE"/>
    <w:rsid w:val="00861561"/>
    <w:rsid w:val="00862E3A"/>
    <w:rsid w:val="00866B81"/>
    <w:rsid w:val="00866F94"/>
    <w:rsid w:val="008722AF"/>
    <w:rsid w:val="00872BC2"/>
    <w:rsid w:val="00877384"/>
    <w:rsid w:val="0087753E"/>
    <w:rsid w:val="00880E9F"/>
    <w:rsid w:val="00886FF4"/>
    <w:rsid w:val="008875F6"/>
    <w:rsid w:val="00895AB3"/>
    <w:rsid w:val="008A0473"/>
    <w:rsid w:val="008A0D1A"/>
    <w:rsid w:val="008A1431"/>
    <w:rsid w:val="008A240C"/>
    <w:rsid w:val="008A3C1F"/>
    <w:rsid w:val="008A4AEB"/>
    <w:rsid w:val="008A5B99"/>
    <w:rsid w:val="008A5E23"/>
    <w:rsid w:val="008A6377"/>
    <w:rsid w:val="008A653A"/>
    <w:rsid w:val="008A699E"/>
    <w:rsid w:val="008B123E"/>
    <w:rsid w:val="008B547E"/>
    <w:rsid w:val="008B5ED2"/>
    <w:rsid w:val="008C1F74"/>
    <w:rsid w:val="008C5E9D"/>
    <w:rsid w:val="008C73B0"/>
    <w:rsid w:val="008D1D9D"/>
    <w:rsid w:val="008D1F31"/>
    <w:rsid w:val="008D36BD"/>
    <w:rsid w:val="008D4369"/>
    <w:rsid w:val="008D5A74"/>
    <w:rsid w:val="008D5EBF"/>
    <w:rsid w:val="008D684A"/>
    <w:rsid w:val="008D6F2B"/>
    <w:rsid w:val="008E68C9"/>
    <w:rsid w:val="008F0D03"/>
    <w:rsid w:val="008F1607"/>
    <w:rsid w:val="008F1FF0"/>
    <w:rsid w:val="008F48FC"/>
    <w:rsid w:val="00901B15"/>
    <w:rsid w:val="00901EF8"/>
    <w:rsid w:val="00903567"/>
    <w:rsid w:val="009046BD"/>
    <w:rsid w:val="009070FF"/>
    <w:rsid w:val="00907CC4"/>
    <w:rsid w:val="00910854"/>
    <w:rsid w:val="00913BB5"/>
    <w:rsid w:val="00914680"/>
    <w:rsid w:val="0091516C"/>
    <w:rsid w:val="009164CB"/>
    <w:rsid w:val="00917BCF"/>
    <w:rsid w:val="00917F73"/>
    <w:rsid w:val="009213AE"/>
    <w:rsid w:val="00923C22"/>
    <w:rsid w:val="00925F32"/>
    <w:rsid w:val="0093025A"/>
    <w:rsid w:val="009329AF"/>
    <w:rsid w:val="00933281"/>
    <w:rsid w:val="00935FA8"/>
    <w:rsid w:val="00940191"/>
    <w:rsid w:val="009403C5"/>
    <w:rsid w:val="009415D7"/>
    <w:rsid w:val="00941D55"/>
    <w:rsid w:val="00942609"/>
    <w:rsid w:val="00943971"/>
    <w:rsid w:val="00944771"/>
    <w:rsid w:val="00944B8A"/>
    <w:rsid w:val="00944D22"/>
    <w:rsid w:val="00945D4E"/>
    <w:rsid w:val="00947D53"/>
    <w:rsid w:val="009549FE"/>
    <w:rsid w:val="00955D27"/>
    <w:rsid w:val="00956C66"/>
    <w:rsid w:val="00957857"/>
    <w:rsid w:val="00960693"/>
    <w:rsid w:val="00961E8F"/>
    <w:rsid w:val="00962FE3"/>
    <w:rsid w:val="009633B7"/>
    <w:rsid w:val="00971089"/>
    <w:rsid w:val="009714D8"/>
    <w:rsid w:val="00971E17"/>
    <w:rsid w:val="00971E9D"/>
    <w:rsid w:val="00972F95"/>
    <w:rsid w:val="00980A4A"/>
    <w:rsid w:val="0098660A"/>
    <w:rsid w:val="0098663E"/>
    <w:rsid w:val="00986B25"/>
    <w:rsid w:val="00987D1B"/>
    <w:rsid w:val="009918AC"/>
    <w:rsid w:val="0099283E"/>
    <w:rsid w:val="00992D2C"/>
    <w:rsid w:val="00992D51"/>
    <w:rsid w:val="0099322B"/>
    <w:rsid w:val="009A10E3"/>
    <w:rsid w:val="009A1279"/>
    <w:rsid w:val="009A35E3"/>
    <w:rsid w:val="009A3C9E"/>
    <w:rsid w:val="009A4DC7"/>
    <w:rsid w:val="009A53E4"/>
    <w:rsid w:val="009A7AAD"/>
    <w:rsid w:val="009B47F4"/>
    <w:rsid w:val="009B4E58"/>
    <w:rsid w:val="009B5DB4"/>
    <w:rsid w:val="009B6484"/>
    <w:rsid w:val="009B71D9"/>
    <w:rsid w:val="009B76BD"/>
    <w:rsid w:val="009B7AF5"/>
    <w:rsid w:val="009C1294"/>
    <w:rsid w:val="009C1E17"/>
    <w:rsid w:val="009C2B64"/>
    <w:rsid w:val="009C5689"/>
    <w:rsid w:val="009D07A0"/>
    <w:rsid w:val="009D5773"/>
    <w:rsid w:val="009D60CC"/>
    <w:rsid w:val="009E1429"/>
    <w:rsid w:val="009E1B7E"/>
    <w:rsid w:val="009E321B"/>
    <w:rsid w:val="009E5D97"/>
    <w:rsid w:val="009E6249"/>
    <w:rsid w:val="009F1D8E"/>
    <w:rsid w:val="009F209A"/>
    <w:rsid w:val="009F370B"/>
    <w:rsid w:val="009F7590"/>
    <w:rsid w:val="009F7A08"/>
    <w:rsid w:val="00A00820"/>
    <w:rsid w:val="00A00EE1"/>
    <w:rsid w:val="00A01E70"/>
    <w:rsid w:val="00A0389E"/>
    <w:rsid w:val="00A051CB"/>
    <w:rsid w:val="00A077B7"/>
    <w:rsid w:val="00A10138"/>
    <w:rsid w:val="00A12317"/>
    <w:rsid w:val="00A142F1"/>
    <w:rsid w:val="00A155A7"/>
    <w:rsid w:val="00A200A4"/>
    <w:rsid w:val="00A2275E"/>
    <w:rsid w:val="00A245A0"/>
    <w:rsid w:val="00A24803"/>
    <w:rsid w:val="00A31423"/>
    <w:rsid w:val="00A3245F"/>
    <w:rsid w:val="00A35119"/>
    <w:rsid w:val="00A374AE"/>
    <w:rsid w:val="00A4184C"/>
    <w:rsid w:val="00A421F1"/>
    <w:rsid w:val="00A425CD"/>
    <w:rsid w:val="00A43FD9"/>
    <w:rsid w:val="00A449B3"/>
    <w:rsid w:val="00A451AE"/>
    <w:rsid w:val="00A54E45"/>
    <w:rsid w:val="00A5703B"/>
    <w:rsid w:val="00A57CB7"/>
    <w:rsid w:val="00A6369F"/>
    <w:rsid w:val="00A63DC7"/>
    <w:rsid w:val="00A64024"/>
    <w:rsid w:val="00A642C0"/>
    <w:rsid w:val="00A67483"/>
    <w:rsid w:val="00A7290B"/>
    <w:rsid w:val="00A73C8F"/>
    <w:rsid w:val="00A76626"/>
    <w:rsid w:val="00A7731D"/>
    <w:rsid w:val="00A7762F"/>
    <w:rsid w:val="00A77B6F"/>
    <w:rsid w:val="00A80F51"/>
    <w:rsid w:val="00A83C80"/>
    <w:rsid w:val="00A84A40"/>
    <w:rsid w:val="00A94D50"/>
    <w:rsid w:val="00A966A3"/>
    <w:rsid w:val="00AA35F3"/>
    <w:rsid w:val="00AA39B1"/>
    <w:rsid w:val="00AA4364"/>
    <w:rsid w:val="00AA49BA"/>
    <w:rsid w:val="00AB1F86"/>
    <w:rsid w:val="00AB412A"/>
    <w:rsid w:val="00AB5307"/>
    <w:rsid w:val="00AB5418"/>
    <w:rsid w:val="00AB5E88"/>
    <w:rsid w:val="00AB5FA4"/>
    <w:rsid w:val="00AB7C60"/>
    <w:rsid w:val="00AC19FC"/>
    <w:rsid w:val="00AC1DDA"/>
    <w:rsid w:val="00AC312B"/>
    <w:rsid w:val="00AC3F12"/>
    <w:rsid w:val="00AC50C3"/>
    <w:rsid w:val="00AC694E"/>
    <w:rsid w:val="00AD10D5"/>
    <w:rsid w:val="00AD3E73"/>
    <w:rsid w:val="00AD67B6"/>
    <w:rsid w:val="00AE246D"/>
    <w:rsid w:val="00AE2AA0"/>
    <w:rsid w:val="00AE2DB9"/>
    <w:rsid w:val="00AE644E"/>
    <w:rsid w:val="00AE7590"/>
    <w:rsid w:val="00AE77EF"/>
    <w:rsid w:val="00AF6848"/>
    <w:rsid w:val="00AF773A"/>
    <w:rsid w:val="00B01AF8"/>
    <w:rsid w:val="00B038A8"/>
    <w:rsid w:val="00B13650"/>
    <w:rsid w:val="00B14078"/>
    <w:rsid w:val="00B14D76"/>
    <w:rsid w:val="00B165D3"/>
    <w:rsid w:val="00B171EE"/>
    <w:rsid w:val="00B21A06"/>
    <w:rsid w:val="00B221CE"/>
    <w:rsid w:val="00B24363"/>
    <w:rsid w:val="00B26BB7"/>
    <w:rsid w:val="00B2734A"/>
    <w:rsid w:val="00B32A0A"/>
    <w:rsid w:val="00B335EC"/>
    <w:rsid w:val="00B34477"/>
    <w:rsid w:val="00B344F2"/>
    <w:rsid w:val="00B35DE7"/>
    <w:rsid w:val="00B3609A"/>
    <w:rsid w:val="00B37A16"/>
    <w:rsid w:val="00B428DF"/>
    <w:rsid w:val="00B508B6"/>
    <w:rsid w:val="00B51DC3"/>
    <w:rsid w:val="00B520D5"/>
    <w:rsid w:val="00B5739F"/>
    <w:rsid w:val="00B577C3"/>
    <w:rsid w:val="00B608EB"/>
    <w:rsid w:val="00B60BFF"/>
    <w:rsid w:val="00B62183"/>
    <w:rsid w:val="00B6254E"/>
    <w:rsid w:val="00B64256"/>
    <w:rsid w:val="00B66536"/>
    <w:rsid w:val="00B70E5C"/>
    <w:rsid w:val="00B71780"/>
    <w:rsid w:val="00B723FF"/>
    <w:rsid w:val="00B72A67"/>
    <w:rsid w:val="00B7456D"/>
    <w:rsid w:val="00B817FF"/>
    <w:rsid w:val="00B82086"/>
    <w:rsid w:val="00B83530"/>
    <w:rsid w:val="00B84F03"/>
    <w:rsid w:val="00B865AC"/>
    <w:rsid w:val="00B91C1B"/>
    <w:rsid w:val="00B921BB"/>
    <w:rsid w:val="00B92A6D"/>
    <w:rsid w:val="00B92C29"/>
    <w:rsid w:val="00B94669"/>
    <w:rsid w:val="00B94AF2"/>
    <w:rsid w:val="00B96F07"/>
    <w:rsid w:val="00B97386"/>
    <w:rsid w:val="00BA0AD7"/>
    <w:rsid w:val="00BA1600"/>
    <w:rsid w:val="00BA27C1"/>
    <w:rsid w:val="00BA407D"/>
    <w:rsid w:val="00BA57E5"/>
    <w:rsid w:val="00BA5CD1"/>
    <w:rsid w:val="00BB1CC6"/>
    <w:rsid w:val="00BB214F"/>
    <w:rsid w:val="00BB342B"/>
    <w:rsid w:val="00BB4127"/>
    <w:rsid w:val="00BB7311"/>
    <w:rsid w:val="00BC2DE0"/>
    <w:rsid w:val="00BC339F"/>
    <w:rsid w:val="00BC49D6"/>
    <w:rsid w:val="00BC6645"/>
    <w:rsid w:val="00BC7047"/>
    <w:rsid w:val="00BC76CE"/>
    <w:rsid w:val="00BD07B4"/>
    <w:rsid w:val="00BD3C1C"/>
    <w:rsid w:val="00BD4712"/>
    <w:rsid w:val="00BD5C8A"/>
    <w:rsid w:val="00BD7810"/>
    <w:rsid w:val="00BE10AB"/>
    <w:rsid w:val="00BE22E3"/>
    <w:rsid w:val="00BE3825"/>
    <w:rsid w:val="00BF0371"/>
    <w:rsid w:val="00BF18B6"/>
    <w:rsid w:val="00BF2E2E"/>
    <w:rsid w:val="00BF341B"/>
    <w:rsid w:val="00BF4086"/>
    <w:rsid w:val="00BF43DF"/>
    <w:rsid w:val="00BF5D83"/>
    <w:rsid w:val="00BF64D8"/>
    <w:rsid w:val="00BF68D1"/>
    <w:rsid w:val="00BF69E2"/>
    <w:rsid w:val="00C041F0"/>
    <w:rsid w:val="00C053F7"/>
    <w:rsid w:val="00C066D3"/>
    <w:rsid w:val="00C072BE"/>
    <w:rsid w:val="00C110DE"/>
    <w:rsid w:val="00C138C8"/>
    <w:rsid w:val="00C158F1"/>
    <w:rsid w:val="00C20436"/>
    <w:rsid w:val="00C20556"/>
    <w:rsid w:val="00C20772"/>
    <w:rsid w:val="00C21A2D"/>
    <w:rsid w:val="00C22574"/>
    <w:rsid w:val="00C23410"/>
    <w:rsid w:val="00C278E4"/>
    <w:rsid w:val="00C31CFC"/>
    <w:rsid w:val="00C31F2D"/>
    <w:rsid w:val="00C32C01"/>
    <w:rsid w:val="00C40059"/>
    <w:rsid w:val="00C410E1"/>
    <w:rsid w:val="00C4138C"/>
    <w:rsid w:val="00C4289E"/>
    <w:rsid w:val="00C43F8A"/>
    <w:rsid w:val="00C44DC9"/>
    <w:rsid w:val="00C46CE3"/>
    <w:rsid w:val="00C5036D"/>
    <w:rsid w:val="00C56A4C"/>
    <w:rsid w:val="00C56F7C"/>
    <w:rsid w:val="00C614FA"/>
    <w:rsid w:val="00C61D52"/>
    <w:rsid w:val="00C6681E"/>
    <w:rsid w:val="00C67A73"/>
    <w:rsid w:val="00C7055B"/>
    <w:rsid w:val="00C73C7F"/>
    <w:rsid w:val="00C74334"/>
    <w:rsid w:val="00C74DF3"/>
    <w:rsid w:val="00C80EA2"/>
    <w:rsid w:val="00C83269"/>
    <w:rsid w:val="00C84298"/>
    <w:rsid w:val="00C847B8"/>
    <w:rsid w:val="00C877FA"/>
    <w:rsid w:val="00C90A3D"/>
    <w:rsid w:val="00C91207"/>
    <w:rsid w:val="00C916C4"/>
    <w:rsid w:val="00C92A6C"/>
    <w:rsid w:val="00C945F4"/>
    <w:rsid w:val="00C94E79"/>
    <w:rsid w:val="00C9520C"/>
    <w:rsid w:val="00C95F12"/>
    <w:rsid w:val="00C9718A"/>
    <w:rsid w:val="00CA0E96"/>
    <w:rsid w:val="00CA13AD"/>
    <w:rsid w:val="00CA14F4"/>
    <w:rsid w:val="00CA30B1"/>
    <w:rsid w:val="00CA58DA"/>
    <w:rsid w:val="00CA58DB"/>
    <w:rsid w:val="00CB006E"/>
    <w:rsid w:val="00CB0577"/>
    <w:rsid w:val="00CB16D4"/>
    <w:rsid w:val="00CB1871"/>
    <w:rsid w:val="00CB2098"/>
    <w:rsid w:val="00CB3858"/>
    <w:rsid w:val="00CB3ABA"/>
    <w:rsid w:val="00CB49E8"/>
    <w:rsid w:val="00CB5B6C"/>
    <w:rsid w:val="00CC17E1"/>
    <w:rsid w:val="00CC1E53"/>
    <w:rsid w:val="00CC4A26"/>
    <w:rsid w:val="00CC6B42"/>
    <w:rsid w:val="00CC7DEA"/>
    <w:rsid w:val="00CD045C"/>
    <w:rsid w:val="00CD32EF"/>
    <w:rsid w:val="00CD45C3"/>
    <w:rsid w:val="00CD57D6"/>
    <w:rsid w:val="00CD5D23"/>
    <w:rsid w:val="00CD7364"/>
    <w:rsid w:val="00CE04FA"/>
    <w:rsid w:val="00CE39D5"/>
    <w:rsid w:val="00CE3C51"/>
    <w:rsid w:val="00CE45C7"/>
    <w:rsid w:val="00CE52CB"/>
    <w:rsid w:val="00CE5AD2"/>
    <w:rsid w:val="00CE5FF2"/>
    <w:rsid w:val="00CE6065"/>
    <w:rsid w:val="00CE6A01"/>
    <w:rsid w:val="00CE6F39"/>
    <w:rsid w:val="00CF10CF"/>
    <w:rsid w:val="00CF19FA"/>
    <w:rsid w:val="00CF2DA9"/>
    <w:rsid w:val="00CF3D9B"/>
    <w:rsid w:val="00CF5277"/>
    <w:rsid w:val="00D00D55"/>
    <w:rsid w:val="00D01BC2"/>
    <w:rsid w:val="00D037D3"/>
    <w:rsid w:val="00D03994"/>
    <w:rsid w:val="00D03EE3"/>
    <w:rsid w:val="00D06515"/>
    <w:rsid w:val="00D10D1B"/>
    <w:rsid w:val="00D11073"/>
    <w:rsid w:val="00D11E6D"/>
    <w:rsid w:val="00D13D4F"/>
    <w:rsid w:val="00D14F77"/>
    <w:rsid w:val="00D159B1"/>
    <w:rsid w:val="00D15AC1"/>
    <w:rsid w:val="00D163C9"/>
    <w:rsid w:val="00D20ECA"/>
    <w:rsid w:val="00D21AD9"/>
    <w:rsid w:val="00D231A1"/>
    <w:rsid w:val="00D238A1"/>
    <w:rsid w:val="00D271A4"/>
    <w:rsid w:val="00D272D7"/>
    <w:rsid w:val="00D317C0"/>
    <w:rsid w:val="00D31E62"/>
    <w:rsid w:val="00D33054"/>
    <w:rsid w:val="00D335FC"/>
    <w:rsid w:val="00D424FD"/>
    <w:rsid w:val="00D443BE"/>
    <w:rsid w:val="00D52777"/>
    <w:rsid w:val="00D54CAF"/>
    <w:rsid w:val="00D55138"/>
    <w:rsid w:val="00D562E8"/>
    <w:rsid w:val="00D56843"/>
    <w:rsid w:val="00D56FBB"/>
    <w:rsid w:val="00D62B2F"/>
    <w:rsid w:val="00D64766"/>
    <w:rsid w:val="00D67712"/>
    <w:rsid w:val="00D7070E"/>
    <w:rsid w:val="00D70FFB"/>
    <w:rsid w:val="00D71508"/>
    <w:rsid w:val="00D72058"/>
    <w:rsid w:val="00D73858"/>
    <w:rsid w:val="00D766CA"/>
    <w:rsid w:val="00D774C8"/>
    <w:rsid w:val="00D7773D"/>
    <w:rsid w:val="00D77A78"/>
    <w:rsid w:val="00D83719"/>
    <w:rsid w:val="00D8411D"/>
    <w:rsid w:val="00D8590E"/>
    <w:rsid w:val="00D87803"/>
    <w:rsid w:val="00D92AC9"/>
    <w:rsid w:val="00D92FAB"/>
    <w:rsid w:val="00D968EE"/>
    <w:rsid w:val="00D978CC"/>
    <w:rsid w:val="00DA070C"/>
    <w:rsid w:val="00DA3306"/>
    <w:rsid w:val="00DA33CC"/>
    <w:rsid w:val="00DA389B"/>
    <w:rsid w:val="00DA624B"/>
    <w:rsid w:val="00DA706F"/>
    <w:rsid w:val="00DB114B"/>
    <w:rsid w:val="00DB4153"/>
    <w:rsid w:val="00DB5759"/>
    <w:rsid w:val="00DB6D3D"/>
    <w:rsid w:val="00DC0303"/>
    <w:rsid w:val="00DC0335"/>
    <w:rsid w:val="00DC2FC1"/>
    <w:rsid w:val="00DC3A88"/>
    <w:rsid w:val="00DC4602"/>
    <w:rsid w:val="00DC6FB3"/>
    <w:rsid w:val="00DC73EC"/>
    <w:rsid w:val="00DD0354"/>
    <w:rsid w:val="00DD14D5"/>
    <w:rsid w:val="00DD26A8"/>
    <w:rsid w:val="00DD3B91"/>
    <w:rsid w:val="00DD44FA"/>
    <w:rsid w:val="00DD4631"/>
    <w:rsid w:val="00DD610F"/>
    <w:rsid w:val="00DE1F1E"/>
    <w:rsid w:val="00DE2DB6"/>
    <w:rsid w:val="00DE6A7B"/>
    <w:rsid w:val="00DF4346"/>
    <w:rsid w:val="00E00B3E"/>
    <w:rsid w:val="00E01426"/>
    <w:rsid w:val="00E0400E"/>
    <w:rsid w:val="00E04E60"/>
    <w:rsid w:val="00E051F8"/>
    <w:rsid w:val="00E079D5"/>
    <w:rsid w:val="00E07C43"/>
    <w:rsid w:val="00E10F38"/>
    <w:rsid w:val="00E14D33"/>
    <w:rsid w:val="00E15FB0"/>
    <w:rsid w:val="00E1748F"/>
    <w:rsid w:val="00E211CE"/>
    <w:rsid w:val="00E21E1F"/>
    <w:rsid w:val="00E22F3B"/>
    <w:rsid w:val="00E25EB8"/>
    <w:rsid w:val="00E26412"/>
    <w:rsid w:val="00E26DF3"/>
    <w:rsid w:val="00E3242E"/>
    <w:rsid w:val="00E32762"/>
    <w:rsid w:val="00E33115"/>
    <w:rsid w:val="00E34D9C"/>
    <w:rsid w:val="00E356D1"/>
    <w:rsid w:val="00E414A3"/>
    <w:rsid w:val="00E42994"/>
    <w:rsid w:val="00E4342A"/>
    <w:rsid w:val="00E459DC"/>
    <w:rsid w:val="00E45D53"/>
    <w:rsid w:val="00E5186F"/>
    <w:rsid w:val="00E51E1B"/>
    <w:rsid w:val="00E52635"/>
    <w:rsid w:val="00E52645"/>
    <w:rsid w:val="00E54631"/>
    <w:rsid w:val="00E54CE2"/>
    <w:rsid w:val="00E578ED"/>
    <w:rsid w:val="00E5799D"/>
    <w:rsid w:val="00E57A70"/>
    <w:rsid w:val="00E614AA"/>
    <w:rsid w:val="00E6197D"/>
    <w:rsid w:val="00E66080"/>
    <w:rsid w:val="00E70815"/>
    <w:rsid w:val="00E74130"/>
    <w:rsid w:val="00E75148"/>
    <w:rsid w:val="00E7621B"/>
    <w:rsid w:val="00E76344"/>
    <w:rsid w:val="00E779F2"/>
    <w:rsid w:val="00E80D82"/>
    <w:rsid w:val="00E82776"/>
    <w:rsid w:val="00E8399C"/>
    <w:rsid w:val="00E861A5"/>
    <w:rsid w:val="00E8692F"/>
    <w:rsid w:val="00E91C48"/>
    <w:rsid w:val="00E926FF"/>
    <w:rsid w:val="00E93B94"/>
    <w:rsid w:val="00E94C86"/>
    <w:rsid w:val="00E9599D"/>
    <w:rsid w:val="00E95BF0"/>
    <w:rsid w:val="00E95E75"/>
    <w:rsid w:val="00E96F88"/>
    <w:rsid w:val="00E97A2D"/>
    <w:rsid w:val="00EA2057"/>
    <w:rsid w:val="00EA76C3"/>
    <w:rsid w:val="00EA79CA"/>
    <w:rsid w:val="00EA7BE5"/>
    <w:rsid w:val="00EA7F7A"/>
    <w:rsid w:val="00EB225D"/>
    <w:rsid w:val="00EB502C"/>
    <w:rsid w:val="00EC0897"/>
    <w:rsid w:val="00EC26C9"/>
    <w:rsid w:val="00EC4D67"/>
    <w:rsid w:val="00ED0262"/>
    <w:rsid w:val="00ED100F"/>
    <w:rsid w:val="00ED4C28"/>
    <w:rsid w:val="00ED5979"/>
    <w:rsid w:val="00ED617D"/>
    <w:rsid w:val="00ED7199"/>
    <w:rsid w:val="00ED75B3"/>
    <w:rsid w:val="00EE43F5"/>
    <w:rsid w:val="00EE6D2A"/>
    <w:rsid w:val="00EE7DEF"/>
    <w:rsid w:val="00EF0B34"/>
    <w:rsid w:val="00EF1195"/>
    <w:rsid w:val="00EF1FA6"/>
    <w:rsid w:val="00EF35C1"/>
    <w:rsid w:val="00EF3D8C"/>
    <w:rsid w:val="00EF4643"/>
    <w:rsid w:val="00EF6E59"/>
    <w:rsid w:val="00EF7456"/>
    <w:rsid w:val="00F060BB"/>
    <w:rsid w:val="00F06B31"/>
    <w:rsid w:val="00F07222"/>
    <w:rsid w:val="00F100AA"/>
    <w:rsid w:val="00F110EF"/>
    <w:rsid w:val="00F11D3C"/>
    <w:rsid w:val="00F1322A"/>
    <w:rsid w:val="00F14201"/>
    <w:rsid w:val="00F167C4"/>
    <w:rsid w:val="00F16C08"/>
    <w:rsid w:val="00F1725F"/>
    <w:rsid w:val="00F17C0D"/>
    <w:rsid w:val="00F20349"/>
    <w:rsid w:val="00F20732"/>
    <w:rsid w:val="00F20B42"/>
    <w:rsid w:val="00F22EC1"/>
    <w:rsid w:val="00F23A2D"/>
    <w:rsid w:val="00F25C5C"/>
    <w:rsid w:val="00F32AC3"/>
    <w:rsid w:val="00F33500"/>
    <w:rsid w:val="00F35ACD"/>
    <w:rsid w:val="00F36B29"/>
    <w:rsid w:val="00F36DD6"/>
    <w:rsid w:val="00F37F3D"/>
    <w:rsid w:val="00F42837"/>
    <w:rsid w:val="00F4312F"/>
    <w:rsid w:val="00F4398B"/>
    <w:rsid w:val="00F44F5E"/>
    <w:rsid w:val="00F45653"/>
    <w:rsid w:val="00F45F36"/>
    <w:rsid w:val="00F5032B"/>
    <w:rsid w:val="00F506D3"/>
    <w:rsid w:val="00F526F7"/>
    <w:rsid w:val="00F52C12"/>
    <w:rsid w:val="00F62079"/>
    <w:rsid w:val="00F65591"/>
    <w:rsid w:val="00F71076"/>
    <w:rsid w:val="00F73E88"/>
    <w:rsid w:val="00F73EF4"/>
    <w:rsid w:val="00F7570B"/>
    <w:rsid w:val="00F75714"/>
    <w:rsid w:val="00F758CA"/>
    <w:rsid w:val="00F77DA0"/>
    <w:rsid w:val="00F801CF"/>
    <w:rsid w:val="00F822BB"/>
    <w:rsid w:val="00F84926"/>
    <w:rsid w:val="00F90C6E"/>
    <w:rsid w:val="00F91DB0"/>
    <w:rsid w:val="00F92BA5"/>
    <w:rsid w:val="00FA0C57"/>
    <w:rsid w:val="00FA0DBF"/>
    <w:rsid w:val="00FA1500"/>
    <w:rsid w:val="00FA29BE"/>
    <w:rsid w:val="00FA4109"/>
    <w:rsid w:val="00FA63DB"/>
    <w:rsid w:val="00FB107B"/>
    <w:rsid w:val="00FB3D0F"/>
    <w:rsid w:val="00FB44ED"/>
    <w:rsid w:val="00FB7AF6"/>
    <w:rsid w:val="00FB7BDE"/>
    <w:rsid w:val="00FC045F"/>
    <w:rsid w:val="00FC0CB4"/>
    <w:rsid w:val="00FC1F9C"/>
    <w:rsid w:val="00FC2764"/>
    <w:rsid w:val="00FC3EA3"/>
    <w:rsid w:val="00FC5159"/>
    <w:rsid w:val="00FD13D8"/>
    <w:rsid w:val="00FD416F"/>
    <w:rsid w:val="00FD5031"/>
    <w:rsid w:val="00FD54D3"/>
    <w:rsid w:val="00FD717A"/>
    <w:rsid w:val="00FE060D"/>
    <w:rsid w:val="00FE3756"/>
    <w:rsid w:val="00FE3E95"/>
    <w:rsid w:val="00FE4778"/>
    <w:rsid w:val="00FE4B6E"/>
    <w:rsid w:val="00FE60CF"/>
    <w:rsid w:val="00FE634D"/>
    <w:rsid w:val="00FE7395"/>
    <w:rsid w:val="00FF089F"/>
    <w:rsid w:val="00FF1D2A"/>
    <w:rsid w:val="00FF2964"/>
    <w:rsid w:val="00FF3E0B"/>
    <w:rsid w:val="00FF5DD7"/>
    <w:rsid w:val="00FF6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7C4927F-DD19-41AC-8FEB-D7BCC205D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E41"/>
    <w:pPr>
      <w:spacing w:after="0" w:line="340" w:lineRule="atLeast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0E41"/>
    <w:pPr>
      <w:tabs>
        <w:tab w:val="center" w:pos="4320"/>
        <w:tab w:val="right" w:pos="8640"/>
      </w:tabs>
      <w:spacing w:line="240" w:lineRule="auto"/>
      <w:jc w:val="left"/>
    </w:pPr>
    <w:rPr>
      <w:rFonts w:asciiTheme="minorHAnsi" w:eastAsiaTheme="minorEastAsia" w:hAnsiTheme="minorHAnsi" w:cstheme="minorBidi"/>
      <w:color w:val="auto"/>
      <w:sz w:val="22"/>
      <w:szCs w:val="22"/>
      <w:lang w:eastAsia="zh-CN"/>
    </w:rPr>
  </w:style>
  <w:style w:type="character" w:customStyle="1" w:styleId="Char">
    <w:name w:val="页眉 Char"/>
    <w:basedOn w:val="a0"/>
    <w:link w:val="a3"/>
    <w:uiPriority w:val="99"/>
    <w:rsid w:val="001E0E41"/>
  </w:style>
  <w:style w:type="paragraph" w:styleId="a4">
    <w:name w:val="footer"/>
    <w:basedOn w:val="a"/>
    <w:link w:val="Char0"/>
    <w:uiPriority w:val="99"/>
    <w:unhideWhenUsed/>
    <w:rsid w:val="001E0E41"/>
    <w:pPr>
      <w:tabs>
        <w:tab w:val="center" w:pos="4320"/>
        <w:tab w:val="right" w:pos="8640"/>
      </w:tabs>
      <w:spacing w:line="240" w:lineRule="auto"/>
      <w:jc w:val="left"/>
    </w:pPr>
    <w:rPr>
      <w:rFonts w:asciiTheme="minorHAnsi" w:eastAsiaTheme="minorEastAsia" w:hAnsiTheme="minorHAnsi" w:cstheme="minorBidi"/>
      <w:color w:val="auto"/>
      <w:sz w:val="22"/>
      <w:szCs w:val="22"/>
      <w:lang w:eastAsia="zh-CN"/>
    </w:rPr>
  </w:style>
  <w:style w:type="character" w:customStyle="1" w:styleId="Char0">
    <w:name w:val="页脚 Char"/>
    <w:basedOn w:val="a0"/>
    <w:link w:val="a4"/>
    <w:uiPriority w:val="99"/>
    <w:rsid w:val="001E0E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t.go.jp/english/data/chouki/03.ht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884</Words>
  <Characters>5044</Characters>
  <Application>Microsoft Office Word</Application>
  <DocSecurity>0</DocSecurity>
  <Lines>42</Lines>
  <Paragraphs>11</Paragraphs>
  <ScaleCrop>false</ScaleCrop>
  <Company/>
  <LinksUpToDate>false</LinksUpToDate>
  <CharactersWithSpaces>5917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Fengyun LIU</dc:creator>
  <cp:keywords/>
  <dc:description/>
  <cp:lastModifiedBy>Fengyun LIU</cp:lastModifiedBy>
  <cp:revision>2</cp:revision>
  <dcterms:created xsi:type="dcterms:W3CDTF">2017-01-05T12:07:00Z</dcterms:created>
  <dcterms:modified xsi:type="dcterms:W3CDTF">2017-01-05T12:09:00Z</dcterms:modified>
</cp:coreProperties>
</file>