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72698" w14:textId="77777777" w:rsidR="00D10DF4" w:rsidRDefault="00D10DF4" w:rsidP="00D10DF4">
      <w:pPr>
        <w:pStyle w:val="Heading1"/>
        <w:rPr>
          <w:color w:val="auto"/>
          <w:lang w:val="en-US"/>
        </w:rPr>
      </w:pPr>
      <w:r>
        <w:rPr>
          <w:color w:val="auto"/>
          <w:lang w:val="en-US"/>
        </w:rPr>
        <w:t>A new global air quality health index based on the WHO Air Quality Guideline Values with application in Cape Town.</w:t>
      </w:r>
    </w:p>
    <w:p w14:paraId="5F508828" w14:textId="77777777" w:rsidR="00D10DF4" w:rsidRDefault="00D10DF4" w:rsidP="00D10DF4"/>
    <w:p w14:paraId="2F8458F3" w14:textId="7DF5034D" w:rsidR="00D10DF4" w:rsidRDefault="00D10DF4" w:rsidP="00D10DF4">
      <w:r>
        <w:t>Temitope Christina Adebayo-Ojo</w:t>
      </w:r>
      <w:r>
        <w:rPr>
          <w:vertAlign w:val="superscript"/>
        </w:rPr>
        <w:t>1,2</w:t>
      </w:r>
      <w:r>
        <w:t>, Janine Wichmann</w:t>
      </w:r>
      <w:r>
        <w:rPr>
          <w:vertAlign w:val="superscript"/>
        </w:rPr>
        <w:t>3</w:t>
      </w:r>
      <w:r>
        <w:t>, Oluwaseyi Olalekan Arowosegbe</w:t>
      </w:r>
      <w:r w:rsidR="00DF0518">
        <w:rPr>
          <w:vertAlign w:val="superscript"/>
        </w:rPr>
        <w:t>4,5</w:t>
      </w:r>
      <w:r>
        <w:t>, Nicole Probst-Hensch</w:t>
      </w:r>
      <w:r>
        <w:rPr>
          <w:vertAlign w:val="superscript"/>
        </w:rPr>
        <w:t>1,2</w:t>
      </w:r>
      <w:r>
        <w:t>, Christian Schindler</w:t>
      </w:r>
      <w:r>
        <w:rPr>
          <w:vertAlign w:val="superscript"/>
        </w:rPr>
        <w:t>1,2</w:t>
      </w:r>
      <w:r>
        <w:t>, Nino Künzli</w:t>
      </w:r>
      <w:r w:rsidR="00DF0518">
        <w:rPr>
          <w:vertAlign w:val="superscript"/>
        </w:rPr>
        <w:t>1,2,6</w:t>
      </w:r>
      <w:bookmarkStart w:id="0" w:name="_GoBack"/>
      <w:bookmarkEnd w:id="0"/>
    </w:p>
    <w:p w14:paraId="035523C5" w14:textId="77777777" w:rsidR="00D10DF4" w:rsidRDefault="00D10DF4" w:rsidP="00D10DF4">
      <w:r>
        <w:rPr>
          <w:vertAlign w:val="superscript"/>
        </w:rPr>
        <w:t xml:space="preserve">1 </w:t>
      </w:r>
      <w:r>
        <w:t xml:space="preserve">Department of Epidemiology and Public Health, Swiss Tropical and Public Health Institute, Basel, Kreuzstrasse 2, 4123 Allschwil, Switzerland; </w:t>
      </w:r>
    </w:p>
    <w:p w14:paraId="7449E699" w14:textId="77777777" w:rsidR="00D10DF4" w:rsidRDefault="00D10DF4" w:rsidP="00D10DF4">
      <w:r>
        <w:rPr>
          <w:vertAlign w:val="superscript"/>
        </w:rPr>
        <w:t xml:space="preserve">2 </w:t>
      </w:r>
      <w:r>
        <w:t>University of Basel, Basel, 4056, Switzerland</w:t>
      </w:r>
    </w:p>
    <w:p w14:paraId="522077F7" w14:textId="77777777" w:rsidR="00D10DF4" w:rsidRDefault="00D10DF4" w:rsidP="00D10DF4">
      <w:r>
        <w:rPr>
          <w:vertAlign w:val="superscript"/>
        </w:rPr>
        <w:t>3</w:t>
      </w:r>
      <w:r>
        <w:t xml:space="preserve"> Faculty of Health Sciences, School of Health Systems and Public Health, University of Pretoria, Pretoria, 0002, South Africa</w:t>
      </w:r>
    </w:p>
    <w:p w14:paraId="42A71D5D" w14:textId="77777777" w:rsidR="00D10DF4" w:rsidRDefault="00D10DF4" w:rsidP="00D10DF4">
      <w:pPr>
        <w:rPr>
          <w:rFonts w:eastAsia="Times New Roman" w:cs="Times New Roman"/>
        </w:rPr>
      </w:pPr>
      <w:r>
        <w:rPr>
          <w:rFonts w:eastAsia="Times New Roman" w:cs="Times New Roman"/>
          <w:vertAlign w:val="superscript"/>
        </w:rPr>
        <w:t>4</w:t>
      </w:r>
      <w:r>
        <w:rPr>
          <w:rFonts w:eastAsia="Times New Roman" w:cs="Times New Roman"/>
        </w:rPr>
        <w:t xml:space="preserve"> Department of Epidemiology and Biostatistics, School of Public Health, Imperial College London, London, UK; </w:t>
      </w:r>
    </w:p>
    <w:p w14:paraId="201E6270" w14:textId="77777777" w:rsidR="00D10DF4" w:rsidRDefault="00D10DF4" w:rsidP="00D10DF4">
      <w:pPr>
        <w:rPr>
          <w:rFonts w:eastAsia="Times New Roman" w:cs="Times New Roman"/>
        </w:rPr>
      </w:pPr>
      <w:r>
        <w:rPr>
          <w:rFonts w:eastAsia="Times New Roman" w:cs="Times New Roman"/>
          <w:vertAlign w:val="superscript"/>
        </w:rPr>
        <w:t>5</w:t>
      </w:r>
      <w:r>
        <w:rPr>
          <w:rFonts w:eastAsia="Times New Roman" w:cs="Times New Roman"/>
        </w:rPr>
        <w:t xml:space="preserve"> MRC Centre for Environment and Health, School of Public Health, Imperial College London, London, UK</w:t>
      </w:r>
    </w:p>
    <w:p w14:paraId="1A0CD36E" w14:textId="74B0AF5F" w:rsidR="00D10DF4" w:rsidRDefault="00DF0518" w:rsidP="00D10DF4">
      <w:r w:rsidRPr="00DF0518">
        <w:rPr>
          <w:vertAlign w:val="superscript"/>
        </w:rPr>
        <w:t>6</w:t>
      </w:r>
      <w:r w:rsidR="00D10DF4">
        <w:t xml:space="preserve"> Swiss School of Public Health (SSPH+), 8001 Zürich, Switzerland</w:t>
      </w:r>
    </w:p>
    <w:p w14:paraId="7917F381" w14:textId="77777777" w:rsidR="00D10DF4" w:rsidRDefault="00D10DF4" w:rsidP="00D10DF4">
      <w:r>
        <w:t xml:space="preserve">temitope.adebayo@swisstph.ch; janine.wichmann@up.ac.za; </w:t>
      </w:r>
      <w:r>
        <w:rPr>
          <w:rFonts w:eastAsia="Times New Roman" w:cs="Times New Roman"/>
        </w:rPr>
        <w:t>o.arowosegbe@imperial.ac.uk</w:t>
      </w:r>
      <w:r>
        <w:t xml:space="preserve"> (O.O.A.); nicole.probst@swisstph.ch (N.p.-H.); christian.schindler@swisstph.ch (C.S.); nino.kuenzli@swisstph.ch (N.K.)</w:t>
      </w:r>
    </w:p>
    <w:p w14:paraId="26E5A62F" w14:textId="77777777" w:rsidR="00D10DF4" w:rsidRDefault="00D10DF4" w:rsidP="00D10DF4">
      <w:r>
        <w:t>*Corresponding: temitope.adebayo@swisstph.ch</w:t>
      </w:r>
    </w:p>
    <w:p w14:paraId="5325188A" w14:textId="4F4FBDE0" w:rsidR="00D10DF4" w:rsidRDefault="00D10DF4" w:rsidP="00D10DF4">
      <w:r>
        <w:t>Conflict of interest: The authors declare they have nothing to disclose.</w:t>
      </w:r>
    </w:p>
    <w:p w14:paraId="41341E54" w14:textId="77777777" w:rsidR="00D10DF4" w:rsidRDefault="00D10DF4">
      <w:r>
        <w:br w:type="page"/>
      </w:r>
    </w:p>
    <w:p w14:paraId="1DC2A564" w14:textId="77777777" w:rsidR="00D10DF4" w:rsidRDefault="00D10DF4" w:rsidP="00D10DF4"/>
    <w:p w14:paraId="4CEA73AE" w14:textId="68498E88" w:rsidR="009416AE" w:rsidRDefault="009E024E" w:rsidP="005621EA">
      <w:pPr>
        <w:rPr>
          <w:rFonts w:cs="Arial"/>
        </w:rPr>
      </w:pPr>
      <w:r>
        <w:rPr>
          <w:rFonts w:cs="Arial"/>
        </w:rPr>
        <w:t>This document outlines the methods used for constructing the air quality health index (AQHI)</w:t>
      </w:r>
      <w:r w:rsidR="00063DC3">
        <w:rPr>
          <w:rFonts w:cs="Arial"/>
        </w:rPr>
        <w:t xml:space="preserve"> in detail</w:t>
      </w:r>
      <w:r>
        <w:rPr>
          <w:rFonts w:cs="Arial"/>
        </w:rPr>
        <w:t xml:space="preserve"> and presents additional results</w:t>
      </w:r>
      <w:r w:rsidR="0096105A">
        <w:rPr>
          <w:rFonts w:cs="Arial"/>
        </w:rPr>
        <w:t>.</w:t>
      </w:r>
    </w:p>
    <w:p w14:paraId="4796BFE5" w14:textId="3567DD68" w:rsidR="00BB01B3" w:rsidRDefault="009416AE" w:rsidP="005621EA">
      <w:pPr>
        <w:rPr>
          <w:rFonts w:cs="Arial"/>
        </w:rPr>
      </w:pPr>
      <w:r>
        <w:rPr>
          <w:rFonts w:cs="Arial"/>
        </w:rPr>
        <w:t>Online s</w:t>
      </w:r>
      <w:r w:rsidR="008F1A35">
        <w:rPr>
          <w:rFonts w:cs="Arial"/>
        </w:rPr>
        <w:t>upplementary material</w:t>
      </w:r>
    </w:p>
    <w:p w14:paraId="6CA5A716" w14:textId="68EDF249" w:rsidR="00F54524" w:rsidRDefault="00F54524" w:rsidP="005621EA">
      <w:pPr>
        <w:rPr>
          <w:rFonts w:cs="Arial"/>
        </w:rPr>
      </w:pPr>
      <w:r>
        <w:rPr>
          <w:rFonts w:cs="Arial"/>
        </w:rPr>
        <w:t>Method</w:t>
      </w:r>
    </w:p>
    <w:p w14:paraId="0B74D688" w14:textId="4A9BA99A" w:rsidR="00063DC3" w:rsidRDefault="00063DC3" w:rsidP="005621EA">
      <w:pPr>
        <w:rPr>
          <w:rFonts w:cs="Arial"/>
        </w:rPr>
      </w:pPr>
      <w:r>
        <w:rPr>
          <w:rFonts w:cs="Arial"/>
        </w:rPr>
        <w:t xml:space="preserve">The construction of the AQHI follows five steps as shown in </w:t>
      </w:r>
      <w:r>
        <w:rPr>
          <w:rFonts w:cs="Arial"/>
        </w:rPr>
        <w:fldChar w:fldCharType="begin"/>
      </w:r>
      <w:r>
        <w:rPr>
          <w:rFonts w:cs="Arial"/>
        </w:rPr>
        <w:instrText xml:space="preserve"> REF _Ref137216466 \h </w:instrText>
      </w:r>
      <w:r>
        <w:rPr>
          <w:rFonts w:cs="Arial"/>
        </w:rPr>
      </w:r>
      <w:r>
        <w:rPr>
          <w:rFonts w:cs="Arial"/>
        </w:rPr>
        <w:fldChar w:fldCharType="separate"/>
      </w:r>
      <w:r>
        <w:t xml:space="preserve">Figure S </w:t>
      </w:r>
      <w:r>
        <w:rPr>
          <w:noProof/>
        </w:rPr>
        <w:t>1</w:t>
      </w:r>
      <w:r>
        <w:rPr>
          <w:rFonts w:cs="Arial"/>
        </w:rPr>
        <w:fldChar w:fldCharType="end"/>
      </w:r>
      <w:r>
        <w:rPr>
          <w:rFonts w:cs="Arial"/>
        </w:rPr>
        <w:t>.</w:t>
      </w:r>
      <w:r w:rsidR="00A364C6">
        <w:rPr>
          <w:rFonts w:cs="Arial"/>
        </w:rPr>
        <w:t xml:space="preserve"> The detail of each step is outlined below.</w:t>
      </w:r>
    </w:p>
    <w:p w14:paraId="35CC86AE" w14:textId="76FF215E" w:rsidR="00063DC3" w:rsidRDefault="00063DC3" w:rsidP="005621EA">
      <w:pPr>
        <w:rPr>
          <w:rFonts w:cs="Arial"/>
        </w:rPr>
      </w:pPr>
      <w:r>
        <w:rPr>
          <w:rFonts w:cs="Arial"/>
          <w:noProof/>
          <w:lang w:val="de-CH" w:eastAsia="de-CH"/>
        </w:rPr>
        <w:drawing>
          <wp:inline distT="0" distB="0" distL="0" distR="0" wp14:anchorId="49B3C1F9" wp14:editId="45470C01">
            <wp:extent cx="6584315" cy="1505585"/>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84315" cy="1505585"/>
                    </a:xfrm>
                    <a:prstGeom prst="rect">
                      <a:avLst/>
                    </a:prstGeom>
                    <a:noFill/>
                  </pic:spPr>
                </pic:pic>
              </a:graphicData>
            </a:graphic>
          </wp:inline>
        </w:drawing>
      </w:r>
    </w:p>
    <w:p w14:paraId="524D41B2" w14:textId="4EC5BF06" w:rsidR="00063DC3" w:rsidRDefault="00063DC3" w:rsidP="00063DC3">
      <w:pPr>
        <w:rPr>
          <w:rFonts w:eastAsiaTheme="minorEastAsia" w:cs="Arial"/>
          <w:b/>
        </w:rPr>
      </w:pPr>
      <w:bookmarkStart w:id="1" w:name="_Ref137216466"/>
      <w:r>
        <w:t xml:space="preserve">Figure S </w:t>
      </w:r>
      <w:r>
        <w:fldChar w:fldCharType="begin"/>
      </w:r>
      <w:r>
        <w:instrText xml:space="preserve"> SEQ Figure_S \* ARABIC </w:instrText>
      </w:r>
      <w:r>
        <w:fldChar w:fldCharType="separate"/>
      </w:r>
      <w:r w:rsidR="0088252E">
        <w:rPr>
          <w:noProof/>
        </w:rPr>
        <w:t>1</w:t>
      </w:r>
      <w:r>
        <w:fldChar w:fldCharType="end"/>
      </w:r>
      <w:bookmarkEnd w:id="1"/>
      <w:r>
        <w:t xml:space="preserve">: </w:t>
      </w:r>
      <w:r w:rsidRPr="00DD1ACE">
        <w:rPr>
          <w:lang w:val="en-US"/>
        </w:rPr>
        <w:t xml:space="preserve"> A four-step guide for constructing an </w:t>
      </w:r>
      <w:r>
        <w:rPr>
          <w:lang w:val="en-US"/>
        </w:rPr>
        <w:t>Air Quality Health Index (</w:t>
      </w:r>
      <w:r w:rsidRPr="00DD1ACE">
        <w:rPr>
          <w:lang w:val="en-US"/>
        </w:rPr>
        <w:t>AQHI</w:t>
      </w:r>
      <w:r>
        <w:rPr>
          <w:lang w:val="en-US"/>
        </w:rPr>
        <w:t>)</w:t>
      </w:r>
      <w:r>
        <w:rPr>
          <w:rFonts w:cs="Arial"/>
        </w:rPr>
        <w:t xml:space="preserve"> </w:t>
      </w:r>
    </w:p>
    <w:p w14:paraId="34B00437" w14:textId="2A4AC2A1" w:rsidR="00063DC3" w:rsidRDefault="00063DC3" w:rsidP="004E0D8C">
      <w:pPr>
        <w:pStyle w:val="Caption"/>
        <w:rPr>
          <w:rFonts w:cs="Arial"/>
        </w:rPr>
      </w:pPr>
    </w:p>
    <w:p w14:paraId="79ACB526" w14:textId="77777777" w:rsidR="00082129" w:rsidRPr="00082129" w:rsidRDefault="00082129" w:rsidP="00082129">
      <w:pPr>
        <w:jc w:val="both"/>
        <w:rPr>
          <w:rFonts w:cs="Arial"/>
          <w:b/>
        </w:rPr>
      </w:pPr>
      <w:r w:rsidRPr="00082129">
        <w:rPr>
          <w:rFonts w:cs="Arial"/>
          <w:b/>
        </w:rPr>
        <w:t>Obtain concentration response functions (CRF)</w:t>
      </w:r>
    </w:p>
    <w:p w14:paraId="71AE5CAD" w14:textId="553E2E14" w:rsidR="00082129" w:rsidRPr="00082129" w:rsidRDefault="00BC0597" w:rsidP="00082129">
      <w:pPr>
        <w:jc w:val="both"/>
        <w:rPr>
          <w:rFonts w:cs="Arial"/>
        </w:rPr>
      </w:pPr>
      <w:r>
        <w:rPr>
          <w:rFonts w:cs="Arial"/>
        </w:rPr>
        <w:t xml:space="preserve">Many CRF for the association between daily mean concentrations and mortality are </w:t>
      </w:r>
      <w:r w:rsidR="00DF0518">
        <w:rPr>
          <w:rFonts w:cs="Arial"/>
        </w:rPr>
        <w:t>available</w:t>
      </w:r>
      <w:r>
        <w:rPr>
          <w:rFonts w:cs="Arial"/>
        </w:rPr>
        <w:t xml:space="preserve">. We opted for the CRFs from the </w:t>
      </w:r>
      <w:r w:rsidR="00082129" w:rsidRPr="00082129">
        <w:rPr>
          <w:rFonts w:cs="Arial"/>
        </w:rPr>
        <w:t xml:space="preserve">global systematic review of 263 studies for </w:t>
      </w:r>
      <w:r w:rsidR="00082129" w:rsidRPr="00082129">
        <w:rPr>
          <w:lang w:val="en-US"/>
        </w:rPr>
        <w:t>PM</w:t>
      </w:r>
      <w:r w:rsidR="00082129" w:rsidRPr="00082129">
        <w:rPr>
          <w:vertAlign w:val="subscript"/>
          <w:lang w:val="en-US"/>
        </w:rPr>
        <w:t>2.5</w:t>
      </w:r>
      <w:r w:rsidR="00082129" w:rsidRPr="00082129">
        <w:rPr>
          <w:rFonts w:cs="Arial"/>
        </w:rPr>
        <w:t xml:space="preserve">, </w:t>
      </w:r>
      <w:r w:rsidR="00082129" w:rsidRPr="00082129">
        <w:t>PM</w:t>
      </w:r>
      <w:r w:rsidR="00082129" w:rsidRPr="00082129">
        <w:rPr>
          <w:vertAlign w:val="subscript"/>
        </w:rPr>
        <w:t>10</w:t>
      </w:r>
      <w:r w:rsidR="00082129" w:rsidRPr="00082129">
        <w:rPr>
          <w:rFonts w:cs="Arial"/>
        </w:rPr>
        <w:t xml:space="preserve">, </w:t>
      </w:r>
      <w:r w:rsidR="00082129" w:rsidRPr="00082129">
        <w:t>NO</w:t>
      </w:r>
      <w:r w:rsidR="00082129" w:rsidRPr="00082129">
        <w:rPr>
          <w:vertAlign w:val="subscript"/>
        </w:rPr>
        <w:t>2</w:t>
      </w:r>
      <w:r w:rsidR="00082129" w:rsidRPr="00082129">
        <w:rPr>
          <w:rFonts w:cs="Arial"/>
        </w:rPr>
        <w:t xml:space="preserve">, </w:t>
      </w:r>
      <w:r w:rsidR="00082129" w:rsidRPr="00082129">
        <w:t>SO</w:t>
      </w:r>
      <w:r w:rsidR="00082129" w:rsidRPr="00082129">
        <w:rPr>
          <w:vertAlign w:val="subscript"/>
        </w:rPr>
        <w:t>2</w:t>
      </w:r>
      <w:r w:rsidR="00082129" w:rsidRPr="00082129">
        <w:rPr>
          <w:rFonts w:cs="Arial"/>
        </w:rPr>
        <w:t xml:space="preserve">, and </w:t>
      </w:r>
      <w:r w:rsidR="00082129" w:rsidRPr="00082129">
        <w:t>O</w:t>
      </w:r>
      <w:r w:rsidR="00082129" w:rsidRPr="00082129">
        <w:rPr>
          <w:vertAlign w:val="subscript"/>
        </w:rPr>
        <w:t>3</w:t>
      </w:r>
      <w:r w:rsidR="00082129" w:rsidRPr="00082129">
        <w:rPr>
          <w:rFonts w:cs="Arial"/>
        </w:rPr>
        <w:t xml:space="preserve"> and all-cause mortality that guided the development of the 2021 WHO AQG values</w:t>
      </w:r>
      <w:r w:rsidR="00E76ADE">
        <w:rPr>
          <w:rFonts w:cs="Arial"/>
        </w:rPr>
        <w:t>.</w:t>
      </w:r>
      <w:r w:rsidR="00082129" w:rsidRPr="00082129">
        <w:rPr>
          <w:rFonts w:cs="Arial"/>
        </w:rPr>
        <w:fldChar w:fldCharType="begin">
          <w:fldData xml:space="preserve">PEVuZE5vdGU+PENpdGU+PEF1dGhvcj5PcmVsbGFubzwvQXV0aG9yPjxZZWFyPjIwMjA8L1llYXI+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</w:fldData>
        </w:fldChar>
      </w:r>
      <w:r w:rsidR="00082129">
        <w:rPr>
          <w:rFonts w:cs="Arial"/>
        </w:rPr>
        <w:instrText xml:space="preserve"> ADDIN EN.CITE </w:instrText>
      </w:r>
      <w:r w:rsidR="00082129">
        <w:rPr>
          <w:rFonts w:cs="Arial"/>
        </w:rPr>
        <w:fldChar w:fldCharType="begin">
          <w:fldData xml:space="preserve">PEVuZE5vdGU+PENpdGU+PEF1dGhvcj5PcmVsbGFubzwvQXV0aG9yPjxZZWFyPjIwMjA8L1llYXI+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</w:fldData>
        </w:fldChar>
      </w:r>
      <w:r w:rsidR="00082129">
        <w:rPr>
          <w:rFonts w:cs="Arial"/>
        </w:rPr>
        <w:instrText xml:space="preserve"> ADDIN EN.CITE.DATA </w:instrText>
      </w:r>
      <w:r w:rsidR="00082129">
        <w:rPr>
          <w:rFonts w:cs="Arial"/>
        </w:rPr>
      </w:r>
      <w:r w:rsidR="00082129">
        <w:rPr>
          <w:rFonts w:cs="Arial"/>
        </w:rPr>
        <w:fldChar w:fldCharType="end"/>
      </w:r>
      <w:r w:rsidR="00082129" w:rsidRPr="00082129">
        <w:rPr>
          <w:rFonts w:cs="Arial"/>
        </w:rPr>
      </w:r>
      <w:r w:rsidR="00082129" w:rsidRPr="00082129">
        <w:rPr>
          <w:rFonts w:cs="Arial"/>
        </w:rPr>
        <w:fldChar w:fldCharType="separate"/>
      </w:r>
      <w:r w:rsidR="00082129" w:rsidRPr="00082129">
        <w:rPr>
          <w:rFonts w:cs="Arial"/>
          <w:noProof/>
          <w:vertAlign w:val="superscript"/>
        </w:rPr>
        <w:t>1,2</w:t>
      </w:r>
      <w:r w:rsidR="00082129" w:rsidRPr="00082129">
        <w:rPr>
          <w:rFonts w:cs="Arial"/>
        </w:rPr>
        <w:fldChar w:fldCharType="end"/>
      </w:r>
      <w:r w:rsidR="00082129" w:rsidRPr="00082129">
        <w:rPr>
          <w:rFonts w:cs="Arial"/>
        </w:rPr>
        <w:t xml:space="preserve"> These reviews published pooled effect estimates from single-pollutant analyses. Two of the studies in the review were large multi-city studies of 652 and 406 cities, six of which were South African, conducted by the Multi-country-multi-city (MCC) collaborative research network.</w:t>
      </w:r>
      <w:r w:rsidR="00082129" w:rsidRPr="00082129">
        <w:rPr>
          <w:rFonts w:cs="Arial"/>
        </w:rPr>
        <w:fldChar w:fldCharType="begin">
          <w:fldData xml:space="preserve">PEVuZE5vdGU+PENpdGU+PEF1dGhvcj5MaXU8L0F1dGhvcj48WWVhcj4yMDE5PC9ZZWFyPjxSZWNO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</w:fldData>
        </w:fldChar>
      </w:r>
      <w:r w:rsidR="00082129">
        <w:rPr>
          <w:rFonts w:cs="Arial"/>
        </w:rPr>
        <w:instrText xml:space="preserve"> ADDIN EN.CITE </w:instrText>
      </w:r>
      <w:r w:rsidR="00082129">
        <w:rPr>
          <w:rFonts w:cs="Arial"/>
        </w:rPr>
        <w:fldChar w:fldCharType="begin">
          <w:fldData xml:space="preserve">PEVuZE5vdGU+PENpdGU+PEF1dGhvcj5MaXU8L0F1dGhvcj48WWVhcj4yMDE5PC9ZZWFyPjxSZWNO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</w:fldData>
        </w:fldChar>
      </w:r>
      <w:r w:rsidR="00082129">
        <w:rPr>
          <w:rFonts w:cs="Arial"/>
        </w:rPr>
        <w:instrText xml:space="preserve"> ADDIN EN.CITE.DATA </w:instrText>
      </w:r>
      <w:r w:rsidR="00082129">
        <w:rPr>
          <w:rFonts w:cs="Arial"/>
        </w:rPr>
      </w:r>
      <w:r w:rsidR="00082129">
        <w:rPr>
          <w:rFonts w:cs="Arial"/>
        </w:rPr>
        <w:fldChar w:fldCharType="end"/>
      </w:r>
      <w:r w:rsidR="00082129" w:rsidRPr="00082129">
        <w:rPr>
          <w:rFonts w:cs="Arial"/>
        </w:rPr>
      </w:r>
      <w:r w:rsidR="00082129" w:rsidRPr="00082129">
        <w:rPr>
          <w:rFonts w:cs="Arial"/>
        </w:rPr>
        <w:fldChar w:fldCharType="separate"/>
      </w:r>
      <w:r w:rsidR="00082129" w:rsidRPr="00082129">
        <w:rPr>
          <w:rFonts w:cs="Arial"/>
          <w:noProof/>
          <w:vertAlign w:val="superscript"/>
        </w:rPr>
        <w:t>3,4</w:t>
      </w:r>
      <w:r w:rsidR="00082129" w:rsidRPr="00082129">
        <w:rPr>
          <w:rFonts w:cs="Arial"/>
        </w:rPr>
        <w:fldChar w:fldCharType="end"/>
      </w:r>
      <w:r w:rsidR="00082129" w:rsidRPr="00082129">
        <w:rPr>
          <w:rFonts w:cs="Arial"/>
        </w:rPr>
        <w:t xml:space="preserve"> These estimates are considered to be more stable than those reported from single city study analyses and are thus suitable for constructing a</w:t>
      </w:r>
      <w:r>
        <w:rPr>
          <w:rFonts w:cs="Arial"/>
        </w:rPr>
        <w:t>n</w:t>
      </w:r>
      <w:r w:rsidR="00082129" w:rsidRPr="00082129">
        <w:rPr>
          <w:rFonts w:cs="Arial"/>
        </w:rPr>
        <w:t xml:space="preserve"> index</w:t>
      </w:r>
      <w:r>
        <w:rPr>
          <w:rFonts w:cs="Arial"/>
        </w:rPr>
        <w:t xml:space="preserve"> for global use</w:t>
      </w:r>
      <w:r w:rsidR="00082129" w:rsidRPr="00082129">
        <w:rPr>
          <w:rFonts w:cs="Arial"/>
        </w:rPr>
        <w:t>. The CRF</w:t>
      </w:r>
      <w:r>
        <w:rPr>
          <w:rFonts w:cs="Arial"/>
        </w:rPr>
        <w:t>s</w:t>
      </w:r>
      <w:r w:rsidR="00082129" w:rsidRPr="00082129">
        <w:rPr>
          <w:rFonts w:cs="Arial"/>
        </w:rPr>
        <w:t xml:space="preserve"> from the review </w:t>
      </w:r>
      <w:r>
        <w:rPr>
          <w:rFonts w:cs="Arial"/>
        </w:rPr>
        <w:t xml:space="preserve">are </w:t>
      </w:r>
      <w:r w:rsidR="00082129" w:rsidRPr="00082129">
        <w:rPr>
          <w:rFonts w:cs="Arial"/>
        </w:rPr>
        <w:t xml:space="preserve">shown in </w:t>
      </w:r>
      <w:r w:rsidR="00082129" w:rsidRPr="00082129">
        <w:rPr>
          <w:rFonts w:cs="Arial"/>
        </w:rPr>
        <w:fldChar w:fldCharType="begin"/>
      </w:r>
      <w:r w:rsidR="00082129" w:rsidRPr="00082129">
        <w:rPr>
          <w:rFonts w:cs="Arial"/>
        </w:rPr>
        <w:instrText xml:space="preserve"> REF _Ref117860487 \h </w:instrText>
      </w:r>
      <w:r w:rsidR="00082129" w:rsidRPr="00082129">
        <w:rPr>
          <w:rFonts w:cs="Arial"/>
        </w:rPr>
      </w:r>
      <w:r w:rsidR="00082129" w:rsidRPr="00082129">
        <w:rPr>
          <w:rFonts w:cs="Arial"/>
        </w:rPr>
        <w:fldChar w:fldCharType="separate"/>
      </w:r>
      <w:r w:rsidR="00082129" w:rsidRPr="00082129">
        <w:rPr>
          <w:lang w:val="en-US"/>
        </w:rPr>
        <w:t xml:space="preserve">Table </w:t>
      </w:r>
      <w:r w:rsidR="00082129" w:rsidRPr="00082129">
        <w:rPr>
          <w:noProof/>
          <w:lang w:val="en-US"/>
        </w:rPr>
        <w:t>1</w:t>
      </w:r>
      <w:r w:rsidR="00082129" w:rsidRPr="00082129">
        <w:rPr>
          <w:rFonts w:cs="Arial"/>
        </w:rPr>
        <w:fldChar w:fldCharType="end"/>
      </w:r>
      <w:r w:rsidR="00E76ADE">
        <w:rPr>
          <w:rFonts w:cs="Arial"/>
        </w:rPr>
        <w:t xml:space="preserve"> of the main manuscript, repeated here also in Table S 1</w:t>
      </w:r>
      <w:r w:rsidR="00082129" w:rsidRPr="00082129">
        <w:rPr>
          <w:rFonts w:cs="Arial"/>
        </w:rPr>
        <w:t xml:space="preserve">. </w:t>
      </w:r>
    </w:p>
    <w:p w14:paraId="640DC3CD" w14:textId="77777777" w:rsidR="00082129" w:rsidRPr="00D538A2" w:rsidRDefault="00082129" w:rsidP="00082129">
      <w:pPr>
        <w:jc w:val="both"/>
        <w:rPr>
          <w:rFonts w:cs="Arial"/>
          <w:b/>
        </w:rPr>
      </w:pPr>
      <w:r w:rsidRPr="00D538A2">
        <w:rPr>
          <w:rFonts w:cs="Arial"/>
          <w:b/>
        </w:rPr>
        <w:t>Derivation of daily excess risk</w:t>
      </w:r>
      <w:r>
        <w:rPr>
          <w:rFonts w:cs="Arial"/>
          <w:b/>
        </w:rPr>
        <w:t xml:space="preserve"> for each pollutant</w:t>
      </w:r>
    </w:p>
    <w:p w14:paraId="5BA388C1" w14:textId="2012AFB7" w:rsidR="003269B5" w:rsidRDefault="00BC0597" w:rsidP="00082129">
      <w:pPr>
        <w:jc w:val="both"/>
        <w:rPr>
          <w:rFonts w:cs="Arial"/>
        </w:rPr>
      </w:pPr>
      <w:r>
        <w:rPr>
          <w:rFonts w:cs="Arial"/>
        </w:rPr>
        <w:t>Next, w</w:t>
      </w:r>
      <w:r w:rsidR="00082129">
        <w:rPr>
          <w:rFonts w:cs="Arial"/>
        </w:rPr>
        <w:t>e used the</w:t>
      </w:r>
      <w:r>
        <w:rPr>
          <w:rFonts w:cs="Arial"/>
        </w:rPr>
        <w:t>se</w:t>
      </w:r>
      <w:r w:rsidR="00082129">
        <w:rPr>
          <w:rFonts w:cs="Arial"/>
        </w:rPr>
        <w:t xml:space="preserve"> all-cause mortality CRF coefficients shown in </w:t>
      </w:r>
      <w:r w:rsidR="00B5624A">
        <w:rPr>
          <w:rFonts w:cs="Arial"/>
        </w:rPr>
        <w:fldChar w:fldCharType="begin"/>
      </w:r>
      <w:r w:rsidR="00B5624A">
        <w:rPr>
          <w:rFonts w:cs="Arial"/>
        </w:rPr>
        <w:instrText xml:space="preserve"> REF _Ref137216729 \h </w:instrText>
      </w:r>
      <w:r w:rsidR="00B5624A">
        <w:rPr>
          <w:rFonts w:cs="Arial"/>
        </w:rPr>
      </w:r>
      <w:r w:rsidR="00B5624A">
        <w:rPr>
          <w:rFonts w:cs="Arial"/>
        </w:rPr>
        <w:fldChar w:fldCharType="separate"/>
      </w:r>
      <w:r w:rsidR="00B5624A">
        <w:t xml:space="preserve">Table S </w:t>
      </w:r>
      <w:r w:rsidR="00B5624A">
        <w:rPr>
          <w:noProof/>
        </w:rPr>
        <w:t>1</w:t>
      </w:r>
      <w:r w:rsidR="00B5624A">
        <w:rPr>
          <w:rFonts w:cs="Arial"/>
        </w:rPr>
        <w:fldChar w:fldCharType="end"/>
      </w:r>
      <w:r w:rsidR="00B5624A">
        <w:rPr>
          <w:rFonts w:cs="Arial"/>
        </w:rPr>
        <w:t xml:space="preserve"> </w:t>
      </w:r>
      <w:r w:rsidR="00082129">
        <w:rPr>
          <w:rFonts w:cs="Arial"/>
        </w:rPr>
        <w:t>to derive the excess risk (ER) for each pollutant in our study</w:t>
      </w:r>
      <w:r>
        <w:rPr>
          <w:rFonts w:cs="Arial"/>
        </w:rPr>
        <w:t xml:space="preserve">. As first point of reference for this ER we used the concentrations of each pollutant that corresponds </w:t>
      </w:r>
      <w:r w:rsidR="00082129">
        <w:rPr>
          <w:rFonts w:cs="Arial"/>
        </w:rPr>
        <w:t>to the WHO AQG long-term values published in 2021.</w:t>
      </w:r>
      <w:r w:rsidR="00082129">
        <w:rPr>
          <w:rFonts w:cs="Arial"/>
        </w:rPr>
        <w:fldChar w:fldCharType="begin"/>
      </w:r>
      <w:r w:rsidR="00082129">
        <w:rPr>
          <w:rFonts w:cs="Arial"/>
        </w:rPr>
        <w:instrText xml:space="preserve"> ADDIN EN.CITE &lt;EndNote&gt;&lt;Cite&gt;&lt;Author&gt;World Health Organization&lt;/Author&gt;&lt;Year&gt;2021&lt;/Year&gt;&lt;RecNum&gt;193&lt;/RecNum&gt;&lt;DisplayText&gt;&lt;style face="superscript"&gt;5&lt;/style&gt;&lt;/DisplayText&gt;&lt;record&gt;&lt;rec-number&gt;193&lt;/rec-number&gt;&lt;foreign-keys&gt;&lt;key app="EN" db-id="s50959501r9tp8ez5rapd0sdv5xzv5rsxte2" timestamp="1632746276"&gt;193&lt;/key&gt;&lt;/foreign-keys&gt;&lt;ref-type name="Book"&gt;6&lt;/ref-type&gt;&lt;contributors&gt;&lt;authors&gt;&lt;author&gt;World Health Organization,&lt;/author&gt;&lt;/authors&gt;&lt;/contributors&gt;&lt;titles&gt;&lt;title&gt;WHO global air quality guidelines: particulate matter (PM2.5 and PM10), ozone, nitrogen dioxide, sulfur dioxide and carbon monoxide&lt;/title&gt;&lt;/titles&gt;&lt;section&gt;xxi, 267 p.&lt;/section&gt;&lt;keywords&gt;&lt;keyword&gt;WHO guideline&lt;/keyword&gt;&lt;keyword&gt;Air Pollution&lt;/keyword&gt;&lt;keyword&gt;Guideline&lt;/keyword&gt;&lt;keyword&gt;Environmental Exposure&lt;/keyword&gt;&lt;keyword&gt;Particulate Matter&lt;/keyword&gt;&lt;keyword&gt;standards&lt;/keyword&gt;&lt;/keywords&gt;&lt;dates&gt;&lt;year&gt;2021&lt;/year&gt;&lt;pub-dates&gt;&lt;date&gt;2021&lt;/date&gt;&lt;/pub-dates&gt;&lt;/dates&gt;&lt;pub-location&gt;Geneva&lt;/pub-location&gt;&lt;publisher&gt;World Health Organization&lt;/publisher&gt;&lt;isbn&gt;9789240034228 (electronic version)&amp;#xD;9789240034211 (print version)&lt;/isbn&gt;&lt;urls&gt;&lt;related-urls&gt;&lt;url&gt;https://apps.who.int/iris/handle/10665/345329&lt;/url&gt;&lt;/related-urls&gt;&lt;/urls&gt;&lt;custom6&gt;CC BY-NC-SA 3.0 IGO&lt;/custom6&gt;&lt;custom7&gt;https://creativecommons.org/licenses/by-nc-sa/3.0/igo&lt;/custom7&gt;&lt;remote-database-name&gt;WHO IRIS&lt;/remote-database-name&gt;&lt;remote-database-provider&gt;http://apps.who.int/iris/&lt;/remote-database-provider&gt;&lt;language&gt;en&lt;/language&gt;&lt;modified-date&gt;World Health Organization&lt;/modified-date&gt;&lt;/record&gt;&lt;/Cite&gt;&lt;/EndNote&gt;</w:instrText>
      </w:r>
      <w:r w:rsidR="00082129">
        <w:rPr>
          <w:rFonts w:cs="Arial"/>
        </w:rPr>
        <w:fldChar w:fldCharType="separate"/>
      </w:r>
      <w:r w:rsidR="00082129" w:rsidRPr="00082129">
        <w:rPr>
          <w:rFonts w:cs="Arial"/>
          <w:noProof/>
          <w:vertAlign w:val="superscript"/>
        </w:rPr>
        <w:t>5</w:t>
      </w:r>
      <w:r w:rsidR="00082129">
        <w:rPr>
          <w:rFonts w:cs="Arial"/>
        </w:rPr>
        <w:fldChar w:fldCharType="end"/>
      </w:r>
      <w:r w:rsidR="00082129">
        <w:rPr>
          <w:rFonts w:cs="Arial"/>
        </w:rPr>
        <w:t xml:space="preserve"> </w:t>
      </w:r>
      <w:r w:rsidR="00F04679">
        <w:rPr>
          <w:rFonts w:cs="Arial"/>
        </w:rPr>
        <w:t xml:space="preserve">Given the WHO AQG 2021 methodology, air quality is expected to be </w:t>
      </w:r>
      <w:r w:rsidR="003269B5">
        <w:rPr>
          <w:rFonts w:cs="Arial"/>
        </w:rPr>
        <w:t xml:space="preserve">complying </w:t>
      </w:r>
      <w:r w:rsidR="00F04679">
        <w:rPr>
          <w:rFonts w:cs="Arial"/>
        </w:rPr>
        <w:t xml:space="preserve">with those long-term values </w:t>
      </w:r>
      <w:r w:rsidR="003269B5">
        <w:rPr>
          <w:rFonts w:cs="Arial"/>
        </w:rPr>
        <w:t xml:space="preserve">if the short-term values defined by WHO AQG are not exceeded more than three times a year. </w:t>
      </w:r>
    </w:p>
    <w:p w14:paraId="7F1D6C3B" w14:textId="18E316BD" w:rsidR="00082129" w:rsidRDefault="00082129" w:rsidP="00082129">
      <w:pPr>
        <w:jc w:val="both"/>
        <w:rPr>
          <w:rFonts w:eastAsiaTheme="minorEastAsia" w:cs="Arial"/>
        </w:rPr>
      </w:pPr>
      <w:r>
        <w:rPr>
          <w:rFonts w:eastAsiaTheme="minorEastAsia" w:cs="Arial"/>
        </w:rPr>
        <w:t xml:space="preserve">In case of </w:t>
      </w:r>
      <w:r>
        <w:t>SO</w:t>
      </w:r>
      <w:r w:rsidRPr="009963BD">
        <w:rPr>
          <w:vertAlign w:val="subscript"/>
        </w:rPr>
        <w:t>2</w:t>
      </w:r>
      <w:r>
        <w:rPr>
          <w:rFonts w:eastAsiaTheme="minorEastAsia" w:cs="Arial"/>
        </w:rPr>
        <w:t>, 2021 WHO AQG did not propose a long-term value but only the daily mean of 40</w:t>
      </w:r>
      <w:r>
        <w:rPr>
          <w:rFonts w:cs="Arial"/>
          <w:lang w:val="en-US"/>
        </w:rPr>
        <w:t>µ</w:t>
      </w:r>
      <w:r>
        <w:rPr>
          <w:lang w:val="en-US"/>
        </w:rPr>
        <w:t>g/m</w:t>
      </w:r>
      <w:r w:rsidRPr="00D76708">
        <w:rPr>
          <w:vertAlign w:val="superscript"/>
          <w:lang w:val="en-US"/>
        </w:rPr>
        <w:t>3</w:t>
      </w:r>
      <w:r>
        <w:rPr>
          <w:rFonts w:eastAsiaTheme="minorEastAsia" w:cs="Arial"/>
        </w:rPr>
        <w:t xml:space="preserve"> not to be exceeded more than three times a year. </w:t>
      </w:r>
      <w:r w:rsidRPr="001604CA">
        <w:rPr>
          <w:rFonts w:eastAsiaTheme="minorEastAsia" w:cs="Arial"/>
          <w:lang w:val="en-US"/>
        </w:rPr>
        <w:t xml:space="preserve">Thus, WHO AQG have not derived the statistical relationship between the number of exceedances and the annual mean for </w:t>
      </w:r>
      <w:r>
        <w:t>SO</w:t>
      </w:r>
      <w:r w:rsidRPr="009963BD">
        <w:rPr>
          <w:vertAlign w:val="subscript"/>
        </w:rPr>
        <w:t>2</w:t>
      </w:r>
      <w:r>
        <w:rPr>
          <w:rFonts w:eastAsiaTheme="minorEastAsia" w:cs="Arial"/>
          <w:lang w:val="en-US"/>
        </w:rPr>
        <w:t xml:space="preserve"> as in case of the other pollutants.</w:t>
      </w:r>
      <w:r w:rsidRPr="001604CA">
        <w:rPr>
          <w:rFonts w:eastAsiaTheme="minorEastAsia" w:cs="Arial"/>
          <w:lang w:val="en-US"/>
        </w:rPr>
        <w:t xml:space="preserve"> However, in the second edition of the </w:t>
      </w:r>
      <w:r>
        <w:rPr>
          <w:rFonts w:eastAsiaTheme="minorEastAsia" w:cs="Arial"/>
          <w:lang w:val="en-US"/>
        </w:rPr>
        <w:t xml:space="preserve">WHO </w:t>
      </w:r>
      <w:r w:rsidRPr="001604CA">
        <w:rPr>
          <w:rFonts w:eastAsiaTheme="minorEastAsia" w:cs="Arial"/>
          <w:lang w:val="en-US"/>
        </w:rPr>
        <w:t>AQG</w:t>
      </w:r>
      <w:r>
        <w:rPr>
          <w:rFonts w:eastAsiaTheme="minorEastAsia" w:cs="Arial"/>
          <w:lang w:val="en-US"/>
        </w:rPr>
        <w:t xml:space="preserve"> (2000), an </w:t>
      </w:r>
      <w:r w:rsidRPr="001604CA">
        <w:rPr>
          <w:rFonts w:eastAsiaTheme="minorEastAsia" w:cs="Arial"/>
          <w:lang w:val="en-US"/>
        </w:rPr>
        <w:t xml:space="preserve">annual mean value of 20 </w:t>
      </w:r>
      <w:r w:rsidRPr="001604CA">
        <w:rPr>
          <w:rFonts w:eastAsiaTheme="majorEastAsia"/>
          <w:lang w:val="en-US"/>
        </w:rPr>
        <w:t>µg/m</w:t>
      </w:r>
      <w:r w:rsidRPr="001604CA">
        <w:rPr>
          <w:rFonts w:eastAsiaTheme="majorEastAsia"/>
          <w:vertAlign w:val="superscript"/>
          <w:lang w:val="en-US"/>
        </w:rPr>
        <w:t>3</w:t>
      </w:r>
      <w:r w:rsidRPr="001604CA">
        <w:rPr>
          <w:rFonts w:eastAsiaTheme="majorEastAsia"/>
          <w:lang w:val="en-US"/>
        </w:rPr>
        <w:t xml:space="preserve"> </w:t>
      </w:r>
      <w:r>
        <w:rPr>
          <w:rFonts w:eastAsiaTheme="majorEastAsia"/>
          <w:lang w:val="en-US"/>
        </w:rPr>
        <w:t xml:space="preserve">was proposed </w:t>
      </w:r>
      <w:r w:rsidRPr="001604CA">
        <w:rPr>
          <w:rFonts w:eastAsiaTheme="majorEastAsia"/>
          <w:lang w:val="en-US"/>
        </w:rPr>
        <w:t>to protect natural ecosys</w:t>
      </w:r>
      <w:r>
        <w:rPr>
          <w:rFonts w:eastAsiaTheme="majorEastAsia"/>
          <w:lang w:val="en-US"/>
        </w:rPr>
        <w:t>tems.</w:t>
      </w:r>
      <w:r>
        <w:rPr>
          <w:rFonts w:eastAsiaTheme="majorEastAsia"/>
          <w:lang w:val="en-US"/>
        </w:rPr>
        <w:fldChar w:fldCharType="begin"/>
      </w:r>
      <w:r>
        <w:rPr>
          <w:rFonts w:eastAsiaTheme="majorEastAsia"/>
          <w:lang w:val="en-US"/>
        </w:rPr>
        <w:instrText xml:space="preserve"> ADDIN EN.CITE &lt;EndNote&gt;&lt;Cite&gt;&lt;Author&gt;World Health Organization. Regional Office for Europe&lt;/Author&gt;&lt;Year&gt;2000&lt;/Year&gt;&lt;RecNum&gt;256&lt;/RecNum&gt;&lt;DisplayText&gt;&lt;style face="superscript"&gt;6&lt;/style&gt;&lt;/DisplayText&gt;&lt;record&gt;&lt;rec-number&gt;256&lt;/rec-number&gt;&lt;foreign-keys&gt;&lt;key app="EN" db-id="s50959501r9tp8ez5rapd0sdv5xzv5rsxte2" timestamp="1658408016"&gt;256&lt;/key&gt;&lt;/foreign-keys&gt;&lt;ref-type name="Book"&gt;6&lt;/ref-type&gt;&lt;contributors&gt;&lt;authors&gt;&lt;author&gt;World Health Organization. Regional Office for Europe,&lt;/author&gt;&lt;/authors&gt;&lt;/contributors&gt;&lt;titles&gt;&lt;title&gt;Air quality guidelines for Europe&lt;/title&gt;&lt;secondary-title&gt;WHO Regional Publications, European Series; 91&lt;/secondary-title&gt;&lt;/titles&gt;&lt;edition&gt;2nd ed.&lt;/edition&gt;&lt;section&gt;x, 273 p.&lt;/section&gt;&lt;keywords&gt;&lt;keyword&gt;Air Pollution&lt;/keyword&gt;&lt;keyword&gt;Air Pollutants&lt;/keyword&gt;&lt;keyword&gt;Air Pollution, Indoor&lt;/keyword&gt;&lt;keyword&gt;Environmental Exposure&lt;/keyword&gt;&lt;keyword&gt;Guideline&lt;/keyword&gt;&lt;keyword&gt;Environment and Public Health&lt;/keyword&gt;&lt;keyword&gt;Europe&lt;/keyword&gt;&lt;keyword&gt;prevention and control&lt;/keyword&gt;&lt;keyword&gt;adverse effects&lt;/keyword&gt;&lt;keyword&gt;toxicity&lt;/keyword&gt;&lt;/keywords&gt;&lt;dates&gt;&lt;year&gt;2000&lt;/year&gt;&lt;pub-dates&gt;&lt;date&gt;2000&lt;/date&gt;&lt;/pub-dates&gt;&lt;/dates&gt;&lt;pub-location&gt;Copenhagen&lt;/pub-location&gt;&lt;publisher&gt;World Health Organization. Regional Office for Europe&lt;/publisher&gt;&lt;isbn&gt;9289013583&amp;#xD;9789289013581&amp;#xD;0378-2255&lt;/isbn&gt;&lt;urls&gt;&lt;related-urls&gt;&lt;url&gt;https://apps.who.int/iris/handle/10665/107335&lt;/url&gt;&lt;/related-urls&gt;&lt;/urls&gt;&lt;remote-database-name&gt;WHO IRIS&lt;/remote-database-name&gt;&lt;remote-database-provider&gt;http://apps.who.int/iris/&lt;/remote-database-provider&gt;&lt;language&gt;en&lt;/language&gt;&lt;modified-date&gt;World Health Organization&lt;/modified-date&gt;&lt;/record&gt;&lt;/Cite&gt;&lt;/EndNote&gt;</w:instrText>
      </w:r>
      <w:r>
        <w:rPr>
          <w:rFonts w:eastAsiaTheme="majorEastAsia"/>
          <w:lang w:val="en-US"/>
        </w:rPr>
        <w:fldChar w:fldCharType="separate"/>
      </w:r>
      <w:r w:rsidRPr="00082129">
        <w:rPr>
          <w:rFonts w:eastAsiaTheme="majorEastAsia"/>
          <w:noProof/>
          <w:vertAlign w:val="superscript"/>
          <w:lang w:val="en-US"/>
        </w:rPr>
        <w:t>6</w:t>
      </w:r>
      <w:r>
        <w:rPr>
          <w:rFonts w:eastAsiaTheme="majorEastAsia"/>
          <w:lang w:val="en-US"/>
        </w:rPr>
        <w:fldChar w:fldCharType="end"/>
      </w:r>
      <w:r>
        <w:rPr>
          <w:rFonts w:eastAsiaTheme="majorEastAsia"/>
          <w:lang w:val="en-US"/>
        </w:rPr>
        <w:t xml:space="preserve"> The value has been scientifically derived as critical load to protect the vegetation in the long run.</w:t>
      </w:r>
      <w:r>
        <w:rPr>
          <w:rFonts w:eastAsiaTheme="majorEastAsia"/>
          <w:lang w:val="en-US"/>
        </w:rPr>
        <w:fldChar w:fldCharType="begin"/>
      </w:r>
      <w:r>
        <w:rPr>
          <w:rFonts w:eastAsiaTheme="majorEastAsia"/>
          <w:lang w:val="en-US"/>
        </w:rPr>
        <w:instrText xml:space="preserve"> ADDIN EN.CITE &lt;EndNote&gt;&lt;Cite&gt;&lt;Author&gt;United Nations Economic Commission for Europe&lt;/Author&gt;&lt;Year&gt;2017&lt;/Year&gt;&lt;RecNum&gt;291&lt;/RecNum&gt;&lt;DisplayText&gt;&lt;style face="superscript"&gt;7&lt;/style&gt;&lt;/DisplayText&gt;&lt;record&gt;&lt;rec-number&gt;291&lt;/rec-number&gt;&lt;foreign-keys&gt;&lt;key app="EN" db-id="s50959501r9tp8ez5rapd0sdv5xzv5rsxte2" timestamp="1679357162"&gt;291&lt;/key&gt;&lt;/foreign-keys&gt;&lt;ref-type name="Government Document"&gt;46&lt;/ref-type&gt;&lt;contributors&gt;&lt;authors&gt;&lt;author&gt;United Nations Economic Commission for Europe,&lt;/author&gt;&lt;/authors&gt;&lt;/contributors&gt;&lt;titles&gt;&lt;title&gt;Manual on methodologies and criteria for Modelling and Mapping Critical Loads &amp;amp; Levels and Air Pollution Effects, Risks and Trends. Chapter III on Mapping Critical Levels for Vegetation (version 2017).&lt;/title&gt;&lt;/titles&gt;&lt;dates&gt;&lt;year&gt;2017&lt;/year&gt;&lt;/dates&gt;&lt;urls&gt;&lt;/urls&gt;&lt;/record&gt;&lt;/Cite&gt;&lt;/EndNote&gt;</w:instrText>
      </w:r>
      <w:r>
        <w:rPr>
          <w:rFonts w:eastAsiaTheme="majorEastAsia"/>
          <w:lang w:val="en-US"/>
        </w:rPr>
        <w:fldChar w:fldCharType="separate"/>
      </w:r>
      <w:r w:rsidRPr="00082129">
        <w:rPr>
          <w:rFonts w:eastAsiaTheme="majorEastAsia"/>
          <w:noProof/>
          <w:vertAlign w:val="superscript"/>
          <w:lang w:val="en-US"/>
        </w:rPr>
        <w:t>7</w:t>
      </w:r>
      <w:r>
        <w:rPr>
          <w:rFonts w:eastAsiaTheme="majorEastAsia"/>
          <w:lang w:val="en-US"/>
        </w:rPr>
        <w:fldChar w:fldCharType="end"/>
      </w:r>
      <w:r>
        <w:rPr>
          <w:rFonts w:eastAsiaTheme="majorEastAsia"/>
          <w:lang w:val="en-US"/>
        </w:rPr>
        <w:t xml:space="preserve"> M</w:t>
      </w:r>
      <w:r w:rsidRPr="00F006FB">
        <w:rPr>
          <w:rFonts w:eastAsiaTheme="majorEastAsia"/>
          <w:lang w:val="en-US"/>
        </w:rPr>
        <w:t xml:space="preserve">any </w:t>
      </w:r>
      <w:r w:rsidRPr="00F006FB">
        <w:rPr>
          <w:rFonts w:eastAsiaTheme="majorEastAsia"/>
          <w:lang w:val="en-US"/>
        </w:rPr>
        <w:lastRenderedPageBreak/>
        <w:t xml:space="preserve">legislators require environmental </w:t>
      </w:r>
      <w:r>
        <w:rPr>
          <w:rFonts w:eastAsiaTheme="majorEastAsia"/>
          <w:lang w:val="en-US"/>
        </w:rPr>
        <w:t xml:space="preserve">conditions that protect human health, vegetation, crops and animals alike. Thus, we consider this a suitable point of reference </w:t>
      </w:r>
      <w:r w:rsidR="003269B5">
        <w:rPr>
          <w:rFonts w:eastAsiaTheme="majorEastAsia"/>
          <w:lang w:val="en-US"/>
        </w:rPr>
        <w:t xml:space="preserve">for the derivation of the ER </w:t>
      </w:r>
      <w:r>
        <w:rPr>
          <w:rFonts w:eastAsiaTheme="majorEastAsia"/>
          <w:lang w:val="en-US"/>
        </w:rPr>
        <w:t xml:space="preserve">and assume that compliance with this annual mean to correspond to only a few daily means above the WHO AQG 2021 value. </w:t>
      </w:r>
    </w:p>
    <w:p w14:paraId="0E929AD3" w14:textId="42BB0701" w:rsidR="00082129" w:rsidRDefault="00082129" w:rsidP="00082129">
      <w:pPr>
        <w:rPr>
          <w:rFonts w:cs="Arial"/>
        </w:rPr>
      </w:pPr>
      <w:r w:rsidRPr="006944CC">
        <w:rPr>
          <w:rFonts w:cs="Arial"/>
        </w:rPr>
        <w:t xml:space="preserve">We calculated the </w:t>
      </w:r>
      <w:r w:rsidR="00761529" w:rsidRPr="00324803">
        <w:rPr>
          <w:rFonts w:eastAsiaTheme="minorEastAsia" w:cs="Arial"/>
        </w:rPr>
        <w:t xml:space="preserve">excess risk associated </w:t>
      </w:r>
      <w:r w:rsidR="00761529">
        <w:rPr>
          <w:rFonts w:eastAsiaTheme="minorEastAsia" w:cs="Arial"/>
        </w:rPr>
        <w:t>with</w:t>
      </w:r>
      <w:r w:rsidR="00761529">
        <w:rPr>
          <w:rFonts w:cs="Arial"/>
        </w:rPr>
        <w:t xml:space="preserve"> e</w:t>
      </w:r>
      <w:r w:rsidRPr="006944CC">
        <w:rPr>
          <w:rFonts w:cs="Arial"/>
        </w:rPr>
        <w:t xml:space="preserve">ach pollutant </w:t>
      </w:r>
      <w:r>
        <w:rPr>
          <w:rFonts w:cs="Arial"/>
        </w:rPr>
        <w:t>i</w:t>
      </w:r>
      <w:r w:rsidRPr="006944CC">
        <w:rPr>
          <w:rFonts w:cs="Arial"/>
        </w:rPr>
        <w:t xml:space="preserve">’s coefficient </w:t>
      </w:r>
      <m:oMath>
        <m:sSub>
          <m:sSubPr>
            <m:ctrlPr>
              <w:rPr>
                <w:rFonts w:ascii="Cambria Math" w:eastAsiaTheme="minorEastAsia" w:hAnsi="Cambria Math" w:cs="Arial"/>
                <w:i/>
                <w:iCs/>
                <w:lang w:val="en-US"/>
              </w:rPr>
            </m:ctrlPr>
          </m:sSubPr>
          <m:e>
            <m:r>
              <w:rPr>
                <w:rFonts w:ascii="Cambria Math" w:eastAsiaTheme="minorEastAsia" w:hAnsi="Cambria Math" w:cs="Arial"/>
                <w:lang w:val="en-US"/>
              </w:rPr>
              <m:t>β</m:t>
            </m:r>
          </m:e>
          <m:sub>
            <m:r>
              <w:rPr>
                <w:rFonts w:ascii="Cambria Math" w:eastAsiaTheme="minorEastAsia" w:hAnsi="Cambria Math" w:cs="Arial"/>
                <w:lang w:val="en-US"/>
              </w:rPr>
              <m:t>i</m:t>
            </m:r>
          </m:sub>
        </m:sSub>
      </m:oMath>
      <w:r w:rsidRPr="006944CC">
        <w:rPr>
          <w:rFonts w:eastAsiaTheme="minorEastAsia" w:cs="Arial"/>
          <w:iCs/>
          <w:lang w:val="en-US"/>
        </w:rPr>
        <w:t xml:space="preserve"> </w:t>
      </w:r>
      <w:r w:rsidRPr="006944CC">
        <w:rPr>
          <w:rFonts w:cs="Arial"/>
        </w:rPr>
        <w:t xml:space="preserve">where </w:t>
      </w:r>
      <m:oMath>
        <m:sSub>
          <m:sSubPr>
            <m:ctrlPr>
              <w:rPr>
                <w:rFonts w:ascii="Cambria Math" w:hAnsi="Cambria Math" w:cs="Arial"/>
                <w:i/>
              </w:rPr>
            </m:ctrlPr>
          </m:sSubPr>
          <m:e>
            <m:r>
              <w:rPr>
                <w:rFonts w:ascii="Cambria Math" w:hAnsi="Cambria Math" w:cs="Arial"/>
              </w:rPr>
              <m:t>c</m:t>
            </m:r>
          </m:e>
          <m:sub>
            <m:r>
              <w:rPr>
                <w:rFonts w:ascii="Cambria Math" w:hAnsi="Cambria Math" w:cs="Arial"/>
              </w:rPr>
              <m:t>i</m:t>
            </m:r>
          </m:sub>
        </m:sSub>
      </m:oMath>
      <w:r>
        <w:rPr>
          <w:rFonts w:cs="Arial"/>
        </w:rPr>
        <w:t xml:space="preserve"> </w:t>
      </w:r>
      <w:r w:rsidRPr="006944CC">
        <w:rPr>
          <w:rFonts w:cs="Arial"/>
        </w:rPr>
        <w:t xml:space="preserve">is the </w:t>
      </w:r>
      <w:r w:rsidR="00761529">
        <w:rPr>
          <w:rFonts w:cs="Arial"/>
        </w:rPr>
        <w:t xml:space="preserve">long-term </w:t>
      </w:r>
      <w:r w:rsidRPr="006944CC">
        <w:rPr>
          <w:rFonts w:cs="Arial"/>
        </w:rPr>
        <w:t>concentration</w:t>
      </w:r>
      <w:r>
        <w:rPr>
          <w:rFonts w:cs="Arial"/>
        </w:rPr>
        <w:t xml:space="preserve"> defined in the WHO AQG as shown in </w:t>
      </w:r>
      <w:r w:rsidR="00543AC2">
        <w:rPr>
          <w:rFonts w:cs="Arial"/>
        </w:rPr>
        <w:fldChar w:fldCharType="begin"/>
      </w:r>
      <w:r w:rsidR="00543AC2">
        <w:rPr>
          <w:rFonts w:cs="Arial"/>
        </w:rPr>
        <w:instrText xml:space="preserve"> REF _Ref138857909 \h </w:instrText>
      </w:r>
      <w:r w:rsidR="00543AC2">
        <w:rPr>
          <w:rFonts w:cs="Arial"/>
        </w:rPr>
      </w:r>
      <w:r w:rsidR="00543AC2">
        <w:rPr>
          <w:rFonts w:cs="Arial"/>
        </w:rPr>
        <w:fldChar w:fldCharType="separate"/>
      </w:r>
      <w:r w:rsidR="00543AC2" w:rsidRPr="00543AC2">
        <w:t xml:space="preserve">Equation S </w:t>
      </w:r>
      <w:r w:rsidR="00543AC2" w:rsidRPr="00543AC2">
        <w:rPr>
          <w:noProof/>
        </w:rPr>
        <w:t>1</w:t>
      </w:r>
      <w:r w:rsidR="00543AC2">
        <w:rPr>
          <w:rFonts w:cs="Arial"/>
        </w:rPr>
        <w:fldChar w:fldCharType="end"/>
      </w:r>
      <w:r w:rsidRPr="006944CC">
        <w:rPr>
          <w:rFonts w:cs="Arial"/>
        </w:rPr>
        <w:t>.</w:t>
      </w:r>
    </w:p>
    <w:tbl>
      <w:tblPr>
        <w:tblStyle w:val="TableGrid"/>
        <w:tblW w:w="0" w:type="auto"/>
        <w:tblLook w:val="04A0" w:firstRow="1" w:lastRow="0" w:firstColumn="1" w:lastColumn="0" w:noHBand="0" w:noVBand="1"/>
      </w:tblPr>
      <w:tblGrid>
        <w:gridCol w:w="1165"/>
        <w:gridCol w:w="5670"/>
        <w:gridCol w:w="2227"/>
      </w:tblGrid>
      <w:tr w:rsidR="00324803" w:rsidRPr="00324803" w14:paraId="79C5C739" w14:textId="77777777" w:rsidTr="000F48F6">
        <w:tc>
          <w:tcPr>
            <w:tcW w:w="1165" w:type="dxa"/>
          </w:tcPr>
          <w:p w14:paraId="6B41AC7A" w14:textId="77777777" w:rsidR="00324803" w:rsidRPr="00324803" w:rsidRDefault="00324803" w:rsidP="00324803">
            <w:pPr>
              <w:jc w:val="both"/>
              <w:rPr>
                <w:rFonts w:cs="Arial"/>
              </w:rPr>
            </w:pPr>
          </w:p>
        </w:tc>
        <w:tc>
          <w:tcPr>
            <w:tcW w:w="5670" w:type="dxa"/>
          </w:tcPr>
          <w:p w14:paraId="5182AB45" w14:textId="32C65354" w:rsidR="00324803" w:rsidRPr="00324803" w:rsidRDefault="00324803" w:rsidP="00324803">
            <w:pPr>
              <w:jc w:val="both"/>
              <w:rPr>
                <w:rFonts w:eastAsiaTheme="minorEastAsia" w:cs="Arial"/>
              </w:rPr>
            </w:pPr>
            <m:oMathPara>
              <m:oMath>
                <m:r>
                  <w:rPr>
                    <w:rFonts w:ascii="Cambria Math" w:hAnsi="Cambria Math" w:cs="Arial"/>
                  </w:rPr>
                  <m:t>pollutant i excess risk on day t=100</m:t>
                </m:r>
                <m:d>
                  <m:dPr>
                    <m:ctrlPr>
                      <w:rPr>
                        <w:rFonts w:ascii="Cambria Math" w:hAnsi="Cambria Math" w:cs="Arial"/>
                        <w:i/>
                        <w:iCs/>
                      </w:rPr>
                    </m:ctrlPr>
                  </m:dPr>
                  <m:e>
                    <m:sSup>
                      <m:sSupPr>
                        <m:ctrlPr>
                          <w:rPr>
                            <w:rFonts w:ascii="Cambria Math" w:hAnsi="Cambria Math" w:cs="Arial"/>
                            <w:i/>
                            <w:iCs/>
                          </w:rPr>
                        </m:ctrlPr>
                      </m:sSupPr>
                      <m:e>
                        <m:r>
                          <w:rPr>
                            <w:rFonts w:ascii="Cambria Math" w:hAnsi="Cambria Math" w:cs="Arial"/>
                          </w:rPr>
                          <m:t>e</m:t>
                        </m:r>
                      </m:e>
                      <m:sup>
                        <m:sSub>
                          <m:sSubPr>
                            <m:ctrlPr>
                              <w:rPr>
                                <w:rFonts w:ascii="Cambria Math" w:hAnsi="Cambria Math" w:cs="Arial"/>
                                <w:i/>
                                <w:iCs/>
                              </w:rPr>
                            </m:ctrlPr>
                          </m:sSubPr>
                          <m:e>
                            <m:r>
                              <w:rPr>
                                <w:rFonts w:ascii="Cambria Math" w:hAnsi="Cambria Math" w:cs="Arial"/>
                              </w:rPr>
                              <m:t>β</m:t>
                            </m:r>
                          </m:e>
                          <m:sub>
                            <m:r>
                              <w:rPr>
                                <w:rFonts w:ascii="Cambria Math" w:hAnsi="Cambria Math" w:cs="Arial"/>
                              </w:rPr>
                              <m:t>i</m:t>
                            </m:r>
                          </m:sub>
                        </m:sSub>
                        <m:sSub>
                          <m:sSubPr>
                            <m:ctrlPr>
                              <w:rPr>
                                <w:rFonts w:ascii="Cambria Math" w:hAnsi="Cambria Math" w:cs="Arial"/>
                                <w:i/>
                                <w:iCs/>
                              </w:rPr>
                            </m:ctrlPr>
                          </m:sSubPr>
                          <m:e>
                            <m:r>
                              <w:rPr>
                                <w:rFonts w:ascii="Cambria Math" w:hAnsi="Cambria Math" w:cs="Arial"/>
                              </w:rPr>
                              <m:t>c</m:t>
                            </m:r>
                          </m:e>
                          <m:sub>
                            <m:r>
                              <w:rPr>
                                <w:rFonts w:ascii="Cambria Math" w:hAnsi="Cambria Math" w:cs="Arial"/>
                              </w:rPr>
                              <m:t>i</m:t>
                            </m:r>
                          </m:sub>
                        </m:sSub>
                      </m:sup>
                    </m:sSup>
                    <m:r>
                      <w:rPr>
                        <w:rFonts w:ascii="Cambria Math" w:hAnsi="Cambria Math" w:cs="Arial"/>
                      </w:rPr>
                      <m:t>-1</m:t>
                    </m:r>
                  </m:e>
                </m:d>
              </m:oMath>
            </m:oMathPara>
          </w:p>
          <w:p w14:paraId="1CF16616" w14:textId="77777777" w:rsidR="00324803" w:rsidRPr="00324803" w:rsidRDefault="00324803" w:rsidP="00324803">
            <w:pPr>
              <w:jc w:val="both"/>
              <w:rPr>
                <w:rFonts w:cs="Arial"/>
              </w:rPr>
            </w:pPr>
          </w:p>
        </w:tc>
        <w:tc>
          <w:tcPr>
            <w:tcW w:w="2227" w:type="dxa"/>
          </w:tcPr>
          <w:p w14:paraId="0F28A827" w14:textId="77777777" w:rsidR="00543AC2" w:rsidRPr="00543AC2" w:rsidRDefault="00543AC2" w:rsidP="00543AC2">
            <w:pPr>
              <w:pStyle w:val="Caption"/>
              <w:jc w:val="right"/>
              <w:rPr>
                <w:rFonts w:eastAsiaTheme="minorEastAsia" w:cs="Arial"/>
                <w:color w:val="auto"/>
                <w:sz w:val="22"/>
                <w:lang w:val="en-US"/>
              </w:rPr>
            </w:pPr>
            <w:bookmarkStart w:id="2" w:name="_Ref138857909"/>
            <w:bookmarkStart w:id="3" w:name="_Ref117095925"/>
            <w:r w:rsidRPr="00543AC2">
              <w:rPr>
                <w:color w:val="auto"/>
                <w:sz w:val="22"/>
              </w:rPr>
              <w:t xml:space="preserve">Equation S </w:t>
            </w:r>
            <w:r w:rsidRPr="00543AC2">
              <w:rPr>
                <w:color w:val="auto"/>
                <w:sz w:val="22"/>
              </w:rPr>
              <w:fldChar w:fldCharType="begin"/>
            </w:r>
            <w:r w:rsidRPr="00543AC2">
              <w:rPr>
                <w:color w:val="auto"/>
                <w:sz w:val="22"/>
              </w:rPr>
              <w:instrText xml:space="preserve"> SEQ Equation_S \* ARABIC </w:instrText>
            </w:r>
            <w:r w:rsidRPr="00543AC2">
              <w:rPr>
                <w:color w:val="auto"/>
                <w:sz w:val="22"/>
              </w:rPr>
              <w:fldChar w:fldCharType="separate"/>
            </w:r>
            <w:r w:rsidRPr="00543AC2">
              <w:rPr>
                <w:noProof/>
                <w:color w:val="auto"/>
                <w:sz w:val="22"/>
              </w:rPr>
              <w:t>1</w:t>
            </w:r>
            <w:r w:rsidRPr="00543AC2">
              <w:rPr>
                <w:color w:val="auto"/>
                <w:sz w:val="22"/>
              </w:rPr>
              <w:fldChar w:fldCharType="end"/>
            </w:r>
            <w:bookmarkEnd w:id="2"/>
          </w:p>
          <w:bookmarkEnd w:id="3"/>
          <w:p w14:paraId="5ECD01AA" w14:textId="77777777" w:rsidR="00324803" w:rsidRPr="00324803" w:rsidRDefault="00324803" w:rsidP="00543AC2">
            <w:pPr>
              <w:keepNext/>
              <w:jc w:val="right"/>
              <w:rPr>
                <w:rFonts w:cs="Arial"/>
              </w:rPr>
            </w:pPr>
          </w:p>
        </w:tc>
      </w:tr>
    </w:tbl>
    <w:p w14:paraId="2BEB9E9D" w14:textId="77777777" w:rsidR="00761529" w:rsidRPr="00761529" w:rsidRDefault="00FD088A" w:rsidP="00082129">
      <w:pPr>
        <w:rPr>
          <w:rFonts w:eastAsiaTheme="minorEastAsia" w:cs="Arial"/>
          <w:lang w:val="en-US"/>
        </w:rPr>
      </w:pPr>
      <m:oMathPara>
        <m:oMath>
          <m:sSub>
            <m:sSubPr>
              <m:ctrlPr>
                <w:rPr>
                  <w:rFonts w:ascii="Cambria Math" w:eastAsiaTheme="minorEastAsia" w:hAnsi="Cambria Math" w:cs="Arial"/>
                  <w:i/>
                  <w:iCs/>
                  <w:lang w:val="en-US"/>
                </w:rPr>
              </m:ctrlPr>
            </m:sSubPr>
            <m:e>
              <m:r>
                <w:rPr>
                  <w:rFonts w:ascii="Cambria Math" w:eastAsiaTheme="minorEastAsia" w:hAnsi="Cambria Math" w:cs="Arial"/>
                  <w:lang w:val="en-US"/>
                </w:rPr>
                <m:t>β</m:t>
              </m:r>
            </m:e>
            <m:sub>
              <m:r>
                <w:rPr>
                  <w:rFonts w:ascii="Cambria Math" w:eastAsiaTheme="minorEastAsia" w:hAnsi="Cambria Math" w:cs="Arial"/>
                  <w:lang w:val="en-US"/>
                </w:rPr>
                <m:t>i</m:t>
              </m:r>
            </m:sub>
          </m:sSub>
          <m:r>
            <w:rPr>
              <w:rFonts w:ascii="Cambria Math" w:eastAsiaTheme="minorEastAsia" w:hAnsi="Cambria Math" w:cs="Arial"/>
              <w:lang w:val="en-US"/>
            </w:rPr>
            <m:t>=coeffcient per 1</m:t>
          </m:r>
          <m:f>
            <m:fPr>
              <m:ctrlPr>
                <w:rPr>
                  <w:rFonts w:ascii="Cambria Math" w:eastAsiaTheme="minorEastAsia" w:hAnsi="Cambria Math" w:cs="Arial"/>
                  <w:i/>
                  <w:lang w:val="en-US"/>
                </w:rPr>
              </m:ctrlPr>
            </m:fPr>
            <m:num>
              <m:r>
                <w:rPr>
                  <w:rFonts w:ascii="Cambria Math" w:eastAsiaTheme="minorEastAsia" w:hAnsi="Cambria Math" w:cs="Arial"/>
                  <w:lang w:val="en-US"/>
                </w:rPr>
                <m:t>ug</m:t>
              </m:r>
            </m:num>
            <m:den>
              <m:r>
                <w:rPr>
                  <w:rFonts w:ascii="Cambria Math" w:eastAsiaTheme="minorEastAsia" w:hAnsi="Cambria Math" w:cs="Arial"/>
                  <w:lang w:val="en-US"/>
                </w:rPr>
                <m:t>m3</m:t>
              </m:r>
            </m:den>
          </m:f>
          <m:r>
            <w:rPr>
              <w:rFonts w:ascii="Cambria Math" w:eastAsiaTheme="minorEastAsia" w:hAnsi="Cambria Math" w:cs="Arial"/>
              <w:lang w:val="en-US"/>
            </w:rPr>
            <m:t>increase of pollutant i, </m:t>
          </m:r>
          <m:sSub>
            <m:sSubPr>
              <m:ctrlPr>
                <w:rPr>
                  <w:rFonts w:ascii="Cambria Math" w:eastAsiaTheme="minorEastAsia" w:hAnsi="Cambria Math" w:cs="Arial"/>
                  <w:i/>
                  <w:iCs/>
                  <w:lang w:val="en-US"/>
                </w:rPr>
              </m:ctrlPr>
            </m:sSubPr>
            <m:e>
              <m:r>
                <w:rPr>
                  <w:rFonts w:ascii="Cambria Math" w:eastAsiaTheme="minorEastAsia" w:hAnsi="Cambria Math" w:cs="Arial"/>
                  <w:lang w:val="en-US"/>
                </w:rPr>
                <m:t>c</m:t>
              </m:r>
            </m:e>
            <m:sub>
              <m:r>
                <w:rPr>
                  <w:rFonts w:ascii="Cambria Math" w:eastAsiaTheme="minorEastAsia" w:hAnsi="Cambria Math" w:cs="Arial"/>
                  <w:lang w:val="en-US"/>
                </w:rPr>
                <m:t>i</m:t>
              </m:r>
            </m:sub>
          </m:sSub>
          <m:d>
            <m:dPr>
              <m:ctrlPr>
                <w:rPr>
                  <w:rFonts w:ascii="Cambria Math" w:eastAsiaTheme="minorEastAsia" w:hAnsi="Cambria Math" w:cs="Arial"/>
                  <w:i/>
                  <w:lang w:val="en-US"/>
                </w:rPr>
              </m:ctrlPr>
            </m:dPr>
            <m:e>
              <m:r>
                <w:rPr>
                  <w:rFonts w:ascii="Cambria Math" w:eastAsiaTheme="minorEastAsia" w:hAnsi="Cambria Math" w:cs="Arial"/>
                  <w:lang w:val="en-US"/>
                </w:rPr>
                <m:t>t</m:t>
              </m:r>
            </m:e>
          </m:d>
          <m:r>
            <w:rPr>
              <w:rFonts w:ascii="Cambria Math" w:eastAsiaTheme="minorEastAsia" w:hAnsi="Cambria Math" w:cs="Arial"/>
              <w:lang w:val="en-US"/>
            </w:rPr>
            <m:t>= long-term WHO AQG concentration of pollutant i )</m:t>
          </m:r>
        </m:oMath>
      </m:oMathPara>
    </w:p>
    <w:p w14:paraId="706EEE14" w14:textId="06D4C73A" w:rsidR="00324803" w:rsidRDefault="00324803" w:rsidP="00082129">
      <w:pPr>
        <w:rPr>
          <w:rFonts w:cs="Arial"/>
        </w:rPr>
      </w:pPr>
      <w:r w:rsidRPr="00324803">
        <w:rPr>
          <w:rFonts w:eastAsiaTheme="minorEastAsia" w:cs="Arial"/>
          <w:b/>
        </w:rPr>
        <w:br/>
      </w:r>
      <w:r w:rsidR="008B0EB2">
        <w:rPr>
          <w:lang w:val="en-US"/>
        </w:rPr>
        <w:t>PM</w:t>
      </w:r>
      <w:r w:rsidR="008B0EB2" w:rsidRPr="00D76708">
        <w:rPr>
          <w:vertAlign w:val="subscript"/>
          <w:lang w:val="en-US"/>
        </w:rPr>
        <w:t>2.5</w:t>
      </w:r>
      <w:r w:rsidR="008B0EB2">
        <w:rPr>
          <w:rFonts w:cs="Arial"/>
        </w:rPr>
        <w:t xml:space="preserve"> standards were implemented in 2012 and </w:t>
      </w:r>
      <w:r w:rsidR="008B0EB2">
        <w:rPr>
          <w:lang w:val="en-US"/>
        </w:rPr>
        <w:t>PM</w:t>
      </w:r>
      <w:r w:rsidR="008B0EB2" w:rsidRPr="00D76708">
        <w:rPr>
          <w:vertAlign w:val="subscript"/>
          <w:lang w:val="en-US"/>
        </w:rPr>
        <w:t>2.5</w:t>
      </w:r>
      <w:r w:rsidR="008B0EB2">
        <w:rPr>
          <w:vertAlign w:val="subscript"/>
          <w:lang w:val="en-US"/>
        </w:rPr>
        <w:t xml:space="preserve"> </w:t>
      </w:r>
      <w:r w:rsidR="008B0EB2">
        <w:rPr>
          <w:rFonts w:cs="Arial"/>
        </w:rPr>
        <w:t>measurements were introduced only in 2018 according to SAAQIS report with more stations added in 2019 and 2020.</w:t>
      </w:r>
      <w:r w:rsidR="008B0EB2">
        <w:rPr>
          <w:rFonts w:cs="Arial"/>
        </w:rPr>
        <w:fldChar w:fldCharType="begin"/>
      </w:r>
      <w:r w:rsidR="008B0EB2">
        <w:rPr>
          <w:rFonts w:cs="Arial"/>
        </w:rPr>
        <w:instrText xml:space="preserve"> ADDIN EN.CITE &lt;EndNote&gt;&lt;Cite&gt;&lt;Author&gt;South Africa Air Quality Information System&lt;/Author&gt;&lt;Year&gt;2022&lt;/Year&gt;&lt;RecNum&gt;253&lt;/RecNum&gt;&lt;DisplayText&gt;&lt;style face="superscript"&gt;8&lt;/style&gt;&lt;/DisplayText&gt;&lt;record&gt;&lt;rec-number&gt;253&lt;/rec-number&gt;&lt;foreign-keys&gt;&lt;key app="EN" db-id="s50959501r9tp8ez5rapd0sdv5xzv5rsxte2" timestamp="1652451361"&gt;253&lt;/key&gt;&lt;/foreign-keys&gt;&lt;ref-type name="Online Database"&gt;45&lt;/ref-type&gt;&lt;contributors&gt;&lt;authors&gt;&lt;author&gt;South Africa Air Quality Information System,&lt;/author&gt;&lt;/authors&gt;&lt;/contributors&gt;&lt;titles&gt;&lt;title&gt;National Air Quality Indicator - Monthly data report for the Western Cape Province&lt;/title&gt;&lt;/titles&gt;&lt;dates&gt;&lt;year&gt;2022&lt;/year&gt;&lt;pub-dates&gt;&lt;date&gt;09 May 2022&lt;/date&gt;&lt;/pub-dates&gt;&lt;/dates&gt;&lt;urls&gt;&lt;related-urls&gt;&lt;url&gt;https://saaqis.environment.gov.za/&lt;/url&gt;&lt;/related-urls&gt;&lt;/urls&gt;&lt;/record&gt;&lt;/Cite&gt;&lt;/EndNote&gt;</w:instrText>
      </w:r>
      <w:r w:rsidR="008B0EB2">
        <w:rPr>
          <w:rFonts w:cs="Arial"/>
        </w:rPr>
        <w:fldChar w:fldCharType="separate"/>
      </w:r>
      <w:r w:rsidR="008B0EB2" w:rsidRPr="008B0EB2">
        <w:rPr>
          <w:rFonts w:cs="Arial"/>
          <w:noProof/>
          <w:vertAlign w:val="superscript"/>
        </w:rPr>
        <w:t>8</w:t>
      </w:r>
      <w:r w:rsidR="008B0EB2">
        <w:rPr>
          <w:rFonts w:cs="Arial"/>
        </w:rPr>
        <w:fldChar w:fldCharType="end"/>
      </w:r>
      <w:r w:rsidR="008B0EB2">
        <w:rPr>
          <w:rFonts w:cs="Arial"/>
        </w:rPr>
        <w:t xml:space="preserve"> Thus, the AQHI in this study uses PM</w:t>
      </w:r>
      <w:r w:rsidR="008B0EB2" w:rsidRPr="004E0D8C">
        <w:rPr>
          <w:rFonts w:cs="Arial"/>
          <w:vertAlign w:val="subscript"/>
        </w:rPr>
        <w:t>10</w:t>
      </w:r>
      <w:r w:rsidR="008B0EB2">
        <w:rPr>
          <w:rFonts w:cs="Arial"/>
        </w:rPr>
        <w:t xml:space="preserve"> data from 2006 – 2015.</w:t>
      </w:r>
      <w:r w:rsidR="000F48F6" w:rsidRPr="000F48F6">
        <w:rPr>
          <w:rFonts w:cs="Arial"/>
        </w:rPr>
        <w:t xml:space="preserve"> </w:t>
      </w:r>
      <w:r w:rsidR="000F48F6">
        <w:rPr>
          <w:rFonts w:cs="Arial"/>
        </w:rPr>
        <w:t xml:space="preserve">However, the derivation of a </w:t>
      </w:r>
      <w:r w:rsidR="000F48F6">
        <w:rPr>
          <w:lang w:val="en-US"/>
        </w:rPr>
        <w:t>PM</w:t>
      </w:r>
      <w:r w:rsidR="000F48F6" w:rsidRPr="00D76708">
        <w:rPr>
          <w:vertAlign w:val="subscript"/>
          <w:lang w:val="en-US"/>
        </w:rPr>
        <w:t>2.5</w:t>
      </w:r>
      <w:r w:rsidR="007F26EC">
        <w:rPr>
          <w:rFonts w:cs="Arial"/>
        </w:rPr>
        <w:t xml:space="preserve"> based AQHI is identical.</w:t>
      </w:r>
    </w:p>
    <w:p w14:paraId="2E11ABA8" w14:textId="77777777" w:rsidR="00BA1638" w:rsidRPr="00D538A2" w:rsidRDefault="00BA1638" w:rsidP="00BA1638">
      <w:pPr>
        <w:jc w:val="both"/>
        <w:rPr>
          <w:rFonts w:eastAsiaTheme="minorEastAsia" w:cs="Arial"/>
          <w:b/>
        </w:rPr>
      </w:pPr>
      <w:r w:rsidRPr="00D538A2">
        <w:rPr>
          <w:rFonts w:eastAsiaTheme="minorEastAsia" w:cs="Arial"/>
          <w:b/>
        </w:rPr>
        <w:t xml:space="preserve">Scaling the </w:t>
      </w:r>
      <w:r>
        <w:rPr>
          <w:rFonts w:eastAsiaTheme="minorEastAsia" w:cs="Arial"/>
          <w:b/>
        </w:rPr>
        <w:t>pollutant</w:t>
      </w:r>
      <w:r w:rsidRPr="00D538A2">
        <w:rPr>
          <w:rFonts w:eastAsiaTheme="minorEastAsia" w:cs="Arial"/>
          <w:b/>
        </w:rPr>
        <w:t xml:space="preserve"> excess risk in context of the WHO AQG values</w:t>
      </w:r>
    </w:p>
    <w:p w14:paraId="76F324DB" w14:textId="77777777" w:rsidR="00BA1638" w:rsidRDefault="00BA1638" w:rsidP="00BA1638">
      <w:pPr>
        <w:jc w:val="both"/>
        <w:rPr>
          <w:rFonts w:eastAsiaTheme="minorEastAsia" w:cs="Arial"/>
        </w:rPr>
      </w:pPr>
      <w:r>
        <w:rPr>
          <w:rFonts w:eastAsiaTheme="minorEastAsia" w:cs="Arial"/>
        </w:rPr>
        <w:t xml:space="preserve">In line with concepts of previous AQI or AQHI, our linear scale ranges from 1 to 10+. For each pollutant, the percent increase per unit of the index was chosen in such a way that the index value of 3 corresponds to the ER at the WHO long-term reference values as derived above. The ER per 1 unit index as shown in </w:t>
      </w:r>
      <w:r>
        <w:rPr>
          <w:rFonts w:eastAsiaTheme="minorEastAsia" w:cs="Arial"/>
        </w:rPr>
        <w:fldChar w:fldCharType="begin"/>
      </w:r>
      <w:r>
        <w:rPr>
          <w:rFonts w:eastAsiaTheme="minorEastAsia" w:cs="Arial"/>
        </w:rPr>
        <w:instrText xml:space="preserve"> REF _Ref117860487 \h </w:instrText>
      </w:r>
      <w:r>
        <w:rPr>
          <w:rFonts w:eastAsiaTheme="minorEastAsia" w:cs="Arial"/>
        </w:rPr>
      </w:r>
      <w:r>
        <w:rPr>
          <w:rFonts w:eastAsiaTheme="minorEastAsia" w:cs="Arial"/>
        </w:rPr>
        <w:fldChar w:fldCharType="separate"/>
      </w:r>
      <w:r w:rsidRPr="00000CD9">
        <w:rPr>
          <w:lang w:val="en-US"/>
        </w:rPr>
        <w:t xml:space="preserve">Table </w:t>
      </w:r>
      <w:r>
        <w:rPr>
          <w:noProof/>
          <w:lang w:val="en-US"/>
        </w:rPr>
        <w:t>1</w:t>
      </w:r>
      <w:r>
        <w:rPr>
          <w:rFonts w:eastAsiaTheme="minorEastAsia" w:cs="Arial"/>
        </w:rPr>
        <w:fldChar w:fldCharType="end"/>
      </w:r>
      <w:r>
        <w:rPr>
          <w:rFonts w:eastAsiaTheme="minorEastAsia" w:cs="Arial"/>
        </w:rPr>
        <w:t xml:space="preserve"> were rounded to two decimal places and used to produce categories for 10 index values. The daily ER% of each index value, thus, corresponds for each pollutant to the ranges as presented in </w:t>
      </w:r>
      <w:r>
        <w:rPr>
          <w:rFonts w:eastAsiaTheme="minorEastAsia" w:cs="Arial"/>
        </w:rPr>
        <w:fldChar w:fldCharType="begin"/>
      </w:r>
      <w:r>
        <w:rPr>
          <w:rFonts w:eastAsiaTheme="minorEastAsia" w:cs="Arial"/>
        </w:rPr>
        <w:instrText xml:space="preserve"> REF _Ref126853636 \h </w:instrText>
      </w:r>
      <w:r>
        <w:rPr>
          <w:rFonts w:eastAsiaTheme="minorEastAsia" w:cs="Arial"/>
        </w:rPr>
      </w:r>
      <w:r>
        <w:rPr>
          <w:rFonts w:eastAsiaTheme="minorEastAsia" w:cs="Arial"/>
        </w:rPr>
        <w:fldChar w:fldCharType="separate"/>
      </w:r>
      <w:r w:rsidRPr="00865B80">
        <w:rPr>
          <w:lang w:val="en-US"/>
        </w:rPr>
        <w:t xml:space="preserve">Table </w:t>
      </w:r>
      <w:r>
        <w:rPr>
          <w:noProof/>
          <w:lang w:val="en-US"/>
        </w:rPr>
        <w:t>2</w:t>
      </w:r>
      <w:r>
        <w:rPr>
          <w:rFonts w:eastAsiaTheme="minorEastAsia" w:cs="Arial"/>
        </w:rPr>
        <w:fldChar w:fldCharType="end"/>
      </w:r>
      <w:r>
        <w:rPr>
          <w:rFonts w:eastAsiaTheme="minorEastAsia" w:cs="Arial"/>
        </w:rPr>
        <w:t xml:space="preserve">. For example, a </w:t>
      </w:r>
      <w:r>
        <w:t>PM</w:t>
      </w:r>
      <w:r w:rsidRPr="009963BD">
        <w:rPr>
          <w:vertAlign w:val="subscript"/>
        </w:rPr>
        <w:t>10</w:t>
      </w:r>
      <w:r>
        <w:rPr>
          <w:rFonts w:eastAsiaTheme="minorEastAsia" w:cs="Arial"/>
        </w:rPr>
        <w:t xml:space="preserve"> index value of 1 corresponds to up to 0.21% excess mortality risk whereas larger ER% up to 0.42% are contained in level 2 and so on. </w:t>
      </w:r>
    </w:p>
    <w:p w14:paraId="68D9DF6D" w14:textId="77777777" w:rsidR="00BA1638" w:rsidRPr="006A2E76" w:rsidRDefault="00BA1638" w:rsidP="00BA1638">
      <w:pPr>
        <w:jc w:val="both"/>
        <w:rPr>
          <w:rFonts w:eastAsiaTheme="minorEastAsia" w:cs="Arial"/>
          <w:b/>
        </w:rPr>
      </w:pPr>
      <w:r w:rsidRPr="006A2E76">
        <w:rPr>
          <w:rFonts w:eastAsiaTheme="minorEastAsia" w:cs="Arial"/>
          <w:b/>
        </w:rPr>
        <w:t>Calculate overall AQHI</w:t>
      </w:r>
    </w:p>
    <w:p w14:paraId="095D568E" w14:textId="59AABCC6" w:rsidR="00BA1638" w:rsidRDefault="00BA1638" w:rsidP="00BA1638">
      <w:pPr>
        <w:jc w:val="both"/>
        <w:rPr>
          <w:rFonts w:cs="Arial"/>
        </w:rPr>
      </w:pPr>
      <w:r>
        <w:rPr>
          <w:rFonts w:cs="Arial"/>
        </w:rPr>
        <w:t xml:space="preserve">The previous step derived a daily index value for each pollutant. For communication purposes, it would be informative to provide one single index value that summarizes the impact across pollutants. The sum of the four estimates is not a valid summary measure of the impact as it would assume fully independent excess risks attributable to each pollutant. Although this may be defendable for </w:t>
      </w:r>
      <w:r>
        <w:t>O</w:t>
      </w:r>
      <w:r w:rsidRPr="009963BD">
        <w:rPr>
          <w:vertAlign w:val="subscript"/>
        </w:rPr>
        <w:t>3</w:t>
      </w:r>
      <w:r>
        <w:rPr>
          <w:rFonts w:cs="Arial"/>
        </w:rPr>
        <w:t xml:space="preserve"> and PM, there is agreement that single-pollutant CRFs capture partly correlated, thus, overlapping effects of e.g. PM and </w:t>
      </w:r>
      <w:r>
        <w:t>NO</w:t>
      </w:r>
      <w:r w:rsidRPr="009963BD">
        <w:rPr>
          <w:vertAlign w:val="subscript"/>
        </w:rPr>
        <w:t>2</w:t>
      </w:r>
      <w:r>
        <w:rPr>
          <w:rFonts w:cs="Arial"/>
        </w:rPr>
        <w:t xml:space="preserve"> or </w:t>
      </w:r>
      <w:r>
        <w:t>SO</w:t>
      </w:r>
      <w:r w:rsidRPr="009963BD">
        <w:rPr>
          <w:vertAlign w:val="subscript"/>
        </w:rPr>
        <w:t>2</w:t>
      </w:r>
      <w:r>
        <w:rPr>
          <w:rFonts w:cs="Arial"/>
        </w:rPr>
        <w:t>.</w:t>
      </w:r>
      <w:r>
        <w:rPr>
          <w:rFonts w:cs="Arial"/>
        </w:rPr>
        <w:fldChar w:fldCharType="begin">
          <w:fldData xml:space="preserve">PEVuZE5vdGU+PENpdGU+PEF1dGhvcj5Iw6lyb3V4PC9BdXRob3I+PFllYXI+MjAxNTwvWWVhcj48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</w:fldData>
        </w:fldChar>
      </w:r>
      <w:r w:rsidR="008B0EB2">
        <w:rPr>
          <w:rFonts w:cs="Arial"/>
        </w:rPr>
        <w:instrText xml:space="preserve"> ADDIN EN.CITE </w:instrText>
      </w:r>
      <w:r w:rsidR="008B0EB2">
        <w:rPr>
          <w:rFonts w:cs="Arial"/>
        </w:rPr>
        <w:fldChar w:fldCharType="begin">
          <w:fldData xml:space="preserve">PEVuZE5vdGU+PENpdGU+PEF1dGhvcj5Iw6lyb3V4PC9BdXRob3I+PFllYXI+MjAxNTwvWWVhcj48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</w:fldData>
        </w:fldChar>
      </w:r>
      <w:r w:rsidR="008B0EB2">
        <w:rPr>
          <w:rFonts w:cs="Arial"/>
        </w:rPr>
        <w:instrText xml:space="preserve"> ADDIN EN.CITE.DATA </w:instrText>
      </w:r>
      <w:r w:rsidR="008B0EB2">
        <w:rPr>
          <w:rFonts w:cs="Arial"/>
        </w:rPr>
      </w:r>
      <w:r w:rsidR="008B0EB2">
        <w:rPr>
          <w:rFonts w:cs="Arial"/>
        </w:rPr>
        <w:fldChar w:fldCharType="end"/>
      </w:r>
      <w:r>
        <w:rPr>
          <w:rFonts w:cs="Arial"/>
        </w:rPr>
      </w:r>
      <w:r>
        <w:rPr>
          <w:rFonts w:cs="Arial"/>
        </w:rPr>
        <w:fldChar w:fldCharType="separate"/>
      </w:r>
      <w:r w:rsidR="008B0EB2" w:rsidRPr="008B0EB2">
        <w:rPr>
          <w:rFonts w:cs="Arial"/>
          <w:noProof/>
          <w:vertAlign w:val="superscript"/>
        </w:rPr>
        <w:t>9</w:t>
      </w:r>
      <w:r>
        <w:rPr>
          <w:rFonts w:cs="Arial"/>
        </w:rPr>
        <w:fldChar w:fldCharType="end"/>
      </w:r>
      <w:r>
        <w:rPr>
          <w:rFonts w:cs="Arial"/>
        </w:rPr>
        <w:t xml:space="preserve"> However, at this stage this overlap is not well defined given the paucity of estimates of multipollutant CRFs. </w:t>
      </w:r>
    </w:p>
    <w:p w14:paraId="1FBFA132" w14:textId="1CEE2009" w:rsidR="00074F47" w:rsidRDefault="00BA1638" w:rsidP="004E0D8C">
      <w:pPr>
        <w:jc w:val="both"/>
        <w:rPr>
          <w:rFonts w:cs="Arial"/>
        </w:rPr>
      </w:pPr>
      <w:r>
        <w:rPr>
          <w:rFonts w:cs="Arial"/>
        </w:rPr>
        <w:t xml:space="preserve">Instead we propose the derivation of an “average index value” to reflect the expected daily mean health impact of the pollutants used in the index. However, the arithmetic mean of the single values has problematic features. As shown in Table 1, although the WHO AQG values are derived to protect health, the mortality ER% at the long-term AQG value grossly varies across the pollutants. Moreover, as shown in the case study later on, the ability to comply with the AQG values differs substantially across the pollutants used in the index. E.g., the new </w:t>
      </w:r>
      <w:r>
        <w:rPr>
          <w:lang w:val="en-US"/>
        </w:rPr>
        <w:t>PM</w:t>
      </w:r>
      <w:r w:rsidRPr="00D76708">
        <w:rPr>
          <w:vertAlign w:val="subscript"/>
          <w:lang w:val="en-US"/>
        </w:rPr>
        <w:t>2.5</w:t>
      </w:r>
      <w:r>
        <w:rPr>
          <w:rFonts w:cs="Arial"/>
        </w:rPr>
        <w:t xml:space="preserve"> AQG are extremely ambitious for most regions in the world, compliance with the </w:t>
      </w:r>
      <w:r>
        <w:t>SO</w:t>
      </w:r>
      <w:r w:rsidRPr="009963BD">
        <w:rPr>
          <w:vertAlign w:val="subscript"/>
        </w:rPr>
        <w:t>2</w:t>
      </w:r>
      <w:r>
        <w:rPr>
          <w:rFonts w:cs="Arial"/>
        </w:rPr>
        <w:t xml:space="preserve"> AQG may already be achieved in many places. Thus, the arithmetic mean of the four AQI values and the average excess risk – would be unequally influenced by this inherent discrepancy. Therefore, we propose a weighted average index value to harmonize the discrep</w:t>
      </w:r>
      <w:r w:rsidR="00AE6690">
        <w:rPr>
          <w:rFonts w:cs="Arial"/>
        </w:rPr>
        <w:t xml:space="preserve">ant ER% at the WHO AQG levels. </w:t>
      </w:r>
      <w:r w:rsidR="00C0082B">
        <w:rPr>
          <w:rFonts w:cs="Arial"/>
        </w:rPr>
        <w:t>Methodological d</w:t>
      </w:r>
      <w:r w:rsidR="005C628C">
        <w:rPr>
          <w:rFonts w:cs="Arial"/>
        </w:rPr>
        <w:t>etails are shown in the main text.</w:t>
      </w:r>
    </w:p>
    <w:p w14:paraId="47A66476" w14:textId="77777777" w:rsidR="00074F47" w:rsidRPr="00D538A2" w:rsidRDefault="00074F47" w:rsidP="00074F47">
      <w:pPr>
        <w:jc w:val="both"/>
        <w:rPr>
          <w:rFonts w:eastAsiaTheme="minorEastAsia" w:cs="Arial"/>
          <w:b/>
        </w:rPr>
      </w:pPr>
      <w:r w:rsidRPr="00D538A2">
        <w:rPr>
          <w:rFonts w:eastAsiaTheme="minorEastAsia" w:cs="Arial"/>
          <w:b/>
        </w:rPr>
        <w:lastRenderedPageBreak/>
        <w:t>Translate AQHI into "traffic-light" colo</w:t>
      </w:r>
      <w:r>
        <w:rPr>
          <w:rFonts w:eastAsiaTheme="minorEastAsia" w:cs="Arial"/>
          <w:b/>
        </w:rPr>
        <w:t>u</w:t>
      </w:r>
      <w:r w:rsidRPr="00D538A2">
        <w:rPr>
          <w:rFonts w:eastAsiaTheme="minorEastAsia" w:cs="Arial"/>
          <w:b/>
        </w:rPr>
        <w:t>r scheme</w:t>
      </w:r>
    </w:p>
    <w:p w14:paraId="5568EE77" w14:textId="77777777" w:rsidR="00074F47" w:rsidRDefault="00074F47" w:rsidP="00074F47">
      <w:pPr>
        <w:jc w:val="both"/>
        <w:rPr>
          <w:rFonts w:eastAsiaTheme="minorEastAsia" w:cs="Arial"/>
        </w:rPr>
      </w:pPr>
      <w:r>
        <w:rPr>
          <w:rFonts w:eastAsiaTheme="minorEastAsia" w:cs="Arial"/>
        </w:rPr>
        <w:t>In the last step, the AQHI is constructed by using the scaled index and translating it into “traffic-light” colour scheme. The levels of risk in the index ranges from 1 to 10+. We define “low risk” or “green” as 1 – 3, “moderate risk” or “yellow” as 4 – 6, and “high risk” or “red” as 7 – 10+. Authorities might communicate the colours for each single pollutant AQHI or the derived weighted average or both. This is</w:t>
      </w:r>
      <w:r w:rsidRPr="00522F26">
        <w:rPr>
          <w:rFonts w:eastAsiaTheme="minorEastAsia" w:cs="Arial"/>
        </w:rPr>
        <w:t xml:space="preserve"> a simple communication tool to enable the public understand the continuum between healthy and unhealthy air quality. </w:t>
      </w:r>
      <w:r>
        <w:rPr>
          <w:rFonts w:eastAsiaTheme="minorEastAsia" w:cs="Arial"/>
        </w:rPr>
        <w:t xml:space="preserve">The AQHI is also accompanied with health messages for the general population and population at risk, which is presented in </w:t>
      </w:r>
      <w:r>
        <w:rPr>
          <w:rFonts w:eastAsiaTheme="minorEastAsia" w:cs="Arial"/>
        </w:rPr>
        <w:fldChar w:fldCharType="begin"/>
      </w:r>
      <w:r>
        <w:rPr>
          <w:rFonts w:eastAsiaTheme="minorEastAsia" w:cs="Arial"/>
        </w:rPr>
        <w:instrText xml:space="preserve"> REF _Ref126853636 \h </w:instrText>
      </w:r>
      <w:r>
        <w:rPr>
          <w:rFonts w:eastAsiaTheme="minorEastAsia" w:cs="Arial"/>
        </w:rPr>
      </w:r>
      <w:r>
        <w:rPr>
          <w:rFonts w:eastAsiaTheme="minorEastAsia" w:cs="Arial"/>
        </w:rPr>
        <w:fldChar w:fldCharType="separate"/>
      </w:r>
      <w:r w:rsidRPr="00865B80">
        <w:rPr>
          <w:lang w:val="en-US"/>
        </w:rPr>
        <w:t xml:space="preserve">Table </w:t>
      </w:r>
      <w:r>
        <w:rPr>
          <w:noProof/>
          <w:lang w:val="en-US"/>
        </w:rPr>
        <w:t>2</w:t>
      </w:r>
      <w:r>
        <w:rPr>
          <w:rFonts w:eastAsiaTheme="minorEastAsia" w:cs="Arial"/>
        </w:rPr>
        <w:fldChar w:fldCharType="end"/>
      </w:r>
      <w:r>
        <w:rPr>
          <w:rFonts w:eastAsiaTheme="minorEastAsia" w:cs="Arial"/>
        </w:rPr>
        <w:t>. By design, if all four pollutants complied with the WHO AQG reference value shown in Table 1, the overall AQHI for such day will be “green”.</w:t>
      </w:r>
    </w:p>
    <w:p w14:paraId="671431CA" w14:textId="0F5BA378" w:rsidR="00033D47" w:rsidRDefault="00074F47" w:rsidP="004E0D8C">
      <w:pPr>
        <w:jc w:val="both"/>
      </w:pPr>
      <w:r w:rsidRPr="00401AEA">
        <w:rPr>
          <w:lang w:val="en-US"/>
        </w:rPr>
        <w:t>The health messages corresponding to the risk levels were adapted from the Canadian AQHI</w:t>
      </w:r>
      <w:r w:rsidRPr="00401AEA">
        <w:rPr>
          <w:lang w:val="en-US"/>
        </w:rPr>
        <w:fldChar w:fldCharType="begin"/>
      </w:r>
      <w:r w:rsidR="008B0EB2">
        <w:rPr>
          <w:lang w:val="en-US"/>
        </w:rPr>
        <w:instrText xml:space="preserve"> ADDIN EN.CITE &lt;EndNote&gt;&lt;Cite&gt;&lt;Author&gt;Stieb&lt;/Author&gt;&lt;Year&gt;2008&lt;/Year&gt;&lt;RecNum&gt;2&lt;/RecNum&gt;&lt;DisplayText&gt;&lt;style face="superscript"&gt;10&lt;/style&gt;&lt;/DisplayText&gt;&lt;record&gt;&lt;rec-number&gt;2&lt;/rec-number&gt;&lt;foreign-keys&gt;&lt;key app="EN" db-id="s50959501r9tp8ez5rapd0sdv5xzv5rsxte2" timestamp="0"&gt;2&lt;/key&gt;&lt;/foreign-keys&gt;&lt;ref-type name="Journal Article"&gt;17&lt;/ref-type&gt;&lt;contributors&gt;&lt;authors&gt;&lt;author&gt;Stieb, D. M.&lt;/author&gt;&lt;author&gt;Burnett, R. T.&lt;/author&gt;&lt;author&gt;Smith-Doiron, M.&lt;/author&gt;&lt;author&gt;Brion, O.&lt;/author&gt;&lt;author&gt;Shin, H. H.&lt;/author&gt;&lt;author&gt;Economou, V.&lt;/author&gt;&lt;/authors&gt;&lt;/contributors&gt;&lt;auth-address&gt;Healthy Environments and Consumer Safety Branch, Health Canada, Ottawa, Ontario, Canada. dave_stieb@hc-sc.gc.ca&lt;/auth-address&gt;&lt;titles&gt;&lt;title&gt;A new multipollutant, no-threshold air quality health index based on short-term associations observed in daily time-series analyses&lt;/title&gt;&lt;secondary-title&gt;J Air Waste Manag Assoc&lt;/secondary-title&gt;&lt;alt-title&gt;Journal of the Air &amp;amp; Waste Management Association (1995)&lt;/alt-title&gt;&lt;/titles&gt;&lt;periodical&gt;&lt;full-title&gt;J Air Waste Manag Assoc&lt;/full-title&gt;&lt;/periodical&gt;&lt;pages&gt;435-50&lt;/pages&gt;&lt;volume&gt;58&lt;/volume&gt;&lt;number&gt;3&lt;/number&gt;&lt;edition&gt;2008/04/02&lt;/edition&gt;&lt;keywords&gt;&lt;keyword&gt;Air Pollutants/*adverse effects/analysis&lt;/keyword&gt;&lt;keyword&gt;*Air Pollution&lt;/keyword&gt;&lt;keyword&gt;Algorithms&lt;/keyword&gt;&lt;keyword&gt;Canada&lt;/keyword&gt;&lt;keyword&gt;Data Interpretation, Statistical&lt;/keyword&gt;&lt;keyword&gt;Environmental Health/*standards&lt;/keyword&gt;&lt;keyword&gt;Humans&lt;/keyword&gt;&lt;keyword&gt;Time Factors&lt;/keyword&gt;&lt;/keywords&gt;&lt;dates&gt;&lt;year&gt;2008&lt;/year&gt;&lt;pub-dates&gt;&lt;date&gt;Mar&lt;/date&gt;&lt;/pub-dates&gt;&lt;/dates&gt;&lt;isbn&gt;1096-2247 (Print)&amp;#xD;1096-2247&lt;/isbn&gt;&lt;accession-num&gt;18376646&lt;/accession-num&gt;&lt;urls&gt;&lt;/urls&gt;&lt;remote-database-provider&gt;NLM&lt;/remote-database-provider&gt;&lt;language&gt;eng&lt;/language&gt;&lt;/record&gt;&lt;/Cite&gt;&lt;/EndNote&gt;</w:instrText>
      </w:r>
      <w:r w:rsidRPr="00401AEA">
        <w:rPr>
          <w:lang w:val="en-US"/>
        </w:rPr>
        <w:fldChar w:fldCharType="separate"/>
      </w:r>
      <w:r w:rsidR="008B0EB2" w:rsidRPr="008B0EB2">
        <w:rPr>
          <w:noProof/>
          <w:vertAlign w:val="superscript"/>
          <w:lang w:val="en-US"/>
        </w:rPr>
        <w:t>10</w:t>
      </w:r>
      <w:r w:rsidRPr="00401AEA">
        <w:rPr>
          <w:lang w:val="en-US"/>
        </w:rPr>
        <w:fldChar w:fldCharType="end"/>
      </w:r>
      <w:r w:rsidRPr="00401AEA">
        <w:rPr>
          <w:i/>
          <w:lang w:val="en-US"/>
        </w:rPr>
        <w:t>;</w:t>
      </w:r>
      <w:r w:rsidRPr="00401AEA">
        <w:rPr>
          <w:lang w:val="en-US"/>
        </w:rPr>
        <w:t xml:space="preserve"> the</w:t>
      </w:r>
      <w:r w:rsidRPr="00401AEA">
        <w:rPr>
          <w:i/>
          <w:lang w:val="en-US"/>
        </w:rPr>
        <w:t xml:space="preserve"> </w:t>
      </w:r>
      <w:r w:rsidRPr="00401AEA">
        <w:rPr>
          <w:lang w:val="en-US"/>
        </w:rPr>
        <w:t xml:space="preserve">Canadian authors were methodical in the process of developing the communication material which involved multiple stakeholders and audiences. The materials were tested and evaluated through qualitative interviews to assess knowledge, attitudes and behaviors related to air pollution and particularly </w:t>
      </w:r>
      <w:r>
        <w:rPr>
          <w:lang w:val="en-US"/>
        </w:rPr>
        <w:t xml:space="preserve">to the </w:t>
      </w:r>
      <w:r w:rsidRPr="00401AEA">
        <w:rPr>
          <w:lang w:val="en-US"/>
        </w:rPr>
        <w:t>air quality index. Therefore, we consider these messages to be well suited for our constructed AQHI</w:t>
      </w:r>
      <w:r>
        <w:rPr>
          <w:lang w:val="en-US"/>
        </w:rPr>
        <w:t>.</w:t>
      </w:r>
      <w:r w:rsidRPr="00401AEA">
        <w:rPr>
          <w:lang w:val="en-US"/>
        </w:rPr>
        <w:t xml:space="preserve"> </w:t>
      </w:r>
      <w:r>
        <w:rPr>
          <w:lang w:val="en-US"/>
        </w:rPr>
        <w:t>H</w:t>
      </w:r>
      <w:r w:rsidRPr="00401AEA">
        <w:rPr>
          <w:lang w:val="en-US"/>
        </w:rPr>
        <w:t xml:space="preserve">owever, we </w:t>
      </w:r>
      <w:r>
        <w:rPr>
          <w:lang w:val="en-US"/>
        </w:rPr>
        <w:t xml:space="preserve">did not consider the index value 10+ as separate category and therefore did not distinguish between “very high” and “high” risk. </w:t>
      </w:r>
      <w:r w:rsidRPr="00401AEA">
        <w:t xml:space="preserve"> </w:t>
      </w:r>
    </w:p>
    <w:p w14:paraId="7F36BBBE" w14:textId="77777777" w:rsidR="00033D47" w:rsidRPr="00033D47" w:rsidRDefault="00033D47" w:rsidP="00033D47">
      <w:pPr>
        <w:autoSpaceDE w:val="0"/>
        <w:autoSpaceDN w:val="0"/>
        <w:adjustRightInd w:val="0"/>
        <w:spacing w:after="0" w:line="240" w:lineRule="auto"/>
        <w:jc w:val="both"/>
        <w:rPr>
          <w:rFonts w:cs="Arial"/>
          <w:b/>
          <w:color w:val="000000" w:themeColor="text1"/>
          <w:lang w:val="en-US"/>
        </w:rPr>
      </w:pPr>
      <w:r w:rsidRPr="00033D47">
        <w:rPr>
          <w:rFonts w:cs="Arial"/>
          <w:b/>
          <w:color w:val="000000" w:themeColor="text1"/>
          <w:lang w:val="en-US"/>
        </w:rPr>
        <w:t>Sensitivity analysis</w:t>
      </w:r>
    </w:p>
    <w:p w14:paraId="71CD5292" w14:textId="77777777" w:rsidR="00033D47" w:rsidRPr="00033D47" w:rsidRDefault="00033D47" w:rsidP="00033D47">
      <w:pPr>
        <w:autoSpaceDE w:val="0"/>
        <w:autoSpaceDN w:val="0"/>
        <w:adjustRightInd w:val="0"/>
        <w:spacing w:after="0" w:line="240" w:lineRule="auto"/>
        <w:jc w:val="both"/>
        <w:rPr>
          <w:rFonts w:cs="Arial"/>
          <w:color w:val="000000" w:themeColor="text1"/>
          <w:lang w:val="en-US"/>
        </w:rPr>
      </w:pPr>
    </w:p>
    <w:p w14:paraId="6CE59044" w14:textId="6C782CB4" w:rsidR="00033D47" w:rsidRPr="00033D47" w:rsidRDefault="00033D47" w:rsidP="00033D47">
      <w:pPr>
        <w:autoSpaceDE w:val="0"/>
        <w:autoSpaceDN w:val="0"/>
        <w:adjustRightInd w:val="0"/>
        <w:spacing w:after="0" w:line="240" w:lineRule="auto"/>
        <w:jc w:val="both"/>
        <w:rPr>
          <w:rFonts w:cs="Arial"/>
          <w:lang w:val="en-US"/>
        </w:rPr>
      </w:pPr>
      <w:r w:rsidRPr="00033D47">
        <w:rPr>
          <w:rFonts w:cs="Arial"/>
          <w:color w:val="000000" w:themeColor="text1"/>
          <w:lang w:val="en-US"/>
        </w:rPr>
        <w:t xml:space="preserve">As mentioned, we propose to build the AQHI either with </w:t>
      </w:r>
      <w:r w:rsidRPr="00033D47">
        <w:t>PM</w:t>
      </w:r>
      <w:r w:rsidRPr="00033D47">
        <w:rPr>
          <w:vertAlign w:val="subscript"/>
        </w:rPr>
        <w:t>10</w:t>
      </w:r>
      <w:r w:rsidRPr="00033D47">
        <w:rPr>
          <w:rFonts w:cs="Arial"/>
          <w:color w:val="000000" w:themeColor="text1"/>
          <w:lang w:val="en-US"/>
        </w:rPr>
        <w:t xml:space="preserve"> or </w:t>
      </w:r>
      <w:r w:rsidRPr="00033D47">
        <w:rPr>
          <w:lang w:val="en-US"/>
        </w:rPr>
        <w:t>PM</w:t>
      </w:r>
      <w:r w:rsidRPr="00033D47">
        <w:rPr>
          <w:vertAlign w:val="subscript"/>
          <w:lang w:val="en-US"/>
        </w:rPr>
        <w:t>2.5</w:t>
      </w:r>
      <w:r w:rsidRPr="00033D47">
        <w:rPr>
          <w:rFonts w:cs="Arial"/>
          <w:color w:val="000000" w:themeColor="text1"/>
          <w:lang w:val="en-US"/>
        </w:rPr>
        <w:t xml:space="preserve">. The question arises whether these two options would lead to the same result. To assess the sensitivity of the index for choosing between the two options, we used 2019 data from Tableview monitoring station as we had both </w:t>
      </w:r>
      <w:r w:rsidRPr="00033D47">
        <w:t>PM</w:t>
      </w:r>
      <w:r w:rsidRPr="00033D47">
        <w:rPr>
          <w:vertAlign w:val="subscript"/>
        </w:rPr>
        <w:t>10</w:t>
      </w:r>
      <w:r w:rsidRPr="00033D47">
        <w:rPr>
          <w:rFonts w:cs="Arial"/>
          <w:color w:val="000000" w:themeColor="text1"/>
          <w:lang w:val="en-US"/>
        </w:rPr>
        <w:t xml:space="preserve"> and </w:t>
      </w:r>
      <w:r w:rsidRPr="00033D47">
        <w:rPr>
          <w:lang w:val="en-US"/>
        </w:rPr>
        <w:t>PM</w:t>
      </w:r>
      <w:r w:rsidRPr="00033D47">
        <w:rPr>
          <w:vertAlign w:val="subscript"/>
          <w:lang w:val="en-US"/>
        </w:rPr>
        <w:t>2.5</w:t>
      </w:r>
      <w:r w:rsidRPr="00033D47">
        <w:rPr>
          <w:rFonts w:cs="Arial"/>
          <w:color w:val="000000" w:themeColor="text1"/>
          <w:lang w:val="en-US"/>
        </w:rPr>
        <w:t xml:space="preserve"> data for this year. In total</w:t>
      </w:r>
      <w:r w:rsidRPr="00033D47">
        <w:rPr>
          <w:rFonts w:cs="Arial"/>
          <w:lang w:val="en-US"/>
        </w:rPr>
        <w:t xml:space="preserve">, 83.5%, 90%, 97% and 97% of daily values of </w:t>
      </w:r>
      <w:r w:rsidRPr="00033D47">
        <w:t>SO</w:t>
      </w:r>
      <w:r w:rsidRPr="00033D47">
        <w:rPr>
          <w:vertAlign w:val="subscript"/>
        </w:rPr>
        <w:t>2</w:t>
      </w:r>
      <w:r w:rsidRPr="00033D47">
        <w:rPr>
          <w:rFonts w:cs="Arial"/>
          <w:lang w:val="en-US"/>
        </w:rPr>
        <w:t xml:space="preserve">, </w:t>
      </w:r>
      <w:r w:rsidRPr="00033D47">
        <w:t>NO</w:t>
      </w:r>
      <w:r w:rsidRPr="00033D47">
        <w:rPr>
          <w:vertAlign w:val="subscript"/>
        </w:rPr>
        <w:t>2</w:t>
      </w:r>
      <w:r w:rsidRPr="00033D47">
        <w:rPr>
          <w:rFonts w:cs="Arial"/>
          <w:lang w:val="en-US"/>
        </w:rPr>
        <w:t xml:space="preserve">, </w:t>
      </w:r>
      <w:r w:rsidRPr="00033D47">
        <w:t>PM</w:t>
      </w:r>
      <w:r w:rsidRPr="00033D47">
        <w:rPr>
          <w:vertAlign w:val="subscript"/>
        </w:rPr>
        <w:t>10</w:t>
      </w:r>
      <w:r w:rsidRPr="00033D47">
        <w:rPr>
          <w:rFonts w:cs="Arial"/>
          <w:lang w:val="en-US"/>
        </w:rPr>
        <w:t xml:space="preserve"> and </w:t>
      </w:r>
      <w:r w:rsidRPr="00033D47">
        <w:rPr>
          <w:lang w:val="en-US"/>
        </w:rPr>
        <w:t>PM</w:t>
      </w:r>
      <w:r w:rsidRPr="00033D47">
        <w:rPr>
          <w:vertAlign w:val="subscript"/>
          <w:lang w:val="en-US"/>
        </w:rPr>
        <w:t>2.5</w:t>
      </w:r>
      <w:r w:rsidRPr="00033D47">
        <w:rPr>
          <w:rFonts w:cs="Arial"/>
          <w:lang w:val="en-US"/>
        </w:rPr>
        <w:t xml:space="preserve">, respectively, were available for 2019. In addition, we used the </w:t>
      </w:r>
      <w:r w:rsidRPr="00033D47">
        <w:t>O</w:t>
      </w:r>
      <w:r w:rsidRPr="00033D47">
        <w:rPr>
          <w:vertAlign w:val="subscript"/>
        </w:rPr>
        <w:t>3</w:t>
      </w:r>
      <w:r w:rsidRPr="00033D47">
        <w:rPr>
          <w:rFonts w:cs="Arial"/>
          <w:lang w:val="en-US"/>
        </w:rPr>
        <w:t xml:space="preserve"> data from Atlantis where 71.5% of the data were available. This is an urban background station and thus provides an adequate estimation for the general </w:t>
      </w:r>
      <w:r w:rsidRPr="00033D47">
        <w:t>O</w:t>
      </w:r>
      <w:r w:rsidRPr="00033D47">
        <w:rPr>
          <w:vertAlign w:val="subscript"/>
        </w:rPr>
        <w:t>3</w:t>
      </w:r>
      <w:r w:rsidRPr="00033D47">
        <w:rPr>
          <w:rFonts w:cs="Arial"/>
          <w:lang w:val="en-US"/>
        </w:rPr>
        <w:t xml:space="preserve"> conditions. For the days with missing concentrations for these pollutants, their values were also missing at other stations, thus we could not perform the simple imputation as proposed in th</w:t>
      </w:r>
      <w:r w:rsidR="00DC7CCE">
        <w:rPr>
          <w:rFonts w:cs="Arial"/>
          <w:lang w:val="en-US"/>
        </w:rPr>
        <w:t>is</w:t>
      </w:r>
      <w:r w:rsidRPr="00033D47">
        <w:rPr>
          <w:rFonts w:cs="Arial"/>
          <w:lang w:val="en-US"/>
        </w:rPr>
        <w:t xml:space="preserve"> supplementary material. In total, data for at least two gases and both </w:t>
      </w:r>
      <w:r w:rsidRPr="00033D47">
        <w:t>PM</w:t>
      </w:r>
      <w:r w:rsidRPr="00033D47">
        <w:rPr>
          <w:vertAlign w:val="subscript"/>
        </w:rPr>
        <w:t>10</w:t>
      </w:r>
      <w:r w:rsidRPr="00033D47">
        <w:rPr>
          <w:rFonts w:cs="Arial"/>
          <w:lang w:val="en-US"/>
        </w:rPr>
        <w:t xml:space="preserve"> and </w:t>
      </w:r>
      <w:r w:rsidRPr="00033D47">
        <w:rPr>
          <w:lang w:val="en-US"/>
        </w:rPr>
        <w:t>PM</w:t>
      </w:r>
      <w:r w:rsidRPr="00033D47">
        <w:rPr>
          <w:vertAlign w:val="subscript"/>
          <w:lang w:val="en-US"/>
        </w:rPr>
        <w:t>2.5</w:t>
      </w:r>
      <w:r w:rsidRPr="00033D47">
        <w:rPr>
          <w:rFonts w:cs="Arial"/>
          <w:lang w:val="en-US"/>
        </w:rPr>
        <w:t xml:space="preserve"> were available for 330 days in 2019. The total ER% was calculated for those days, separately for </w:t>
      </w:r>
      <w:r w:rsidRPr="00033D47">
        <w:t>PM</w:t>
      </w:r>
      <w:r w:rsidRPr="00033D47">
        <w:rPr>
          <w:vertAlign w:val="subscript"/>
        </w:rPr>
        <w:t>10</w:t>
      </w:r>
      <w:r w:rsidRPr="00033D47">
        <w:rPr>
          <w:rFonts w:cs="Arial"/>
          <w:lang w:val="en-US"/>
        </w:rPr>
        <w:t xml:space="preserve"> and </w:t>
      </w:r>
      <w:r w:rsidRPr="00033D47">
        <w:rPr>
          <w:lang w:val="en-US"/>
        </w:rPr>
        <w:t>PM</w:t>
      </w:r>
      <w:r w:rsidRPr="00033D47">
        <w:rPr>
          <w:vertAlign w:val="subscript"/>
          <w:lang w:val="en-US"/>
        </w:rPr>
        <w:t>2.5</w:t>
      </w:r>
      <w:r w:rsidRPr="00033D47">
        <w:rPr>
          <w:rFonts w:cs="Arial"/>
          <w:lang w:val="en-US"/>
        </w:rPr>
        <w:t>. First</w:t>
      </w:r>
      <w:r w:rsidR="00DC7CCE">
        <w:rPr>
          <w:rFonts w:cs="Arial"/>
          <w:lang w:val="en-US"/>
        </w:rPr>
        <w:t>,</w:t>
      </w:r>
      <w:r w:rsidRPr="00033D47">
        <w:rPr>
          <w:rFonts w:cs="Arial"/>
          <w:lang w:val="en-US"/>
        </w:rPr>
        <w:t xml:space="preserve"> we assigned the index values to each day of these two time series and the gases based on the daily ER%. Thereafter, the weighted average AQHI was derived for the </w:t>
      </w:r>
      <w:r w:rsidRPr="00033D47">
        <w:t>PM</w:t>
      </w:r>
      <w:r w:rsidRPr="00033D47">
        <w:rPr>
          <w:vertAlign w:val="subscript"/>
        </w:rPr>
        <w:t>10</w:t>
      </w:r>
      <w:r w:rsidRPr="00033D47">
        <w:rPr>
          <w:rFonts w:cs="Arial"/>
          <w:lang w:val="en-US"/>
        </w:rPr>
        <w:t xml:space="preserve"> and the </w:t>
      </w:r>
      <w:r w:rsidRPr="00033D47">
        <w:rPr>
          <w:lang w:val="en-US"/>
        </w:rPr>
        <w:t>PM</w:t>
      </w:r>
      <w:r w:rsidRPr="00033D47">
        <w:rPr>
          <w:vertAlign w:val="subscript"/>
          <w:lang w:val="en-US"/>
        </w:rPr>
        <w:t>2.5</w:t>
      </w:r>
      <w:r w:rsidRPr="00033D47">
        <w:rPr>
          <w:rFonts w:cs="Arial"/>
          <w:lang w:val="en-US"/>
        </w:rPr>
        <w:t xml:space="preserve"> based AQHI as shown in Table </w:t>
      </w:r>
      <w:r w:rsidR="00C123C8">
        <w:rPr>
          <w:rFonts w:cs="Arial"/>
          <w:lang w:val="en-US"/>
        </w:rPr>
        <w:t>S</w:t>
      </w:r>
      <w:r w:rsidRPr="00033D47">
        <w:rPr>
          <w:rFonts w:cs="Arial"/>
          <w:lang w:val="en-US"/>
        </w:rPr>
        <w:t xml:space="preserve">1. The linear association between the </w:t>
      </w:r>
      <w:r w:rsidRPr="00033D47">
        <w:t>PM</w:t>
      </w:r>
      <w:r w:rsidRPr="00033D47">
        <w:rPr>
          <w:vertAlign w:val="subscript"/>
        </w:rPr>
        <w:t>10</w:t>
      </w:r>
      <w:r w:rsidRPr="00033D47">
        <w:rPr>
          <w:rFonts w:cs="Arial"/>
          <w:lang w:val="en-US"/>
        </w:rPr>
        <w:t xml:space="preserve">- and </w:t>
      </w:r>
      <w:r w:rsidRPr="00033D47">
        <w:rPr>
          <w:lang w:val="en-US"/>
        </w:rPr>
        <w:t>PM</w:t>
      </w:r>
      <w:r w:rsidRPr="00033D47">
        <w:rPr>
          <w:vertAlign w:val="subscript"/>
          <w:lang w:val="en-US"/>
        </w:rPr>
        <w:t>2.5</w:t>
      </w:r>
      <w:r w:rsidRPr="00033D47">
        <w:rPr>
          <w:rFonts w:cs="Arial"/>
          <w:lang w:val="en-US"/>
        </w:rPr>
        <w:t xml:space="preserve"> based weighted average AQHI was assessed in addition with the Spearman correlation coefficient. </w:t>
      </w:r>
    </w:p>
    <w:p w14:paraId="3F2C8087" w14:textId="56DDADAF" w:rsidR="00EC5D59" w:rsidRDefault="00EC5D59" w:rsidP="00A9354B">
      <w:pPr>
        <w:pStyle w:val="Caption"/>
        <w:rPr>
          <w:sz w:val="22"/>
          <w:szCs w:val="22"/>
        </w:rPr>
      </w:pPr>
    </w:p>
    <w:p w14:paraId="45614B7A" w14:textId="77777777" w:rsidR="00590A8A" w:rsidRDefault="00590A8A">
      <w:pPr>
        <w:rPr>
          <w:iCs/>
          <w:color w:val="1F497D" w:themeColor="text2"/>
        </w:rPr>
      </w:pPr>
      <w:r>
        <w:rPr>
          <w:i/>
        </w:rPr>
        <w:br w:type="page"/>
      </w:r>
    </w:p>
    <w:p w14:paraId="5430ED0C" w14:textId="0BC2A5DA" w:rsidR="00EC5D59" w:rsidRDefault="00EC5D59" w:rsidP="00A9354B">
      <w:pPr>
        <w:pStyle w:val="Caption"/>
        <w:rPr>
          <w:i w:val="0"/>
          <w:sz w:val="22"/>
          <w:szCs w:val="22"/>
        </w:rPr>
      </w:pPr>
      <w:r>
        <w:rPr>
          <w:i w:val="0"/>
          <w:sz w:val="22"/>
          <w:szCs w:val="22"/>
        </w:rPr>
        <w:lastRenderedPageBreak/>
        <w:t>Results</w:t>
      </w:r>
    </w:p>
    <w:p w14:paraId="3A3BAA26" w14:textId="5C95A291" w:rsidR="00B5624A" w:rsidRPr="00B5624A" w:rsidRDefault="00B5624A" w:rsidP="00251F1D">
      <w:pPr>
        <w:pStyle w:val="Caption"/>
        <w:jc w:val="both"/>
      </w:pPr>
      <w:bookmarkStart w:id="4" w:name="_Ref137216729"/>
      <w:r w:rsidRPr="004E0D8C">
        <w:rPr>
          <w:sz w:val="22"/>
          <w:szCs w:val="22"/>
        </w:rPr>
        <w:t xml:space="preserve">Table S </w:t>
      </w:r>
      <w:r w:rsidRPr="004E0D8C">
        <w:rPr>
          <w:sz w:val="22"/>
          <w:szCs w:val="22"/>
        </w:rPr>
        <w:fldChar w:fldCharType="begin"/>
      </w:r>
      <w:r w:rsidRPr="004E0D8C">
        <w:rPr>
          <w:sz w:val="22"/>
          <w:szCs w:val="22"/>
        </w:rPr>
        <w:instrText xml:space="preserve"> SEQ Table_S \* ARABIC </w:instrText>
      </w:r>
      <w:r w:rsidRPr="004E0D8C">
        <w:rPr>
          <w:sz w:val="22"/>
          <w:szCs w:val="22"/>
        </w:rPr>
        <w:fldChar w:fldCharType="separate"/>
      </w:r>
      <w:r w:rsidR="00016BA3">
        <w:rPr>
          <w:noProof/>
          <w:sz w:val="22"/>
          <w:szCs w:val="22"/>
        </w:rPr>
        <w:t>1</w:t>
      </w:r>
      <w:r w:rsidRPr="004E0D8C">
        <w:rPr>
          <w:sz w:val="22"/>
          <w:szCs w:val="22"/>
        </w:rPr>
        <w:fldChar w:fldCharType="end"/>
      </w:r>
      <w:bookmarkEnd w:id="4"/>
      <w:r w:rsidRPr="004E0D8C">
        <w:rPr>
          <w:sz w:val="22"/>
          <w:szCs w:val="22"/>
        </w:rPr>
        <w:t xml:space="preserve">: </w:t>
      </w:r>
      <w:r w:rsidRPr="00B41CBE">
        <w:rPr>
          <w:rFonts w:eastAsiaTheme="minorEastAsia" w:cs="Arial"/>
          <w:i w:val="0"/>
          <w:color w:val="auto"/>
          <w:sz w:val="22"/>
          <w:szCs w:val="22"/>
        </w:rPr>
        <w:t>Derivation</w:t>
      </w:r>
      <w:r w:rsidRPr="00691D5C">
        <w:rPr>
          <w:rFonts w:eastAsiaTheme="minorEastAsia" w:cs="Arial"/>
          <w:i w:val="0"/>
          <w:color w:val="auto"/>
          <w:sz w:val="22"/>
          <w:szCs w:val="22"/>
        </w:rPr>
        <w:t xml:space="preserve"> of the weighted average AQHI indices: </w:t>
      </w:r>
      <w:r w:rsidRPr="00691D5C">
        <w:rPr>
          <w:rFonts w:eastAsiaTheme="minorEastAsia" w:cs="Arial"/>
          <w:color w:val="auto"/>
          <w:sz w:val="22"/>
          <w:szCs w:val="22"/>
        </w:rPr>
        <w:t xml:space="preserve">the single pollutant concentration-response functions (CRF), the related beta coefficient, the chosen WHO AQG reference value, the related daily excess risk (ER) </w:t>
      </w:r>
      <w:r w:rsidRPr="00691D5C">
        <w:rPr>
          <w:rFonts w:eastAsiaTheme="minorEastAsia" w:cs="Arial"/>
          <w:color w:val="auto"/>
          <w:sz w:val="22"/>
          <w:szCs w:val="22"/>
          <w:lang w:val="en-US"/>
        </w:rPr>
        <w:t>(</w:t>
      </w:r>
      <w:r w:rsidR="00251F1D">
        <w:rPr>
          <w:rFonts w:eastAsiaTheme="minorEastAsia" w:cs="Arial"/>
          <w:color w:val="auto"/>
          <w:sz w:val="22"/>
          <w:szCs w:val="22"/>
          <w:lang w:val="en-US"/>
        </w:rPr>
        <w:fldChar w:fldCharType="begin"/>
      </w:r>
      <w:r w:rsidR="00251F1D">
        <w:rPr>
          <w:rFonts w:eastAsiaTheme="minorEastAsia" w:cs="Arial"/>
          <w:color w:val="auto"/>
          <w:sz w:val="22"/>
          <w:szCs w:val="22"/>
          <w:lang w:val="en-US"/>
        </w:rPr>
        <w:instrText xml:space="preserve"> REF _Ref138856564 \h </w:instrText>
      </w:r>
      <w:r w:rsidR="00251F1D">
        <w:rPr>
          <w:rFonts w:eastAsiaTheme="minorEastAsia" w:cs="Arial"/>
          <w:color w:val="auto"/>
          <w:sz w:val="22"/>
          <w:szCs w:val="22"/>
          <w:lang w:val="en-US"/>
        </w:rPr>
      </w:r>
      <w:r w:rsidR="00251F1D">
        <w:rPr>
          <w:rFonts w:eastAsiaTheme="minorEastAsia" w:cs="Arial"/>
          <w:color w:val="auto"/>
          <w:sz w:val="22"/>
          <w:szCs w:val="22"/>
          <w:lang w:val="en-US"/>
        </w:rPr>
        <w:fldChar w:fldCharType="separate"/>
      </w:r>
      <w:r w:rsidR="00251F1D" w:rsidRPr="004E0D8C">
        <w:rPr>
          <w:sz w:val="22"/>
          <w:szCs w:val="22"/>
        </w:rPr>
        <w:t xml:space="preserve">Equation S </w:t>
      </w:r>
      <w:r w:rsidR="00251F1D" w:rsidRPr="004E0D8C">
        <w:rPr>
          <w:noProof/>
          <w:sz w:val="22"/>
          <w:szCs w:val="22"/>
        </w:rPr>
        <w:t>1</w:t>
      </w:r>
      <w:r w:rsidR="00251F1D">
        <w:rPr>
          <w:rFonts w:eastAsiaTheme="minorEastAsia" w:cs="Arial"/>
          <w:color w:val="auto"/>
          <w:sz w:val="22"/>
          <w:szCs w:val="22"/>
          <w:lang w:val="en-US"/>
        </w:rPr>
        <w:fldChar w:fldCharType="end"/>
      </w:r>
      <w:r w:rsidRPr="00691D5C">
        <w:rPr>
          <w:rFonts w:eastAsiaTheme="minorEastAsia" w:cs="Arial"/>
          <w:color w:val="auto"/>
          <w:sz w:val="22"/>
          <w:szCs w:val="22"/>
          <w:lang w:val="en-US"/>
        </w:rPr>
        <w:t xml:space="preserve">). In addition, the daily </w:t>
      </w:r>
      <w:r>
        <w:rPr>
          <w:rFonts w:eastAsiaTheme="minorEastAsia" w:cs="Arial"/>
          <w:color w:val="auto"/>
          <w:sz w:val="22"/>
          <w:szCs w:val="22"/>
          <w:lang w:val="en-US"/>
        </w:rPr>
        <w:t>ER%s</w:t>
      </w:r>
      <w:r w:rsidRPr="00691D5C">
        <w:rPr>
          <w:rFonts w:eastAsiaTheme="minorEastAsia" w:cs="Arial"/>
          <w:color w:val="auto"/>
          <w:sz w:val="22"/>
          <w:szCs w:val="22"/>
          <w:lang w:val="en-US"/>
        </w:rPr>
        <w:t xml:space="preserve"> of the pollutant</w:t>
      </w:r>
      <w:r>
        <w:rPr>
          <w:rFonts w:eastAsiaTheme="minorEastAsia" w:cs="Arial"/>
          <w:color w:val="auto"/>
          <w:sz w:val="22"/>
          <w:szCs w:val="22"/>
          <w:lang w:val="en-US"/>
        </w:rPr>
        <w:t xml:space="preserve">s ER% </w:t>
      </w:r>
      <w:r w:rsidRPr="00691D5C">
        <w:rPr>
          <w:rFonts w:eastAsiaTheme="minorEastAsia" w:cs="Arial"/>
          <w:color w:val="auto"/>
          <w:sz w:val="22"/>
          <w:szCs w:val="22"/>
          <w:lang w:val="en-US"/>
        </w:rPr>
        <w:t>per index unit</w:t>
      </w:r>
      <w:r>
        <w:rPr>
          <w:rFonts w:eastAsiaTheme="minorEastAsia" w:cs="Arial"/>
          <w:color w:val="auto"/>
          <w:sz w:val="22"/>
          <w:szCs w:val="22"/>
          <w:lang w:val="en-US"/>
        </w:rPr>
        <w:t xml:space="preserve"> are shown</w:t>
      </w:r>
      <w:r w:rsidRPr="00691D5C">
        <w:rPr>
          <w:rFonts w:eastAsiaTheme="minorEastAsia" w:cs="Arial"/>
          <w:color w:val="auto"/>
          <w:sz w:val="22"/>
          <w:szCs w:val="22"/>
          <w:lang w:val="en-US"/>
        </w:rPr>
        <w:t xml:space="preserve">. </w:t>
      </w:r>
      <w:r w:rsidRPr="00691D5C">
        <w:rPr>
          <w:rFonts w:eastAsiaTheme="minorEastAsia" w:cs="Arial"/>
          <w:color w:val="auto"/>
          <w:sz w:val="22"/>
          <w:szCs w:val="22"/>
        </w:rPr>
        <w:t xml:space="preserve">Thus, by design, the single pollutant index value of 3 corresponds to </w:t>
      </w:r>
      <w:r w:rsidRPr="00691D5C">
        <w:rPr>
          <w:color w:val="auto"/>
          <w:sz w:val="22"/>
          <w:szCs w:val="22"/>
        </w:rPr>
        <w:t>PM</w:t>
      </w:r>
      <w:r w:rsidRPr="00691D5C">
        <w:rPr>
          <w:color w:val="auto"/>
          <w:sz w:val="22"/>
          <w:szCs w:val="22"/>
          <w:vertAlign w:val="subscript"/>
        </w:rPr>
        <w:t>10</w:t>
      </w:r>
      <w:r w:rsidRPr="00691D5C">
        <w:rPr>
          <w:rFonts w:eastAsiaTheme="minorEastAsia" w:cs="Arial"/>
          <w:color w:val="auto"/>
          <w:sz w:val="22"/>
          <w:szCs w:val="22"/>
        </w:rPr>
        <w:t xml:space="preserve">, </w:t>
      </w:r>
      <w:r w:rsidRPr="00691D5C">
        <w:rPr>
          <w:color w:val="auto"/>
          <w:sz w:val="22"/>
          <w:szCs w:val="22"/>
        </w:rPr>
        <w:t>NO</w:t>
      </w:r>
      <w:r w:rsidRPr="00691D5C">
        <w:rPr>
          <w:color w:val="auto"/>
          <w:sz w:val="22"/>
          <w:szCs w:val="22"/>
          <w:vertAlign w:val="subscript"/>
        </w:rPr>
        <w:t>2</w:t>
      </w:r>
      <w:r w:rsidRPr="00691D5C">
        <w:rPr>
          <w:rFonts w:eastAsiaTheme="minorEastAsia" w:cs="Arial"/>
          <w:color w:val="auto"/>
          <w:sz w:val="22"/>
          <w:szCs w:val="22"/>
        </w:rPr>
        <w:t xml:space="preserve">, </w:t>
      </w:r>
      <w:r w:rsidRPr="00691D5C">
        <w:rPr>
          <w:color w:val="auto"/>
          <w:sz w:val="22"/>
          <w:szCs w:val="22"/>
        </w:rPr>
        <w:t>SO</w:t>
      </w:r>
      <w:r w:rsidRPr="00691D5C">
        <w:rPr>
          <w:color w:val="auto"/>
          <w:sz w:val="22"/>
          <w:szCs w:val="22"/>
          <w:vertAlign w:val="subscript"/>
        </w:rPr>
        <w:t>2</w:t>
      </w:r>
      <w:r w:rsidRPr="00691D5C">
        <w:rPr>
          <w:rFonts w:eastAsiaTheme="minorEastAsia" w:cs="Arial"/>
          <w:color w:val="auto"/>
          <w:sz w:val="22"/>
          <w:szCs w:val="22"/>
        </w:rPr>
        <w:t xml:space="preserve"> and </w:t>
      </w:r>
      <w:r w:rsidRPr="00691D5C">
        <w:rPr>
          <w:color w:val="auto"/>
          <w:sz w:val="22"/>
          <w:szCs w:val="22"/>
        </w:rPr>
        <w:t>O</w:t>
      </w:r>
      <w:r w:rsidRPr="00691D5C">
        <w:rPr>
          <w:color w:val="auto"/>
          <w:sz w:val="22"/>
          <w:szCs w:val="22"/>
          <w:vertAlign w:val="subscript"/>
        </w:rPr>
        <w:t>3</w:t>
      </w:r>
      <w:r w:rsidRPr="00691D5C">
        <w:rPr>
          <w:rFonts w:eastAsiaTheme="minorEastAsia" w:cs="Arial"/>
          <w:color w:val="auto"/>
          <w:sz w:val="22"/>
          <w:szCs w:val="22"/>
        </w:rPr>
        <w:t xml:space="preserve"> concentrations of 15 </w:t>
      </w:r>
      <w:r w:rsidRPr="00691D5C">
        <w:rPr>
          <w:rFonts w:cs="Arial"/>
          <w:color w:val="auto"/>
          <w:sz w:val="22"/>
          <w:szCs w:val="22"/>
          <w:lang w:val="en-US"/>
        </w:rPr>
        <w:t>µ</w:t>
      </w:r>
      <w:r w:rsidRPr="00691D5C">
        <w:rPr>
          <w:color w:val="auto"/>
          <w:sz w:val="22"/>
          <w:szCs w:val="22"/>
          <w:lang w:val="en-US"/>
        </w:rPr>
        <w:t>g/m</w:t>
      </w:r>
      <w:r w:rsidRPr="00691D5C">
        <w:rPr>
          <w:color w:val="auto"/>
          <w:sz w:val="22"/>
          <w:szCs w:val="22"/>
          <w:vertAlign w:val="superscript"/>
          <w:lang w:val="en-US"/>
        </w:rPr>
        <w:t>3</w:t>
      </w:r>
      <w:r w:rsidRPr="00691D5C">
        <w:rPr>
          <w:rFonts w:eastAsiaTheme="minorEastAsia" w:cs="Arial"/>
          <w:color w:val="auto"/>
          <w:sz w:val="22"/>
          <w:szCs w:val="22"/>
        </w:rPr>
        <w:t xml:space="preserve">, 10 </w:t>
      </w:r>
      <w:r w:rsidRPr="00691D5C">
        <w:rPr>
          <w:rFonts w:cs="Arial"/>
          <w:color w:val="auto"/>
          <w:sz w:val="22"/>
          <w:szCs w:val="22"/>
          <w:lang w:val="en-US"/>
        </w:rPr>
        <w:t>µ</w:t>
      </w:r>
      <w:r w:rsidRPr="00691D5C">
        <w:rPr>
          <w:color w:val="auto"/>
          <w:sz w:val="22"/>
          <w:szCs w:val="22"/>
          <w:lang w:val="en-US"/>
        </w:rPr>
        <w:t>g/m</w:t>
      </w:r>
      <w:r w:rsidRPr="00691D5C">
        <w:rPr>
          <w:color w:val="auto"/>
          <w:sz w:val="22"/>
          <w:szCs w:val="22"/>
          <w:vertAlign w:val="superscript"/>
          <w:lang w:val="en-US"/>
        </w:rPr>
        <w:t>3</w:t>
      </w:r>
      <w:r w:rsidRPr="00691D5C">
        <w:rPr>
          <w:rFonts w:eastAsiaTheme="minorEastAsia" w:cs="Arial"/>
          <w:color w:val="auto"/>
          <w:sz w:val="22"/>
          <w:szCs w:val="22"/>
        </w:rPr>
        <w:t xml:space="preserve">, 20 </w:t>
      </w:r>
      <w:r w:rsidRPr="00691D5C">
        <w:rPr>
          <w:rFonts w:cs="Arial"/>
          <w:color w:val="auto"/>
          <w:sz w:val="22"/>
          <w:szCs w:val="22"/>
          <w:lang w:val="en-US"/>
        </w:rPr>
        <w:t>µ</w:t>
      </w:r>
      <w:r w:rsidRPr="00691D5C">
        <w:rPr>
          <w:color w:val="auto"/>
          <w:sz w:val="22"/>
          <w:szCs w:val="22"/>
          <w:lang w:val="en-US"/>
        </w:rPr>
        <w:t>g/m</w:t>
      </w:r>
      <w:r w:rsidRPr="00691D5C">
        <w:rPr>
          <w:color w:val="auto"/>
          <w:sz w:val="22"/>
          <w:szCs w:val="22"/>
          <w:vertAlign w:val="superscript"/>
          <w:lang w:val="en-US"/>
        </w:rPr>
        <w:t>3</w:t>
      </w:r>
      <w:r w:rsidRPr="00691D5C">
        <w:rPr>
          <w:rFonts w:eastAsiaTheme="minorEastAsia" w:cs="Arial"/>
          <w:color w:val="auto"/>
          <w:sz w:val="22"/>
          <w:szCs w:val="22"/>
        </w:rPr>
        <w:t xml:space="preserve">, and 60 </w:t>
      </w:r>
      <w:r w:rsidRPr="00691D5C">
        <w:rPr>
          <w:rFonts w:cs="Arial"/>
          <w:color w:val="auto"/>
          <w:sz w:val="22"/>
          <w:szCs w:val="22"/>
          <w:lang w:val="en-US"/>
        </w:rPr>
        <w:t>µ</w:t>
      </w:r>
      <w:r w:rsidRPr="00691D5C">
        <w:rPr>
          <w:color w:val="auto"/>
          <w:sz w:val="22"/>
          <w:szCs w:val="22"/>
          <w:lang w:val="en-US"/>
        </w:rPr>
        <w:t>g/m</w:t>
      </w:r>
      <w:r w:rsidRPr="00691D5C">
        <w:rPr>
          <w:color w:val="auto"/>
          <w:sz w:val="22"/>
          <w:szCs w:val="22"/>
          <w:vertAlign w:val="superscript"/>
          <w:lang w:val="en-US"/>
        </w:rPr>
        <w:t>3</w:t>
      </w:r>
      <w:r w:rsidRPr="00691D5C">
        <w:rPr>
          <w:rFonts w:eastAsiaTheme="minorEastAsia" w:cs="Arial"/>
          <w:color w:val="auto"/>
          <w:sz w:val="22"/>
          <w:szCs w:val="22"/>
        </w:rPr>
        <w:t xml:space="preserve">, respectively. The weights for the average index value are shown for both, the </w:t>
      </w:r>
      <w:r w:rsidRPr="00691D5C">
        <w:rPr>
          <w:color w:val="auto"/>
          <w:sz w:val="22"/>
          <w:szCs w:val="22"/>
          <w:lang w:val="en-US"/>
        </w:rPr>
        <w:t>PM</w:t>
      </w:r>
      <w:r w:rsidRPr="00691D5C">
        <w:rPr>
          <w:color w:val="auto"/>
          <w:sz w:val="22"/>
          <w:szCs w:val="22"/>
          <w:vertAlign w:val="subscript"/>
          <w:lang w:val="en-US"/>
        </w:rPr>
        <w:t>2.5</w:t>
      </w:r>
      <w:r w:rsidRPr="00691D5C">
        <w:rPr>
          <w:rFonts w:eastAsiaTheme="minorEastAsia" w:cs="Arial"/>
          <w:color w:val="auto"/>
          <w:sz w:val="22"/>
          <w:szCs w:val="22"/>
        </w:rPr>
        <w:t xml:space="preserve"> and the </w:t>
      </w:r>
      <w:r w:rsidRPr="00691D5C">
        <w:rPr>
          <w:color w:val="auto"/>
          <w:sz w:val="22"/>
          <w:szCs w:val="22"/>
        </w:rPr>
        <w:t>PM</w:t>
      </w:r>
      <w:r w:rsidRPr="00691D5C">
        <w:rPr>
          <w:color w:val="auto"/>
          <w:sz w:val="22"/>
          <w:szCs w:val="22"/>
          <w:vertAlign w:val="subscript"/>
        </w:rPr>
        <w:t>10</w:t>
      </w:r>
      <w:r w:rsidRPr="00691D5C">
        <w:rPr>
          <w:rFonts w:eastAsiaTheme="minorEastAsia" w:cs="Arial"/>
          <w:color w:val="auto"/>
          <w:sz w:val="22"/>
          <w:szCs w:val="22"/>
        </w:rPr>
        <w:t xml:space="preserve"> based AQHI.</w:t>
      </w:r>
    </w:p>
    <w:tbl>
      <w:tblPr>
        <w:tblStyle w:val="TableGrid1"/>
        <w:tblW w:w="9990" w:type="dxa"/>
        <w:tblInd w:w="-5" w:type="dxa"/>
        <w:tblLayout w:type="fixed"/>
        <w:tblLook w:val="04A0" w:firstRow="1" w:lastRow="0" w:firstColumn="1" w:lastColumn="0" w:noHBand="0" w:noVBand="1"/>
      </w:tblPr>
      <w:tblGrid>
        <w:gridCol w:w="1248"/>
        <w:gridCol w:w="1249"/>
        <w:gridCol w:w="1249"/>
        <w:gridCol w:w="1249"/>
        <w:gridCol w:w="1248"/>
        <w:gridCol w:w="1249"/>
        <w:gridCol w:w="1249"/>
        <w:gridCol w:w="1249"/>
      </w:tblGrid>
      <w:tr w:rsidR="00B5624A" w:rsidRPr="00EA42A2" w14:paraId="20A07B2C" w14:textId="77777777" w:rsidTr="00E76ADE">
        <w:trPr>
          <w:trHeight w:val="282"/>
        </w:trPr>
        <w:tc>
          <w:tcPr>
            <w:tcW w:w="1248" w:type="dxa"/>
            <w:noWrap/>
            <w:vAlign w:val="center"/>
            <w:hideMark/>
          </w:tcPr>
          <w:p w14:paraId="4F259F4A"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Pollutant p</w:t>
            </w:r>
          </w:p>
        </w:tc>
        <w:tc>
          <w:tcPr>
            <w:tcW w:w="1249" w:type="dxa"/>
            <w:noWrap/>
            <w:vAlign w:val="center"/>
          </w:tcPr>
          <w:p w14:paraId="715CA9A4" w14:textId="77777777" w:rsidR="00B5624A" w:rsidRPr="00EE4A4D" w:rsidRDefault="00B5624A" w:rsidP="00E76ADE">
            <w:pPr>
              <w:jc w:val="center"/>
              <w:rPr>
                <w:rFonts w:eastAsia="Times New Roman" w:cs="Arial"/>
                <w:color w:val="000000"/>
                <w:lang w:val="en-US" w:eastAsia="de-CH"/>
              </w:rPr>
            </w:pPr>
            <w:r>
              <w:rPr>
                <w:rFonts w:eastAsia="Times New Roman" w:cs="Arial"/>
                <w:color w:val="000000"/>
                <w:lang w:val="en-US" w:eastAsia="de-CH"/>
              </w:rPr>
              <w:t xml:space="preserve">CRF published in WHO AQG (per 10 </w:t>
            </w:r>
            <w:r>
              <w:rPr>
                <w:rFonts w:cs="Arial"/>
                <w:lang w:val="en-US"/>
              </w:rPr>
              <w:t>µ</w:t>
            </w:r>
            <w:r>
              <w:rPr>
                <w:lang w:val="en-US"/>
              </w:rPr>
              <w:t>g/m</w:t>
            </w:r>
            <w:r w:rsidRPr="00D76708">
              <w:rPr>
                <w:vertAlign w:val="superscript"/>
                <w:lang w:val="en-US"/>
              </w:rPr>
              <w:t>3</w:t>
            </w:r>
            <w:r>
              <w:rPr>
                <w:rFonts w:eastAsia="Times New Roman" w:cs="Arial"/>
                <w:color w:val="000000"/>
                <w:lang w:val="en-US" w:eastAsia="de-CH"/>
              </w:rPr>
              <w:t>)</w:t>
            </w:r>
          </w:p>
        </w:tc>
        <w:tc>
          <w:tcPr>
            <w:tcW w:w="1249" w:type="dxa"/>
            <w:noWrap/>
            <w:vAlign w:val="center"/>
          </w:tcPr>
          <w:p w14:paraId="0AE4F350" w14:textId="77777777" w:rsidR="00B5624A" w:rsidRPr="00415C3B" w:rsidRDefault="00B5624A" w:rsidP="00E76ADE">
            <w:pPr>
              <w:jc w:val="center"/>
              <w:rPr>
                <w:rFonts w:eastAsia="Times New Roman" w:cs="Arial"/>
                <w:color w:val="000000"/>
                <w:lang w:val="en-US" w:eastAsia="de-CH"/>
              </w:rPr>
            </w:pPr>
            <w:r w:rsidRPr="00EE4A4D">
              <w:rPr>
                <w:rFonts w:eastAsia="Times New Roman" w:cs="Arial"/>
                <w:color w:val="000000"/>
                <w:lang w:val="en-US" w:eastAsia="de-CH"/>
              </w:rPr>
              <w:t>Beta coef</w:t>
            </w:r>
            <w:r>
              <w:rPr>
                <w:rFonts w:eastAsia="Times New Roman" w:cs="Arial"/>
                <w:color w:val="000000"/>
                <w:lang w:val="en-US" w:eastAsia="de-CH"/>
              </w:rPr>
              <w:t xml:space="preserve">ficient </w:t>
            </w:r>
            <w:r w:rsidRPr="00EE4A4D">
              <w:rPr>
                <w:rFonts w:eastAsia="Times New Roman" w:cs="Arial"/>
                <w:color w:val="000000"/>
                <w:lang w:val="en-US" w:eastAsia="de-CH"/>
              </w:rPr>
              <w:t xml:space="preserve"> per 1</w:t>
            </w:r>
            <w:r>
              <w:rPr>
                <w:rFonts w:eastAsia="Times New Roman" w:cs="Arial"/>
                <w:color w:val="000000"/>
                <w:lang w:val="en-US" w:eastAsia="de-CH"/>
              </w:rPr>
              <w:t xml:space="preserve"> </w:t>
            </w:r>
            <w:r>
              <w:rPr>
                <w:rFonts w:cs="Arial"/>
                <w:lang w:val="en-US"/>
              </w:rPr>
              <w:t>µ</w:t>
            </w:r>
            <w:r>
              <w:rPr>
                <w:lang w:val="en-US"/>
              </w:rPr>
              <w:t>g/m</w:t>
            </w:r>
            <w:r w:rsidRPr="00D76708">
              <w:rPr>
                <w:vertAlign w:val="superscript"/>
                <w:lang w:val="en-US"/>
              </w:rPr>
              <w:t>3</w:t>
            </w:r>
          </w:p>
        </w:tc>
        <w:tc>
          <w:tcPr>
            <w:tcW w:w="1249" w:type="dxa"/>
            <w:noWrap/>
            <w:vAlign w:val="center"/>
          </w:tcPr>
          <w:p w14:paraId="0C570BEC" w14:textId="77777777" w:rsidR="00B5624A" w:rsidRPr="009541EA" w:rsidRDefault="00B5624A" w:rsidP="00E76ADE">
            <w:pPr>
              <w:ind w:left="-110" w:right="160"/>
              <w:jc w:val="center"/>
              <w:rPr>
                <w:rFonts w:eastAsia="Times New Roman" w:cs="Arial"/>
                <w:color w:val="000000"/>
                <w:lang w:val="en-US" w:eastAsia="de-CH"/>
              </w:rPr>
            </w:pPr>
            <w:r>
              <w:rPr>
                <w:rFonts w:eastAsia="Times New Roman" w:cs="Arial"/>
                <w:color w:val="000000"/>
                <w:lang w:val="en-US" w:eastAsia="de-CH"/>
              </w:rPr>
              <w:t xml:space="preserve">WHO </w:t>
            </w:r>
            <w:r w:rsidRPr="00415C3B">
              <w:rPr>
                <w:rFonts w:eastAsia="Times New Roman" w:cs="Arial"/>
                <w:color w:val="000000"/>
                <w:lang w:val="en-US" w:eastAsia="de-CH"/>
              </w:rPr>
              <w:t xml:space="preserve">AQG </w:t>
            </w:r>
            <w:r>
              <w:rPr>
                <w:rFonts w:eastAsia="Times New Roman" w:cs="Arial"/>
                <w:color w:val="000000"/>
                <w:lang w:val="en-US" w:eastAsia="de-CH"/>
              </w:rPr>
              <w:t xml:space="preserve">reference </w:t>
            </w:r>
            <w:r w:rsidRPr="00415C3B">
              <w:rPr>
                <w:rFonts w:eastAsia="Times New Roman" w:cs="Arial"/>
                <w:color w:val="000000"/>
                <w:lang w:val="en-US" w:eastAsia="de-CH"/>
              </w:rPr>
              <w:t>value</w:t>
            </w:r>
            <w:r>
              <w:rPr>
                <w:rFonts w:eastAsia="Times New Roman" w:cs="Arial"/>
                <w:color w:val="000000"/>
                <w:lang w:val="en-US" w:eastAsia="de-CH"/>
              </w:rPr>
              <w:t xml:space="preserve"> </w:t>
            </w:r>
            <w:r>
              <w:rPr>
                <w:rStyle w:val="FootnoteReference"/>
                <w:rFonts w:eastAsia="Times New Roman" w:cs="Arial"/>
                <w:color w:val="000000"/>
                <w:lang w:val="en-US" w:eastAsia="de-CH"/>
              </w:rPr>
              <w:footnoteReference w:id="1"/>
            </w:r>
            <w:r w:rsidRPr="00415C3B">
              <w:rPr>
                <w:rFonts w:eastAsia="Times New Roman" w:cs="Arial"/>
                <w:color w:val="000000"/>
                <w:lang w:val="en-US" w:eastAsia="de-CH"/>
              </w:rPr>
              <w:t xml:space="preserve"> in </w:t>
            </w:r>
            <w:r>
              <w:rPr>
                <w:rFonts w:cs="Arial"/>
                <w:lang w:val="en-US"/>
              </w:rPr>
              <w:t>µ</w:t>
            </w:r>
            <w:r>
              <w:rPr>
                <w:lang w:val="en-US"/>
              </w:rPr>
              <w:t>g/m</w:t>
            </w:r>
            <w:r w:rsidRPr="00D76708">
              <w:rPr>
                <w:vertAlign w:val="superscript"/>
                <w:lang w:val="en-US"/>
              </w:rPr>
              <w:t>3</w:t>
            </w:r>
            <w:r>
              <w:rPr>
                <w:rFonts w:eastAsia="Times New Roman" w:cs="Arial"/>
                <w:color w:val="000000"/>
                <w:lang w:val="en-US" w:eastAsia="de-CH"/>
              </w:rPr>
              <w:t xml:space="preserve"> for index value = 3</w:t>
            </w:r>
          </w:p>
        </w:tc>
        <w:tc>
          <w:tcPr>
            <w:tcW w:w="1248" w:type="dxa"/>
            <w:noWrap/>
            <w:vAlign w:val="center"/>
          </w:tcPr>
          <w:p w14:paraId="027117A2" w14:textId="77777777" w:rsidR="00B5624A" w:rsidRPr="00415C3B" w:rsidRDefault="00B5624A" w:rsidP="00E76ADE">
            <w:pPr>
              <w:jc w:val="center"/>
              <w:rPr>
                <w:rFonts w:eastAsia="Times New Roman" w:cs="Arial"/>
                <w:color w:val="000000"/>
                <w:lang w:val="en-US" w:eastAsia="de-CH"/>
              </w:rPr>
            </w:pPr>
            <w:r w:rsidRPr="00280B1B">
              <w:rPr>
                <w:rFonts w:eastAsia="Times New Roman" w:cs="Arial"/>
                <w:color w:val="000000"/>
                <w:lang w:val="en-US" w:eastAsia="de-CH"/>
              </w:rPr>
              <w:t>ER (%) at index value = 3</w:t>
            </w:r>
          </w:p>
        </w:tc>
        <w:tc>
          <w:tcPr>
            <w:tcW w:w="1249" w:type="dxa"/>
          </w:tcPr>
          <w:p w14:paraId="47A44C7C" w14:textId="77777777" w:rsidR="00B5624A" w:rsidRDefault="00B5624A" w:rsidP="00E76ADE">
            <w:pPr>
              <w:jc w:val="center"/>
              <w:rPr>
                <w:rFonts w:eastAsia="Times New Roman" w:cs="Arial"/>
                <w:color w:val="000000"/>
                <w:lang w:val="en-US" w:eastAsia="de-CH"/>
              </w:rPr>
            </w:pPr>
          </w:p>
          <w:p w14:paraId="05171874" w14:textId="77777777" w:rsidR="00B5624A" w:rsidRPr="00280B1B" w:rsidRDefault="00B5624A" w:rsidP="00E76ADE">
            <w:pPr>
              <w:jc w:val="center"/>
              <w:rPr>
                <w:rFonts w:eastAsia="Times New Roman" w:cs="Arial"/>
                <w:color w:val="000000"/>
                <w:lang w:val="en-US" w:eastAsia="de-CH"/>
              </w:rPr>
            </w:pPr>
            <w:r>
              <w:rPr>
                <w:rFonts w:eastAsia="Times New Roman" w:cs="Arial"/>
                <w:color w:val="000000"/>
                <w:lang w:val="en-US" w:eastAsia="de-CH"/>
              </w:rPr>
              <w:t xml:space="preserve">Average ER (%) per index unit </w:t>
            </w:r>
          </w:p>
        </w:tc>
        <w:tc>
          <w:tcPr>
            <w:tcW w:w="1249" w:type="dxa"/>
          </w:tcPr>
          <w:p w14:paraId="6211D7BB" w14:textId="77777777" w:rsidR="00B5624A" w:rsidRDefault="00B5624A" w:rsidP="00E76ADE">
            <w:pPr>
              <w:jc w:val="center"/>
              <w:rPr>
                <w:rFonts w:eastAsia="Times New Roman" w:cs="Arial"/>
                <w:color w:val="000000"/>
                <w:lang w:val="en-US" w:eastAsia="de-CH"/>
              </w:rPr>
            </w:pPr>
            <w:r>
              <w:rPr>
                <w:rFonts w:eastAsia="Times New Roman" w:cs="Arial"/>
                <w:color w:val="000000"/>
                <w:lang w:val="en-US" w:eastAsia="de-CH"/>
              </w:rPr>
              <w:t xml:space="preserve">Inverse weight for </w:t>
            </w:r>
            <w:r>
              <w:rPr>
                <w:lang w:val="en-US"/>
              </w:rPr>
              <w:t>PM</w:t>
            </w:r>
            <w:r w:rsidRPr="00D76708">
              <w:rPr>
                <w:vertAlign w:val="subscript"/>
                <w:lang w:val="en-US"/>
              </w:rPr>
              <w:t>2.5</w:t>
            </w:r>
            <w:r>
              <w:rPr>
                <w:rFonts w:eastAsia="Times New Roman" w:cs="Arial"/>
                <w:color w:val="000000"/>
                <w:lang w:val="en-US" w:eastAsia="de-CH"/>
              </w:rPr>
              <w:t xml:space="preserve"> Based AQHI</w:t>
            </w:r>
          </w:p>
        </w:tc>
        <w:tc>
          <w:tcPr>
            <w:tcW w:w="1249" w:type="dxa"/>
          </w:tcPr>
          <w:p w14:paraId="618E069C" w14:textId="77777777" w:rsidR="00B5624A" w:rsidRPr="00280B1B" w:rsidRDefault="00B5624A" w:rsidP="00E76ADE">
            <w:pPr>
              <w:jc w:val="center"/>
              <w:rPr>
                <w:rFonts w:eastAsia="Times New Roman" w:cs="Arial"/>
                <w:color w:val="000000"/>
                <w:lang w:val="en-US" w:eastAsia="de-CH"/>
              </w:rPr>
            </w:pPr>
            <w:r>
              <w:rPr>
                <w:rFonts w:eastAsia="Times New Roman" w:cs="Arial"/>
                <w:color w:val="000000"/>
                <w:lang w:val="en-US" w:eastAsia="de-CH"/>
              </w:rPr>
              <w:t xml:space="preserve">Inverse weight for </w:t>
            </w:r>
            <w:r>
              <w:t>PM</w:t>
            </w:r>
            <w:r w:rsidRPr="009963BD">
              <w:rPr>
                <w:vertAlign w:val="subscript"/>
              </w:rPr>
              <w:t>10</w:t>
            </w:r>
            <w:r>
              <w:rPr>
                <w:rFonts w:eastAsia="Times New Roman" w:cs="Arial"/>
                <w:color w:val="000000"/>
                <w:lang w:val="en-US" w:eastAsia="de-CH"/>
              </w:rPr>
              <w:t xml:space="preserve"> Based AQHI</w:t>
            </w:r>
          </w:p>
        </w:tc>
      </w:tr>
      <w:tr w:rsidR="00B5624A" w:rsidRPr="005A3BF9" w14:paraId="462A0705" w14:textId="77777777" w:rsidTr="00E76ADE">
        <w:trPr>
          <w:trHeight w:val="282"/>
        </w:trPr>
        <w:tc>
          <w:tcPr>
            <w:tcW w:w="1248" w:type="dxa"/>
            <w:noWrap/>
            <w:vAlign w:val="center"/>
          </w:tcPr>
          <w:p w14:paraId="47A1FB0F" w14:textId="77777777" w:rsidR="00B5624A" w:rsidRPr="005A3BF9" w:rsidRDefault="00B5624A" w:rsidP="00E76ADE">
            <w:pPr>
              <w:jc w:val="center"/>
              <w:rPr>
                <w:rFonts w:eastAsia="Times New Roman" w:cs="Arial"/>
                <w:color w:val="000000"/>
                <w:lang w:val="en-US" w:eastAsia="de-CH"/>
              </w:rPr>
            </w:pPr>
            <w:r>
              <w:rPr>
                <w:lang w:val="en-US"/>
              </w:rPr>
              <w:t>PM</w:t>
            </w:r>
            <w:r w:rsidRPr="00D76708">
              <w:rPr>
                <w:vertAlign w:val="subscript"/>
                <w:lang w:val="en-US"/>
              </w:rPr>
              <w:t>2.5</w:t>
            </w:r>
          </w:p>
        </w:tc>
        <w:tc>
          <w:tcPr>
            <w:tcW w:w="1249" w:type="dxa"/>
            <w:noWrap/>
            <w:vAlign w:val="center"/>
          </w:tcPr>
          <w:p w14:paraId="2C295182" w14:textId="77777777" w:rsidR="00B5624A" w:rsidRDefault="00B5624A" w:rsidP="00E76ADE">
            <w:pPr>
              <w:jc w:val="center"/>
              <w:rPr>
                <w:rFonts w:eastAsia="Times New Roman" w:cs="Arial"/>
                <w:color w:val="000000"/>
                <w:lang w:val="en-US" w:eastAsia="de-CH"/>
              </w:rPr>
            </w:pPr>
            <w:r>
              <w:rPr>
                <w:rFonts w:eastAsia="Times New Roman" w:cs="Arial"/>
                <w:color w:val="000000"/>
                <w:lang w:val="en-US" w:eastAsia="de-CH"/>
              </w:rPr>
              <w:t>1.0065</w:t>
            </w:r>
          </w:p>
        </w:tc>
        <w:tc>
          <w:tcPr>
            <w:tcW w:w="1249" w:type="dxa"/>
            <w:noWrap/>
            <w:vAlign w:val="center"/>
          </w:tcPr>
          <w:p w14:paraId="4828A0A6" w14:textId="77777777" w:rsidR="00B5624A" w:rsidRPr="00EE4A4D" w:rsidRDefault="00B5624A" w:rsidP="00E76ADE">
            <w:pPr>
              <w:jc w:val="center"/>
              <w:rPr>
                <w:rFonts w:eastAsia="Times New Roman" w:cs="Arial"/>
                <w:color w:val="000000"/>
                <w:lang w:val="en-US" w:eastAsia="de-CH"/>
              </w:rPr>
            </w:pPr>
            <w:r>
              <w:rPr>
                <w:rFonts w:eastAsia="Times New Roman" w:cs="Arial"/>
                <w:color w:val="000000"/>
                <w:lang w:val="en-US" w:eastAsia="de-CH"/>
              </w:rPr>
              <w:t>0.00065</w:t>
            </w:r>
          </w:p>
        </w:tc>
        <w:tc>
          <w:tcPr>
            <w:tcW w:w="1249" w:type="dxa"/>
            <w:noWrap/>
            <w:vAlign w:val="center"/>
          </w:tcPr>
          <w:p w14:paraId="59A7D187" w14:textId="77777777" w:rsidR="00B5624A" w:rsidRDefault="00B5624A" w:rsidP="00E76ADE">
            <w:pPr>
              <w:jc w:val="center"/>
              <w:rPr>
                <w:rFonts w:eastAsia="Times New Roman" w:cs="Arial"/>
                <w:color w:val="000000"/>
                <w:lang w:val="en-US" w:eastAsia="de-CH"/>
              </w:rPr>
            </w:pPr>
            <w:r>
              <w:rPr>
                <w:rFonts w:eastAsia="Times New Roman" w:cs="Arial"/>
                <w:color w:val="000000"/>
                <w:lang w:val="en-US" w:eastAsia="de-CH"/>
              </w:rPr>
              <w:t>5</w:t>
            </w:r>
          </w:p>
        </w:tc>
        <w:tc>
          <w:tcPr>
            <w:tcW w:w="1248" w:type="dxa"/>
            <w:noWrap/>
            <w:vAlign w:val="center"/>
          </w:tcPr>
          <w:p w14:paraId="161DFDFD" w14:textId="77777777" w:rsidR="00B5624A" w:rsidRPr="00280B1B" w:rsidRDefault="00B5624A" w:rsidP="00E76ADE">
            <w:pPr>
              <w:jc w:val="center"/>
              <w:rPr>
                <w:rFonts w:eastAsia="Times New Roman" w:cs="Arial"/>
                <w:color w:val="000000"/>
                <w:lang w:val="en-US" w:eastAsia="de-CH"/>
              </w:rPr>
            </w:pPr>
            <w:r>
              <w:rPr>
                <w:rFonts w:eastAsia="Times New Roman" w:cs="Arial"/>
                <w:color w:val="000000"/>
                <w:lang w:val="en-US" w:eastAsia="de-CH"/>
              </w:rPr>
              <w:t>0.326</w:t>
            </w:r>
          </w:p>
        </w:tc>
        <w:tc>
          <w:tcPr>
            <w:tcW w:w="1249" w:type="dxa"/>
          </w:tcPr>
          <w:p w14:paraId="17A59380" w14:textId="77777777" w:rsidR="00B5624A" w:rsidRPr="00280B1B" w:rsidRDefault="00B5624A" w:rsidP="00E76ADE">
            <w:pPr>
              <w:jc w:val="center"/>
              <w:rPr>
                <w:rFonts w:eastAsia="Times New Roman" w:cs="Arial"/>
                <w:color w:val="000000"/>
                <w:lang w:val="en-US" w:eastAsia="de-CH"/>
              </w:rPr>
            </w:pPr>
            <w:r>
              <w:rPr>
                <w:rFonts w:eastAsia="Times New Roman" w:cs="Arial"/>
                <w:color w:val="000000"/>
                <w:lang w:val="en-US" w:eastAsia="de-CH"/>
              </w:rPr>
              <w:t>0.109</w:t>
            </w:r>
          </w:p>
        </w:tc>
        <w:tc>
          <w:tcPr>
            <w:tcW w:w="1249" w:type="dxa"/>
          </w:tcPr>
          <w:p w14:paraId="46185F01" w14:textId="77777777" w:rsidR="00B5624A" w:rsidRDefault="00B5624A" w:rsidP="00E76ADE">
            <w:pPr>
              <w:jc w:val="center"/>
              <w:rPr>
                <w:rFonts w:eastAsia="Times New Roman" w:cs="Arial"/>
                <w:color w:val="000000"/>
                <w:lang w:val="en-US" w:eastAsia="de-CH"/>
              </w:rPr>
            </w:pPr>
            <w:r>
              <w:rPr>
                <w:rFonts w:eastAsia="Times New Roman" w:cs="Arial"/>
                <w:color w:val="000000"/>
                <w:lang w:val="en-US" w:eastAsia="de-CH"/>
              </w:rPr>
              <w:t>1</w:t>
            </w:r>
          </w:p>
        </w:tc>
        <w:tc>
          <w:tcPr>
            <w:tcW w:w="1249" w:type="dxa"/>
          </w:tcPr>
          <w:p w14:paraId="30018A79" w14:textId="77777777" w:rsidR="00B5624A" w:rsidRPr="00280B1B" w:rsidRDefault="00B5624A" w:rsidP="00E76ADE">
            <w:pPr>
              <w:jc w:val="center"/>
              <w:rPr>
                <w:rFonts w:eastAsia="Times New Roman" w:cs="Arial"/>
                <w:color w:val="000000"/>
                <w:lang w:val="en-US" w:eastAsia="de-CH"/>
              </w:rPr>
            </w:pPr>
            <w:r>
              <w:rPr>
                <w:rFonts w:eastAsia="Times New Roman" w:cs="Arial"/>
                <w:color w:val="000000"/>
                <w:lang w:val="en-US" w:eastAsia="de-CH"/>
              </w:rPr>
              <w:t>-</w:t>
            </w:r>
          </w:p>
        </w:tc>
      </w:tr>
      <w:tr w:rsidR="00B5624A" w:rsidRPr="005A3BF9" w14:paraId="6A2130C2" w14:textId="77777777" w:rsidTr="00E76ADE">
        <w:trPr>
          <w:trHeight w:val="282"/>
        </w:trPr>
        <w:tc>
          <w:tcPr>
            <w:tcW w:w="1248" w:type="dxa"/>
            <w:noWrap/>
            <w:vAlign w:val="center"/>
          </w:tcPr>
          <w:p w14:paraId="555C1418" w14:textId="77777777" w:rsidR="00B5624A" w:rsidRPr="005A3BF9" w:rsidRDefault="00B5624A" w:rsidP="00E76ADE">
            <w:pPr>
              <w:jc w:val="center"/>
              <w:rPr>
                <w:rFonts w:eastAsia="Times New Roman" w:cs="Arial"/>
                <w:color w:val="000000"/>
                <w:lang w:val="en-US" w:eastAsia="de-CH"/>
              </w:rPr>
            </w:pPr>
            <w:r>
              <w:t>PM</w:t>
            </w:r>
            <w:r w:rsidRPr="009963BD">
              <w:rPr>
                <w:vertAlign w:val="subscript"/>
              </w:rPr>
              <w:t>10</w:t>
            </w:r>
          </w:p>
        </w:tc>
        <w:tc>
          <w:tcPr>
            <w:tcW w:w="1249" w:type="dxa"/>
            <w:noWrap/>
            <w:vAlign w:val="center"/>
          </w:tcPr>
          <w:p w14:paraId="487BCF49" w14:textId="77777777" w:rsidR="00B5624A" w:rsidRPr="00EE4A4D" w:rsidRDefault="00B5624A" w:rsidP="00E76ADE">
            <w:pPr>
              <w:jc w:val="center"/>
              <w:rPr>
                <w:rFonts w:eastAsia="Times New Roman" w:cs="Arial"/>
                <w:color w:val="000000"/>
                <w:lang w:val="en-US" w:eastAsia="de-CH"/>
              </w:rPr>
            </w:pPr>
            <w:r>
              <w:rPr>
                <w:rFonts w:eastAsia="Times New Roman" w:cs="Arial"/>
                <w:color w:val="000000"/>
                <w:lang w:val="en-US" w:eastAsia="de-CH"/>
              </w:rPr>
              <w:t>1.0041</w:t>
            </w:r>
          </w:p>
        </w:tc>
        <w:tc>
          <w:tcPr>
            <w:tcW w:w="1249" w:type="dxa"/>
            <w:noWrap/>
            <w:vAlign w:val="center"/>
          </w:tcPr>
          <w:p w14:paraId="50CBF2F1" w14:textId="77777777" w:rsidR="00B5624A" w:rsidRPr="005A3BF9" w:rsidRDefault="00B5624A" w:rsidP="00E76ADE">
            <w:pPr>
              <w:jc w:val="center"/>
              <w:rPr>
                <w:rFonts w:eastAsia="Times New Roman" w:cs="Arial"/>
                <w:color w:val="000000"/>
                <w:lang w:val="en-US" w:eastAsia="de-CH"/>
              </w:rPr>
            </w:pPr>
            <w:r>
              <w:rPr>
                <w:rFonts w:eastAsia="Times New Roman" w:cs="Arial"/>
                <w:color w:val="000000"/>
                <w:lang w:val="en-US" w:eastAsia="de-CH"/>
              </w:rPr>
              <w:t>0.00041</w:t>
            </w:r>
          </w:p>
        </w:tc>
        <w:tc>
          <w:tcPr>
            <w:tcW w:w="1249" w:type="dxa"/>
            <w:noWrap/>
            <w:vAlign w:val="center"/>
          </w:tcPr>
          <w:p w14:paraId="3B33F612" w14:textId="77777777" w:rsidR="00B5624A" w:rsidRPr="005A3BF9" w:rsidRDefault="00B5624A" w:rsidP="00E76ADE">
            <w:pPr>
              <w:jc w:val="center"/>
              <w:rPr>
                <w:rFonts w:eastAsia="Times New Roman" w:cs="Arial"/>
                <w:color w:val="000000"/>
                <w:lang w:val="en-US" w:eastAsia="de-CH"/>
              </w:rPr>
            </w:pPr>
            <w:r w:rsidRPr="005A3BF9">
              <w:rPr>
                <w:rFonts w:eastAsia="Times New Roman" w:cs="Arial"/>
                <w:color w:val="000000"/>
                <w:lang w:val="en-US" w:eastAsia="de-CH"/>
              </w:rPr>
              <w:t>15</w:t>
            </w:r>
          </w:p>
        </w:tc>
        <w:tc>
          <w:tcPr>
            <w:tcW w:w="1248" w:type="dxa"/>
            <w:noWrap/>
            <w:vAlign w:val="center"/>
          </w:tcPr>
          <w:p w14:paraId="5373E74E" w14:textId="77777777" w:rsidR="00B5624A" w:rsidRPr="005A3BF9" w:rsidRDefault="00B5624A" w:rsidP="00E76ADE">
            <w:pPr>
              <w:jc w:val="center"/>
              <w:rPr>
                <w:rFonts w:eastAsia="Times New Roman" w:cs="Arial"/>
                <w:color w:val="000000"/>
                <w:lang w:val="en-US" w:eastAsia="de-CH"/>
              </w:rPr>
            </w:pPr>
            <w:r w:rsidRPr="005A3BF9">
              <w:rPr>
                <w:rFonts w:eastAsia="Times New Roman" w:cs="Arial"/>
                <w:color w:val="000000"/>
                <w:lang w:val="en-US" w:eastAsia="de-CH"/>
              </w:rPr>
              <w:t>0.617</w:t>
            </w:r>
          </w:p>
        </w:tc>
        <w:tc>
          <w:tcPr>
            <w:tcW w:w="1249" w:type="dxa"/>
          </w:tcPr>
          <w:p w14:paraId="207D8237" w14:textId="77777777" w:rsidR="00B5624A" w:rsidRPr="005A3BF9" w:rsidRDefault="00B5624A" w:rsidP="00E76ADE">
            <w:pPr>
              <w:jc w:val="center"/>
              <w:rPr>
                <w:rFonts w:eastAsia="Times New Roman" w:cs="Arial"/>
                <w:color w:val="000000"/>
                <w:lang w:val="en-US" w:eastAsia="de-CH"/>
              </w:rPr>
            </w:pPr>
            <w:r>
              <w:rPr>
                <w:rFonts w:eastAsia="Times New Roman" w:cs="Arial"/>
                <w:color w:val="000000"/>
                <w:lang w:val="en-US" w:eastAsia="de-CH"/>
              </w:rPr>
              <w:t xml:space="preserve">0.206 </w:t>
            </w:r>
          </w:p>
        </w:tc>
        <w:tc>
          <w:tcPr>
            <w:tcW w:w="1249" w:type="dxa"/>
          </w:tcPr>
          <w:p w14:paraId="09F93A85" w14:textId="77777777" w:rsidR="00B5624A" w:rsidRPr="005A3BF9" w:rsidRDefault="00B5624A" w:rsidP="00E76ADE">
            <w:pPr>
              <w:jc w:val="center"/>
              <w:rPr>
                <w:rFonts w:eastAsia="Times New Roman" w:cs="Arial"/>
                <w:color w:val="000000"/>
                <w:lang w:val="en-US" w:eastAsia="de-CH"/>
              </w:rPr>
            </w:pPr>
            <w:r w:rsidRPr="005A3BF9">
              <w:rPr>
                <w:rFonts w:eastAsia="Times New Roman" w:cs="Arial"/>
                <w:color w:val="000000"/>
                <w:lang w:val="en-US" w:eastAsia="de-CH"/>
              </w:rPr>
              <w:t>-</w:t>
            </w:r>
          </w:p>
        </w:tc>
        <w:tc>
          <w:tcPr>
            <w:tcW w:w="1249" w:type="dxa"/>
          </w:tcPr>
          <w:p w14:paraId="3946BF2F" w14:textId="77777777" w:rsidR="00B5624A" w:rsidRPr="005A3BF9" w:rsidRDefault="00B5624A" w:rsidP="00E76ADE">
            <w:pPr>
              <w:jc w:val="center"/>
              <w:rPr>
                <w:rFonts w:eastAsia="Times New Roman" w:cs="Arial"/>
                <w:color w:val="000000"/>
                <w:lang w:val="en-US" w:eastAsia="de-CH"/>
              </w:rPr>
            </w:pPr>
            <w:r w:rsidRPr="005A3BF9">
              <w:rPr>
                <w:rFonts w:eastAsia="Times New Roman" w:cs="Arial"/>
                <w:color w:val="000000"/>
                <w:lang w:val="en-US" w:eastAsia="de-CH"/>
              </w:rPr>
              <w:t>1</w:t>
            </w:r>
          </w:p>
        </w:tc>
      </w:tr>
      <w:tr w:rsidR="00B5624A" w:rsidRPr="00EE4A4D" w14:paraId="1B519309" w14:textId="77777777" w:rsidTr="00E76ADE">
        <w:trPr>
          <w:trHeight w:val="282"/>
        </w:trPr>
        <w:tc>
          <w:tcPr>
            <w:tcW w:w="1248" w:type="dxa"/>
            <w:noWrap/>
            <w:vAlign w:val="center"/>
            <w:hideMark/>
          </w:tcPr>
          <w:p w14:paraId="165875A5" w14:textId="77777777" w:rsidR="00B5624A" w:rsidRPr="005A3BF9" w:rsidRDefault="00B5624A" w:rsidP="00E76ADE">
            <w:pPr>
              <w:jc w:val="center"/>
              <w:rPr>
                <w:rFonts w:eastAsia="Times New Roman" w:cs="Arial"/>
                <w:color w:val="000000"/>
                <w:lang w:val="en-US" w:eastAsia="de-CH"/>
              </w:rPr>
            </w:pPr>
            <w:r>
              <w:t>NO</w:t>
            </w:r>
            <w:r w:rsidRPr="009963BD">
              <w:rPr>
                <w:vertAlign w:val="subscript"/>
              </w:rPr>
              <w:t>2</w:t>
            </w:r>
          </w:p>
        </w:tc>
        <w:tc>
          <w:tcPr>
            <w:tcW w:w="1249" w:type="dxa"/>
            <w:noWrap/>
            <w:vAlign w:val="center"/>
          </w:tcPr>
          <w:p w14:paraId="5AA5F562" w14:textId="77777777" w:rsidR="00B5624A" w:rsidRPr="005A3BF9" w:rsidRDefault="00B5624A" w:rsidP="00E76ADE">
            <w:pPr>
              <w:jc w:val="center"/>
              <w:rPr>
                <w:rFonts w:eastAsia="Times New Roman" w:cs="Arial"/>
                <w:color w:val="000000"/>
                <w:lang w:val="en-US" w:eastAsia="de-CH"/>
              </w:rPr>
            </w:pPr>
            <w:r w:rsidRPr="005A3BF9">
              <w:rPr>
                <w:rFonts w:eastAsia="Times New Roman" w:cs="Arial"/>
                <w:color w:val="000000"/>
                <w:lang w:val="en-US" w:eastAsia="de-CH"/>
              </w:rPr>
              <w:t>1.0072</w:t>
            </w:r>
          </w:p>
        </w:tc>
        <w:tc>
          <w:tcPr>
            <w:tcW w:w="1249" w:type="dxa"/>
            <w:noWrap/>
            <w:vAlign w:val="center"/>
          </w:tcPr>
          <w:p w14:paraId="2BC3A484" w14:textId="77777777" w:rsidR="00B5624A" w:rsidRPr="00EE4A4D" w:rsidRDefault="00B5624A" w:rsidP="00E76ADE">
            <w:pPr>
              <w:jc w:val="center"/>
              <w:rPr>
                <w:rFonts w:eastAsia="Times New Roman" w:cs="Arial"/>
                <w:color w:val="000000"/>
                <w:lang w:eastAsia="de-CH"/>
              </w:rPr>
            </w:pPr>
            <w:r w:rsidRPr="005A3BF9">
              <w:rPr>
                <w:rFonts w:eastAsia="Times New Roman" w:cs="Arial"/>
                <w:color w:val="000000"/>
                <w:lang w:val="en-US" w:eastAsia="de-CH"/>
              </w:rPr>
              <w:t>0</w:t>
            </w:r>
            <w:r w:rsidRPr="00EE4A4D">
              <w:rPr>
                <w:rFonts w:eastAsia="Times New Roman" w:cs="Arial"/>
                <w:color w:val="000000"/>
                <w:lang w:eastAsia="de-CH"/>
              </w:rPr>
              <w:t>.0</w:t>
            </w:r>
            <w:r>
              <w:rPr>
                <w:rFonts w:eastAsia="Times New Roman" w:cs="Arial"/>
                <w:color w:val="000000"/>
                <w:lang w:eastAsia="de-CH"/>
              </w:rPr>
              <w:t>0</w:t>
            </w:r>
            <w:r w:rsidRPr="00EE4A4D">
              <w:rPr>
                <w:rFonts w:eastAsia="Times New Roman" w:cs="Arial"/>
                <w:color w:val="000000"/>
                <w:lang w:eastAsia="de-CH"/>
              </w:rPr>
              <w:t>0</w:t>
            </w:r>
            <w:r>
              <w:rPr>
                <w:rFonts w:eastAsia="Times New Roman" w:cs="Arial"/>
                <w:color w:val="000000"/>
                <w:lang w:eastAsia="de-CH"/>
              </w:rPr>
              <w:t>72</w:t>
            </w:r>
          </w:p>
        </w:tc>
        <w:tc>
          <w:tcPr>
            <w:tcW w:w="1249" w:type="dxa"/>
            <w:noWrap/>
            <w:vAlign w:val="center"/>
          </w:tcPr>
          <w:p w14:paraId="0B8B35B9" w14:textId="77777777" w:rsidR="00B5624A" w:rsidRPr="00EE4A4D" w:rsidRDefault="00B5624A" w:rsidP="00E76ADE">
            <w:pPr>
              <w:jc w:val="center"/>
              <w:rPr>
                <w:rFonts w:eastAsia="Times New Roman" w:cs="Arial"/>
                <w:color w:val="000000"/>
                <w:lang w:eastAsia="de-CH"/>
              </w:rPr>
            </w:pPr>
            <w:r w:rsidRPr="00EE4A4D">
              <w:rPr>
                <w:rFonts w:eastAsia="Times New Roman" w:cs="Arial"/>
                <w:color w:val="000000"/>
                <w:lang w:eastAsia="de-CH"/>
              </w:rPr>
              <w:t>10</w:t>
            </w:r>
          </w:p>
        </w:tc>
        <w:tc>
          <w:tcPr>
            <w:tcW w:w="1248" w:type="dxa"/>
            <w:noWrap/>
            <w:vAlign w:val="center"/>
          </w:tcPr>
          <w:p w14:paraId="76989E8B"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0.723</w:t>
            </w:r>
          </w:p>
        </w:tc>
        <w:tc>
          <w:tcPr>
            <w:tcW w:w="1249" w:type="dxa"/>
          </w:tcPr>
          <w:p w14:paraId="58073E5E"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0.241</w:t>
            </w:r>
          </w:p>
        </w:tc>
        <w:tc>
          <w:tcPr>
            <w:tcW w:w="1249" w:type="dxa"/>
          </w:tcPr>
          <w:p w14:paraId="28F0905D" w14:textId="77777777" w:rsidR="00B5624A" w:rsidRDefault="00B5624A" w:rsidP="00E76ADE">
            <w:pPr>
              <w:jc w:val="center"/>
              <w:rPr>
                <w:rFonts w:eastAsia="Times New Roman" w:cs="Arial"/>
                <w:color w:val="000000"/>
                <w:lang w:eastAsia="de-CH"/>
              </w:rPr>
            </w:pPr>
            <w:r w:rsidRPr="001D123D">
              <w:rPr>
                <w:rFonts w:eastAsia="Times New Roman" w:cs="Arial"/>
                <w:color w:val="000000"/>
                <w:lang w:val="en-US" w:eastAsia="de-CH"/>
              </w:rPr>
              <w:t>0.</w:t>
            </w:r>
            <w:r>
              <w:rPr>
                <w:rFonts w:eastAsia="Times New Roman" w:cs="Arial"/>
                <w:color w:val="000000"/>
                <w:lang w:val="en-US" w:eastAsia="de-CH"/>
              </w:rPr>
              <w:t>451</w:t>
            </w:r>
          </w:p>
        </w:tc>
        <w:tc>
          <w:tcPr>
            <w:tcW w:w="1249" w:type="dxa"/>
          </w:tcPr>
          <w:p w14:paraId="2FDF0F10"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0.853</w:t>
            </w:r>
          </w:p>
        </w:tc>
      </w:tr>
      <w:tr w:rsidR="00B5624A" w:rsidRPr="00EE4A4D" w14:paraId="442FA798" w14:textId="77777777" w:rsidTr="00E76ADE">
        <w:trPr>
          <w:trHeight w:val="282"/>
        </w:trPr>
        <w:tc>
          <w:tcPr>
            <w:tcW w:w="1248" w:type="dxa"/>
            <w:noWrap/>
            <w:vAlign w:val="center"/>
          </w:tcPr>
          <w:p w14:paraId="238278EB" w14:textId="77777777" w:rsidR="00B5624A" w:rsidRPr="00EE4A4D" w:rsidRDefault="00B5624A" w:rsidP="00E76ADE">
            <w:pPr>
              <w:jc w:val="center"/>
              <w:rPr>
                <w:rFonts w:eastAsia="Times New Roman" w:cs="Arial"/>
                <w:color w:val="000000"/>
                <w:lang w:eastAsia="de-CH"/>
              </w:rPr>
            </w:pPr>
            <w:r>
              <w:t>SO</w:t>
            </w:r>
            <w:r w:rsidRPr="009963BD">
              <w:rPr>
                <w:vertAlign w:val="subscript"/>
              </w:rPr>
              <w:t>2</w:t>
            </w:r>
          </w:p>
        </w:tc>
        <w:tc>
          <w:tcPr>
            <w:tcW w:w="1249" w:type="dxa"/>
            <w:noWrap/>
            <w:vAlign w:val="center"/>
          </w:tcPr>
          <w:p w14:paraId="5F658F22"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1.0059</w:t>
            </w:r>
          </w:p>
        </w:tc>
        <w:tc>
          <w:tcPr>
            <w:tcW w:w="1249" w:type="dxa"/>
            <w:noWrap/>
            <w:vAlign w:val="center"/>
          </w:tcPr>
          <w:p w14:paraId="5630FB4B"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0.00059</w:t>
            </w:r>
          </w:p>
        </w:tc>
        <w:tc>
          <w:tcPr>
            <w:tcW w:w="1249" w:type="dxa"/>
            <w:noWrap/>
            <w:vAlign w:val="center"/>
          </w:tcPr>
          <w:p w14:paraId="30255453"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20</w:t>
            </w:r>
            <w:r>
              <w:rPr>
                <w:rStyle w:val="FootnoteReference"/>
                <w:rFonts w:eastAsia="Times New Roman" w:cs="Arial"/>
                <w:color w:val="000000"/>
                <w:lang w:eastAsia="de-CH"/>
              </w:rPr>
              <w:footnoteReference w:id="2"/>
            </w:r>
          </w:p>
        </w:tc>
        <w:tc>
          <w:tcPr>
            <w:tcW w:w="1248" w:type="dxa"/>
            <w:noWrap/>
            <w:vAlign w:val="center"/>
          </w:tcPr>
          <w:p w14:paraId="2320B318"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1.187</w:t>
            </w:r>
          </w:p>
        </w:tc>
        <w:tc>
          <w:tcPr>
            <w:tcW w:w="1249" w:type="dxa"/>
          </w:tcPr>
          <w:p w14:paraId="38836960"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0.396</w:t>
            </w:r>
          </w:p>
        </w:tc>
        <w:tc>
          <w:tcPr>
            <w:tcW w:w="1249" w:type="dxa"/>
          </w:tcPr>
          <w:p w14:paraId="246E508F"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0.275</w:t>
            </w:r>
          </w:p>
        </w:tc>
        <w:tc>
          <w:tcPr>
            <w:tcW w:w="1249" w:type="dxa"/>
          </w:tcPr>
          <w:p w14:paraId="371538C5"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0.519</w:t>
            </w:r>
          </w:p>
        </w:tc>
      </w:tr>
      <w:tr w:rsidR="00B5624A" w:rsidRPr="00EE4A4D" w14:paraId="4DC89A74" w14:textId="77777777" w:rsidTr="00E76ADE">
        <w:trPr>
          <w:trHeight w:val="282"/>
        </w:trPr>
        <w:tc>
          <w:tcPr>
            <w:tcW w:w="1248" w:type="dxa"/>
            <w:noWrap/>
            <w:vAlign w:val="center"/>
            <w:hideMark/>
          </w:tcPr>
          <w:p w14:paraId="733D5DBD" w14:textId="77777777" w:rsidR="00B5624A" w:rsidRPr="00EE4A4D" w:rsidRDefault="00B5624A" w:rsidP="00E76ADE">
            <w:pPr>
              <w:jc w:val="center"/>
              <w:rPr>
                <w:rFonts w:eastAsia="Times New Roman" w:cs="Arial"/>
                <w:color w:val="000000"/>
                <w:lang w:eastAsia="de-CH"/>
              </w:rPr>
            </w:pPr>
            <w:r>
              <w:t>O</w:t>
            </w:r>
            <w:r w:rsidRPr="009963BD">
              <w:rPr>
                <w:vertAlign w:val="subscript"/>
              </w:rPr>
              <w:t>3</w:t>
            </w:r>
          </w:p>
        </w:tc>
        <w:tc>
          <w:tcPr>
            <w:tcW w:w="1249" w:type="dxa"/>
            <w:noWrap/>
            <w:vAlign w:val="center"/>
          </w:tcPr>
          <w:p w14:paraId="14420E9A"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1.0043</w:t>
            </w:r>
          </w:p>
        </w:tc>
        <w:tc>
          <w:tcPr>
            <w:tcW w:w="1249" w:type="dxa"/>
            <w:noWrap/>
            <w:vAlign w:val="center"/>
          </w:tcPr>
          <w:p w14:paraId="4536F5FF" w14:textId="77777777" w:rsidR="00B5624A" w:rsidRPr="00EE4A4D" w:rsidRDefault="00B5624A" w:rsidP="00E76ADE">
            <w:pPr>
              <w:jc w:val="center"/>
              <w:rPr>
                <w:rFonts w:eastAsia="Times New Roman" w:cs="Arial"/>
                <w:color w:val="000000"/>
                <w:lang w:eastAsia="de-CH"/>
              </w:rPr>
            </w:pPr>
            <w:r w:rsidRPr="00EE4A4D">
              <w:rPr>
                <w:rFonts w:eastAsia="Times New Roman" w:cs="Arial"/>
                <w:color w:val="000000"/>
                <w:lang w:eastAsia="de-CH"/>
              </w:rPr>
              <w:t>0.0</w:t>
            </w:r>
            <w:r>
              <w:rPr>
                <w:rFonts w:eastAsia="Times New Roman" w:cs="Arial"/>
                <w:color w:val="000000"/>
                <w:lang w:eastAsia="de-CH"/>
              </w:rPr>
              <w:t>0</w:t>
            </w:r>
            <w:r w:rsidRPr="00EE4A4D">
              <w:rPr>
                <w:rFonts w:eastAsia="Times New Roman" w:cs="Arial"/>
                <w:color w:val="000000"/>
                <w:lang w:eastAsia="de-CH"/>
              </w:rPr>
              <w:t>0</w:t>
            </w:r>
            <w:r>
              <w:rPr>
                <w:rFonts w:eastAsia="Times New Roman" w:cs="Arial"/>
                <w:color w:val="000000"/>
                <w:lang w:eastAsia="de-CH"/>
              </w:rPr>
              <w:t>4</w:t>
            </w:r>
            <w:r w:rsidRPr="00EE4A4D">
              <w:rPr>
                <w:rFonts w:eastAsia="Times New Roman" w:cs="Arial"/>
                <w:color w:val="000000"/>
                <w:lang w:eastAsia="de-CH"/>
              </w:rPr>
              <w:t>3</w:t>
            </w:r>
          </w:p>
        </w:tc>
        <w:tc>
          <w:tcPr>
            <w:tcW w:w="1249" w:type="dxa"/>
            <w:noWrap/>
            <w:vAlign w:val="center"/>
          </w:tcPr>
          <w:p w14:paraId="68881F7C" w14:textId="77777777" w:rsidR="00B5624A" w:rsidRPr="00EE4A4D" w:rsidRDefault="00B5624A" w:rsidP="00E76ADE">
            <w:pPr>
              <w:jc w:val="center"/>
              <w:rPr>
                <w:rFonts w:eastAsia="Times New Roman" w:cs="Arial"/>
                <w:color w:val="000000"/>
                <w:lang w:eastAsia="de-CH"/>
              </w:rPr>
            </w:pPr>
            <w:r w:rsidRPr="00EE4A4D">
              <w:rPr>
                <w:rFonts w:eastAsia="Times New Roman" w:cs="Arial"/>
                <w:color w:val="000000"/>
                <w:lang w:eastAsia="de-CH"/>
              </w:rPr>
              <w:t>60</w:t>
            </w:r>
          </w:p>
        </w:tc>
        <w:tc>
          <w:tcPr>
            <w:tcW w:w="1248" w:type="dxa"/>
            <w:noWrap/>
            <w:vAlign w:val="center"/>
          </w:tcPr>
          <w:p w14:paraId="492CCECF" w14:textId="77777777" w:rsidR="00B5624A" w:rsidRPr="00EE4A4D" w:rsidRDefault="00B5624A" w:rsidP="00E76ADE">
            <w:pPr>
              <w:jc w:val="center"/>
              <w:rPr>
                <w:rFonts w:eastAsia="Times New Roman" w:cs="Arial"/>
                <w:color w:val="000000"/>
                <w:lang w:eastAsia="de-CH"/>
              </w:rPr>
            </w:pPr>
            <w:r>
              <w:rPr>
                <w:rFonts w:eastAsia="Times New Roman" w:cs="Arial"/>
                <w:color w:val="000000"/>
                <w:lang w:eastAsia="de-CH"/>
              </w:rPr>
              <w:t>2.614</w:t>
            </w:r>
          </w:p>
        </w:tc>
        <w:tc>
          <w:tcPr>
            <w:tcW w:w="1249" w:type="dxa"/>
          </w:tcPr>
          <w:p w14:paraId="5706B137"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0.871</w:t>
            </w:r>
          </w:p>
        </w:tc>
        <w:tc>
          <w:tcPr>
            <w:tcW w:w="1249" w:type="dxa"/>
          </w:tcPr>
          <w:p w14:paraId="36C978E7" w14:textId="77777777" w:rsidR="00B5624A" w:rsidRDefault="00B5624A" w:rsidP="00E76ADE">
            <w:pPr>
              <w:jc w:val="center"/>
              <w:rPr>
                <w:rFonts w:eastAsia="Times New Roman" w:cs="Arial"/>
                <w:color w:val="000000"/>
                <w:lang w:eastAsia="de-CH"/>
              </w:rPr>
            </w:pPr>
            <w:r w:rsidRPr="001D123D">
              <w:rPr>
                <w:rFonts w:eastAsia="Times New Roman" w:cs="Arial"/>
                <w:color w:val="000000"/>
                <w:lang w:eastAsia="de-CH"/>
              </w:rPr>
              <w:t>0.</w:t>
            </w:r>
            <w:r>
              <w:rPr>
                <w:rFonts w:eastAsia="Times New Roman" w:cs="Arial"/>
                <w:color w:val="000000"/>
                <w:lang w:eastAsia="de-CH"/>
              </w:rPr>
              <w:t>125</w:t>
            </w:r>
          </w:p>
        </w:tc>
        <w:tc>
          <w:tcPr>
            <w:tcW w:w="1249" w:type="dxa"/>
          </w:tcPr>
          <w:p w14:paraId="6A2FFB4D" w14:textId="77777777" w:rsidR="00B5624A" w:rsidRDefault="00B5624A" w:rsidP="00E76ADE">
            <w:pPr>
              <w:jc w:val="center"/>
              <w:rPr>
                <w:rFonts w:eastAsia="Times New Roman" w:cs="Arial"/>
                <w:color w:val="000000"/>
                <w:lang w:eastAsia="de-CH"/>
              </w:rPr>
            </w:pPr>
            <w:r>
              <w:rPr>
                <w:rFonts w:eastAsia="Times New Roman" w:cs="Arial"/>
                <w:color w:val="000000"/>
                <w:lang w:eastAsia="de-CH"/>
              </w:rPr>
              <w:t>0.236</w:t>
            </w:r>
          </w:p>
        </w:tc>
      </w:tr>
    </w:tbl>
    <w:p w14:paraId="2BBDE307" w14:textId="77777777" w:rsidR="00EC5D59" w:rsidRPr="00EC5D59" w:rsidRDefault="00EC5D59" w:rsidP="004E0D8C"/>
    <w:p w14:paraId="422903E7" w14:textId="77777777" w:rsidR="009B63CA" w:rsidRPr="00931C26" w:rsidRDefault="009B63CA" w:rsidP="009B63CA">
      <w:pPr>
        <w:autoSpaceDE w:val="0"/>
        <w:autoSpaceDN w:val="0"/>
        <w:adjustRightInd w:val="0"/>
        <w:spacing w:after="0" w:line="240" w:lineRule="auto"/>
        <w:rPr>
          <w:rFonts w:cs="Arial"/>
          <w:lang w:val="en-US"/>
        </w:rPr>
      </w:pPr>
    </w:p>
    <w:p w14:paraId="3A8780F9" w14:textId="203646B6" w:rsidR="009B63CA" w:rsidRPr="00611736" w:rsidRDefault="009B63CA" w:rsidP="009B63CA">
      <w:pPr>
        <w:jc w:val="both"/>
        <w:rPr>
          <w:rFonts w:cs="Arial"/>
          <w:lang w:val="en-US"/>
        </w:rPr>
      </w:pPr>
      <w:r>
        <w:rPr>
          <w:rFonts w:cs="Arial"/>
        </w:rPr>
        <w:t>The CRFs published in the reviews commissioned by WHO</w:t>
      </w:r>
      <w:r>
        <w:rPr>
          <w:rFonts w:cs="Arial"/>
        </w:rPr>
        <w:fldChar w:fldCharType="begin">
          <w:fldData xml:space="preserve">PEVuZE5vdGU+PENpdGU+PEF1dGhvcj5PcmVsbGFubzwvQXV0aG9yPjxZZWFyPjIwMjA8L1llYXI+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</w:fldData>
        </w:fldChar>
      </w:r>
      <w:r>
        <w:rPr>
          <w:rFonts w:cs="Arial"/>
        </w:rPr>
        <w:instrText xml:space="preserve"> ADDIN EN.CITE </w:instrText>
      </w:r>
      <w:r>
        <w:rPr>
          <w:rFonts w:cs="Arial"/>
        </w:rPr>
        <w:fldChar w:fldCharType="begin">
          <w:fldData xml:space="preserve">PEVuZE5vdGU+PENpdGU+PEF1dGhvcj5PcmVsbGFubzwvQXV0aG9yPjxZZWFyPjIwMjA8L1llYXI+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</w:fldData>
        </w:fldChar>
      </w:r>
      <w:r>
        <w:rPr>
          <w:rFonts w:cs="Arial"/>
        </w:rPr>
        <w:instrText xml:space="preserve"> ADDIN EN.CITE.DATA </w:instrText>
      </w:r>
      <w:r>
        <w:rPr>
          <w:rFonts w:cs="Arial"/>
        </w:rPr>
      </w:r>
      <w:r>
        <w:rPr>
          <w:rFonts w:cs="Arial"/>
        </w:rPr>
        <w:fldChar w:fldCharType="end"/>
      </w:r>
      <w:r>
        <w:rPr>
          <w:rFonts w:cs="Arial"/>
        </w:rPr>
      </w:r>
      <w:r>
        <w:rPr>
          <w:rFonts w:cs="Arial"/>
        </w:rPr>
        <w:fldChar w:fldCharType="separate"/>
      </w:r>
      <w:r w:rsidRPr="002E4314">
        <w:rPr>
          <w:rFonts w:cs="Arial"/>
          <w:noProof/>
          <w:vertAlign w:val="superscript"/>
        </w:rPr>
        <w:t>1,2</w:t>
      </w:r>
      <w:r>
        <w:rPr>
          <w:rFonts w:cs="Arial"/>
        </w:rPr>
        <w:fldChar w:fldCharType="end"/>
      </w:r>
      <w:r w:rsidR="00BE0C61">
        <w:rPr>
          <w:rFonts w:cs="Arial"/>
        </w:rPr>
        <w:t xml:space="preserve"> </w:t>
      </w:r>
      <w:r>
        <w:rPr>
          <w:rFonts w:cs="Arial"/>
        </w:rPr>
        <w:t xml:space="preserve">estimated risks using the 2-day mean of the pollutant measurements. We found a strong positive correlation (r &gt; 0.87) between the daily measurements and the 2-day means of each pollutant. Thus, we propose to derive the AQHI based on daily mean data. </w:t>
      </w:r>
      <w:r w:rsidRPr="00611736">
        <w:rPr>
          <w:rFonts w:cs="Arial"/>
          <w:lang w:val="en-US"/>
        </w:rPr>
        <w:t xml:space="preserve">This is easier </w:t>
      </w:r>
      <w:r>
        <w:rPr>
          <w:rFonts w:cs="Arial"/>
          <w:lang w:val="en-US"/>
        </w:rPr>
        <w:t xml:space="preserve">to implement </w:t>
      </w:r>
      <w:r w:rsidRPr="00611736">
        <w:rPr>
          <w:rFonts w:cs="Arial"/>
          <w:lang w:val="en-US"/>
        </w:rPr>
        <w:t xml:space="preserve">and less affected by missing data than the reliance on </w:t>
      </w:r>
      <w:r>
        <w:rPr>
          <w:rFonts w:cs="Arial"/>
          <w:lang w:val="en-US"/>
        </w:rPr>
        <w:t xml:space="preserve">measurement series of 2-day means. </w:t>
      </w:r>
    </w:p>
    <w:p w14:paraId="2ABDFE8F" w14:textId="77777777" w:rsidR="00EC5D59" w:rsidRPr="004E0D8C" w:rsidRDefault="00EC5D59" w:rsidP="00A9354B">
      <w:pPr>
        <w:pStyle w:val="Caption"/>
        <w:rPr>
          <w:sz w:val="22"/>
          <w:szCs w:val="22"/>
          <w:lang w:val="en-US"/>
        </w:rPr>
      </w:pPr>
    </w:p>
    <w:p w14:paraId="76BEDCA1" w14:textId="2F1EE5FC" w:rsidR="001D123D" w:rsidRPr="00CE2F37" w:rsidRDefault="00CE2F37" w:rsidP="00CE2F37">
      <w:pPr>
        <w:pStyle w:val="Caption"/>
        <w:rPr>
          <w:rFonts w:eastAsiaTheme="minorEastAsia" w:cs="Arial"/>
          <w:color w:val="auto"/>
          <w:sz w:val="22"/>
          <w:szCs w:val="22"/>
        </w:rPr>
      </w:pPr>
      <w:r w:rsidRPr="00CE2F37">
        <w:rPr>
          <w:color w:val="auto"/>
          <w:sz w:val="22"/>
          <w:szCs w:val="22"/>
        </w:rPr>
        <w:t xml:space="preserve">Table S </w:t>
      </w:r>
      <w:r w:rsidRPr="00CE2F37">
        <w:rPr>
          <w:color w:val="auto"/>
          <w:sz w:val="22"/>
          <w:szCs w:val="22"/>
        </w:rPr>
        <w:fldChar w:fldCharType="begin"/>
      </w:r>
      <w:r w:rsidRPr="00CE2F37">
        <w:rPr>
          <w:color w:val="auto"/>
          <w:sz w:val="22"/>
          <w:szCs w:val="22"/>
        </w:rPr>
        <w:instrText xml:space="preserve"> SEQ Table_S \* ARABIC </w:instrText>
      </w:r>
      <w:r w:rsidRPr="00CE2F37">
        <w:rPr>
          <w:color w:val="auto"/>
          <w:sz w:val="22"/>
          <w:szCs w:val="22"/>
        </w:rPr>
        <w:fldChar w:fldCharType="separate"/>
      </w:r>
      <w:r w:rsidR="00016BA3">
        <w:rPr>
          <w:noProof/>
          <w:color w:val="auto"/>
          <w:sz w:val="22"/>
          <w:szCs w:val="22"/>
        </w:rPr>
        <w:t>2</w:t>
      </w:r>
      <w:r w:rsidRPr="00CE2F37">
        <w:rPr>
          <w:color w:val="auto"/>
          <w:sz w:val="22"/>
          <w:szCs w:val="22"/>
        </w:rPr>
        <w:fldChar w:fldCharType="end"/>
      </w:r>
      <w:r w:rsidR="00F12F4C" w:rsidRPr="00CE2F37">
        <w:rPr>
          <w:color w:val="auto"/>
          <w:sz w:val="22"/>
          <w:szCs w:val="22"/>
        </w:rPr>
        <w:t>: The constructed AQHI for PM2.5 showing the range of excess mortality risk and risk levels.</w:t>
      </w:r>
    </w:p>
    <w:tbl>
      <w:tblPr>
        <w:tblStyle w:val="TableGrid"/>
        <w:tblW w:w="0" w:type="auto"/>
        <w:tblLook w:val="04A0" w:firstRow="1" w:lastRow="0" w:firstColumn="1" w:lastColumn="0" w:noHBand="0" w:noVBand="1"/>
      </w:tblPr>
      <w:tblGrid>
        <w:gridCol w:w="777"/>
        <w:gridCol w:w="771"/>
        <w:gridCol w:w="843"/>
        <w:gridCol w:w="843"/>
        <w:gridCol w:w="843"/>
        <w:gridCol w:w="843"/>
        <w:gridCol w:w="843"/>
        <w:gridCol w:w="770"/>
        <w:gridCol w:w="843"/>
        <w:gridCol w:w="843"/>
        <w:gridCol w:w="843"/>
      </w:tblGrid>
      <w:tr w:rsidR="00A9354B" w:rsidRPr="00A9354B" w14:paraId="37709A3A" w14:textId="77777777" w:rsidTr="00A9354B">
        <w:tc>
          <w:tcPr>
            <w:tcW w:w="777" w:type="dxa"/>
          </w:tcPr>
          <w:p w14:paraId="4A007EC1" w14:textId="58EE88C6" w:rsidR="00A9354B" w:rsidRPr="00A9354B" w:rsidRDefault="00A9354B" w:rsidP="00931C26">
            <w:pPr>
              <w:autoSpaceDE w:val="0"/>
              <w:autoSpaceDN w:val="0"/>
              <w:adjustRightInd w:val="0"/>
              <w:rPr>
                <w:rFonts w:cs="Arial"/>
                <w:lang w:val="en-US"/>
              </w:rPr>
            </w:pPr>
            <w:r>
              <w:rPr>
                <w:rFonts w:cs="Arial"/>
                <w:lang w:val="en-US"/>
              </w:rPr>
              <w:t>AQHI</w:t>
            </w:r>
          </w:p>
        </w:tc>
        <w:tc>
          <w:tcPr>
            <w:tcW w:w="771" w:type="dxa"/>
          </w:tcPr>
          <w:p w14:paraId="5093498E" w14:textId="3F7F424A" w:rsidR="00A9354B" w:rsidRPr="00A9354B" w:rsidRDefault="00A9354B" w:rsidP="00931C26">
            <w:pPr>
              <w:autoSpaceDE w:val="0"/>
              <w:autoSpaceDN w:val="0"/>
              <w:adjustRightInd w:val="0"/>
              <w:rPr>
                <w:rFonts w:cs="Arial"/>
                <w:lang w:val="en-US"/>
              </w:rPr>
            </w:pPr>
            <w:r w:rsidRPr="00A9354B">
              <w:rPr>
                <w:rFonts w:cs="Arial"/>
                <w:lang w:val="en-US"/>
              </w:rPr>
              <w:t>1</w:t>
            </w:r>
          </w:p>
        </w:tc>
        <w:tc>
          <w:tcPr>
            <w:tcW w:w="843" w:type="dxa"/>
          </w:tcPr>
          <w:p w14:paraId="100BA009" w14:textId="101EE661" w:rsidR="00A9354B" w:rsidRPr="00A9354B" w:rsidRDefault="00A9354B" w:rsidP="00931C26">
            <w:pPr>
              <w:autoSpaceDE w:val="0"/>
              <w:autoSpaceDN w:val="0"/>
              <w:adjustRightInd w:val="0"/>
              <w:rPr>
                <w:rFonts w:cs="Arial"/>
                <w:lang w:val="en-US"/>
              </w:rPr>
            </w:pPr>
            <w:r w:rsidRPr="00A9354B">
              <w:rPr>
                <w:rFonts w:cs="Arial"/>
                <w:lang w:val="en-US"/>
              </w:rPr>
              <w:t>2</w:t>
            </w:r>
          </w:p>
        </w:tc>
        <w:tc>
          <w:tcPr>
            <w:tcW w:w="843" w:type="dxa"/>
          </w:tcPr>
          <w:p w14:paraId="29073EA8" w14:textId="0C78D462" w:rsidR="00A9354B" w:rsidRPr="00A9354B" w:rsidRDefault="00A9354B" w:rsidP="00931C26">
            <w:pPr>
              <w:autoSpaceDE w:val="0"/>
              <w:autoSpaceDN w:val="0"/>
              <w:adjustRightInd w:val="0"/>
              <w:rPr>
                <w:rFonts w:cs="Arial"/>
                <w:lang w:val="en-US"/>
              </w:rPr>
            </w:pPr>
            <w:r w:rsidRPr="00A9354B">
              <w:rPr>
                <w:rFonts w:cs="Arial"/>
                <w:lang w:val="en-US"/>
              </w:rPr>
              <w:t>3</w:t>
            </w:r>
          </w:p>
        </w:tc>
        <w:tc>
          <w:tcPr>
            <w:tcW w:w="843" w:type="dxa"/>
          </w:tcPr>
          <w:p w14:paraId="15FB6E27" w14:textId="12786F79" w:rsidR="00A9354B" w:rsidRPr="00A9354B" w:rsidRDefault="00A9354B" w:rsidP="00931C26">
            <w:pPr>
              <w:autoSpaceDE w:val="0"/>
              <w:autoSpaceDN w:val="0"/>
              <w:adjustRightInd w:val="0"/>
              <w:rPr>
                <w:rFonts w:cs="Arial"/>
                <w:lang w:val="en-US"/>
              </w:rPr>
            </w:pPr>
            <w:r w:rsidRPr="00A9354B">
              <w:rPr>
                <w:rFonts w:cs="Arial"/>
                <w:lang w:val="en-US"/>
              </w:rPr>
              <w:t>4</w:t>
            </w:r>
          </w:p>
        </w:tc>
        <w:tc>
          <w:tcPr>
            <w:tcW w:w="843" w:type="dxa"/>
          </w:tcPr>
          <w:p w14:paraId="69BD8DB4" w14:textId="31592D74" w:rsidR="00A9354B" w:rsidRPr="00A9354B" w:rsidRDefault="00A9354B" w:rsidP="00931C26">
            <w:pPr>
              <w:autoSpaceDE w:val="0"/>
              <w:autoSpaceDN w:val="0"/>
              <w:adjustRightInd w:val="0"/>
              <w:rPr>
                <w:rFonts w:cs="Arial"/>
                <w:lang w:val="en-US"/>
              </w:rPr>
            </w:pPr>
            <w:r w:rsidRPr="00A9354B">
              <w:rPr>
                <w:rFonts w:cs="Arial"/>
                <w:lang w:val="en-US"/>
              </w:rPr>
              <w:t>5</w:t>
            </w:r>
          </w:p>
        </w:tc>
        <w:tc>
          <w:tcPr>
            <w:tcW w:w="843" w:type="dxa"/>
          </w:tcPr>
          <w:p w14:paraId="27F233CB" w14:textId="45319355" w:rsidR="00A9354B" w:rsidRPr="00A9354B" w:rsidRDefault="00A9354B" w:rsidP="00931C26">
            <w:pPr>
              <w:autoSpaceDE w:val="0"/>
              <w:autoSpaceDN w:val="0"/>
              <w:adjustRightInd w:val="0"/>
              <w:rPr>
                <w:rFonts w:cs="Arial"/>
                <w:lang w:val="en-US"/>
              </w:rPr>
            </w:pPr>
            <w:r w:rsidRPr="00A9354B">
              <w:rPr>
                <w:rFonts w:cs="Arial"/>
                <w:lang w:val="en-US"/>
              </w:rPr>
              <w:t>6</w:t>
            </w:r>
          </w:p>
        </w:tc>
        <w:tc>
          <w:tcPr>
            <w:tcW w:w="770" w:type="dxa"/>
          </w:tcPr>
          <w:p w14:paraId="11B9C0D3" w14:textId="19EDF5B4" w:rsidR="00A9354B" w:rsidRPr="00A9354B" w:rsidRDefault="00A9354B" w:rsidP="00931C26">
            <w:pPr>
              <w:autoSpaceDE w:val="0"/>
              <w:autoSpaceDN w:val="0"/>
              <w:adjustRightInd w:val="0"/>
              <w:rPr>
                <w:rFonts w:cs="Arial"/>
                <w:lang w:val="en-US"/>
              </w:rPr>
            </w:pPr>
            <w:r w:rsidRPr="00A9354B">
              <w:rPr>
                <w:rFonts w:cs="Arial"/>
                <w:lang w:val="en-US"/>
              </w:rPr>
              <w:t>7</w:t>
            </w:r>
          </w:p>
        </w:tc>
        <w:tc>
          <w:tcPr>
            <w:tcW w:w="843" w:type="dxa"/>
          </w:tcPr>
          <w:p w14:paraId="1E271C78" w14:textId="58F7BB5A" w:rsidR="00A9354B" w:rsidRPr="00A9354B" w:rsidRDefault="00A9354B" w:rsidP="00931C26">
            <w:pPr>
              <w:autoSpaceDE w:val="0"/>
              <w:autoSpaceDN w:val="0"/>
              <w:adjustRightInd w:val="0"/>
              <w:rPr>
                <w:rFonts w:cs="Arial"/>
                <w:lang w:val="en-US"/>
              </w:rPr>
            </w:pPr>
            <w:r w:rsidRPr="00A9354B">
              <w:rPr>
                <w:rFonts w:cs="Arial"/>
                <w:lang w:val="en-US"/>
              </w:rPr>
              <w:t>8</w:t>
            </w:r>
          </w:p>
        </w:tc>
        <w:tc>
          <w:tcPr>
            <w:tcW w:w="843" w:type="dxa"/>
          </w:tcPr>
          <w:p w14:paraId="5D7BFBD0" w14:textId="32DB580B" w:rsidR="00A9354B" w:rsidRPr="00A9354B" w:rsidRDefault="00A9354B" w:rsidP="00931C26">
            <w:pPr>
              <w:autoSpaceDE w:val="0"/>
              <w:autoSpaceDN w:val="0"/>
              <w:adjustRightInd w:val="0"/>
              <w:rPr>
                <w:rFonts w:cs="Arial"/>
                <w:lang w:val="en-US"/>
              </w:rPr>
            </w:pPr>
            <w:r w:rsidRPr="00A9354B">
              <w:rPr>
                <w:rFonts w:cs="Arial"/>
                <w:lang w:val="en-US"/>
              </w:rPr>
              <w:t>9</w:t>
            </w:r>
          </w:p>
        </w:tc>
        <w:tc>
          <w:tcPr>
            <w:tcW w:w="843" w:type="dxa"/>
          </w:tcPr>
          <w:p w14:paraId="78783AB1" w14:textId="1A7B7570" w:rsidR="00A9354B" w:rsidRPr="00A9354B" w:rsidRDefault="00A9354B" w:rsidP="00931C26">
            <w:pPr>
              <w:autoSpaceDE w:val="0"/>
              <w:autoSpaceDN w:val="0"/>
              <w:adjustRightInd w:val="0"/>
              <w:rPr>
                <w:rFonts w:cs="Arial"/>
                <w:lang w:val="en-US"/>
              </w:rPr>
            </w:pPr>
            <w:r w:rsidRPr="00A9354B">
              <w:rPr>
                <w:rFonts w:cs="Arial"/>
                <w:lang w:val="en-US"/>
              </w:rPr>
              <w:t>10</w:t>
            </w:r>
          </w:p>
        </w:tc>
      </w:tr>
      <w:tr w:rsidR="004A6126" w:rsidRPr="00A9354B" w14:paraId="1B44ECE7" w14:textId="77777777" w:rsidTr="00A9354B">
        <w:tc>
          <w:tcPr>
            <w:tcW w:w="777" w:type="dxa"/>
            <w:vMerge w:val="restart"/>
          </w:tcPr>
          <w:p w14:paraId="75D97BB5" w14:textId="57F1B83F" w:rsidR="00A9354B" w:rsidRPr="00A9354B" w:rsidRDefault="00A9354B" w:rsidP="00931C26">
            <w:pPr>
              <w:autoSpaceDE w:val="0"/>
              <w:autoSpaceDN w:val="0"/>
              <w:adjustRightInd w:val="0"/>
              <w:rPr>
                <w:rFonts w:cs="Arial"/>
                <w:lang w:val="en-US"/>
              </w:rPr>
            </w:pPr>
            <w:r>
              <w:rPr>
                <w:rFonts w:cs="Arial"/>
                <w:lang w:val="en-US"/>
              </w:rPr>
              <w:t>ER% range</w:t>
            </w:r>
          </w:p>
        </w:tc>
        <w:tc>
          <w:tcPr>
            <w:tcW w:w="771" w:type="dxa"/>
          </w:tcPr>
          <w:p w14:paraId="01485A60" w14:textId="77204D3C" w:rsidR="00A9354B" w:rsidRPr="00A9354B" w:rsidRDefault="00A9354B" w:rsidP="00931C26">
            <w:pPr>
              <w:autoSpaceDE w:val="0"/>
              <w:autoSpaceDN w:val="0"/>
              <w:adjustRightInd w:val="0"/>
              <w:rPr>
                <w:rFonts w:cs="Arial"/>
                <w:lang w:val="en-US"/>
              </w:rPr>
            </w:pPr>
            <w:r>
              <w:rPr>
                <w:rFonts w:cs="Arial"/>
                <w:lang w:val="en-US"/>
              </w:rPr>
              <w:t>&lt;0.11</w:t>
            </w:r>
          </w:p>
        </w:tc>
        <w:tc>
          <w:tcPr>
            <w:tcW w:w="843" w:type="dxa"/>
          </w:tcPr>
          <w:p w14:paraId="336BCA63" w14:textId="30BC16B8" w:rsidR="00A9354B" w:rsidRPr="00A9354B" w:rsidRDefault="00A9354B" w:rsidP="00931C26">
            <w:pPr>
              <w:autoSpaceDE w:val="0"/>
              <w:autoSpaceDN w:val="0"/>
              <w:adjustRightInd w:val="0"/>
              <w:rPr>
                <w:rFonts w:cs="Arial"/>
                <w:lang w:val="en-US"/>
              </w:rPr>
            </w:pPr>
            <w:r>
              <w:rPr>
                <w:rFonts w:cs="Arial"/>
                <w:lang w:val="en-US"/>
              </w:rPr>
              <w:t>&gt;0.11-</w:t>
            </w:r>
          </w:p>
        </w:tc>
        <w:tc>
          <w:tcPr>
            <w:tcW w:w="843" w:type="dxa"/>
          </w:tcPr>
          <w:p w14:paraId="494006B7" w14:textId="3CF91FB8" w:rsidR="00A9354B" w:rsidRPr="00A9354B" w:rsidRDefault="00A9354B" w:rsidP="00931C26">
            <w:pPr>
              <w:autoSpaceDE w:val="0"/>
              <w:autoSpaceDN w:val="0"/>
              <w:adjustRightInd w:val="0"/>
              <w:rPr>
                <w:rFonts w:cs="Arial"/>
                <w:lang w:val="en-US"/>
              </w:rPr>
            </w:pPr>
            <w:r>
              <w:rPr>
                <w:rFonts w:cs="Arial"/>
                <w:lang w:val="en-US"/>
              </w:rPr>
              <w:t>&gt;0.22-</w:t>
            </w:r>
          </w:p>
        </w:tc>
        <w:tc>
          <w:tcPr>
            <w:tcW w:w="843" w:type="dxa"/>
          </w:tcPr>
          <w:p w14:paraId="384E70A6" w14:textId="19F7EAEA" w:rsidR="00A9354B" w:rsidRPr="00A9354B" w:rsidRDefault="00A9354B" w:rsidP="00931C26">
            <w:pPr>
              <w:autoSpaceDE w:val="0"/>
              <w:autoSpaceDN w:val="0"/>
              <w:adjustRightInd w:val="0"/>
              <w:rPr>
                <w:rFonts w:cs="Arial"/>
                <w:lang w:val="en-US"/>
              </w:rPr>
            </w:pPr>
            <w:r>
              <w:rPr>
                <w:rFonts w:cs="Arial"/>
                <w:lang w:val="en-US"/>
              </w:rPr>
              <w:t>&gt;0.33-</w:t>
            </w:r>
          </w:p>
        </w:tc>
        <w:tc>
          <w:tcPr>
            <w:tcW w:w="843" w:type="dxa"/>
          </w:tcPr>
          <w:p w14:paraId="344465CD" w14:textId="7CD0FB7A" w:rsidR="00A9354B" w:rsidRPr="00A9354B" w:rsidRDefault="00A9354B" w:rsidP="00A9354B">
            <w:pPr>
              <w:autoSpaceDE w:val="0"/>
              <w:autoSpaceDN w:val="0"/>
              <w:adjustRightInd w:val="0"/>
              <w:rPr>
                <w:rFonts w:cs="Arial"/>
                <w:lang w:val="en-US"/>
              </w:rPr>
            </w:pPr>
            <w:r>
              <w:rPr>
                <w:rFonts w:cs="Arial"/>
                <w:lang w:val="en-US"/>
              </w:rPr>
              <w:t>&gt;0.44-</w:t>
            </w:r>
          </w:p>
        </w:tc>
        <w:tc>
          <w:tcPr>
            <w:tcW w:w="843" w:type="dxa"/>
          </w:tcPr>
          <w:p w14:paraId="3F02269D" w14:textId="313F1190" w:rsidR="00A9354B" w:rsidRPr="00A9354B" w:rsidRDefault="00A9354B" w:rsidP="00931C26">
            <w:pPr>
              <w:autoSpaceDE w:val="0"/>
              <w:autoSpaceDN w:val="0"/>
              <w:adjustRightInd w:val="0"/>
              <w:rPr>
                <w:rFonts w:cs="Arial"/>
                <w:lang w:val="en-US"/>
              </w:rPr>
            </w:pPr>
            <w:r>
              <w:rPr>
                <w:rFonts w:cs="Arial"/>
                <w:lang w:val="en-US"/>
              </w:rPr>
              <w:t>&gt;0.55-</w:t>
            </w:r>
          </w:p>
        </w:tc>
        <w:tc>
          <w:tcPr>
            <w:tcW w:w="770" w:type="dxa"/>
          </w:tcPr>
          <w:p w14:paraId="50903744" w14:textId="3B163A4B" w:rsidR="00A9354B" w:rsidRPr="00A9354B" w:rsidRDefault="00A9354B" w:rsidP="00931C26">
            <w:pPr>
              <w:autoSpaceDE w:val="0"/>
              <w:autoSpaceDN w:val="0"/>
              <w:adjustRightInd w:val="0"/>
              <w:rPr>
                <w:rFonts w:cs="Arial"/>
                <w:lang w:val="en-US"/>
              </w:rPr>
            </w:pPr>
            <w:r>
              <w:rPr>
                <w:rFonts w:cs="Arial"/>
                <w:lang w:val="en-US"/>
              </w:rPr>
              <w:t>&gt;0.66</w:t>
            </w:r>
          </w:p>
        </w:tc>
        <w:tc>
          <w:tcPr>
            <w:tcW w:w="843" w:type="dxa"/>
          </w:tcPr>
          <w:p w14:paraId="47A50A90" w14:textId="460BEE13" w:rsidR="00A9354B" w:rsidRPr="00A9354B" w:rsidRDefault="00A9354B" w:rsidP="00931C26">
            <w:pPr>
              <w:autoSpaceDE w:val="0"/>
              <w:autoSpaceDN w:val="0"/>
              <w:adjustRightInd w:val="0"/>
              <w:rPr>
                <w:rFonts w:cs="Arial"/>
                <w:lang w:val="en-US"/>
              </w:rPr>
            </w:pPr>
            <w:r>
              <w:rPr>
                <w:rFonts w:cs="Arial"/>
                <w:lang w:val="en-US"/>
              </w:rPr>
              <w:t>&gt;0.77-</w:t>
            </w:r>
          </w:p>
        </w:tc>
        <w:tc>
          <w:tcPr>
            <w:tcW w:w="843" w:type="dxa"/>
          </w:tcPr>
          <w:p w14:paraId="21930E81" w14:textId="442BC5B2" w:rsidR="00A9354B" w:rsidRPr="00A9354B" w:rsidRDefault="00A9354B" w:rsidP="00931C26">
            <w:pPr>
              <w:autoSpaceDE w:val="0"/>
              <w:autoSpaceDN w:val="0"/>
              <w:adjustRightInd w:val="0"/>
              <w:rPr>
                <w:rFonts w:cs="Arial"/>
                <w:lang w:val="en-US"/>
              </w:rPr>
            </w:pPr>
            <w:r>
              <w:rPr>
                <w:rFonts w:cs="Arial"/>
                <w:lang w:val="en-US"/>
              </w:rPr>
              <w:t>&gt;0.88-</w:t>
            </w:r>
          </w:p>
        </w:tc>
        <w:tc>
          <w:tcPr>
            <w:tcW w:w="843" w:type="dxa"/>
          </w:tcPr>
          <w:p w14:paraId="21A03CB0" w14:textId="67847C31" w:rsidR="00A9354B" w:rsidRPr="00A9354B" w:rsidRDefault="00A9354B" w:rsidP="00931C26">
            <w:pPr>
              <w:autoSpaceDE w:val="0"/>
              <w:autoSpaceDN w:val="0"/>
              <w:adjustRightInd w:val="0"/>
              <w:rPr>
                <w:rFonts w:cs="Arial"/>
                <w:lang w:val="en-US"/>
              </w:rPr>
            </w:pPr>
            <w:r>
              <w:rPr>
                <w:rFonts w:cs="Arial"/>
                <w:lang w:val="en-US"/>
              </w:rPr>
              <w:t>&gt;0.99-</w:t>
            </w:r>
          </w:p>
        </w:tc>
      </w:tr>
      <w:tr w:rsidR="004A6126" w:rsidRPr="00A9354B" w14:paraId="1E8B88C8" w14:textId="77777777" w:rsidTr="00A9354B">
        <w:tc>
          <w:tcPr>
            <w:tcW w:w="777" w:type="dxa"/>
            <w:vMerge/>
          </w:tcPr>
          <w:p w14:paraId="3E411FE7" w14:textId="77777777" w:rsidR="00A9354B" w:rsidRPr="00A9354B" w:rsidRDefault="00A9354B" w:rsidP="00931C26">
            <w:pPr>
              <w:autoSpaceDE w:val="0"/>
              <w:autoSpaceDN w:val="0"/>
              <w:adjustRightInd w:val="0"/>
              <w:rPr>
                <w:rFonts w:cs="Arial"/>
                <w:lang w:val="en-US"/>
              </w:rPr>
            </w:pPr>
          </w:p>
        </w:tc>
        <w:tc>
          <w:tcPr>
            <w:tcW w:w="771" w:type="dxa"/>
          </w:tcPr>
          <w:p w14:paraId="096ACDE9" w14:textId="77777777" w:rsidR="00A9354B" w:rsidRPr="00A9354B" w:rsidRDefault="00A9354B" w:rsidP="00931C26">
            <w:pPr>
              <w:autoSpaceDE w:val="0"/>
              <w:autoSpaceDN w:val="0"/>
              <w:adjustRightInd w:val="0"/>
              <w:rPr>
                <w:rFonts w:cs="Arial"/>
                <w:lang w:val="en-US"/>
              </w:rPr>
            </w:pPr>
          </w:p>
        </w:tc>
        <w:tc>
          <w:tcPr>
            <w:tcW w:w="843" w:type="dxa"/>
          </w:tcPr>
          <w:p w14:paraId="6371AD6B" w14:textId="2F19C5B8" w:rsidR="00A9354B" w:rsidRPr="00A9354B" w:rsidRDefault="00A9354B" w:rsidP="00931C26">
            <w:pPr>
              <w:autoSpaceDE w:val="0"/>
              <w:autoSpaceDN w:val="0"/>
              <w:adjustRightInd w:val="0"/>
              <w:rPr>
                <w:rFonts w:cs="Arial"/>
                <w:lang w:val="en-US"/>
              </w:rPr>
            </w:pPr>
            <w:r>
              <w:rPr>
                <w:rFonts w:cs="Arial"/>
                <w:lang w:val="en-US"/>
              </w:rPr>
              <w:t>0.22</w:t>
            </w:r>
          </w:p>
        </w:tc>
        <w:tc>
          <w:tcPr>
            <w:tcW w:w="843" w:type="dxa"/>
          </w:tcPr>
          <w:p w14:paraId="1B16CD2C" w14:textId="6C0AAFBB" w:rsidR="00A9354B" w:rsidRPr="00A9354B" w:rsidRDefault="00A9354B" w:rsidP="00931C26">
            <w:pPr>
              <w:autoSpaceDE w:val="0"/>
              <w:autoSpaceDN w:val="0"/>
              <w:adjustRightInd w:val="0"/>
              <w:rPr>
                <w:rFonts w:cs="Arial"/>
                <w:lang w:val="en-US"/>
              </w:rPr>
            </w:pPr>
            <w:r>
              <w:rPr>
                <w:rFonts w:cs="Arial"/>
                <w:lang w:val="en-US"/>
              </w:rPr>
              <w:t>0.33</w:t>
            </w:r>
          </w:p>
        </w:tc>
        <w:tc>
          <w:tcPr>
            <w:tcW w:w="843" w:type="dxa"/>
          </w:tcPr>
          <w:p w14:paraId="54C9C8A8" w14:textId="5AD76E53" w:rsidR="00A9354B" w:rsidRPr="00A9354B" w:rsidRDefault="00A9354B" w:rsidP="00931C26">
            <w:pPr>
              <w:autoSpaceDE w:val="0"/>
              <w:autoSpaceDN w:val="0"/>
              <w:adjustRightInd w:val="0"/>
              <w:rPr>
                <w:rFonts w:cs="Arial"/>
                <w:lang w:val="en-US"/>
              </w:rPr>
            </w:pPr>
            <w:r>
              <w:rPr>
                <w:rFonts w:cs="Arial"/>
                <w:lang w:val="en-US"/>
              </w:rPr>
              <w:t>0.44</w:t>
            </w:r>
          </w:p>
        </w:tc>
        <w:tc>
          <w:tcPr>
            <w:tcW w:w="843" w:type="dxa"/>
          </w:tcPr>
          <w:p w14:paraId="5C23AD4C" w14:textId="784C7559" w:rsidR="00A9354B" w:rsidRPr="00A9354B" w:rsidRDefault="00A9354B" w:rsidP="00931C26">
            <w:pPr>
              <w:autoSpaceDE w:val="0"/>
              <w:autoSpaceDN w:val="0"/>
              <w:adjustRightInd w:val="0"/>
              <w:rPr>
                <w:rFonts w:cs="Arial"/>
                <w:lang w:val="en-US"/>
              </w:rPr>
            </w:pPr>
            <w:r>
              <w:rPr>
                <w:rFonts w:cs="Arial"/>
                <w:lang w:val="en-US"/>
              </w:rPr>
              <w:t>0.55</w:t>
            </w:r>
          </w:p>
        </w:tc>
        <w:tc>
          <w:tcPr>
            <w:tcW w:w="843" w:type="dxa"/>
          </w:tcPr>
          <w:p w14:paraId="5FBC1566" w14:textId="245D6CE5" w:rsidR="00A9354B" w:rsidRPr="00A9354B" w:rsidRDefault="00A9354B" w:rsidP="00931C26">
            <w:pPr>
              <w:autoSpaceDE w:val="0"/>
              <w:autoSpaceDN w:val="0"/>
              <w:adjustRightInd w:val="0"/>
              <w:rPr>
                <w:rFonts w:cs="Arial"/>
                <w:lang w:val="en-US"/>
              </w:rPr>
            </w:pPr>
            <w:r>
              <w:rPr>
                <w:rFonts w:cs="Arial"/>
                <w:lang w:val="en-US"/>
              </w:rPr>
              <w:t>0.66</w:t>
            </w:r>
          </w:p>
        </w:tc>
        <w:tc>
          <w:tcPr>
            <w:tcW w:w="770" w:type="dxa"/>
          </w:tcPr>
          <w:p w14:paraId="4D8DCD42" w14:textId="5B3314E0" w:rsidR="00A9354B" w:rsidRPr="00A9354B" w:rsidRDefault="00A9354B" w:rsidP="00931C26">
            <w:pPr>
              <w:autoSpaceDE w:val="0"/>
              <w:autoSpaceDN w:val="0"/>
              <w:adjustRightInd w:val="0"/>
              <w:rPr>
                <w:rFonts w:cs="Arial"/>
                <w:lang w:val="en-US"/>
              </w:rPr>
            </w:pPr>
            <w:r>
              <w:rPr>
                <w:rFonts w:cs="Arial"/>
                <w:lang w:val="en-US"/>
              </w:rPr>
              <w:t>-0.77</w:t>
            </w:r>
          </w:p>
        </w:tc>
        <w:tc>
          <w:tcPr>
            <w:tcW w:w="843" w:type="dxa"/>
          </w:tcPr>
          <w:p w14:paraId="540849B2" w14:textId="406D71A7" w:rsidR="00A9354B" w:rsidRPr="00A9354B" w:rsidRDefault="00A9354B" w:rsidP="00931C26">
            <w:pPr>
              <w:autoSpaceDE w:val="0"/>
              <w:autoSpaceDN w:val="0"/>
              <w:adjustRightInd w:val="0"/>
              <w:rPr>
                <w:rFonts w:cs="Arial"/>
                <w:lang w:val="en-US"/>
              </w:rPr>
            </w:pPr>
            <w:r>
              <w:rPr>
                <w:rFonts w:cs="Arial"/>
                <w:lang w:val="en-US"/>
              </w:rPr>
              <w:t>0.88</w:t>
            </w:r>
          </w:p>
        </w:tc>
        <w:tc>
          <w:tcPr>
            <w:tcW w:w="843" w:type="dxa"/>
          </w:tcPr>
          <w:p w14:paraId="5D002102" w14:textId="4CAF8544" w:rsidR="00A9354B" w:rsidRPr="00A9354B" w:rsidRDefault="00A9354B" w:rsidP="00931C26">
            <w:pPr>
              <w:autoSpaceDE w:val="0"/>
              <w:autoSpaceDN w:val="0"/>
              <w:adjustRightInd w:val="0"/>
              <w:rPr>
                <w:rFonts w:cs="Arial"/>
                <w:lang w:val="en-US"/>
              </w:rPr>
            </w:pPr>
            <w:r>
              <w:rPr>
                <w:rFonts w:cs="Arial"/>
                <w:lang w:val="en-US"/>
              </w:rPr>
              <w:t>0.99</w:t>
            </w:r>
          </w:p>
        </w:tc>
        <w:tc>
          <w:tcPr>
            <w:tcW w:w="843" w:type="dxa"/>
          </w:tcPr>
          <w:p w14:paraId="68FF206B" w14:textId="68D5DA4B" w:rsidR="00A9354B" w:rsidRPr="00A9354B" w:rsidRDefault="00A9354B" w:rsidP="00931C26">
            <w:pPr>
              <w:autoSpaceDE w:val="0"/>
              <w:autoSpaceDN w:val="0"/>
              <w:adjustRightInd w:val="0"/>
              <w:rPr>
                <w:rFonts w:cs="Arial"/>
                <w:lang w:val="en-US"/>
              </w:rPr>
            </w:pPr>
            <w:r>
              <w:rPr>
                <w:rFonts w:cs="Arial"/>
                <w:lang w:val="en-US"/>
              </w:rPr>
              <w:t>1.10+</w:t>
            </w:r>
          </w:p>
        </w:tc>
      </w:tr>
      <w:tr w:rsidR="00A9354B" w:rsidRPr="00A9354B" w14:paraId="54D3D481" w14:textId="77777777" w:rsidTr="00A9354B">
        <w:tc>
          <w:tcPr>
            <w:tcW w:w="823" w:type="dxa"/>
          </w:tcPr>
          <w:p w14:paraId="6A0B2750" w14:textId="111CFCE6" w:rsidR="00A9354B" w:rsidRPr="00A9354B" w:rsidRDefault="00A9354B" w:rsidP="00931C26">
            <w:pPr>
              <w:autoSpaceDE w:val="0"/>
              <w:autoSpaceDN w:val="0"/>
              <w:adjustRightInd w:val="0"/>
              <w:rPr>
                <w:rFonts w:cs="Arial"/>
                <w:lang w:val="en-US"/>
              </w:rPr>
            </w:pPr>
            <w:r>
              <w:rPr>
                <w:rFonts w:cs="Arial"/>
                <w:lang w:val="en-US"/>
              </w:rPr>
              <w:t>Risk level</w:t>
            </w:r>
          </w:p>
        </w:tc>
        <w:tc>
          <w:tcPr>
            <w:tcW w:w="2457" w:type="dxa"/>
            <w:gridSpan w:val="3"/>
            <w:shd w:val="clear" w:color="auto" w:fill="9BBB59" w:themeFill="accent3"/>
          </w:tcPr>
          <w:p w14:paraId="354EABE4" w14:textId="77777777" w:rsidR="00A9354B" w:rsidRDefault="00A9354B" w:rsidP="00931C26">
            <w:pPr>
              <w:autoSpaceDE w:val="0"/>
              <w:autoSpaceDN w:val="0"/>
              <w:adjustRightInd w:val="0"/>
              <w:rPr>
                <w:rFonts w:cs="Arial"/>
                <w:lang w:val="en-US"/>
              </w:rPr>
            </w:pPr>
            <w:r>
              <w:rPr>
                <w:rFonts w:cs="Arial"/>
                <w:lang w:val="en-US"/>
              </w:rPr>
              <w:t>Low risk</w:t>
            </w:r>
          </w:p>
          <w:p w14:paraId="3C2C5994" w14:textId="7D3581DF" w:rsidR="00A9354B" w:rsidRPr="00A9354B" w:rsidRDefault="00A9354B" w:rsidP="00931C26">
            <w:pPr>
              <w:autoSpaceDE w:val="0"/>
              <w:autoSpaceDN w:val="0"/>
              <w:adjustRightInd w:val="0"/>
              <w:rPr>
                <w:rFonts w:cs="Arial"/>
                <w:lang w:val="en-US"/>
              </w:rPr>
            </w:pPr>
            <w:r>
              <w:rPr>
                <w:rFonts w:cs="Arial"/>
                <w:lang w:val="en-US"/>
              </w:rPr>
              <w:t xml:space="preserve">AQHI 1 – 3 </w:t>
            </w:r>
          </w:p>
        </w:tc>
        <w:tc>
          <w:tcPr>
            <w:tcW w:w="2529" w:type="dxa"/>
            <w:gridSpan w:val="3"/>
            <w:shd w:val="clear" w:color="auto" w:fill="FFFF00"/>
          </w:tcPr>
          <w:p w14:paraId="4EB4CEAB" w14:textId="77777777" w:rsidR="00A9354B" w:rsidRDefault="00A9354B" w:rsidP="00931C26">
            <w:pPr>
              <w:autoSpaceDE w:val="0"/>
              <w:autoSpaceDN w:val="0"/>
              <w:adjustRightInd w:val="0"/>
              <w:rPr>
                <w:rFonts w:cs="Arial"/>
                <w:lang w:val="en-US"/>
              </w:rPr>
            </w:pPr>
            <w:r>
              <w:rPr>
                <w:rFonts w:cs="Arial"/>
                <w:lang w:val="en-US"/>
              </w:rPr>
              <w:t>Moderate risk</w:t>
            </w:r>
          </w:p>
          <w:p w14:paraId="63C57887" w14:textId="095CBB0E" w:rsidR="00A9354B" w:rsidRPr="00A9354B" w:rsidRDefault="00A9354B" w:rsidP="00931C26">
            <w:pPr>
              <w:autoSpaceDE w:val="0"/>
              <w:autoSpaceDN w:val="0"/>
              <w:adjustRightInd w:val="0"/>
              <w:rPr>
                <w:rFonts w:cs="Arial"/>
                <w:lang w:val="en-US"/>
              </w:rPr>
            </w:pPr>
            <w:r>
              <w:rPr>
                <w:rFonts w:cs="Arial"/>
                <w:lang w:val="en-US"/>
              </w:rPr>
              <w:t xml:space="preserve">AQHI 4 – 6 </w:t>
            </w:r>
          </w:p>
        </w:tc>
        <w:tc>
          <w:tcPr>
            <w:tcW w:w="3299" w:type="dxa"/>
            <w:gridSpan w:val="4"/>
            <w:shd w:val="clear" w:color="auto" w:fill="FF0000"/>
          </w:tcPr>
          <w:p w14:paraId="50C4CD24" w14:textId="77777777" w:rsidR="00A9354B" w:rsidRDefault="00A9354B" w:rsidP="00931C26">
            <w:pPr>
              <w:autoSpaceDE w:val="0"/>
              <w:autoSpaceDN w:val="0"/>
              <w:adjustRightInd w:val="0"/>
              <w:rPr>
                <w:rFonts w:cs="Arial"/>
                <w:lang w:val="en-US"/>
              </w:rPr>
            </w:pPr>
            <w:r>
              <w:rPr>
                <w:rFonts w:cs="Arial"/>
                <w:lang w:val="en-US"/>
              </w:rPr>
              <w:t>High risk</w:t>
            </w:r>
          </w:p>
          <w:p w14:paraId="6E3DD2FB" w14:textId="5FFFA88E" w:rsidR="00A9354B" w:rsidRPr="00A9354B" w:rsidRDefault="00A9354B" w:rsidP="00931C26">
            <w:pPr>
              <w:autoSpaceDE w:val="0"/>
              <w:autoSpaceDN w:val="0"/>
              <w:adjustRightInd w:val="0"/>
              <w:rPr>
                <w:rFonts w:cs="Arial"/>
                <w:lang w:val="en-US"/>
              </w:rPr>
            </w:pPr>
            <w:r>
              <w:rPr>
                <w:rFonts w:cs="Arial"/>
                <w:lang w:val="en-US"/>
              </w:rPr>
              <w:t xml:space="preserve">AQHI 7 – 10+ </w:t>
            </w:r>
          </w:p>
        </w:tc>
      </w:tr>
    </w:tbl>
    <w:p w14:paraId="4A39D69B" w14:textId="77777777" w:rsidR="00A9354B" w:rsidRDefault="00A9354B" w:rsidP="00931C26">
      <w:pPr>
        <w:autoSpaceDE w:val="0"/>
        <w:autoSpaceDN w:val="0"/>
        <w:adjustRightInd w:val="0"/>
        <w:spacing w:after="0" w:line="240" w:lineRule="auto"/>
        <w:rPr>
          <w:rFonts w:cs="Arial"/>
          <w:b/>
          <w:lang w:val="en-US"/>
        </w:rPr>
      </w:pPr>
    </w:p>
    <w:p w14:paraId="74A75CF8" w14:textId="77777777" w:rsidR="00A9354B" w:rsidRDefault="00A9354B" w:rsidP="00931C26">
      <w:pPr>
        <w:autoSpaceDE w:val="0"/>
        <w:autoSpaceDN w:val="0"/>
        <w:adjustRightInd w:val="0"/>
        <w:spacing w:after="0" w:line="240" w:lineRule="auto"/>
        <w:rPr>
          <w:rFonts w:cs="Arial"/>
          <w:b/>
          <w:lang w:val="en-US"/>
        </w:rPr>
      </w:pPr>
    </w:p>
    <w:p w14:paraId="3711E841" w14:textId="2E29E544" w:rsidR="00A9354B" w:rsidRDefault="004D4E96" w:rsidP="00931C26">
      <w:pPr>
        <w:autoSpaceDE w:val="0"/>
        <w:autoSpaceDN w:val="0"/>
        <w:adjustRightInd w:val="0"/>
        <w:spacing w:after="0" w:line="240" w:lineRule="auto"/>
        <w:rPr>
          <w:rFonts w:cs="Arial"/>
          <w:b/>
          <w:lang w:val="en-US"/>
        </w:rPr>
      </w:pPr>
      <w:r>
        <w:rPr>
          <w:rFonts w:cs="Arial"/>
          <w:noProof/>
          <w:lang w:val="de-CH" w:eastAsia="de-CH"/>
        </w:rPr>
        <w:lastRenderedPageBreak/>
        <w:drawing>
          <wp:inline distT="0" distB="0" distL="0" distR="0" wp14:anchorId="636ECE1B" wp14:editId="20B34422">
            <wp:extent cx="5760720" cy="5184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ll_poll-no titl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5184775"/>
                    </a:xfrm>
                    <a:prstGeom prst="rect">
                      <a:avLst/>
                    </a:prstGeom>
                  </pic:spPr>
                </pic:pic>
              </a:graphicData>
            </a:graphic>
          </wp:inline>
        </w:drawing>
      </w:r>
    </w:p>
    <w:p w14:paraId="518098D2" w14:textId="65D8FA75" w:rsidR="00C123C8" w:rsidRPr="00CA5CF5" w:rsidRDefault="00CA5CF5" w:rsidP="00CA5CF5">
      <w:pPr>
        <w:pStyle w:val="Caption"/>
        <w:rPr>
          <w:i w:val="0"/>
          <w:color w:val="auto"/>
          <w:sz w:val="22"/>
          <w:szCs w:val="22"/>
          <w:lang w:val="en-US"/>
        </w:rPr>
      </w:pPr>
      <w:r w:rsidRPr="00CA5CF5">
        <w:rPr>
          <w:color w:val="auto"/>
          <w:sz w:val="22"/>
          <w:szCs w:val="22"/>
        </w:rPr>
        <w:t xml:space="preserve">Figure S </w:t>
      </w:r>
      <w:r w:rsidRPr="00CA5CF5">
        <w:rPr>
          <w:color w:val="auto"/>
          <w:sz w:val="22"/>
          <w:szCs w:val="22"/>
        </w:rPr>
        <w:fldChar w:fldCharType="begin"/>
      </w:r>
      <w:r w:rsidRPr="00CA5CF5">
        <w:rPr>
          <w:color w:val="auto"/>
          <w:sz w:val="22"/>
          <w:szCs w:val="22"/>
        </w:rPr>
        <w:instrText xml:space="preserve"> SEQ Figure_S \* ARABIC </w:instrText>
      </w:r>
      <w:r w:rsidRPr="00CA5CF5">
        <w:rPr>
          <w:color w:val="auto"/>
          <w:sz w:val="22"/>
          <w:szCs w:val="22"/>
        </w:rPr>
        <w:fldChar w:fldCharType="separate"/>
      </w:r>
      <w:r w:rsidR="0088252E">
        <w:rPr>
          <w:noProof/>
          <w:color w:val="auto"/>
          <w:sz w:val="22"/>
          <w:szCs w:val="22"/>
        </w:rPr>
        <w:t>2</w:t>
      </w:r>
      <w:r w:rsidRPr="00CA5CF5">
        <w:rPr>
          <w:color w:val="auto"/>
          <w:sz w:val="22"/>
          <w:szCs w:val="22"/>
        </w:rPr>
        <w:fldChar w:fldCharType="end"/>
      </w:r>
      <w:r w:rsidR="004D4E96" w:rsidRPr="00CA5CF5">
        <w:rPr>
          <w:color w:val="auto"/>
          <w:sz w:val="22"/>
          <w:szCs w:val="22"/>
        </w:rPr>
        <w:t>:</w:t>
      </w:r>
      <w:r w:rsidR="004D4E96" w:rsidRPr="00CA5CF5">
        <w:rPr>
          <w:i w:val="0"/>
          <w:color w:val="auto"/>
          <w:sz w:val="22"/>
          <w:szCs w:val="22"/>
          <w:lang w:val="en-US"/>
        </w:rPr>
        <w:t xml:space="preserve"> Daily mean concentrations of PM10, NO2, SO2 and O3 in Cape Town, 2006 – 2015. The horizontal lines show the WHO AQG 2021 values for short-term</w:t>
      </w:r>
      <w:r w:rsidR="00AA54D5" w:rsidRPr="00CA5CF5">
        <w:rPr>
          <w:i w:val="0"/>
          <w:color w:val="auto"/>
          <w:sz w:val="22"/>
          <w:szCs w:val="22"/>
          <w:lang w:val="en-US"/>
        </w:rPr>
        <w:t xml:space="preserve"> (black)</w:t>
      </w:r>
      <w:r w:rsidR="004D4E96" w:rsidRPr="00CA5CF5">
        <w:rPr>
          <w:i w:val="0"/>
          <w:color w:val="auto"/>
          <w:sz w:val="22"/>
          <w:szCs w:val="22"/>
          <w:lang w:val="en-US"/>
        </w:rPr>
        <w:t xml:space="preserve"> and long-term </w:t>
      </w:r>
      <w:r w:rsidR="00AA54D5" w:rsidRPr="00CA5CF5">
        <w:rPr>
          <w:i w:val="0"/>
          <w:color w:val="auto"/>
          <w:sz w:val="22"/>
          <w:szCs w:val="22"/>
          <w:lang w:val="en-US"/>
        </w:rPr>
        <w:t xml:space="preserve">(orange) </w:t>
      </w:r>
      <w:r w:rsidR="004D4E96" w:rsidRPr="00CA5CF5">
        <w:rPr>
          <w:i w:val="0"/>
          <w:color w:val="auto"/>
          <w:sz w:val="22"/>
          <w:szCs w:val="22"/>
          <w:lang w:val="en-US"/>
        </w:rPr>
        <w:t>of each pollutant.</w:t>
      </w:r>
    </w:p>
    <w:p w14:paraId="64B203B8" w14:textId="77777777" w:rsidR="00C123C8" w:rsidRDefault="00C123C8" w:rsidP="007D1380">
      <w:pPr>
        <w:autoSpaceDE w:val="0"/>
        <w:autoSpaceDN w:val="0"/>
        <w:adjustRightInd w:val="0"/>
        <w:spacing w:after="0" w:line="240" w:lineRule="auto"/>
        <w:jc w:val="both"/>
        <w:rPr>
          <w:i/>
          <w:lang w:val="en-US"/>
        </w:rPr>
      </w:pPr>
    </w:p>
    <w:p w14:paraId="5D312DA3" w14:textId="4D738B40" w:rsidR="007D1380" w:rsidRPr="00EC5D59" w:rsidRDefault="007D1380" w:rsidP="007D1380">
      <w:pPr>
        <w:autoSpaceDE w:val="0"/>
        <w:autoSpaceDN w:val="0"/>
        <w:adjustRightInd w:val="0"/>
        <w:spacing w:after="0" w:line="240" w:lineRule="auto"/>
        <w:jc w:val="both"/>
        <w:rPr>
          <w:rFonts w:cs="Arial"/>
          <w:b/>
          <w:lang w:val="en-US"/>
        </w:rPr>
      </w:pPr>
      <w:r w:rsidRPr="00EC5D59">
        <w:rPr>
          <w:rFonts w:cs="Arial"/>
          <w:b/>
          <w:lang w:val="en-US"/>
        </w:rPr>
        <w:t>Sensitivity analysis (</w:t>
      </w:r>
      <w:r w:rsidRPr="00EC5D59">
        <w:t>PM</w:t>
      </w:r>
      <w:r w:rsidRPr="00EC5D59">
        <w:rPr>
          <w:vertAlign w:val="subscript"/>
        </w:rPr>
        <w:t>10</w:t>
      </w:r>
      <w:r w:rsidRPr="00EC5D59">
        <w:rPr>
          <w:rFonts w:cs="Arial"/>
          <w:b/>
          <w:lang w:val="en-US"/>
        </w:rPr>
        <w:t xml:space="preserve"> versus </w:t>
      </w:r>
      <w:r w:rsidRPr="00EC5D59">
        <w:rPr>
          <w:lang w:val="en-US"/>
        </w:rPr>
        <w:t>PM</w:t>
      </w:r>
      <w:r w:rsidRPr="00EC5D59">
        <w:rPr>
          <w:vertAlign w:val="subscript"/>
          <w:lang w:val="en-US"/>
        </w:rPr>
        <w:t>2.5</w:t>
      </w:r>
      <w:r w:rsidRPr="00EC5D59">
        <w:rPr>
          <w:rFonts w:cs="Arial"/>
          <w:b/>
          <w:lang w:val="en-US"/>
        </w:rPr>
        <w:t xml:space="preserve"> based index)</w:t>
      </w:r>
    </w:p>
    <w:p w14:paraId="26BAE7C5" w14:textId="30731B3E" w:rsidR="007D1380" w:rsidRDefault="007D1380" w:rsidP="004E0D8C">
      <w:pPr>
        <w:jc w:val="both"/>
        <w:rPr>
          <w:rFonts w:cs="Arial"/>
          <w:lang w:val="en-US"/>
        </w:rPr>
      </w:pPr>
      <w:r w:rsidRPr="00EC5D59">
        <w:rPr>
          <w:rFonts w:cs="Arial"/>
          <w:lang w:val="en-US"/>
        </w:rPr>
        <w:t xml:space="preserve">The means of the weighted average AQHI for </w:t>
      </w:r>
      <w:r w:rsidRPr="00EC5D59">
        <w:rPr>
          <w:lang w:val="en-US"/>
        </w:rPr>
        <w:t>PM</w:t>
      </w:r>
      <w:r w:rsidRPr="00EC5D59">
        <w:rPr>
          <w:vertAlign w:val="subscript"/>
          <w:lang w:val="en-US"/>
        </w:rPr>
        <w:t>2.5</w:t>
      </w:r>
      <w:r w:rsidRPr="00EC5D59">
        <w:rPr>
          <w:rFonts w:cs="Arial"/>
          <w:lang w:val="en-US"/>
        </w:rPr>
        <w:t xml:space="preserve"> and </w:t>
      </w:r>
      <w:r w:rsidRPr="00EC5D59">
        <w:t>PM</w:t>
      </w:r>
      <w:r w:rsidRPr="00EC5D59">
        <w:rPr>
          <w:vertAlign w:val="subscript"/>
        </w:rPr>
        <w:t>10</w:t>
      </w:r>
      <w:r w:rsidRPr="00EC5D59">
        <w:rPr>
          <w:rFonts w:cs="Arial"/>
          <w:lang w:val="en-US"/>
        </w:rPr>
        <w:t xml:space="preserve"> using data from 2019 (365 days) were similar, 5.6 and 5.4, respectively. There was no statistically significant difference between the daily weighted average indices using the Welch t-test, (t = 1.61, 95% CI: -0.05; 0.48). There was a strong and positive correlation (r = 0.92, p-value &lt;0.001) between the two weighted average indices. The linear association had an intercept of 1.01 (95% CI: 0.9-1.1) and slope=0.8 as shown in the supplementary material. The two indices differed in the higher AQHI, at index 10 where the </w:t>
      </w:r>
      <w:r w:rsidRPr="00EC5D59">
        <w:rPr>
          <w:lang w:val="en-US"/>
        </w:rPr>
        <w:t>PM</w:t>
      </w:r>
      <w:r w:rsidRPr="00EC5D59">
        <w:rPr>
          <w:vertAlign w:val="subscript"/>
          <w:lang w:val="en-US"/>
        </w:rPr>
        <w:t>2.5</w:t>
      </w:r>
      <w:r w:rsidRPr="00EC5D59">
        <w:rPr>
          <w:rFonts w:cs="Arial"/>
          <w:lang w:val="en-US"/>
        </w:rPr>
        <w:t xml:space="preserve">-based index classified more days as high compared to the </w:t>
      </w:r>
      <w:r w:rsidRPr="00EC5D59">
        <w:t>PM</w:t>
      </w:r>
      <w:r w:rsidRPr="00EC5D59">
        <w:rPr>
          <w:vertAlign w:val="subscript"/>
        </w:rPr>
        <w:t>10</w:t>
      </w:r>
      <w:r w:rsidRPr="00EC5D59">
        <w:rPr>
          <w:rFonts w:cs="Arial"/>
          <w:lang w:val="en-US"/>
        </w:rPr>
        <w:t xml:space="preserve">-based index (20 vs 3). The Plots in panel A of </w:t>
      </w:r>
      <w:r w:rsidR="00CA5CF5">
        <w:rPr>
          <w:rFonts w:cs="Arial"/>
          <w:lang w:val="en-US"/>
        </w:rPr>
        <w:fldChar w:fldCharType="begin"/>
      </w:r>
      <w:r w:rsidR="00CA5CF5">
        <w:rPr>
          <w:rFonts w:cs="Arial"/>
          <w:lang w:val="en-US"/>
        </w:rPr>
        <w:instrText xml:space="preserve"> REF _Ref138856904 \h </w:instrText>
      </w:r>
      <w:r w:rsidR="00CA5CF5">
        <w:rPr>
          <w:rFonts w:cs="Arial"/>
          <w:lang w:val="en-US"/>
        </w:rPr>
      </w:r>
      <w:r w:rsidR="00CA5CF5">
        <w:rPr>
          <w:rFonts w:cs="Arial"/>
          <w:lang w:val="en-US"/>
        </w:rPr>
        <w:fldChar w:fldCharType="separate"/>
      </w:r>
      <w:r w:rsidR="00CA5CF5" w:rsidRPr="00CA5CF5">
        <w:t xml:space="preserve">Figure S </w:t>
      </w:r>
      <w:r w:rsidR="00CA5CF5" w:rsidRPr="00CA5CF5">
        <w:rPr>
          <w:noProof/>
        </w:rPr>
        <w:t>3</w:t>
      </w:r>
      <w:r w:rsidR="00CA5CF5">
        <w:rPr>
          <w:rFonts w:cs="Arial"/>
          <w:lang w:val="en-US"/>
        </w:rPr>
        <w:fldChar w:fldCharType="end"/>
      </w:r>
      <w:r w:rsidR="00593A4E">
        <w:rPr>
          <w:rFonts w:cs="Arial"/>
          <w:lang w:val="en-US"/>
        </w:rPr>
        <w:t xml:space="preserve"> </w:t>
      </w:r>
      <w:r w:rsidRPr="00EC5D59">
        <w:rPr>
          <w:rFonts w:cs="Arial"/>
          <w:lang w:val="en-US"/>
        </w:rPr>
        <w:t xml:space="preserve">presents the daily weighted average of </w:t>
      </w:r>
      <w:r w:rsidRPr="00EC5D59">
        <w:rPr>
          <w:lang w:val="en-US"/>
        </w:rPr>
        <w:t>PM</w:t>
      </w:r>
      <w:r w:rsidRPr="00EC5D59">
        <w:rPr>
          <w:vertAlign w:val="subscript"/>
          <w:lang w:val="en-US"/>
        </w:rPr>
        <w:t>2.5</w:t>
      </w:r>
      <w:r w:rsidRPr="00EC5D59">
        <w:rPr>
          <w:rFonts w:cs="Arial"/>
          <w:lang w:val="en-US"/>
        </w:rPr>
        <w:t xml:space="preserve">- and </w:t>
      </w:r>
      <w:r w:rsidRPr="00EC5D59">
        <w:t>PM</w:t>
      </w:r>
      <w:r w:rsidRPr="00EC5D59">
        <w:rPr>
          <w:vertAlign w:val="subscript"/>
        </w:rPr>
        <w:t>10</w:t>
      </w:r>
      <w:r w:rsidRPr="00EC5D59">
        <w:rPr>
          <w:rFonts w:cs="Arial"/>
          <w:lang w:val="en-US"/>
        </w:rPr>
        <w:t xml:space="preserve">-based AQHIs; while the table in panel B shows the daily distribution of each index level for </w:t>
      </w:r>
      <w:r w:rsidRPr="00EC5D59">
        <w:rPr>
          <w:lang w:val="en-US"/>
        </w:rPr>
        <w:t>PM</w:t>
      </w:r>
      <w:r w:rsidRPr="00EC5D59">
        <w:rPr>
          <w:vertAlign w:val="subscript"/>
          <w:lang w:val="en-US"/>
        </w:rPr>
        <w:t>2.5</w:t>
      </w:r>
      <w:r w:rsidRPr="00EC5D59">
        <w:rPr>
          <w:rFonts w:cs="Arial"/>
          <w:lang w:val="en-US"/>
        </w:rPr>
        <w:t xml:space="preserve"> and </w:t>
      </w:r>
      <w:r w:rsidRPr="00EC5D59">
        <w:t>PM</w:t>
      </w:r>
      <w:r w:rsidRPr="00EC5D59">
        <w:rPr>
          <w:vertAlign w:val="subscript"/>
        </w:rPr>
        <w:t>10</w:t>
      </w:r>
      <w:r w:rsidRPr="00EC5D59">
        <w:rPr>
          <w:rFonts w:cs="Arial"/>
          <w:lang w:val="en-US"/>
        </w:rPr>
        <w:t xml:space="preserve"> based indices, where 39 and 47 days were “low risk”, respectively. The two also had a similar number of days with “moderate risk” 215 and 220, respectively, while the difference was largest in the  “high risk” category,  with 111 days for the </w:t>
      </w:r>
      <w:r w:rsidRPr="00EC5D59">
        <w:rPr>
          <w:lang w:val="en-US"/>
        </w:rPr>
        <w:t>PM</w:t>
      </w:r>
      <w:r w:rsidRPr="00EC5D59">
        <w:rPr>
          <w:vertAlign w:val="subscript"/>
          <w:lang w:val="en-US"/>
        </w:rPr>
        <w:t>2.5</w:t>
      </w:r>
      <w:r w:rsidRPr="00EC5D59">
        <w:rPr>
          <w:rFonts w:cs="Arial"/>
          <w:lang w:val="en-US"/>
        </w:rPr>
        <w:t xml:space="preserve"> based  and only 98 days for the  </w:t>
      </w:r>
      <w:r w:rsidRPr="00EC5D59">
        <w:t>PM</w:t>
      </w:r>
      <w:r w:rsidRPr="00EC5D59">
        <w:rPr>
          <w:vertAlign w:val="subscript"/>
        </w:rPr>
        <w:t>10</w:t>
      </w:r>
      <w:r w:rsidR="009B63CA">
        <w:rPr>
          <w:rFonts w:cs="Arial"/>
          <w:lang w:val="en-US"/>
        </w:rPr>
        <w:t xml:space="preserve"> – based index</w:t>
      </w:r>
      <w:r w:rsidR="00593A4E">
        <w:rPr>
          <w:rFonts w:cs="Arial"/>
          <w:lang w:val="en-US"/>
        </w:rPr>
        <w:t xml:space="preserve">; </w:t>
      </w:r>
      <w:r w:rsidR="00593A4E" w:rsidRPr="00593A4E">
        <w:rPr>
          <w:rFonts w:cs="Arial"/>
          <w:noProof/>
          <w:lang w:val="en-US" w:eastAsia="de-CH"/>
        </w:rPr>
        <w:t xml:space="preserve"> </w:t>
      </w:r>
      <w:r w:rsidR="00593A4E">
        <w:rPr>
          <w:rFonts w:cs="Arial"/>
          <w:noProof/>
          <w:lang w:val="en-US" w:eastAsia="de-CH"/>
        </w:rPr>
        <w:t>PM</w:t>
      </w:r>
      <w:r w:rsidR="00593A4E" w:rsidRPr="00593A4E">
        <w:rPr>
          <w:rFonts w:cs="Arial"/>
          <w:noProof/>
          <w:vertAlign w:val="subscript"/>
          <w:lang w:val="en-US" w:eastAsia="de-CH"/>
        </w:rPr>
        <w:t>2.5</w:t>
      </w:r>
      <w:r w:rsidR="00593A4E">
        <w:rPr>
          <w:rFonts w:cs="Arial"/>
          <w:noProof/>
          <w:lang w:val="en-US" w:eastAsia="de-CH"/>
        </w:rPr>
        <w:t>-based index classified more days as high (index 9 and 10) compared to PM</w:t>
      </w:r>
      <w:r w:rsidR="00593A4E" w:rsidRPr="00593A4E">
        <w:rPr>
          <w:rFonts w:cs="Arial"/>
          <w:noProof/>
          <w:vertAlign w:val="subscript"/>
          <w:lang w:val="en-US" w:eastAsia="de-CH"/>
        </w:rPr>
        <w:t>10</w:t>
      </w:r>
      <w:r w:rsidR="00593A4E">
        <w:rPr>
          <w:rFonts w:cs="Arial"/>
          <w:noProof/>
          <w:lang w:val="en-US" w:eastAsia="de-CH"/>
        </w:rPr>
        <w:t>-index.</w:t>
      </w:r>
    </w:p>
    <w:p w14:paraId="1786AAC1" w14:textId="77777777" w:rsidR="00C817B1" w:rsidRPr="009B63CA" w:rsidRDefault="00C817B1" w:rsidP="004E0D8C">
      <w:pPr>
        <w:jc w:val="both"/>
        <w:rPr>
          <w:rFonts w:cs="Arial"/>
          <w:lang w:val="en-US"/>
        </w:rPr>
      </w:pPr>
    </w:p>
    <w:p w14:paraId="7CF1A27B" w14:textId="110DCCA0" w:rsidR="007D1380" w:rsidRPr="004E0D8C" w:rsidRDefault="008E59D6" w:rsidP="004E0D8C">
      <w:pPr>
        <w:rPr>
          <w:lang w:val="en-US"/>
        </w:rPr>
      </w:pPr>
      <w:r>
        <w:rPr>
          <w:noProof/>
          <w:lang w:val="de-CH" w:eastAsia="de-CH"/>
        </w:rPr>
        <w:lastRenderedPageBreak/>
        <w:drawing>
          <wp:inline distT="0" distB="0" distL="0" distR="0" wp14:anchorId="596FE0AD" wp14:editId="0877F914">
            <wp:extent cx="5760720" cy="504063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m25vspm10-edi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5040630"/>
                    </a:xfrm>
                    <a:prstGeom prst="rect">
                      <a:avLst/>
                    </a:prstGeom>
                  </pic:spPr>
                </pic:pic>
              </a:graphicData>
            </a:graphic>
          </wp:inline>
        </w:drawing>
      </w:r>
    </w:p>
    <w:p w14:paraId="4306133F" w14:textId="7D9B2FC1" w:rsidR="00271EC6" w:rsidRDefault="00271EC6" w:rsidP="004E0D8C">
      <w:pPr>
        <w:pStyle w:val="Caption"/>
        <w:rPr>
          <w:i w:val="0"/>
          <w:lang w:val="en-US"/>
        </w:rPr>
      </w:pPr>
    </w:p>
    <w:p w14:paraId="458407DB" w14:textId="7443A2F0" w:rsidR="008E59D6" w:rsidRPr="00CA5CF5" w:rsidRDefault="00CA5CF5" w:rsidP="00CA5CF5">
      <w:pPr>
        <w:pStyle w:val="Caption"/>
        <w:rPr>
          <w:color w:val="auto"/>
          <w:sz w:val="22"/>
          <w:szCs w:val="22"/>
        </w:rPr>
      </w:pPr>
      <w:bookmarkStart w:id="5" w:name="_Ref138856904"/>
      <w:r w:rsidRPr="00CA5CF5">
        <w:rPr>
          <w:color w:val="auto"/>
          <w:sz w:val="22"/>
          <w:szCs w:val="22"/>
        </w:rPr>
        <w:t xml:space="preserve">Figure S </w:t>
      </w:r>
      <w:r w:rsidRPr="00CA5CF5">
        <w:rPr>
          <w:color w:val="auto"/>
          <w:sz w:val="22"/>
          <w:szCs w:val="22"/>
        </w:rPr>
        <w:fldChar w:fldCharType="begin"/>
      </w:r>
      <w:r w:rsidRPr="00CA5CF5">
        <w:rPr>
          <w:color w:val="auto"/>
          <w:sz w:val="22"/>
          <w:szCs w:val="22"/>
        </w:rPr>
        <w:instrText xml:space="preserve"> SEQ Figure_S \* ARABIC </w:instrText>
      </w:r>
      <w:r w:rsidRPr="00CA5CF5">
        <w:rPr>
          <w:color w:val="auto"/>
          <w:sz w:val="22"/>
          <w:szCs w:val="22"/>
        </w:rPr>
        <w:fldChar w:fldCharType="separate"/>
      </w:r>
      <w:r w:rsidR="0088252E">
        <w:rPr>
          <w:noProof/>
          <w:color w:val="auto"/>
          <w:sz w:val="22"/>
          <w:szCs w:val="22"/>
        </w:rPr>
        <w:t>3</w:t>
      </w:r>
      <w:r w:rsidRPr="00CA5CF5">
        <w:rPr>
          <w:color w:val="auto"/>
          <w:sz w:val="22"/>
          <w:szCs w:val="22"/>
        </w:rPr>
        <w:fldChar w:fldCharType="end"/>
      </w:r>
      <w:bookmarkEnd w:id="5"/>
      <w:r w:rsidR="008E59D6" w:rsidRPr="00CA5CF5">
        <w:rPr>
          <w:color w:val="auto"/>
          <w:sz w:val="22"/>
          <w:szCs w:val="22"/>
        </w:rPr>
        <w:t>: Daily plot of PM10-based and PM2.5-based AQHI with the three gaseous pollutants (NO2, SO2 and O3) in 2019. Panel B shows the number of days each level of the PM10- and the PM2.5-based AQHI occurred.</w:t>
      </w:r>
    </w:p>
    <w:p w14:paraId="0FE588BA" w14:textId="2EBA09BA" w:rsidR="008E59D6" w:rsidRPr="00F05C9D" w:rsidRDefault="008E59D6" w:rsidP="00F05C9D">
      <w:pPr>
        <w:jc w:val="both"/>
        <w:sectPr w:rsidR="008E59D6" w:rsidRPr="00F05C9D">
          <w:footnotePr>
            <w:numFmt w:val="lowerLetter"/>
          </w:footnotePr>
          <w:pgSz w:w="11906" w:h="16838"/>
          <w:pgMar w:top="1417" w:right="1417" w:bottom="1134" w:left="1417" w:header="708" w:footer="708" w:gutter="0"/>
          <w:cols w:space="708"/>
          <w:docGrid w:linePitch="360"/>
        </w:sectPr>
      </w:pPr>
      <w:r>
        <w:t>This shows that</w:t>
      </w:r>
      <w:r w:rsidRPr="008E59D6">
        <w:t xml:space="preserve"> one can derive an average AQHI </w:t>
      </w:r>
      <w:r w:rsidR="00DA2542" w:rsidRPr="008E59D6">
        <w:t>based on either PM</w:t>
      </w:r>
      <w:r w:rsidR="00DA2542" w:rsidRPr="00F05C9D">
        <w:rPr>
          <w:vertAlign w:val="subscript"/>
        </w:rPr>
        <w:t>10</w:t>
      </w:r>
      <w:r w:rsidR="00DA2542" w:rsidRPr="008E59D6">
        <w:t xml:space="preserve"> or PM</w:t>
      </w:r>
      <w:r w:rsidR="00DA2542" w:rsidRPr="00F05C9D">
        <w:rPr>
          <w:vertAlign w:val="subscript"/>
        </w:rPr>
        <w:t>2.5</w:t>
      </w:r>
      <w:r w:rsidRPr="008E59D6">
        <w:t>, whatever may be available in the monitoring networks. The question arises which one to use in case both are available. In light of the dominance of PM</w:t>
      </w:r>
      <w:r w:rsidRPr="00F05C9D">
        <w:rPr>
          <w:vertAlign w:val="subscript"/>
        </w:rPr>
        <w:t xml:space="preserve">2.5 </w:t>
      </w:r>
      <w:r w:rsidRPr="008E59D6">
        <w:t>in the scientific literature and its particular dependence on anthropogenic sources of air pollution, PM</w:t>
      </w:r>
      <w:r w:rsidRPr="00F05C9D">
        <w:rPr>
          <w:vertAlign w:val="subscript"/>
        </w:rPr>
        <w:t xml:space="preserve">2.5 </w:t>
      </w:r>
      <w:r w:rsidRPr="008E59D6">
        <w:t>might be the preferred choice. As shown for Cape Town, the two options lead, on average, to rather similar judgments of air quality. The observed departure from the line of identity tended towards higher index values (9 and 10+) for PM2.5 in the 14-49 µg/m3 range of pollution. The wide range is because concentrations with ER% above 1.1% for PM</w:t>
      </w:r>
      <w:r w:rsidRPr="002A1BE1">
        <w:rPr>
          <w:vertAlign w:val="subscript"/>
        </w:rPr>
        <w:t xml:space="preserve">2.5 </w:t>
      </w:r>
      <w:r w:rsidRPr="008E59D6">
        <w:t>are classified as 10+. However, such distributional properties may be different in other regions and possibly depend on seasonal factors as well.</w:t>
      </w:r>
    </w:p>
    <w:p w14:paraId="25532CCF" w14:textId="4A7A4383" w:rsidR="00787C6D" w:rsidRDefault="00787C6D" w:rsidP="00787C6D">
      <w:pPr>
        <w:pStyle w:val="Caption"/>
        <w:keepNext/>
      </w:pPr>
    </w:p>
    <w:p w14:paraId="184D3FD1" w14:textId="457BFB21" w:rsidR="004D4E96" w:rsidRPr="00787C6D" w:rsidRDefault="002D4496" w:rsidP="002D4496">
      <w:pPr>
        <w:pStyle w:val="Caption"/>
      </w:pPr>
      <w:r w:rsidRPr="002D4496">
        <w:rPr>
          <w:color w:val="auto"/>
          <w:sz w:val="22"/>
          <w:szCs w:val="22"/>
        </w:rPr>
        <w:t xml:space="preserve">Table S </w:t>
      </w:r>
      <w:r w:rsidRPr="002D4496">
        <w:rPr>
          <w:color w:val="auto"/>
          <w:sz w:val="22"/>
          <w:szCs w:val="22"/>
        </w:rPr>
        <w:fldChar w:fldCharType="begin"/>
      </w:r>
      <w:r w:rsidRPr="002D4496">
        <w:rPr>
          <w:color w:val="auto"/>
          <w:sz w:val="22"/>
          <w:szCs w:val="22"/>
        </w:rPr>
        <w:instrText xml:space="preserve"> SEQ Table_S \* ARABIC </w:instrText>
      </w:r>
      <w:r w:rsidRPr="002D4496">
        <w:rPr>
          <w:color w:val="auto"/>
          <w:sz w:val="22"/>
          <w:szCs w:val="22"/>
        </w:rPr>
        <w:fldChar w:fldCharType="separate"/>
      </w:r>
      <w:r w:rsidR="00016BA3">
        <w:rPr>
          <w:noProof/>
          <w:color w:val="auto"/>
          <w:sz w:val="22"/>
          <w:szCs w:val="22"/>
        </w:rPr>
        <w:t>3</w:t>
      </w:r>
      <w:r w:rsidRPr="002D4496">
        <w:rPr>
          <w:color w:val="auto"/>
          <w:sz w:val="22"/>
          <w:szCs w:val="22"/>
        </w:rPr>
        <w:fldChar w:fldCharType="end"/>
      </w:r>
      <w:r w:rsidR="00271EC6" w:rsidRPr="002D4496">
        <w:rPr>
          <w:color w:val="auto"/>
          <w:sz w:val="22"/>
          <w:szCs w:val="22"/>
        </w:rPr>
        <w:t>: Distribution of daily mean (standard deviation) concentration of pollutants and number of days per average single-AQHI value in Cape Town</w:t>
      </w:r>
      <w:r w:rsidR="00271EC6" w:rsidRPr="002D4496">
        <w:rPr>
          <w:color w:val="auto"/>
          <w:sz w:val="22"/>
        </w:rPr>
        <w:t xml:space="preserve"> </w:t>
      </w:r>
      <w:r w:rsidR="00271EC6" w:rsidRPr="00271EC6">
        <w:rPr>
          <w:color w:val="auto"/>
          <w:sz w:val="22"/>
        </w:rPr>
        <w:t xml:space="preserve">for the period from 2006 to 2015 (in total, 3652 days) </w:t>
      </w:r>
    </w:p>
    <w:tbl>
      <w:tblPr>
        <w:tblStyle w:val="TableGrid"/>
        <w:tblW w:w="0" w:type="auto"/>
        <w:tblLook w:val="04A0" w:firstRow="1" w:lastRow="0" w:firstColumn="1" w:lastColumn="0" w:noHBand="0" w:noVBand="1"/>
      </w:tblPr>
      <w:tblGrid>
        <w:gridCol w:w="1146"/>
        <w:gridCol w:w="1819"/>
        <w:gridCol w:w="1476"/>
        <w:gridCol w:w="1342"/>
        <w:gridCol w:w="1476"/>
        <w:gridCol w:w="1342"/>
        <w:gridCol w:w="1599"/>
        <w:gridCol w:w="1342"/>
        <w:gridCol w:w="1599"/>
      </w:tblGrid>
      <w:tr w:rsidR="00271EC6" w14:paraId="6556C51D" w14:textId="77777777" w:rsidTr="000F48F6">
        <w:tc>
          <w:tcPr>
            <w:tcW w:w="1146" w:type="dxa"/>
          </w:tcPr>
          <w:p w14:paraId="76446A8C" w14:textId="77777777" w:rsidR="00271EC6" w:rsidRDefault="00271EC6" w:rsidP="000F48F6">
            <w:pPr>
              <w:rPr>
                <w:lang w:val="en-US"/>
              </w:rPr>
            </w:pPr>
            <w:r>
              <w:rPr>
                <w:lang w:val="en-US"/>
              </w:rPr>
              <w:t>Single  -AQHI</w:t>
            </w:r>
          </w:p>
        </w:tc>
        <w:tc>
          <w:tcPr>
            <w:tcW w:w="1819" w:type="dxa"/>
          </w:tcPr>
          <w:p w14:paraId="39B86EAD" w14:textId="77777777" w:rsidR="00271EC6" w:rsidRDefault="00271EC6" w:rsidP="000F48F6">
            <w:pPr>
              <w:rPr>
                <w:lang w:val="en-US"/>
              </w:rPr>
            </w:pPr>
            <w:r>
              <w:t>PM</w:t>
            </w:r>
            <w:r w:rsidRPr="009963BD">
              <w:rPr>
                <w:vertAlign w:val="subscript"/>
              </w:rPr>
              <w:t>10</w:t>
            </w:r>
          </w:p>
        </w:tc>
        <w:tc>
          <w:tcPr>
            <w:tcW w:w="1476" w:type="dxa"/>
          </w:tcPr>
          <w:p w14:paraId="737AB963" w14:textId="77777777" w:rsidR="00271EC6" w:rsidRDefault="00271EC6" w:rsidP="000F48F6">
            <w:pPr>
              <w:rPr>
                <w:lang w:val="en-US"/>
              </w:rPr>
            </w:pPr>
            <w:r>
              <w:rPr>
                <w:lang w:val="en-US"/>
              </w:rPr>
              <w:t>Days</w:t>
            </w:r>
          </w:p>
        </w:tc>
        <w:tc>
          <w:tcPr>
            <w:tcW w:w="1342" w:type="dxa"/>
          </w:tcPr>
          <w:p w14:paraId="4627034D" w14:textId="77777777" w:rsidR="00271EC6" w:rsidRDefault="00271EC6" w:rsidP="000F48F6">
            <w:pPr>
              <w:rPr>
                <w:lang w:val="en-US"/>
              </w:rPr>
            </w:pPr>
            <w:r>
              <w:t>NO</w:t>
            </w:r>
            <w:r w:rsidRPr="009963BD">
              <w:rPr>
                <w:vertAlign w:val="subscript"/>
              </w:rPr>
              <w:t>2</w:t>
            </w:r>
          </w:p>
        </w:tc>
        <w:tc>
          <w:tcPr>
            <w:tcW w:w="1476" w:type="dxa"/>
          </w:tcPr>
          <w:p w14:paraId="61B67005" w14:textId="77777777" w:rsidR="00271EC6" w:rsidRDefault="00271EC6" w:rsidP="000F48F6">
            <w:pPr>
              <w:rPr>
                <w:lang w:val="en-US"/>
              </w:rPr>
            </w:pPr>
            <w:r>
              <w:rPr>
                <w:lang w:val="en-US"/>
              </w:rPr>
              <w:t>Days</w:t>
            </w:r>
          </w:p>
        </w:tc>
        <w:tc>
          <w:tcPr>
            <w:tcW w:w="1342" w:type="dxa"/>
          </w:tcPr>
          <w:p w14:paraId="2EF461DC" w14:textId="77777777" w:rsidR="00271EC6" w:rsidRDefault="00271EC6" w:rsidP="000F48F6">
            <w:pPr>
              <w:rPr>
                <w:lang w:val="en-US"/>
              </w:rPr>
            </w:pPr>
            <w:r>
              <w:t>SO</w:t>
            </w:r>
            <w:r w:rsidRPr="009963BD">
              <w:rPr>
                <w:vertAlign w:val="subscript"/>
              </w:rPr>
              <w:t>2</w:t>
            </w:r>
          </w:p>
        </w:tc>
        <w:tc>
          <w:tcPr>
            <w:tcW w:w="1599" w:type="dxa"/>
          </w:tcPr>
          <w:p w14:paraId="705AF9EE" w14:textId="77777777" w:rsidR="00271EC6" w:rsidRDefault="00271EC6" w:rsidP="000F48F6">
            <w:pPr>
              <w:rPr>
                <w:lang w:val="en-US"/>
              </w:rPr>
            </w:pPr>
            <w:r>
              <w:rPr>
                <w:lang w:val="en-US"/>
              </w:rPr>
              <w:t>Days</w:t>
            </w:r>
          </w:p>
        </w:tc>
        <w:tc>
          <w:tcPr>
            <w:tcW w:w="1342" w:type="dxa"/>
          </w:tcPr>
          <w:p w14:paraId="6D330476" w14:textId="77777777" w:rsidR="00271EC6" w:rsidRDefault="00271EC6" w:rsidP="000F48F6">
            <w:pPr>
              <w:rPr>
                <w:lang w:val="en-US"/>
              </w:rPr>
            </w:pPr>
            <w:r>
              <w:t>O</w:t>
            </w:r>
            <w:r w:rsidRPr="009963BD">
              <w:rPr>
                <w:vertAlign w:val="subscript"/>
              </w:rPr>
              <w:t>3</w:t>
            </w:r>
          </w:p>
        </w:tc>
        <w:tc>
          <w:tcPr>
            <w:tcW w:w="1599" w:type="dxa"/>
          </w:tcPr>
          <w:p w14:paraId="593F1D60" w14:textId="77777777" w:rsidR="00271EC6" w:rsidRDefault="00271EC6" w:rsidP="000F48F6">
            <w:pPr>
              <w:rPr>
                <w:lang w:val="en-US"/>
              </w:rPr>
            </w:pPr>
            <w:r>
              <w:rPr>
                <w:lang w:val="en-US"/>
              </w:rPr>
              <w:t>Days</w:t>
            </w:r>
          </w:p>
        </w:tc>
      </w:tr>
      <w:tr w:rsidR="00271EC6" w14:paraId="4A40A00D" w14:textId="77777777" w:rsidTr="000F48F6">
        <w:tc>
          <w:tcPr>
            <w:tcW w:w="1146" w:type="dxa"/>
          </w:tcPr>
          <w:p w14:paraId="4CD4D030" w14:textId="77777777" w:rsidR="00271EC6" w:rsidRDefault="00271EC6" w:rsidP="000F48F6">
            <w:pPr>
              <w:rPr>
                <w:lang w:val="en-US"/>
              </w:rPr>
            </w:pPr>
            <w:r>
              <w:rPr>
                <w:lang w:val="en-US"/>
              </w:rPr>
              <w:t>1</w:t>
            </w:r>
            <w:r>
              <w:rPr>
                <w:rStyle w:val="FootnoteReference"/>
                <w:lang w:val="en-US"/>
              </w:rPr>
              <w:footnoteReference w:id="3"/>
            </w:r>
          </w:p>
        </w:tc>
        <w:tc>
          <w:tcPr>
            <w:tcW w:w="1819" w:type="dxa"/>
          </w:tcPr>
          <w:p w14:paraId="1B43956F" w14:textId="77777777" w:rsidR="00271EC6" w:rsidRDefault="00271EC6" w:rsidP="000F48F6">
            <w:pPr>
              <w:rPr>
                <w:lang w:val="en-US"/>
              </w:rPr>
            </w:pPr>
            <w:r>
              <w:rPr>
                <w:lang w:val="en-US"/>
              </w:rPr>
              <w:t>-</w:t>
            </w:r>
          </w:p>
        </w:tc>
        <w:tc>
          <w:tcPr>
            <w:tcW w:w="1476" w:type="dxa"/>
          </w:tcPr>
          <w:p w14:paraId="0AC88E8E" w14:textId="77777777" w:rsidR="00271EC6" w:rsidRDefault="00271EC6" w:rsidP="000F48F6">
            <w:pPr>
              <w:rPr>
                <w:lang w:val="en-US"/>
              </w:rPr>
            </w:pPr>
            <w:r>
              <w:rPr>
                <w:lang w:val="en-US"/>
              </w:rPr>
              <w:t>-</w:t>
            </w:r>
          </w:p>
        </w:tc>
        <w:tc>
          <w:tcPr>
            <w:tcW w:w="1342" w:type="dxa"/>
          </w:tcPr>
          <w:p w14:paraId="4B119F26" w14:textId="77777777" w:rsidR="00271EC6" w:rsidRDefault="00271EC6" w:rsidP="000F48F6">
            <w:pPr>
              <w:rPr>
                <w:lang w:val="en-US"/>
              </w:rPr>
            </w:pPr>
            <w:r w:rsidRPr="00B617A1">
              <w:t>3.03(0.2)</w:t>
            </w:r>
          </w:p>
        </w:tc>
        <w:tc>
          <w:tcPr>
            <w:tcW w:w="1476" w:type="dxa"/>
          </w:tcPr>
          <w:p w14:paraId="7E134C2B" w14:textId="77777777" w:rsidR="00271EC6" w:rsidRDefault="00271EC6" w:rsidP="000F48F6">
            <w:pPr>
              <w:rPr>
                <w:lang w:val="en-US"/>
              </w:rPr>
            </w:pPr>
            <w:r w:rsidRPr="00FB19A5">
              <w:t>26(0.71%)</w:t>
            </w:r>
          </w:p>
        </w:tc>
        <w:tc>
          <w:tcPr>
            <w:tcW w:w="1342" w:type="dxa"/>
          </w:tcPr>
          <w:p w14:paraId="455E05E2" w14:textId="77777777" w:rsidR="00271EC6" w:rsidRDefault="00271EC6" w:rsidP="000F48F6">
            <w:pPr>
              <w:rPr>
                <w:lang w:val="en-US"/>
              </w:rPr>
            </w:pPr>
            <w:r w:rsidRPr="00902CDF">
              <w:t>5.</w:t>
            </w:r>
            <w:r>
              <w:t>34</w:t>
            </w:r>
            <w:r w:rsidRPr="00902CDF">
              <w:t>(1.</w:t>
            </w:r>
            <w:r>
              <w:t>10</w:t>
            </w:r>
            <w:r w:rsidRPr="00902CDF">
              <w:t>)</w:t>
            </w:r>
          </w:p>
        </w:tc>
        <w:tc>
          <w:tcPr>
            <w:tcW w:w="1599" w:type="dxa"/>
          </w:tcPr>
          <w:p w14:paraId="4314771C" w14:textId="77777777" w:rsidR="00271EC6" w:rsidRDefault="00271EC6" w:rsidP="000F48F6">
            <w:pPr>
              <w:rPr>
                <w:lang w:val="en-US"/>
              </w:rPr>
            </w:pPr>
            <w:r>
              <w:t>841</w:t>
            </w:r>
            <w:r w:rsidRPr="00902CDF">
              <w:t>(2</w:t>
            </w:r>
            <w:r>
              <w:t>3.03</w:t>
            </w:r>
            <w:r w:rsidRPr="00902CDF">
              <w:t>%)</w:t>
            </w:r>
          </w:p>
        </w:tc>
        <w:tc>
          <w:tcPr>
            <w:tcW w:w="1342" w:type="dxa"/>
          </w:tcPr>
          <w:p w14:paraId="032A3602" w14:textId="77777777" w:rsidR="00271EC6" w:rsidRDefault="00271EC6" w:rsidP="000F48F6">
            <w:pPr>
              <w:rPr>
                <w:lang w:val="en-US"/>
              </w:rPr>
            </w:pPr>
            <w:r w:rsidRPr="00F2375A">
              <w:t>14.39(4.51)</w:t>
            </w:r>
          </w:p>
        </w:tc>
        <w:tc>
          <w:tcPr>
            <w:tcW w:w="1599" w:type="dxa"/>
          </w:tcPr>
          <w:p w14:paraId="05668D1F" w14:textId="77777777" w:rsidR="00271EC6" w:rsidRDefault="00271EC6" w:rsidP="000F48F6">
            <w:pPr>
              <w:rPr>
                <w:lang w:val="en-US"/>
              </w:rPr>
            </w:pPr>
            <w:r w:rsidRPr="00F2375A">
              <w:t>374(10.24%)</w:t>
            </w:r>
          </w:p>
        </w:tc>
      </w:tr>
      <w:tr w:rsidR="00271EC6" w14:paraId="20F4C6C0" w14:textId="77777777" w:rsidTr="000F48F6">
        <w:tc>
          <w:tcPr>
            <w:tcW w:w="1146" w:type="dxa"/>
          </w:tcPr>
          <w:p w14:paraId="2C48EFA0" w14:textId="77777777" w:rsidR="00271EC6" w:rsidRDefault="00271EC6" w:rsidP="000F48F6">
            <w:pPr>
              <w:rPr>
                <w:lang w:val="en-US"/>
              </w:rPr>
            </w:pPr>
            <w:r>
              <w:rPr>
                <w:lang w:val="en-US"/>
              </w:rPr>
              <w:t>2</w:t>
            </w:r>
          </w:p>
        </w:tc>
        <w:tc>
          <w:tcPr>
            <w:tcW w:w="1819" w:type="dxa"/>
          </w:tcPr>
          <w:p w14:paraId="051DA0AD" w14:textId="77777777" w:rsidR="00271EC6" w:rsidRDefault="00271EC6" w:rsidP="000F48F6">
            <w:pPr>
              <w:rPr>
                <w:lang w:val="en-US"/>
              </w:rPr>
            </w:pPr>
            <w:r w:rsidRPr="00180B33">
              <w:t>9.06(1.06)</w:t>
            </w:r>
          </w:p>
        </w:tc>
        <w:tc>
          <w:tcPr>
            <w:tcW w:w="1476" w:type="dxa"/>
          </w:tcPr>
          <w:p w14:paraId="5CA9AE44" w14:textId="77777777" w:rsidR="00271EC6" w:rsidRDefault="00271EC6" w:rsidP="000F48F6">
            <w:pPr>
              <w:rPr>
                <w:lang w:val="en-US"/>
              </w:rPr>
            </w:pPr>
            <w:r w:rsidRPr="002B0E0E">
              <w:t>19(0.52%)</w:t>
            </w:r>
          </w:p>
        </w:tc>
        <w:tc>
          <w:tcPr>
            <w:tcW w:w="1342" w:type="dxa"/>
          </w:tcPr>
          <w:p w14:paraId="748F40FD" w14:textId="77777777" w:rsidR="00271EC6" w:rsidRDefault="00271EC6" w:rsidP="000F48F6">
            <w:pPr>
              <w:rPr>
                <w:lang w:val="en-US"/>
              </w:rPr>
            </w:pPr>
            <w:r w:rsidRPr="00B617A1">
              <w:t>5.29(0.97)</w:t>
            </w:r>
          </w:p>
        </w:tc>
        <w:tc>
          <w:tcPr>
            <w:tcW w:w="1476" w:type="dxa"/>
          </w:tcPr>
          <w:p w14:paraId="36BD2565" w14:textId="77777777" w:rsidR="00271EC6" w:rsidRDefault="00271EC6" w:rsidP="000F48F6">
            <w:pPr>
              <w:rPr>
                <w:lang w:val="en-US"/>
              </w:rPr>
            </w:pPr>
            <w:r w:rsidRPr="00FB19A5">
              <w:t>255(6.98%)</w:t>
            </w:r>
          </w:p>
        </w:tc>
        <w:tc>
          <w:tcPr>
            <w:tcW w:w="1342" w:type="dxa"/>
          </w:tcPr>
          <w:p w14:paraId="1150545C" w14:textId="77777777" w:rsidR="00271EC6" w:rsidRDefault="00271EC6" w:rsidP="000F48F6">
            <w:pPr>
              <w:rPr>
                <w:lang w:val="en-US"/>
              </w:rPr>
            </w:pPr>
            <w:r w:rsidRPr="00902CDF">
              <w:t>9.</w:t>
            </w:r>
            <w:r>
              <w:t>58</w:t>
            </w:r>
            <w:r w:rsidRPr="00902CDF">
              <w:t>(1.8</w:t>
            </w:r>
            <w:r>
              <w:t>8</w:t>
            </w:r>
            <w:r w:rsidRPr="00902CDF">
              <w:t>)</w:t>
            </w:r>
          </w:p>
        </w:tc>
        <w:tc>
          <w:tcPr>
            <w:tcW w:w="1599" w:type="dxa"/>
          </w:tcPr>
          <w:p w14:paraId="51C0F788" w14:textId="77777777" w:rsidR="00271EC6" w:rsidRDefault="00271EC6" w:rsidP="000F48F6">
            <w:pPr>
              <w:rPr>
                <w:lang w:val="en-US"/>
              </w:rPr>
            </w:pPr>
            <w:r w:rsidRPr="00902CDF">
              <w:t>19</w:t>
            </w:r>
            <w:r>
              <w:t>48</w:t>
            </w:r>
            <w:r w:rsidRPr="00902CDF">
              <w:t>(5</w:t>
            </w:r>
            <w:r>
              <w:t>3.34</w:t>
            </w:r>
            <w:r w:rsidRPr="00902CDF">
              <w:t>%)</w:t>
            </w:r>
          </w:p>
        </w:tc>
        <w:tc>
          <w:tcPr>
            <w:tcW w:w="1342" w:type="dxa"/>
          </w:tcPr>
          <w:p w14:paraId="72E4F964" w14:textId="77777777" w:rsidR="00271EC6" w:rsidRDefault="00271EC6" w:rsidP="000F48F6">
            <w:pPr>
              <w:rPr>
                <w:lang w:val="en-US"/>
              </w:rPr>
            </w:pPr>
            <w:r w:rsidRPr="00F2375A">
              <w:t>30.68(5.24)</w:t>
            </w:r>
          </w:p>
        </w:tc>
        <w:tc>
          <w:tcPr>
            <w:tcW w:w="1599" w:type="dxa"/>
          </w:tcPr>
          <w:p w14:paraId="55405B20" w14:textId="77777777" w:rsidR="00271EC6" w:rsidRDefault="00271EC6" w:rsidP="000F48F6">
            <w:pPr>
              <w:rPr>
                <w:lang w:val="en-US"/>
              </w:rPr>
            </w:pPr>
            <w:r w:rsidRPr="00F2375A">
              <w:t>1612(44.14%)</w:t>
            </w:r>
          </w:p>
        </w:tc>
      </w:tr>
      <w:tr w:rsidR="00271EC6" w14:paraId="40336A6C" w14:textId="77777777" w:rsidTr="000F48F6">
        <w:tc>
          <w:tcPr>
            <w:tcW w:w="1146" w:type="dxa"/>
          </w:tcPr>
          <w:p w14:paraId="69796B58" w14:textId="77777777" w:rsidR="00271EC6" w:rsidRDefault="00271EC6" w:rsidP="000F48F6">
            <w:pPr>
              <w:rPr>
                <w:lang w:val="en-US"/>
              </w:rPr>
            </w:pPr>
            <w:r>
              <w:rPr>
                <w:lang w:val="en-US"/>
              </w:rPr>
              <w:t>3</w:t>
            </w:r>
          </w:p>
        </w:tc>
        <w:tc>
          <w:tcPr>
            <w:tcW w:w="1819" w:type="dxa"/>
          </w:tcPr>
          <w:p w14:paraId="721806A0" w14:textId="77777777" w:rsidR="00271EC6" w:rsidRDefault="00271EC6" w:rsidP="000F48F6">
            <w:pPr>
              <w:rPr>
                <w:lang w:val="en-US"/>
              </w:rPr>
            </w:pPr>
            <w:r w:rsidRPr="00180B33">
              <w:t>13.47(1.39)</w:t>
            </w:r>
          </w:p>
        </w:tc>
        <w:tc>
          <w:tcPr>
            <w:tcW w:w="1476" w:type="dxa"/>
          </w:tcPr>
          <w:p w14:paraId="1EC32B67" w14:textId="77777777" w:rsidR="00271EC6" w:rsidRDefault="00271EC6" w:rsidP="000F48F6">
            <w:pPr>
              <w:rPr>
                <w:lang w:val="en-US"/>
              </w:rPr>
            </w:pPr>
            <w:r w:rsidRPr="002B0E0E">
              <w:t>258(7.06%)</w:t>
            </w:r>
          </w:p>
        </w:tc>
        <w:tc>
          <w:tcPr>
            <w:tcW w:w="1342" w:type="dxa"/>
          </w:tcPr>
          <w:p w14:paraId="4064CAE3" w14:textId="77777777" w:rsidR="00271EC6" w:rsidRDefault="00271EC6" w:rsidP="000F48F6">
            <w:pPr>
              <w:rPr>
                <w:lang w:val="en-US"/>
              </w:rPr>
            </w:pPr>
            <w:r w:rsidRPr="00B617A1">
              <w:t>8.46(0.95)</w:t>
            </w:r>
          </w:p>
        </w:tc>
        <w:tc>
          <w:tcPr>
            <w:tcW w:w="1476" w:type="dxa"/>
          </w:tcPr>
          <w:p w14:paraId="75C83057" w14:textId="77777777" w:rsidR="00271EC6" w:rsidRDefault="00271EC6" w:rsidP="000F48F6">
            <w:pPr>
              <w:rPr>
                <w:lang w:val="en-US"/>
              </w:rPr>
            </w:pPr>
            <w:r w:rsidRPr="00FB19A5">
              <w:t>460(12.6%)</w:t>
            </w:r>
          </w:p>
        </w:tc>
        <w:tc>
          <w:tcPr>
            <w:tcW w:w="1342" w:type="dxa"/>
          </w:tcPr>
          <w:p w14:paraId="1BF37D8F" w14:textId="77777777" w:rsidR="00271EC6" w:rsidRDefault="00271EC6" w:rsidP="000F48F6">
            <w:pPr>
              <w:rPr>
                <w:lang w:val="en-US"/>
              </w:rPr>
            </w:pPr>
            <w:r w:rsidRPr="00902CDF">
              <w:t>1</w:t>
            </w:r>
            <w:r>
              <w:t>6.10</w:t>
            </w:r>
            <w:r w:rsidRPr="00902CDF">
              <w:t>(1.</w:t>
            </w:r>
            <w:r>
              <w:t>91</w:t>
            </w:r>
            <w:r w:rsidRPr="00902CDF">
              <w:t>)</w:t>
            </w:r>
          </w:p>
        </w:tc>
        <w:tc>
          <w:tcPr>
            <w:tcW w:w="1599" w:type="dxa"/>
          </w:tcPr>
          <w:p w14:paraId="6724857A" w14:textId="77777777" w:rsidR="00271EC6" w:rsidRDefault="00271EC6" w:rsidP="000F48F6">
            <w:pPr>
              <w:rPr>
                <w:lang w:val="en-US"/>
              </w:rPr>
            </w:pPr>
            <w:r w:rsidRPr="00902CDF">
              <w:t>6</w:t>
            </w:r>
            <w:r>
              <w:t>02</w:t>
            </w:r>
            <w:r w:rsidRPr="00902CDF">
              <w:t>(</w:t>
            </w:r>
            <w:r>
              <w:t>16.48</w:t>
            </w:r>
            <w:r w:rsidRPr="00902CDF">
              <w:t>%)</w:t>
            </w:r>
          </w:p>
        </w:tc>
        <w:tc>
          <w:tcPr>
            <w:tcW w:w="1342" w:type="dxa"/>
          </w:tcPr>
          <w:p w14:paraId="7F2191CD" w14:textId="77777777" w:rsidR="00271EC6" w:rsidRDefault="00271EC6" w:rsidP="000F48F6">
            <w:pPr>
              <w:rPr>
                <w:lang w:val="en-US"/>
              </w:rPr>
            </w:pPr>
            <w:r w:rsidRPr="00F2375A">
              <w:t>47.12(5.25)</w:t>
            </w:r>
          </w:p>
        </w:tc>
        <w:tc>
          <w:tcPr>
            <w:tcW w:w="1599" w:type="dxa"/>
          </w:tcPr>
          <w:p w14:paraId="45E368AC" w14:textId="77777777" w:rsidR="00271EC6" w:rsidRDefault="00271EC6" w:rsidP="000F48F6">
            <w:pPr>
              <w:rPr>
                <w:lang w:val="en-US"/>
              </w:rPr>
            </w:pPr>
            <w:r w:rsidRPr="00F2375A">
              <w:t>627(17.17%)</w:t>
            </w:r>
          </w:p>
        </w:tc>
      </w:tr>
      <w:tr w:rsidR="00271EC6" w14:paraId="636B7CD3" w14:textId="77777777" w:rsidTr="000F48F6">
        <w:tc>
          <w:tcPr>
            <w:tcW w:w="1146" w:type="dxa"/>
          </w:tcPr>
          <w:p w14:paraId="0F868635" w14:textId="77777777" w:rsidR="00271EC6" w:rsidRDefault="00271EC6" w:rsidP="000F48F6">
            <w:pPr>
              <w:rPr>
                <w:lang w:val="en-US"/>
              </w:rPr>
            </w:pPr>
            <w:r>
              <w:rPr>
                <w:lang w:val="en-US"/>
              </w:rPr>
              <w:t>4</w:t>
            </w:r>
          </w:p>
        </w:tc>
        <w:tc>
          <w:tcPr>
            <w:tcW w:w="1819" w:type="dxa"/>
          </w:tcPr>
          <w:p w14:paraId="36D751FB" w14:textId="77777777" w:rsidR="00271EC6" w:rsidRDefault="00271EC6" w:rsidP="000F48F6">
            <w:pPr>
              <w:rPr>
                <w:lang w:val="en-US"/>
              </w:rPr>
            </w:pPr>
            <w:r w:rsidRPr="00180B33">
              <w:t>18.07(1.45)</w:t>
            </w:r>
          </w:p>
        </w:tc>
        <w:tc>
          <w:tcPr>
            <w:tcW w:w="1476" w:type="dxa"/>
          </w:tcPr>
          <w:p w14:paraId="7D70E2E5" w14:textId="77777777" w:rsidR="00271EC6" w:rsidRDefault="00271EC6" w:rsidP="000F48F6">
            <w:pPr>
              <w:rPr>
                <w:lang w:val="en-US"/>
              </w:rPr>
            </w:pPr>
            <w:r w:rsidRPr="002B0E0E">
              <w:t>630(17.25%)</w:t>
            </w:r>
          </w:p>
        </w:tc>
        <w:tc>
          <w:tcPr>
            <w:tcW w:w="1342" w:type="dxa"/>
          </w:tcPr>
          <w:p w14:paraId="6EBD6DCA" w14:textId="77777777" w:rsidR="00271EC6" w:rsidRDefault="00271EC6" w:rsidP="000F48F6">
            <w:pPr>
              <w:rPr>
                <w:lang w:val="en-US"/>
              </w:rPr>
            </w:pPr>
            <w:r w:rsidRPr="00B617A1">
              <w:t>11.65(0.94)</w:t>
            </w:r>
          </w:p>
        </w:tc>
        <w:tc>
          <w:tcPr>
            <w:tcW w:w="1476" w:type="dxa"/>
          </w:tcPr>
          <w:p w14:paraId="7429CF4C" w14:textId="77777777" w:rsidR="00271EC6" w:rsidRDefault="00271EC6" w:rsidP="000F48F6">
            <w:pPr>
              <w:rPr>
                <w:lang w:val="en-US"/>
              </w:rPr>
            </w:pPr>
            <w:r w:rsidRPr="00FB19A5">
              <w:t>613(16.79%)</w:t>
            </w:r>
          </w:p>
        </w:tc>
        <w:tc>
          <w:tcPr>
            <w:tcW w:w="1342" w:type="dxa"/>
          </w:tcPr>
          <w:p w14:paraId="03028CA0" w14:textId="77777777" w:rsidR="00271EC6" w:rsidRDefault="00271EC6" w:rsidP="000F48F6">
            <w:pPr>
              <w:rPr>
                <w:lang w:val="en-US"/>
              </w:rPr>
            </w:pPr>
            <w:r w:rsidRPr="00902CDF">
              <w:t>2</w:t>
            </w:r>
            <w:r>
              <w:t>3.36</w:t>
            </w:r>
            <w:r w:rsidRPr="00902CDF">
              <w:t>(</w:t>
            </w:r>
            <w:r>
              <w:t>2.01</w:t>
            </w:r>
            <w:r w:rsidRPr="00902CDF">
              <w:t>)</w:t>
            </w:r>
          </w:p>
        </w:tc>
        <w:tc>
          <w:tcPr>
            <w:tcW w:w="1599" w:type="dxa"/>
          </w:tcPr>
          <w:p w14:paraId="13D98CE7" w14:textId="77777777" w:rsidR="00271EC6" w:rsidRDefault="00271EC6" w:rsidP="000F48F6">
            <w:pPr>
              <w:rPr>
                <w:lang w:val="en-US"/>
              </w:rPr>
            </w:pPr>
            <w:r w:rsidRPr="00902CDF">
              <w:t>1</w:t>
            </w:r>
            <w:r>
              <w:t>28</w:t>
            </w:r>
            <w:r w:rsidRPr="00902CDF">
              <w:t>(3.</w:t>
            </w:r>
            <w:r>
              <w:t>50</w:t>
            </w:r>
            <w:r w:rsidRPr="00902CDF">
              <w:t>%)</w:t>
            </w:r>
          </w:p>
        </w:tc>
        <w:tc>
          <w:tcPr>
            <w:tcW w:w="1342" w:type="dxa"/>
          </w:tcPr>
          <w:p w14:paraId="1BFF24EF" w14:textId="77777777" w:rsidR="00271EC6" w:rsidRDefault="00271EC6" w:rsidP="000F48F6">
            <w:pPr>
              <w:rPr>
                <w:lang w:val="en-US"/>
              </w:rPr>
            </w:pPr>
            <w:r w:rsidRPr="00F2375A">
              <w:t>65.29(4.58)</w:t>
            </w:r>
          </w:p>
        </w:tc>
        <w:tc>
          <w:tcPr>
            <w:tcW w:w="1599" w:type="dxa"/>
          </w:tcPr>
          <w:p w14:paraId="263892FB" w14:textId="77777777" w:rsidR="00271EC6" w:rsidRDefault="00271EC6" w:rsidP="000F48F6">
            <w:pPr>
              <w:rPr>
                <w:lang w:val="en-US"/>
              </w:rPr>
            </w:pPr>
            <w:r w:rsidRPr="00F2375A">
              <w:t>54(1.48%)</w:t>
            </w:r>
          </w:p>
        </w:tc>
      </w:tr>
      <w:tr w:rsidR="00271EC6" w14:paraId="01886FF5" w14:textId="77777777" w:rsidTr="000F48F6">
        <w:tc>
          <w:tcPr>
            <w:tcW w:w="1146" w:type="dxa"/>
          </w:tcPr>
          <w:p w14:paraId="2DA09C18" w14:textId="77777777" w:rsidR="00271EC6" w:rsidRDefault="00271EC6" w:rsidP="000F48F6">
            <w:pPr>
              <w:rPr>
                <w:lang w:val="en-US"/>
              </w:rPr>
            </w:pPr>
            <w:r>
              <w:rPr>
                <w:lang w:val="en-US"/>
              </w:rPr>
              <w:t>5</w:t>
            </w:r>
          </w:p>
        </w:tc>
        <w:tc>
          <w:tcPr>
            <w:tcW w:w="1819" w:type="dxa"/>
          </w:tcPr>
          <w:p w14:paraId="05911EB6" w14:textId="77777777" w:rsidR="00271EC6" w:rsidRDefault="00271EC6" w:rsidP="000F48F6">
            <w:pPr>
              <w:rPr>
                <w:lang w:val="en-US"/>
              </w:rPr>
            </w:pPr>
            <w:r w:rsidRPr="00180B33">
              <w:t>23.02(1.46)</w:t>
            </w:r>
          </w:p>
        </w:tc>
        <w:tc>
          <w:tcPr>
            <w:tcW w:w="1476" w:type="dxa"/>
          </w:tcPr>
          <w:p w14:paraId="2B53E55D" w14:textId="77777777" w:rsidR="00271EC6" w:rsidRDefault="00271EC6" w:rsidP="000F48F6">
            <w:pPr>
              <w:rPr>
                <w:lang w:val="en-US"/>
              </w:rPr>
            </w:pPr>
            <w:r w:rsidRPr="002B0E0E">
              <w:t>672(18.4%)</w:t>
            </w:r>
          </w:p>
        </w:tc>
        <w:tc>
          <w:tcPr>
            <w:tcW w:w="1342" w:type="dxa"/>
          </w:tcPr>
          <w:p w14:paraId="4C92F1EF" w14:textId="77777777" w:rsidR="00271EC6" w:rsidRDefault="00271EC6" w:rsidP="000F48F6">
            <w:pPr>
              <w:rPr>
                <w:lang w:val="en-US"/>
              </w:rPr>
            </w:pPr>
            <w:r w:rsidRPr="00B617A1">
              <w:t>14.84(0.94)</w:t>
            </w:r>
          </w:p>
        </w:tc>
        <w:tc>
          <w:tcPr>
            <w:tcW w:w="1476" w:type="dxa"/>
          </w:tcPr>
          <w:p w14:paraId="3C582CCD" w14:textId="77777777" w:rsidR="00271EC6" w:rsidRDefault="00271EC6" w:rsidP="000F48F6">
            <w:pPr>
              <w:rPr>
                <w:lang w:val="en-US"/>
              </w:rPr>
            </w:pPr>
            <w:r w:rsidRPr="00FB19A5">
              <w:t>596(16.32%)</w:t>
            </w:r>
          </w:p>
        </w:tc>
        <w:tc>
          <w:tcPr>
            <w:tcW w:w="1342" w:type="dxa"/>
          </w:tcPr>
          <w:p w14:paraId="1DBB792F" w14:textId="77777777" w:rsidR="00271EC6" w:rsidRDefault="00271EC6" w:rsidP="000F48F6">
            <w:pPr>
              <w:rPr>
                <w:lang w:val="en-US"/>
              </w:rPr>
            </w:pPr>
            <w:r w:rsidRPr="00902CDF">
              <w:t>2</w:t>
            </w:r>
            <w:r>
              <w:t>9.22</w:t>
            </w:r>
            <w:r w:rsidRPr="00902CDF">
              <w:t>(1.</w:t>
            </w:r>
            <w:r>
              <w:t>80</w:t>
            </w:r>
            <w:r w:rsidRPr="00902CDF">
              <w:t>)</w:t>
            </w:r>
          </w:p>
        </w:tc>
        <w:tc>
          <w:tcPr>
            <w:tcW w:w="1599" w:type="dxa"/>
          </w:tcPr>
          <w:p w14:paraId="3C24C934" w14:textId="77777777" w:rsidR="00271EC6" w:rsidRDefault="00271EC6" w:rsidP="000F48F6">
            <w:pPr>
              <w:rPr>
                <w:lang w:val="en-US"/>
              </w:rPr>
            </w:pPr>
            <w:r>
              <w:t>31</w:t>
            </w:r>
            <w:r w:rsidRPr="00902CDF">
              <w:t>(</w:t>
            </w:r>
            <w:r>
              <w:t>0.85</w:t>
            </w:r>
            <w:r w:rsidRPr="00902CDF">
              <w:t>%)</w:t>
            </w:r>
          </w:p>
        </w:tc>
        <w:tc>
          <w:tcPr>
            <w:tcW w:w="1342" w:type="dxa"/>
          </w:tcPr>
          <w:p w14:paraId="6A47B484" w14:textId="77777777" w:rsidR="00271EC6" w:rsidRDefault="00271EC6" w:rsidP="000F48F6">
            <w:pPr>
              <w:rPr>
                <w:lang w:val="en-US"/>
              </w:rPr>
            </w:pPr>
            <w:r w:rsidRPr="00F2375A">
              <w:t>83.57(3.71)</w:t>
            </w:r>
          </w:p>
        </w:tc>
        <w:tc>
          <w:tcPr>
            <w:tcW w:w="1599" w:type="dxa"/>
          </w:tcPr>
          <w:p w14:paraId="5BE529FB" w14:textId="77777777" w:rsidR="00271EC6" w:rsidRDefault="00271EC6" w:rsidP="000F48F6">
            <w:pPr>
              <w:rPr>
                <w:lang w:val="en-US"/>
              </w:rPr>
            </w:pPr>
            <w:r w:rsidRPr="00F2375A">
              <w:t>5(0.14%)</w:t>
            </w:r>
          </w:p>
        </w:tc>
      </w:tr>
      <w:tr w:rsidR="00271EC6" w14:paraId="030015FC" w14:textId="77777777" w:rsidTr="000F48F6">
        <w:tc>
          <w:tcPr>
            <w:tcW w:w="1146" w:type="dxa"/>
          </w:tcPr>
          <w:p w14:paraId="6A3BC173" w14:textId="77777777" w:rsidR="00271EC6" w:rsidRDefault="00271EC6" w:rsidP="000F48F6">
            <w:pPr>
              <w:rPr>
                <w:lang w:val="en-US"/>
              </w:rPr>
            </w:pPr>
            <w:r>
              <w:rPr>
                <w:lang w:val="en-US"/>
              </w:rPr>
              <w:t>6</w:t>
            </w:r>
          </w:p>
        </w:tc>
        <w:tc>
          <w:tcPr>
            <w:tcW w:w="1819" w:type="dxa"/>
          </w:tcPr>
          <w:p w14:paraId="11794281" w14:textId="77777777" w:rsidR="00271EC6" w:rsidRDefault="00271EC6" w:rsidP="000F48F6">
            <w:pPr>
              <w:rPr>
                <w:lang w:val="en-US"/>
              </w:rPr>
            </w:pPr>
            <w:r w:rsidRPr="00180B33">
              <w:t>27.98(1.48)</w:t>
            </w:r>
          </w:p>
        </w:tc>
        <w:tc>
          <w:tcPr>
            <w:tcW w:w="1476" w:type="dxa"/>
          </w:tcPr>
          <w:p w14:paraId="73F9191D" w14:textId="77777777" w:rsidR="00271EC6" w:rsidRDefault="00271EC6" w:rsidP="000F48F6">
            <w:pPr>
              <w:rPr>
                <w:lang w:val="en-US"/>
              </w:rPr>
            </w:pPr>
            <w:r w:rsidRPr="002B0E0E">
              <w:t>626(17.14%)</w:t>
            </w:r>
          </w:p>
        </w:tc>
        <w:tc>
          <w:tcPr>
            <w:tcW w:w="1342" w:type="dxa"/>
          </w:tcPr>
          <w:p w14:paraId="36456DF7" w14:textId="77777777" w:rsidR="00271EC6" w:rsidRDefault="00271EC6" w:rsidP="000F48F6">
            <w:pPr>
              <w:rPr>
                <w:lang w:val="en-US"/>
              </w:rPr>
            </w:pPr>
            <w:r w:rsidRPr="00B617A1">
              <w:t>18.18(0.96)</w:t>
            </w:r>
          </w:p>
        </w:tc>
        <w:tc>
          <w:tcPr>
            <w:tcW w:w="1476" w:type="dxa"/>
          </w:tcPr>
          <w:p w14:paraId="20985D19" w14:textId="77777777" w:rsidR="00271EC6" w:rsidRDefault="00271EC6" w:rsidP="000F48F6">
            <w:pPr>
              <w:rPr>
                <w:lang w:val="en-US"/>
              </w:rPr>
            </w:pPr>
            <w:r w:rsidRPr="00FB19A5">
              <w:t>370(10.13%)</w:t>
            </w:r>
          </w:p>
        </w:tc>
        <w:tc>
          <w:tcPr>
            <w:tcW w:w="1342" w:type="dxa"/>
          </w:tcPr>
          <w:p w14:paraId="10383CAF" w14:textId="77777777" w:rsidR="00271EC6" w:rsidRDefault="00271EC6" w:rsidP="000F48F6">
            <w:pPr>
              <w:rPr>
                <w:lang w:val="en-US"/>
              </w:rPr>
            </w:pPr>
            <w:r w:rsidRPr="00902CDF">
              <w:t>35.</w:t>
            </w:r>
            <w:r>
              <w:t>68</w:t>
            </w:r>
            <w:r w:rsidRPr="00902CDF">
              <w:t>(1.</w:t>
            </w:r>
            <w:r>
              <w:t>32</w:t>
            </w:r>
            <w:r w:rsidRPr="00902CDF">
              <w:t>)</w:t>
            </w:r>
          </w:p>
        </w:tc>
        <w:tc>
          <w:tcPr>
            <w:tcW w:w="1599" w:type="dxa"/>
          </w:tcPr>
          <w:p w14:paraId="587CCCAE" w14:textId="77777777" w:rsidR="00271EC6" w:rsidRDefault="00271EC6" w:rsidP="000F48F6">
            <w:pPr>
              <w:rPr>
                <w:lang w:val="en-US"/>
              </w:rPr>
            </w:pPr>
            <w:r w:rsidRPr="00902CDF">
              <w:t>1</w:t>
            </w:r>
            <w:r>
              <w:t>0</w:t>
            </w:r>
            <w:r w:rsidRPr="00902CDF">
              <w:t>(0.</w:t>
            </w:r>
            <w:r>
              <w:t>27</w:t>
            </w:r>
            <w:r w:rsidRPr="00902CDF">
              <w:t>%)</w:t>
            </w:r>
          </w:p>
        </w:tc>
        <w:tc>
          <w:tcPr>
            <w:tcW w:w="1342" w:type="dxa"/>
          </w:tcPr>
          <w:p w14:paraId="46C51783" w14:textId="77777777" w:rsidR="00271EC6" w:rsidRDefault="00271EC6" w:rsidP="000F48F6">
            <w:pPr>
              <w:rPr>
                <w:lang w:val="en-US"/>
              </w:rPr>
            </w:pPr>
            <w:r>
              <w:rPr>
                <w:lang w:val="en-US"/>
              </w:rPr>
              <w:t>-</w:t>
            </w:r>
          </w:p>
        </w:tc>
        <w:tc>
          <w:tcPr>
            <w:tcW w:w="1599" w:type="dxa"/>
          </w:tcPr>
          <w:p w14:paraId="1223D070" w14:textId="77777777" w:rsidR="00271EC6" w:rsidRDefault="00271EC6" w:rsidP="000F48F6">
            <w:pPr>
              <w:rPr>
                <w:lang w:val="en-US"/>
              </w:rPr>
            </w:pPr>
            <w:r>
              <w:rPr>
                <w:lang w:val="en-US"/>
              </w:rPr>
              <w:t>-</w:t>
            </w:r>
          </w:p>
        </w:tc>
      </w:tr>
      <w:tr w:rsidR="00271EC6" w14:paraId="75371142" w14:textId="77777777" w:rsidTr="000F48F6">
        <w:tc>
          <w:tcPr>
            <w:tcW w:w="1146" w:type="dxa"/>
          </w:tcPr>
          <w:p w14:paraId="355807FD" w14:textId="77777777" w:rsidR="00271EC6" w:rsidRDefault="00271EC6" w:rsidP="000F48F6">
            <w:pPr>
              <w:rPr>
                <w:lang w:val="en-US"/>
              </w:rPr>
            </w:pPr>
            <w:r>
              <w:rPr>
                <w:lang w:val="en-US"/>
              </w:rPr>
              <w:t>7</w:t>
            </w:r>
          </w:p>
        </w:tc>
        <w:tc>
          <w:tcPr>
            <w:tcW w:w="1819" w:type="dxa"/>
          </w:tcPr>
          <w:p w14:paraId="0D374B88" w14:textId="77777777" w:rsidR="00271EC6" w:rsidRDefault="00271EC6" w:rsidP="000F48F6">
            <w:pPr>
              <w:rPr>
                <w:lang w:val="en-US"/>
              </w:rPr>
            </w:pPr>
            <w:r w:rsidRPr="00180B33">
              <w:t>32.95(1.43)</w:t>
            </w:r>
          </w:p>
        </w:tc>
        <w:tc>
          <w:tcPr>
            <w:tcW w:w="1476" w:type="dxa"/>
          </w:tcPr>
          <w:p w14:paraId="1D5969FD" w14:textId="77777777" w:rsidR="00271EC6" w:rsidRDefault="00271EC6" w:rsidP="000F48F6">
            <w:pPr>
              <w:rPr>
                <w:lang w:val="en-US"/>
              </w:rPr>
            </w:pPr>
            <w:r w:rsidRPr="002B0E0E">
              <w:t>433(11.86%)</w:t>
            </w:r>
          </w:p>
        </w:tc>
        <w:tc>
          <w:tcPr>
            <w:tcW w:w="1342" w:type="dxa"/>
          </w:tcPr>
          <w:p w14:paraId="0A43D0A0" w14:textId="77777777" w:rsidR="00271EC6" w:rsidRDefault="00271EC6" w:rsidP="000F48F6">
            <w:pPr>
              <w:rPr>
                <w:lang w:val="en-US"/>
              </w:rPr>
            </w:pPr>
            <w:r w:rsidRPr="00B617A1">
              <w:t>21.39(0.95)</w:t>
            </w:r>
          </w:p>
        </w:tc>
        <w:tc>
          <w:tcPr>
            <w:tcW w:w="1476" w:type="dxa"/>
          </w:tcPr>
          <w:p w14:paraId="66A74910" w14:textId="77777777" w:rsidR="00271EC6" w:rsidRDefault="00271EC6" w:rsidP="000F48F6">
            <w:pPr>
              <w:rPr>
                <w:lang w:val="en-US"/>
              </w:rPr>
            </w:pPr>
            <w:r w:rsidRPr="00FB19A5">
              <w:t>325(8.9%)</w:t>
            </w:r>
          </w:p>
        </w:tc>
        <w:tc>
          <w:tcPr>
            <w:tcW w:w="1342" w:type="dxa"/>
          </w:tcPr>
          <w:p w14:paraId="3AAADAD5" w14:textId="77777777" w:rsidR="00271EC6" w:rsidRDefault="00271EC6" w:rsidP="000F48F6">
            <w:pPr>
              <w:rPr>
                <w:lang w:val="en-US"/>
              </w:rPr>
            </w:pPr>
            <w:r w:rsidRPr="00902CDF">
              <w:t>42.</w:t>
            </w:r>
            <w:r>
              <w:t>71</w:t>
            </w:r>
            <w:r w:rsidRPr="00902CDF">
              <w:t>(1.</w:t>
            </w:r>
            <w:r>
              <w:t>88</w:t>
            </w:r>
            <w:r w:rsidRPr="00902CDF">
              <w:t>)</w:t>
            </w:r>
          </w:p>
        </w:tc>
        <w:tc>
          <w:tcPr>
            <w:tcW w:w="1599" w:type="dxa"/>
          </w:tcPr>
          <w:p w14:paraId="4799E60F" w14:textId="77777777" w:rsidR="00271EC6" w:rsidRDefault="00271EC6" w:rsidP="000F48F6">
            <w:pPr>
              <w:rPr>
                <w:lang w:val="en-US"/>
              </w:rPr>
            </w:pPr>
            <w:r>
              <w:t>10</w:t>
            </w:r>
            <w:r w:rsidRPr="00902CDF">
              <w:t>(0.2</w:t>
            </w:r>
            <w:r>
              <w:t>7</w:t>
            </w:r>
            <w:r w:rsidRPr="00902CDF">
              <w:t>%)</w:t>
            </w:r>
          </w:p>
        </w:tc>
        <w:tc>
          <w:tcPr>
            <w:tcW w:w="1342" w:type="dxa"/>
          </w:tcPr>
          <w:p w14:paraId="761BAEA1" w14:textId="77777777" w:rsidR="00271EC6" w:rsidRDefault="00271EC6" w:rsidP="000F48F6">
            <w:pPr>
              <w:rPr>
                <w:lang w:val="en-US"/>
              </w:rPr>
            </w:pPr>
            <w:r>
              <w:rPr>
                <w:lang w:val="en-US"/>
              </w:rPr>
              <w:t>-</w:t>
            </w:r>
          </w:p>
        </w:tc>
        <w:tc>
          <w:tcPr>
            <w:tcW w:w="1599" w:type="dxa"/>
          </w:tcPr>
          <w:p w14:paraId="1F0746E2" w14:textId="77777777" w:rsidR="00271EC6" w:rsidRDefault="00271EC6" w:rsidP="000F48F6">
            <w:pPr>
              <w:rPr>
                <w:lang w:val="en-US"/>
              </w:rPr>
            </w:pPr>
            <w:r>
              <w:rPr>
                <w:lang w:val="en-US"/>
              </w:rPr>
              <w:t>-</w:t>
            </w:r>
          </w:p>
        </w:tc>
      </w:tr>
      <w:tr w:rsidR="00271EC6" w14:paraId="04BB7397" w14:textId="77777777" w:rsidTr="000F48F6">
        <w:tc>
          <w:tcPr>
            <w:tcW w:w="1146" w:type="dxa"/>
          </w:tcPr>
          <w:p w14:paraId="5C9E03EA" w14:textId="77777777" w:rsidR="00271EC6" w:rsidRDefault="00271EC6" w:rsidP="000F48F6">
            <w:pPr>
              <w:rPr>
                <w:lang w:val="en-US"/>
              </w:rPr>
            </w:pPr>
            <w:r>
              <w:rPr>
                <w:lang w:val="en-US"/>
              </w:rPr>
              <w:t>8</w:t>
            </w:r>
          </w:p>
        </w:tc>
        <w:tc>
          <w:tcPr>
            <w:tcW w:w="1819" w:type="dxa"/>
          </w:tcPr>
          <w:p w14:paraId="35091A6D" w14:textId="77777777" w:rsidR="00271EC6" w:rsidRDefault="00271EC6" w:rsidP="000F48F6">
            <w:pPr>
              <w:rPr>
                <w:lang w:val="en-US"/>
              </w:rPr>
            </w:pPr>
            <w:r w:rsidRPr="00180B33">
              <w:t>37.95(1.49)</w:t>
            </w:r>
          </w:p>
        </w:tc>
        <w:tc>
          <w:tcPr>
            <w:tcW w:w="1476" w:type="dxa"/>
          </w:tcPr>
          <w:p w14:paraId="39478916" w14:textId="77777777" w:rsidR="00271EC6" w:rsidRDefault="00271EC6" w:rsidP="000F48F6">
            <w:pPr>
              <w:rPr>
                <w:lang w:val="en-US"/>
              </w:rPr>
            </w:pPr>
            <w:r w:rsidRPr="002B0E0E">
              <w:t>327(8.95%)</w:t>
            </w:r>
          </w:p>
        </w:tc>
        <w:tc>
          <w:tcPr>
            <w:tcW w:w="1342" w:type="dxa"/>
          </w:tcPr>
          <w:p w14:paraId="0862E165" w14:textId="77777777" w:rsidR="00271EC6" w:rsidRDefault="00271EC6" w:rsidP="000F48F6">
            <w:pPr>
              <w:rPr>
                <w:lang w:val="en-US"/>
              </w:rPr>
            </w:pPr>
            <w:r w:rsidRPr="00B617A1">
              <w:t>24.68(0.96)</w:t>
            </w:r>
          </w:p>
        </w:tc>
        <w:tc>
          <w:tcPr>
            <w:tcW w:w="1476" w:type="dxa"/>
          </w:tcPr>
          <w:p w14:paraId="546D8F58" w14:textId="77777777" w:rsidR="00271EC6" w:rsidRDefault="00271EC6" w:rsidP="000F48F6">
            <w:pPr>
              <w:rPr>
                <w:lang w:val="en-US"/>
              </w:rPr>
            </w:pPr>
            <w:r w:rsidRPr="00FB19A5">
              <w:t>219(6%)</w:t>
            </w:r>
          </w:p>
        </w:tc>
        <w:tc>
          <w:tcPr>
            <w:tcW w:w="1342" w:type="dxa"/>
          </w:tcPr>
          <w:p w14:paraId="0A2110E4" w14:textId="77777777" w:rsidR="00271EC6" w:rsidRDefault="00271EC6" w:rsidP="000F48F6">
            <w:pPr>
              <w:rPr>
                <w:lang w:val="en-US"/>
              </w:rPr>
            </w:pPr>
            <w:r w:rsidRPr="00902CDF">
              <w:t>4</w:t>
            </w:r>
            <w:r>
              <w:t>8.30</w:t>
            </w:r>
            <w:r w:rsidRPr="00902CDF">
              <w:t>(</w:t>
            </w:r>
            <w:r>
              <w:t>0.70</w:t>
            </w:r>
            <w:r w:rsidRPr="00902CDF">
              <w:t>)</w:t>
            </w:r>
          </w:p>
        </w:tc>
        <w:tc>
          <w:tcPr>
            <w:tcW w:w="1599" w:type="dxa"/>
          </w:tcPr>
          <w:p w14:paraId="3191C037" w14:textId="77777777" w:rsidR="00271EC6" w:rsidRDefault="00271EC6" w:rsidP="000F48F6">
            <w:pPr>
              <w:rPr>
                <w:lang w:val="en-US"/>
              </w:rPr>
            </w:pPr>
            <w:r>
              <w:t>3</w:t>
            </w:r>
            <w:r w:rsidRPr="00902CDF">
              <w:t>(0.</w:t>
            </w:r>
            <w:r>
              <w:t>08</w:t>
            </w:r>
            <w:r w:rsidRPr="00902CDF">
              <w:t>%)</w:t>
            </w:r>
          </w:p>
        </w:tc>
        <w:tc>
          <w:tcPr>
            <w:tcW w:w="1342" w:type="dxa"/>
          </w:tcPr>
          <w:p w14:paraId="3F87B919" w14:textId="77777777" w:rsidR="00271EC6" w:rsidRDefault="00271EC6" w:rsidP="000F48F6">
            <w:pPr>
              <w:rPr>
                <w:lang w:val="en-US"/>
              </w:rPr>
            </w:pPr>
            <w:r>
              <w:rPr>
                <w:lang w:val="en-US"/>
              </w:rPr>
              <w:t>-</w:t>
            </w:r>
          </w:p>
        </w:tc>
        <w:tc>
          <w:tcPr>
            <w:tcW w:w="1599" w:type="dxa"/>
          </w:tcPr>
          <w:p w14:paraId="54D4D9FC" w14:textId="77777777" w:rsidR="00271EC6" w:rsidRDefault="00271EC6" w:rsidP="000F48F6">
            <w:pPr>
              <w:rPr>
                <w:lang w:val="en-US"/>
              </w:rPr>
            </w:pPr>
            <w:r>
              <w:rPr>
                <w:lang w:val="en-US"/>
              </w:rPr>
              <w:t>-</w:t>
            </w:r>
          </w:p>
        </w:tc>
      </w:tr>
      <w:tr w:rsidR="00271EC6" w14:paraId="14C36B57" w14:textId="77777777" w:rsidTr="000F48F6">
        <w:tc>
          <w:tcPr>
            <w:tcW w:w="1146" w:type="dxa"/>
          </w:tcPr>
          <w:p w14:paraId="264E0F92" w14:textId="77777777" w:rsidR="00271EC6" w:rsidRDefault="00271EC6" w:rsidP="000F48F6">
            <w:pPr>
              <w:rPr>
                <w:lang w:val="en-US"/>
              </w:rPr>
            </w:pPr>
            <w:r>
              <w:rPr>
                <w:lang w:val="en-US"/>
              </w:rPr>
              <w:t>9</w:t>
            </w:r>
          </w:p>
        </w:tc>
        <w:tc>
          <w:tcPr>
            <w:tcW w:w="1819" w:type="dxa"/>
          </w:tcPr>
          <w:p w14:paraId="1BB811DC" w14:textId="77777777" w:rsidR="00271EC6" w:rsidRDefault="00271EC6" w:rsidP="000F48F6">
            <w:pPr>
              <w:rPr>
                <w:lang w:val="en-US"/>
              </w:rPr>
            </w:pPr>
            <w:r w:rsidRPr="00180B33">
              <w:t>42.97(1.44)</w:t>
            </w:r>
          </w:p>
        </w:tc>
        <w:tc>
          <w:tcPr>
            <w:tcW w:w="1476" w:type="dxa"/>
          </w:tcPr>
          <w:p w14:paraId="7F91D2C6" w14:textId="77777777" w:rsidR="00271EC6" w:rsidRDefault="00271EC6" w:rsidP="000F48F6">
            <w:pPr>
              <w:rPr>
                <w:lang w:val="en-US"/>
              </w:rPr>
            </w:pPr>
            <w:r w:rsidRPr="002B0E0E">
              <w:t>203(5.56%)</w:t>
            </w:r>
          </w:p>
        </w:tc>
        <w:tc>
          <w:tcPr>
            <w:tcW w:w="1342" w:type="dxa"/>
          </w:tcPr>
          <w:p w14:paraId="184FFC6E" w14:textId="77777777" w:rsidR="00271EC6" w:rsidRDefault="00271EC6" w:rsidP="000F48F6">
            <w:pPr>
              <w:rPr>
                <w:lang w:val="en-US"/>
              </w:rPr>
            </w:pPr>
            <w:r w:rsidRPr="00B617A1">
              <w:t>27.97(0.98)</w:t>
            </w:r>
          </w:p>
        </w:tc>
        <w:tc>
          <w:tcPr>
            <w:tcW w:w="1476" w:type="dxa"/>
          </w:tcPr>
          <w:p w14:paraId="4F93BD3C" w14:textId="77777777" w:rsidR="00271EC6" w:rsidRDefault="00271EC6" w:rsidP="000F48F6">
            <w:pPr>
              <w:rPr>
                <w:lang w:val="en-US"/>
              </w:rPr>
            </w:pPr>
            <w:r w:rsidRPr="00FB19A5">
              <w:t>140(3.83%)</w:t>
            </w:r>
          </w:p>
        </w:tc>
        <w:tc>
          <w:tcPr>
            <w:tcW w:w="1342" w:type="dxa"/>
          </w:tcPr>
          <w:p w14:paraId="71CF8641" w14:textId="77777777" w:rsidR="00271EC6" w:rsidRDefault="00271EC6" w:rsidP="000F48F6">
            <w:pPr>
              <w:rPr>
                <w:lang w:val="en-US"/>
              </w:rPr>
            </w:pPr>
            <w:r>
              <w:rPr>
                <w:lang w:val="en-US"/>
              </w:rPr>
              <w:t>-</w:t>
            </w:r>
          </w:p>
        </w:tc>
        <w:tc>
          <w:tcPr>
            <w:tcW w:w="1599" w:type="dxa"/>
          </w:tcPr>
          <w:p w14:paraId="415E5530" w14:textId="77777777" w:rsidR="00271EC6" w:rsidRDefault="00271EC6" w:rsidP="000F48F6">
            <w:pPr>
              <w:rPr>
                <w:lang w:val="en-US"/>
              </w:rPr>
            </w:pPr>
            <w:r>
              <w:t>-</w:t>
            </w:r>
          </w:p>
        </w:tc>
        <w:tc>
          <w:tcPr>
            <w:tcW w:w="1342" w:type="dxa"/>
          </w:tcPr>
          <w:p w14:paraId="5AF6E9BA" w14:textId="77777777" w:rsidR="00271EC6" w:rsidRDefault="00271EC6" w:rsidP="000F48F6">
            <w:pPr>
              <w:rPr>
                <w:lang w:val="en-US"/>
              </w:rPr>
            </w:pPr>
            <w:r>
              <w:rPr>
                <w:lang w:val="en-US"/>
              </w:rPr>
              <w:t>-</w:t>
            </w:r>
          </w:p>
        </w:tc>
        <w:tc>
          <w:tcPr>
            <w:tcW w:w="1599" w:type="dxa"/>
          </w:tcPr>
          <w:p w14:paraId="4D7175DD" w14:textId="77777777" w:rsidR="00271EC6" w:rsidRDefault="00271EC6" w:rsidP="000F48F6">
            <w:pPr>
              <w:rPr>
                <w:lang w:val="en-US"/>
              </w:rPr>
            </w:pPr>
            <w:r>
              <w:rPr>
                <w:lang w:val="en-US"/>
              </w:rPr>
              <w:t>-</w:t>
            </w:r>
          </w:p>
        </w:tc>
      </w:tr>
      <w:tr w:rsidR="00271EC6" w14:paraId="418E0CA1" w14:textId="77777777" w:rsidTr="000F48F6">
        <w:tc>
          <w:tcPr>
            <w:tcW w:w="1146" w:type="dxa"/>
          </w:tcPr>
          <w:p w14:paraId="27F9AA18" w14:textId="77777777" w:rsidR="00271EC6" w:rsidRDefault="00271EC6" w:rsidP="000F48F6">
            <w:pPr>
              <w:rPr>
                <w:lang w:val="en-US"/>
              </w:rPr>
            </w:pPr>
            <w:r>
              <w:rPr>
                <w:lang w:val="en-US"/>
              </w:rPr>
              <w:t>10</w:t>
            </w:r>
          </w:p>
        </w:tc>
        <w:tc>
          <w:tcPr>
            <w:tcW w:w="1819" w:type="dxa"/>
          </w:tcPr>
          <w:p w14:paraId="2FFF2B1E" w14:textId="77777777" w:rsidR="00271EC6" w:rsidRDefault="00271EC6" w:rsidP="000F48F6">
            <w:pPr>
              <w:rPr>
                <w:lang w:val="en-US"/>
              </w:rPr>
            </w:pPr>
            <w:r w:rsidRPr="00180B33">
              <w:t>57.13(10.81)</w:t>
            </w:r>
          </w:p>
        </w:tc>
        <w:tc>
          <w:tcPr>
            <w:tcW w:w="1476" w:type="dxa"/>
          </w:tcPr>
          <w:p w14:paraId="6B25F3EA" w14:textId="77777777" w:rsidR="00271EC6" w:rsidRDefault="00271EC6" w:rsidP="000F48F6">
            <w:pPr>
              <w:rPr>
                <w:lang w:val="en-US"/>
              </w:rPr>
            </w:pPr>
            <w:r w:rsidRPr="002B0E0E">
              <w:t>475(13.01%)</w:t>
            </w:r>
          </w:p>
        </w:tc>
        <w:tc>
          <w:tcPr>
            <w:tcW w:w="1342" w:type="dxa"/>
          </w:tcPr>
          <w:p w14:paraId="2A0B45EE" w14:textId="77777777" w:rsidR="00271EC6" w:rsidRDefault="00271EC6" w:rsidP="000F48F6">
            <w:pPr>
              <w:rPr>
                <w:lang w:val="en-US"/>
              </w:rPr>
            </w:pPr>
            <w:r w:rsidRPr="00B617A1">
              <w:t>36.79(6.64)</w:t>
            </w:r>
          </w:p>
        </w:tc>
        <w:tc>
          <w:tcPr>
            <w:tcW w:w="1476" w:type="dxa"/>
          </w:tcPr>
          <w:p w14:paraId="0D8680EC" w14:textId="77777777" w:rsidR="00271EC6" w:rsidRDefault="00271EC6" w:rsidP="000F48F6">
            <w:pPr>
              <w:rPr>
                <w:lang w:val="en-US"/>
              </w:rPr>
            </w:pPr>
            <w:r w:rsidRPr="00FB19A5">
              <w:t>280(7.67%)</w:t>
            </w:r>
          </w:p>
        </w:tc>
        <w:tc>
          <w:tcPr>
            <w:tcW w:w="1342" w:type="dxa"/>
          </w:tcPr>
          <w:p w14:paraId="7C0C9FD1" w14:textId="77777777" w:rsidR="00271EC6" w:rsidRDefault="00271EC6" w:rsidP="000F48F6">
            <w:pPr>
              <w:rPr>
                <w:lang w:val="en-US"/>
              </w:rPr>
            </w:pPr>
            <w:r>
              <w:rPr>
                <w:lang w:val="en-US"/>
              </w:rPr>
              <w:t>-</w:t>
            </w:r>
          </w:p>
        </w:tc>
        <w:tc>
          <w:tcPr>
            <w:tcW w:w="1599" w:type="dxa"/>
          </w:tcPr>
          <w:p w14:paraId="0B5C1D13" w14:textId="77777777" w:rsidR="00271EC6" w:rsidRDefault="00271EC6" w:rsidP="000F48F6">
            <w:pPr>
              <w:rPr>
                <w:lang w:val="en-US"/>
              </w:rPr>
            </w:pPr>
            <w:r>
              <w:rPr>
                <w:lang w:val="en-US"/>
              </w:rPr>
              <w:t>-</w:t>
            </w:r>
          </w:p>
        </w:tc>
        <w:tc>
          <w:tcPr>
            <w:tcW w:w="1342" w:type="dxa"/>
          </w:tcPr>
          <w:p w14:paraId="67D41706" w14:textId="77777777" w:rsidR="00271EC6" w:rsidRDefault="00271EC6" w:rsidP="000F48F6">
            <w:pPr>
              <w:rPr>
                <w:lang w:val="en-US"/>
              </w:rPr>
            </w:pPr>
            <w:r>
              <w:rPr>
                <w:lang w:val="en-US"/>
              </w:rPr>
              <w:t>-</w:t>
            </w:r>
          </w:p>
        </w:tc>
        <w:tc>
          <w:tcPr>
            <w:tcW w:w="1599" w:type="dxa"/>
          </w:tcPr>
          <w:p w14:paraId="4E843910" w14:textId="77777777" w:rsidR="00271EC6" w:rsidRDefault="00271EC6" w:rsidP="000F48F6">
            <w:pPr>
              <w:rPr>
                <w:lang w:val="en-US"/>
              </w:rPr>
            </w:pPr>
            <w:r>
              <w:rPr>
                <w:lang w:val="en-US"/>
              </w:rPr>
              <w:t>-</w:t>
            </w:r>
          </w:p>
        </w:tc>
      </w:tr>
      <w:tr w:rsidR="00271EC6" w14:paraId="396DE256" w14:textId="77777777" w:rsidTr="000F48F6">
        <w:tc>
          <w:tcPr>
            <w:tcW w:w="1146" w:type="dxa"/>
          </w:tcPr>
          <w:p w14:paraId="018752F6" w14:textId="77777777" w:rsidR="00271EC6" w:rsidRDefault="00271EC6" w:rsidP="000F48F6">
            <w:pPr>
              <w:rPr>
                <w:lang w:val="en-US"/>
              </w:rPr>
            </w:pPr>
            <w:r>
              <w:rPr>
                <w:lang w:val="en-US"/>
              </w:rPr>
              <w:t>Missing</w:t>
            </w:r>
          </w:p>
        </w:tc>
        <w:tc>
          <w:tcPr>
            <w:tcW w:w="1819" w:type="dxa"/>
          </w:tcPr>
          <w:p w14:paraId="3F864C02" w14:textId="77777777" w:rsidR="00271EC6" w:rsidRDefault="00271EC6" w:rsidP="000F48F6">
            <w:pPr>
              <w:rPr>
                <w:lang w:val="en-US"/>
              </w:rPr>
            </w:pPr>
            <w:r>
              <w:rPr>
                <w:lang w:val="en-US"/>
              </w:rPr>
              <w:t>-</w:t>
            </w:r>
          </w:p>
        </w:tc>
        <w:tc>
          <w:tcPr>
            <w:tcW w:w="1476" w:type="dxa"/>
          </w:tcPr>
          <w:p w14:paraId="1E1EBBC0" w14:textId="77777777" w:rsidR="00271EC6" w:rsidRDefault="00271EC6" w:rsidP="000F48F6">
            <w:pPr>
              <w:rPr>
                <w:lang w:val="en-US"/>
              </w:rPr>
            </w:pPr>
            <w:r w:rsidRPr="002B0E0E">
              <w:t>9(0.25%)</w:t>
            </w:r>
          </w:p>
        </w:tc>
        <w:tc>
          <w:tcPr>
            <w:tcW w:w="1342" w:type="dxa"/>
          </w:tcPr>
          <w:p w14:paraId="1C157D95" w14:textId="77777777" w:rsidR="00271EC6" w:rsidRDefault="00271EC6" w:rsidP="000F48F6">
            <w:pPr>
              <w:rPr>
                <w:lang w:val="en-US"/>
              </w:rPr>
            </w:pPr>
            <w:r>
              <w:rPr>
                <w:lang w:val="en-US"/>
              </w:rPr>
              <w:t>-</w:t>
            </w:r>
          </w:p>
        </w:tc>
        <w:tc>
          <w:tcPr>
            <w:tcW w:w="1476" w:type="dxa"/>
          </w:tcPr>
          <w:p w14:paraId="7F7F85E1" w14:textId="77777777" w:rsidR="00271EC6" w:rsidRDefault="00271EC6" w:rsidP="000F48F6">
            <w:pPr>
              <w:rPr>
                <w:lang w:val="en-US"/>
              </w:rPr>
            </w:pPr>
            <w:r w:rsidRPr="00FB19A5">
              <w:t>368(10.08%)</w:t>
            </w:r>
          </w:p>
        </w:tc>
        <w:tc>
          <w:tcPr>
            <w:tcW w:w="1342" w:type="dxa"/>
          </w:tcPr>
          <w:p w14:paraId="5A401740" w14:textId="77777777" w:rsidR="00271EC6" w:rsidRDefault="00271EC6" w:rsidP="000F48F6">
            <w:pPr>
              <w:rPr>
                <w:lang w:val="en-US"/>
              </w:rPr>
            </w:pPr>
            <w:r>
              <w:rPr>
                <w:lang w:val="en-US"/>
              </w:rPr>
              <w:t>-</w:t>
            </w:r>
          </w:p>
        </w:tc>
        <w:tc>
          <w:tcPr>
            <w:tcW w:w="1599" w:type="dxa"/>
          </w:tcPr>
          <w:p w14:paraId="67C8DEAB" w14:textId="77777777" w:rsidR="00271EC6" w:rsidRDefault="00271EC6" w:rsidP="000F48F6">
            <w:pPr>
              <w:rPr>
                <w:lang w:val="en-US"/>
              </w:rPr>
            </w:pPr>
            <w:r w:rsidRPr="00902CDF">
              <w:t>79(2.16%)</w:t>
            </w:r>
          </w:p>
        </w:tc>
        <w:tc>
          <w:tcPr>
            <w:tcW w:w="1342" w:type="dxa"/>
          </w:tcPr>
          <w:p w14:paraId="20133FF5" w14:textId="77777777" w:rsidR="00271EC6" w:rsidRDefault="00271EC6" w:rsidP="000F48F6">
            <w:pPr>
              <w:rPr>
                <w:lang w:val="en-US"/>
              </w:rPr>
            </w:pPr>
            <w:r>
              <w:rPr>
                <w:lang w:val="en-US"/>
              </w:rPr>
              <w:t>-</w:t>
            </w:r>
          </w:p>
        </w:tc>
        <w:tc>
          <w:tcPr>
            <w:tcW w:w="1599" w:type="dxa"/>
          </w:tcPr>
          <w:p w14:paraId="1D895AD2" w14:textId="77777777" w:rsidR="00271EC6" w:rsidRDefault="00271EC6" w:rsidP="000F48F6">
            <w:pPr>
              <w:rPr>
                <w:lang w:val="en-US"/>
              </w:rPr>
            </w:pPr>
            <w:r w:rsidRPr="00F2375A">
              <w:t>980(26.83%)</w:t>
            </w:r>
          </w:p>
        </w:tc>
      </w:tr>
    </w:tbl>
    <w:p w14:paraId="5AE48929" w14:textId="221D4725" w:rsidR="00113E18" w:rsidRDefault="00113E18" w:rsidP="00956178">
      <w:pPr>
        <w:rPr>
          <w:noProof/>
          <w:lang w:val="en-US" w:eastAsia="de-CH"/>
        </w:rPr>
      </w:pPr>
    </w:p>
    <w:p w14:paraId="54477F0F" w14:textId="4D079CEC" w:rsidR="00EC5D59" w:rsidRDefault="00EC5D59" w:rsidP="00956178">
      <w:pPr>
        <w:rPr>
          <w:noProof/>
          <w:lang w:val="en-US" w:eastAsia="de-CH"/>
        </w:rPr>
      </w:pPr>
    </w:p>
    <w:p w14:paraId="4B31BCF7" w14:textId="77777777" w:rsidR="00EC5D59" w:rsidRDefault="00EC5D59" w:rsidP="00956178">
      <w:pPr>
        <w:rPr>
          <w:noProof/>
          <w:lang w:val="en-US" w:eastAsia="de-CH"/>
        </w:rPr>
      </w:pPr>
    </w:p>
    <w:p w14:paraId="65E0A388" w14:textId="540A7268" w:rsidR="00113E18" w:rsidRDefault="00113E18" w:rsidP="00956178">
      <w:pPr>
        <w:rPr>
          <w:noProof/>
          <w:lang w:val="en-US" w:eastAsia="de-CH"/>
        </w:rPr>
      </w:pPr>
    </w:p>
    <w:p w14:paraId="1818D23F" w14:textId="4E2B2A2B" w:rsidR="00113E18" w:rsidRDefault="00113E18" w:rsidP="00956178">
      <w:pPr>
        <w:rPr>
          <w:noProof/>
          <w:lang w:val="en-US" w:eastAsia="de-CH"/>
        </w:rPr>
        <w:sectPr w:rsidR="00113E18" w:rsidSect="005F2863">
          <w:footnotePr>
            <w:numFmt w:val="lowerLetter"/>
          </w:footnotePr>
          <w:pgSz w:w="16838" w:h="11906" w:orient="landscape"/>
          <w:pgMar w:top="1417" w:right="1417" w:bottom="1417" w:left="1134" w:header="708" w:footer="708" w:gutter="0"/>
          <w:cols w:space="708"/>
          <w:docGrid w:linePitch="360"/>
        </w:sectPr>
      </w:pPr>
    </w:p>
    <w:p w14:paraId="426B075E" w14:textId="1148D0B1" w:rsidR="00956178" w:rsidRDefault="00956178" w:rsidP="00956178"/>
    <w:p w14:paraId="5743E8BD" w14:textId="7FE490D7" w:rsidR="00D15CD5" w:rsidRDefault="00AF30CA" w:rsidP="003E41B9">
      <w:r>
        <w:fldChar w:fldCharType="begin"/>
      </w:r>
      <w:r>
        <w:instrText xml:space="preserve"> REF _Ref131183790 \h </w:instrText>
      </w:r>
      <w:r>
        <w:fldChar w:fldCharType="separate"/>
      </w:r>
      <w:r w:rsidRPr="00AF30CA">
        <w:t xml:space="preserve">Table S </w:t>
      </w:r>
      <w:r w:rsidRPr="00AF30CA">
        <w:rPr>
          <w:noProof/>
        </w:rPr>
        <w:t>4</w:t>
      </w:r>
      <w:r>
        <w:fldChar w:fldCharType="end"/>
      </w:r>
      <w:r w:rsidR="00D15CD5">
        <w:t xml:space="preserve"> </w:t>
      </w:r>
      <w:r w:rsidR="00D15CD5" w:rsidRPr="00D15CD5">
        <w:t>demonstrate</w:t>
      </w:r>
      <w:r w:rsidR="00D15CD5">
        <w:t>s</w:t>
      </w:r>
      <w:r w:rsidR="00D15CD5" w:rsidRPr="00D15CD5">
        <w:t xml:space="preserve"> the d</w:t>
      </w:r>
      <w:r w:rsidR="00D15CD5">
        <w:t>erivation of the average index using</w:t>
      </w:r>
      <w:r w:rsidR="00D15CD5" w:rsidRPr="00D15CD5">
        <w:t xml:space="preserve"> an example of a typical day as observed in the Cape Town case study. The index value shown for each pollutant approximates the average index observed during the year 2015. As shown, the arithmetic mean AQHI for such a day would be 3, thus, lower than the weighted average of 4. The arithmetic mean AQHI is biased toward low values, given the mostly low index values for SO</w:t>
      </w:r>
      <w:r w:rsidR="00D15CD5" w:rsidRPr="00D30562">
        <w:rPr>
          <w:vertAlign w:val="subscript"/>
        </w:rPr>
        <w:t>2</w:t>
      </w:r>
      <w:r w:rsidR="00D15CD5" w:rsidRPr="00D15CD5">
        <w:t xml:space="preserve"> and O</w:t>
      </w:r>
      <w:r w:rsidR="00D15CD5" w:rsidRPr="00D30562">
        <w:rPr>
          <w:vertAlign w:val="subscript"/>
        </w:rPr>
        <w:t>3</w:t>
      </w:r>
      <w:r w:rsidR="00D15CD5" w:rsidRPr="00D15CD5">
        <w:t xml:space="preserve">, </w:t>
      </w:r>
      <w:r w:rsidR="009070B6">
        <w:t>masking</w:t>
      </w:r>
      <w:r w:rsidR="00D15CD5" w:rsidRPr="00D15CD5">
        <w:t xml:space="preserve"> the impact </w:t>
      </w:r>
      <w:r w:rsidR="009070B6">
        <w:t xml:space="preserve">of </w:t>
      </w:r>
      <w:r w:rsidR="00D15CD5" w:rsidRPr="00D15CD5">
        <w:t>PM</w:t>
      </w:r>
      <w:r w:rsidR="00D15CD5" w:rsidRPr="00D30562">
        <w:rPr>
          <w:vertAlign w:val="subscript"/>
        </w:rPr>
        <w:t>10</w:t>
      </w:r>
      <w:r w:rsidR="00D15CD5" w:rsidRPr="00D15CD5">
        <w:t xml:space="preserve"> and NO</w:t>
      </w:r>
      <w:r w:rsidR="00D15CD5" w:rsidRPr="00D30562">
        <w:rPr>
          <w:vertAlign w:val="subscript"/>
        </w:rPr>
        <w:t>2</w:t>
      </w:r>
      <w:r w:rsidR="00D15CD5" w:rsidRPr="00D15CD5">
        <w:t xml:space="preserve">. </w:t>
      </w:r>
    </w:p>
    <w:p w14:paraId="59153568" w14:textId="7AAF4EC1" w:rsidR="00D15CD5" w:rsidRDefault="00AF30CA" w:rsidP="00AF30CA">
      <w:pPr>
        <w:pStyle w:val="Caption"/>
        <w:rPr>
          <w:color w:val="auto"/>
          <w:sz w:val="22"/>
        </w:rPr>
      </w:pPr>
      <w:bookmarkStart w:id="6" w:name="_Ref131183790"/>
      <w:bookmarkStart w:id="7" w:name="_Ref131183782"/>
      <w:r w:rsidRPr="00AF30CA">
        <w:rPr>
          <w:color w:val="auto"/>
          <w:sz w:val="22"/>
          <w:szCs w:val="22"/>
        </w:rPr>
        <w:t xml:space="preserve">Table S </w:t>
      </w:r>
      <w:r w:rsidRPr="00AF30CA">
        <w:rPr>
          <w:color w:val="auto"/>
          <w:sz w:val="22"/>
          <w:szCs w:val="22"/>
        </w:rPr>
        <w:fldChar w:fldCharType="begin"/>
      </w:r>
      <w:r w:rsidRPr="00AF30CA">
        <w:rPr>
          <w:color w:val="auto"/>
          <w:sz w:val="22"/>
          <w:szCs w:val="22"/>
        </w:rPr>
        <w:instrText xml:space="preserve"> SEQ Table_S \* ARABIC </w:instrText>
      </w:r>
      <w:r w:rsidRPr="00AF30CA">
        <w:rPr>
          <w:color w:val="auto"/>
          <w:sz w:val="22"/>
          <w:szCs w:val="22"/>
        </w:rPr>
        <w:fldChar w:fldCharType="separate"/>
      </w:r>
      <w:r w:rsidR="00016BA3">
        <w:rPr>
          <w:noProof/>
          <w:color w:val="auto"/>
          <w:sz w:val="22"/>
          <w:szCs w:val="22"/>
        </w:rPr>
        <w:t>4</w:t>
      </w:r>
      <w:r w:rsidRPr="00AF30CA">
        <w:rPr>
          <w:color w:val="auto"/>
          <w:sz w:val="22"/>
          <w:szCs w:val="22"/>
        </w:rPr>
        <w:fldChar w:fldCharType="end"/>
      </w:r>
      <w:bookmarkEnd w:id="6"/>
      <w:r w:rsidR="00D15CD5" w:rsidRPr="00AF30CA">
        <w:rPr>
          <w:color w:val="auto"/>
          <w:sz w:val="22"/>
          <w:szCs w:val="22"/>
        </w:rPr>
        <w:t>:</w:t>
      </w:r>
      <w:bookmarkEnd w:id="7"/>
      <w:r w:rsidR="00D15CD5" w:rsidRPr="00AF30CA">
        <w:rPr>
          <w:color w:val="auto"/>
          <w:sz w:val="22"/>
          <w:szCs w:val="22"/>
        </w:rPr>
        <w:t xml:space="preserve"> derivation</w:t>
      </w:r>
      <w:r w:rsidR="00D15CD5" w:rsidRPr="00AF30CA">
        <w:rPr>
          <w:color w:val="auto"/>
          <w:sz w:val="22"/>
        </w:rPr>
        <w:t xml:space="preserve"> </w:t>
      </w:r>
      <w:r w:rsidR="00D15CD5" w:rsidRPr="00D15CD5">
        <w:rPr>
          <w:color w:val="auto"/>
          <w:sz w:val="22"/>
        </w:rPr>
        <w:t xml:space="preserve">of weighted average PM10-based AQHI for a typical day in Cape Town in comparison to the arithmetic average </w:t>
      </w:r>
    </w:p>
    <w:tbl>
      <w:tblPr>
        <w:tblStyle w:val="TableGrid"/>
        <w:tblW w:w="9720" w:type="dxa"/>
        <w:tblInd w:w="-5" w:type="dxa"/>
        <w:tblLayout w:type="fixed"/>
        <w:tblLook w:val="04A0" w:firstRow="1" w:lastRow="0" w:firstColumn="1" w:lastColumn="0" w:noHBand="0" w:noVBand="1"/>
      </w:tblPr>
      <w:tblGrid>
        <w:gridCol w:w="1194"/>
        <w:gridCol w:w="5106"/>
        <w:gridCol w:w="791"/>
        <w:gridCol w:w="669"/>
        <w:gridCol w:w="657"/>
        <w:gridCol w:w="510"/>
        <w:gridCol w:w="793"/>
      </w:tblGrid>
      <w:tr w:rsidR="00F30CD8" w14:paraId="36D7DBCD" w14:textId="77777777" w:rsidTr="004E0D8C">
        <w:trPr>
          <w:trHeight w:val="252"/>
        </w:trPr>
        <w:tc>
          <w:tcPr>
            <w:tcW w:w="6300" w:type="dxa"/>
            <w:gridSpan w:val="2"/>
          </w:tcPr>
          <w:p w14:paraId="1B843025" w14:textId="3F2AE368" w:rsidR="00F30CD8" w:rsidRDefault="00F30CD8" w:rsidP="00020274">
            <w:r w:rsidRPr="00EE6B5A">
              <w:rPr>
                <w:rFonts w:cs="Arial"/>
                <w:noProof/>
                <w:lang w:val="en-US" w:eastAsia="de-CH"/>
              </w:rPr>
              <w:t>Pollutant</w:t>
            </w:r>
          </w:p>
        </w:tc>
        <w:tc>
          <w:tcPr>
            <w:tcW w:w="791" w:type="dxa"/>
          </w:tcPr>
          <w:p w14:paraId="3F2DC9B9" w14:textId="14CEEB49" w:rsidR="00F30CD8" w:rsidRPr="00EE6B5A" w:rsidRDefault="00F30CD8" w:rsidP="00020274">
            <w:pPr>
              <w:rPr>
                <w:rFonts w:cs="Arial"/>
                <w:noProof/>
                <w:lang w:val="en-US" w:eastAsia="de-CH"/>
              </w:rPr>
            </w:pPr>
            <w:r w:rsidRPr="00EE6B5A">
              <w:rPr>
                <w:rFonts w:cs="Arial"/>
                <w:noProof/>
                <w:lang w:val="en-US" w:eastAsia="de-CH"/>
              </w:rPr>
              <w:t>PM</w:t>
            </w:r>
            <w:r w:rsidRPr="00D30562">
              <w:rPr>
                <w:rFonts w:cs="Arial"/>
                <w:noProof/>
                <w:vertAlign w:val="subscript"/>
                <w:lang w:val="en-US" w:eastAsia="de-CH"/>
              </w:rPr>
              <w:t>10</w:t>
            </w:r>
          </w:p>
        </w:tc>
        <w:tc>
          <w:tcPr>
            <w:tcW w:w="669" w:type="dxa"/>
          </w:tcPr>
          <w:p w14:paraId="3937C5FF" w14:textId="5AB725B0" w:rsidR="00F30CD8" w:rsidRDefault="00F30CD8" w:rsidP="00020274">
            <w:r w:rsidRPr="00EE6B5A">
              <w:rPr>
                <w:rFonts w:cs="Arial"/>
                <w:noProof/>
                <w:lang w:val="en-US" w:eastAsia="de-CH"/>
              </w:rPr>
              <w:t>NO</w:t>
            </w:r>
            <w:r w:rsidRPr="00D30562">
              <w:rPr>
                <w:rFonts w:cs="Arial"/>
                <w:noProof/>
                <w:vertAlign w:val="subscript"/>
                <w:lang w:val="en-US" w:eastAsia="de-CH"/>
              </w:rPr>
              <w:t>2</w:t>
            </w:r>
          </w:p>
        </w:tc>
        <w:tc>
          <w:tcPr>
            <w:tcW w:w="657" w:type="dxa"/>
          </w:tcPr>
          <w:p w14:paraId="2BB39736" w14:textId="14694D08" w:rsidR="00F30CD8" w:rsidRDefault="00F30CD8" w:rsidP="00020274">
            <w:r w:rsidRPr="00EE6B5A">
              <w:rPr>
                <w:rFonts w:cs="Arial"/>
                <w:noProof/>
                <w:lang w:val="en-US" w:eastAsia="de-CH"/>
              </w:rPr>
              <w:t>SO</w:t>
            </w:r>
            <w:r w:rsidRPr="00D30562">
              <w:rPr>
                <w:rFonts w:cs="Arial"/>
                <w:noProof/>
                <w:vertAlign w:val="subscript"/>
                <w:lang w:val="en-US" w:eastAsia="de-CH"/>
              </w:rPr>
              <w:t>2</w:t>
            </w:r>
          </w:p>
        </w:tc>
        <w:tc>
          <w:tcPr>
            <w:tcW w:w="510" w:type="dxa"/>
          </w:tcPr>
          <w:p w14:paraId="23BCC8B6" w14:textId="26BCE920" w:rsidR="00F30CD8" w:rsidRDefault="00F30CD8" w:rsidP="00020274">
            <w:r w:rsidRPr="00EE6B5A">
              <w:rPr>
                <w:rFonts w:cs="Arial"/>
                <w:noProof/>
                <w:lang w:val="en-US" w:eastAsia="de-CH"/>
              </w:rPr>
              <w:t>O</w:t>
            </w:r>
            <w:r w:rsidRPr="00D30562">
              <w:rPr>
                <w:rFonts w:cs="Arial"/>
                <w:noProof/>
                <w:vertAlign w:val="subscript"/>
                <w:lang w:val="en-US" w:eastAsia="de-CH"/>
              </w:rPr>
              <w:t>3</w:t>
            </w:r>
          </w:p>
        </w:tc>
        <w:tc>
          <w:tcPr>
            <w:tcW w:w="793" w:type="dxa"/>
          </w:tcPr>
          <w:p w14:paraId="1C6CBCA5" w14:textId="38483376" w:rsidR="00F30CD8" w:rsidRDefault="00F30CD8" w:rsidP="00020274">
            <w:r w:rsidRPr="00EE6B5A">
              <w:rPr>
                <w:rFonts w:cs="Arial"/>
                <w:noProof/>
                <w:lang w:val="en-US" w:eastAsia="de-CH"/>
              </w:rPr>
              <w:t>AQHI</w:t>
            </w:r>
          </w:p>
        </w:tc>
      </w:tr>
      <w:tr w:rsidR="00F30CD8" w14:paraId="367987E0" w14:textId="77777777" w:rsidTr="00F30CD8">
        <w:trPr>
          <w:trHeight w:val="514"/>
        </w:trPr>
        <w:tc>
          <w:tcPr>
            <w:tcW w:w="1194" w:type="dxa"/>
          </w:tcPr>
          <w:p w14:paraId="641FF7BF" w14:textId="44EB109B" w:rsidR="00F30CD8" w:rsidRDefault="00F30CD8" w:rsidP="00020274">
            <w:r w:rsidRPr="00EE6B5A">
              <w:rPr>
                <w:rFonts w:cs="Arial"/>
                <w:noProof/>
                <w:lang w:val="en-US" w:eastAsia="de-CH"/>
              </w:rPr>
              <w:t>Single AQHI</w:t>
            </w:r>
          </w:p>
        </w:tc>
        <w:tc>
          <w:tcPr>
            <w:tcW w:w="5106" w:type="dxa"/>
          </w:tcPr>
          <w:p w14:paraId="39703CC5" w14:textId="39F68FE2" w:rsidR="00F30CD8" w:rsidRDefault="00F30CD8" w:rsidP="00020274"/>
        </w:tc>
        <w:tc>
          <w:tcPr>
            <w:tcW w:w="791" w:type="dxa"/>
          </w:tcPr>
          <w:p w14:paraId="5CD662F6" w14:textId="64407E77" w:rsidR="00F30CD8" w:rsidRPr="00EE6B5A" w:rsidRDefault="00F30CD8" w:rsidP="00020274">
            <w:pPr>
              <w:rPr>
                <w:rFonts w:cs="Arial"/>
                <w:noProof/>
                <w:lang w:val="en-US" w:eastAsia="de-CH"/>
              </w:rPr>
            </w:pPr>
            <w:r>
              <w:rPr>
                <w:rFonts w:cs="Arial"/>
                <w:noProof/>
                <w:lang w:val="en-US" w:eastAsia="de-CH"/>
              </w:rPr>
              <w:t>5</w:t>
            </w:r>
          </w:p>
        </w:tc>
        <w:tc>
          <w:tcPr>
            <w:tcW w:w="669" w:type="dxa"/>
          </w:tcPr>
          <w:p w14:paraId="21D81800" w14:textId="5AA0908D" w:rsidR="00F30CD8" w:rsidRDefault="00F30CD8" w:rsidP="00020274">
            <w:r w:rsidRPr="00EE6B5A">
              <w:rPr>
                <w:rFonts w:cs="Arial"/>
                <w:noProof/>
                <w:lang w:val="en-US" w:eastAsia="de-CH"/>
              </w:rPr>
              <w:t>4</w:t>
            </w:r>
          </w:p>
        </w:tc>
        <w:tc>
          <w:tcPr>
            <w:tcW w:w="657" w:type="dxa"/>
          </w:tcPr>
          <w:p w14:paraId="7A1D87F2" w14:textId="68CCB491" w:rsidR="00F30CD8" w:rsidRDefault="00F30CD8" w:rsidP="00020274">
            <w:r w:rsidRPr="00EE6B5A">
              <w:rPr>
                <w:rFonts w:cs="Arial"/>
                <w:noProof/>
                <w:lang w:val="en-US" w:eastAsia="de-CH"/>
              </w:rPr>
              <w:t>2</w:t>
            </w:r>
          </w:p>
        </w:tc>
        <w:tc>
          <w:tcPr>
            <w:tcW w:w="510" w:type="dxa"/>
          </w:tcPr>
          <w:p w14:paraId="59F547D9" w14:textId="10380CE6" w:rsidR="00F30CD8" w:rsidRDefault="00F30CD8" w:rsidP="00020274">
            <w:r w:rsidRPr="00EE6B5A">
              <w:rPr>
                <w:rFonts w:cs="Arial"/>
                <w:noProof/>
                <w:lang w:val="en-US" w:eastAsia="de-CH"/>
              </w:rPr>
              <w:t>2</w:t>
            </w:r>
          </w:p>
        </w:tc>
        <w:tc>
          <w:tcPr>
            <w:tcW w:w="793" w:type="dxa"/>
          </w:tcPr>
          <w:p w14:paraId="31D23044" w14:textId="77777777" w:rsidR="00F30CD8" w:rsidRDefault="00F30CD8" w:rsidP="00020274"/>
        </w:tc>
      </w:tr>
      <w:tr w:rsidR="00310720" w14:paraId="52F4F080" w14:textId="77777777" w:rsidTr="00E76ADE">
        <w:trPr>
          <w:trHeight w:val="504"/>
        </w:trPr>
        <w:tc>
          <w:tcPr>
            <w:tcW w:w="1194" w:type="dxa"/>
          </w:tcPr>
          <w:p w14:paraId="7823A74C" w14:textId="51538E73" w:rsidR="00310720" w:rsidRDefault="00310720" w:rsidP="00020274">
            <w:r>
              <w:t xml:space="preserve">Arithmetic </w:t>
            </w:r>
            <w:r w:rsidRPr="00EE6B5A">
              <w:rPr>
                <w:rFonts w:cs="Arial"/>
                <w:noProof/>
                <w:lang w:val="en-US" w:eastAsia="de-CH"/>
              </w:rPr>
              <w:t xml:space="preserve"> mean AQHI</w:t>
            </w:r>
          </w:p>
        </w:tc>
        <w:tc>
          <w:tcPr>
            <w:tcW w:w="7733" w:type="dxa"/>
            <w:gridSpan w:val="5"/>
          </w:tcPr>
          <w:p w14:paraId="50B2E7A2" w14:textId="51859211" w:rsidR="00310720" w:rsidRDefault="00310720" w:rsidP="00020274">
            <m:oMathPara>
              <m:oMath>
                <m:r>
                  <w:rPr>
                    <w:rFonts w:ascii="Cambria Math" w:hAnsi="Cambria Math" w:cs="Arial"/>
                    <w:noProof/>
                    <w:lang w:val="en-US" w:eastAsia="de-CH"/>
                  </w:rPr>
                  <m:t>(</m:t>
                </m:r>
                <m:f>
                  <m:fPr>
                    <m:type m:val="lin"/>
                    <m:ctrlPr>
                      <w:rPr>
                        <w:rFonts w:ascii="Cambria Math" w:hAnsi="Cambria Math" w:cs="Arial"/>
                        <w:i/>
                        <w:noProof/>
                        <w:lang w:val="en-US" w:eastAsia="de-CH"/>
                      </w:rPr>
                    </m:ctrlPr>
                  </m:fPr>
                  <m:num>
                    <m:r>
                      <w:rPr>
                        <w:rFonts w:ascii="Cambria Math" w:hAnsi="Cambria Math" w:cs="Arial"/>
                        <w:noProof/>
                        <w:lang w:val="en-US" w:eastAsia="de-CH"/>
                      </w:rPr>
                      <m:t>5+4+2+2)</m:t>
                    </m:r>
                  </m:num>
                  <m:den>
                    <m:r>
                      <w:rPr>
                        <w:rFonts w:ascii="Cambria Math" w:hAnsi="Cambria Math" w:cs="Arial"/>
                        <w:noProof/>
                        <w:lang w:val="en-US" w:eastAsia="de-CH"/>
                      </w:rPr>
                      <m:t>4</m:t>
                    </m:r>
                  </m:den>
                </m:f>
                <m:r>
                  <w:rPr>
                    <w:rFonts w:ascii="Cambria Math" w:hAnsi="Cambria Math" w:cs="Arial"/>
                    <w:noProof/>
                    <w:lang w:val="en-US" w:eastAsia="de-CH"/>
                  </w:rPr>
                  <m:t>=3.25 ~3</m:t>
                </m:r>
              </m:oMath>
            </m:oMathPara>
          </w:p>
        </w:tc>
        <w:tc>
          <w:tcPr>
            <w:tcW w:w="793" w:type="dxa"/>
          </w:tcPr>
          <w:p w14:paraId="7A6D1DBF" w14:textId="12CB0AE3" w:rsidR="00310720" w:rsidRDefault="00310720" w:rsidP="00020274">
            <w:r>
              <w:t>3</w:t>
            </w:r>
          </w:p>
        </w:tc>
      </w:tr>
      <w:tr w:rsidR="00310720" w14:paraId="7F529010" w14:textId="77777777" w:rsidTr="00E76ADE">
        <w:trPr>
          <w:trHeight w:val="767"/>
        </w:trPr>
        <w:tc>
          <w:tcPr>
            <w:tcW w:w="1194" w:type="dxa"/>
          </w:tcPr>
          <w:p w14:paraId="756D1791" w14:textId="206822D5" w:rsidR="00310720" w:rsidRDefault="00310720" w:rsidP="00020274">
            <w:r w:rsidRPr="00EE6B5A">
              <w:rPr>
                <w:rFonts w:cs="Arial"/>
                <w:noProof/>
                <w:lang w:val="en-US" w:eastAsia="de-CH"/>
              </w:rPr>
              <w:t>Weighted Average AQHI</w:t>
            </w:r>
          </w:p>
        </w:tc>
        <w:tc>
          <w:tcPr>
            <w:tcW w:w="7733" w:type="dxa"/>
            <w:gridSpan w:val="5"/>
          </w:tcPr>
          <w:p w14:paraId="1AA76CC7" w14:textId="14BDEE97" w:rsidR="00310720" w:rsidRDefault="00FD088A" w:rsidP="00020274">
            <m:oMathPara>
              <m:oMath>
                <m:f>
                  <m:fPr>
                    <m:type m:val="lin"/>
                    <m:ctrlPr>
                      <w:rPr>
                        <w:rFonts w:ascii="Cambria Math" w:hAnsi="Cambria Math" w:cs="Arial"/>
                        <w:i/>
                        <w:noProof/>
                        <w:lang w:val="en-US" w:eastAsia="de-CH"/>
                      </w:rPr>
                    </m:ctrlPr>
                  </m:fPr>
                  <m:num>
                    <m:eqArr>
                      <m:eqArrPr>
                        <m:ctrlPr>
                          <w:rPr>
                            <w:rFonts w:ascii="Cambria Math" w:hAnsi="Cambria Math" w:cs="Arial"/>
                            <w:i/>
                            <w:noProof/>
                            <w:lang w:val="en-US" w:eastAsia="de-CH"/>
                          </w:rPr>
                        </m:ctrlPr>
                      </m:eqArrPr>
                      <m:e>
                        <m:r>
                          <w:rPr>
                            <w:rFonts w:ascii="Cambria Math" w:hAnsi="Cambria Math" w:cs="Arial"/>
                            <w:noProof/>
                            <w:lang w:val="en-US" w:eastAsia="de-CH"/>
                          </w:rPr>
                          <m:t>(</m:t>
                        </m:r>
                        <m:d>
                          <m:dPr>
                            <m:ctrlPr>
                              <w:rPr>
                                <w:rFonts w:ascii="Cambria Math" w:hAnsi="Cambria Math" w:cs="Arial"/>
                                <w:i/>
                                <w:noProof/>
                                <w:lang w:val="en-US" w:eastAsia="de-CH"/>
                              </w:rPr>
                            </m:ctrlPr>
                          </m:dPr>
                          <m:e>
                            <m:r>
                              <w:rPr>
                                <w:rFonts w:ascii="Cambria Math" w:hAnsi="Cambria Math" w:cs="Arial"/>
                                <w:noProof/>
                                <w:lang w:val="en-US" w:eastAsia="de-CH"/>
                              </w:rPr>
                              <m:t>1*5</m:t>
                            </m:r>
                          </m:e>
                        </m:d>
                        <m:r>
                          <w:rPr>
                            <w:rFonts w:ascii="Cambria Math" w:hAnsi="Cambria Math" w:cs="Arial"/>
                            <w:noProof/>
                            <w:lang w:val="en-US" w:eastAsia="de-CH"/>
                          </w:rPr>
                          <m:t>+</m:t>
                        </m:r>
                        <m:d>
                          <m:dPr>
                            <m:ctrlPr>
                              <w:rPr>
                                <w:rFonts w:ascii="Cambria Math" w:hAnsi="Cambria Math" w:cs="Arial"/>
                                <w:i/>
                                <w:noProof/>
                                <w:lang w:val="en-US" w:eastAsia="de-CH"/>
                              </w:rPr>
                            </m:ctrlPr>
                          </m:dPr>
                          <m:e>
                            <m:r>
                              <w:rPr>
                                <w:rFonts w:ascii="Cambria Math" w:hAnsi="Cambria Math" w:cs="Arial"/>
                                <w:noProof/>
                                <w:lang w:val="en-US" w:eastAsia="de-CH"/>
                              </w:rPr>
                              <m:t>0.85*4</m:t>
                            </m:r>
                          </m:e>
                        </m:d>
                        <m:r>
                          <w:rPr>
                            <w:rFonts w:ascii="Cambria Math" w:hAnsi="Cambria Math" w:cs="Arial"/>
                            <w:noProof/>
                            <w:lang w:val="en-US" w:eastAsia="de-CH"/>
                          </w:rPr>
                          <m:t>+</m:t>
                        </m:r>
                        <m:d>
                          <m:dPr>
                            <m:ctrlPr>
                              <w:rPr>
                                <w:rFonts w:ascii="Cambria Math" w:hAnsi="Cambria Math" w:cs="Arial"/>
                                <w:i/>
                                <w:noProof/>
                                <w:lang w:val="en-US" w:eastAsia="de-CH"/>
                              </w:rPr>
                            </m:ctrlPr>
                          </m:dPr>
                          <m:e>
                            <m:r>
                              <w:rPr>
                                <w:rFonts w:ascii="Cambria Math" w:hAnsi="Cambria Math" w:cs="Arial"/>
                                <w:noProof/>
                                <w:lang w:val="en-US" w:eastAsia="de-CH"/>
                              </w:rPr>
                              <m:t>0.52*2</m:t>
                            </m:r>
                          </m:e>
                        </m:d>
                        <m:r>
                          <w:rPr>
                            <w:rFonts w:ascii="Cambria Math" w:hAnsi="Cambria Math" w:cs="Arial"/>
                            <w:noProof/>
                            <w:lang w:val="en-US" w:eastAsia="de-CH"/>
                          </w:rPr>
                          <m:t>+</m:t>
                        </m:r>
                      </m:e>
                      <m:e>
                        <m:r>
                          <w:rPr>
                            <w:rFonts w:ascii="Cambria Math" w:hAnsi="Cambria Math" w:cs="Arial"/>
                            <w:noProof/>
                            <w:lang w:val="en-US" w:eastAsia="de-CH"/>
                          </w:rPr>
                          <m:t>(0.24*2))</m:t>
                        </m:r>
                      </m:e>
                    </m:eqArr>
                  </m:num>
                  <m:den>
                    <m:r>
                      <w:rPr>
                        <w:rFonts w:ascii="Cambria Math" w:hAnsi="Cambria Math" w:cs="Arial"/>
                        <w:noProof/>
                        <w:lang w:val="en-US" w:eastAsia="de-CH"/>
                      </w:rPr>
                      <m:t>2.61=3.8 ~4</m:t>
                    </m:r>
                  </m:den>
                </m:f>
              </m:oMath>
            </m:oMathPara>
          </w:p>
        </w:tc>
        <w:tc>
          <w:tcPr>
            <w:tcW w:w="793" w:type="dxa"/>
          </w:tcPr>
          <w:p w14:paraId="2404D999" w14:textId="126D5C31" w:rsidR="00310720" w:rsidRDefault="00310720" w:rsidP="00020274">
            <w:r>
              <w:t>4</w:t>
            </w:r>
          </w:p>
        </w:tc>
      </w:tr>
    </w:tbl>
    <w:p w14:paraId="6D6EE709" w14:textId="6BDD17A5" w:rsidR="00020274" w:rsidRDefault="00020274" w:rsidP="004E0D8C"/>
    <w:p w14:paraId="0D6A1FF3" w14:textId="06183D11" w:rsidR="00CA4CF6" w:rsidRDefault="00CA4CF6" w:rsidP="00931C26">
      <w:pPr>
        <w:autoSpaceDE w:val="0"/>
        <w:autoSpaceDN w:val="0"/>
        <w:adjustRightInd w:val="0"/>
        <w:spacing w:after="0" w:line="240" w:lineRule="auto"/>
        <w:rPr>
          <w:rFonts w:cs="Arial"/>
          <w:b/>
          <w:lang w:val="en-US"/>
        </w:rPr>
      </w:pPr>
    </w:p>
    <w:p w14:paraId="4A2BAAE6" w14:textId="7D7BB20A" w:rsidR="00A9354B" w:rsidRPr="00931C26" w:rsidRDefault="00931C26" w:rsidP="00931C26">
      <w:pPr>
        <w:autoSpaceDE w:val="0"/>
        <w:autoSpaceDN w:val="0"/>
        <w:adjustRightInd w:val="0"/>
        <w:spacing w:after="0" w:line="240" w:lineRule="auto"/>
        <w:rPr>
          <w:rFonts w:cs="Arial"/>
          <w:b/>
          <w:lang w:val="en-US"/>
        </w:rPr>
      </w:pPr>
      <w:r w:rsidRPr="00931C26">
        <w:rPr>
          <w:rFonts w:cs="Arial"/>
          <w:b/>
          <w:lang w:val="en-US"/>
        </w:rPr>
        <w:t>Missing data and AQHI</w:t>
      </w:r>
    </w:p>
    <w:p w14:paraId="022CC49C" w14:textId="77777777" w:rsidR="00931C26" w:rsidRPr="00931C26" w:rsidRDefault="00931C26" w:rsidP="00931C26">
      <w:pPr>
        <w:autoSpaceDE w:val="0"/>
        <w:autoSpaceDN w:val="0"/>
        <w:adjustRightInd w:val="0"/>
        <w:spacing w:after="0" w:line="240" w:lineRule="auto"/>
        <w:rPr>
          <w:rFonts w:cs="Arial"/>
          <w:lang w:val="en-US"/>
        </w:rPr>
      </w:pPr>
    </w:p>
    <w:p w14:paraId="77650EB4" w14:textId="20CC9C16" w:rsidR="003351E8" w:rsidRPr="00931C26" w:rsidRDefault="00931C26" w:rsidP="00543AC2">
      <w:pPr>
        <w:autoSpaceDE w:val="0"/>
        <w:autoSpaceDN w:val="0"/>
        <w:adjustRightInd w:val="0"/>
        <w:spacing w:after="0" w:line="240" w:lineRule="auto"/>
        <w:jc w:val="both"/>
        <w:rPr>
          <w:rFonts w:cs="Arial"/>
          <w:lang w:val="en-US"/>
        </w:rPr>
      </w:pPr>
      <w:r w:rsidRPr="00931C26">
        <w:rPr>
          <w:rFonts w:cs="Arial"/>
          <w:lang w:val="en-US"/>
        </w:rPr>
        <w:t xml:space="preserve">The current practice in South Africa is to derive and report the AQI for each station using measurements of available pollutants, thus the proposed new index can be derived in a similar fashion. However, authorities will face the challenge of missing pollutant data on certain days. </w:t>
      </w:r>
      <w:r w:rsidR="00802925" w:rsidRPr="00565F9F">
        <w:rPr>
          <w:rFonts w:cs="Arial"/>
          <w:lang w:val="en-US"/>
        </w:rPr>
        <w:t>In case of the weighted average, summary measures may be derived across the non-missing pollutants only, which in turn may lead to biased averages given the distributional properties discussed above.  Alternatively, we have propose a simple imputation of missing data using measurements from other stations as this would minimize biased weighted averages</w:t>
      </w:r>
      <w:r w:rsidR="00802925">
        <w:rPr>
          <w:rFonts w:cs="Arial"/>
          <w:lang w:val="en-US"/>
        </w:rPr>
        <w:t>.</w:t>
      </w:r>
      <w:r w:rsidR="00802925" w:rsidRPr="00565F9F">
        <w:rPr>
          <w:rFonts w:cs="Arial"/>
          <w:lang w:val="en-US"/>
        </w:rPr>
        <w:t xml:space="preserve"> </w:t>
      </w:r>
      <w:r w:rsidR="003351E8" w:rsidRPr="00931C26">
        <w:rPr>
          <w:rFonts w:cs="Arial"/>
          <w:lang w:val="en-US"/>
        </w:rPr>
        <w:t xml:space="preserve">The approach uses the monthly mean of the missing station for imputation, as well as measurement data for the same pollutant at other sites. </w:t>
      </w:r>
    </w:p>
    <w:p w14:paraId="771D33E3" w14:textId="77777777" w:rsidR="00931C26" w:rsidRPr="00931C26" w:rsidRDefault="00931C26" w:rsidP="00931C26">
      <w:pPr>
        <w:autoSpaceDE w:val="0"/>
        <w:autoSpaceDN w:val="0"/>
        <w:adjustRightInd w:val="0"/>
        <w:spacing w:after="0" w:line="240" w:lineRule="auto"/>
        <w:jc w:val="both"/>
        <w:rPr>
          <w:rFonts w:cs="Arial"/>
          <w:lang w:val="en-US"/>
        </w:rPr>
      </w:pPr>
    </w:p>
    <w:p w14:paraId="365C8706" w14:textId="06B3FF7E" w:rsidR="00931C26" w:rsidRPr="00931C26" w:rsidRDefault="00931C26" w:rsidP="00931C26">
      <w:pPr>
        <w:autoSpaceDE w:val="0"/>
        <w:autoSpaceDN w:val="0"/>
        <w:adjustRightInd w:val="0"/>
        <w:spacing w:after="0" w:line="240" w:lineRule="auto"/>
        <w:jc w:val="both"/>
        <w:rPr>
          <w:rFonts w:cs="Arial"/>
          <w:lang w:val="en-US"/>
        </w:rPr>
      </w:pPr>
      <w:r w:rsidRPr="00931C26">
        <w:rPr>
          <w:rFonts w:cs="Arial"/>
          <w:lang w:val="en-US"/>
        </w:rPr>
        <w:t xml:space="preserve">For the sites with measurements on day t, the ratio between the respective daily mean and the last calendar monthly mean </w:t>
      </w:r>
      <w:r w:rsidR="003351E8">
        <w:rPr>
          <w:rFonts w:cs="Arial"/>
          <w:lang w:val="en-US"/>
        </w:rPr>
        <w:t xml:space="preserve">of day t </w:t>
      </w:r>
      <w:r w:rsidRPr="00931C26">
        <w:rPr>
          <w:rFonts w:cs="Arial"/>
          <w:lang w:val="en-US"/>
        </w:rPr>
        <w:t xml:space="preserve">is computed; ratios from these sites are then averaged. Finally, the missing daily mean is calculated by multiplying the monthly mean of the station with the missing value by the computed average ratio as shown in </w:t>
      </w:r>
      <w:r w:rsidR="00FB4460">
        <w:rPr>
          <w:rFonts w:cs="Arial"/>
          <w:lang w:val="en-US"/>
        </w:rPr>
        <w:fldChar w:fldCharType="begin"/>
      </w:r>
      <w:r w:rsidR="00FB4460">
        <w:rPr>
          <w:rFonts w:cs="Arial"/>
          <w:lang w:val="en-US"/>
        </w:rPr>
        <w:instrText xml:space="preserve"> REF _Ref138856564 \h </w:instrText>
      </w:r>
      <w:r w:rsidR="00FB4460">
        <w:rPr>
          <w:rFonts w:cs="Arial"/>
          <w:lang w:val="en-US"/>
        </w:rPr>
      </w:r>
      <w:r w:rsidR="00FB4460">
        <w:rPr>
          <w:rFonts w:cs="Arial"/>
          <w:lang w:val="en-US"/>
        </w:rPr>
        <w:fldChar w:fldCharType="separate"/>
      </w:r>
      <w:r w:rsidR="00FB4460" w:rsidRPr="00FB4460">
        <w:t xml:space="preserve">Equation S </w:t>
      </w:r>
      <w:r w:rsidR="00FB4460" w:rsidRPr="00FB4460">
        <w:rPr>
          <w:noProof/>
        </w:rPr>
        <w:t>2</w:t>
      </w:r>
      <w:r w:rsidR="00FB4460">
        <w:rPr>
          <w:rFonts w:cs="Arial"/>
          <w:lang w:val="en-US"/>
        </w:rPr>
        <w:fldChar w:fldCharType="end"/>
      </w:r>
      <w:r w:rsidRPr="00931C26">
        <w:rPr>
          <w:rFonts w:cs="Arial"/>
          <w:lang w:val="en-US"/>
        </w:rPr>
        <w:t>.</w:t>
      </w:r>
    </w:p>
    <w:p w14:paraId="16B4B8E4" w14:textId="77777777" w:rsidR="00931C26" w:rsidRPr="00931C26" w:rsidRDefault="00931C26" w:rsidP="00931C26">
      <w:pPr>
        <w:keepNext/>
        <w:spacing w:line="240" w:lineRule="auto"/>
        <w:rPr>
          <w:i/>
          <w:iCs/>
          <w:color w:val="1F497D" w:themeColor="text2"/>
          <w:sz w:val="18"/>
          <w:szCs w:val="18"/>
          <w:lang w:val="en-US"/>
        </w:rPr>
      </w:pPr>
    </w:p>
    <w:tbl>
      <w:tblPr>
        <w:tblStyle w:val="TableGrid"/>
        <w:tblW w:w="9535" w:type="dxa"/>
        <w:tblLook w:val="04A0" w:firstRow="1" w:lastRow="0" w:firstColumn="1" w:lastColumn="0" w:noHBand="0" w:noVBand="1"/>
      </w:tblPr>
      <w:tblGrid>
        <w:gridCol w:w="533"/>
        <w:gridCol w:w="7444"/>
        <w:gridCol w:w="1558"/>
      </w:tblGrid>
      <w:tr w:rsidR="00931C26" w:rsidRPr="00931C26" w14:paraId="40F9FA15" w14:textId="77777777" w:rsidTr="00BA1861">
        <w:tc>
          <w:tcPr>
            <w:tcW w:w="533" w:type="dxa"/>
          </w:tcPr>
          <w:p w14:paraId="2E25AFC9" w14:textId="77777777" w:rsidR="00931C26" w:rsidRPr="00931C26" w:rsidRDefault="00931C26" w:rsidP="00931C26">
            <w:pPr>
              <w:autoSpaceDE w:val="0"/>
              <w:autoSpaceDN w:val="0"/>
              <w:adjustRightInd w:val="0"/>
              <w:rPr>
                <w:rFonts w:cs="Arial"/>
                <w:color w:val="343541"/>
                <w:lang w:val="en-US"/>
              </w:rPr>
            </w:pPr>
          </w:p>
        </w:tc>
        <w:tc>
          <w:tcPr>
            <w:tcW w:w="7444" w:type="dxa"/>
          </w:tcPr>
          <w:p w14:paraId="76D58B42" w14:textId="2D708515" w:rsidR="00931C26" w:rsidRPr="00931C26" w:rsidRDefault="00FD088A" w:rsidP="00931C26">
            <w:pPr>
              <w:autoSpaceDE w:val="0"/>
              <w:autoSpaceDN w:val="0"/>
              <w:adjustRightInd w:val="0"/>
              <w:rPr>
                <w:rFonts w:eastAsiaTheme="minorEastAsia" w:cs="Arial"/>
                <w:lang w:val="en-US"/>
              </w:rPr>
            </w:pPr>
            <m:oMathPara>
              <m:oMath>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t</m:t>
                    </m:r>
                  </m:sub>
                </m:sSub>
                <m:r>
                  <w:rPr>
                    <w:rFonts w:ascii="Cambria Math" w:hAnsi="Cambria Math" w:cs="Arial"/>
                    <w:lang w:val="en-US"/>
                  </w:rPr>
                  <m:t xml:space="preserve">= </m:t>
                </m:r>
                <m:sSub>
                  <m:sSubPr>
                    <m:ctrlPr>
                      <w:rPr>
                        <w:rFonts w:ascii="Cambria Math" w:hAnsi="Cambria Math" w:cs="Arial"/>
                        <w:i/>
                        <w:lang w:val="en-US"/>
                      </w:rPr>
                    </m:ctrlPr>
                  </m:sSubPr>
                  <m:e>
                    <m:r>
                      <w:rPr>
                        <w:rFonts w:ascii="Cambria Math" w:hAnsi="Cambria Math" w:cs="Arial"/>
                        <w:lang w:val="en-US"/>
                      </w:rPr>
                      <m:t xml:space="preserve"> V</m:t>
                    </m:r>
                  </m:e>
                  <m:sub>
                    <m:r>
                      <w:rPr>
                        <w:rFonts w:ascii="Cambria Math" w:hAnsi="Cambria Math" w:cs="Arial"/>
                        <w:lang w:val="en-US"/>
                      </w:rPr>
                      <m:t xml:space="preserve">t </m:t>
                    </m:r>
                  </m:sub>
                </m:sSub>
                <m:r>
                  <w:rPr>
                    <w:rFonts w:ascii="Cambria Math" w:hAnsi="Cambria Math" w:cs="Arial"/>
                    <w:lang w:val="en-US"/>
                  </w:rPr>
                  <m:t xml:space="preserve">* </m:t>
                </m:r>
                <m:f>
                  <m:fPr>
                    <m:ctrlPr>
                      <w:rPr>
                        <w:rFonts w:ascii="Cambria Math" w:hAnsi="Cambria Math" w:cs="Arial"/>
                        <w:i/>
                        <w:lang w:val="en-US"/>
                      </w:rPr>
                    </m:ctrlPr>
                  </m:fPr>
                  <m:num>
                    <m:r>
                      <w:rPr>
                        <w:rFonts w:ascii="Cambria Math" w:hAnsi="Cambria Math" w:cs="Arial"/>
                        <w:lang w:val="en-US"/>
                      </w:rPr>
                      <m:t>1</m:t>
                    </m:r>
                  </m:num>
                  <m:den>
                    <m:r>
                      <w:rPr>
                        <w:rFonts w:ascii="Cambria Math" w:hAnsi="Cambria Math" w:cs="Arial"/>
                        <w:lang w:val="en-US"/>
                      </w:rPr>
                      <m:t>n</m:t>
                    </m:r>
                  </m:den>
                </m:f>
                <m:nary>
                  <m:naryPr>
                    <m:chr m:val="∑"/>
                    <m:limLoc m:val="undOvr"/>
                    <m:supHide m:val="1"/>
                    <m:ctrlPr>
                      <w:rPr>
                        <w:rFonts w:ascii="Cambria Math" w:hAnsi="Cambria Math" w:cs="Arial"/>
                        <w:i/>
                        <w:lang w:val="en-US"/>
                      </w:rPr>
                    </m:ctrlPr>
                  </m:naryPr>
                  <m:sub>
                    <m:r>
                      <w:rPr>
                        <w:rFonts w:ascii="Cambria Math" w:hAnsi="Cambria Math" w:cs="Arial"/>
                        <w:lang w:val="en-US"/>
                      </w:rPr>
                      <m:t>i=1,…,n</m:t>
                    </m:r>
                  </m:sub>
                  <m:sup/>
                  <m:e>
                    <m:f>
                      <m:fPr>
                        <m:ctrlPr>
                          <w:rPr>
                            <w:rFonts w:ascii="Cambria Math" w:hAnsi="Cambria Math" w:cs="Arial"/>
                            <w:i/>
                            <w:lang w:val="en-US"/>
                          </w:rPr>
                        </m:ctrlPr>
                      </m:fPr>
                      <m:num>
                        <m:sSub>
                          <m:sSubPr>
                            <m:ctrlPr>
                              <w:rPr>
                                <w:rFonts w:ascii="Cambria Math" w:hAnsi="Cambria Math" w:cs="Arial"/>
                                <w:i/>
                                <w:lang w:val="en-US"/>
                              </w:rPr>
                            </m:ctrlPr>
                          </m:sSubPr>
                          <m:e>
                            <m:r>
                              <w:rPr>
                                <w:rFonts w:ascii="Cambria Math" w:hAnsi="Cambria Math" w:cs="Arial"/>
                                <w:lang w:val="en-US"/>
                              </w:rPr>
                              <m:t>D</m:t>
                            </m:r>
                          </m:e>
                          <m:sub>
                            <m:r>
                              <w:rPr>
                                <w:rFonts w:ascii="Cambria Math" w:hAnsi="Cambria Math" w:cs="Arial"/>
                                <w:lang w:val="en-US"/>
                              </w:rPr>
                              <m:t>i,t</m:t>
                            </m:r>
                          </m:sub>
                        </m:sSub>
                      </m:num>
                      <m:den>
                        <m:sSub>
                          <m:sSubPr>
                            <m:ctrlPr>
                              <w:rPr>
                                <w:rFonts w:ascii="Cambria Math" w:hAnsi="Cambria Math" w:cs="Arial"/>
                                <w:i/>
                                <w:lang w:val="en-US"/>
                              </w:rPr>
                            </m:ctrlPr>
                          </m:sSubPr>
                          <m:e>
                            <m:r>
                              <w:rPr>
                                <w:rFonts w:ascii="Cambria Math" w:hAnsi="Cambria Math" w:cs="Arial"/>
                                <w:lang w:val="en-US"/>
                              </w:rPr>
                              <m:t>M</m:t>
                            </m:r>
                          </m:e>
                          <m:sub>
                            <m:r>
                              <w:rPr>
                                <w:rFonts w:ascii="Cambria Math" w:hAnsi="Cambria Math" w:cs="Arial"/>
                                <w:lang w:val="en-US"/>
                              </w:rPr>
                              <m:t>i,t</m:t>
                            </m:r>
                          </m:sub>
                        </m:sSub>
                      </m:den>
                    </m:f>
                  </m:e>
                </m:nary>
                <m:r>
                  <w:rPr>
                    <w:rFonts w:ascii="Cambria Math" w:hAnsi="Cambria Math" w:cs="Arial"/>
                    <w:lang w:val="en-US"/>
                  </w:rPr>
                  <m:t xml:space="preserve"> </m:t>
                </m:r>
              </m:oMath>
            </m:oMathPara>
          </w:p>
          <w:p w14:paraId="794C49A0" w14:textId="77777777" w:rsidR="00931C26" w:rsidRPr="00931C26" w:rsidRDefault="00931C26" w:rsidP="00931C26">
            <w:pPr>
              <w:autoSpaceDE w:val="0"/>
              <w:autoSpaceDN w:val="0"/>
              <w:adjustRightInd w:val="0"/>
              <w:rPr>
                <w:rFonts w:cs="Arial"/>
                <w:color w:val="343541"/>
                <w:lang w:val="en-US"/>
              </w:rPr>
            </w:pPr>
          </w:p>
        </w:tc>
        <w:tc>
          <w:tcPr>
            <w:tcW w:w="1558" w:type="dxa"/>
          </w:tcPr>
          <w:p w14:paraId="2BDD6392" w14:textId="6C1609D3" w:rsidR="00667CE5" w:rsidRPr="00FB4460" w:rsidRDefault="00667CE5" w:rsidP="00667CE5">
            <w:pPr>
              <w:pStyle w:val="Caption"/>
              <w:rPr>
                <w:rFonts w:cs="Arial"/>
                <w:color w:val="auto"/>
                <w:sz w:val="22"/>
                <w:szCs w:val="22"/>
                <w:lang w:val="en-US"/>
              </w:rPr>
            </w:pPr>
            <w:bookmarkStart w:id="8" w:name="_Ref138856564"/>
            <w:r w:rsidRPr="00FB4460">
              <w:rPr>
                <w:color w:val="auto"/>
                <w:sz w:val="22"/>
                <w:szCs w:val="22"/>
              </w:rPr>
              <w:t xml:space="preserve">Equation S </w:t>
            </w:r>
            <w:r w:rsidRPr="00FB4460">
              <w:rPr>
                <w:color w:val="auto"/>
                <w:sz w:val="22"/>
                <w:szCs w:val="22"/>
              </w:rPr>
              <w:fldChar w:fldCharType="begin"/>
            </w:r>
            <w:r w:rsidRPr="00FB4460">
              <w:rPr>
                <w:color w:val="auto"/>
                <w:sz w:val="22"/>
                <w:szCs w:val="22"/>
              </w:rPr>
              <w:instrText xml:space="preserve"> SEQ Equation_S \* ARABIC </w:instrText>
            </w:r>
            <w:r w:rsidRPr="00FB4460">
              <w:rPr>
                <w:color w:val="auto"/>
                <w:sz w:val="22"/>
                <w:szCs w:val="22"/>
              </w:rPr>
              <w:fldChar w:fldCharType="separate"/>
            </w:r>
            <w:r w:rsidR="00543AC2" w:rsidRPr="00FB4460">
              <w:rPr>
                <w:noProof/>
                <w:color w:val="auto"/>
                <w:sz w:val="22"/>
                <w:szCs w:val="22"/>
              </w:rPr>
              <w:t>2</w:t>
            </w:r>
            <w:r w:rsidRPr="00FB4460">
              <w:rPr>
                <w:color w:val="auto"/>
                <w:sz w:val="22"/>
                <w:szCs w:val="22"/>
              </w:rPr>
              <w:fldChar w:fldCharType="end"/>
            </w:r>
            <w:bookmarkEnd w:id="8"/>
          </w:p>
          <w:p w14:paraId="79941517" w14:textId="77777777" w:rsidR="00931C26" w:rsidRPr="00931C26" w:rsidRDefault="00931C26" w:rsidP="004E0D8C">
            <w:pPr>
              <w:keepNext/>
              <w:rPr>
                <w:rFonts w:cs="Arial"/>
                <w:color w:val="343541"/>
                <w:lang w:val="en-US"/>
              </w:rPr>
            </w:pPr>
          </w:p>
        </w:tc>
      </w:tr>
    </w:tbl>
    <w:p w14:paraId="2E4935A4" w14:textId="77777777" w:rsidR="00913CD0" w:rsidRPr="003351E8" w:rsidRDefault="00931C26" w:rsidP="00931C26">
      <w:pPr>
        <w:autoSpaceDE w:val="0"/>
        <w:autoSpaceDN w:val="0"/>
        <w:adjustRightInd w:val="0"/>
        <w:spacing w:after="0" w:line="240" w:lineRule="auto"/>
        <w:rPr>
          <w:rFonts w:eastAsiaTheme="minorEastAsia" w:cs="Arial"/>
          <w:lang w:val="en-US"/>
        </w:rPr>
      </w:pPr>
      <m:oMathPara>
        <m:oMathParaPr>
          <m:jc m:val="left"/>
        </m:oMathParaPr>
        <m:oMath>
          <m:r>
            <w:rPr>
              <w:rFonts w:ascii="Cambria Math" w:hAnsi="Cambria Math" w:cs="Arial"/>
              <w:lang w:val="en-US"/>
            </w:rPr>
            <m:t>where t=day of missing value of the respective pollutant at the given station,</m:t>
          </m:r>
        </m:oMath>
      </m:oMathPara>
    </w:p>
    <w:p w14:paraId="67CDB832" w14:textId="1235F147" w:rsidR="00931C26" w:rsidRPr="00931C26" w:rsidRDefault="00931C26" w:rsidP="00931C26">
      <w:pPr>
        <w:autoSpaceDE w:val="0"/>
        <w:autoSpaceDN w:val="0"/>
        <w:adjustRightInd w:val="0"/>
        <w:spacing w:after="0" w:line="240" w:lineRule="auto"/>
        <w:rPr>
          <w:rFonts w:eastAsiaTheme="minorEastAsia" w:cs="Arial"/>
          <w:lang w:val="en-US"/>
        </w:rPr>
      </w:pPr>
      <m:oMathPara>
        <m:oMathParaPr>
          <m:jc m:val="left"/>
        </m:oMathParaPr>
        <m:oMath>
          <m:r>
            <w:rPr>
              <w:rFonts w:ascii="Cambria Math" w:hAnsi="Cambria Math" w:cs="Arial"/>
              <w:lang w:val="en-US"/>
            </w:rPr>
            <m:t xml:space="preserve">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t</m:t>
              </m:r>
            </m:sub>
          </m:sSub>
          <m:r>
            <w:rPr>
              <w:rFonts w:ascii="Cambria Math" w:hAnsi="Cambria Math" w:cs="Arial"/>
              <w:lang w:val="en-US"/>
            </w:rPr>
            <m:t xml:space="preserve">= imputed  mean of pollutant at the given station on day t,  </m:t>
          </m:r>
          <m:sSub>
            <m:sSubPr>
              <m:ctrlPr>
                <w:rPr>
                  <w:rFonts w:ascii="Cambria Math" w:hAnsi="Cambria Math" w:cs="Arial"/>
                  <w:i/>
                  <w:lang w:val="en-US"/>
                </w:rPr>
              </m:ctrlPr>
            </m:sSubPr>
            <m:e>
              <m:r>
                <w:rPr>
                  <w:rFonts w:ascii="Cambria Math" w:hAnsi="Cambria Math" w:cs="Arial"/>
                  <w:lang w:val="en-US"/>
                </w:rPr>
                <m:t xml:space="preserve"> V</m:t>
              </m:r>
            </m:e>
            <m:sub>
              <m:r>
                <w:rPr>
                  <w:rFonts w:ascii="Cambria Math" w:hAnsi="Cambria Math" w:cs="Arial"/>
                  <w:lang w:val="en-US"/>
                </w:rPr>
                <m:t xml:space="preserve">t </m:t>
              </m:r>
            </m:sub>
          </m:sSub>
          <m:r>
            <w:rPr>
              <w:rFonts w:ascii="Cambria Math" w:hAnsi="Cambria Math" w:cs="Arial"/>
              <w:lang w:val="en-US"/>
            </w:rPr>
            <m:t xml:space="preserve">=mean of pollutant at the given station in the month of day t,  </m:t>
          </m:r>
          <m:sSub>
            <m:sSubPr>
              <m:ctrlPr>
                <w:rPr>
                  <w:rFonts w:ascii="Cambria Math" w:hAnsi="Cambria Math" w:cs="Arial"/>
                  <w:i/>
                  <w:lang w:val="en-US"/>
                </w:rPr>
              </m:ctrlPr>
            </m:sSubPr>
            <m:e>
              <m:r>
                <w:rPr>
                  <w:rFonts w:ascii="Cambria Math" w:hAnsi="Cambria Math" w:cs="Arial"/>
                  <w:lang w:val="en-US"/>
                </w:rPr>
                <m:t>D</m:t>
              </m:r>
            </m:e>
            <m:sub>
              <m:r>
                <w:rPr>
                  <w:rFonts w:ascii="Cambria Math" w:hAnsi="Cambria Math" w:cs="Arial"/>
                  <w:lang w:val="en-US"/>
                </w:rPr>
                <m:t>i,t</m:t>
              </m:r>
            </m:sub>
          </m:sSub>
          <m:r>
            <w:rPr>
              <w:rFonts w:ascii="Cambria Math" w:hAnsi="Cambria Math" w:cs="Arial"/>
              <w:lang w:val="en-US"/>
            </w:rPr>
            <m:t xml:space="preserve">=mean of pollutant at station i on day t,  </m:t>
          </m:r>
          <m:sSub>
            <m:sSubPr>
              <m:ctrlPr>
                <w:rPr>
                  <w:rFonts w:ascii="Cambria Math" w:hAnsi="Cambria Math" w:cs="Arial"/>
                  <w:i/>
                  <w:lang w:val="en-US"/>
                </w:rPr>
              </m:ctrlPr>
            </m:sSubPr>
            <m:e>
              <m:r>
                <w:rPr>
                  <w:rFonts w:ascii="Cambria Math" w:hAnsi="Cambria Math" w:cs="Arial"/>
                  <w:lang w:val="en-US"/>
                </w:rPr>
                <m:t>M</m:t>
              </m:r>
            </m:e>
            <m:sub>
              <m:r>
                <w:rPr>
                  <w:rFonts w:ascii="Cambria Math" w:hAnsi="Cambria Math" w:cs="Arial"/>
                  <w:lang w:val="en-US"/>
                </w:rPr>
                <m:t>i,t</m:t>
              </m:r>
            </m:sub>
          </m:sSub>
          <m:r>
            <w:rPr>
              <w:rFonts w:ascii="Cambria Math" w:hAnsi="Cambria Math" w:cs="Arial"/>
              <w:lang w:val="en-US"/>
            </w:rPr>
            <m:t xml:space="preserve">= mean of pollutant at station i in the month of day t,  n=number of stations with measurements of the pollutant on day t  </m:t>
          </m:r>
        </m:oMath>
      </m:oMathPara>
    </w:p>
    <w:p w14:paraId="5A203A58" w14:textId="77777777" w:rsidR="00931C26" w:rsidRPr="00931C26" w:rsidRDefault="00931C26" w:rsidP="00931C26">
      <w:pPr>
        <w:autoSpaceDE w:val="0"/>
        <w:autoSpaceDN w:val="0"/>
        <w:adjustRightInd w:val="0"/>
        <w:spacing w:after="0" w:line="240" w:lineRule="auto"/>
        <w:rPr>
          <w:rFonts w:eastAsiaTheme="minorEastAsia" w:cs="Arial"/>
          <w:lang w:val="en-US"/>
        </w:rPr>
      </w:pPr>
    </w:p>
    <w:p w14:paraId="190D0370" w14:textId="77777777" w:rsidR="00B82A96" w:rsidRDefault="00B82A96" w:rsidP="00B82A96">
      <w:r>
        <w:t xml:space="preserve">The linear regression between </w:t>
      </w:r>
      <w:r w:rsidRPr="009D05F7">
        <w:t>PM</w:t>
      </w:r>
      <w:r w:rsidRPr="00382B13">
        <w:rPr>
          <w:vertAlign w:val="subscript"/>
        </w:rPr>
        <w:t>10</w:t>
      </w:r>
      <w:r w:rsidRPr="009D05F7">
        <w:t>- and PM</w:t>
      </w:r>
      <w:r w:rsidRPr="00382B13">
        <w:rPr>
          <w:vertAlign w:val="subscript"/>
        </w:rPr>
        <w:t xml:space="preserve">2.5 </w:t>
      </w:r>
      <w:r w:rsidRPr="009D05F7">
        <w:t>based indices</w:t>
      </w:r>
      <w:r>
        <w:t xml:space="preserve"> in Cape Town for 365 days had a slope of 0.78, intercept of 1.01 (95% CI: 0.9 – 1.1) and an adjusted R</w:t>
      </w:r>
      <w:r w:rsidRPr="00382B13">
        <w:rPr>
          <w:vertAlign w:val="superscript"/>
        </w:rPr>
        <w:t>2</w:t>
      </w:r>
      <w:r>
        <w:t xml:space="preserve"> of 0.85.</w:t>
      </w:r>
    </w:p>
    <w:p w14:paraId="2349975C" w14:textId="77777777" w:rsidR="00B82A96" w:rsidRDefault="00B82A96" w:rsidP="00B82A96">
      <w:r>
        <w:rPr>
          <w:noProof/>
          <w:lang w:val="de-CH" w:eastAsia="de-CH"/>
        </w:rPr>
        <w:lastRenderedPageBreak/>
        <w:drawing>
          <wp:inline distT="0" distB="0" distL="0" distR="0" wp14:anchorId="19FC44BB" wp14:editId="7DE576C6">
            <wp:extent cx="5099050" cy="3711056"/>
            <wp:effectExtent l="0" t="0" r="635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10699" cy="3719534"/>
                    </a:xfrm>
                    <a:prstGeom prst="rect">
                      <a:avLst/>
                    </a:prstGeom>
                    <a:noFill/>
                    <a:ln>
                      <a:noFill/>
                    </a:ln>
                  </pic:spPr>
                </pic:pic>
              </a:graphicData>
            </a:graphic>
          </wp:inline>
        </w:drawing>
      </w:r>
    </w:p>
    <w:p w14:paraId="59407CB0" w14:textId="19094DD9" w:rsidR="00B82A96" w:rsidRPr="00E51810" w:rsidRDefault="00E51810" w:rsidP="00B82A96">
      <w:pPr>
        <w:pStyle w:val="Caption"/>
      </w:pPr>
      <w:r w:rsidRPr="00E51810">
        <w:rPr>
          <w:color w:val="auto"/>
          <w:sz w:val="22"/>
          <w:szCs w:val="22"/>
        </w:rPr>
        <w:t xml:space="preserve">Figure S </w:t>
      </w:r>
      <w:r w:rsidRPr="00E51810">
        <w:rPr>
          <w:color w:val="auto"/>
          <w:sz w:val="22"/>
          <w:szCs w:val="22"/>
        </w:rPr>
        <w:fldChar w:fldCharType="begin"/>
      </w:r>
      <w:r w:rsidRPr="00E51810">
        <w:rPr>
          <w:color w:val="auto"/>
          <w:sz w:val="22"/>
          <w:szCs w:val="22"/>
        </w:rPr>
        <w:instrText xml:space="preserve"> SEQ Figure_S \* ARABIC </w:instrText>
      </w:r>
      <w:r w:rsidRPr="00E51810">
        <w:rPr>
          <w:color w:val="auto"/>
          <w:sz w:val="22"/>
          <w:szCs w:val="22"/>
        </w:rPr>
        <w:fldChar w:fldCharType="separate"/>
      </w:r>
      <w:r w:rsidR="0088252E">
        <w:rPr>
          <w:noProof/>
          <w:color w:val="auto"/>
          <w:sz w:val="22"/>
          <w:szCs w:val="22"/>
        </w:rPr>
        <w:t>4</w:t>
      </w:r>
      <w:r w:rsidRPr="00E51810">
        <w:rPr>
          <w:color w:val="auto"/>
          <w:sz w:val="22"/>
          <w:szCs w:val="22"/>
        </w:rPr>
        <w:fldChar w:fldCharType="end"/>
      </w:r>
      <w:r w:rsidR="00B82A96" w:rsidRPr="00E51810">
        <w:rPr>
          <w:color w:val="auto"/>
          <w:sz w:val="22"/>
          <w:szCs w:val="22"/>
        </w:rPr>
        <w:t xml:space="preserve">: </w:t>
      </w:r>
      <w:r w:rsidR="00B82A96" w:rsidRPr="009D05F7">
        <w:rPr>
          <w:color w:val="auto"/>
          <w:sz w:val="22"/>
        </w:rPr>
        <w:t>Linear regression between PM</w:t>
      </w:r>
      <w:r w:rsidR="00B82A96" w:rsidRPr="0088252E">
        <w:rPr>
          <w:color w:val="auto"/>
          <w:sz w:val="22"/>
          <w:vertAlign w:val="subscript"/>
        </w:rPr>
        <w:t>10</w:t>
      </w:r>
      <w:r w:rsidR="00B82A96" w:rsidRPr="009D05F7">
        <w:rPr>
          <w:color w:val="auto"/>
          <w:sz w:val="22"/>
        </w:rPr>
        <w:t>- and PM</w:t>
      </w:r>
      <w:r w:rsidR="00B82A96" w:rsidRPr="0088252E">
        <w:rPr>
          <w:color w:val="auto"/>
          <w:sz w:val="22"/>
          <w:vertAlign w:val="subscript"/>
        </w:rPr>
        <w:t xml:space="preserve">2.5 </w:t>
      </w:r>
      <w:r w:rsidR="00B82A96" w:rsidRPr="009D05F7">
        <w:rPr>
          <w:color w:val="auto"/>
          <w:sz w:val="22"/>
        </w:rPr>
        <w:t>based indices</w:t>
      </w:r>
      <w:r w:rsidR="00B82A96">
        <w:rPr>
          <w:color w:val="auto"/>
          <w:sz w:val="22"/>
        </w:rPr>
        <w:t xml:space="preserve"> in Cape Town, South Africa, 2019</w:t>
      </w:r>
      <w:r w:rsidR="00B82A96" w:rsidRPr="009D05F7">
        <w:rPr>
          <w:color w:val="auto"/>
          <w:sz w:val="22"/>
        </w:rPr>
        <w:t>. Plot shows the number of days,</w:t>
      </w:r>
      <w:r w:rsidR="00B82A96">
        <w:rPr>
          <w:color w:val="auto"/>
          <w:sz w:val="22"/>
        </w:rPr>
        <w:t xml:space="preserve"> adjusted R</w:t>
      </w:r>
      <w:r w:rsidR="00B82A96" w:rsidRPr="0088252E">
        <w:rPr>
          <w:color w:val="auto"/>
          <w:sz w:val="22"/>
          <w:vertAlign w:val="superscript"/>
        </w:rPr>
        <w:t>2</w:t>
      </w:r>
      <w:r w:rsidR="00B82A96">
        <w:rPr>
          <w:color w:val="auto"/>
          <w:sz w:val="22"/>
        </w:rPr>
        <w:t>, intercept and its 95% confidence interval and the slope</w:t>
      </w:r>
      <w:r w:rsidR="00B82A96" w:rsidRPr="003351E8">
        <w:t xml:space="preserve"> </w:t>
      </w:r>
      <w:r w:rsidR="00B82A96" w:rsidRPr="003351E8">
        <w:rPr>
          <w:color w:val="auto"/>
          <w:sz w:val="22"/>
        </w:rPr>
        <w:t>with the size of points representing the number of respective days, as well as the identity line</w:t>
      </w:r>
      <w:r w:rsidR="00B82A96">
        <w:rPr>
          <w:color w:val="auto"/>
          <w:sz w:val="22"/>
        </w:rPr>
        <w:t>.</w:t>
      </w:r>
    </w:p>
    <w:p w14:paraId="7D4C7DEB" w14:textId="360ED645" w:rsidR="008F1A35" w:rsidRPr="00B82A96" w:rsidRDefault="008F1A35" w:rsidP="005621EA">
      <w:pPr>
        <w:rPr>
          <w:rFonts w:cs="Arial"/>
        </w:rPr>
      </w:pPr>
    </w:p>
    <w:p w14:paraId="3EA10ABD" w14:textId="3F180268" w:rsidR="008F1A35" w:rsidRDefault="00016BA3" w:rsidP="00016BA3">
      <w:pPr>
        <w:pStyle w:val="Caption"/>
        <w:rPr>
          <w:rFonts w:cs="Arial"/>
        </w:rPr>
      </w:pPr>
      <w:r>
        <w:t xml:space="preserve">Table S </w:t>
      </w:r>
      <w:r>
        <w:fldChar w:fldCharType="begin"/>
      </w:r>
      <w:r>
        <w:instrText xml:space="preserve"> SEQ Table_S \* ARABIC </w:instrText>
      </w:r>
      <w:r>
        <w:fldChar w:fldCharType="separate"/>
      </w:r>
      <w:r>
        <w:rPr>
          <w:noProof/>
        </w:rPr>
        <w:t>5</w:t>
      </w:r>
      <w:r>
        <w:fldChar w:fldCharType="end"/>
      </w:r>
      <w:r>
        <w:t>: The 2021 WHO Air Quality Guideline values and South Africa’s National Ambient Air Quality Standard (NAAQS)</w:t>
      </w:r>
    </w:p>
    <w:tbl>
      <w:tblPr>
        <w:tblStyle w:val="TableGrid"/>
        <w:tblW w:w="0" w:type="auto"/>
        <w:tblLook w:val="04A0" w:firstRow="1" w:lastRow="0" w:firstColumn="1" w:lastColumn="0" w:noHBand="0" w:noVBand="1"/>
      </w:tblPr>
      <w:tblGrid>
        <w:gridCol w:w="1256"/>
        <w:gridCol w:w="1383"/>
        <w:gridCol w:w="1313"/>
        <w:gridCol w:w="1303"/>
        <w:gridCol w:w="1283"/>
        <w:gridCol w:w="1281"/>
        <w:gridCol w:w="1243"/>
      </w:tblGrid>
      <w:tr w:rsidR="00250AE2" w14:paraId="23A7A6F3" w14:textId="77777777" w:rsidTr="000F48F6">
        <w:tc>
          <w:tcPr>
            <w:tcW w:w="1256" w:type="dxa"/>
          </w:tcPr>
          <w:p w14:paraId="06B5740C" w14:textId="77777777" w:rsidR="00250AE2" w:rsidRDefault="00250AE2" w:rsidP="000F48F6">
            <w:pPr>
              <w:rPr>
                <w:rFonts w:cs="Arial"/>
              </w:rPr>
            </w:pPr>
            <w:r>
              <w:rPr>
                <w:rFonts w:cs="Arial"/>
              </w:rPr>
              <w:t xml:space="preserve">Guidelines </w:t>
            </w:r>
          </w:p>
        </w:tc>
        <w:tc>
          <w:tcPr>
            <w:tcW w:w="1383" w:type="dxa"/>
          </w:tcPr>
          <w:p w14:paraId="7A31ABA0" w14:textId="77777777" w:rsidR="00250AE2" w:rsidRDefault="00250AE2" w:rsidP="000F48F6">
            <w:pPr>
              <w:rPr>
                <w:rFonts w:cs="Arial"/>
              </w:rPr>
            </w:pPr>
            <w:r>
              <w:rPr>
                <w:rFonts w:cs="Arial"/>
              </w:rPr>
              <w:t>Averaging time</w:t>
            </w:r>
          </w:p>
        </w:tc>
        <w:tc>
          <w:tcPr>
            <w:tcW w:w="1313" w:type="dxa"/>
          </w:tcPr>
          <w:p w14:paraId="5E920CF6" w14:textId="77777777" w:rsidR="00250AE2" w:rsidRDefault="00250AE2" w:rsidP="000F48F6">
            <w:pPr>
              <w:rPr>
                <w:rFonts w:cs="Arial"/>
              </w:rPr>
            </w:pPr>
            <w:r>
              <w:rPr>
                <w:rFonts w:cs="Arial"/>
              </w:rPr>
              <w:t>PM</w:t>
            </w:r>
            <w:r w:rsidRPr="00341523">
              <w:rPr>
                <w:rFonts w:cs="Arial"/>
                <w:vertAlign w:val="subscript"/>
              </w:rPr>
              <w:t>2.5</w:t>
            </w:r>
          </w:p>
        </w:tc>
        <w:tc>
          <w:tcPr>
            <w:tcW w:w="1303" w:type="dxa"/>
          </w:tcPr>
          <w:p w14:paraId="240832AE" w14:textId="77777777" w:rsidR="00250AE2" w:rsidRDefault="00250AE2" w:rsidP="000F48F6">
            <w:pPr>
              <w:rPr>
                <w:rFonts w:cs="Arial"/>
              </w:rPr>
            </w:pPr>
            <w:r>
              <w:rPr>
                <w:rFonts w:cs="Arial"/>
              </w:rPr>
              <w:t>PM</w:t>
            </w:r>
            <w:r w:rsidRPr="00341523">
              <w:rPr>
                <w:rFonts w:cs="Arial"/>
                <w:vertAlign w:val="subscript"/>
              </w:rPr>
              <w:t>10</w:t>
            </w:r>
          </w:p>
        </w:tc>
        <w:tc>
          <w:tcPr>
            <w:tcW w:w="1283" w:type="dxa"/>
          </w:tcPr>
          <w:p w14:paraId="698CF39B" w14:textId="77777777" w:rsidR="00250AE2" w:rsidRDefault="00250AE2" w:rsidP="000F48F6">
            <w:pPr>
              <w:rPr>
                <w:rFonts w:cs="Arial"/>
              </w:rPr>
            </w:pPr>
            <w:r>
              <w:rPr>
                <w:rFonts w:cs="Arial"/>
              </w:rPr>
              <w:t>NO</w:t>
            </w:r>
            <w:r w:rsidRPr="00341523">
              <w:rPr>
                <w:rFonts w:cs="Arial"/>
                <w:vertAlign w:val="subscript"/>
              </w:rPr>
              <w:t>2</w:t>
            </w:r>
          </w:p>
        </w:tc>
        <w:tc>
          <w:tcPr>
            <w:tcW w:w="1281" w:type="dxa"/>
          </w:tcPr>
          <w:p w14:paraId="5F6A7C90" w14:textId="77777777" w:rsidR="00250AE2" w:rsidRDefault="00250AE2" w:rsidP="000F48F6">
            <w:pPr>
              <w:rPr>
                <w:rFonts w:cs="Arial"/>
              </w:rPr>
            </w:pPr>
            <w:r>
              <w:rPr>
                <w:rFonts w:cs="Arial"/>
              </w:rPr>
              <w:t>SO</w:t>
            </w:r>
            <w:r w:rsidRPr="00341523">
              <w:rPr>
                <w:rFonts w:cs="Arial"/>
                <w:vertAlign w:val="subscript"/>
              </w:rPr>
              <w:t>2</w:t>
            </w:r>
          </w:p>
        </w:tc>
        <w:tc>
          <w:tcPr>
            <w:tcW w:w="1243" w:type="dxa"/>
          </w:tcPr>
          <w:p w14:paraId="133998CD" w14:textId="77777777" w:rsidR="00250AE2" w:rsidRDefault="00250AE2" w:rsidP="000F48F6">
            <w:pPr>
              <w:rPr>
                <w:rFonts w:cs="Arial"/>
              </w:rPr>
            </w:pPr>
            <w:r>
              <w:rPr>
                <w:rFonts w:cs="Arial"/>
              </w:rPr>
              <w:t>O</w:t>
            </w:r>
            <w:r w:rsidRPr="00341523">
              <w:rPr>
                <w:rFonts w:cs="Arial"/>
                <w:vertAlign w:val="subscript"/>
              </w:rPr>
              <w:t>3</w:t>
            </w:r>
            <w:r>
              <w:rPr>
                <w:rFonts w:cs="Arial"/>
                <w:vertAlign w:val="subscript"/>
              </w:rPr>
              <w:t xml:space="preserve"> (8-hour)</w:t>
            </w:r>
          </w:p>
        </w:tc>
      </w:tr>
      <w:tr w:rsidR="00250AE2" w14:paraId="3E797D1C" w14:textId="77777777" w:rsidTr="000F48F6">
        <w:tc>
          <w:tcPr>
            <w:tcW w:w="1256" w:type="dxa"/>
          </w:tcPr>
          <w:p w14:paraId="71BC6DC6" w14:textId="77777777" w:rsidR="00250AE2" w:rsidRDefault="00250AE2" w:rsidP="000F48F6">
            <w:pPr>
              <w:rPr>
                <w:rFonts w:cs="Arial"/>
              </w:rPr>
            </w:pPr>
            <w:r>
              <w:rPr>
                <w:rFonts w:cs="Arial"/>
              </w:rPr>
              <w:t>WHO</w:t>
            </w:r>
          </w:p>
        </w:tc>
        <w:tc>
          <w:tcPr>
            <w:tcW w:w="1383" w:type="dxa"/>
          </w:tcPr>
          <w:p w14:paraId="64CC394B" w14:textId="77777777" w:rsidR="00250AE2" w:rsidRDefault="00250AE2" w:rsidP="000F48F6">
            <w:pPr>
              <w:rPr>
                <w:rFonts w:cs="Arial"/>
              </w:rPr>
            </w:pPr>
            <w:r>
              <w:rPr>
                <w:rFonts w:cs="Arial"/>
              </w:rPr>
              <w:t>Short-term</w:t>
            </w:r>
            <w:r w:rsidRPr="00B72BF4">
              <w:rPr>
                <w:rFonts w:cs="Arial"/>
                <w:vertAlign w:val="superscript"/>
              </w:rPr>
              <w:t>a</w:t>
            </w:r>
          </w:p>
        </w:tc>
        <w:tc>
          <w:tcPr>
            <w:tcW w:w="1313" w:type="dxa"/>
          </w:tcPr>
          <w:p w14:paraId="09BECF89" w14:textId="77777777" w:rsidR="00250AE2" w:rsidRDefault="00250AE2" w:rsidP="000F48F6">
            <w:pPr>
              <w:rPr>
                <w:rFonts w:cs="Arial"/>
              </w:rPr>
            </w:pPr>
            <w:r>
              <w:rPr>
                <w:rFonts w:cs="Arial"/>
              </w:rPr>
              <w:t>15</w:t>
            </w:r>
          </w:p>
        </w:tc>
        <w:tc>
          <w:tcPr>
            <w:tcW w:w="1303" w:type="dxa"/>
          </w:tcPr>
          <w:p w14:paraId="782C73B6" w14:textId="77777777" w:rsidR="00250AE2" w:rsidRDefault="00250AE2" w:rsidP="000F48F6">
            <w:pPr>
              <w:rPr>
                <w:rFonts w:cs="Arial"/>
              </w:rPr>
            </w:pPr>
            <w:r>
              <w:rPr>
                <w:rFonts w:cs="Arial"/>
              </w:rPr>
              <w:t>45</w:t>
            </w:r>
          </w:p>
        </w:tc>
        <w:tc>
          <w:tcPr>
            <w:tcW w:w="1283" w:type="dxa"/>
          </w:tcPr>
          <w:p w14:paraId="5C600F1E" w14:textId="77777777" w:rsidR="00250AE2" w:rsidRDefault="00250AE2" w:rsidP="000F48F6">
            <w:pPr>
              <w:rPr>
                <w:rFonts w:cs="Arial"/>
              </w:rPr>
            </w:pPr>
            <w:r>
              <w:rPr>
                <w:rFonts w:cs="Arial"/>
              </w:rPr>
              <w:t>25</w:t>
            </w:r>
          </w:p>
        </w:tc>
        <w:tc>
          <w:tcPr>
            <w:tcW w:w="1281" w:type="dxa"/>
          </w:tcPr>
          <w:p w14:paraId="6C30D16E" w14:textId="77777777" w:rsidR="00250AE2" w:rsidRDefault="00250AE2" w:rsidP="000F48F6">
            <w:pPr>
              <w:rPr>
                <w:rFonts w:cs="Arial"/>
              </w:rPr>
            </w:pPr>
            <w:r>
              <w:rPr>
                <w:rFonts w:cs="Arial"/>
              </w:rPr>
              <w:t>40</w:t>
            </w:r>
          </w:p>
        </w:tc>
        <w:tc>
          <w:tcPr>
            <w:tcW w:w="1243" w:type="dxa"/>
          </w:tcPr>
          <w:p w14:paraId="27DF5981" w14:textId="77777777" w:rsidR="00250AE2" w:rsidRDefault="00250AE2" w:rsidP="000F48F6">
            <w:pPr>
              <w:rPr>
                <w:rFonts w:cs="Arial"/>
              </w:rPr>
            </w:pPr>
            <w:r>
              <w:rPr>
                <w:rFonts w:cs="Arial"/>
              </w:rPr>
              <w:t>100</w:t>
            </w:r>
          </w:p>
        </w:tc>
      </w:tr>
      <w:tr w:rsidR="00250AE2" w14:paraId="51C84E33" w14:textId="77777777" w:rsidTr="000F48F6">
        <w:tc>
          <w:tcPr>
            <w:tcW w:w="1256" w:type="dxa"/>
          </w:tcPr>
          <w:p w14:paraId="55C16D71" w14:textId="59466C3F" w:rsidR="00250AE2" w:rsidRDefault="00250AE2" w:rsidP="00913CD0">
            <w:pPr>
              <w:rPr>
                <w:rFonts w:cs="Arial"/>
              </w:rPr>
            </w:pPr>
            <w:r>
              <w:rPr>
                <w:rFonts w:cs="Arial"/>
              </w:rPr>
              <w:t>S</w:t>
            </w:r>
            <w:r w:rsidR="00913CD0">
              <w:rPr>
                <w:rFonts w:cs="Arial"/>
              </w:rPr>
              <w:t>outh Africa</w:t>
            </w:r>
          </w:p>
        </w:tc>
        <w:tc>
          <w:tcPr>
            <w:tcW w:w="1383" w:type="dxa"/>
          </w:tcPr>
          <w:p w14:paraId="789072D2" w14:textId="77777777" w:rsidR="00250AE2" w:rsidRDefault="00250AE2" w:rsidP="000F48F6">
            <w:pPr>
              <w:rPr>
                <w:rFonts w:cs="Arial"/>
              </w:rPr>
            </w:pPr>
            <w:r>
              <w:rPr>
                <w:rFonts w:cs="Arial"/>
              </w:rPr>
              <w:t>Short-term</w:t>
            </w:r>
          </w:p>
        </w:tc>
        <w:tc>
          <w:tcPr>
            <w:tcW w:w="1313" w:type="dxa"/>
          </w:tcPr>
          <w:p w14:paraId="5891DC45" w14:textId="77777777" w:rsidR="00250AE2" w:rsidRDefault="00250AE2" w:rsidP="000F48F6">
            <w:pPr>
              <w:rPr>
                <w:rFonts w:cs="Arial"/>
              </w:rPr>
            </w:pPr>
            <w:r>
              <w:rPr>
                <w:rFonts w:cs="Arial"/>
              </w:rPr>
              <w:t>40</w:t>
            </w:r>
          </w:p>
        </w:tc>
        <w:tc>
          <w:tcPr>
            <w:tcW w:w="1303" w:type="dxa"/>
          </w:tcPr>
          <w:p w14:paraId="6EBC382D" w14:textId="77777777" w:rsidR="00250AE2" w:rsidRDefault="00250AE2" w:rsidP="000F48F6">
            <w:pPr>
              <w:rPr>
                <w:rFonts w:cs="Arial"/>
              </w:rPr>
            </w:pPr>
            <w:r>
              <w:rPr>
                <w:rFonts w:cs="Arial"/>
              </w:rPr>
              <w:t>75</w:t>
            </w:r>
          </w:p>
        </w:tc>
        <w:tc>
          <w:tcPr>
            <w:tcW w:w="1283" w:type="dxa"/>
          </w:tcPr>
          <w:p w14:paraId="45C412E1" w14:textId="77777777" w:rsidR="00250AE2" w:rsidRDefault="00250AE2" w:rsidP="000F48F6">
            <w:pPr>
              <w:rPr>
                <w:rFonts w:cs="Arial"/>
              </w:rPr>
            </w:pPr>
            <w:r>
              <w:rPr>
                <w:rFonts w:cs="Arial"/>
              </w:rPr>
              <w:t>200 (1 hr)</w:t>
            </w:r>
          </w:p>
        </w:tc>
        <w:tc>
          <w:tcPr>
            <w:tcW w:w="1281" w:type="dxa"/>
          </w:tcPr>
          <w:p w14:paraId="0E151762" w14:textId="77777777" w:rsidR="00250AE2" w:rsidRDefault="00250AE2" w:rsidP="000F48F6">
            <w:pPr>
              <w:rPr>
                <w:rFonts w:cs="Arial"/>
              </w:rPr>
            </w:pPr>
            <w:r>
              <w:rPr>
                <w:rFonts w:cs="Arial"/>
              </w:rPr>
              <w:t>125</w:t>
            </w:r>
          </w:p>
        </w:tc>
        <w:tc>
          <w:tcPr>
            <w:tcW w:w="1243" w:type="dxa"/>
          </w:tcPr>
          <w:p w14:paraId="5A2ED5AE" w14:textId="77777777" w:rsidR="00250AE2" w:rsidRDefault="00250AE2" w:rsidP="000F48F6">
            <w:pPr>
              <w:rPr>
                <w:rFonts w:cs="Arial"/>
              </w:rPr>
            </w:pPr>
            <w:r>
              <w:rPr>
                <w:rFonts w:cs="Arial"/>
              </w:rPr>
              <w:t>120</w:t>
            </w:r>
          </w:p>
        </w:tc>
      </w:tr>
      <w:tr w:rsidR="00250AE2" w14:paraId="451D9E32" w14:textId="77777777" w:rsidTr="000F48F6">
        <w:tc>
          <w:tcPr>
            <w:tcW w:w="1256" w:type="dxa"/>
          </w:tcPr>
          <w:p w14:paraId="0C6CDA24" w14:textId="77777777" w:rsidR="00250AE2" w:rsidRDefault="00250AE2" w:rsidP="000F48F6">
            <w:pPr>
              <w:rPr>
                <w:rFonts w:cs="Arial"/>
              </w:rPr>
            </w:pPr>
          </w:p>
        </w:tc>
        <w:tc>
          <w:tcPr>
            <w:tcW w:w="1383" w:type="dxa"/>
          </w:tcPr>
          <w:p w14:paraId="46F941DD" w14:textId="77777777" w:rsidR="00250AE2" w:rsidRDefault="00250AE2" w:rsidP="000F48F6">
            <w:pPr>
              <w:rPr>
                <w:rFonts w:cs="Arial"/>
              </w:rPr>
            </w:pPr>
          </w:p>
        </w:tc>
        <w:tc>
          <w:tcPr>
            <w:tcW w:w="1313" w:type="dxa"/>
          </w:tcPr>
          <w:p w14:paraId="63608A42" w14:textId="77777777" w:rsidR="00250AE2" w:rsidRDefault="00250AE2" w:rsidP="000F48F6">
            <w:pPr>
              <w:rPr>
                <w:rFonts w:cs="Arial"/>
              </w:rPr>
            </w:pPr>
          </w:p>
        </w:tc>
        <w:tc>
          <w:tcPr>
            <w:tcW w:w="1303" w:type="dxa"/>
          </w:tcPr>
          <w:p w14:paraId="09A4F10D" w14:textId="77777777" w:rsidR="00250AE2" w:rsidRDefault="00250AE2" w:rsidP="000F48F6">
            <w:pPr>
              <w:rPr>
                <w:rFonts w:cs="Arial"/>
              </w:rPr>
            </w:pPr>
          </w:p>
        </w:tc>
        <w:tc>
          <w:tcPr>
            <w:tcW w:w="1283" w:type="dxa"/>
          </w:tcPr>
          <w:p w14:paraId="17C048DB" w14:textId="77777777" w:rsidR="00250AE2" w:rsidRDefault="00250AE2" w:rsidP="000F48F6">
            <w:pPr>
              <w:rPr>
                <w:rFonts w:cs="Arial"/>
              </w:rPr>
            </w:pPr>
          </w:p>
        </w:tc>
        <w:tc>
          <w:tcPr>
            <w:tcW w:w="1281" w:type="dxa"/>
          </w:tcPr>
          <w:p w14:paraId="46B7B7D3" w14:textId="77777777" w:rsidR="00250AE2" w:rsidRDefault="00250AE2" w:rsidP="000F48F6">
            <w:pPr>
              <w:rPr>
                <w:rFonts w:cs="Arial"/>
              </w:rPr>
            </w:pPr>
          </w:p>
        </w:tc>
        <w:tc>
          <w:tcPr>
            <w:tcW w:w="1243" w:type="dxa"/>
          </w:tcPr>
          <w:p w14:paraId="1113F152" w14:textId="77777777" w:rsidR="00250AE2" w:rsidRDefault="00250AE2" w:rsidP="000F48F6">
            <w:pPr>
              <w:rPr>
                <w:rFonts w:cs="Arial"/>
              </w:rPr>
            </w:pPr>
          </w:p>
        </w:tc>
      </w:tr>
      <w:tr w:rsidR="00250AE2" w14:paraId="7DB48E26" w14:textId="77777777" w:rsidTr="000F48F6">
        <w:tc>
          <w:tcPr>
            <w:tcW w:w="1256" w:type="dxa"/>
          </w:tcPr>
          <w:p w14:paraId="1C4AC1FA" w14:textId="77777777" w:rsidR="00250AE2" w:rsidRDefault="00250AE2" w:rsidP="000F48F6">
            <w:pPr>
              <w:rPr>
                <w:rFonts w:cs="Arial"/>
              </w:rPr>
            </w:pPr>
            <w:r>
              <w:rPr>
                <w:rFonts w:cs="Arial"/>
              </w:rPr>
              <w:t>WHO</w:t>
            </w:r>
          </w:p>
        </w:tc>
        <w:tc>
          <w:tcPr>
            <w:tcW w:w="1383" w:type="dxa"/>
          </w:tcPr>
          <w:p w14:paraId="7B00572D" w14:textId="77777777" w:rsidR="00250AE2" w:rsidRDefault="00250AE2" w:rsidP="000F48F6">
            <w:pPr>
              <w:rPr>
                <w:rFonts w:cs="Arial"/>
              </w:rPr>
            </w:pPr>
            <w:r>
              <w:rPr>
                <w:rFonts w:cs="Arial"/>
              </w:rPr>
              <w:t>Annual</w:t>
            </w:r>
          </w:p>
        </w:tc>
        <w:tc>
          <w:tcPr>
            <w:tcW w:w="1313" w:type="dxa"/>
          </w:tcPr>
          <w:p w14:paraId="571D64DD" w14:textId="77777777" w:rsidR="00250AE2" w:rsidRDefault="00250AE2" w:rsidP="000F48F6">
            <w:pPr>
              <w:rPr>
                <w:rFonts w:cs="Arial"/>
              </w:rPr>
            </w:pPr>
            <w:r>
              <w:rPr>
                <w:rFonts w:cs="Arial"/>
              </w:rPr>
              <w:t>5</w:t>
            </w:r>
          </w:p>
        </w:tc>
        <w:tc>
          <w:tcPr>
            <w:tcW w:w="1303" w:type="dxa"/>
          </w:tcPr>
          <w:p w14:paraId="1DB35485" w14:textId="77777777" w:rsidR="00250AE2" w:rsidRDefault="00250AE2" w:rsidP="000F48F6">
            <w:pPr>
              <w:rPr>
                <w:rFonts w:cs="Arial"/>
              </w:rPr>
            </w:pPr>
            <w:r>
              <w:rPr>
                <w:rFonts w:cs="Arial"/>
              </w:rPr>
              <w:t>15</w:t>
            </w:r>
          </w:p>
        </w:tc>
        <w:tc>
          <w:tcPr>
            <w:tcW w:w="1283" w:type="dxa"/>
          </w:tcPr>
          <w:p w14:paraId="03BE2AD1" w14:textId="77777777" w:rsidR="00250AE2" w:rsidRDefault="00250AE2" w:rsidP="000F48F6">
            <w:pPr>
              <w:rPr>
                <w:rFonts w:cs="Arial"/>
              </w:rPr>
            </w:pPr>
            <w:r>
              <w:rPr>
                <w:rFonts w:cs="Arial"/>
              </w:rPr>
              <w:t>10</w:t>
            </w:r>
          </w:p>
        </w:tc>
        <w:tc>
          <w:tcPr>
            <w:tcW w:w="1281" w:type="dxa"/>
          </w:tcPr>
          <w:p w14:paraId="317D45C1" w14:textId="77777777" w:rsidR="00250AE2" w:rsidRDefault="00250AE2" w:rsidP="000F48F6">
            <w:pPr>
              <w:rPr>
                <w:rFonts w:cs="Arial"/>
              </w:rPr>
            </w:pPr>
            <w:r>
              <w:rPr>
                <w:rFonts w:cs="Arial"/>
              </w:rPr>
              <w:t>-</w:t>
            </w:r>
          </w:p>
        </w:tc>
        <w:tc>
          <w:tcPr>
            <w:tcW w:w="1243" w:type="dxa"/>
          </w:tcPr>
          <w:p w14:paraId="2DE9CEF0" w14:textId="77777777" w:rsidR="00250AE2" w:rsidRDefault="00250AE2" w:rsidP="000F48F6">
            <w:pPr>
              <w:rPr>
                <w:rFonts w:cs="Arial"/>
              </w:rPr>
            </w:pPr>
            <w:r>
              <w:rPr>
                <w:rFonts w:cs="Arial"/>
              </w:rPr>
              <w:t xml:space="preserve">60 </w:t>
            </w:r>
            <w:r w:rsidRPr="00B72BF4">
              <w:rPr>
                <w:rFonts w:cs="Arial"/>
                <w:vertAlign w:val="superscript"/>
              </w:rPr>
              <w:t>b</w:t>
            </w:r>
          </w:p>
        </w:tc>
      </w:tr>
      <w:tr w:rsidR="00250AE2" w14:paraId="31B43343" w14:textId="77777777" w:rsidTr="000F48F6">
        <w:tc>
          <w:tcPr>
            <w:tcW w:w="1256" w:type="dxa"/>
          </w:tcPr>
          <w:p w14:paraId="12BE3427" w14:textId="7DB38BBE" w:rsidR="00250AE2" w:rsidRDefault="00250AE2" w:rsidP="003351E8">
            <w:pPr>
              <w:rPr>
                <w:rFonts w:cs="Arial"/>
              </w:rPr>
            </w:pPr>
            <w:r>
              <w:rPr>
                <w:rFonts w:cs="Arial"/>
              </w:rPr>
              <w:t>S</w:t>
            </w:r>
            <w:r w:rsidR="00913CD0">
              <w:rPr>
                <w:rFonts w:cs="Arial"/>
              </w:rPr>
              <w:t>outh Africa</w:t>
            </w:r>
          </w:p>
        </w:tc>
        <w:tc>
          <w:tcPr>
            <w:tcW w:w="1383" w:type="dxa"/>
          </w:tcPr>
          <w:p w14:paraId="25E388D2" w14:textId="77777777" w:rsidR="00250AE2" w:rsidRDefault="00250AE2" w:rsidP="000F48F6">
            <w:pPr>
              <w:rPr>
                <w:rFonts w:cs="Arial"/>
              </w:rPr>
            </w:pPr>
            <w:r>
              <w:rPr>
                <w:rFonts w:cs="Arial"/>
              </w:rPr>
              <w:t>Annual</w:t>
            </w:r>
          </w:p>
        </w:tc>
        <w:tc>
          <w:tcPr>
            <w:tcW w:w="1313" w:type="dxa"/>
          </w:tcPr>
          <w:p w14:paraId="2504B329" w14:textId="77777777" w:rsidR="00250AE2" w:rsidRDefault="00250AE2" w:rsidP="000F48F6">
            <w:pPr>
              <w:rPr>
                <w:rFonts w:cs="Arial"/>
              </w:rPr>
            </w:pPr>
            <w:r>
              <w:rPr>
                <w:rFonts w:cs="Arial"/>
              </w:rPr>
              <w:t>20</w:t>
            </w:r>
          </w:p>
        </w:tc>
        <w:tc>
          <w:tcPr>
            <w:tcW w:w="1303" w:type="dxa"/>
          </w:tcPr>
          <w:p w14:paraId="405A01B0" w14:textId="77777777" w:rsidR="00250AE2" w:rsidRDefault="00250AE2" w:rsidP="000F48F6">
            <w:pPr>
              <w:rPr>
                <w:rFonts w:cs="Arial"/>
              </w:rPr>
            </w:pPr>
            <w:r>
              <w:rPr>
                <w:rFonts w:cs="Arial"/>
              </w:rPr>
              <w:t>40</w:t>
            </w:r>
          </w:p>
        </w:tc>
        <w:tc>
          <w:tcPr>
            <w:tcW w:w="1283" w:type="dxa"/>
          </w:tcPr>
          <w:p w14:paraId="57FF95F4" w14:textId="77777777" w:rsidR="00250AE2" w:rsidRDefault="00250AE2" w:rsidP="000F48F6">
            <w:pPr>
              <w:rPr>
                <w:rFonts w:cs="Arial"/>
              </w:rPr>
            </w:pPr>
            <w:r>
              <w:rPr>
                <w:rFonts w:cs="Arial"/>
              </w:rPr>
              <w:t>40</w:t>
            </w:r>
          </w:p>
        </w:tc>
        <w:tc>
          <w:tcPr>
            <w:tcW w:w="1281" w:type="dxa"/>
          </w:tcPr>
          <w:p w14:paraId="03288364" w14:textId="5ED0A83A" w:rsidR="00250AE2" w:rsidRDefault="00A8032F" w:rsidP="000F48F6">
            <w:pPr>
              <w:rPr>
                <w:rFonts w:cs="Arial"/>
              </w:rPr>
            </w:pPr>
            <w:r>
              <w:rPr>
                <w:rFonts w:cs="Arial"/>
              </w:rPr>
              <w:t>-</w:t>
            </w:r>
          </w:p>
        </w:tc>
        <w:tc>
          <w:tcPr>
            <w:tcW w:w="1243" w:type="dxa"/>
          </w:tcPr>
          <w:p w14:paraId="44454D53" w14:textId="05D29F47" w:rsidR="00250AE2" w:rsidRDefault="00A8032F" w:rsidP="000F48F6">
            <w:pPr>
              <w:rPr>
                <w:rFonts w:cs="Arial"/>
              </w:rPr>
            </w:pPr>
            <w:r>
              <w:rPr>
                <w:rFonts w:cs="Arial"/>
              </w:rPr>
              <w:t>-</w:t>
            </w:r>
          </w:p>
        </w:tc>
      </w:tr>
    </w:tbl>
    <w:p w14:paraId="04B7E9A1" w14:textId="759D4B2D" w:rsidR="00250AE2" w:rsidRPr="003351E8" w:rsidRDefault="00250AE2" w:rsidP="00250AE2">
      <w:pPr>
        <w:rPr>
          <w:rFonts w:cs="Arial"/>
          <w:sz w:val="18"/>
          <w:szCs w:val="18"/>
        </w:rPr>
      </w:pPr>
      <w:r w:rsidRPr="00B72BF4">
        <w:rPr>
          <w:rFonts w:cs="Arial"/>
          <w:vertAlign w:val="superscript"/>
        </w:rPr>
        <w:t>a</w:t>
      </w:r>
      <w:r>
        <w:rPr>
          <w:rFonts w:cs="Arial"/>
        </w:rPr>
        <w:t xml:space="preserve"> </w:t>
      </w:r>
      <w:r w:rsidRPr="003351E8">
        <w:rPr>
          <w:rFonts w:cs="Arial"/>
          <w:sz w:val="18"/>
          <w:szCs w:val="18"/>
        </w:rPr>
        <w:t xml:space="preserve">Short-term is 24-hours for all pollutants </w:t>
      </w:r>
      <w:r w:rsidR="003351E8" w:rsidRPr="003351E8">
        <w:rPr>
          <w:rFonts w:cs="Arial"/>
          <w:sz w:val="18"/>
          <w:szCs w:val="18"/>
        </w:rPr>
        <w:t>(i.e. 3-4 exceedance days per year)</w:t>
      </w:r>
      <w:r w:rsidR="003351E8">
        <w:rPr>
          <w:rFonts w:cs="Arial"/>
          <w:sz w:val="18"/>
          <w:szCs w:val="18"/>
        </w:rPr>
        <w:t xml:space="preserve"> </w:t>
      </w:r>
      <w:r w:rsidRPr="003351E8">
        <w:rPr>
          <w:rFonts w:cs="Arial"/>
          <w:sz w:val="18"/>
          <w:szCs w:val="18"/>
        </w:rPr>
        <w:t xml:space="preserve">and </w:t>
      </w:r>
    </w:p>
    <w:p w14:paraId="74C00CBC" w14:textId="6F7EEF5D" w:rsidR="00250AE2" w:rsidRDefault="00250AE2" w:rsidP="00250AE2">
      <w:pPr>
        <w:rPr>
          <w:rFonts w:cs="Arial"/>
          <w:sz w:val="18"/>
          <w:szCs w:val="18"/>
        </w:rPr>
      </w:pPr>
      <w:r w:rsidRPr="00B72BF4">
        <w:rPr>
          <w:rFonts w:cs="Arial"/>
          <w:vertAlign w:val="superscript"/>
        </w:rPr>
        <w:t>b</w:t>
      </w:r>
      <w:r>
        <w:rPr>
          <w:rFonts w:cs="Arial"/>
        </w:rPr>
        <w:t xml:space="preserve"> </w:t>
      </w:r>
      <w:r w:rsidRPr="00CD7E90">
        <w:rPr>
          <w:rFonts w:cs="Arial"/>
          <w:sz w:val="18"/>
          <w:szCs w:val="18"/>
        </w:rPr>
        <w:t>Average of daily maximum 8-hour O</w:t>
      </w:r>
      <w:r w:rsidRPr="00CD7E90">
        <w:rPr>
          <w:rFonts w:cs="Arial"/>
          <w:sz w:val="18"/>
          <w:szCs w:val="18"/>
          <w:vertAlign w:val="subscript"/>
        </w:rPr>
        <w:t>3</w:t>
      </w:r>
      <w:r w:rsidRPr="00CD7E90">
        <w:rPr>
          <w:rFonts w:cs="Arial"/>
          <w:sz w:val="18"/>
          <w:szCs w:val="18"/>
        </w:rPr>
        <w:t xml:space="preserve"> concentration</w:t>
      </w:r>
      <w:r w:rsidR="00913CD0">
        <w:rPr>
          <w:rFonts w:cs="Arial"/>
          <w:sz w:val="18"/>
          <w:szCs w:val="18"/>
        </w:rPr>
        <w:t>s</w:t>
      </w:r>
      <w:r w:rsidRPr="00CD7E90">
        <w:rPr>
          <w:rFonts w:cs="Arial"/>
          <w:sz w:val="18"/>
          <w:szCs w:val="18"/>
        </w:rPr>
        <w:t xml:space="preserve"> in the six consecutive months with the highest six-month running-average O</w:t>
      </w:r>
      <w:r w:rsidRPr="00CD7E90">
        <w:rPr>
          <w:rFonts w:cs="Arial"/>
          <w:sz w:val="18"/>
          <w:szCs w:val="18"/>
          <w:vertAlign w:val="subscript"/>
        </w:rPr>
        <w:t>3</w:t>
      </w:r>
      <w:r w:rsidRPr="00CD7E90">
        <w:rPr>
          <w:rFonts w:cs="Arial"/>
          <w:sz w:val="18"/>
          <w:szCs w:val="18"/>
        </w:rPr>
        <w:t xml:space="preserve"> concentration.</w:t>
      </w:r>
    </w:p>
    <w:p w14:paraId="1D43E2DF" w14:textId="4604C96B" w:rsidR="007E2AB0" w:rsidRPr="007E2AB0" w:rsidRDefault="007E2AB0" w:rsidP="00250AE2">
      <w:pPr>
        <w:rPr>
          <w:rFonts w:cs="Arial"/>
          <w:szCs w:val="18"/>
        </w:rPr>
      </w:pPr>
      <w:r>
        <w:rPr>
          <w:rFonts w:cs="Arial"/>
          <w:szCs w:val="18"/>
        </w:rPr>
        <w:t xml:space="preserve">The </w:t>
      </w:r>
      <w:r w:rsidR="007E1E98">
        <w:rPr>
          <w:rFonts w:cs="Arial"/>
          <w:szCs w:val="18"/>
        </w:rPr>
        <w:t xml:space="preserve">figure </w:t>
      </w:r>
      <w:r>
        <w:rPr>
          <w:rFonts w:cs="Arial"/>
          <w:szCs w:val="18"/>
        </w:rPr>
        <w:t>below shows the current Air Quality Index in South Africa. The concentrations for each band and their corresponding descriptions such as “good” air quality and “moderate” air quality.</w:t>
      </w:r>
    </w:p>
    <w:p w14:paraId="243147BB" w14:textId="40D7774E" w:rsidR="003D6CE5" w:rsidRDefault="003D6CE5" w:rsidP="003D6CE5">
      <w:r>
        <w:rPr>
          <w:rFonts w:cs="Arial"/>
          <w:noProof/>
          <w:lang w:val="de-CH" w:eastAsia="de-CH"/>
        </w:rPr>
        <w:lastRenderedPageBreak/>
        <w:drawing>
          <wp:inline distT="0" distB="0" distL="0" distR="0" wp14:anchorId="4D6A746C" wp14:editId="34A9014C">
            <wp:extent cx="6526913" cy="253365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A AQI Band.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551237" cy="2543092"/>
                    </a:xfrm>
                    <a:prstGeom prst="rect">
                      <a:avLst/>
                    </a:prstGeom>
                  </pic:spPr>
                </pic:pic>
              </a:graphicData>
            </a:graphic>
          </wp:inline>
        </w:drawing>
      </w:r>
    </w:p>
    <w:p w14:paraId="2508B764" w14:textId="4A7DA481" w:rsidR="00D77CCB" w:rsidRPr="000528A9" w:rsidRDefault="00E51810" w:rsidP="00E51810">
      <w:pPr>
        <w:pStyle w:val="Caption"/>
      </w:pPr>
      <w:r w:rsidRPr="00E51810">
        <w:rPr>
          <w:color w:val="auto"/>
          <w:sz w:val="22"/>
          <w:szCs w:val="22"/>
        </w:rPr>
        <w:t xml:space="preserve">Figure S </w:t>
      </w:r>
      <w:r w:rsidRPr="00E51810">
        <w:rPr>
          <w:color w:val="auto"/>
          <w:sz w:val="22"/>
          <w:szCs w:val="22"/>
        </w:rPr>
        <w:fldChar w:fldCharType="begin"/>
      </w:r>
      <w:r w:rsidRPr="00E51810">
        <w:rPr>
          <w:color w:val="auto"/>
          <w:sz w:val="22"/>
          <w:szCs w:val="22"/>
        </w:rPr>
        <w:instrText xml:space="preserve"> SEQ Figure_S \* ARABIC </w:instrText>
      </w:r>
      <w:r w:rsidRPr="00E51810">
        <w:rPr>
          <w:color w:val="auto"/>
          <w:sz w:val="22"/>
          <w:szCs w:val="22"/>
        </w:rPr>
        <w:fldChar w:fldCharType="separate"/>
      </w:r>
      <w:r w:rsidR="0088252E">
        <w:rPr>
          <w:noProof/>
          <w:color w:val="auto"/>
          <w:sz w:val="22"/>
          <w:szCs w:val="22"/>
        </w:rPr>
        <w:t>5</w:t>
      </w:r>
      <w:r w:rsidRPr="00E51810">
        <w:rPr>
          <w:color w:val="auto"/>
          <w:sz w:val="22"/>
          <w:szCs w:val="22"/>
        </w:rPr>
        <w:fldChar w:fldCharType="end"/>
      </w:r>
      <w:r w:rsidR="00D77CCB" w:rsidRPr="00E51810">
        <w:rPr>
          <w:color w:val="auto"/>
          <w:sz w:val="22"/>
          <w:szCs w:val="22"/>
        </w:rPr>
        <w:t>: South</w:t>
      </w:r>
      <w:r w:rsidR="00D77CCB" w:rsidRPr="00E51810">
        <w:rPr>
          <w:color w:val="auto"/>
          <w:sz w:val="22"/>
        </w:rPr>
        <w:t xml:space="preserve"> </w:t>
      </w:r>
      <w:r w:rsidR="00D77CCB" w:rsidRPr="00D77CCB">
        <w:rPr>
          <w:color w:val="auto"/>
          <w:sz w:val="22"/>
        </w:rPr>
        <w:t>Africa AQI band</w:t>
      </w:r>
      <w:r w:rsidR="00113824">
        <w:rPr>
          <w:color w:val="auto"/>
          <w:sz w:val="22"/>
        </w:rPr>
        <w:t>s</w:t>
      </w:r>
      <w:r w:rsidR="00D77CCB" w:rsidRPr="00D77CCB">
        <w:rPr>
          <w:color w:val="auto"/>
          <w:sz w:val="22"/>
        </w:rPr>
        <w:t xml:space="preserve"> presented in 2018</w:t>
      </w:r>
      <w:r w:rsidR="006D2C68">
        <w:rPr>
          <w:color w:val="auto"/>
          <w:sz w:val="22"/>
        </w:rPr>
        <w:fldChar w:fldCharType="begin"/>
      </w:r>
      <w:r w:rsidR="008B0EB2">
        <w:rPr>
          <w:color w:val="auto"/>
          <w:sz w:val="22"/>
        </w:rPr>
        <w:instrText xml:space="preserve"> ADDIN EN.CITE &lt;EndNote&gt;&lt;Cite&gt;&lt;Author&gt;Gwaze&lt;/Author&gt;&lt;Year&gt;2018&lt;/Year&gt;&lt;RecNum&gt;264&lt;/RecNum&gt;&lt;DisplayText&gt;&lt;style face="superscript"&gt;11&lt;/style&gt;&lt;/DisplayText&gt;&lt;record&gt;&lt;rec-number&gt;264&lt;/rec-number&gt;&lt;foreign-keys&gt;&lt;key app="EN" db-id="s50959501r9tp8ez5rapd0sdv5xzv5rsxte2" timestamp="1658415729"&gt;264&lt;/key&gt;&lt;/foreign-keys&gt;&lt;ref-type name="Journal Article"&gt;17&lt;/ref-type&gt;&lt;contributors&gt;&lt;authors&gt;&lt;author&gt;Gwaze, Patience&lt;/author&gt;&lt;author&gt;Mashele, Sindisiwe H&lt;/author&gt;&lt;/authors&gt;&lt;/contributors&gt;&lt;titles&gt;&lt;title&gt;South African Air Quality Information System (SAAQIS) mobile application tool: Bringing real time state of air quality to South Africans&lt;/title&gt;&lt;secondary-title&gt;Clean Air Journal&lt;/secondary-title&gt;&lt;/titles&gt;&lt;periodical&gt;&lt;full-title&gt;Clean Air Journal&lt;/full-title&gt;&lt;/periodical&gt;&lt;pages&gt;3-3&lt;/pages&gt;&lt;volume&gt;28&lt;/volume&gt;&lt;number&gt;1&lt;/number&gt;&lt;dates&gt;&lt;year&gt;2018&lt;/year&gt;&lt;/dates&gt;&lt;isbn&gt;2410-972X&lt;/isbn&gt;&lt;urls&gt;&lt;/urls&gt;&lt;/record&gt;&lt;/Cite&gt;&lt;/EndNote&gt;</w:instrText>
      </w:r>
      <w:r w:rsidR="006D2C68">
        <w:rPr>
          <w:color w:val="auto"/>
          <w:sz w:val="22"/>
        </w:rPr>
        <w:fldChar w:fldCharType="separate"/>
      </w:r>
      <w:r w:rsidR="008B0EB2" w:rsidRPr="008B0EB2">
        <w:rPr>
          <w:noProof/>
          <w:color w:val="auto"/>
          <w:sz w:val="22"/>
          <w:vertAlign w:val="superscript"/>
        </w:rPr>
        <w:t>11</w:t>
      </w:r>
      <w:r w:rsidR="006D2C68">
        <w:rPr>
          <w:color w:val="auto"/>
          <w:sz w:val="22"/>
        </w:rPr>
        <w:fldChar w:fldCharType="end"/>
      </w:r>
    </w:p>
    <w:p w14:paraId="5F3BD9D6" w14:textId="77777777" w:rsidR="009A01BC" w:rsidRDefault="003D6CE5" w:rsidP="009A01BC">
      <w:r>
        <w:rPr>
          <w:rFonts w:cs="Arial"/>
        </w:rPr>
        <w:t>Parts per billion conversion to µg/m</w:t>
      </w:r>
      <w:r w:rsidRPr="00C0245D">
        <w:rPr>
          <w:rFonts w:cs="Arial"/>
          <w:vertAlign w:val="superscript"/>
        </w:rPr>
        <w:t>3</w:t>
      </w:r>
      <w:r>
        <w:rPr>
          <w:rFonts w:cs="Arial"/>
        </w:rPr>
        <w:t xml:space="preserve"> for NO</w:t>
      </w:r>
      <w:r w:rsidRPr="00C0245D">
        <w:rPr>
          <w:rFonts w:cs="Arial"/>
          <w:vertAlign w:val="subscript"/>
        </w:rPr>
        <w:t>2</w:t>
      </w:r>
      <w:r>
        <w:rPr>
          <w:rFonts w:cs="Arial"/>
        </w:rPr>
        <w:t>, SO</w:t>
      </w:r>
      <w:r w:rsidRPr="00C0245D">
        <w:rPr>
          <w:rFonts w:cs="Arial"/>
          <w:vertAlign w:val="subscript"/>
        </w:rPr>
        <w:t>2</w:t>
      </w:r>
      <w:r>
        <w:rPr>
          <w:rFonts w:cs="Arial"/>
        </w:rPr>
        <w:t xml:space="preserve"> and O</w:t>
      </w:r>
      <w:r w:rsidRPr="00C0245D">
        <w:rPr>
          <w:rFonts w:cs="Arial"/>
          <w:vertAlign w:val="subscript"/>
        </w:rPr>
        <w:t>3</w:t>
      </w:r>
      <w:r>
        <w:rPr>
          <w:rFonts w:cs="Arial"/>
          <w:vertAlign w:val="subscript"/>
        </w:rPr>
        <w:t xml:space="preserve"> </w:t>
      </w:r>
      <w:r>
        <w:rPr>
          <w:rFonts w:cs="Arial"/>
        </w:rPr>
        <w:t>u</w:t>
      </w:r>
      <w:r w:rsidRPr="00C0245D">
        <w:rPr>
          <w:rFonts w:cs="Arial"/>
        </w:rPr>
        <w:t xml:space="preserve">sing </w:t>
      </w:r>
      <w:r>
        <w:rPr>
          <w:rFonts w:cs="Arial"/>
        </w:rPr>
        <w:t>concentrations within the “Good” band of SA’s AQI</w:t>
      </w:r>
      <w:r w:rsidRPr="00C0245D">
        <w:rPr>
          <w:rFonts w:cs="Arial"/>
        </w:rPr>
        <w:t>:</w:t>
      </w:r>
      <w:r w:rsidR="009A01BC" w:rsidRPr="009A01BC">
        <w:t xml:space="preserve"> </w:t>
      </w:r>
    </w:p>
    <w:p w14:paraId="0F281FEA" w14:textId="37DE1E44" w:rsidR="009A01BC" w:rsidRDefault="009A01BC" w:rsidP="009A01BC">
      <w:pPr>
        <w:rPr>
          <w:vertAlign w:val="superscript"/>
        </w:rPr>
      </w:pPr>
      <w:r>
        <w:t>NO</w:t>
      </w:r>
      <w:r w:rsidRPr="002E58E4">
        <w:rPr>
          <w:vertAlign w:val="subscript"/>
        </w:rPr>
        <w:t>2</w:t>
      </w:r>
      <w:r>
        <w:t xml:space="preserve"> 1 ppb = 1.88 µg m</w:t>
      </w:r>
      <w:r w:rsidRPr="002E58E4">
        <w:rPr>
          <w:vertAlign w:val="superscript"/>
        </w:rPr>
        <w:t>-3</w:t>
      </w:r>
      <w:r>
        <w:t>; SO</w:t>
      </w:r>
      <w:r w:rsidRPr="002E58E4">
        <w:rPr>
          <w:vertAlign w:val="subscript"/>
        </w:rPr>
        <w:t>2</w:t>
      </w:r>
      <w:r>
        <w:t xml:space="preserve"> 1 ppb = 2.62 µg m</w:t>
      </w:r>
      <w:r w:rsidRPr="002E58E4">
        <w:rPr>
          <w:vertAlign w:val="superscript"/>
        </w:rPr>
        <w:t>-3</w:t>
      </w:r>
      <w:r>
        <w:t>; O</w:t>
      </w:r>
      <w:r w:rsidRPr="002E58E4">
        <w:rPr>
          <w:vertAlign w:val="subscript"/>
        </w:rPr>
        <w:t>3</w:t>
      </w:r>
      <w:r>
        <w:t xml:space="preserve"> 1 ppb = 1.96 µg m</w:t>
      </w:r>
      <w:r w:rsidRPr="002E58E4">
        <w:rPr>
          <w:vertAlign w:val="superscript"/>
        </w:rPr>
        <w:t>-3</w:t>
      </w:r>
    </w:p>
    <w:p w14:paraId="1C761F64" w14:textId="3E707530" w:rsidR="003D6CE5" w:rsidRPr="00C37812" w:rsidRDefault="00135D20" w:rsidP="003D6CE5">
      <w:r>
        <w:t>The figure below</w:t>
      </w:r>
      <w:r w:rsidR="00E51810">
        <w:t xml:space="preserve"> </w:t>
      </w:r>
      <w:r w:rsidR="00080142">
        <w:t>shows the air pollution index (API) developed by Cairncross</w:t>
      </w:r>
      <w:r w:rsidR="00080142">
        <w:fldChar w:fldCharType="begin"/>
      </w:r>
      <w:r w:rsidR="008B0EB2">
        <w:instrText xml:space="preserve"> ADDIN EN.CITE &lt;EndNote&gt;&lt;Cite&gt;&lt;Author&gt;Cairncross&lt;/Author&gt;&lt;Year&gt;2007&lt;/Year&gt;&lt;RecNum&gt;49&lt;/RecNum&gt;&lt;DisplayText&gt;&lt;style face="superscript"&gt;12&lt;/style&gt;&lt;/DisplayText&gt;&lt;record&gt;&lt;rec-number&gt;49&lt;/rec-number&gt;&lt;foreign-keys&gt;&lt;key app="EN" db-id="s50959501r9tp8ez5rapd0sdv5xzv5rsxte2" timestamp="0"&gt;49&lt;/key&gt;&lt;/foreign-keys&gt;&lt;ref-type name="Journal Article"&gt;17&lt;/ref-type&gt;&lt;contributors&gt;&lt;authors&gt;&lt;author&gt;Cairncross, Eugene K&lt;/author&gt;&lt;author&gt;John, Juanette&lt;/author&gt;&lt;author&gt;Zunckel, Mark  &lt;/author&gt;&lt;/authors&gt;&lt;/contributors&gt;&lt;titles&gt;&lt;title&gt;A novel air pollution index based on the relative risk of daily mortality associated with short-term exposure to common air pollutants&lt;/title&gt;&lt;secondary-title&gt;Atmospheric environment&lt;/secondary-title&gt;&lt;/titles&gt;&lt;periodical&gt;&lt;full-title&gt;Atmospheric Environment&lt;/full-title&gt;&lt;/periodical&gt;&lt;pages&gt;8442-8454&lt;/pages&gt;&lt;volume&gt;41&lt;/volume&gt;&lt;number&gt;38&lt;/number&gt;&lt;dates&gt;&lt;year&gt;2007&lt;/year&gt;&lt;/dates&gt;&lt;isbn&gt;1352-2310&lt;/isbn&gt;&lt;urls&gt;&lt;/urls&gt;&lt;/record&gt;&lt;/Cite&gt;&lt;/EndNote&gt;</w:instrText>
      </w:r>
      <w:r w:rsidR="00080142">
        <w:fldChar w:fldCharType="separate"/>
      </w:r>
      <w:r w:rsidR="008B0EB2" w:rsidRPr="008B0EB2">
        <w:rPr>
          <w:noProof/>
          <w:vertAlign w:val="superscript"/>
        </w:rPr>
        <w:t>12</w:t>
      </w:r>
      <w:r w:rsidR="00080142">
        <w:fldChar w:fldCharType="end"/>
      </w:r>
      <w:r w:rsidR="00080142">
        <w:t xml:space="preserve">, the excess risk range for each AQI level and the corresponding risk levels. </w:t>
      </w:r>
    </w:p>
    <w:p w14:paraId="1B8C6765" w14:textId="7DB547F4" w:rsidR="003D6CE5" w:rsidRDefault="00931C26" w:rsidP="00250AE2">
      <w:r>
        <w:rPr>
          <w:rFonts w:cs="Arial"/>
          <w:noProof/>
          <w:lang w:val="de-CH" w:eastAsia="de-CH"/>
        </w:rPr>
        <w:drawing>
          <wp:inline distT="0" distB="0" distL="0" distR="0" wp14:anchorId="5DA1A6F1" wp14:editId="185F086B">
            <wp:extent cx="5760720" cy="216916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irncross_API_2007.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2169160"/>
                    </a:xfrm>
                    <a:prstGeom prst="rect">
                      <a:avLst/>
                    </a:prstGeom>
                  </pic:spPr>
                </pic:pic>
              </a:graphicData>
            </a:graphic>
          </wp:inline>
        </w:drawing>
      </w:r>
    </w:p>
    <w:p w14:paraId="5B3F88C4" w14:textId="64F96DF7" w:rsidR="00931C26" w:rsidRDefault="0088252E" w:rsidP="0088252E">
      <w:pPr>
        <w:pStyle w:val="Caption"/>
        <w:rPr>
          <w:color w:val="auto"/>
          <w:sz w:val="22"/>
          <w:szCs w:val="22"/>
        </w:rPr>
      </w:pPr>
      <w:bookmarkStart w:id="9" w:name="_Ref131184629"/>
      <w:r w:rsidRPr="0088252E">
        <w:rPr>
          <w:color w:val="auto"/>
          <w:sz w:val="22"/>
          <w:szCs w:val="22"/>
        </w:rPr>
        <w:t xml:space="preserve">Figure S </w:t>
      </w:r>
      <w:r w:rsidRPr="0088252E">
        <w:rPr>
          <w:color w:val="auto"/>
          <w:sz w:val="22"/>
          <w:szCs w:val="22"/>
        </w:rPr>
        <w:fldChar w:fldCharType="begin"/>
      </w:r>
      <w:r w:rsidRPr="0088252E">
        <w:rPr>
          <w:color w:val="auto"/>
          <w:sz w:val="22"/>
          <w:szCs w:val="22"/>
        </w:rPr>
        <w:instrText xml:space="preserve"> SEQ Figure_S \* ARABIC </w:instrText>
      </w:r>
      <w:r w:rsidRPr="0088252E">
        <w:rPr>
          <w:color w:val="auto"/>
          <w:sz w:val="22"/>
          <w:szCs w:val="22"/>
        </w:rPr>
        <w:fldChar w:fldCharType="separate"/>
      </w:r>
      <w:r w:rsidRPr="0088252E">
        <w:rPr>
          <w:noProof/>
          <w:color w:val="auto"/>
          <w:sz w:val="22"/>
          <w:szCs w:val="22"/>
        </w:rPr>
        <w:t>6</w:t>
      </w:r>
      <w:r w:rsidRPr="0088252E">
        <w:rPr>
          <w:color w:val="auto"/>
          <w:sz w:val="22"/>
          <w:szCs w:val="22"/>
        </w:rPr>
        <w:fldChar w:fldCharType="end"/>
      </w:r>
      <w:bookmarkEnd w:id="9"/>
      <w:r w:rsidR="00931C26" w:rsidRPr="006D2C68">
        <w:rPr>
          <w:color w:val="auto"/>
          <w:sz w:val="22"/>
          <w:szCs w:val="22"/>
        </w:rPr>
        <w:t>: API constructed by Cairncross 2007</w:t>
      </w:r>
      <w:r w:rsidR="00DF43F1" w:rsidRPr="006D2C68">
        <w:rPr>
          <w:color w:val="auto"/>
          <w:sz w:val="22"/>
          <w:szCs w:val="22"/>
        </w:rPr>
        <w:fldChar w:fldCharType="begin"/>
      </w:r>
      <w:r w:rsidR="008B0EB2">
        <w:rPr>
          <w:color w:val="auto"/>
          <w:sz w:val="22"/>
          <w:szCs w:val="22"/>
        </w:rPr>
        <w:instrText xml:space="preserve"> ADDIN EN.CITE &lt;EndNote&gt;&lt;Cite&gt;&lt;Author&gt;Cairncross&lt;/Author&gt;&lt;Year&gt;2007&lt;/Year&gt;&lt;RecNum&gt;49&lt;/RecNum&gt;&lt;DisplayText&gt;&lt;style face="superscript"&gt;12&lt;/style&gt;&lt;/DisplayText&gt;&lt;record&gt;&lt;rec-number&gt;49&lt;/rec-number&gt;&lt;foreign-keys&gt;&lt;key app="EN" db-id="s50959501r9tp8ez5rapd0sdv5xzv5rsxte2" timestamp="0"&gt;49&lt;/key&gt;&lt;/foreign-keys&gt;&lt;ref-type name="Journal Article"&gt;17&lt;/ref-type&gt;&lt;contributors&gt;&lt;authors&gt;&lt;author&gt;Cairncross, Eugene K&lt;/author&gt;&lt;author&gt;John, Juanette&lt;/author&gt;&lt;author&gt;Zunckel, Mark  &lt;/author&gt;&lt;/authors&gt;&lt;/contributors&gt;&lt;titles&gt;&lt;title&gt;A novel air pollution index based on the relative risk of daily mortality associated with short-term exposure to common air pollutants&lt;/title&gt;&lt;secondary-title&gt;Atmospheric environment&lt;/secondary-title&gt;&lt;/titles&gt;&lt;periodical&gt;&lt;full-title&gt;Atmospheric Environment&lt;/full-title&gt;&lt;/periodical&gt;&lt;pages&gt;8442-8454&lt;/pages&gt;&lt;volume&gt;41&lt;/volume&gt;&lt;number&gt;38&lt;/number&gt;&lt;dates&gt;&lt;year&gt;2007&lt;/year&gt;&lt;/dates&gt;&lt;isbn&gt;1352-2310&lt;/isbn&gt;&lt;urls&gt;&lt;/urls&gt;&lt;/record&gt;&lt;/Cite&gt;&lt;/EndNote&gt;</w:instrText>
      </w:r>
      <w:r w:rsidR="00DF43F1" w:rsidRPr="006D2C68">
        <w:rPr>
          <w:color w:val="auto"/>
          <w:sz w:val="22"/>
          <w:szCs w:val="22"/>
        </w:rPr>
        <w:fldChar w:fldCharType="separate"/>
      </w:r>
      <w:r w:rsidR="008B0EB2" w:rsidRPr="008B0EB2">
        <w:rPr>
          <w:noProof/>
          <w:color w:val="auto"/>
          <w:sz w:val="22"/>
          <w:szCs w:val="22"/>
          <w:vertAlign w:val="superscript"/>
        </w:rPr>
        <w:t>12</w:t>
      </w:r>
      <w:r w:rsidR="00DF43F1" w:rsidRPr="006D2C68">
        <w:rPr>
          <w:color w:val="auto"/>
          <w:sz w:val="22"/>
          <w:szCs w:val="22"/>
        </w:rPr>
        <w:fldChar w:fldCharType="end"/>
      </w:r>
    </w:p>
    <w:p w14:paraId="34373937" w14:textId="443FAC0D" w:rsidR="009D05F7" w:rsidRDefault="009D05F7" w:rsidP="009D05F7"/>
    <w:p w14:paraId="59B85081" w14:textId="0EF54047" w:rsidR="009D05F7" w:rsidRDefault="009D05F7" w:rsidP="009D05F7"/>
    <w:p w14:paraId="71AFAE58" w14:textId="77777777" w:rsidR="00EE6B5A" w:rsidRPr="009D05F7" w:rsidRDefault="00EE6B5A" w:rsidP="009D05F7">
      <w:pPr>
        <w:sectPr w:rsidR="00EE6B5A" w:rsidRPr="009D05F7">
          <w:footnotePr>
            <w:numFmt w:val="lowerLetter"/>
          </w:footnotePr>
          <w:pgSz w:w="11906" w:h="16838"/>
          <w:pgMar w:top="1417" w:right="1417" w:bottom="1134" w:left="1417" w:header="708" w:footer="708" w:gutter="0"/>
          <w:cols w:space="708"/>
          <w:docGrid w:linePitch="360"/>
        </w:sectPr>
      </w:pPr>
    </w:p>
    <w:p w14:paraId="5461AB49" w14:textId="6795C7DC" w:rsidR="00EE6B5A" w:rsidRDefault="00EE6B5A" w:rsidP="00C44B03">
      <w:pPr>
        <w:rPr>
          <w:noProof/>
          <w:lang w:val="en-US" w:eastAsia="de-CH"/>
        </w:rPr>
      </w:pPr>
    </w:p>
    <w:p w14:paraId="547320AB" w14:textId="77777777" w:rsidR="00EE6B5A" w:rsidRPr="00EE6B5A" w:rsidRDefault="00EE6B5A" w:rsidP="00EE6B5A"/>
    <w:p w14:paraId="5DF3A73C" w14:textId="1B537271" w:rsidR="00DF43F1" w:rsidRDefault="00E705F9" w:rsidP="00250AE2">
      <w:r>
        <w:t>Reference</w:t>
      </w:r>
      <w:r w:rsidR="00654036">
        <w:t>s</w:t>
      </w:r>
    </w:p>
    <w:p w14:paraId="1A16C933" w14:textId="77777777" w:rsidR="009B63CA" w:rsidRPr="009B63CA" w:rsidRDefault="00DF43F1" w:rsidP="009B63CA">
      <w:pPr>
        <w:pStyle w:val="EndNoteBibliography"/>
        <w:spacing w:after="0"/>
        <w:ind w:left="720" w:hanging="720"/>
      </w:pPr>
      <w:r>
        <w:fldChar w:fldCharType="begin"/>
      </w:r>
      <w:r>
        <w:instrText xml:space="preserve"> ADDIN EN.REFLIST </w:instrText>
      </w:r>
      <w:r>
        <w:fldChar w:fldCharType="separate"/>
      </w:r>
      <w:r w:rsidR="009B63CA" w:rsidRPr="009B63CA">
        <w:t>1.</w:t>
      </w:r>
      <w:r w:rsidR="009B63CA" w:rsidRPr="009B63CA">
        <w:tab/>
        <w:t xml:space="preserve">Orellano P, Reynoso J, Quaranta N, Bardach A, Ciapponi A. Short-term exposure to particulate matter (PM10 and PM2.5), nitrogen dioxide (NO2), and ozone (O3) and all-cause and cause-specific mortality: Systematic review and meta-analysis. </w:t>
      </w:r>
      <w:r w:rsidR="009B63CA" w:rsidRPr="009B63CA">
        <w:rPr>
          <w:i/>
        </w:rPr>
        <w:t xml:space="preserve">Environment International. </w:t>
      </w:r>
      <w:r w:rsidR="009B63CA" w:rsidRPr="009B63CA">
        <w:t>2020;142:105876.</w:t>
      </w:r>
    </w:p>
    <w:p w14:paraId="3FFFB08A" w14:textId="77777777" w:rsidR="009B63CA" w:rsidRPr="00527B73" w:rsidRDefault="009B63CA" w:rsidP="009B63CA">
      <w:pPr>
        <w:pStyle w:val="EndNoteBibliography"/>
        <w:spacing w:after="0"/>
        <w:ind w:left="720" w:hanging="720"/>
        <w:rPr>
          <w:lang w:val="fr-FR"/>
        </w:rPr>
      </w:pPr>
      <w:r w:rsidRPr="009B63CA">
        <w:t>2.</w:t>
      </w:r>
      <w:r w:rsidRPr="009B63CA">
        <w:tab/>
        <w:t xml:space="preserve">Orellano P, Reynoso J, Quaranta N. Short-term exposure to sulphur dioxide (SO(2)) and all-cause and respiratory mortality: A systematic review and meta-analysis. </w:t>
      </w:r>
      <w:r w:rsidRPr="00527B73">
        <w:rPr>
          <w:i/>
          <w:lang w:val="fr-FR"/>
        </w:rPr>
        <w:t xml:space="preserve">Environ Int. </w:t>
      </w:r>
      <w:r w:rsidRPr="00527B73">
        <w:rPr>
          <w:lang w:val="fr-FR"/>
        </w:rPr>
        <w:t>2021;150:106434.</w:t>
      </w:r>
    </w:p>
    <w:p w14:paraId="288E88C8" w14:textId="77777777" w:rsidR="009B63CA" w:rsidRPr="009B63CA" w:rsidRDefault="009B63CA" w:rsidP="009B63CA">
      <w:pPr>
        <w:pStyle w:val="EndNoteBibliography"/>
        <w:spacing w:after="0"/>
        <w:ind w:left="720" w:hanging="720"/>
      </w:pPr>
      <w:r w:rsidRPr="00527B73">
        <w:rPr>
          <w:lang w:val="fr-FR"/>
        </w:rPr>
        <w:t>3.</w:t>
      </w:r>
      <w:r w:rsidRPr="00527B73">
        <w:rPr>
          <w:lang w:val="fr-FR"/>
        </w:rPr>
        <w:tab/>
        <w:t xml:space="preserve">Liu C, Chen R, Sera F, et al. </w:t>
      </w:r>
      <w:r w:rsidRPr="009B63CA">
        <w:t xml:space="preserve">Ambient Particulate Air Pollution and Daily Mortality in 652 Cities. </w:t>
      </w:r>
      <w:r w:rsidRPr="009B63CA">
        <w:rPr>
          <w:i/>
        </w:rPr>
        <w:t xml:space="preserve">N Engl J Med. </w:t>
      </w:r>
      <w:r w:rsidRPr="009B63CA">
        <w:t>2019;381(8):705-715.</w:t>
      </w:r>
    </w:p>
    <w:p w14:paraId="428CAEA2" w14:textId="77777777" w:rsidR="009B63CA" w:rsidRPr="009B63CA" w:rsidRDefault="009B63CA" w:rsidP="009B63CA">
      <w:pPr>
        <w:pStyle w:val="EndNoteBibliography"/>
        <w:spacing w:after="0"/>
        <w:ind w:left="720" w:hanging="720"/>
      </w:pPr>
      <w:r w:rsidRPr="009B63CA">
        <w:t>4.</w:t>
      </w:r>
      <w:r w:rsidRPr="009B63CA">
        <w:tab/>
        <w:t xml:space="preserve">Vicedo-Cabrera AM, Sera F, Liu C, et al. Short term association between ozone and mortality: global two stage time series study in 406 locations in 20 countries. </w:t>
      </w:r>
      <w:r w:rsidRPr="009B63CA">
        <w:rPr>
          <w:i/>
        </w:rPr>
        <w:t xml:space="preserve">Bmj. </w:t>
      </w:r>
      <w:r w:rsidRPr="009B63CA">
        <w:t>2020;368:m108.</w:t>
      </w:r>
    </w:p>
    <w:p w14:paraId="698AF341" w14:textId="77777777" w:rsidR="009B63CA" w:rsidRPr="009B63CA" w:rsidRDefault="009B63CA" w:rsidP="009B63CA">
      <w:pPr>
        <w:pStyle w:val="EndNoteBibliography"/>
        <w:spacing w:after="0"/>
        <w:ind w:left="720" w:hanging="720"/>
      </w:pPr>
      <w:r w:rsidRPr="009B63CA">
        <w:t>5.</w:t>
      </w:r>
      <w:r w:rsidRPr="009B63CA">
        <w:tab/>
        <w:t xml:space="preserve">World Health Organization. </w:t>
      </w:r>
      <w:r w:rsidRPr="009B63CA">
        <w:rPr>
          <w:i/>
        </w:rPr>
        <w:t>WHO global air quality guidelines: particulate matter (PM2.5 and PM10), ozone, nitrogen dioxide, sulfur dioxide and carbon monoxide.</w:t>
      </w:r>
      <w:r w:rsidRPr="009B63CA">
        <w:t xml:space="preserve"> Geneva: World Health Organization; 2021.</w:t>
      </w:r>
    </w:p>
    <w:p w14:paraId="7BA1F6F3" w14:textId="77777777" w:rsidR="009B63CA" w:rsidRPr="009B63CA" w:rsidRDefault="009B63CA" w:rsidP="009B63CA">
      <w:pPr>
        <w:pStyle w:val="EndNoteBibliography"/>
        <w:spacing w:after="0"/>
        <w:ind w:left="720" w:hanging="720"/>
      </w:pPr>
      <w:r w:rsidRPr="009B63CA">
        <w:t>6.</w:t>
      </w:r>
      <w:r w:rsidRPr="009B63CA">
        <w:tab/>
        <w:t xml:space="preserve">World Health Organization. Regional Office for Europe. </w:t>
      </w:r>
      <w:r w:rsidRPr="009B63CA">
        <w:rPr>
          <w:i/>
        </w:rPr>
        <w:t>Air quality guidelines for Europe.</w:t>
      </w:r>
      <w:r w:rsidRPr="009B63CA">
        <w:t xml:space="preserve"> 2nd ed. ed. Copenhagen: World Health Organization. Regional Office for Europe; 2000.</w:t>
      </w:r>
    </w:p>
    <w:p w14:paraId="6E27F82E" w14:textId="77777777" w:rsidR="009B63CA" w:rsidRPr="009B63CA" w:rsidRDefault="009B63CA" w:rsidP="009B63CA">
      <w:pPr>
        <w:pStyle w:val="EndNoteBibliography"/>
        <w:spacing w:after="0"/>
        <w:ind w:left="720" w:hanging="720"/>
      </w:pPr>
      <w:r w:rsidRPr="009B63CA">
        <w:t>7.</w:t>
      </w:r>
      <w:r w:rsidRPr="009B63CA">
        <w:tab/>
        <w:t>United Nations Economic Commission for Europe. Manual on methodologies and criteria for Modelling and Mapping Critical Loads &amp; Levels and Air Pollution Effects, Risks and Trends. Chapter III on Mapping Critical Levels for Vegetation (version 2017). In:2017.</w:t>
      </w:r>
    </w:p>
    <w:p w14:paraId="07C3B497" w14:textId="70A7F410" w:rsidR="009B63CA" w:rsidRPr="009B63CA" w:rsidRDefault="009B63CA" w:rsidP="009B63CA">
      <w:pPr>
        <w:pStyle w:val="EndNoteBibliography"/>
        <w:spacing w:after="0"/>
        <w:ind w:left="720" w:hanging="720"/>
      </w:pPr>
      <w:r w:rsidRPr="009B63CA">
        <w:t>8.</w:t>
      </w:r>
      <w:r w:rsidRPr="009B63CA">
        <w:tab/>
        <w:t xml:space="preserve">National Air Quality Indicator - Monthly data report for the Western Cape Province. 2022. </w:t>
      </w:r>
      <w:hyperlink r:id="rId13" w:history="1">
        <w:r w:rsidRPr="009B63CA">
          <w:rPr>
            <w:rStyle w:val="Hyperlink"/>
          </w:rPr>
          <w:t>https://saaqis.environment.gov.za/</w:t>
        </w:r>
      </w:hyperlink>
      <w:r w:rsidRPr="009B63CA">
        <w:t>. Accessed 09 May 2022.</w:t>
      </w:r>
    </w:p>
    <w:p w14:paraId="1352C4D1" w14:textId="77777777" w:rsidR="009B63CA" w:rsidRPr="009B63CA" w:rsidRDefault="009B63CA" w:rsidP="009B63CA">
      <w:pPr>
        <w:pStyle w:val="EndNoteBibliography"/>
        <w:spacing w:after="0"/>
        <w:ind w:left="720" w:hanging="720"/>
      </w:pPr>
      <w:r w:rsidRPr="009B63CA">
        <w:t>9.</w:t>
      </w:r>
      <w:r w:rsidRPr="009B63CA">
        <w:tab/>
        <w:t xml:space="preserve">Héroux ME, Anderson HR, Atkinson R, et al. Quantifying the health impacts of ambient air pollutants: recommendations of a WHO/Europe project. </w:t>
      </w:r>
      <w:r w:rsidRPr="009B63CA">
        <w:rPr>
          <w:i/>
        </w:rPr>
        <w:t xml:space="preserve">Int J Public Health. </w:t>
      </w:r>
      <w:r w:rsidRPr="009B63CA">
        <w:t>2015;60(5):619-627.</w:t>
      </w:r>
    </w:p>
    <w:p w14:paraId="5D9322BF" w14:textId="77777777" w:rsidR="009B63CA" w:rsidRPr="009B63CA" w:rsidRDefault="009B63CA" w:rsidP="009B63CA">
      <w:pPr>
        <w:pStyle w:val="EndNoteBibliography"/>
        <w:spacing w:after="0"/>
        <w:ind w:left="720" w:hanging="720"/>
      </w:pPr>
      <w:r w:rsidRPr="009B63CA">
        <w:t>10.</w:t>
      </w:r>
      <w:r w:rsidRPr="009B63CA">
        <w:tab/>
        <w:t xml:space="preserve">Stieb DM, Burnett RT, Smith-Doiron M, Brion O, Shin HH, Economou V. A new multipollutant, no-threshold air quality health index based on short-term associations observed in daily time-series analyses. </w:t>
      </w:r>
      <w:r w:rsidRPr="009B63CA">
        <w:rPr>
          <w:i/>
        </w:rPr>
        <w:t xml:space="preserve">J Air Waste Manag Assoc. </w:t>
      </w:r>
      <w:r w:rsidRPr="009B63CA">
        <w:t>2008;58(3):435-450.</w:t>
      </w:r>
    </w:p>
    <w:p w14:paraId="3BFC7773" w14:textId="77777777" w:rsidR="009B63CA" w:rsidRPr="009B63CA" w:rsidRDefault="009B63CA" w:rsidP="009B63CA">
      <w:pPr>
        <w:pStyle w:val="EndNoteBibliography"/>
        <w:spacing w:after="0"/>
        <w:ind w:left="720" w:hanging="720"/>
      </w:pPr>
      <w:r w:rsidRPr="009B63CA">
        <w:t>11.</w:t>
      </w:r>
      <w:r w:rsidRPr="009B63CA">
        <w:tab/>
        <w:t xml:space="preserve">Gwaze P, Mashele SH. South African Air Quality Information System (SAAQIS) mobile application tool: Bringing real time state of air quality to South Africans. </w:t>
      </w:r>
      <w:r w:rsidRPr="009B63CA">
        <w:rPr>
          <w:i/>
        </w:rPr>
        <w:t xml:space="preserve">Clean Air Journal. </w:t>
      </w:r>
      <w:r w:rsidRPr="009B63CA">
        <w:t>2018;28(1):3-3.</w:t>
      </w:r>
    </w:p>
    <w:p w14:paraId="1D678978" w14:textId="77777777" w:rsidR="009B63CA" w:rsidRPr="009B63CA" w:rsidRDefault="009B63CA" w:rsidP="009B63CA">
      <w:pPr>
        <w:pStyle w:val="EndNoteBibliography"/>
        <w:ind w:left="720" w:hanging="720"/>
      </w:pPr>
      <w:r w:rsidRPr="009B63CA">
        <w:t>12.</w:t>
      </w:r>
      <w:r w:rsidRPr="009B63CA">
        <w:tab/>
        <w:t xml:space="preserve">Cairncross EK, John J, Zunckel M. A novel air pollution index based on the relative risk of daily mortality associated with short-term exposure to common air pollutants. </w:t>
      </w:r>
      <w:r w:rsidRPr="009B63CA">
        <w:rPr>
          <w:i/>
        </w:rPr>
        <w:t xml:space="preserve">Atmospheric environment. </w:t>
      </w:r>
      <w:r w:rsidRPr="009B63CA">
        <w:t>2007;41(38):8442-8454.</w:t>
      </w:r>
    </w:p>
    <w:p w14:paraId="2E9668CF" w14:textId="7E803627" w:rsidR="00931C26" w:rsidRPr="00250AE2" w:rsidRDefault="00DF43F1" w:rsidP="00250AE2">
      <w:r>
        <w:fldChar w:fldCharType="end"/>
      </w:r>
    </w:p>
    <w:sectPr w:rsidR="00931C26" w:rsidRPr="00250AE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FC09D6" w14:textId="77777777" w:rsidR="00FD088A" w:rsidRDefault="00FD088A" w:rsidP="001D123D">
      <w:pPr>
        <w:spacing w:after="0" w:line="240" w:lineRule="auto"/>
      </w:pPr>
      <w:r>
        <w:separator/>
      </w:r>
    </w:p>
  </w:endnote>
  <w:endnote w:type="continuationSeparator" w:id="0">
    <w:p w14:paraId="4F7208C1" w14:textId="77777777" w:rsidR="00FD088A" w:rsidRDefault="00FD088A" w:rsidP="001D12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00A0E" w14:textId="77777777" w:rsidR="00FD088A" w:rsidRDefault="00FD088A" w:rsidP="001D123D">
      <w:pPr>
        <w:spacing w:after="0" w:line="240" w:lineRule="auto"/>
      </w:pPr>
      <w:r>
        <w:separator/>
      </w:r>
    </w:p>
  </w:footnote>
  <w:footnote w:type="continuationSeparator" w:id="0">
    <w:p w14:paraId="61E7C6E3" w14:textId="77777777" w:rsidR="00FD088A" w:rsidRDefault="00FD088A" w:rsidP="001D123D">
      <w:pPr>
        <w:spacing w:after="0" w:line="240" w:lineRule="auto"/>
      </w:pPr>
      <w:r>
        <w:continuationSeparator/>
      </w:r>
    </w:p>
  </w:footnote>
  <w:footnote w:id="1">
    <w:p w14:paraId="23DA3A0C" w14:textId="670E8871" w:rsidR="006D6ECF" w:rsidRPr="00837D29" w:rsidRDefault="00BE0C61" w:rsidP="00B5624A">
      <w:pPr>
        <w:pStyle w:val="FootnoteText"/>
        <w:rPr>
          <w:lang w:val="en-US"/>
        </w:rPr>
      </w:pPr>
      <w:r>
        <w:rPr>
          <w:rStyle w:val="FootnoteReference"/>
        </w:rPr>
        <w:footnoteRef/>
      </w:r>
      <w:r w:rsidR="006D6ECF" w:rsidRPr="00837D29">
        <w:rPr>
          <w:lang w:val="en-US"/>
        </w:rPr>
        <w:t xml:space="preserve"> </w:t>
      </w:r>
      <w:r w:rsidR="006D6ECF">
        <w:rPr>
          <w:lang w:val="en-US"/>
        </w:rPr>
        <w:t>The ambient concentration for each pollutant are the WHO long-term AQG values.</w:t>
      </w:r>
    </w:p>
  </w:footnote>
  <w:footnote w:id="2">
    <w:p w14:paraId="05F1930A" w14:textId="77777777" w:rsidR="006D6ECF" w:rsidRPr="002D66EE" w:rsidRDefault="006D6ECF" w:rsidP="00B5624A">
      <w:pPr>
        <w:pStyle w:val="FootnoteText"/>
        <w:rPr>
          <w:lang w:val="en-US"/>
        </w:rPr>
      </w:pPr>
      <w:r>
        <w:rPr>
          <w:rStyle w:val="FootnoteReference"/>
        </w:rPr>
        <w:footnoteRef/>
      </w:r>
      <w:r w:rsidRPr="00B02227">
        <w:rPr>
          <w:lang w:val="en-US"/>
        </w:rPr>
        <w:t xml:space="preserve"> WHO 2021 AQG did not include a long-term value for SO2, thus we used the value from the 2000 WHO AQG. </w:t>
      </w:r>
      <w:r>
        <w:rPr>
          <w:lang w:val="en-US"/>
        </w:rPr>
        <w:t>The rationale for this is provided in the “derivation of excess risk” section of the method</w:t>
      </w:r>
    </w:p>
  </w:footnote>
  <w:footnote w:id="3">
    <w:p w14:paraId="4790D1FC" w14:textId="77777777" w:rsidR="006D6ECF" w:rsidRPr="00926D96" w:rsidRDefault="006D6ECF" w:rsidP="00271EC6">
      <w:pPr>
        <w:pStyle w:val="FootnoteText"/>
        <w:rPr>
          <w:lang w:val="en-US"/>
        </w:rPr>
      </w:pPr>
      <w:r>
        <w:rPr>
          <w:rStyle w:val="FootnoteReference"/>
        </w:rPr>
        <w:footnoteRef/>
      </w:r>
      <w:r w:rsidRPr="00926D96">
        <w:rPr>
          <w:lang w:val="en-US"/>
        </w:rPr>
        <w:t xml:space="preserve"> </w:t>
      </w:r>
      <w:r>
        <w:rPr>
          <w:lang w:val="en-US"/>
        </w:rPr>
        <w:t>Empty cells show there are no ER% calculated for those days, either because the data was missing or the pollutant concentrations did not fall with the ER% range for the AQHI</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50959501r9tp8ez5rapd0sdv5xzv5rsxte2&quot;&gt;PhD_Project_241121&lt;record-ids&gt;&lt;item&gt;2&lt;/item&gt;&lt;item&gt;49&lt;/item&gt;&lt;item&gt;125&lt;/item&gt;&lt;item&gt;148&lt;/item&gt;&lt;item&gt;184&lt;/item&gt;&lt;item&gt;193&lt;/item&gt;&lt;item&gt;204&lt;/item&gt;&lt;item&gt;253&lt;/item&gt;&lt;item&gt;256&lt;/item&gt;&lt;item&gt;264&lt;/item&gt;&lt;item&gt;270&lt;/item&gt;&lt;item&gt;291&lt;/item&gt;&lt;/record-ids&gt;&lt;/item&gt;&lt;/Libraries&gt;"/>
  </w:docVars>
  <w:rsids>
    <w:rsidRoot w:val="00566073"/>
    <w:rsid w:val="00007109"/>
    <w:rsid w:val="00015BF1"/>
    <w:rsid w:val="00016BA3"/>
    <w:rsid w:val="00016CC7"/>
    <w:rsid w:val="00020274"/>
    <w:rsid w:val="00033D47"/>
    <w:rsid w:val="00040899"/>
    <w:rsid w:val="000528A9"/>
    <w:rsid w:val="00052C3B"/>
    <w:rsid w:val="00063DC3"/>
    <w:rsid w:val="00074F47"/>
    <w:rsid w:val="00080142"/>
    <w:rsid w:val="00082129"/>
    <w:rsid w:val="000F48F6"/>
    <w:rsid w:val="00113824"/>
    <w:rsid w:val="00113E18"/>
    <w:rsid w:val="00135D20"/>
    <w:rsid w:val="00144AEC"/>
    <w:rsid w:val="0015399E"/>
    <w:rsid w:val="00193A12"/>
    <w:rsid w:val="00197109"/>
    <w:rsid w:val="001A7736"/>
    <w:rsid w:val="001B079A"/>
    <w:rsid w:val="001C46F6"/>
    <w:rsid w:val="001D123D"/>
    <w:rsid w:val="001E33FA"/>
    <w:rsid w:val="001F3DD6"/>
    <w:rsid w:val="00212D00"/>
    <w:rsid w:val="00216870"/>
    <w:rsid w:val="0023186B"/>
    <w:rsid w:val="00250AE2"/>
    <w:rsid w:val="00251F1D"/>
    <w:rsid w:val="00253AB3"/>
    <w:rsid w:val="00271EC6"/>
    <w:rsid w:val="002906C5"/>
    <w:rsid w:val="002A1BE1"/>
    <w:rsid w:val="002C4ACC"/>
    <w:rsid w:val="002C7DCA"/>
    <w:rsid w:val="002D4496"/>
    <w:rsid w:val="002E4314"/>
    <w:rsid w:val="00310720"/>
    <w:rsid w:val="00324803"/>
    <w:rsid w:val="003269B5"/>
    <w:rsid w:val="00332E38"/>
    <w:rsid w:val="003351E8"/>
    <w:rsid w:val="003467D7"/>
    <w:rsid w:val="003501D7"/>
    <w:rsid w:val="00363840"/>
    <w:rsid w:val="0036490E"/>
    <w:rsid w:val="00382B13"/>
    <w:rsid w:val="00391901"/>
    <w:rsid w:val="0039266E"/>
    <w:rsid w:val="00392710"/>
    <w:rsid w:val="0039632C"/>
    <w:rsid w:val="003B4838"/>
    <w:rsid w:val="003D6CE5"/>
    <w:rsid w:val="003E41B9"/>
    <w:rsid w:val="0041395D"/>
    <w:rsid w:val="0043196A"/>
    <w:rsid w:val="00454A95"/>
    <w:rsid w:val="004667FC"/>
    <w:rsid w:val="004917F5"/>
    <w:rsid w:val="00491C26"/>
    <w:rsid w:val="004A6126"/>
    <w:rsid w:val="004A7240"/>
    <w:rsid w:val="004C7293"/>
    <w:rsid w:val="004D4E96"/>
    <w:rsid w:val="004E0D8C"/>
    <w:rsid w:val="004E4D86"/>
    <w:rsid w:val="004F3E74"/>
    <w:rsid w:val="005111A5"/>
    <w:rsid w:val="00527940"/>
    <w:rsid w:val="00527B73"/>
    <w:rsid w:val="00543AC2"/>
    <w:rsid w:val="00555937"/>
    <w:rsid w:val="005621EA"/>
    <w:rsid w:val="00565F9F"/>
    <w:rsid w:val="00566073"/>
    <w:rsid w:val="00590A8A"/>
    <w:rsid w:val="00593A4E"/>
    <w:rsid w:val="005B4EE6"/>
    <w:rsid w:val="005C5430"/>
    <w:rsid w:val="005C628C"/>
    <w:rsid w:val="005D424C"/>
    <w:rsid w:val="005F2863"/>
    <w:rsid w:val="00617BC7"/>
    <w:rsid w:val="006403B4"/>
    <w:rsid w:val="006427DF"/>
    <w:rsid w:val="00646278"/>
    <w:rsid w:val="00653D37"/>
    <w:rsid w:val="00654036"/>
    <w:rsid w:val="00665205"/>
    <w:rsid w:val="00667CE5"/>
    <w:rsid w:val="00683923"/>
    <w:rsid w:val="006B3E02"/>
    <w:rsid w:val="006B726E"/>
    <w:rsid w:val="006D2C68"/>
    <w:rsid w:val="006D6ECF"/>
    <w:rsid w:val="00705B22"/>
    <w:rsid w:val="00721DE7"/>
    <w:rsid w:val="00761529"/>
    <w:rsid w:val="0076755A"/>
    <w:rsid w:val="00787C6D"/>
    <w:rsid w:val="007947A9"/>
    <w:rsid w:val="007D1380"/>
    <w:rsid w:val="007E1E98"/>
    <w:rsid w:val="007E2AB0"/>
    <w:rsid w:val="007F26EC"/>
    <w:rsid w:val="007F48CF"/>
    <w:rsid w:val="00802925"/>
    <w:rsid w:val="00816257"/>
    <w:rsid w:val="00834E2C"/>
    <w:rsid w:val="0083784C"/>
    <w:rsid w:val="00842DA6"/>
    <w:rsid w:val="00856178"/>
    <w:rsid w:val="0088252E"/>
    <w:rsid w:val="008A03FB"/>
    <w:rsid w:val="008A16EF"/>
    <w:rsid w:val="008A20C3"/>
    <w:rsid w:val="008A65A2"/>
    <w:rsid w:val="008B0EB2"/>
    <w:rsid w:val="008B6FB5"/>
    <w:rsid w:val="008C56CB"/>
    <w:rsid w:val="008E59D6"/>
    <w:rsid w:val="008F1A35"/>
    <w:rsid w:val="008F432A"/>
    <w:rsid w:val="0090196A"/>
    <w:rsid w:val="009070B6"/>
    <w:rsid w:val="00913CD0"/>
    <w:rsid w:val="00931C26"/>
    <w:rsid w:val="009416AE"/>
    <w:rsid w:val="00956178"/>
    <w:rsid w:val="0096105A"/>
    <w:rsid w:val="009A01BC"/>
    <w:rsid w:val="009B63CA"/>
    <w:rsid w:val="009C5255"/>
    <w:rsid w:val="009C5726"/>
    <w:rsid w:val="009D05F7"/>
    <w:rsid w:val="009D4845"/>
    <w:rsid w:val="009D51C6"/>
    <w:rsid w:val="009E024E"/>
    <w:rsid w:val="00A364C6"/>
    <w:rsid w:val="00A719E1"/>
    <w:rsid w:val="00A8032F"/>
    <w:rsid w:val="00A9354B"/>
    <w:rsid w:val="00AA0360"/>
    <w:rsid w:val="00AA54D5"/>
    <w:rsid w:val="00AB695B"/>
    <w:rsid w:val="00AC3444"/>
    <w:rsid w:val="00AD4A26"/>
    <w:rsid w:val="00AE40A0"/>
    <w:rsid w:val="00AE6690"/>
    <w:rsid w:val="00AF2186"/>
    <w:rsid w:val="00AF30CA"/>
    <w:rsid w:val="00AF79A5"/>
    <w:rsid w:val="00B0046B"/>
    <w:rsid w:val="00B0287D"/>
    <w:rsid w:val="00B122BB"/>
    <w:rsid w:val="00B41CBE"/>
    <w:rsid w:val="00B52D8C"/>
    <w:rsid w:val="00B5624A"/>
    <w:rsid w:val="00B76979"/>
    <w:rsid w:val="00B76BDA"/>
    <w:rsid w:val="00B82A96"/>
    <w:rsid w:val="00BA1638"/>
    <w:rsid w:val="00BA1861"/>
    <w:rsid w:val="00BB01B3"/>
    <w:rsid w:val="00BC0597"/>
    <w:rsid w:val="00BD4F82"/>
    <w:rsid w:val="00BD610E"/>
    <w:rsid w:val="00BE0C61"/>
    <w:rsid w:val="00C0082B"/>
    <w:rsid w:val="00C123C8"/>
    <w:rsid w:val="00C37812"/>
    <w:rsid w:val="00C402DB"/>
    <w:rsid w:val="00C44B03"/>
    <w:rsid w:val="00C817B1"/>
    <w:rsid w:val="00C82ADF"/>
    <w:rsid w:val="00C871D2"/>
    <w:rsid w:val="00C97FD4"/>
    <w:rsid w:val="00CA4CF6"/>
    <w:rsid w:val="00CA5CF5"/>
    <w:rsid w:val="00CA7E20"/>
    <w:rsid w:val="00CE2F37"/>
    <w:rsid w:val="00D00471"/>
    <w:rsid w:val="00D10DBC"/>
    <w:rsid w:val="00D10DF4"/>
    <w:rsid w:val="00D15CD5"/>
    <w:rsid w:val="00D30562"/>
    <w:rsid w:val="00D46757"/>
    <w:rsid w:val="00D52573"/>
    <w:rsid w:val="00D77CCB"/>
    <w:rsid w:val="00DA2542"/>
    <w:rsid w:val="00DC4BD7"/>
    <w:rsid w:val="00DC7CCE"/>
    <w:rsid w:val="00DF0518"/>
    <w:rsid w:val="00DF43F1"/>
    <w:rsid w:val="00E01EC3"/>
    <w:rsid w:val="00E04144"/>
    <w:rsid w:val="00E079D5"/>
    <w:rsid w:val="00E1075F"/>
    <w:rsid w:val="00E10B1E"/>
    <w:rsid w:val="00E11C24"/>
    <w:rsid w:val="00E11F24"/>
    <w:rsid w:val="00E22BB3"/>
    <w:rsid w:val="00E379CF"/>
    <w:rsid w:val="00E51810"/>
    <w:rsid w:val="00E53745"/>
    <w:rsid w:val="00E566D3"/>
    <w:rsid w:val="00E705F9"/>
    <w:rsid w:val="00E76ADE"/>
    <w:rsid w:val="00E84857"/>
    <w:rsid w:val="00E857BC"/>
    <w:rsid w:val="00EB1BF6"/>
    <w:rsid w:val="00EC5D59"/>
    <w:rsid w:val="00EE5FA3"/>
    <w:rsid w:val="00EE6B5A"/>
    <w:rsid w:val="00F04483"/>
    <w:rsid w:val="00F04679"/>
    <w:rsid w:val="00F05C9D"/>
    <w:rsid w:val="00F07FF4"/>
    <w:rsid w:val="00F11AC4"/>
    <w:rsid w:val="00F12F4C"/>
    <w:rsid w:val="00F25A29"/>
    <w:rsid w:val="00F30CD8"/>
    <w:rsid w:val="00F5156D"/>
    <w:rsid w:val="00F54524"/>
    <w:rsid w:val="00F618F2"/>
    <w:rsid w:val="00F77E34"/>
    <w:rsid w:val="00FA1993"/>
    <w:rsid w:val="00FA6C4B"/>
    <w:rsid w:val="00FB4460"/>
    <w:rsid w:val="00FD088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BD4E9A"/>
  <w15:chartTrackingRefBased/>
  <w15:docId w15:val="{108FA496-3298-434B-97CC-5F56A8C92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21EA"/>
    <w:rPr>
      <w:rFonts w:ascii="Arial" w:hAnsi="Arial"/>
      <w:lang w:val="en-GB"/>
    </w:rPr>
  </w:style>
  <w:style w:type="paragraph" w:styleId="Heading1">
    <w:name w:val="heading 1"/>
    <w:basedOn w:val="Normal"/>
    <w:next w:val="Normal"/>
    <w:link w:val="Heading1Char"/>
    <w:uiPriority w:val="9"/>
    <w:qFormat/>
    <w:rsid w:val="00D10DF4"/>
    <w:pPr>
      <w:keepNext/>
      <w:keepLines/>
      <w:spacing w:before="240" w:after="0"/>
      <w:outlineLvl w:val="0"/>
    </w:pPr>
    <w:rPr>
      <w:rFonts w:asciiTheme="majorHAnsi" w:eastAsiaTheme="majorEastAsia" w:hAnsiTheme="majorHAnsi" w:cstheme="majorBidi"/>
      <w:color w:val="365F91" w:themeColor="accent1" w:themeShade="BF"/>
      <w:sz w:val="32"/>
      <w:szCs w:val="32"/>
      <w:lang w:val="de-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link w:val="CaptionChar"/>
    <w:uiPriority w:val="35"/>
    <w:unhideWhenUsed/>
    <w:qFormat/>
    <w:rsid w:val="008F1A35"/>
    <w:pPr>
      <w:spacing w:line="240" w:lineRule="auto"/>
    </w:pPr>
    <w:rPr>
      <w:i/>
      <w:iCs/>
      <w:color w:val="1F497D" w:themeColor="text2"/>
      <w:sz w:val="18"/>
      <w:szCs w:val="18"/>
    </w:rPr>
  </w:style>
  <w:style w:type="character" w:styleId="CommentReference">
    <w:name w:val="annotation reference"/>
    <w:basedOn w:val="DefaultParagraphFont"/>
    <w:uiPriority w:val="99"/>
    <w:semiHidden/>
    <w:unhideWhenUsed/>
    <w:rsid w:val="008F1A35"/>
    <w:rPr>
      <w:sz w:val="16"/>
      <w:szCs w:val="16"/>
    </w:rPr>
  </w:style>
  <w:style w:type="paragraph" w:styleId="CommentText">
    <w:name w:val="annotation text"/>
    <w:basedOn w:val="Normal"/>
    <w:link w:val="CommentTextChar"/>
    <w:uiPriority w:val="99"/>
    <w:unhideWhenUsed/>
    <w:rsid w:val="008F1A35"/>
    <w:pPr>
      <w:spacing w:line="240" w:lineRule="auto"/>
    </w:pPr>
    <w:rPr>
      <w:sz w:val="20"/>
      <w:szCs w:val="20"/>
    </w:rPr>
  </w:style>
  <w:style w:type="character" w:customStyle="1" w:styleId="CommentTextChar">
    <w:name w:val="Comment Text Char"/>
    <w:basedOn w:val="DefaultParagraphFont"/>
    <w:link w:val="CommentText"/>
    <w:uiPriority w:val="99"/>
    <w:rsid w:val="008F1A35"/>
    <w:rPr>
      <w:rFonts w:ascii="Arial" w:hAnsi="Arial"/>
      <w:sz w:val="20"/>
      <w:szCs w:val="20"/>
      <w:lang w:val="en-GB"/>
    </w:rPr>
  </w:style>
  <w:style w:type="paragraph" w:styleId="BalloonText">
    <w:name w:val="Balloon Text"/>
    <w:basedOn w:val="Normal"/>
    <w:link w:val="BalloonTextChar"/>
    <w:uiPriority w:val="99"/>
    <w:semiHidden/>
    <w:unhideWhenUsed/>
    <w:rsid w:val="008F1A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1A35"/>
    <w:rPr>
      <w:rFonts w:ascii="Segoe UI" w:hAnsi="Segoe UI" w:cs="Segoe UI"/>
      <w:sz w:val="18"/>
      <w:szCs w:val="18"/>
      <w:lang w:val="en-GB"/>
    </w:rPr>
  </w:style>
  <w:style w:type="table" w:styleId="TableGrid">
    <w:name w:val="Table Grid"/>
    <w:basedOn w:val="TableNormal"/>
    <w:uiPriority w:val="59"/>
    <w:rsid w:val="00250A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D12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D123D"/>
    <w:pPr>
      <w:spacing w:after="0" w:line="240" w:lineRule="auto"/>
    </w:pPr>
    <w:rPr>
      <w:sz w:val="20"/>
      <w:szCs w:val="20"/>
      <w:lang w:val="de-CH"/>
    </w:rPr>
  </w:style>
  <w:style w:type="character" w:customStyle="1" w:styleId="FootnoteTextChar">
    <w:name w:val="Footnote Text Char"/>
    <w:basedOn w:val="DefaultParagraphFont"/>
    <w:link w:val="FootnoteText"/>
    <w:uiPriority w:val="99"/>
    <w:semiHidden/>
    <w:rsid w:val="001D123D"/>
    <w:rPr>
      <w:rFonts w:ascii="Arial" w:hAnsi="Arial"/>
      <w:sz w:val="20"/>
      <w:szCs w:val="20"/>
    </w:rPr>
  </w:style>
  <w:style w:type="character" w:styleId="FootnoteReference">
    <w:name w:val="footnote reference"/>
    <w:basedOn w:val="DefaultParagraphFont"/>
    <w:uiPriority w:val="99"/>
    <w:semiHidden/>
    <w:unhideWhenUsed/>
    <w:rsid w:val="001D123D"/>
    <w:rPr>
      <w:vertAlign w:val="superscript"/>
    </w:rPr>
  </w:style>
  <w:style w:type="paragraph" w:customStyle="1" w:styleId="EndNoteBibliographyTitle">
    <w:name w:val="EndNote Bibliography Title"/>
    <w:basedOn w:val="Normal"/>
    <w:link w:val="EndNoteBibliographyTitleChar"/>
    <w:rsid w:val="00DF43F1"/>
    <w:pPr>
      <w:spacing w:after="0"/>
      <w:jc w:val="center"/>
    </w:pPr>
    <w:rPr>
      <w:rFonts w:cs="Arial"/>
      <w:noProof/>
      <w:lang w:val="en-US"/>
    </w:rPr>
  </w:style>
  <w:style w:type="character" w:customStyle="1" w:styleId="CaptionChar">
    <w:name w:val="Caption Char"/>
    <w:basedOn w:val="DefaultParagraphFont"/>
    <w:link w:val="Caption"/>
    <w:uiPriority w:val="35"/>
    <w:rsid w:val="00DF43F1"/>
    <w:rPr>
      <w:rFonts w:ascii="Arial" w:hAnsi="Arial"/>
      <w:i/>
      <w:iCs/>
      <w:color w:val="1F497D" w:themeColor="text2"/>
      <w:sz w:val="18"/>
      <w:szCs w:val="18"/>
      <w:lang w:val="en-GB"/>
    </w:rPr>
  </w:style>
  <w:style w:type="character" w:customStyle="1" w:styleId="EndNoteBibliographyTitleChar">
    <w:name w:val="EndNote Bibliography Title Char"/>
    <w:basedOn w:val="CaptionChar"/>
    <w:link w:val="EndNoteBibliographyTitle"/>
    <w:rsid w:val="00DF43F1"/>
    <w:rPr>
      <w:rFonts w:ascii="Arial" w:hAnsi="Arial" w:cs="Arial"/>
      <w:i w:val="0"/>
      <w:iCs w:val="0"/>
      <w:noProof/>
      <w:color w:val="1F497D" w:themeColor="text2"/>
      <w:sz w:val="18"/>
      <w:szCs w:val="18"/>
      <w:lang w:val="en-US"/>
    </w:rPr>
  </w:style>
  <w:style w:type="paragraph" w:customStyle="1" w:styleId="EndNoteBibliography">
    <w:name w:val="EndNote Bibliography"/>
    <w:basedOn w:val="Normal"/>
    <w:link w:val="EndNoteBibliographyChar"/>
    <w:rsid w:val="00DF43F1"/>
    <w:pPr>
      <w:spacing w:line="240" w:lineRule="auto"/>
    </w:pPr>
    <w:rPr>
      <w:rFonts w:cs="Arial"/>
      <w:noProof/>
      <w:lang w:val="en-US"/>
    </w:rPr>
  </w:style>
  <w:style w:type="character" w:customStyle="1" w:styleId="EndNoteBibliographyChar">
    <w:name w:val="EndNote Bibliography Char"/>
    <w:basedOn w:val="CaptionChar"/>
    <w:link w:val="EndNoteBibliography"/>
    <w:rsid w:val="00DF43F1"/>
    <w:rPr>
      <w:rFonts w:ascii="Arial" w:hAnsi="Arial" w:cs="Arial"/>
      <w:i w:val="0"/>
      <w:iCs w:val="0"/>
      <w:noProof/>
      <w:color w:val="1F497D" w:themeColor="text2"/>
      <w:sz w:val="18"/>
      <w:szCs w:val="18"/>
      <w:lang w:val="en-US"/>
    </w:rPr>
  </w:style>
  <w:style w:type="table" w:customStyle="1" w:styleId="TableGrid2">
    <w:name w:val="Table Grid2"/>
    <w:basedOn w:val="TableNormal"/>
    <w:next w:val="TableGrid"/>
    <w:uiPriority w:val="59"/>
    <w:rsid w:val="00EE6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9070B6"/>
    <w:rPr>
      <w:b/>
      <w:bCs/>
    </w:rPr>
  </w:style>
  <w:style w:type="character" w:customStyle="1" w:styleId="CommentSubjectChar">
    <w:name w:val="Comment Subject Char"/>
    <w:basedOn w:val="CommentTextChar"/>
    <w:link w:val="CommentSubject"/>
    <w:uiPriority w:val="99"/>
    <w:semiHidden/>
    <w:rsid w:val="009070B6"/>
    <w:rPr>
      <w:rFonts w:ascii="Arial" w:hAnsi="Arial"/>
      <w:b/>
      <w:bCs/>
      <w:sz w:val="20"/>
      <w:szCs w:val="20"/>
      <w:lang w:val="en-GB"/>
    </w:rPr>
  </w:style>
  <w:style w:type="character" w:styleId="Hyperlink">
    <w:name w:val="Hyperlink"/>
    <w:basedOn w:val="DefaultParagraphFont"/>
    <w:uiPriority w:val="99"/>
    <w:unhideWhenUsed/>
    <w:rsid w:val="008B0EB2"/>
    <w:rPr>
      <w:color w:val="0000FF" w:themeColor="hyperlink"/>
      <w:u w:val="single"/>
    </w:rPr>
  </w:style>
  <w:style w:type="character" w:customStyle="1" w:styleId="Heading1Char">
    <w:name w:val="Heading 1 Char"/>
    <w:basedOn w:val="DefaultParagraphFont"/>
    <w:link w:val="Heading1"/>
    <w:uiPriority w:val="9"/>
    <w:rsid w:val="00D10DF4"/>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8795275">
      <w:bodyDiv w:val="1"/>
      <w:marLeft w:val="0"/>
      <w:marRight w:val="0"/>
      <w:marTop w:val="0"/>
      <w:marBottom w:val="0"/>
      <w:divBdr>
        <w:top w:val="none" w:sz="0" w:space="0" w:color="auto"/>
        <w:left w:val="none" w:sz="0" w:space="0" w:color="auto"/>
        <w:bottom w:val="none" w:sz="0" w:space="0" w:color="auto"/>
        <w:right w:val="none" w:sz="0" w:space="0" w:color="auto"/>
      </w:divBdr>
    </w:div>
    <w:div w:id="1505629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saaqis.environment.gov.za/"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ACA82-9382-43F9-AC1E-94CF5CE2B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4465</Words>
  <Characters>28133</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Swiss TPH</Company>
  <LinksUpToDate>false</LinksUpToDate>
  <CharactersWithSpaces>32533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Temitope Adebayo</dc:creator>
  <cp:keywords/>
  <dc:description/>
  <cp:lastModifiedBy>Temitope Adebayo</cp:lastModifiedBy>
  <cp:revision>3</cp:revision>
  <dcterms:created xsi:type="dcterms:W3CDTF">2023-06-28T13:24:00Z</dcterms:created>
  <dcterms:modified xsi:type="dcterms:W3CDTF">2023-10-12T22:26:00Z</dcterms:modified>
</cp:coreProperties>
</file>