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793B5" w14:textId="25C4C0B9" w:rsidR="00B160F2" w:rsidRPr="002A26EF" w:rsidRDefault="00B160F2" w:rsidP="00B160F2">
      <w:pPr>
        <w:pStyle w:val="Caption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S1 Table: </w:t>
      </w:r>
      <w:r w:rsidRPr="002A26EF">
        <w:rPr>
          <w:rFonts w:cstheme="minorHAnsi"/>
          <w:sz w:val="22"/>
          <w:szCs w:val="22"/>
        </w:rPr>
        <w:t xml:space="preserve"> Datasets used in the snakebite risk </w:t>
      </w:r>
      <w:proofErr w:type="gramStart"/>
      <w:r w:rsidRPr="002A26EF">
        <w:rPr>
          <w:rFonts w:cstheme="minorHAnsi"/>
          <w:sz w:val="22"/>
          <w:szCs w:val="22"/>
        </w:rPr>
        <w:t>analysis</w:t>
      </w:r>
      <w:proofErr w:type="gramEnd"/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996"/>
        <w:gridCol w:w="2949"/>
        <w:gridCol w:w="3150"/>
        <w:gridCol w:w="990"/>
        <w:gridCol w:w="1190"/>
        <w:gridCol w:w="1603"/>
        <w:gridCol w:w="2070"/>
      </w:tblGrid>
      <w:tr w:rsidR="00B160F2" w:rsidRPr="002A26EF" w14:paraId="033B7072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15A937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>Dataset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AD825C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>Definition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12F270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>Data source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8FA080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>Hazard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B13848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>Exposure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6D03CE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 xml:space="preserve">Susceptibility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DBC7E0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/>
              </w:rPr>
            </w:pPr>
            <w:r w:rsidRPr="002A26EF">
              <w:rPr>
                <w:rFonts w:eastAsia="Calibri" w:cstheme="minorHAnsi"/>
                <w:b/>
              </w:rPr>
              <w:t xml:space="preserve">Healthcare resource scarcity </w:t>
            </w:r>
          </w:p>
        </w:tc>
      </w:tr>
      <w:tr w:rsidR="00B160F2" w:rsidRPr="002A26EF" w14:paraId="4E22C849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564B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Snakebite incidents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6574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Reported incidents of snakebites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F9E4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>
              <w:rPr>
                <w:rFonts w:eastAsia="Calibri" w:cstheme="minorHAnsi"/>
                <w:bCs/>
              </w:rPr>
              <w:t>Neglected Tropical diseases Programme,</w:t>
            </w:r>
            <w:r w:rsidRPr="002A26EF">
              <w:rPr>
                <w:rFonts w:eastAsia="Calibri" w:cstheme="minorHAnsi"/>
                <w:bCs/>
              </w:rPr>
              <w:t xml:space="preserve"> Ministry of Health</w:t>
            </w:r>
            <w:r>
              <w:rPr>
                <w:rFonts w:eastAsia="Calibri" w:cstheme="minorHAnsi"/>
                <w:bCs/>
              </w:rPr>
              <w:t>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078E9C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6B0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C307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D7EB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</w:tr>
      <w:tr w:rsidR="00B160F2" w:rsidRPr="002A26EF" w14:paraId="717DA390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A6CE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Venomous snake species richness</w:t>
            </w:r>
            <w:r>
              <w:rPr>
                <w:rFonts w:eastAsia="Calibri" w:cstheme="minorHAnsi"/>
                <w:bCs/>
              </w:rPr>
              <w:t xml:space="preserve"> map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02E8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The species richness of snakes considered to be venomous within Eswatini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6111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E52ACF">
              <w:rPr>
                <w:rFonts w:eastAsia="Calibri" w:cstheme="minorHAnsi"/>
                <w:bCs/>
              </w:rPr>
              <w:t>Modelled from</w:t>
            </w:r>
            <w:r>
              <w:rPr>
                <w:rFonts w:eastAsia="Calibri" w:cstheme="minorHAnsi"/>
                <w:bCs/>
              </w:rPr>
              <w:t xml:space="preserve"> the occurrence data of the 11 species (see text for further information).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5AA789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145D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2500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427F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</w:tr>
      <w:tr w:rsidR="00B160F2" w:rsidRPr="002A26EF" w14:paraId="31F77DE1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8C90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Building density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7D0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>Number of building footprints per unit area (km</w:t>
            </w:r>
            <w:r w:rsidRPr="002A26EF">
              <w:rPr>
                <w:rFonts w:eastAsia="Calibri" w:cstheme="minorHAnsi"/>
                <w:vertAlign w:val="superscript"/>
              </w:rPr>
              <w:t>2</w:t>
            </w:r>
            <w:r w:rsidRPr="002A26EF">
              <w:rPr>
                <w:rFonts w:eastAsia="Calibri" w:cstheme="minorHAnsi"/>
              </w:rPr>
              <w:t>)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AE4F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 w:rsidRPr="002A26EF">
              <w:rPr>
                <w:rFonts w:eastAsia="Calibri" w:cstheme="minorHAnsi"/>
                <w:color w:val="000000"/>
              </w:rPr>
              <w:t xml:space="preserve">Derived from </w:t>
            </w:r>
            <w:proofErr w:type="spellStart"/>
            <w:r w:rsidRPr="002A26EF">
              <w:rPr>
                <w:rFonts w:eastAsia="Calibri" w:cstheme="minorHAnsi"/>
                <w:color w:val="000000"/>
              </w:rPr>
              <w:t>Sirko</w:t>
            </w:r>
            <w:proofErr w:type="spellEnd"/>
            <w:r w:rsidRPr="002A26EF">
              <w:rPr>
                <w:rFonts w:eastAsia="Calibri" w:cstheme="minorHAnsi"/>
                <w:color w:val="000000"/>
              </w:rPr>
              <w:t xml:space="preserve"> et al.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DOI":"10.48550/arXiv.2107.12283","author":[{"dropping-particle":"","family":"Sirko","given":"W","non-dropping-particle":"","parse-names":false,"suffix":""},{"dropping-particle":"","family":"Kashubin","given":"S","non-dropping-particle":"","parse-names":false,"suffix":""},{"dropping-particle":"","family":"Ritter","given":"M","non-dropping-particle":"","parse-names":false,"suffix":""},{"dropping-particle":"","family":"Annkah","given":"A","non-dropping-particle":"","parse-names":false,"suffix":""},{"dropping-particle":"","family":"Bouchareb","given":"YSE","non-dropping-particle":"","parse-names":false,"suffix":""},{"dropping-particle":"","family":"Dauphin","given":"Y","non-dropping-particle":"","parse-names":false,"suffix":""},{"dropping-particle":"","family":"Keysers","given":"D","non-dropping-particle":"","parse-names":false,"suffix":""},{"dropping-particle":"","family":"Neumann","given":"M","non-dropping-particle":"","parse-names":false,"suffix":""},{"dropping-particle":"","family":"Cisse","given":"M","non-dropping-particle":"","parse-names":false,"suffix":""},{"dropping-particle":"","family":"Quinn","given":"J","non-dropping-particle":"","parse-names":false,"suffix":""}],"container-title":"arXiv:2107.12283v2","id":"ITEM-1","issued":{"date-parts":[["2021"]]},"page":"2107.12283","title":"Continental-Scale Building Detection from High Resolution Satellite Imagery","type":"article-journal","volume":"[Preprint]"},"uris":["http://www.mendeley.com/documents/?uuid=82209314-dcff-4997-a18d-b5d2bf81b1d3"]}],"mendeley":{"formattedCitation":"[43]","plainTextFormattedCitation":"[43]","previouslyFormattedCitation":"[43]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[43]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DB22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CF7D89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CAD4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A01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</w:tr>
      <w:tr w:rsidR="00B160F2" w:rsidRPr="002A26EF" w14:paraId="73871970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4ED50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Average number of occupants in a building</w:t>
            </w:r>
          </w:p>
          <w:p w14:paraId="1831085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9588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The average number of occupants in a building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52C7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  <w:highlight w:val="yellow"/>
              </w:rPr>
            </w:pPr>
            <w:r w:rsidRPr="002A26EF">
              <w:rPr>
                <w:rFonts w:eastAsia="Calibri" w:cstheme="minorHAnsi"/>
                <w:bCs/>
              </w:rPr>
              <w:t>Derived from population and building footprint data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7EF1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D4CADC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3BCB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1B1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</w:tr>
      <w:tr w:rsidR="00B160F2" w:rsidRPr="002A26EF" w14:paraId="13135564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7DBB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t>Poultry density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4E96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 xml:space="preserve">Density of poultry owned by households 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D9C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26F1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CCD2C4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8BF5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05540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3D6B4BFE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F885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lastRenderedPageBreak/>
              <w:t>Proportion of tree cover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E2F1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Percentage of land areas under tree cover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296F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Derived from</w:t>
            </w:r>
            <w:r>
              <w:rPr>
                <w:rFonts w:eastAsia="Calibri" w:cstheme="minorHAnsi"/>
              </w:rPr>
              <w:t xml:space="preserve"> Brown et al </w:t>
            </w:r>
            <w:r>
              <w:rPr>
                <w:rFonts w:eastAsia="Calibri" w:cstheme="minorHAnsi"/>
              </w:rPr>
              <w:fldChar w:fldCharType="begin" w:fldLock="1"/>
            </w:r>
            <w:r>
              <w:rPr>
                <w:rFonts w:eastAsia="Calibri" w:cstheme="minorHAnsi"/>
              </w:rPr>
              <w:instrText>ADDIN CSL_CITATION {"citationItems":[{"id":"ITEM-1","itemData":{"DOI":"10.1038/s41597-022-01307-4","ISBN":"4159702201","abstract":"Unlike satellite images, which are typically acquired and processed in near-real-time, global land cover products have historically been produced on an annual basis, often with substantial lag times between image processing and dataset release. We developed a new automated approach for globally consistent, high resolution, near real-time (NRT) land use land cover (LULC) classification leveraging deep learning on 10 m Sentinel-2 imagery. We utilize a highly scalable cloud-based system to apply this approach and provide an open, continuous feed of LULC predictions in parallel with Sentinel-2 acquisitions. This first-of-its-kind NRT product, which we collectively refer to as Dynamic World, accommodates a variety of user needs ranging from extremely up-to-date LULC data to custom global composites representing user-specified date ranges. Furthermore, the continuous nature of the product’s outputs enables refinement, extension, and even redefinition of the LULC classification. In combination, these unique attributes enable unprecedented flexibility for a diverse community of users across a variety of disciplines.","author":[{"dropping-particle":"","family":"Brown","given":"Christopher F.","non-dropping-particle":"","parse-names":false,"suffix":""},{"dropping-particle":"","family":"Brumby","given":"Steven P.","non-dropping-particle":"","parse-names":false,"suffix":""},{"dropping-particle":"","family":"Guzder-Williams","given":"Brookie","non-dropping-particle":"","parse-names":false,"suffix":""},{"dropping-particle":"","family":"Birch","given":"Tanya","non-dropping-particle":"","parse-names":false,"suffix":""},{"dropping-particle":"","family":"Hyde","given":"Samantha Brooks","non-dropping-particle":"","parse-names":false,"suffix":""},{"dropping-particle":"","family":"Mazzariello","given":"Joseph","non-dropping-particle":"","parse-names":false,"suffix":""},{"dropping-particle":"","family":"Czerwinski","given":"Wanda","non-dropping-particle":"","parse-names":false,"suffix":""},{"dropping-particle":"","family":"Pasquarella","given":"Valerie J.","non-dropping-particle":"","parse-names":false,"suffix":""},{"dropping-particle":"","family":"Haertel","given":"Robert","non-dropping-particle":"","parse-names":false,"suffix":""},{"dropping-particle":"","family":"Ilyushchenko","given":"Simon","non-dropping-particle":"","parse-names":false,"suffix":""},{"dropping-particle":"","family":"Schwehr","given":"Kurt","non-dropping-particle":"","parse-names":false,"suffix":""},{"dropping-particle":"","family":"Weisse","given":"Mikaela","non-dropping-particle":"","parse-names":false,"suffix":""},{"dropping-particle":"","family":"Stolle","given":"Fred","non-dropping-particle":"","parse-names":false,"suffix":""},{"dropping-particle":"","family":"Hanson","given":"Craig","non-dropping-particle":"","parse-names":false,"suffix":""},{"dropping-particle":"","family":"Guinan","given":"Oliver","non-dropping-particle":"","parse-names":false,"suffix":""},{"dropping-particle":"","family":"Moore","given":"Rebecca","non-dropping-particle":"","parse-names":false,"suffix":""},{"dropping-particle":"","family":"Tait","given":"Alexander M.","non-dropping-particle":"","parse-names":false,"suffix":""}],"container-title":"Scientific Data","id":"ITEM-1","issue":"1","issued":{"date-parts":[["2022"]]},"page":"1-17","publisher":"Springer US","title":"Dynamic World, Near real-time global 10 m land use land cover mapping","type":"article-journal","volume":"9"},"uris":["http://www.mendeley.com/documents/?uuid=831da95d-afa1-4034-80c1-a1e28b0f2ad9"]}],"mendeley":{"formattedCitation":"[45]","plainTextFormattedCitation":"[45]","previouslyFormattedCitation":"[45]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</w:rPr>
              <w:fldChar w:fldCharType="separate"/>
            </w:r>
            <w:r w:rsidRPr="00D1598F">
              <w:rPr>
                <w:rFonts w:eastAsia="Calibri" w:cstheme="minorHAnsi"/>
                <w:noProof/>
              </w:rPr>
              <w:t>[45]</w:t>
            </w:r>
            <w:r>
              <w:rPr>
                <w:rFonts w:eastAsia="Calibri" w:cstheme="minorHAnsi"/>
              </w:rPr>
              <w:fldChar w:fldCharType="end"/>
            </w:r>
            <w:r w:rsidRPr="002A26EF">
              <w:rPr>
                <w:rFonts w:eastAsia="Calibri" w:cstheme="minorHAnsi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698B7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ABD582E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C34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BAE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4733FEF7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F36D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Proportion of cropland</w:t>
            </w:r>
          </w:p>
          <w:p w14:paraId="71F72E8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67E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Percentage of land area under cropland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D02C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Derived from</w:t>
            </w:r>
            <w:r>
              <w:rPr>
                <w:rFonts w:eastAsia="Calibri" w:cstheme="minorHAnsi"/>
              </w:rPr>
              <w:t xml:space="preserve"> Brown et al </w:t>
            </w:r>
            <w:r>
              <w:rPr>
                <w:rFonts w:eastAsia="Calibri" w:cstheme="minorHAnsi"/>
              </w:rPr>
              <w:fldChar w:fldCharType="begin" w:fldLock="1"/>
            </w:r>
            <w:r>
              <w:rPr>
                <w:rFonts w:eastAsia="Calibri" w:cstheme="minorHAnsi"/>
              </w:rPr>
              <w:instrText>ADDIN CSL_CITATION {"citationItems":[{"id":"ITEM-1","itemData":{"DOI":"10.1038/s41597-022-01307-4","ISBN":"4159702201","abstract":"Unlike satellite images, which are typically acquired and processed in near-real-time, global land cover products have historically been produced on an annual basis, often with substantial lag times between image processing and dataset release. We developed a new automated approach for globally consistent, high resolution, near real-time (NRT) land use land cover (LULC) classification leveraging deep learning on 10 m Sentinel-2 imagery. We utilize a highly scalable cloud-based system to apply this approach and provide an open, continuous feed of LULC predictions in parallel with Sentinel-2 acquisitions. This first-of-its-kind NRT product, which we collectively refer to as Dynamic World, accommodates a variety of user needs ranging from extremely up-to-date LULC data to custom global composites representing user-specified date ranges. Furthermore, the continuous nature of the product’s outputs enables refinement, extension, and even redefinition of the LULC classification. In combination, these unique attributes enable unprecedented flexibility for a diverse community of users across a variety of disciplines.","author":[{"dropping-particle":"","family":"Brown","given":"Christopher F.","non-dropping-particle":"","parse-names":false,"suffix":""},{"dropping-particle":"","family":"Brumby","given":"Steven P.","non-dropping-particle":"","parse-names":false,"suffix":""},{"dropping-particle":"","family":"Guzder-Williams","given":"Brookie","non-dropping-particle":"","parse-names":false,"suffix":""},{"dropping-particle":"","family":"Birch","given":"Tanya","non-dropping-particle":"","parse-names":false,"suffix":""},{"dropping-particle":"","family":"Hyde","given":"Samantha Brooks","non-dropping-particle":"","parse-names":false,"suffix":""},{"dropping-particle":"","family":"Mazzariello","given":"Joseph","non-dropping-particle":"","parse-names":false,"suffix":""},{"dropping-particle":"","family":"Czerwinski","given":"Wanda","non-dropping-particle":"","parse-names":false,"suffix":""},{"dropping-particle":"","family":"Pasquarella","given":"Valerie J.","non-dropping-particle":"","parse-names":false,"suffix":""},{"dropping-particle":"","family":"Haertel","given":"Robert","non-dropping-particle":"","parse-names":false,"suffix":""},{"dropping-particle":"","family":"Ilyushchenko","given":"Simon","non-dropping-particle":"","parse-names":false,"suffix":""},{"dropping-particle":"","family":"Schwehr","given":"Kurt","non-dropping-particle":"","parse-names":false,"suffix":""},{"dropping-particle":"","family":"Weisse","given":"Mikaela","non-dropping-particle":"","parse-names":false,"suffix":""},{"dropping-particle":"","family":"Stolle","given":"Fred","non-dropping-particle":"","parse-names":false,"suffix":""},{"dropping-particle":"","family":"Hanson","given":"Craig","non-dropping-particle":"","parse-names":false,"suffix":""},{"dropping-particle":"","family":"Guinan","given":"Oliver","non-dropping-particle":"","parse-names":false,"suffix":""},{"dropping-particle":"","family":"Moore","given":"Rebecca","non-dropping-particle":"","parse-names":false,"suffix":""},{"dropping-particle":"","family":"Tait","given":"Alexander M.","non-dropping-particle":"","parse-names":false,"suffix":""}],"container-title":"Scientific Data","id":"ITEM-1","issue":"1","issued":{"date-parts":[["2022"]]},"page":"1-17","publisher":"Springer US","title":"Dynamic World, Near real-time global 10 m land use land cover mapping","type":"article-journal","volume":"9"},"uris":["http://www.mendeley.com/documents/?uuid=831da95d-afa1-4034-80c1-a1e28b0f2ad9"]}],"mendeley":{"formattedCitation":"[45]","plainTextFormattedCitation":"[45]","previouslyFormattedCitation":"[45]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</w:rPr>
              <w:fldChar w:fldCharType="separate"/>
            </w:r>
            <w:r w:rsidRPr="00D1598F">
              <w:rPr>
                <w:rFonts w:eastAsia="Calibri" w:cstheme="minorHAnsi"/>
                <w:noProof/>
              </w:rPr>
              <w:t>[45]</w:t>
            </w:r>
            <w:r>
              <w:rPr>
                <w:rFonts w:eastAsia="Calibri" w:cstheme="minorHAnsi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08D0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1CED4E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A84D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638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0380B493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91EE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t>Proportion of built-up areas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448B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Percentage of land area under built-up area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7179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Derived from</w:t>
            </w:r>
            <w:r>
              <w:rPr>
                <w:rFonts w:eastAsia="Calibri" w:cstheme="minorHAnsi"/>
              </w:rPr>
              <w:t xml:space="preserve"> Brown et al </w:t>
            </w:r>
            <w:r>
              <w:rPr>
                <w:rFonts w:eastAsia="Calibri" w:cstheme="minorHAnsi"/>
              </w:rPr>
              <w:fldChar w:fldCharType="begin" w:fldLock="1"/>
            </w:r>
            <w:r>
              <w:rPr>
                <w:rFonts w:eastAsia="Calibri" w:cstheme="minorHAnsi"/>
              </w:rPr>
              <w:instrText>ADDIN CSL_CITATION {"citationItems":[{"id":"ITEM-1","itemData":{"DOI":"10.1038/s41597-022-01307-4","ISBN":"4159702201","abstract":"Unlike satellite images, which are typically acquired and processed in near-real-time, global land cover products have historically been produced on an annual basis, often with substantial lag times between image processing and dataset release. We developed a new automated approach for globally consistent, high resolution, near real-time (NRT) land use land cover (LULC) classification leveraging deep learning on 10 m Sentinel-2 imagery. We utilize a highly scalable cloud-based system to apply this approach and provide an open, continuous feed of LULC predictions in parallel with Sentinel-2 acquisitions. This first-of-its-kind NRT product, which we collectively refer to as Dynamic World, accommodates a variety of user needs ranging from extremely up-to-date LULC data to custom global composites representing user-specified date ranges. Furthermore, the continuous nature of the product’s outputs enables refinement, extension, and even redefinition of the LULC classification. In combination, these unique attributes enable unprecedented flexibility for a diverse community of users across a variety of disciplines.","author":[{"dropping-particle":"","family":"Brown","given":"Christopher F.","non-dropping-particle":"","parse-names":false,"suffix":""},{"dropping-particle":"","family":"Brumby","given":"Steven P.","non-dropping-particle":"","parse-names":false,"suffix":""},{"dropping-particle":"","family":"Guzder-Williams","given":"Brookie","non-dropping-particle":"","parse-names":false,"suffix":""},{"dropping-particle":"","family":"Birch","given":"Tanya","non-dropping-particle":"","parse-names":false,"suffix":""},{"dropping-particle":"","family":"Hyde","given":"Samantha Brooks","non-dropping-particle":"","parse-names":false,"suffix":""},{"dropping-particle":"","family":"Mazzariello","given":"Joseph","non-dropping-particle":"","parse-names":false,"suffix":""},{"dropping-particle":"","family":"Czerwinski","given":"Wanda","non-dropping-particle":"","parse-names":false,"suffix":""},{"dropping-particle":"","family":"Pasquarella","given":"Valerie J.","non-dropping-particle":"","parse-names":false,"suffix":""},{"dropping-particle":"","family":"Haertel","given":"Robert","non-dropping-particle":"","parse-names":false,"suffix":""},{"dropping-particle":"","family":"Ilyushchenko","given":"Simon","non-dropping-particle":"","parse-names":false,"suffix":""},{"dropping-particle":"","family":"Schwehr","given":"Kurt","non-dropping-particle":"","parse-names":false,"suffix":""},{"dropping-particle":"","family":"Weisse","given":"Mikaela","non-dropping-particle":"","parse-names":false,"suffix":""},{"dropping-particle":"","family":"Stolle","given":"Fred","non-dropping-particle":"","parse-names":false,"suffix":""},{"dropping-particle":"","family":"Hanson","given":"Craig","non-dropping-particle":"","parse-names":false,"suffix":""},{"dropping-particle":"","family":"Guinan","given":"Oliver","non-dropping-particle":"","parse-names":false,"suffix":""},{"dropping-particle":"","family":"Moore","given":"Rebecca","non-dropping-particle":"","parse-names":false,"suffix":""},{"dropping-particle":"","family":"Tait","given":"Alexander M.","non-dropping-particle":"","parse-names":false,"suffix":""}],"container-title":"Scientific Data","id":"ITEM-1","issue":"1","issued":{"date-parts":[["2022"]]},"page":"1-17","publisher":"Springer US","title":"Dynamic World, Near real-time global 10 m land use land cover mapping","type":"article-journal","volume":"9"},"uris":["http://www.mendeley.com/documents/?uuid=831da95d-afa1-4034-80c1-a1e28b0f2ad9"]}],"mendeley":{"formattedCitation":"[45]","plainTextFormattedCitation":"[45]","previouslyFormattedCitation":"[45]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</w:rPr>
              <w:fldChar w:fldCharType="separate"/>
            </w:r>
            <w:r w:rsidRPr="00D1598F">
              <w:rPr>
                <w:rFonts w:eastAsia="Calibri" w:cstheme="minorHAnsi"/>
                <w:noProof/>
              </w:rPr>
              <w:t>[45]</w:t>
            </w:r>
            <w:r>
              <w:rPr>
                <w:rFonts w:eastAsia="Calibri" w:cstheme="minorHAnsi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8D5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6AA1C4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2D40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3D43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5011C0FE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C0B2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t>Land cover edge density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5716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The total length of land cover edge divided by the land area (k/km</w:t>
            </w:r>
            <w:r w:rsidRPr="002A26EF">
              <w:rPr>
                <w:rFonts w:eastAsia="Calibri" w:cstheme="minorHAnsi"/>
                <w:vertAlign w:val="superscript"/>
              </w:rPr>
              <w:t>2</w:t>
            </w:r>
            <w:r w:rsidRPr="002A26EF">
              <w:rPr>
                <w:rFonts w:eastAsia="Calibri" w:cstheme="minorHAnsi"/>
              </w:rPr>
              <w:t>)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D1F5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Derived from</w:t>
            </w:r>
            <w:r>
              <w:rPr>
                <w:rFonts w:eastAsia="Calibri" w:cstheme="minorHAnsi"/>
              </w:rPr>
              <w:t xml:space="preserve"> Brown et al </w:t>
            </w:r>
            <w:r>
              <w:rPr>
                <w:rFonts w:eastAsia="Calibri" w:cstheme="minorHAnsi"/>
              </w:rPr>
              <w:fldChar w:fldCharType="begin" w:fldLock="1"/>
            </w:r>
            <w:r>
              <w:rPr>
                <w:rFonts w:eastAsia="Calibri" w:cstheme="minorHAnsi"/>
              </w:rPr>
              <w:instrText>ADDIN CSL_CITATION {"citationItems":[{"id":"ITEM-1","itemData":{"DOI":"10.1038/s41597-022-01307-4","ISBN":"4159702201","abstract":"Unlike satellite images, which are typically acquired and processed in near-real-time, global land cover products have historically been produced on an annual basis, often with substantial lag times between image processing and dataset release. We developed a new automated approach for globally consistent, high resolution, near real-time (NRT) land use land cover (LULC) classification leveraging deep learning on 10 m Sentinel-2 imagery. We utilize a highly scalable cloud-based system to apply this approach and provide an open, continuous feed of LULC predictions in parallel with Sentinel-2 acquisitions. This first-of-its-kind NRT product, which we collectively refer to as Dynamic World, accommodates a variety of user needs ranging from extremely up-to-date LULC data to custom global composites representing user-specified date ranges. Furthermore, the continuous nature of the product’s outputs enables refinement, extension, and even redefinition of the LULC classification. In combination, these unique attributes enable unprecedented flexibility for a diverse community of users across a variety of disciplines.","author":[{"dropping-particle":"","family":"Brown","given":"Christopher F.","non-dropping-particle":"","parse-names":false,"suffix":""},{"dropping-particle":"","family":"Brumby","given":"Steven P.","non-dropping-particle":"","parse-names":false,"suffix":""},{"dropping-particle":"","family":"Guzder-Williams","given":"Brookie","non-dropping-particle":"","parse-names":false,"suffix":""},{"dropping-particle":"","family":"Birch","given":"Tanya","non-dropping-particle":"","parse-names":false,"suffix":""},{"dropping-particle":"","family":"Hyde","given":"Samantha Brooks","non-dropping-particle":"","parse-names":false,"suffix":""},{"dropping-particle":"","family":"Mazzariello","given":"Joseph","non-dropping-particle":"","parse-names":false,"suffix":""},{"dropping-particle":"","family":"Czerwinski","given":"Wanda","non-dropping-particle":"","parse-names":false,"suffix":""},{"dropping-particle":"","family":"Pasquarella","given":"Valerie J.","non-dropping-particle":"","parse-names":false,"suffix":""},{"dropping-particle":"","family":"Haertel","given":"Robert","non-dropping-particle":"","parse-names":false,"suffix":""},{"dropping-particle":"","family":"Ilyushchenko","given":"Simon","non-dropping-particle":"","parse-names":false,"suffix":""},{"dropping-particle":"","family":"Schwehr","given":"Kurt","non-dropping-particle":"","parse-names":false,"suffix":""},{"dropping-particle":"","family":"Weisse","given":"Mikaela","non-dropping-particle":"","parse-names":false,"suffix":""},{"dropping-particle":"","family":"Stolle","given":"Fred","non-dropping-particle":"","parse-names":false,"suffix":""},{"dropping-particle":"","family":"Hanson","given":"Craig","non-dropping-particle":"","parse-names":false,"suffix":""},{"dropping-particle":"","family":"Guinan","given":"Oliver","non-dropping-particle":"","parse-names":false,"suffix":""},{"dropping-particle":"","family":"Moore","given":"Rebecca","non-dropping-particle":"","parse-names":false,"suffix":""},{"dropping-particle":"","family":"Tait","given":"Alexander M.","non-dropping-particle":"","parse-names":false,"suffix":""}],"container-title":"Scientific Data","id":"ITEM-1","issue":"1","issued":{"date-parts":[["2022"]]},"page":"1-17","publisher":"Springer US","title":"Dynamic World, Near real-time global 10 m land use land cover mapping","type":"article-journal","volume":"9"},"uris":["http://www.mendeley.com/documents/?uuid=831da95d-afa1-4034-80c1-a1e28b0f2ad9"]}],"mendeley":{"formattedCitation":"[45]","plainTextFormattedCitation":"[45]","previouslyFormattedCitation":"[45]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</w:rPr>
              <w:fldChar w:fldCharType="separate"/>
            </w:r>
            <w:r w:rsidRPr="00D1598F">
              <w:rPr>
                <w:rFonts w:eastAsia="Calibri" w:cstheme="minorHAnsi"/>
                <w:noProof/>
              </w:rPr>
              <w:t>[45]</w:t>
            </w:r>
            <w:r>
              <w:rPr>
                <w:rFonts w:eastAsia="Calibri" w:cstheme="minorHAnsi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188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EDF333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5B1E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4AF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7360ECD2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5B34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t>Land cover Shannon diversity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AB36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Shannon's diversity index as a measure of the variety of land cover types in an area.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2759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Derived from</w:t>
            </w:r>
            <w:r>
              <w:rPr>
                <w:rFonts w:eastAsia="Calibri" w:cstheme="minorHAnsi"/>
              </w:rPr>
              <w:t xml:space="preserve"> Brown et al </w:t>
            </w:r>
            <w:r>
              <w:rPr>
                <w:rFonts w:eastAsia="Calibri" w:cstheme="minorHAnsi"/>
              </w:rPr>
              <w:fldChar w:fldCharType="begin" w:fldLock="1"/>
            </w:r>
            <w:r>
              <w:rPr>
                <w:rFonts w:eastAsia="Calibri" w:cstheme="minorHAnsi"/>
              </w:rPr>
              <w:instrText>ADDIN CSL_CITATION {"citationItems":[{"id":"ITEM-1","itemData":{"DOI":"10.1038/s41597-022-01307-4","ISBN":"4159702201","abstract":"Unlike satellite images, which are typically acquired and processed in near-real-time, global land cover products have historically been produced on an annual basis, often with substantial lag times between image processing and dataset release. We developed a new automated approach for globally consistent, high resolution, near real-time (NRT) land use land cover (LULC) classification leveraging deep learning on 10 m Sentinel-2 imagery. We utilize a highly scalable cloud-based system to apply this approach and provide an open, continuous feed of LULC predictions in parallel with Sentinel-2 acquisitions. This first-of-its-kind NRT product, which we collectively refer to as Dynamic World, accommodates a variety of user needs ranging from extremely up-to-date LULC data to custom global composites representing user-specified date ranges. Furthermore, the continuous nature of the product’s outputs enables refinement, extension, and even redefinition of the LULC classification. In combination, these unique attributes enable unprecedented flexibility for a diverse community of users across a variety of disciplines.","author":[{"dropping-particle":"","family":"Brown","given":"Christopher F.","non-dropping-particle":"","parse-names":false,"suffix":""},{"dropping-particle":"","family":"Brumby","given":"Steven P.","non-dropping-particle":"","parse-names":false,"suffix":""},{"dropping-particle":"","family":"Guzder-Williams","given":"Brookie","non-dropping-particle":"","parse-names":false,"suffix":""},{"dropping-particle":"","family":"Birch","given":"Tanya","non-dropping-particle":"","parse-names":false,"suffix":""},{"dropping-particle":"","family":"Hyde","given":"Samantha Brooks","non-dropping-particle":"","parse-names":false,"suffix":""},{"dropping-particle":"","family":"Mazzariello","given":"Joseph","non-dropping-particle":"","parse-names":false,"suffix":""},{"dropping-particle":"","family":"Czerwinski","given":"Wanda","non-dropping-particle":"","parse-names":false,"suffix":""},{"dropping-particle":"","family":"Pasquarella","given":"Valerie J.","non-dropping-particle":"","parse-names":false,"suffix":""},{"dropping-particle":"","family":"Haertel","given":"Robert","non-dropping-particle":"","parse-names":false,"suffix":""},{"dropping-particle":"","family":"Ilyushchenko","given":"Simon","non-dropping-particle":"","parse-names":false,"suffix":""},{"dropping-particle":"","family":"Schwehr","given":"Kurt","non-dropping-particle":"","parse-names":false,"suffix":""},{"dropping-particle":"","family":"Weisse","given":"Mikaela","non-dropping-particle":"","parse-names":false,"suffix":""},{"dropping-particle":"","family":"Stolle","given":"Fred","non-dropping-particle":"","parse-names":false,"suffix":""},{"dropping-particle":"","family":"Hanson","given":"Craig","non-dropping-particle":"","parse-names":false,"suffix":""},{"dropping-particle":"","family":"Guinan","given":"Oliver","non-dropping-particle":"","parse-names":false,"suffix":""},{"dropping-particle":"","family":"Moore","given":"Rebecca","non-dropping-particle":"","parse-names":false,"suffix":""},{"dropping-particle":"","family":"Tait","given":"Alexander M.","non-dropping-particle":"","parse-names":false,"suffix":""}],"container-title":"Scientific Data","id":"ITEM-1","issue":"1","issued":{"date-parts":[["2022"]]},"page":"1-17","publisher":"Springer US","title":"Dynamic World, Near real-time global 10 m land use land cover mapping","type":"article-journal","volume":"9"},"uris":["http://www.mendeley.com/documents/?uuid=831da95d-afa1-4034-80c1-a1e28b0f2ad9"]}],"mendeley":{"formattedCitation":"[45]","plainTextFormattedCitation":"[45]","previouslyFormattedCitation":"[45]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</w:rPr>
              <w:fldChar w:fldCharType="separate"/>
            </w:r>
            <w:r w:rsidRPr="00D1598F">
              <w:rPr>
                <w:rFonts w:eastAsia="Calibri" w:cstheme="minorHAnsi"/>
                <w:noProof/>
              </w:rPr>
              <w:t>[45]</w:t>
            </w:r>
            <w:r>
              <w:rPr>
                <w:rFonts w:eastAsia="Calibri" w:cstheme="minorHAnsi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6B5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1D0ACA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E6B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043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3F6ACB7C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A1B77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Poverty headcount</w:t>
            </w:r>
          </w:p>
          <w:p w14:paraId="49AC82B7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F823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 xml:space="preserve">Percentage of households living below </w:t>
            </w:r>
            <w:r>
              <w:rPr>
                <w:rFonts w:eastAsia="Calibri" w:cstheme="minorHAnsi"/>
              </w:rPr>
              <w:t>USD 2 per day</w:t>
            </w:r>
            <w:r w:rsidRPr="002A26EF">
              <w:rPr>
                <w:rFonts w:eastAsia="Calibri" w:cstheme="minorHAnsi"/>
              </w:rPr>
              <w:t xml:space="preserve"> poverty line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2783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 w:rsidRPr="002A26EF">
              <w:rPr>
                <w:rFonts w:cstheme="minorHAnsi"/>
              </w:rPr>
              <w:t>Eswatini Household Income and Expenditure Survey</w:t>
            </w:r>
            <w:r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fldChar w:fldCharType="begin" w:fldLock="1"/>
            </w:r>
            <w:r>
              <w:rPr>
                <w:rFonts w:cstheme="minorHAnsi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Office","given":"","non-dropping-particle":"","parse-names":false,"suffix":""}],"id":"ITEM-1","issued":{"date-parts":[["2019"]]},"title":"Eswatini Household Income and Expenditure Survey 2016/17","type":"report"},"uris":["http://www.mendeley.com/documents/?uuid=c65b3215-5e6b-389c-9095-57cf7f83b34d"]}],"mendeley":{"formattedCitation":"[46]","plainTextFormattedCitation":"[46]","previouslyFormattedCitation":"[46]"},"properties":{"noteIndex":0},"schema":"https://github.com/citation-style-language/schema/raw/master/csl-citation.json"}</w:instrText>
            </w:r>
            <w:r>
              <w:rPr>
                <w:rFonts w:cstheme="minorHAnsi"/>
              </w:rPr>
              <w:fldChar w:fldCharType="separate"/>
            </w:r>
            <w:r w:rsidRPr="00D1598F">
              <w:rPr>
                <w:rFonts w:cstheme="minorHAnsi"/>
                <w:noProof/>
              </w:rPr>
              <w:t>[46]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2E9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7822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7E881C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D1C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0C1AC9E9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D281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lastRenderedPageBreak/>
              <w:t>Households use of firewood for cooking</w:t>
            </w:r>
          </w:p>
          <w:p w14:paraId="36C8D91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D519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The percentage of households that use firewood for cooking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0394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2BC8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549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5B6FEE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D3DD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0A699806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0B0D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Households use of paraffin for lighting</w:t>
            </w:r>
          </w:p>
          <w:p w14:paraId="4D4CB64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9354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The percentage of households that use paraffin for lighting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DD82E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526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5E0D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2C039C8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569D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1B6F7E40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E5E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>Households using candles for lighting</w:t>
            </w:r>
          </w:p>
          <w:p w14:paraId="00F508C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EE04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The percentage of households that use candles for lighting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E2AA0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641F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CCAA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D6B47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53C1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529C11D7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B17C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>Proportion of youth and children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BB51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The percentage of the population that is below the age of 44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EE2A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9524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E16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4215A2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2CB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2A9FBA2C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5492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</w:rPr>
              <w:t xml:space="preserve">Proportion of elderly 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389F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 xml:space="preserve">The percentage of the population that is above the age of </w:t>
            </w:r>
            <w:r>
              <w:rPr>
                <w:rFonts w:eastAsia="Calibri" w:cstheme="minorHAnsi"/>
              </w:rPr>
              <w:t>6</w:t>
            </w:r>
            <w:r w:rsidRPr="002A26EF">
              <w:rPr>
                <w:rFonts w:eastAsia="Calibri" w:cstheme="minorHAnsi"/>
              </w:rPr>
              <w:t xml:space="preserve">0 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E40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521FA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55A5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C66E83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7331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199F8627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5E21B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lastRenderedPageBreak/>
              <w:t>Employment rate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0018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 xml:space="preserve">Percentage of employed population that is employed in outdoor/field environments 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731B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C2B8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F9EC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39B415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6628C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038661B9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A523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bCs/>
              </w:rPr>
            </w:pPr>
            <w:r w:rsidRPr="002A26EF">
              <w:rPr>
                <w:rFonts w:eastAsia="Calibri" w:cstheme="minorHAnsi"/>
                <w:bCs/>
              </w:rPr>
              <w:t xml:space="preserve">Households access to sanitation facilities 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11633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  <w:bCs/>
              </w:rPr>
              <w:t>Percentage of households that have access to sanitation facilities like flushing toilets and tap water.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4C9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  <w:color w:val="000000"/>
              </w:rPr>
            </w:pPr>
            <w:r>
              <w:rPr>
                <w:rFonts w:eastAsia="Calibri" w:cstheme="minorHAnsi"/>
                <w:color w:val="000000"/>
              </w:rPr>
              <w:t xml:space="preserve">The 2017 Population and Housing Census </w:t>
            </w:r>
            <w:r>
              <w:rPr>
                <w:rFonts w:eastAsia="Calibri" w:cstheme="minorHAnsi"/>
                <w:color w:val="000000"/>
              </w:rPr>
              <w:fldChar w:fldCharType="begin" w:fldLock="1"/>
            </w:r>
            <w:r>
              <w:rPr>
                <w:rFonts w:eastAsia="Calibri" w:cstheme="minorHAnsi"/>
                <w:color w:val="000000"/>
              </w:rPr>
              <w:instrText>ADDIN CSL_CITATION {"citationItems":[{"id":"ITEM-1","itemData":{"author":[{"dropping-particle":"","family":"Central Statistics Office","given":"","non-dropping-particle":"","parse-names":false,"suffix":""}],"id":"ITEM-1","issued":{"date-parts":[["2019"]]},"title":"The 2017 Population and Housing Census","type":"report"},"uris":["http://www.mendeley.com/documents/?uuid=755c8074-43c0-49fa-8a1c-c1d3240964d3"]}],"mendeley":{"formattedCitation":"[44]","plainTextFormattedCitation":"[44]","previouslyFormattedCitation":"[44]"},"properties":{"noteIndex":0},"schema":"https://github.com/citation-style-language/schema/raw/master/csl-citation.json"}</w:instrText>
            </w:r>
            <w:r>
              <w:rPr>
                <w:rFonts w:eastAsia="Calibri" w:cstheme="minorHAnsi"/>
                <w:color w:val="000000"/>
              </w:rPr>
              <w:fldChar w:fldCharType="separate"/>
            </w:r>
            <w:r w:rsidRPr="00D1598F">
              <w:rPr>
                <w:rFonts w:eastAsia="Calibri" w:cstheme="minorHAnsi"/>
                <w:noProof/>
                <w:color w:val="000000"/>
              </w:rPr>
              <w:t>[44]</w:t>
            </w:r>
            <w:r>
              <w:rPr>
                <w:rFonts w:eastAsia="Calibri" w:cstheme="minorHAnsi"/>
                <w:color w:val="00000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F065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B26F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9B43812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EC0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</w:tr>
      <w:tr w:rsidR="00B160F2" w:rsidRPr="002A26EF" w14:paraId="715A24CA" w14:textId="77777777" w:rsidTr="007210FA"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FAAE1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 xml:space="preserve">Travel time to the nearest healthcare facility 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B6E2D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Distance to the nearest healthcare facility that can treat snakebites (minutes)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E9886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cstheme="minorHAnsi"/>
              </w:rPr>
              <w:t>Estimated from Ministry of Health’s healthcare facility data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4744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B579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EBE85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93FD850" w14:textId="77777777" w:rsidR="00B160F2" w:rsidRPr="002A26EF" w:rsidRDefault="00B160F2" w:rsidP="007210FA">
            <w:pPr>
              <w:spacing w:line="480" w:lineRule="auto"/>
              <w:jc w:val="both"/>
              <w:rPr>
                <w:rFonts w:eastAsia="Calibri" w:cstheme="minorHAnsi"/>
              </w:rPr>
            </w:pPr>
            <w:r w:rsidRPr="002A26EF">
              <w:rPr>
                <w:rFonts w:eastAsia="Calibri" w:cstheme="minorHAnsi"/>
              </w:rPr>
              <w:t>√</w:t>
            </w:r>
          </w:p>
        </w:tc>
      </w:tr>
    </w:tbl>
    <w:p w14:paraId="4884FFEA" w14:textId="77777777" w:rsidR="00B160F2" w:rsidRDefault="00B160F2"/>
    <w:sectPr w:rsidR="00B160F2" w:rsidSect="00B160F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0F2"/>
    <w:rsid w:val="00111466"/>
    <w:rsid w:val="006C5142"/>
    <w:rsid w:val="00B160F2"/>
    <w:rsid w:val="00B46C5D"/>
    <w:rsid w:val="00B9535E"/>
    <w:rsid w:val="00E7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48860"/>
  <w15:chartTrackingRefBased/>
  <w15:docId w15:val="{36382454-C584-426E-B70A-AC24C4CD2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S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60F2"/>
    <w:pPr>
      <w:spacing w:after="0" w:line="240" w:lineRule="auto"/>
    </w:pPr>
    <w:rPr>
      <w:lang w:val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160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60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60F2"/>
    <w:rPr>
      <w:sz w:val="20"/>
      <w:szCs w:val="20"/>
      <w:lang w:val="en-ZA"/>
    </w:rPr>
  </w:style>
  <w:style w:type="paragraph" w:styleId="Caption">
    <w:name w:val="caption"/>
    <w:basedOn w:val="Normal"/>
    <w:next w:val="Normal"/>
    <w:uiPriority w:val="35"/>
    <w:unhideWhenUsed/>
    <w:qFormat/>
    <w:rsid w:val="00B160F2"/>
    <w:pPr>
      <w:spacing w:after="200" w:line="240" w:lineRule="auto"/>
    </w:pPr>
    <w:rPr>
      <w:i/>
      <w:iCs/>
      <w:color w:val="000000" w:themeColor="text1"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4493</Words>
  <Characters>25614</Characters>
  <Application>Microsoft Office Word</Application>
  <DocSecurity>0</DocSecurity>
  <Lines>213</Lines>
  <Paragraphs>60</Paragraphs>
  <ScaleCrop>false</ScaleCrop>
  <Company/>
  <LinksUpToDate>false</LinksUpToDate>
  <CharactersWithSpaces>30047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padidar</dc:creator>
  <cp:keywords/>
  <dc:description/>
  <cp:lastModifiedBy>s padidar</cp:lastModifiedBy>
  <cp:revision>3</cp:revision>
  <dcterms:created xsi:type="dcterms:W3CDTF">2022-08-18T06:41:00Z</dcterms:created>
  <dcterms:modified xsi:type="dcterms:W3CDTF">2023-04-12T12:55:00Z</dcterms:modified>
</cp:coreProperties>
</file>