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A97A9" w14:textId="38F2503A" w:rsidR="00452F61" w:rsidRPr="00452F61" w:rsidRDefault="007044EC" w:rsidP="00452F6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S1: </w:t>
      </w:r>
      <w:r w:rsidR="001B6C1D" w:rsidRPr="007044E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Supporting Information </w:t>
      </w:r>
      <w:r w:rsidRPr="007044E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describing tools used to generate the </w:t>
      </w:r>
      <w:r w:rsidRPr="007044EC">
        <w:rPr>
          <w:rFonts w:asciiTheme="minorHAnsi" w:hAnsiTheme="minorHAnsi" w:cstheme="minorHAnsi"/>
          <w:b/>
          <w:bCs/>
          <w:i/>
          <w:color w:val="000000"/>
          <w:sz w:val="22"/>
          <w:szCs w:val="22"/>
        </w:rPr>
        <w:t>Lecanosticta acicola</w:t>
      </w:r>
      <w:r w:rsidRPr="007044EC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geo-database</w:t>
      </w:r>
      <w:r w:rsidR="00452F61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</w:t>
      </w:r>
    </w:p>
    <w:p w14:paraId="07989CF5" w14:textId="6D965465" w:rsidR="001B6C1D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  <w:vertAlign w:val="superscript"/>
        </w:rPr>
      </w:pPr>
      <w:r w:rsidRPr="007044EC">
        <w:rPr>
          <w:rFonts w:asciiTheme="minorHAnsi" w:hAnsiTheme="minorHAnsi" w:cstheme="minorHAnsi"/>
          <w:color w:val="000000"/>
          <w:sz w:val="22"/>
          <w:szCs w:val="22"/>
        </w:rPr>
        <w:t>(</w:t>
      </w:r>
      <w:proofErr w:type="gramStart"/>
      <w:r w:rsidRPr="007044EC">
        <w:rPr>
          <w:rFonts w:asciiTheme="minorHAnsi" w:hAnsiTheme="minorHAnsi" w:cstheme="minorHAnsi"/>
          <w:color w:val="000000"/>
          <w:sz w:val="22"/>
          <w:szCs w:val="22"/>
        </w:rPr>
        <w:t>for</w:t>
      </w:r>
      <w:proofErr w:type="gramEnd"/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more information see: </w:t>
      </w:r>
      <w:hyperlink r:id="rId8" w:history="1">
        <w:r w:rsidR="00361C9A" w:rsidRPr="007044EC">
          <w:rPr>
            <w:rStyle w:val="Hyperlink"/>
            <w:rFonts w:asciiTheme="minorHAnsi" w:hAnsiTheme="minorHAnsi" w:cstheme="minorHAnsi"/>
            <w:sz w:val="22"/>
            <w:szCs w:val="22"/>
            <w:lang w:val="en-GB"/>
          </w:rPr>
          <w:t>http://www.portalofforestpathology.com</w:t>
        </w:r>
      </w:hyperlink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) </w:t>
      </w:r>
      <w:r w:rsidRPr="007044EC">
        <w:rPr>
          <w:rFonts w:asciiTheme="minorHAnsi" w:hAnsiTheme="minorHAnsi" w:cstheme="minorHAnsi"/>
          <w:color w:val="000000"/>
          <w:sz w:val="22"/>
          <w:szCs w:val="22"/>
          <w:vertAlign w:val="superscript"/>
        </w:rPr>
        <w:t>a</w:t>
      </w:r>
    </w:p>
    <w:p w14:paraId="3B30A240" w14:textId="77777777" w:rsidR="00452F61" w:rsidRPr="007044EC" w:rsidRDefault="00452F61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tbl>
      <w:tblPr>
        <w:tblW w:w="88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09"/>
        <w:gridCol w:w="7088"/>
      </w:tblGrid>
      <w:tr w:rsidR="001B6C1D" w:rsidRPr="007044EC" w14:paraId="73D2001B" w14:textId="77777777" w:rsidTr="00D72A4A">
        <w:tc>
          <w:tcPr>
            <w:tcW w:w="1809" w:type="dxa"/>
          </w:tcPr>
          <w:p w14:paraId="04CA1AD4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 xml:space="preserve">Data type </w:t>
            </w:r>
          </w:p>
        </w:tc>
        <w:tc>
          <w:tcPr>
            <w:tcW w:w="7088" w:type="dxa"/>
          </w:tcPr>
          <w:p w14:paraId="5873F6DA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Details</w:t>
            </w:r>
          </w:p>
        </w:tc>
      </w:tr>
      <w:tr w:rsidR="001B6C1D" w:rsidRPr="007044EC" w14:paraId="6DACF1AA" w14:textId="77777777" w:rsidTr="00D72A4A">
        <w:tc>
          <w:tcPr>
            <w:tcW w:w="8897" w:type="dxa"/>
            <w:gridSpan w:val="2"/>
          </w:tcPr>
          <w:p w14:paraId="5A5AEFC3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Compulsory fields</w:t>
            </w:r>
          </w:p>
        </w:tc>
      </w:tr>
      <w:tr w:rsidR="001B6C1D" w:rsidRPr="007044EC" w14:paraId="141F8830" w14:textId="77777777" w:rsidTr="00D72A4A">
        <w:tc>
          <w:tcPr>
            <w:tcW w:w="1809" w:type="dxa"/>
          </w:tcPr>
          <w:p w14:paraId="1EC00131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sz w:val="22"/>
                <w:szCs w:val="22"/>
              </w:rPr>
              <w:t>GPS coordinates</w:t>
            </w:r>
          </w:p>
        </w:tc>
        <w:tc>
          <w:tcPr>
            <w:tcW w:w="7088" w:type="dxa"/>
          </w:tcPr>
          <w:p w14:paraId="46FA8726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WGS 84 standard</w:t>
            </w:r>
          </w:p>
        </w:tc>
      </w:tr>
      <w:tr w:rsidR="00361C9A" w:rsidRPr="007044EC" w14:paraId="51F29DB0" w14:textId="77777777" w:rsidTr="00D72A4A">
        <w:tc>
          <w:tcPr>
            <w:tcW w:w="1809" w:type="dxa"/>
          </w:tcPr>
          <w:p w14:paraId="18B84293" w14:textId="77777777" w:rsidR="00361C9A" w:rsidRPr="007044EC" w:rsidRDefault="00361C9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sz w:val="22"/>
                <w:szCs w:val="22"/>
              </w:rPr>
              <w:t>Coordinates exact or approximate</w:t>
            </w:r>
          </w:p>
        </w:tc>
        <w:tc>
          <w:tcPr>
            <w:tcW w:w="7088" w:type="dxa"/>
          </w:tcPr>
          <w:p w14:paraId="6FDED086" w14:textId="77777777" w:rsidR="00361C9A" w:rsidRPr="007044EC" w:rsidRDefault="00361C9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 – exact location (precise coordinate is known); A – approximate location (precise coordinate is unknown and c</w:t>
            </w:r>
            <w:r w:rsidR="003562D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oordinate is taken by known location name)</w:t>
            </w:r>
          </w:p>
        </w:tc>
      </w:tr>
      <w:tr w:rsidR="001B6C1D" w:rsidRPr="007044EC" w14:paraId="30A95A71" w14:textId="77777777" w:rsidTr="00D72A4A">
        <w:tc>
          <w:tcPr>
            <w:tcW w:w="1809" w:type="dxa"/>
          </w:tcPr>
          <w:p w14:paraId="63985043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Collection,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observation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or record date</w:t>
            </w:r>
          </w:p>
        </w:tc>
        <w:tc>
          <w:tcPr>
            <w:tcW w:w="7088" w:type="dxa"/>
          </w:tcPr>
          <w:p w14:paraId="654C06AF" w14:textId="64EA5B3B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The samples were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collected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o</w:t>
            </w:r>
            <w:r w:rsidR="00361C9A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 observation was made from 1876 to 202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</w:tr>
      <w:tr w:rsidR="001B6C1D" w:rsidRPr="007044EC" w14:paraId="3484F678" w14:textId="77777777" w:rsidTr="00D72A4A">
        <w:tc>
          <w:tcPr>
            <w:tcW w:w="1809" w:type="dxa"/>
          </w:tcPr>
          <w:p w14:paraId="6BFF65FC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Contact name(s),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institution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and email address</w:t>
            </w:r>
          </w:p>
        </w:tc>
        <w:tc>
          <w:tcPr>
            <w:tcW w:w="7088" w:type="dxa"/>
          </w:tcPr>
          <w:p w14:paraId="3FF85295" w14:textId="6624CDC9" w:rsidR="001B6C1D" w:rsidRPr="007044EC" w:rsidRDefault="00452F61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bookmarkStart w:id="0" w:name="_heading=h.tyjcwt" w:colFirst="0" w:colLast="0"/>
            <w:bookmarkEnd w:id="0"/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ee contacts on the map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tag w:val="goog_rdk_448"/>
                <w:id w:val="1508941803"/>
              </w:sdtPr>
              <w:sdtEndPr/>
              <w:sdtContent/>
            </w:sdt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active chain symbol at the top-centre: </w:t>
            </w:r>
            <w:hyperlink r:id="rId9" w:history="1">
              <w:r w:rsidR="00361C9A" w:rsidRPr="007044EC">
                <w:rPr>
                  <w:rStyle w:val="Hyperlink"/>
                  <w:rFonts w:asciiTheme="minorHAnsi" w:hAnsiTheme="minorHAnsi" w:cstheme="minorHAnsi"/>
                  <w:sz w:val="22"/>
                  <w:szCs w:val="22"/>
                  <w:lang w:val="en-GB"/>
                </w:rPr>
                <w:t>http://www.portalofforestpathology.com</w:t>
              </w:r>
            </w:hyperlink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</w:tc>
      </w:tr>
      <w:tr w:rsidR="001B6C1D" w:rsidRPr="007044EC" w14:paraId="7DF18F76" w14:textId="77777777" w:rsidTr="00D72A4A">
        <w:tc>
          <w:tcPr>
            <w:tcW w:w="1809" w:type="dxa"/>
          </w:tcPr>
          <w:p w14:paraId="6BF0395A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Host species</w:t>
            </w:r>
          </w:p>
        </w:tc>
        <w:tc>
          <w:tcPr>
            <w:tcW w:w="7088" w:type="dxa"/>
          </w:tcPr>
          <w:p w14:paraId="79D510C7" w14:textId="21B1955E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Based on the </w:t>
            </w:r>
            <w:proofErr w:type="spell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Farjon</w:t>
            </w:r>
            <w:proofErr w:type="spell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(20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 system</w:t>
            </w:r>
          </w:p>
        </w:tc>
      </w:tr>
      <w:tr w:rsidR="001B6C1D" w:rsidRPr="007044EC" w14:paraId="1E175657" w14:textId="77777777" w:rsidTr="00D72A4A">
        <w:tc>
          <w:tcPr>
            <w:tcW w:w="1809" w:type="dxa"/>
          </w:tcPr>
          <w:p w14:paraId="371994BC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sz w:val="22"/>
                <w:szCs w:val="22"/>
              </w:rPr>
              <w:br w:type="page"/>
            </w:r>
            <w:r w:rsidR="00361C9A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LA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presence</w:t>
            </w:r>
          </w:p>
        </w:tc>
        <w:tc>
          <w:tcPr>
            <w:tcW w:w="7088" w:type="dxa"/>
          </w:tcPr>
          <w:p w14:paraId="6B6BB54E" w14:textId="32650B52" w:rsidR="001B6C1D" w:rsidRPr="007044EC" w:rsidRDefault="00E00E27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Categories: </w:t>
            </w:r>
            <w:r w:rsidRPr="00452F61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L</w:t>
            </w:r>
            <w:r w:rsidR="00452F61" w:rsidRPr="00452F61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. acicola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(LA) 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not found, LA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present 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where </w:t>
            </w:r>
            <w:r w:rsidRPr="007044EC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Lecanosticta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species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identified by visual and molecular surveys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</w:tr>
      <w:tr w:rsidR="001B6C1D" w:rsidRPr="007044EC" w14:paraId="1CDE89B2" w14:textId="77777777" w:rsidTr="00D72A4A">
        <w:tc>
          <w:tcPr>
            <w:tcW w:w="1809" w:type="dxa"/>
          </w:tcPr>
          <w:p w14:paraId="00581BC1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Sampling site and type of planting </w:t>
            </w:r>
          </w:p>
        </w:tc>
        <w:tc>
          <w:tcPr>
            <w:tcW w:w="7088" w:type="dxa"/>
          </w:tcPr>
          <w:p w14:paraId="4F2D6DEA" w14:textId="37926BD2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Categories: U = urban greenery/ornamental tree, FP = forest plantation, NR = naturally regenerated forest, A = arboretum, XTP = Christm</w:t>
            </w:r>
            <w:r w:rsidR="00E00E27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as tree plantation, N = nursery, UNKN = unknown, Other (specify)</w:t>
            </w:r>
          </w:p>
        </w:tc>
      </w:tr>
      <w:tr w:rsidR="001B6C1D" w:rsidRPr="007044EC" w14:paraId="5DFCC673" w14:textId="77777777" w:rsidTr="00D72A4A">
        <w:tc>
          <w:tcPr>
            <w:tcW w:w="1809" w:type="dxa"/>
          </w:tcPr>
          <w:p w14:paraId="76E807B8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Identification method</w:t>
            </w:r>
          </w:p>
        </w:tc>
        <w:tc>
          <w:tcPr>
            <w:tcW w:w="7088" w:type="dxa"/>
          </w:tcPr>
          <w:p w14:paraId="3E7D0A31" w14:textId="5CAF9136" w:rsidR="001B6C1D" w:rsidRPr="007044EC" w:rsidRDefault="00E00E27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Macroscopic symptoms only, LA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spores seen with compound microscope, species-specific PCR (conventional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tag w:val="goog_rdk_449"/>
                <w:id w:val="-1860035350"/>
              </w:sdtPr>
              <w:sdtEndPr/>
              <w:sdtContent>
                <w:r w:rsidR="001B6C1D" w:rsidRPr="007044EC">
                  <w:rPr>
                    <w:rFonts w:asciiTheme="minorHAnsi" w:hAnsiTheme="minorHAnsi" w:cstheme="minorHAnsi"/>
                    <w:color w:val="000000"/>
                    <w:sz w:val="22"/>
                    <w:szCs w:val="22"/>
                  </w:rPr>
                  <w:t xml:space="preserve"> </w:t>
                </w:r>
              </w:sdtContent>
            </w:sdt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and/or real time PCR), sequencing, pyrosequencing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 Other (specify)</w:t>
            </w:r>
          </w:p>
        </w:tc>
      </w:tr>
      <w:tr w:rsidR="001B6C1D" w:rsidRPr="007044EC" w14:paraId="0D2A5A1F" w14:textId="77777777" w:rsidTr="00D72A4A">
        <w:tc>
          <w:tcPr>
            <w:tcW w:w="1809" w:type="dxa"/>
          </w:tcPr>
          <w:p w14:paraId="45562303" w14:textId="370716B4" w:rsidR="001B6C1D" w:rsidRPr="007044EC" w:rsidRDefault="00E00E27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LA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eradicated</w:t>
            </w:r>
          </w:p>
        </w:tc>
        <w:tc>
          <w:tcPr>
            <w:tcW w:w="7088" w:type="dxa"/>
          </w:tcPr>
          <w:p w14:paraId="1489FFE3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Categories: Yes, No</w:t>
            </w:r>
          </w:p>
        </w:tc>
      </w:tr>
      <w:tr w:rsidR="001B6C1D" w:rsidRPr="007044EC" w14:paraId="4B68D814" w14:textId="77777777" w:rsidTr="00D72A4A">
        <w:tc>
          <w:tcPr>
            <w:tcW w:w="1809" w:type="dxa"/>
          </w:tcPr>
          <w:p w14:paraId="2CD002A6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Data availability </w:t>
            </w:r>
          </w:p>
        </w:tc>
        <w:tc>
          <w:tcPr>
            <w:tcW w:w="7088" w:type="dxa"/>
          </w:tcPr>
          <w:p w14:paraId="4302544D" w14:textId="36938D06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Categories: Yes, No. 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n some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cases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information about quarantine organisms cannot be made freely available.</w:t>
            </w:r>
          </w:p>
        </w:tc>
      </w:tr>
      <w:tr w:rsidR="001B6C1D" w:rsidRPr="007044EC" w14:paraId="0CC44227" w14:textId="77777777" w:rsidTr="00D72A4A">
        <w:tc>
          <w:tcPr>
            <w:tcW w:w="8897" w:type="dxa"/>
            <w:gridSpan w:val="2"/>
          </w:tcPr>
          <w:p w14:paraId="10364365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Voluntary fields</w:t>
            </w:r>
          </w:p>
        </w:tc>
      </w:tr>
      <w:tr w:rsidR="001B6C1D" w:rsidRPr="007044EC" w14:paraId="45821E5A" w14:textId="77777777" w:rsidTr="00D72A4A">
        <w:tc>
          <w:tcPr>
            <w:tcW w:w="1809" w:type="dxa"/>
          </w:tcPr>
          <w:p w14:paraId="602A7814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Host </w:t>
            </w:r>
          </w:p>
        </w:tc>
        <w:tc>
          <w:tcPr>
            <w:tcW w:w="7088" w:type="dxa"/>
          </w:tcPr>
          <w:p w14:paraId="584D9405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1) source (natural regeneration, seeds, seedlings, mixed, unknown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33346E37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2)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provenance;</w:t>
            </w:r>
            <w:proofErr w:type="gramEnd"/>
          </w:p>
          <w:p w14:paraId="7D750B1E" w14:textId="68DFBC3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3)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origin;</w:t>
            </w:r>
            <w:proofErr w:type="gramEnd"/>
          </w:p>
          <w:p w14:paraId="6A448768" w14:textId="0B34F7D9" w:rsidR="00597B4A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4) Needle classes of needles infected (1-7 needle classes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</w:p>
          <w:p w14:paraId="0E38879F" w14:textId="313716B7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5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 age of tree(s) (nursery production, unknown, up to 10 years, 10–30 years, 31–50 years, 51–70 years, 71–90 years, or more than 90 years</w:t>
            </w:r>
            <w:proofErr w:type="gramStart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29B78CD8" w14:textId="43016572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 height of tree(s), estimation (up to 1 metre, 1–2 metres, 3–5 metres, 6–10 metres, 11–15 metres, 16–20 metres, 21–30 metres, 31 - 40 metres or more than 40 metres</w:t>
            </w:r>
            <w:proofErr w:type="gramStart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01A30926" w14:textId="6477C036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) mean stand or tree diameter at breast </w:t>
            </w:r>
            <w:proofErr w:type="gramStart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height;</w:t>
            </w:r>
            <w:proofErr w:type="gramEnd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66A29FA3" w14:textId="2E7FE9DD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 planting or stand density per hectare (less than 1000 stems or seedlings, 1000–3000 stems or more than 3000 stems</w:t>
            </w:r>
            <w:proofErr w:type="gramStart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</w:p>
          <w:p w14:paraId="07D33033" w14:textId="1444330D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) other pathogens or microorganisms on the site, the same </w:t>
            </w:r>
            <w:proofErr w:type="gramStart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tree;</w:t>
            </w:r>
            <w:proofErr w:type="gramEnd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4BECB665" w14:textId="1094399C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) other stress factor acting on the same site or </w:t>
            </w:r>
            <w:proofErr w:type="gramStart"/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tree;</w:t>
            </w:r>
            <w:proofErr w:type="gramEnd"/>
          </w:p>
          <w:p w14:paraId="531E1E6D" w14:textId="7C063D1C" w:rsidR="001B6C1D" w:rsidRPr="007044EC" w:rsidRDefault="00597B4A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</w:t>
            </w:r>
            <w:r w:rsidR="001B6C1D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 additional host comments.</w:t>
            </w:r>
          </w:p>
        </w:tc>
      </w:tr>
      <w:tr w:rsidR="001B6C1D" w:rsidRPr="007044EC" w14:paraId="3E0F91CE" w14:textId="77777777" w:rsidTr="00D72A4A">
        <w:tc>
          <w:tcPr>
            <w:tcW w:w="1809" w:type="dxa"/>
          </w:tcPr>
          <w:p w14:paraId="2BD34BF9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Site</w:t>
            </w:r>
          </w:p>
        </w:tc>
        <w:tc>
          <w:tcPr>
            <w:tcW w:w="7088" w:type="dxa"/>
          </w:tcPr>
          <w:p w14:paraId="64164ACC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1) site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name;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46406EEB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2) estimation of affected area in 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hectares;</w:t>
            </w:r>
            <w:proofErr w:type="gramEnd"/>
          </w:p>
          <w:p w14:paraId="30EBFC0C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3) stand composition (pure or mixed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6831278E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4)</w:t>
            </w:r>
            <w:r w:rsidRPr="007044EC">
              <w:rPr>
                <w:rFonts w:asciiTheme="minorHAnsi" w:hAnsiTheme="minorHAnsi" w:cstheme="minorHAnsi"/>
                <w:sz w:val="22"/>
                <w:szCs w:val="22"/>
              </w:rPr>
              <w:t xml:space="preserve"> s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oil type (sandy soil, brown earth, peat, bog, other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</w:p>
          <w:p w14:paraId="40C77290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5) previous land use (agricultural, forestry, nursery or other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6FAC813E" w14:textId="1A00193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6) climate data: average temperature and sum of precipit</w:t>
            </w:r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ation during the growing </w:t>
            </w:r>
            <w:proofErr w:type="gramStart"/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season;</w:t>
            </w:r>
            <w:proofErr w:type="gramEnd"/>
          </w:p>
          <w:p w14:paraId="3E82E171" w14:textId="05480D2E" w:rsidR="00783095" w:rsidRPr="007044EC" w:rsidRDefault="00783095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7) additional site comments.</w:t>
            </w:r>
          </w:p>
        </w:tc>
      </w:tr>
      <w:tr w:rsidR="001B6C1D" w:rsidRPr="007044EC" w14:paraId="0977B413" w14:textId="77777777" w:rsidTr="00D72A4A">
        <w:tc>
          <w:tcPr>
            <w:tcW w:w="1809" w:type="dxa"/>
          </w:tcPr>
          <w:p w14:paraId="765958EF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Disease</w:t>
            </w:r>
          </w:p>
        </w:tc>
        <w:tc>
          <w:tcPr>
            <w:tcW w:w="7088" w:type="dxa"/>
          </w:tcPr>
          <w:p w14:paraId="5CB5C581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1) percentage of trees affected in stand (single tree, less than 10%, 11–30%, 31–50% or more than 50%, no symptoms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</w:p>
          <w:p w14:paraId="4466C94B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2) distribution of the disease in the stand (isolated, scattered, clustered, localised, widespread or uniform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</w:p>
          <w:p w14:paraId="36451D82" w14:textId="1E1D8C33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3) severity </w:t>
            </w:r>
            <w:r w:rsidR="00452F6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tree level (crown damage less than 5%, 5–10%, 11–25%, 26–50%, </w:t>
            </w:r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51-75% 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or more than</w:t>
            </w:r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75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% crown damage of whole tree, dead tree</w:t>
            </w:r>
            <w:proofErr w:type="gram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);</w:t>
            </w:r>
            <w:proofErr w:type="gram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</w:t>
            </w:r>
          </w:p>
          <w:p w14:paraId="1489E736" w14:textId="1CF40D51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4) historical disease information, the year</w:t>
            </w:r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of the first observation of LA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in the</w:t>
            </w:r>
            <w:r w:rsidRPr="007044E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country and published or grey literature source.</w:t>
            </w:r>
          </w:p>
        </w:tc>
      </w:tr>
      <w:tr w:rsidR="001B6C1D" w:rsidRPr="007044EC" w14:paraId="68821498" w14:textId="77777777" w:rsidTr="00D72A4A">
        <w:tc>
          <w:tcPr>
            <w:tcW w:w="1809" w:type="dxa"/>
          </w:tcPr>
          <w:p w14:paraId="5043EBE2" w14:textId="77777777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Disease management</w:t>
            </w:r>
          </w:p>
        </w:tc>
        <w:tc>
          <w:tcPr>
            <w:tcW w:w="7088" w:type="dxa"/>
          </w:tcPr>
          <w:p w14:paraId="58BD12AB" w14:textId="5D740BFA" w:rsidR="001B6C1D" w:rsidRPr="007044EC" w:rsidRDefault="001B6C1D" w:rsidP="00704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thinning, pruning, </w:t>
            </w:r>
            <w:proofErr w:type="spellStart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brashing</w:t>
            </w:r>
            <w:proofErr w:type="spellEnd"/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, weed control, fungicidal </w:t>
            </w:r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control in the stand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when (within</w:t>
            </w:r>
            <w:r w:rsidRPr="007044EC">
              <w:rPr>
                <w:rFonts w:asciiTheme="minorHAnsi" w:hAnsiTheme="minorHAnsi" w:cstheme="minorHAnsi"/>
                <w:sz w:val="22"/>
                <w:szCs w:val="22"/>
              </w:rPr>
              <w:t xml:space="preserve"> the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previous 2 years, 5 </w:t>
            </w:r>
            <w:r w:rsidR="00783095"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years, 10 years, 20 years, unknown when, no, unknown), management comments</w:t>
            </w:r>
            <w:r w:rsidRPr="007044E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. </w:t>
            </w:r>
          </w:p>
        </w:tc>
      </w:tr>
    </w:tbl>
    <w:p w14:paraId="615CE954" w14:textId="1FFDAB45" w:rsidR="001B6C1D" w:rsidRPr="00452F61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  <w:lang w:val="es-AR"/>
        </w:rPr>
      </w:pPr>
      <w:r w:rsidRPr="007044EC">
        <w:rPr>
          <w:rFonts w:asciiTheme="minorHAnsi" w:hAnsiTheme="minorHAnsi" w:cstheme="minorHAnsi"/>
          <w:b/>
          <w:color w:val="000000"/>
          <w:sz w:val="22"/>
          <w:szCs w:val="22"/>
          <w:vertAlign w:val="superscript"/>
        </w:rPr>
        <w:t>a</w:t>
      </w:r>
      <w:r w:rsidR="00F64511" w:rsidRPr="007044EC">
        <w:rPr>
          <w:rFonts w:asciiTheme="minorHAnsi" w:hAnsiTheme="minorHAnsi" w:cstheme="minorHAnsi"/>
          <w:b/>
          <w:color w:val="000000"/>
          <w:sz w:val="22"/>
          <w:szCs w:val="22"/>
          <w:vertAlign w:val="superscript"/>
        </w:rPr>
        <w:t xml:space="preserve"> </w:t>
      </w:r>
      <w:r w:rsidR="00BB19C4" w:rsidRPr="007044EC">
        <w:rPr>
          <w:rFonts w:asciiTheme="minorHAnsi" w:hAnsiTheme="minorHAnsi" w:cstheme="minorHAnsi"/>
          <w:color w:val="000000"/>
          <w:sz w:val="22"/>
          <w:szCs w:val="22"/>
        </w:rPr>
        <w:t>Data were collected from 4</w:t>
      </w:r>
      <w:r w:rsidR="008F1F56">
        <w:rPr>
          <w:rFonts w:asciiTheme="minorHAnsi" w:hAnsiTheme="minorHAnsi" w:cstheme="minorHAnsi"/>
          <w:color w:val="000000"/>
          <w:sz w:val="22"/>
          <w:szCs w:val="22"/>
        </w:rPr>
        <w:t>4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countries. European countries </w:t>
      </w:r>
      <w:r w:rsidR="007044EC">
        <w:rPr>
          <w:rFonts w:asciiTheme="minorHAnsi" w:hAnsiTheme="minorHAnsi" w:cstheme="minorHAnsi"/>
          <w:color w:val="000000"/>
          <w:sz w:val="22"/>
          <w:szCs w:val="22"/>
        </w:rPr>
        <w:t>included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C13719"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Austria, Belarus, 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Bulgaria, </w:t>
      </w:r>
      <w:r w:rsidR="00C13719"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Croatia, 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>Czech Republic, Estonia, Finland, France, Georgia, Germany, Great Britain,</w:t>
      </w:r>
      <w:r w:rsidR="00C13719"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Ireland,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Italy, Latvia, Lithuania, Poland, Portugal, Romania, Russia (including Asian part), Slovakia, Slovenia, Spain, Sweden, Switzerland, Turkey (including Asian part) and Ukraine. </w:t>
      </w:r>
      <w:r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Non-</w:t>
      </w:r>
      <w:proofErr w:type="spellStart"/>
      <w:r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European</w:t>
      </w:r>
      <w:proofErr w:type="spellEnd"/>
      <w:r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</w:t>
      </w:r>
      <w:proofErr w:type="spellStart"/>
      <w:r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countries</w:t>
      </w:r>
      <w:proofErr w:type="spellEnd"/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</w:t>
      </w:r>
      <w:proofErr w:type="spellStart"/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were</w:t>
      </w:r>
      <w:proofErr w:type="spellEnd"/>
      <w:r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</w:t>
      </w:r>
      <w:proofErr w:type="spellStart"/>
      <w:r w:rsidR="00C13719" w:rsidRPr="00452F61">
        <w:rPr>
          <w:rFonts w:asciiTheme="minorHAnsi" w:hAnsiTheme="minorHAnsi" w:cstheme="minorHAnsi"/>
          <w:sz w:val="22"/>
          <w:szCs w:val="22"/>
          <w:lang w:val="es-AR"/>
        </w:rPr>
        <w:t>Belize</w:t>
      </w:r>
      <w:proofErr w:type="spellEnd"/>
      <w:r w:rsidR="00C13719" w:rsidRPr="00452F61">
        <w:rPr>
          <w:rFonts w:asciiTheme="minorHAnsi" w:hAnsiTheme="minorHAnsi" w:cstheme="minorHAnsi"/>
          <w:sz w:val="22"/>
          <w:szCs w:val="22"/>
          <w:lang w:val="es-AR"/>
        </w:rPr>
        <w:t xml:space="preserve">, </w:t>
      </w:r>
      <w:proofErr w:type="spellStart"/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Canada</w:t>
      </w:r>
      <w:proofErr w:type="spellEnd"/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, </w:t>
      </w:r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Chile, China, </w:t>
      </w:r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lastRenderedPageBreak/>
        <w:t xml:space="preserve">Colombia, </w:t>
      </w:r>
      <w:r w:rsidR="00C13719" w:rsidRPr="00452F61">
        <w:rPr>
          <w:rFonts w:asciiTheme="minorHAnsi" w:hAnsiTheme="minorHAnsi" w:cstheme="minorHAnsi"/>
          <w:sz w:val="22"/>
          <w:szCs w:val="22"/>
          <w:lang w:val="es-AR"/>
        </w:rPr>
        <w:t xml:space="preserve">Costa Rica, </w:t>
      </w:r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Cuba, </w:t>
      </w:r>
      <w:r w:rsidR="00C13719" w:rsidRPr="00452F61">
        <w:rPr>
          <w:rFonts w:asciiTheme="minorHAnsi" w:hAnsiTheme="minorHAnsi" w:cstheme="minorHAnsi"/>
          <w:sz w:val="22"/>
          <w:szCs w:val="22"/>
          <w:lang w:val="es-AR"/>
        </w:rPr>
        <w:t>Ecuador, Guatemala,</w:t>
      </w:r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</w:t>
      </w:r>
      <w:r w:rsidR="00C13719" w:rsidRPr="00452F61">
        <w:rPr>
          <w:rFonts w:asciiTheme="minorHAnsi" w:hAnsiTheme="minorHAnsi" w:cstheme="minorHAnsi"/>
          <w:sz w:val="22"/>
          <w:szCs w:val="22"/>
          <w:lang w:val="es-AR"/>
        </w:rPr>
        <w:t xml:space="preserve">Honduras, </w:t>
      </w:r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Jamaica, </w:t>
      </w:r>
      <w:proofErr w:type="spellStart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Japan</w:t>
      </w:r>
      <w:proofErr w:type="spellEnd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, </w:t>
      </w:r>
      <w:proofErr w:type="spellStart"/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Mexico</w:t>
      </w:r>
      <w:proofErr w:type="spellEnd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,</w:t>
      </w:r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</w:t>
      </w:r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New </w:t>
      </w:r>
      <w:proofErr w:type="spellStart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Zealand</w:t>
      </w:r>
      <w:proofErr w:type="spellEnd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, </w:t>
      </w:r>
      <w:r w:rsidR="00F64511" w:rsidRPr="00452F61">
        <w:rPr>
          <w:rFonts w:asciiTheme="minorHAnsi" w:hAnsiTheme="minorHAnsi" w:cstheme="minorHAnsi"/>
          <w:sz w:val="22"/>
          <w:szCs w:val="22"/>
          <w:lang w:val="es-AR"/>
        </w:rPr>
        <w:t>Nicaragua,</w:t>
      </w:r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South </w:t>
      </w:r>
      <w:proofErr w:type="spellStart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Africa</w:t>
      </w:r>
      <w:proofErr w:type="spellEnd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, South </w:t>
      </w:r>
      <w:proofErr w:type="spellStart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Korea</w:t>
      </w:r>
      <w:proofErr w:type="spellEnd"/>
      <w:r w:rsidR="00F64511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 xml:space="preserve"> </w:t>
      </w:r>
      <w:r w:rsidR="00C13719" w:rsidRPr="00452F61">
        <w:rPr>
          <w:rFonts w:asciiTheme="minorHAnsi" w:hAnsiTheme="minorHAnsi" w:cstheme="minorHAnsi"/>
          <w:color w:val="000000"/>
          <w:sz w:val="22"/>
          <w:szCs w:val="22"/>
          <w:lang w:val="es-AR"/>
        </w:rPr>
        <w:t>and USA</w:t>
      </w:r>
      <w:r w:rsidR="00F64511" w:rsidRPr="00452F61">
        <w:rPr>
          <w:rFonts w:asciiTheme="minorHAnsi" w:eastAsiaTheme="minorHAnsi" w:hAnsiTheme="minorHAnsi" w:cstheme="minorHAnsi"/>
          <w:position w:val="0"/>
          <w:sz w:val="22"/>
          <w:szCs w:val="22"/>
          <w:lang w:val="es-AR"/>
        </w:rPr>
        <w:t>.</w:t>
      </w:r>
      <w:r w:rsidR="00C13719" w:rsidRPr="00452F61">
        <w:rPr>
          <w:rFonts w:asciiTheme="minorHAnsi" w:hAnsiTheme="minorHAnsi" w:cstheme="minorHAnsi"/>
          <w:sz w:val="22"/>
          <w:szCs w:val="22"/>
          <w:lang w:val="es-AR"/>
        </w:rPr>
        <w:t xml:space="preserve"> </w:t>
      </w:r>
    </w:p>
    <w:p w14:paraId="44701AC0" w14:textId="77777777" w:rsidR="001B6C1D" w:rsidRPr="00452F61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  <w:lang w:val="es-AR"/>
        </w:rPr>
      </w:pPr>
    </w:p>
    <w:p w14:paraId="1BBF0C6C" w14:textId="77777777" w:rsidR="001B6C1D" w:rsidRPr="007044EC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7044EC">
        <w:rPr>
          <w:rFonts w:asciiTheme="minorHAnsi" w:hAnsiTheme="minorHAnsi" w:cstheme="minorHAnsi"/>
          <w:color w:val="000000"/>
          <w:sz w:val="22"/>
          <w:szCs w:val="22"/>
        </w:rPr>
        <w:t>2. GIS and map analyses</w:t>
      </w:r>
    </w:p>
    <w:p w14:paraId="0B4C4874" w14:textId="5A6FC08A" w:rsidR="001B6C1D" w:rsidRPr="007044EC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ArcGIS server (ESRI) is the basis for the Web Map Application for showing the global distribution of </w:t>
      </w:r>
      <w:r w:rsidR="00F64511" w:rsidRPr="007044EC">
        <w:rPr>
          <w:rFonts w:asciiTheme="minorHAnsi" w:hAnsiTheme="minorHAnsi" w:cstheme="minorHAnsi"/>
          <w:i/>
          <w:color w:val="000000"/>
          <w:sz w:val="22"/>
          <w:szCs w:val="22"/>
        </w:rPr>
        <w:t>L. acicola</w:t>
      </w:r>
      <w:r w:rsidR="00F64511"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and other </w:t>
      </w:r>
      <w:r w:rsidR="00F64511" w:rsidRPr="007044EC">
        <w:rPr>
          <w:rFonts w:asciiTheme="minorHAnsi" w:hAnsiTheme="minorHAnsi" w:cstheme="minorHAnsi"/>
          <w:i/>
          <w:color w:val="000000"/>
          <w:sz w:val="22"/>
          <w:szCs w:val="22"/>
        </w:rPr>
        <w:t xml:space="preserve">Lecanosticta </w:t>
      </w:r>
      <w:r w:rsidR="00F64511" w:rsidRPr="007044EC">
        <w:rPr>
          <w:rFonts w:asciiTheme="minorHAnsi" w:hAnsiTheme="minorHAnsi" w:cstheme="minorHAnsi"/>
          <w:color w:val="000000"/>
          <w:sz w:val="22"/>
          <w:szCs w:val="22"/>
        </w:rPr>
        <w:t>species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>. The geo-database is projected into the WGS 1984 Web Mercator (</w:t>
      </w:r>
      <w:proofErr w:type="spellStart"/>
      <w:r w:rsidRPr="007044EC">
        <w:rPr>
          <w:rFonts w:asciiTheme="minorHAnsi" w:hAnsiTheme="minorHAnsi" w:cstheme="minorHAnsi"/>
          <w:color w:val="000000"/>
          <w:sz w:val="22"/>
          <w:szCs w:val="22"/>
        </w:rPr>
        <w:t>Auxilary</w:t>
      </w:r>
      <w:proofErr w:type="spellEnd"/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Sphere) coordinate system. Country data in the form of standardised tables are converted to point vectors (shape files), which are merged to a complex file geo-database and backed up in parallel on two servers (failover cluster). Cartographic layers in the background of the map application use online ESRI Base Maps (see </w:t>
      </w:r>
      <w:hyperlink r:id="rId10" w:history="1">
        <w:r w:rsidR="00F64511" w:rsidRPr="007044EC">
          <w:rPr>
            <w:rStyle w:val="Hyperlink"/>
            <w:rFonts w:asciiTheme="minorHAnsi" w:hAnsiTheme="minorHAnsi" w:cstheme="minorHAnsi"/>
            <w:sz w:val="22"/>
            <w:szCs w:val="22"/>
            <w:lang w:val="en-GB"/>
          </w:rPr>
          <w:t>http://www.portalofforestpathology.com</w:t>
        </w:r>
      </w:hyperlink>
      <w:r w:rsidR="00F64511" w:rsidRPr="007044EC">
        <w:rPr>
          <w:rFonts w:asciiTheme="minorHAnsi" w:hAnsiTheme="minorHAnsi" w:cstheme="minorHAnsi"/>
          <w:sz w:val="22"/>
          <w:szCs w:val="22"/>
        </w:rPr>
        <w:t xml:space="preserve"> </w:t>
      </w:r>
      <w:r w:rsidRPr="007044EC">
        <w:rPr>
          <w:rFonts w:asciiTheme="minorHAnsi" w:hAnsiTheme="minorHAnsi" w:cstheme="minorHAnsi"/>
          <w:color w:val="131413"/>
          <w:sz w:val="22"/>
          <w:szCs w:val="22"/>
        </w:rPr>
        <w:t>)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8844CFB" w14:textId="77777777" w:rsidR="001B6C1D" w:rsidRPr="007044EC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5689ED8F" w14:textId="77777777" w:rsidR="001B6C1D" w:rsidRPr="007044EC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7044EC">
        <w:rPr>
          <w:rFonts w:asciiTheme="minorHAnsi" w:hAnsiTheme="minorHAnsi" w:cstheme="minorHAnsi"/>
          <w:color w:val="000000"/>
          <w:sz w:val="22"/>
          <w:szCs w:val="22"/>
        </w:rPr>
        <w:t>3. Statistical analyses</w:t>
      </w:r>
    </w:p>
    <w:p w14:paraId="046B5F85" w14:textId="366CE8A7" w:rsidR="001B6C1D" w:rsidRPr="007044EC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Analysis of environmental parameters was conducted by spatially overlaying localities with positive occurrence of </w:t>
      </w:r>
      <w:r w:rsidR="00840708" w:rsidRPr="007044EC">
        <w:rPr>
          <w:rFonts w:asciiTheme="minorHAnsi" w:hAnsiTheme="minorHAnsi" w:cstheme="minorHAnsi"/>
          <w:i/>
          <w:color w:val="000000"/>
          <w:sz w:val="22"/>
          <w:szCs w:val="22"/>
        </w:rPr>
        <w:t>L. acicola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with the layers of environmental parameters. Climatic variables were from the dataset of </w:t>
      </w:r>
      <w:r w:rsidR="008F1F56">
        <w:rPr>
          <w:rFonts w:asciiTheme="minorHAnsi" w:hAnsiTheme="minorHAnsi" w:cstheme="minorHAnsi"/>
          <w:color w:val="000000"/>
          <w:sz w:val="22"/>
          <w:szCs w:val="22"/>
        </w:rPr>
        <w:t>Fick et al</w:t>
      </w:r>
      <w:r w:rsidR="008F1F56" w:rsidRPr="007044EC">
        <w:rPr>
          <w:rFonts w:asciiTheme="minorHAnsi" w:hAnsiTheme="minorHAnsi" w:cstheme="minorHAnsi"/>
          <w:color w:val="000000"/>
          <w:sz w:val="22"/>
          <w:szCs w:val="22"/>
        </w:rPr>
        <w:t>.</w:t>
      </w:r>
      <w:r w:rsidR="008F1F56">
        <w:rPr>
          <w:rFonts w:asciiTheme="minorHAnsi" w:hAnsiTheme="minorHAnsi" w:cstheme="minorHAnsi"/>
          <w:color w:val="000000"/>
          <w:sz w:val="22"/>
          <w:szCs w:val="22"/>
        </w:rPr>
        <w:t xml:space="preserve"> (2017)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. Analysed records represent all positive findings of </w:t>
      </w:r>
      <w:r w:rsidR="00F64511" w:rsidRPr="007044EC">
        <w:rPr>
          <w:rFonts w:asciiTheme="minorHAnsi" w:hAnsiTheme="minorHAnsi" w:cstheme="minorHAnsi"/>
          <w:i/>
          <w:color w:val="000000"/>
          <w:sz w:val="22"/>
          <w:szCs w:val="22"/>
        </w:rPr>
        <w:t>L. acicola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>, including localities where the disease was eradicated, but without</w:t>
      </w:r>
      <w:r w:rsidRPr="007044EC">
        <w:rPr>
          <w:rFonts w:asciiTheme="minorHAnsi" w:hAnsiTheme="minorHAnsi" w:cstheme="minorHAnsi"/>
          <w:sz w:val="22"/>
          <w:szCs w:val="22"/>
        </w:rPr>
        <w:t xml:space="preserve"> all 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>nursery findings. Specifically analysed abiotic phenomenon are as follows: elevation, annual average temperature, maximal temperature of the warmest month, minimal temperature of the coldest month, annual average precipitation, maximum precipitation of the wettest month</w:t>
      </w:r>
      <w:r w:rsidR="00840708" w:rsidRPr="007044EC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Pr="007044EC">
        <w:rPr>
          <w:rFonts w:asciiTheme="minorHAnsi" w:hAnsiTheme="minorHAnsi" w:cstheme="minorHAnsi"/>
          <w:color w:val="000000"/>
          <w:sz w:val="22"/>
          <w:szCs w:val="22"/>
        </w:rPr>
        <w:t xml:space="preserve"> and minimal precipitation of the driest month.  </w:t>
      </w:r>
    </w:p>
    <w:p w14:paraId="263C1941" w14:textId="77777777" w:rsidR="001B6C1D" w:rsidRPr="007044EC" w:rsidRDefault="001B6C1D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6AA1A555" w14:textId="77777777" w:rsidR="001B6C1D" w:rsidRPr="007044EC" w:rsidRDefault="00DF5D06" w:rsidP="007044E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7044EC">
        <w:rPr>
          <w:rFonts w:asciiTheme="minorHAnsi" w:hAnsiTheme="minorHAnsi" w:cstheme="minorHAnsi"/>
          <w:b/>
          <w:bCs/>
          <w:color w:val="000000"/>
          <w:sz w:val="22"/>
          <w:szCs w:val="22"/>
        </w:rPr>
        <w:t>References</w:t>
      </w:r>
    </w:p>
    <w:p w14:paraId="10EB94CF" w14:textId="1AE2FF9E" w:rsidR="008F1F56" w:rsidRPr="007044EC" w:rsidRDefault="008F1F56" w:rsidP="008F1F5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386D86">
        <w:rPr>
          <w:rFonts w:asciiTheme="minorHAnsi" w:hAnsiTheme="minorHAnsi" w:cstheme="minorHAnsi"/>
          <w:color w:val="000000"/>
          <w:sz w:val="22"/>
          <w:szCs w:val="22"/>
        </w:rPr>
        <w:t xml:space="preserve">Fick, </w:t>
      </w:r>
      <w:proofErr w:type="gramStart"/>
      <w:r w:rsidRPr="00386D86">
        <w:rPr>
          <w:rFonts w:asciiTheme="minorHAnsi" w:hAnsiTheme="minorHAnsi" w:cstheme="minorHAnsi"/>
          <w:color w:val="000000"/>
          <w:sz w:val="22"/>
          <w:szCs w:val="22"/>
        </w:rPr>
        <w:t>S.E.</w:t>
      </w:r>
      <w:proofErr w:type="gramEnd"/>
      <w:r w:rsidRPr="00386D86">
        <w:rPr>
          <w:rFonts w:asciiTheme="minorHAnsi" w:hAnsiTheme="minorHAnsi" w:cstheme="minorHAnsi"/>
          <w:color w:val="000000"/>
          <w:sz w:val="22"/>
          <w:szCs w:val="22"/>
        </w:rPr>
        <w:t xml:space="preserve"> and R.J. </w:t>
      </w:r>
      <w:proofErr w:type="spellStart"/>
      <w:r w:rsidRPr="00386D86">
        <w:rPr>
          <w:rFonts w:asciiTheme="minorHAnsi" w:hAnsiTheme="minorHAnsi" w:cstheme="minorHAnsi"/>
          <w:color w:val="000000"/>
          <w:sz w:val="22"/>
          <w:szCs w:val="22"/>
        </w:rPr>
        <w:t>Hijmans</w:t>
      </w:r>
      <w:proofErr w:type="spellEnd"/>
      <w:r w:rsidRPr="00386D86">
        <w:rPr>
          <w:rFonts w:asciiTheme="minorHAnsi" w:hAnsiTheme="minorHAnsi" w:cstheme="minorHAnsi"/>
          <w:color w:val="000000"/>
          <w:sz w:val="22"/>
          <w:szCs w:val="22"/>
        </w:rPr>
        <w:t xml:space="preserve">, 2017. </w:t>
      </w:r>
      <w:proofErr w:type="spellStart"/>
      <w:r w:rsidRPr="00386D86">
        <w:rPr>
          <w:rFonts w:asciiTheme="minorHAnsi" w:hAnsiTheme="minorHAnsi" w:cstheme="minorHAnsi"/>
          <w:color w:val="000000"/>
          <w:sz w:val="22"/>
          <w:szCs w:val="22"/>
        </w:rPr>
        <w:t>WorldClim</w:t>
      </w:r>
      <w:proofErr w:type="spellEnd"/>
      <w:r w:rsidRPr="00386D86">
        <w:rPr>
          <w:rFonts w:asciiTheme="minorHAnsi" w:hAnsiTheme="minorHAnsi" w:cstheme="minorHAnsi"/>
          <w:color w:val="000000"/>
          <w:sz w:val="22"/>
          <w:szCs w:val="22"/>
        </w:rPr>
        <w:t xml:space="preserve"> 2: new 1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386D86">
        <w:rPr>
          <w:rFonts w:asciiTheme="minorHAnsi" w:hAnsiTheme="minorHAnsi" w:cstheme="minorHAnsi"/>
          <w:color w:val="000000"/>
          <w:sz w:val="22"/>
          <w:szCs w:val="22"/>
        </w:rPr>
        <w:t xml:space="preserve">km spatial resolution climate surfaces for global land areas. </w:t>
      </w:r>
      <w:hyperlink r:id="rId11" w:tgtFrame="_blank" w:history="1">
        <w:r w:rsidRPr="00386D86">
          <w:rPr>
            <w:rStyle w:val="Hyperlink"/>
            <w:rFonts w:asciiTheme="minorHAnsi" w:hAnsiTheme="minorHAnsi" w:cstheme="minorHAnsi"/>
            <w:sz w:val="22"/>
            <w:szCs w:val="22"/>
          </w:rPr>
          <w:t>International Journal of Climatology 37 (12): 4302-4315</w:t>
        </w:r>
      </w:hyperlink>
      <w:r w:rsidRPr="00386D86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6D814C56" w14:textId="77777777" w:rsidR="00DF5D06" w:rsidRPr="007044EC" w:rsidRDefault="00DF5D06" w:rsidP="001B6C1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145A769B" w14:textId="77777777" w:rsidR="003115AB" w:rsidRPr="007044EC" w:rsidRDefault="003115AB">
      <w:pPr>
        <w:ind w:left="0" w:hanging="2"/>
        <w:rPr>
          <w:rFonts w:asciiTheme="minorHAnsi" w:hAnsiTheme="minorHAnsi" w:cstheme="minorHAnsi"/>
          <w:sz w:val="22"/>
          <w:szCs w:val="22"/>
        </w:rPr>
      </w:pPr>
    </w:p>
    <w:sectPr w:rsidR="003115AB" w:rsidRPr="007044EC" w:rsidSect="00521EF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273" w:bottom="1440" w:left="1134" w:header="708" w:footer="708" w:gutter="0"/>
      <w:lnNumType w:countBy="1" w:restart="continuous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FA3D4" w14:textId="77777777" w:rsidR="00220FFC" w:rsidRDefault="00220FFC">
      <w:pPr>
        <w:spacing w:line="240" w:lineRule="auto"/>
        <w:ind w:left="0" w:hanging="2"/>
      </w:pPr>
      <w:r>
        <w:separator/>
      </w:r>
    </w:p>
  </w:endnote>
  <w:endnote w:type="continuationSeparator" w:id="0">
    <w:p w14:paraId="3654DD1F" w14:textId="77777777" w:rsidR="00220FFC" w:rsidRDefault="00220FF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80209" w14:textId="77777777" w:rsidR="004D61F2" w:rsidRDefault="004D61F2">
    <w:pPr>
      <w:pStyle w:val="Footer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D066E" w14:textId="7144C739" w:rsidR="00B56332" w:rsidRDefault="00DD484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ind w:left="0" w:hanging="2"/>
      <w:jc w:val="center"/>
      <w:rPr>
        <w:rFonts w:ascii="Calibri" w:eastAsia="Calibri" w:hAnsi="Calibri"/>
        <w:color w:val="5B9BD5"/>
        <w:sz w:val="22"/>
        <w:szCs w:val="22"/>
      </w:rPr>
    </w:pPr>
    <w:r>
      <w:rPr>
        <w:rFonts w:ascii="Calibri" w:eastAsia="Calibri" w:hAnsi="Calibri"/>
        <w:smallCaps/>
        <w:color w:val="5B9BD5"/>
        <w:sz w:val="22"/>
        <w:szCs w:val="22"/>
      </w:rPr>
      <w:fldChar w:fldCharType="begin"/>
    </w:r>
    <w:r>
      <w:rPr>
        <w:rFonts w:ascii="Calibri" w:eastAsia="Calibri" w:hAnsi="Calibri"/>
        <w:smallCaps/>
        <w:color w:val="5B9BD5"/>
        <w:sz w:val="22"/>
        <w:szCs w:val="22"/>
      </w:rPr>
      <w:instrText>PAGE</w:instrText>
    </w:r>
    <w:r>
      <w:rPr>
        <w:rFonts w:ascii="Calibri" w:eastAsia="Calibri" w:hAnsi="Calibri"/>
        <w:smallCaps/>
        <w:color w:val="5B9BD5"/>
        <w:sz w:val="22"/>
        <w:szCs w:val="22"/>
      </w:rPr>
      <w:fldChar w:fldCharType="separate"/>
    </w:r>
    <w:r w:rsidR="00C13F2C">
      <w:rPr>
        <w:rFonts w:ascii="Calibri" w:eastAsia="Calibri" w:hAnsi="Calibri"/>
        <w:smallCaps/>
        <w:noProof/>
        <w:color w:val="5B9BD5"/>
        <w:sz w:val="22"/>
        <w:szCs w:val="22"/>
      </w:rPr>
      <w:t>4</w:t>
    </w:r>
    <w:r>
      <w:rPr>
        <w:rFonts w:ascii="Calibri" w:eastAsia="Calibri" w:hAnsi="Calibri"/>
        <w:smallCaps/>
        <w:color w:val="5B9BD5"/>
        <w:sz w:val="22"/>
        <w:szCs w:val="22"/>
      </w:rPr>
      <w:fldChar w:fldCharType="end"/>
    </w:r>
  </w:p>
  <w:p w14:paraId="6F0C90DF" w14:textId="77777777" w:rsidR="00B56332" w:rsidRDefault="0046232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ind w:left="0" w:hanging="2"/>
      <w:rPr>
        <w:rFonts w:ascii="Calibri" w:eastAsia="Calibri" w:hAnsi="Calibri"/>
        <w:color w:val="000000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0A3F2" w14:textId="77777777" w:rsidR="004D61F2" w:rsidRDefault="004D61F2">
    <w:pPr>
      <w:pStyle w:val="Footer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89018" w14:textId="77777777" w:rsidR="00220FFC" w:rsidRDefault="00220FFC">
      <w:pPr>
        <w:spacing w:line="240" w:lineRule="auto"/>
        <w:ind w:left="0" w:hanging="2"/>
      </w:pPr>
      <w:r>
        <w:separator/>
      </w:r>
    </w:p>
  </w:footnote>
  <w:footnote w:type="continuationSeparator" w:id="0">
    <w:p w14:paraId="151AE967" w14:textId="77777777" w:rsidR="00220FFC" w:rsidRDefault="00220FF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0C658D" w14:textId="77777777" w:rsidR="004D61F2" w:rsidRDefault="004D61F2">
    <w:pPr>
      <w:pStyle w:val="Header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2573B" w14:textId="77777777" w:rsidR="004D61F2" w:rsidRDefault="004D61F2">
    <w:pPr>
      <w:pStyle w:val="Header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16B88" w14:textId="77777777" w:rsidR="004D61F2" w:rsidRDefault="004D61F2">
    <w:pPr>
      <w:pStyle w:val="Header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C121C"/>
    <w:multiLevelType w:val="multilevel"/>
    <w:tmpl w:val="D94CE97E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6C1D"/>
    <w:rsid w:val="001B6C1D"/>
    <w:rsid w:val="00220FFC"/>
    <w:rsid w:val="003115AB"/>
    <w:rsid w:val="003562D5"/>
    <w:rsid w:val="00361C9A"/>
    <w:rsid w:val="0037025C"/>
    <w:rsid w:val="00452F61"/>
    <w:rsid w:val="00462325"/>
    <w:rsid w:val="004D61F2"/>
    <w:rsid w:val="00597B4A"/>
    <w:rsid w:val="007044EC"/>
    <w:rsid w:val="00783095"/>
    <w:rsid w:val="00840708"/>
    <w:rsid w:val="008E7C82"/>
    <w:rsid w:val="008F1F56"/>
    <w:rsid w:val="00916A6F"/>
    <w:rsid w:val="00BB19C4"/>
    <w:rsid w:val="00C13719"/>
    <w:rsid w:val="00C13F2C"/>
    <w:rsid w:val="00C528E3"/>
    <w:rsid w:val="00DA147D"/>
    <w:rsid w:val="00DD4844"/>
    <w:rsid w:val="00DF5D06"/>
    <w:rsid w:val="00E00E27"/>
    <w:rsid w:val="00F64511"/>
    <w:rsid w:val="00FD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A3CDDA2"/>
  <w15:chartTrackingRefBased/>
  <w15:docId w15:val="{F2A3E5CD-2513-45EC-8D09-6C376F1A5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B6C1D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Calibri"/>
      <w:position w:val="-1"/>
      <w:sz w:val="24"/>
      <w:szCs w:val="24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1B6C1D"/>
  </w:style>
  <w:style w:type="paragraph" w:styleId="ListParagraph">
    <w:name w:val="List Paragraph"/>
    <w:basedOn w:val="Normal"/>
    <w:rsid w:val="00DF5D06"/>
    <w:pPr>
      <w:spacing w:line="340" w:lineRule="atLeast"/>
      <w:ind w:left="720"/>
      <w:contextualSpacing/>
      <w:jc w:val="both"/>
    </w:pPr>
    <w:rPr>
      <w:color w:val="000000"/>
      <w:szCs w:val="20"/>
      <w:lang w:val="en-US" w:eastAsia="de-DE"/>
    </w:rPr>
  </w:style>
  <w:style w:type="character" w:styleId="Hyperlink">
    <w:name w:val="Hyperlink"/>
    <w:basedOn w:val="DefaultParagraphFont"/>
    <w:uiPriority w:val="99"/>
    <w:unhideWhenUsed/>
    <w:rsid w:val="00DA147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A14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14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147D"/>
    <w:rPr>
      <w:rFonts w:ascii="Times New Roman" w:eastAsia="Times New Roman" w:hAnsi="Times New Roman" w:cs="Calibri"/>
      <w:position w:val="-1"/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14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147D"/>
    <w:rPr>
      <w:rFonts w:ascii="Times New Roman" w:eastAsia="Times New Roman" w:hAnsi="Times New Roman" w:cs="Calibri"/>
      <w:b/>
      <w:bCs/>
      <w:position w:val="-1"/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147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147D"/>
    <w:rPr>
      <w:rFonts w:ascii="Segoe UI" w:eastAsia="Times New Roman" w:hAnsi="Segoe UI" w:cs="Segoe UI"/>
      <w:position w:val="-1"/>
      <w:sz w:val="18"/>
      <w:szCs w:val="18"/>
      <w:lang w:val="en-ZA"/>
    </w:rPr>
  </w:style>
  <w:style w:type="character" w:styleId="FollowedHyperlink">
    <w:name w:val="FollowedHyperlink"/>
    <w:basedOn w:val="DefaultParagraphFont"/>
    <w:uiPriority w:val="99"/>
    <w:semiHidden/>
    <w:unhideWhenUsed/>
    <w:rsid w:val="00C13F2C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D61F2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61F2"/>
    <w:rPr>
      <w:rFonts w:ascii="Times New Roman" w:eastAsia="Times New Roman" w:hAnsi="Times New Roman" w:cs="Calibri"/>
      <w:position w:val="-1"/>
      <w:sz w:val="24"/>
      <w:szCs w:val="24"/>
      <w:lang w:val="en-ZA"/>
    </w:rPr>
  </w:style>
  <w:style w:type="paragraph" w:styleId="Footer">
    <w:name w:val="footer"/>
    <w:basedOn w:val="Normal"/>
    <w:link w:val="FooterChar"/>
    <w:uiPriority w:val="99"/>
    <w:unhideWhenUsed/>
    <w:rsid w:val="004D61F2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61F2"/>
    <w:rPr>
      <w:rFonts w:ascii="Times New Roman" w:eastAsia="Times New Roman" w:hAnsi="Times New Roman" w:cs="Calibri"/>
      <w:position w:val="-1"/>
      <w:sz w:val="24"/>
      <w:szCs w:val="24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rtalofforestpathology.com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mets.onlinelibrary.wiley.com/doi/abs/10.1002/joc.5086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portalofforestpathology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portalofforestpathology.co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158DA-8565-4F38-9939-078D0DB7C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1129</TotalTime>
  <Pages>3</Pages>
  <Words>847</Words>
  <Characters>4828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</vt:vector>
  </HeadingPairs>
  <TitlesOfParts>
    <vt:vector size="2" baseType="lpstr">
      <vt:lpstr/>
      <vt:lpstr/>
    </vt:vector>
  </TitlesOfParts>
  <Company>EMU</Company>
  <LinksUpToDate>false</LinksUpToDate>
  <CharactersWithSpaces>5664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Rein Drenkhan</dc:creator>
  <cp:keywords/>
  <dc:description/>
  <cp:lastModifiedBy>Katherine Tubby</cp:lastModifiedBy>
  <cp:revision>18</cp:revision>
  <dcterms:created xsi:type="dcterms:W3CDTF">2020-05-27T13:44:00Z</dcterms:created>
  <dcterms:modified xsi:type="dcterms:W3CDTF">2023-01-05T17:19:00Z</dcterms:modified>
</cp:coreProperties>
</file>