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6880" w:type="dxa"/>
        <w:tblInd w:w="93" w:type="dxa"/>
        <w:tblLook w:val="04A0" w:firstRow="1" w:lastRow="0" w:firstColumn="1" w:lastColumn="0" w:noHBand="0" w:noVBand="1"/>
      </w:tblPr>
      <w:tblGrid>
        <w:gridCol w:w="1622"/>
        <w:gridCol w:w="2629"/>
        <w:gridCol w:w="2629"/>
      </w:tblGrid>
      <w:tr w:rsidR="00960CF1" w:rsidRPr="00960CF1" w:rsidTr="00960CF1">
        <w:trPr>
          <w:trHeight w:val="1275"/>
        </w:trPr>
        <w:tc>
          <w:tcPr>
            <w:tcW w:w="6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CF1" w:rsidRPr="00960CF1" w:rsidRDefault="00960CF1" w:rsidP="00960C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S4a</w:t>
            </w:r>
            <w:r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 xml:space="preserve"> Table</w:t>
            </w: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. Adjusted marginal structural models for hazard ratios of death after first-line failure, with weighting by inverse probability of censoring after second-line switch to account for loss to follow-up.</w:t>
            </w:r>
            <w:r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 xml:space="preserve"> </w:t>
            </w:r>
            <w:bookmarkStart w:id="0" w:name="_GoBack"/>
            <w:bookmarkEnd w:id="0"/>
          </w:p>
        </w:tc>
      </w:tr>
      <w:tr w:rsidR="00960CF1" w:rsidRPr="00960CF1" w:rsidTr="00960CF1">
        <w:trPr>
          <w:trHeight w:val="645"/>
        </w:trPr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Peak CD4 ≤ 100 cells/mm</w:t>
            </w:r>
            <w:r w:rsidRPr="00960CF1">
              <w:rPr>
                <w:rFonts w:ascii="Calibri" w:eastAsia="Times New Roman" w:hAnsi="Calibri" w:cs="Times New Roman"/>
                <w:color w:val="000000"/>
                <w:vertAlign w:val="superscript"/>
                <w:lang w:val="en-GB" w:eastAsia="en-GB"/>
              </w:rPr>
              <w:t xml:space="preserve">3 </w:t>
            </w: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prior to first-line failure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 xml:space="preserve">Peak CD4 &gt; 100 cells/mm3 prior to first-line failure </w:t>
            </w:r>
          </w:p>
        </w:tc>
      </w:tr>
      <w:tr w:rsidR="00960CF1" w:rsidRPr="00960CF1" w:rsidTr="00960CF1">
        <w:trPr>
          <w:trHeight w:val="300"/>
        </w:trPr>
        <w:tc>
          <w:tcPr>
            <w:tcW w:w="16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Months to switch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aHR* (95% CI)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aHR (95% CI)</w:t>
            </w:r>
          </w:p>
        </w:tc>
      </w:tr>
      <w:tr w:rsidR="00960CF1" w:rsidRPr="00960CF1" w:rsidTr="00960CF1">
        <w:trPr>
          <w:trHeight w:val="300"/>
        </w:trPr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CF1" w:rsidRPr="00960CF1" w:rsidRDefault="00960CF1" w:rsidP="00960C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0 to 1.5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Ref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Ref</w:t>
            </w:r>
          </w:p>
        </w:tc>
      </w:tr>
      <w:tr w:rsidR="00960CF1" w:rsidRPr="00960CF1" w:rsidTr="00960CF1">
        <w:trPr>
          <w:trHeight w:val="300"/>
        </w:trPr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CF1" w:rsidRPr="00960CF1" w:rsidRDefault="00960CF1" w:rsidP="00960C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1.5 to 3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1.25 (0.79, 1.98)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1.01 (0.74, 1.36)</w:t>
            </w:r>
          </w:p>
        </w:tc>
      </w:tr>
      <w:tr w:rsidR="00960CF1" w:rsidRPr="00960CF1" w:rsidTr="00960CF1">
        <w:trPr>
          <w:trHeight w:val="300"/>
        </w:trPr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CF1" w:rsidRPr="00960CF1" w:rsidRDefault="00960CF1" w:rsidP="00960C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3 to 6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1.28 (0.81, 2.00)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1.04 (0.77, 1.40)</w:t>
            </w:r>
          </w:p>
        </w:tc>
      </w:tr>
      <w:tr w:rsidR="00960CF1" w:rsidRPr="00960CF1" w:rsidTr="00960CF1">
        <w:trPr>
          <w:trHeight w:val="300"/>
        </w:trPr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CF1" w:rsidRPr="00960CF1" w:rsidRDefault="00960CF1" w:rsidP="00960C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6 to 12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1.37 (0.87, 2.16)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1.10 (0.82, 1.47)</w:t>
            </w:r>
          </w:p>
        </w:tc>
      </w:tr>
      <w:tr w:rsidR="00960CF1" w:rsidRPr="00960CF1" w:rsidTr="00960CF1">
        <w:trPr>
          <w:trHeight w:val="300"/>
        </w:trPr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CF1" w:rsidRPr="00960CF1" w:rsidRDefault="00960CF1" w:rsidP="00960C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&gt;12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1.42 (0.90, 2.24)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1.08 (0.81, 1.44)</w:t>
            </w:r>
          </w:p>
        </w:tc>
      </w:tr>
      <w:tr w:rsidR="00960CF1" w:rsidRPr="00960CF1" w:rsidTr="00960CF1">
        <w:trPr>
          <w:trHeight w:val="300"/>
        </w:trPr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CF1" w:rsidRPr="00960CF1" w:rsidRDefault="00960CF1" w:rsidP="00960C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Never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1.43 (0.91, 2.25)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1.13 (0.85, 1.51)</w:t>
            </w:r>
          </w:p>
        </w:tc>
      </w:tr>
      <w:tr w:rsidR="00960CF1" w:rsidRPr="00960CF1" w:rsidTr="00960CF1">
        <w:trPr>
          <w:trHeight w:val="1305"/>
        </w:trPr>
        <w:tc>
          <w:tcPr>
            <w:tcW w:w="688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CF1" w:rsidRPr="00960CF1" w:rsidRDefault="00960CF1" w:rsidP="00960C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*Adjusted for year of failure, sex, age, viral load at first-line failure, CD4 count at first-line failure, missed visits prior to first-line failure. Stratum for peak CD4 count ≤ 100 cells/mm3 prior to first-line failure was not adjusted for CD4 count at first-line failure due to small strata.</w:t>
            </w:r>
          </w:p>
        </w:tc>
      </w:tr>
      <w:tr w:rsidR="00960CF1" w:rsidRPr="00960CF1" w:rsidTr="00960CF1">
        <w:trPr>
          <w:trHeight w:val="1320"/>
        </w:trPr>
        <w:tc>
          <w:tcPr>
            <w:tcW w:w="6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S4b</w:t>
            </w:r>
            <w:r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Table</w:t>
            </w: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. Adjusted Cox proportional hazards ratios for confirmed failure on second-line ART, with weighting by inverse probability of censoring after second-line switch to account for loss to follow-up.</w:t>
            </w:r>
          </w:p>
        </w:tc>
      </w:tr>
      <w:tr w:rsidR="00960CF1" w:rsidRPr="00960CF1" w:rsidTr="00960CF1">
        <w:trPr>
          <w:trHeight w:val="645"/>
        </w:trPr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Peak CD4 ≤ 100 cells/mm</w:t>
            </w:r>
            <w:r w:rsidRPr="00960CF1">
              <w:rPr>
                <w:rFonts w:ascii="Calibri" w:eastAsia="Times New Roman" w:hAnsi="Calibri" w:cs="Times New Roman"/>
                <w:color w:val="000000"/>
                <w:vertAlign w:val="superscript"/>
                <w:lang w:val="en-GB" w:eastAsia="en-GB"/>
              </w:rPr>
              <w:t xml:space="preserve">3 </w:t>
            </w: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prior to first-line failure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 xml:space="preserve">Peak CD4 &gt; 100 cells/mm3 prior to first-line failure </w:t>
            </w:r>
          </w:p>
        </w:tc>
      </w:tr>
      <w:tr w:rsidR="00960CF1" w:rsidRPr="00960CF1" w:rsidTr="00960CF1">
        <w:trPr>
          <w:trHeight w:val="300"/>
        </w:trPr>
        <w:tc>
          <w:tcPr>
            <w:tcW w:w="16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Months to switch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aHR* (95% CI)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aHR (95% CI)</w:t>
            </w:r>
          </w:p>
        </w:tc>
      </w:tr>
      <w:tr w:rsidR="00960CF1" w:rsidRPr="00960CF1" w:rsidTr="00960CF1">
        <w:trPr>
          <w:trHeight w:val="300"/>
        </w:trPr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CF1" w:rsidRPr="00960CF1" w:rsidRDefault="00960CF1" w:rsidP="00960C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0 to 1.5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Ref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Ref</w:t>
            </w:r>
          </w:p>
        </w:tc>
      </w:tr>
      <w:tr w:rsidR="00960CF1" w:rsidRPr="00960CF1" w:rsidTr="00960CF1">
        <w:trPr>
          <w:trHeight w:val="300"/>
        </w:trPr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CF1" w:rsidRPr="00960CF1" w:rsidRDefault="00960CF1" w:rsidP="00960C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1.5 to 3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2.53 (1.23, 5.18)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1.08 (0.78, 1.51)</w:t>
            </w:r>
          </w:p>
        </w:tc>
      </w:tr>
      <w:tr w:rsidR="00960CF1" w:rsidRPr="00960CF1" w:rsidTr="00960CF1">
        <w:trPr>
          <w:trHeight w:val="300"/>
        </w:trPr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CF1" w:rsidRPr="00960CF1" w:rsidRDefault="00960CF1" w:rsidP="00960C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3 to 6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1.99 (0.94, 4.22)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1.11 (0.83, 1.49)</w:t>
            </w:r>
          </w:p>
        </w:tc>
      </w:tr>
      <w:tr w:rsidR="00960CF1" w:rsidRPr="00960CF1" w:rsidTr="00960CF1">
        <w:trPr>
          <w:trHeight w:val="300"/>
        </w:trPr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CF1" w:rsidRPr="00960CF1" w:rsidRDefault="00960CF1" w:rsidP="00960C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6 to 12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1.33 (0.56, 3.14)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0.85 (0.60, 1.20)</w:t>
            </w:r>
          </w:p>
        </w:tc>
      </w:tr>
      <w:tr w:rsidR="00960CF1" w:rsidRPr="00960CF1" w:rsidTr="00960CF1">
        <w:trPr>
          <w:trHeight w:val="300"/>
        </w:trPr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CF1" w:rsidRPr="00960CF1" w:rsidRDefault="00960CF1" w:rsidP="00960C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&gt;12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1.80 (0.64, 5.01)</w:t>
            </w:r>
          </w:p>
        </w:tc>
        <w:tc>
          <w:tcPr>
            <w:tcW w:w="2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0.87 (0.60, 1.26)</w:t>
            </w:r>
          </w:p>
        </w:tc>
      </w:tr>
      <w:tr w:rsidR="00960CF1" w:rsidRPr="00960CF1" w:rsidTr="00960CF1">
        <w:trPr>
          <w:trHeight w:val="930"/>
        </w:trPr>
        <w:tc>
          <w:tcPr>
            <w:tcW w:w="688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0CF1" w:rsidRPr="00960CF1" w:rsidRDefault="00960CF1" w:rsidP="00960C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960CF1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*Adjusted for sex age, viral load at first-line failure, BMI at first-line failure, proportion of missed visits before first-line failure, time on first-line ART.</w:t>
            </w:r>
          </w:p>
        </w:tc>
      </w:tr>
    </w:tbl>
    <w:p w:rsidR="003A1D35" w:rsidRDefault="003A1D35"/>
    <w:sectPr w:rsidR="003A1D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0CF1"/>
    <w:rsid w:val="003A1D35"/>
    <w:rsid w:val="00960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596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241</Words>
  <Characters>1376</Characters>
  <Application>Microsoft Office Word</Application>
  <DocSecurity>0</DocSecurity>
  <Lines>11</Lines>
  <Paragraphs>3</Paragraphs>
  <ScaleCrop>false</ScaleCrop>
  <Company>HSPH</Company>
  <LinksUpToDate>false</LinksUpToDate>
  <CharactersWithSpaces>1614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Julia</dc:creator>
  <cp:lastModifiedBy>Julia</cp:lastModifiedBy>
  <cp:revision>1</cp:revision>
  <dcterms:created xsi:type="dcterms:W3CDTF">2016-06-30T07:24:00Z</dcterms:created>
  <dcterms:modified xsi:type="dcterms:W3CDTF">2016-06-30T07:25:00Z</dcterms:modified>
</cp:coreProperties>
</file>