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850D28" w14:textId="77777777" w:rsidR="00424340" w:rsidRPr="00424340" w:rsidRDefault="00424340" w:rsidP="00424340">
      <w:pPr>
        <w:keepNext/>
        <w:keepLines/>
        <w:spacing w:before="360" w:after="80"/>
        <w:outlineLvl w:val="0"/>
        <w:rPr>
          <w:rFonts w:ascii="Times New Roman" w:eastAsiaTheme="majorEastAsia" w:hAnsi="Times New Roman" w:cstheme="majorBidi"/>
          <w:b/>
          <w:color w:val="000000" w:themeColor="text1"/>
          <w:sz w:val="24"/>
          <w:szCs w:val="40"/>
        </w:rPr>
      </w:pPr>
      <w:bookmarkStart w:id="0" w:name="_GoBack"/>
      <w:bookmarkEnd w:id="0"/>
      <w:r w:rsidRPr="00424340">
        <w:rPr>
          <w:rFonts w:ascii="Times New Roman" w:eastAsiaTheme="majorEastAsia" w:hAnsi="Times New Roman" w:cstheme="majorBidi"/>
          <w:b/>
          <w:color w:val="000000" w:themeColor="text1"/>
          <w:sz w:val="24"/>
          <w:szCs w:val="40"/>
        </w:rPr>
        <w:t>Summary of financial instruments applied to biodiversity conservation (Appendix S</w:t>
      </w:r>
      <w:r w:rsidRPr="00424340">
        <w:rPr>
          <w:rFonts w:ascii="Times New Roman" w:eastAsiaTheme="majorEastAsia" w:hAnsi="Times New Roman" w:cstheme="majorBidi" w:hint="eastAsia"/>
          <w:b/>
          <w:color w:val="000000" w:themeColor="text1"/>
          <w:sz w:val="24"/>
          <w:szCs w:val="40"/>
        </w:rPr>
        <w:t>9</w:t>
      </w:r>
      <w:r w:rsidRPr="00424340">
        <w:rPr>
          <w:rFonts w:ascii="Times New Roman" w:eastAsiaTheme="majorEastAsia" w:hAnsi="Times New Roman" w:cstheme="majorBidi"/>
          <w:b/>
          <w:color w:val="000000" w:themeColor="text1"/>
          <w:sz w:val="24"/>
          <w:szCs w:val="40"/>
        </w:rPr>
        <w:t>)</w:t>
      </w:r>
    </w:p>
    <w:tbl>
      <w:tblPr>
        <w:tblStyle w:val="TableGrid1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816"/>
        <w:gridCol w:w="2886"/>
        <w:gridCol w:w="1824"/>
        <w:gridCol w:w="1500"/>
      </w:tblGrid>
      <w:tr w:rsidR="00424340" w:rsidRPr="00424340" w14:paraId="318588C1" w14:textId="77777777" w:rsidTr="00710882">
        <w:trPr>
          <w:trHeight w:val="300"/>
        </w:trPr>
        <w:tc>
          <w:tcPr>
            <w:tcW w:w="2599" w:type="dxa"/>
            <w:hideMark/>
          </w:tcPr>
          <w:p w14:paraId="1856A8D3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Instrument</w:t>
            </w:r>
          </w:p>
        </w:tc>
        <w:tc>
          <w:tcPr>
            <w:tcW w:w="3015" w:type="dxa"/>
            <w:hideMark/>
          </w:tcPr>
          <w:p w14:paraId="4F9772B4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Description</w:t>
            </w:r>
          </w:p>
        </w:tc>
        <w:tc>
          <w:tcPr>
            <w:tcW w:w="1896" w:type="dxa"/>
            <w:hideMark/>
          </w:tcPr>
          <w:p w14:paraId="00184B3F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Financial Source</w:t>
            </w:r>
          </w:p>
        </w:tc>
        <w:tc>
          <w:tcPr>
            <w:tcW w:w="1516" w:type="dxa"/>
            <w:hideMark/>
          </w:tcPr>
          <w:p w14:paraId="3F0B59EC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Mechanism Type</w:t>
            </w:r>
          </w:p>
        </w:tc>
      </w:tr>
      <w:tr w:rsidR="00424340" w:rsidRPr="00424340" w14:paraId="721ED605" w14:textId="77777777" w:rsidTr="00710882">
        <w:trPr>
          <w:trHeight w:val="1200"/>
        </w:trPr>
        <w:tc>
          <w:tcPr>
            <w:tcW w:w="2599" w:type="dxa"/>
            <w:hideMark/>
          </w:tcPr>
          <w:p w14:paraId="6ADC294E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Direct biodiversity fees</w:t>
            </w:r>
          </w:p>
        </w:tc>
        <w:tc>
          <w:tcPr>
            <w:tcW w:w="3015" w:type="dxa"/>
            <w:hideMark/>
          </w:tcPr>
          <w:p w14:paraId="1B298355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Direct markets for conservation exist in</w:t>
            </w:r>
            <w:r w:rsidRPr="00424340">
              <w:rPr>
                <w:rFonts w:ascii="Times New Roman" w:eastAsia="DengXian" w:hAnsi="Times New Roman" w:cs="Times New Roman" w:hint="eastAsia"/>
                <w:sz w:val="24"/>
                <w:lang w:val="en-GB"/>
              </w:rPr>
              <w:t xml:space="preserve"> </w:t>
            </w: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cases where a consumer pays for direct</w:t>
            </w:r>
            <w:r w:rsidRPr="00424340">
              <w:rPr>
                <w:rFonts w:ascii="Times New Roman" w:eastAsia="DengXian" w:hAnsi="Times New Roman" w:cs="Times New Roman" w:hint="eastAsia"/>
                <w:sz w:val="24"/>
                <w:lang w:val="en-GB"/>
              </w:rPr>
              <w:t xml:space="preserve"> </w:t>
            </w: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access to biodiversity, such as in</w:t>
            </w:r>
            <w:r w:rsidRPr="00424340">
              <w:rPr>
                <w:rFonts w:ascii="Times New Roman" w:eastAsia="DengXian" w:hAnsi="Times New Roman" w:cs="Times New Roman" w:hint="eastAsia"/>
                <w:sz w:val="24"/>
                <w:lang w:val="en-GB"/>
              </w:rPr>
              <w:t xml:space="preserve"> </w:t>
            </w: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ecotourism.</w:t>
            </w:r>
          </w:p>
        </w:tc>
        <w:tc>
          <w:tcPr>
            <w:tcW w:w="1896" w:type="dxa"/>
            <w:hideMark/>
          </w:tcPr>
          <w:p w14:paraId="22A0203C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 xml:space="preserve">Private, </w:t>
            </w:r>
            <w:r w:rsidRPr="00424340">
              <w:rPr>
                <w:rFonts w:ascii="Times New Roman" w:eastAsia="DengXian" w:hAnsi="Times New Roman" w:cs="Times New Roman" w:hint="eastAsia"/>
                <w:sz w:val="24"/>
                <w:lang w:val="en-GB"/>
              </w:rPr>
              <w:t>p</w:t>
            </w: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ublic</w:t>
            </w:r>
          </w:p>
        </w:tc>
        <w:tc>
          <w:tcPr>
            <w:tcW w:w="1516" w:type="dxa"/>
            <w:hideMark/>
          </w:tcPr>
          <w:p w14:paraId="740154CB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Market-based</w:t>
            </w:r>
          </w:p>
        </w:tc>
      </w:tr>
      <w:tr w:rsidR="00424340" w:rsidRPr="00424340" w14:paraId="36175261" w14:textId="77777777" w:rsidTr="00710882">
        <w:trPr>
          <w:trHeight w:val="530"/>
        </w:trPr>
        <w:tc>
          <w:tcPr>
            <w:tcW w:w="2599" w:type="dxa"/>
            <w:hideMark/>
          </w:tcPr>
          <w:p w14:paraId="24057BC6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Subsidies</w:t>
            </w:r>
          </w:p>
        </w:tc>
        <w:tc>
          <w:tcPr>
            <w:tcW w:w="3015" w:type="dxa"/>
            <w:hideMark/>
          </w:tcPr>
          <w:p w14:paraId="016A1B72" w14:textId="77777777" w:rsidR="00424340" w:rsidRPr="00424340" w:rsidRDefault="00424340" w:rsidP="00424340">
            <w:pPr>
              <w:spacing w:line="360" w:lineRule="auto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Financial government support encouraging practices that protect or enhance</w:t>
            </w:r>
            <w:r w:rsidRPr="00424340">
              <w:rPr>
                <w:rFonts w:ascii="Times New Roman" w:eastAsia="DengXian" w:hAnsi="Times New Roman" w:cs="Times New Roman" w:hint="eastAsia"/>
                <w:sz w:val="24"/>
                <w:lang w:val="en-GB"/>
              </w:rPr>
              <w:t xml:space="preserve"> </w:t>
            </w: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biodiversity.</w:t>
            </w:r>
            <w:r w:rsidRPr="00424340">
              <w:rPr>
                <w:rFonts w:ascii="Times New Roman" w:eastAsia="DengXian" w:hAnsi="Times New Roman" w:cs="Times New Roman" w:hint="eastAsia"/>
                <w:sz w:val="24"/>
                <w:lang w:val="en-GB"/>
              </w:rPr>
              <w:t xml:space="preserve"> </w:t>
            </w: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Agri-environment subsides are of a major relevance to biodiversity.</w:t>
            </w:r>
          </w:p>
        </w:tc>
        <w:tc>
          <w:tcPr>
            <w:tcW w:w="1896" w:type="dxa"/>
            <w:hideMark/>
          </w:tcPr>
          <w:p w14:paraId="5EABA6F3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Public</w:t>
            </w:r>
          </w:p>
        </w:tc>
        <w:tc>
          <w:tcPr>
            <w:tcW w:w="1516" w:type="dxa"/>
            <w:hideMark/>
          </w:tcPr>
          <w:p w14:paraId="7A309D81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Non-market</w:t>
            </w:r>
          </w:p>
        </w:tc>
      </w:tr>
      <w:tr w:rsidR="00424340" w:rsidRPr="00424340" w14:paraId="42F098B5" w14:textId="77777777" w:rsidTr="00710882">
        <w:trPr>
          <w:trHeight w:val="1200"/>
        </w:trPr>
        <w:tc>
          <w:tcPr>
            <w:tcW w:w="2599" w:type="dxa"/>
            <w:hideMark/>
          </w:tcPr>
          <w:p w14:paraId="37C01819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Land-based carbon markets</w:t>
            </w:r>
          </w:p>
        </w:tc>
        <w:tc>
          <w:tcPr>
            <w:tcW w:w="3015" w:type="dxa"/>
            <w:hideMark/>
          </w:tcPr>
          <w:p w14:paraId="5F694E26" w14:textId="77777777" w:rsidR="00424340" w:rsidRPr="00424340" w:rsidRDefault="00424340" w:rsidP="00424340">
            <w:pPr>
              <w:spacing w:line="360" w:lineRule="auto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Payments made to offset residual GHG emissions, e.g. to reduce deforestation or promoting afforestation.</w:t>
            </w:r>
          </w:p>
        </w:tc>
        <w:tc>
          <w:tcPr>
            <w:tcW w:w="1896" w:type="dxa"/>
            <w:hideMark/>
          </w:tcPr>
          <w:p w14:paraId="65E7E430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 xml:space="preserve">Private, </w:t>
            </w:r>
            <w:r w:rsidRPr="00424340">
              <w:rPr>
                <w:rFonts w:ascii="Times New Roman" w:eastAsia="DengXian" w:hAnsi="Times New Roman" w:cs="Times New Roman" w:hint="eastAsia"/>
                <w:sz w:val="24"/>
                <w:lang w:val="en-GB"/>
              </w:rPr>
              <w:t>p</w:t>
            </w: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ublic</w:t>
            </w:r>
          </w:p>
        </w:tc>
        <w:tc>
          <w:tcPr>
            <w:tcW w:w="1516" w:type="dxa"/>
            <w:hideMark/>
          </w:tcPr>
          <w:p w14:paraId="0C2A0438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Market-based</w:t>
            </w:r>
          </w:p>
        </w:tc>
      </w:tr>
      <w:tr w:rsidR="00424340" w:rsidRPr="00424340" w14:paraId="7C2C9253" w14:textId="77777777" w:rsidTr="00710882">
        <w:trPr>
          <w:trHeight w:val="900"/>
        </w:trPr>
        <w:tc>
          <w:tcPr>
            <w:tcW w:w="2599" w:type="dxa"/>
            <w:hideMark/>
          </w:tcPr>
          <w:p w14:paraId="231F32B8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Donations</w:t>
            </w:r>
          </w:p>
        </w:tc>
        <w:tc>
          <w:tcPr>
            <w:tcW w:w="3015" w:type="dxa"/>
            <w:hideMark/>
          </w:tcPr>
          <w:p w14:paraId="7EE983F2" w14:textId="77777777" w:rsidR="00424340" w:rsidRPr="00424340" w:rsidRDefault="00424340" w:rsidP="00424340">
            <w:pPr>
              <w:spacing w:line="360" w:lineRule="auto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Voluntary financial contributions from individuals, corporations, or NGOs directed towards biodiversity conservation.</w:t>
            </w:r>
          </w:p>
        </w:tc>
        <w:tc>
          <w:tcPr>
            <w:tcW w:w="1896" w:type="dxa"/>
            <w:hideMark/>
          </w:tcPr>
          <w:p w14:paraId="5F77E993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Private</w:t>
            </w:r>
          </w:p>
        </w:tc>
        <w:tc>
          <w:tcPr>
            <w:tcW w:w="1516" w:type="dxa"/>
            <w:hideMark/>
          </w:tcPr>
          <w:p w14:paraId="1648A69D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Non-market</w:t>
            </w:r>
          </w:p>
        </w:tc>
      </w:tr>
      <w:tr w:rsidR="00424340" w:rsidRPr="00424340" w14:paraId="2281173B" w14:textId="77777777" w:rsidTr="00710882">
        <w:trPr>
          <w:trHeight w:val="683"/>
        </w:trPr>
        <w:tc>
          <w:tcPr>
            <w:tcW w:w="2599" w:type="dxa"/>
            <w:hideMark/>
          </w:tcPr>
          <w:p w14:paraId="54F66A52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Conservation/green/impact bonds</w:t>
            </w:r>
          </w:p>
        </w:tc>
        <w:tc>
          <w:tcPr>
            <w:tcW w:w="3015" w:type="dxa"/>
            <w:hideMark/>
          </w:tcPr>
          <w:p w14:paraId="0C59A27C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 xml:space="preserve">Debt instruments in which proceeds finance conservation, green projects. </w:t>
            </w:r>
          </w:p>
        </w:tc>
        <w:tc>
          <w:tcPr>
            <w:tcW w:w="1896" w:type="dxa"/>
            <w:hideMark/>
          </w:tcPr>
          <w:p w14:paraId="65BB2897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Private,</w:t>
            </w:r>
            <w:r w:rsidRPr="00424340">
              <w:rPr>
                <w:rFonts w:ascii="Times New Roman" w:eastAsia="DengXian" w:hAnsi="Times New Roman" w:cs="Times New Roman" w:hint="eastAsia"/>
                <w:sz w:val="24"/>
                <w:lang w:val="en-GB"/>
              </w:rPr>
              <w:t xml:space="preserve"> p</w:t>
            </w: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 xml:space="preserve">ublic, </w:t>
            </w:r>
            <w:r w:rsidRPr="00424340">
              <w:rPr>
                <w:rFonts w:ascii="Times New Roman" w:eastAsia="DengXian" w:hAnsi="Times New Roman" w:cs="Times New Roman" w:hint="eastAsia"/>
                <w:sz w:val="24"/>
                <w:lang w:val="en-GB"/>
              </w:rPr>
              <w:t>b</w:t>
            </w: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lended</w:t>
            </w:r>
          </w:p>
        </w:tc>
        <w:tc>
          <w:tcPr>
            <w:tcW w:w="1516" w:type="dxa"/>
            <w:hideMark/>
          </w:tcPr>
          <w:p w14:paraId="581115E0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Market-based</w:t>
            </w:r>
          </w:p>
        </w:tc>
      </w:tr>
      <w:tr w:rsidR="00424340" w:rsidRPr="00424340" w14:paraId="6AE7132B" w14:textId="77777777" w:rsidTr="00710882">
        <w:trPr>
          <w:trHeight w:val="1200"/>
        </w:trPr>
        <w:tc>
          <w:tcPr>
            <w:tcW w:w="2599" w:type="dxa"/>
            <w:hideMark/>
          </w:tcPr>
          <w:p w14:paraId="4D64F8A4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Payments for Environmental Services</w:t>
            </w:r>
          </w:p>
        </w:tc>
        <w:tc>
          <w:tcPr>
            <w:tcW w:w="3015" w:type="dxa"/>
            <w:hideMark/>
          </w:tcPr>
          <w:p w14:paraId="35A38CFC" w14:textId="77777777" w:rsidR="00424340" w:rsidRPr="00424340" w:rsidRDefault="00424340" w:rsidP="00424340">
            <w:pPr>
              <w:spacing w:line="360" w:lineRule="auto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 xml:space="preserve">Beneficiaries of environmental services make conditional payments </w:t>
            </w: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lastRenderedPageBreak/>
              <w:t xml:space="preserve">to support service provision. </w:t>
            </w:r>
          </w:p>
        </w:tc>
        <w:tc>
          <w:tcPr>
            <w:tcW w:w="1896" w:type="dxa"/>
            <w:hideMark/>
          </w:tcPr>
          <w:p w14:paraId="5E647E7B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lastRenderedPageBreak/>
              <w:t xml:space="preserve">Private, </w:t>
            </w:r>
            <w:r w:rsidRPr="00424340">
              <w:rPr>
                <w:rFonts w:ascii="Times New Roman" w:eastAsia="DengXian" w:hAnsi="Times New Roman" w:cs="Times New Roman" w:hint="eastAsia"/>
                <w:sz w:val="24"/>
                <w:lang w:val="en-GB"/>
              </w:rPr>
              <w:t>p</w:t>
            </w: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ublic</w:t>
            </w:r>
          </w:p>
        </w:tc>
        <w:tc>
          <w:tcPr>
            <w:tcW w:w="1516" w:type="dxa"/>
            <w:hideMark/>
          </w:tcPr>
          <w:p w14:paraId="505513D8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Market-based, non-market</w:t>
            </w:r>
          </w:p>
        </w:tc>
      </w:tr>
      <w:tr w:rsidR="00424340" w:rsidRPr="00424340" w14:paraId="164D9E4D" w14:textId="77777777" w:rsidTr="00710882">
        <w:trPr>
          <w:trHeight w:val="900"/>
        </w:trPr>
        <w:tc>
          <w:tcPr>
            <w:tcW w:w="2599" w:type="dxa"/>
            <w:hideMark/>
          </w:tcPr>
          <w:p w14:paraId="3DD74053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Biodiversity credits</w:t>
            </w:r>
          </w:p>
        </w:tc>
        <w:tc>
          <w:tcPr>
            <w:tcW w:w="3015" w:type="dxa"/>
            <w:hideMark/>
          </w:tcPr>
          <w:p w14:paraId="05CB729E" w14:textId="77777777" w:rsidR="00424340" w:rsidRPr="00424340" w:rsidRDefault="00424340" w:rsidP="00424340">
            <w:pPr>
              <w:spacing w:line="360" w:lineRule="auto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Payments made to finance actions resulting in measurable positive outcomes for biodiversity.</w:t>
            </w:r>
          </w:p>
        </w:tc>
        <w:tc>
          <w:tcPr>
            <w:tcW w:w="1896" w:type="dxa"/>
            <w:hideMark/>
          </w:tcPr>
          <w:p w14:paraId="68F8CF4B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Private</w:t>
            </w:r>
          </w:p>
        </w:tc>
        <w:tc>
          <w:tcPr>
            <w:tcW w:w="1516" w:type="dxa"/>
            <w:hideMark/>
          </w:tcPr>
          <w:p w14:paraId="2C355D6B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Market-based</w:t>
            </w:r>
          </w:p>
        </w:tc>
      </w:tr>
      <w:tr w:rsidR="00424340" w:rsidRPr="00424340" w14:paraId="5990CC3E" w14:textId="77777777" w:rsidTr="00710882">
        <w:trPr>
          <w:trHeight w:val="1200"/>
        </w:trPr>
        <w:tc>
          <w:tcPr>
            <w:tcW w:w="2599" w:type="dxa"/>
            <w:hideMark/>
          </w:tcPr>
          <w:p w14:paraId="3ABEADF0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Biodiversity offsets/ Mitigation banks</w:t>
            </w:r>
          </w:p>
        </w:tc>
        <w:tc>
          <w:tcPr>
            <w:tcW w:w="3015" w:type="dxa"/>
            <w:hideMark/>
          </w:tcPr>
          <w:p w14:paraId="4023B258" w14:textId="77777777" w:rsidR="00424340" w:rsidRPr="00424340" w:rsidRDefault="00424340" w:rsidP="00424340">
            <w:pPr>
              <w:spacing w:line="360" w:lineRule="auto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Companies compensating for their environmental impact by investing in biodiversity conservation projects elsewhere</w:t>
            </w:r>
            <w:r w:rsidRPr="00424340">
              <w:rPr>
                <w:rFonts w:ascii="Times New Roman" w:eastAsia="DengXian" w:hAnsi="Times New Roman" w:cs="Times New Roman" w:hint="eastAsia"/>
                <w:sz w:val="24"/>
                <w:lang w:val="en-GB"/>
              </w:rPr>
              <w:t xml:space="preserve"> </w:t>
            </w:r>
          </w:p>
        </w:tc>
        <w:tc>
          <w:tcPr>
            <w:tcW w:w="1896" w:type="dxa"/>
            <w:hideMark/>
          </w:tcPr>
          <w:p w14:paraId="347DB1DC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Private</w:t>
            </w:r>
          </w:p>
        </w:tc>
        <w:tc>
          <w:tcPr>
            <w:tcW w:w="1516" w:type="dxa"/>
            <w:hideMark/>
          </w:tcPr>
          <w:p w14:paraId="551D213C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Market-based</w:t>
            </w:r>
          </w:p>
        </w:tc>
      </w:tr>
      <w:tr w:rsidR="00424340" w:rsidRPr="00424340" w14:paraId="61A53E62" w14:textId="77777777" w:rsidTr="00710882">
        <w:trPr>
          <w:trHeight w:val="900"/>
        </w:trPr>
        <w:tc>
          <w:tcPr>
            <w:tcW w:w="2599" w:type="dxa"/>
            <w:hideMark/>
          </w:tcPr>
          <w:p w14:paraId="22F85160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Debt-for-nature swaps</w:t>
            </w:r>
          </w:p>
        </w:tc>
        <w:tc>
          <w:tcPr>
            <w:tcW w:w="3015" w:type="dxa"/>
            <w:hideMark/>
          </w:tcPr>
          <w:p w14:paraId="2B56841A" w14:textId="77777777" w:rsidR="00424340" w:rsidRPr="00424340" w:rsidRDefault="00424340" w:rsidP="00424340">
            <w:pPr>
              <w:spacing w:line="360" w:lineRule="auto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Agreements forgiving portions of developing-country foreign debt in exchange for local investments in biodiversity conservation.</w:t>
            </w:r>
          </w:p>
        </w:tc>
        <w:tc>
          <w:tcPr>
            <w:tcW w:w="1896" w:type="dxa"/>
            <w:hideMark/>
          </w:tcPr>
          <w:p w14:paraId="3116A413" w14:textId="77777777" w:rsidR="00424340" w:rsidRPr="00424340" w:rsidRDefault="00424340" w:rsidP="00424340">
            <w:pPr>
              <w:spacing w:line="360" w:lineRule="auto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Blended</w:t>
            </w:r>
          </w:p>
        </w:tc>
        <w:tc>
          <w:tcPr>
            <w:tcW w:w="1516" w:type="dxa"/>
            <w:hideMark/>
          </w:tcPr>
          <w:p w14:paraId="4CA14372" w14:textId="77777777" w:rsidR="00424340" w:rsidRPr="00424340" w:rsidRDefault="00424340" w:rsidP="00424340">
            <w:pPr>
              <w:spacing w:line="360" w:lineRule="auto"/>
              <w:jc w:val="both"/>
              <w:rPr>
                <w:rFonts w:ascii="Times New Roman" w:eastAsia="DengXian" w:hAnsi="Times New Roman" w:cs="Times New Roman"/>
                <w:sz w:val="24"/>
                <w:lang w:val="en-GB"/>
              </w:rPr>
            </w:pPr>
            <w:r w:rsidRPr="00424340">
              <w:rPr>
                <w:rFonts w:ascii="Times New Roman" w:eastAsia="DengXian" w:hAnsi="Times New Roman" w:cs="Times New Roman"/>
                <w:sz w:val="24"/>
                <w:lang w:val="en-GB"/>
              </w:rPr>
              <w:t>Non-market</w:t>
            </w:r>
          </w:p>
        </w:tc>
      </w:tr>
    </w:tbl>
    <w:p w14:paraId="55B529BE" w14:textId="1B572ADE" w:rsidR="00463F20" w:rsidRDefault="00424340">
      <w:r w:rsidRPr="00424340">
        <w:rPr>
          <w:rFonts w:ascii="Times New Roman" w:eastAsia="DengXian" w:hAnsi="Times New Roman" w:cs="Times New Roman"/>
          <w:sz w:val="24"/>
          <w:lang w:val="da-DK"/>
        </w:rPr>
        <w:t xml:space="preserve">Sources. </w:t>
      </w:r>
      <w:r w:rsidRPr="00424340">
        <w:rPr>
          <w:rFonts w:ascii="Times New Roman" w:eastAsia="SimSun" w:hAnsi="Times New Roman" w:cs="Times New Roman"/>
          <w:sz w:val="24"/>
          <w:lang w:val="da-DK" w:eastAsia="en-US"/>
        </w:rPr>
        <w:t>Löfqvist &amp; Ghazoul</w:t>
      </w:r>
      <w:r w:rsidRPr="00424340">
        <w:rPr>
          <w:rFonts w:ascii="Times New Roman" w:eastAsia="SimSun" w:hAnsi="Times New Roman" w:cs="Times New Roman" w:hint="eastAsia"/>
          <w:sz w:val="24"/>
          <w:lang w:val="da-DK"/>
        </w:rPr>
        <w:t xml:space="preserve"> (</w:t>
      </w:r>
      <w:r w:rsidRPr="00424340">
        <w:rPr>
          <w:rFonts w:ascii="Times New Roman" w:eastAsia="SimSun" w:hAnsi="Times New Roman" w:cs="Times New Roman"/>
          <w:sz w:val="24"/>
          <w:lang w:val="da-DK" w:eastAsia="en-US"/>
        </w:rPr>
        <w:t>2019)</w:t>
      </w:r>
      <w:r w:rsidRPr="00424340">
        <w:rPr>
          <w:rFonts w:ascii="Times New Roman" w:eastAsia="SimSun" w:hAnsi="Times New Roman" w:cs="Times New Roman" w:hint="eastAsia"/>
          <w:sz w:val="24"/>
          <w:lang w:val="da-DK"/>
        </w:rPr>
        <w:t xml:space="preserve">, </w:t>
      </w:r>
      <w:r w:rsidRPr="00424340">
        <w:rPr>
          <w:rFonts w:ascii="Times New Roman" w:eastAsia="DengXian" w:hAnsi="Times New Roman" w:cs="Times New Roman"/>
          <w:sz w:val="24"/>
          <w:lang w:val="da-DK"/>
        </w:rPr>
        <w:t>Dunn-Capper et</w:t>
      </w:r>
      <w:r w:rsidRPr="00424340">
        <w:rPr>
          <w:rFonts w:ascii="Times New Roman" w:eastAsia="DengXian" w:hAnsi="Times New Roman" w:cs="Times New Roman" w:hint="eastAsia"/>
          <w:sz w:val="24"/>
          <w:lang w:val="da-DK"/>
        </w:rPr>
        <w:t xml:space="preserve"> al</w:t>
      </w:r>
      <w:r w:rsidRPr="00424340">
        <w:rPr>
          <w:rFonts w:ascii="Times New Roman" w:eastAsia="DengXian" w:hAnsi="Times New Roman" w:cs="Times New Roman"/>
          <w:sz w:val="24"/>
          <w:lang w:val="da-DK"/>
        </w:rPr>
        <w:t xml:space="preserve">. </w:t>
      </w:r>
      <w:r w:rsidRPr="00424340">
        <w:rPr>
          <w:rFonts w:ascii="Times New Roman" w:eastAsia="DengXian" w:hAnsi="Times New Roman" w:cs="Times New Roman" w:hint="eastAsia"/>
          <w:sz w:val="24"/>
          <w:lang w:val="en-GB"/>
        </w:rPr>
        <w:t>(</w:t>
      </w:r>
      <w:r w:rsidRPr="00424340">
        <w:rPr>
          <w:rFonts w:ascii="Times New Roman" w:eastAsia="DengXian" w:hAnsi="Times New Roman" w:cs="Times New Roman"/>
          <w:sz w:val="24"/>
          <w:lang w:val="en-GB"/>
        </w:rPr>
        <w:t>2023</w:t>
      </w:r>
      <w:r w:rsidRPr="00424340">
        <w:rPr>
          <w:rFonts w:ascii="Times New Roman" w:eastAsia="DengXian" w:hAnsi="Times New Roman" w:cs="Times New Roman" w:hint="eastAsia"/>
          <w:sz w:val="24"/>
          <w:lang w:val="en-GB"/>
        </w:rPr>
        <w:t>)</w:t>
      </w:r>
      <w:r w:rsidRPr="00424340">
        <w:rPr>
          <w:rFonts w:ascii="Times New Roman" w:eastAsia="DengXian" w:hAnsi="Times New Roman" w:cs="Times New Roman"/>
          <w:sz w:val="24"/>
          <w:lang w:val="en-GB"/>
        </w:rPr>
        <w:t>,</w:t>
      </w:r>
      <w:r w:rsidRPr="00424340">
        <w:rPr>
          <w:rFonts w:ascii="Times New Roman" w:eastAsia="DengXian" w:hAnsi="Times New Roman" w:cs="Times New Roman" w:hint="eastAsia"/>
          <w:sz w:val="24"/>
          <w:lang w:val="en-GB"/>
        </w:rPr>
        <w:t xml:space="preserve"> </w:t>
      </w:r>
      <w:proofErr w:type="spellStart"/>
      <w:r w:rsidRPr="00424340">
        <w:rPr>
          <w:rFonts w:ascii="Times New Roman" w:eastAsia="DengXian" w:hAnsi="Times New Roman" w:cs="Times New Roman"/>
          <w:sz w:val="24"/>
          <w:lang w:val="en-GB"/>
        </w:rPr>
        <w:t>Kedward</w:t>
      </w:r>
      <w:proofErr w:type="spellEnd"/>
      <w:r w:rsidRPr="00424340">
        <w:rPr>
          <w:rFonts w:ascii="Times New Roman" w:eastAsia="DengXian" w:hAnsi="Times New Roman" w:cs="Times New Roman"/>
          <w:sz w:val="24"/>
          <w:lang w:val="en-GB"/>
        </w:rPr>
        <w:t xml:space="preserve"> et</w:t>
      </w:r>
      <w:r w:rsidRPr="00424340">
        <w:rPr>
          <w:rFonts w:ascii="Times New Roman" w:eastAsia="DengXian" w:hAnsi="Times New Roman" w:cs="Times New Roman" w:hint="eastAsia"/>
          <w:sz w:val="24"/>
          <w:lang w:val="en-GB"/>
        </w:rPr>
        <w:t xml:space="preserve"> al</w:t>
      </w:r>
      <w:r w:rsidRPr="00424340">
        <w:rPr>
          <w:rFonts w:ascii="Times New Roman" w:eastAsia="DengXian" w:hAnsi="Times New Roman" w:cs="Times New Roman"/>
          <w:sz w:val="24"/>
          <w:lang w:val="en-GB"/>
        </w:rPr>
        <w:t xml:space="preserve">. </w:t>
      </w:r>
      <w:r w:rsidRPr="00424340">
        <w:rPr>
          <w:rFonts w:ascii="Times New Roman" w:eastAsia="DengXian" w:hAnsi="Times New Roman" w:cs="Times New Roman" w:hint="eastAsia"/>
          <w:sz w:val="24"/>
          <w:lang w:val="en-GB"/>
        </w:rPr>
        <w:t>(</w:t>
      </w:r>
      <w:r w:rsidRPr="00424340">
        <w:rPr>
          <w:rFonts w:ascii="Times New Roman" w:eastAsia="DengXian" w:hAnsi="Times New Roman" w:cs="Times New Roman"/>
          <w:sz w:val="24"/>
          <w:lang w:val="en-GB"/>
        </w:rPr>
        <w:t>2023</w:t>
      </w:r>
      <w:r w:rsidRPr="00424340">
        <w:rPr>
          <w:rFonts w:ascii="Times New Roman" w:eastAsia="DengXian" w:hAnsi="Times New Roman" w:cs="Times New Roman" w:hint="eastAsia"/>
          <w:sz w:val="24"/>
          <w:lang w:val="en-GB"/>
        </w:rPr>
        <w:t>)</w:t>
      </w:r>
      <w:r w:rsidRPr="00424340">
        <w:rPr>
          <w:rFonts w:ascii="Times New Roman" w:eastAsia="DengXian" w:hAnsi="Times New Roman" w:cs="Times New Roman"/>
          <w:sz w:val="24"/>
          <w:lang w:val="en-GB"/>
        </w:rPr>
        <w:t>.</w:t>
      </w:r>
    </w:p>
    <w:sectPr w:rsidR="00463F2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1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3E26"/>
    <w:rsid w:val="00034A20"/>
    <w:rsid w:val="00056786"/>
    <w:rsid w:val="00067CF6"/>
    <w:rsid w:val="0008052A"/>
    <w:rsid w:val="000B3AE4"/>
    <w:rsid w:val="000B757A"/>
    <w:rsid w:val="000D1434"/>
    <w:rsid w:val="000D2B9A"/>
    <w:rsid w:val="000D3EED"/>
    <w:rsid w:val="000E3E26"/>
    <w:rsid w:val="000F0F01"/>
    <w:rsid w:val="00121A3E"/>
    <w:rsid w:val="001A22FE"/>
    <w:rsid w:val="001B5F5C"/>
    <w:rsid w:val="001F06F7"/>
    <w:rsid w:val="00207C22"/>
    <w:rsid w:val="0022579D"/>
    <w:rsid w:val="002352A8"/>
    <w:rsid w:val="00237C9D"/>
    <w:rsid w:val="00282FB9"/>
    <w:rsid w:val="00287A61"/>
    <w:rsid w:val="00293B54"/>
    <w:rsid w:val="002C21C2"/>
    <w:rsid w:val="002E0B5C"/>
    <w:rsid w:val="00314D62"/>
    <w:rsid w:val="00350054"/>
    <w:rsid w:val="003561EC"/>
    <w:rsid w:val="00360E89"/>
    <w:rsid w:val="003621F3"/>
    <w:rsid w:val="00375FA9"/>
    <w:rsid w:val="00424340"/>
    <w:rsid w:val="00434329"/>
    <w:rsid w:val="00463F20"/>
    <w:rsid w:val="00467B6C"/>
    <w:rsid w:val="00540591"/>
    <w:rsid w:val="00546530"/>
    <w:rsid w:val="0057009E"/>
    <w:rsid w:val="005B174B"/>
    <w:rsid w:val="005C2454"/>
    <w:rsid w:val="005F6E1F"/>
    <w:rsid w:val="00622022"/>
    <w:rsid w:val="00644B22"/>
    <w:rsid w:val="00665A1C"/>
    <w:rsid w:val="00680D32"/>
    <w:rsid w:val="006C2B74"/>
    <w:rsid w:val="006F207F"/>
    <w:rsid w:val="007561D6"/>
    <w:rsid w:val="00776AF3"/>
    <w:rsid w:val="007A0BBC"/>
    <w:rsid w:val="007C4ED0"/>
    <w:rsid w:val="007D446F"/>
    <w:rsid w:val="00867E31"/>
    <w:rsid w:val="008F7925"/>
    <w:rsid w:val="00933FB7"/>
    <w:rsid w:val="00952100"/>
    <w:rsid w:val="0098301E"/>
    <w:rsid w:val="00A15196"/>
    <w:rsid w:val="00A54882"/>
    <w:rsid w:val="00A819A8"/>
    <w:rsid w:val="00A83D7B"/>
    <w:rsid w:val="00A842CA"/>
    <w:rsid w:val="00A85890"/>
    <w:rsid w:val="00A95865"/>
    <w:rsid w:val="00AB3E2E"/>
    <w:rsid w:val="00AB5DA0"/>
    <w:rsid w:val="00AC3F18"/>
    <w:rsid w:val="00AF22B4"/>
    <w:rsid w:val="00B55F96"/>
    <w:rsid w:val="00B848E7"/>
    <w:rsid w:val="00B878C9"/>
    <w:rsid w:val="00B87AE4"/>
    <w:rsid w:val="00B90B70"/>
    <w:rsid w:val="00BC77B1"/>
    <w:rsid w:val="00C50540"/>
    <w:rsid w:val="00C87319"/>
    <w:rsid w:val="00CA0959"/>
    <w:rsid w:val="00CD323F"/>
    <w:rsid w:val="00CD4183"/>
    <w:rsid w:val="00CE7D97"/>
    <w:rsid w:val="00D21011"/>
    <w:rsid w:val="00D30F27"/>
    <w:rsid w:val="00D8680A"/>
    <w:rsid w:val="00E01F33"/>
    <w:rsid w:val="00E0290D"/>
    <w:rsid w:val="00E37563"/>
    <w:rsid w:val="00E41BC2"/>
    <w:rsid w:val="00E9736E"/>
    <w:rsid w:val="00ED1D68"/>
    <w:rsid w:val="00EF467F"/>
    <w:rsid w:val="00F26C2F"/>
    <w:rsid w:val="00F51B18"/>
    <w:rsid w:val="00F746D5"/>
    <w:rsid w:val="00FD446D"/>
    <w:rsid w:val="00FF5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3FABD31"/>
  <w15:chartTrackingRefBased/>
  <w15:docId w15:val="{41923581-73FE-4F63-B435-7036ED0F27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E3E2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E3E2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E3E2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E3E2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E3E2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E3E2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E3E2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E3E2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E3E2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E3E2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E3E2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E3E2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E3E26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E3E26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E3E2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E3E2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E3E2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E3E2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E3E2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E3E2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E3E2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E3E2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E3E2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E3E2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E3E2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E3E26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E3E2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E3E26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E3E26"/>
    <w:rPr>
      <w:b/>
      <w:bCs/>
      <w:smallCaps/>
      <w:color w:val="2F5496" w:themeColor="accent1" w:themeShade="BF"/>
      <w:spacing w:val="5"/>
    </w:rPr>
  </w:style>
  <w:style w:type="table" w:customStyle="1" w:styleId="TableGrid1">
    <w:name w:val="Table Grid1"/>
    <w:basedOn w:val="TableNormal"/>
    <w:next w:val="TableGrid"/>
    <w:uiPriority w:val="39"/>
    <w:rsid w:val="004243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4243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a3927f91-cda1-4696-af89-8c9f1ceffa91}" enabled="0" method="" siteId="{a3927f91-cda1-4696-af89-8c9f1ceffa91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254</Words>
  <Characters>1453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Copenhagen</Company>
  <LinksUpToDate>false</LinksUpToDate>
  <CharactersWithSpaces>1704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Qian Liu</dc:creator>
  <cp:keywords/>
  <dc:description/>
  <cp:lastModifiedBy>Mrs. HJ Lotter</cp:lastModifiedBy>
  <cp:revision>2</cp:revision>
  <dcterms:created xsi:type="dcterms:W3CDTF">2025-11-20T09:50:00Z</dcterms:created>
  <dcterms:modified xsi:type="dcterms:W3CDTF">2025-11-20T09:50:00Z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Remapped">
    <vt:lpwstr>true</vt:lpwstr>
  </property>
</Properties>
</file>