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24A64" w14:textId="77777777" w:rsidR="00710035" w:rsidRPr="000F78EE" w:rsidRDefault="00710035" w:rsidP="00710035">
      <w:pPr>
        <w:spacing w:after="168" w:line="276" w:lineRule="auto"/>
        <w:jc w:val="center"/>
        <w:rPr>
          <w:rFonts w:eastAsia="Trebuchet MS"/>
          <w:b/>
          <w:color w:val="0070C0"/>
          <w:sz w:val="28"/>
          <w:szCs w:val="28"/>
        </w:rPr>
      </w:pPr>
      <w:proofErr w:type="spellStart"/>
      <w:r w:rsidRPr="000F78EE">
        <w:rPr>
          <w:rFonts w:eastAsia="Trebuchet MS"/>
          <w:b/>
          <w:color w:val="0070C0"/>
          <w:sz w:val="28"/>
          <w:szCs w:val="28"/>
        </w:rPr>
        <w:t>qtlXplorer</w:t>
      </w:r>
      <w:proofErr w:type="spellEnd"/>
      <w:r w:rsidRPr="000F78EE">
        <w:rPr>
          <w:rFonts w:eastAsia="Trebuchet MS"/>
          <w:b/>
          <w:color w:val="0070C0"/>
          <w:sz w:val="28"/>
          <w:szCs w:val="28"/>
        </w:rPr>
        <w:t xml:space="preserve">: An online systems genetics </w:t>
      </w:r>
      <w:r>
        <w:rPr>
          <w:rFonts w:eastAsia="Trebuchet MS"/>
          <w:b/>
          <w:color w:val="0070C0"/>
          <w:sz w:val="28"/>
          <w:szCs w:val="28"/>
        </w:rPr>
        <w:t xml:space="preserve">browser </w:t>
      </w:r>
      <w:r w:rsidRPr="000F78EE">
        <w:rPr>
          <w:rFonts w:eastAsia="Trebuchet MS"/>
          <w:b/>
          <w:color w:val="0070C0"/>
          <w:sz w:val="28"/>
          <w:szCs w:val="28"/>
        </w:rPr>
        <w:t xml:space="preserve">in the </w:t>
      </w:r>
      <w:r w:rsidRPr="000F78EE">
        <w:rPr>
          <w:rFonts w:eastAsia="Trebuchet MS"/>
          <w:b/>
          <w:i/>
          <w:iCs/>
          <w:color w:val="0070C0"/>
          <w:sz w:val="28"/>
          <w:szCs w:val="28"/>
        </w:rPr>
        <w:t>Eucalyptus</w:t>
      </w:r>
      <w:r w:rsidRPr="000F78EE">
        <w:rPr>
          <w:rFonts w:eastAsia="Trebuchet MS"/>
          <w:b/>
          <w:color w:val="0070C0"/>
          <w:sz w:val="28"/>
          <w:szCs w:val="28"/>
        </w:rPr>
        <w:t xml:space="preserve"> Genome Integrative Explorer (</w:t>
      </w:r>
      <w:proofErr w:type="spellStart"/>
      <w:r w:rsidRPr="000F78EE">
        <w:rPr>
          <w:rFonts w:eastAsia="Trebuchet MS"/>
          <w:b/>
          <w:color w:val="0070C0"/>
          <w:sz w:val="28"/>
          <w:szCs w:val="28"/>
        </w:rPr>
        <w:t>EucGenIE</w:t>
      </w:r>
      <w:proofErr w:type="spellEnd"/>
      <w:r w:rsidRPr="000F78EE">
        <w:rPr>
          <w:rFonts w:eastAsia="Trebuchet MS"/>
          <w:b/>
          <w:color w:val="0070C0"/>
          <w:sz w:val="28"/>
          <w:szCs w:val="28"/>
        </w:rPr>
        <w:t>)</w:t>
      </w:r>
    </w:p>
    <w:p w14:paraId="245C9AB9" w14:textId="77777777" w:rsidR="00710035" w:rsidRPr="000F78EE" w:rsidRDefault="00710035" w:rsidP="00710035">
      <w:pPr>
        <w:spacing w:after="200" w:line="480" w:lineRule="auto"/>
        <w:jc w:val="both"/>
        <w:rPr>
          <w:color w:val="000000"/>
        </w:rPr>
      </w:pPr>
    </w:p>
    <w:p w14:paraId="0FA86E1F" w14:textId="438BB954" w:rsidR="00710035" w:rsidRDefault="00710035" w:rsidP="00710035">
      <w:pPr>
        <w:pBdr>
          <w:top w:val="nil"/>
          <w:left w:val="nil"/>
          <w:bottom w:val="nil"/>
          <w:right w:val="nil"/>
          <w:between w:val="nil"/>
        </w:pBdr>
        <w:spacing w:line="480" w:lineRule="auto"/>
        <w:jc w:val="both"/>
        <w:rPr>
          <w:color w:val="000000"/>
          <w:sz w:val="22"/>
          <w:szCs w:val="22"/>
        </w:rPr>
      </w:pPr>
      <w:r>
        <w:rPr>
          <w:color w:val="000000"/>
          <w:sz w:val="22"/>
          <w:szCs w:val="22"/>
        </w:rPr>
        <w:t>Nanette Christie</w:t>
      </w:r>
      <w:r>
        <w:rPr>
          <w:color w:val="000000"/>
          <w:sz w:val="22"/>
          <w:szCs w:val="22"/>
          <w:vertAlign w:val="superscript"/>
        </w:rPr>
        <w:t>1‡*</w:t>
      </w:r>
      <w:r>
        <w:rPr>
          <w:color w:val="000000"/>
          <w:sz w:val="22"/>
          <w:szCs w:val="22"/>
        </w:rPr>
        <w:t xml:space="preserve">, </w:t>
      </w:r>
      <w:proofErr w:type="spellStart"/>
      <w:r>
        <w:rPr>
          <w:color w:val="000000"/>
          <w:sz w:val="22"/>
          <w:szCs w:val="22"/>
        </w:rPr>
        <w:t>Chanaka</w:t>
      </w:r>
      <w:proofErr w:type="spellEnd"/>
      <w:r>
        <w:rPr>
          <w:color w:val="000000"/>
          <w:sz w:val="22"/>
          <w:szCs w:val="22"/>
        </w:rPr>
        <w:t xml:space="preserve"> Mannapperuma</w:t>
      </w:r>
      <w:r>
        <w:rPr>
          <w:color w:val="000000"/>
          <w:sz w:val="22"/>
          <w:szCs w:val="22"/>
          <w:vertAlign w:val="superscript"/>
        </w:rPr>
        <w:t>2‡</w:t>
      </w:r>
      <w:r>
        <w:rPr>
          <w:color w:val="000000"/>
          <w:sz w:val="22"/>
          <w:szCs w:val="22"/>
        </w:rPr>
        <w:t>, Raphael Ployet</w:t>
      </w:r>
      <w:r>
        <w:rPr>
          <w:color w:val="000000"/>
          <w:sz w:val="22"/>
          <w:szCs w:val="22"/>
          <w:vertAlign w:val="superscript"/>
        </w:rPr>
        <w:t>1‡</w:t>
      </w:r>
      <w:r>
        <w:rPr>
          <w:color w:val="000000"/>
          <w:sz w:val="22"/>
          <w:szCs w:val="22"/>
        </w:rPr>
        <w:t>, Karen van der Merwe</w:t>
      </w:r>
      <w:r>
        <w:rPr>
          <w:color w:val="000000"/>
          <w:sz w:val="22"/>
          <w:szCs w:val="22"/>
          <w:vertAlign w:val="superscript"/>
        </w:rPr>
        <w:t>1</w:t>
      </w:r>
      <w:r>
        <w:rPr>
          <w:color w:val="000000"/>
          <w:sz w:val="22"/>
          <w:szCs w:val="22"/>
        </w:rPr>
        <w:t xml:space="preserve">, </w:t>
      </w:r>
      <w:proofErr w:type="spellStart"/>
      <w:r>
        <w:rPr>
          <w:color w:val="000000"/>
          <w:sz w:val="22"/>
          <w:szCs w:val="22"/>
        </w:rPr>
        <w:t>Niklas</w:t>
      </w:r>
      <w:proofErr w:type="spellEnd"/>
      <w:r>
        <w:rPr>
          <w:color w:val="000000"/>
          <w:sz w:val="22"/>
          <w:szCs w:val="22"/>
        </w:rPr>
        <w:t xml:space="preserve"> Mähler</w:t>
      </w:r>
      <w:r>
        <w:rPr>
          <w:color w:val="000000"/>
          <w:sz w:val="22"/>
          <w:szCs w:val="22"/>
          <w:vertAlign w:val="superscript"/>
        </w:rPr>
        <w:t>2</w:t>
      </w:r>
      <w:r>
        <w:rPr>
          <w:color w:val="000000"/>
          <w:sz w:val="22"/>
          <w:szCs w:val="22"/>
        </w:rPr>
        <w:t>, Nicolas Delhomme</w:t>
      </w:r>
      <w:r>
        <w:rPr>
          <w:color w:val="000000"/>
          <w:sz w:val="22"/>
          <w:szCs w:val="22"/>
          <w:vertAlign w:val="superscript"/>
        </w:rPr>
        <w:t>3</w:t>
      </w:r>
      <w:r>
        <w:rPr>
          <w:color w:val="000000"/>
          <w:sz w:val="22"/>
          <w:szCs w:val="22"/>
        </w:rPr>
        <w:t xml:space="preserve">, </w:t>
      </w:r>
      <w:proofErr w:type="spellStart"/>
      <w:r>
        <w:rPr>
          <w:color w:val="000000"/>
          <w:sz w:val="22"/>
          <w:szCs w:val="22"/>
        </w:rPr>
        <w:t>Sanushka</w:t>
      </w:r>
      <w:proofErr w:type="spellEnd"/>
      <w:r>
        <w:rPr>
          <w:color w:val="000000"/>
          <w:sz w:val="22"/>
          <w:szCs w:val="22"/>
        </w:rPr>
        <w:t xml:space="preserve"> Naidoo</w:t>
      </w:r>
      <w:r>
        <w:rPr>
          <w:color w:val="000000"/>
          <w:sz w:val="22"/>
          <w:szCs w:val="22"/>
          <w:vertAlign w:val="superscript"/>
        </w:rPr>
        <w:t>1</w:t>
      </w:r>
      <w:r>
        <w:rPr>
          <w:color w:val="000000"/>
          <w:sz w:val="22"/>
          <w:szCs w:val="22"/>
        </w:rPr>
        <w:t xml:space="preserve">, </w:t>
      </w:r>
      <w:proofErr w:type="spellStart"/>
      <w:r>
        <w:rPr>
          <w:color w:val="000000"/>
          <w:sz w:val="22"/>
          <w:szCs w:val="22"/>
        </w:rPr>
        <w:t>Eshchar</w:t>
      </w:r>
      <w:proofErr w:type="spellEnd"/>
      <w:r>
        <w:rPr>
          <w:color w:val="000000"/>
          <w:sz w:val="22"/>
          <w:szCs w:val="22"/>
        </w:rPr>
        <w:t xml:space="preserve"> Mizrachi</w:t>
      </w:r>
      <w:r>
        <w:rPr>
          <w:color w:val="000000"/>
          <w:sz w:val="22"/>
          <w:szCs w:val="22"/>
          <w:vertAlign w:val="superscript"/>
        </w:rPr>
        <w:t>1</w:t>
      </w:r>
      <w:r>
        <w:rPr>
          <w:color w:val="000000"/>
          <w:sz w:val="22"/>
          <w:szCs w:val="22"/>
        </w:rPr>
        <w:t>, Nathaniel R. Street</w:t>
      </w:r>
      <w:r>
        <w:rPr>
          <w:color w:val="000000"/>
          <w:sz w:val="22"/>
          <w:szCs w:val="22"/>
          <w:vertAlign w:val="superscript"/>
        </w:rPr>
        <w:t>2*</w:t>
      </w:r>
      <w:r>
        <w:rPr>
          <w:color w:val="000000"/>
          <w:sz w:val="22"/>
          <w:szCs w:val="22"/>
        </w:rPr>
        <w:t>, Alexander A. Myburg</w:t>
      </w:r>
      <w:r>
        <w:rPr>
          <w:color w:val="000000"/>
          <w:sz w:val="22"/>
          <w:szCs w:val="22"/>
          <w:vertAlign w:val="superscript"/>
        </w:rPr>
        <w:t>1</w:t>
      </w:r>
    </w:p>
    <w:p w14:paraId="4B9564FE" w14:textId="77777777" w:rsidR="00710035" w:rsidRDefault="00710035" w:rsidP="00710035">
      <w:pPr>
        <w:spacing w:line="480" w:lineRule="auto"/>
        <w:rPr>
          <w:color w:val="000000"/>
          <w:sz w:val="22"/>
          <w:szCs w:val="22"/>
        </w:rPr>
      </w:pPr>
    </w:p>
    <w:p w14:paraId="3D5033EC" w14:textId="77777777" w:rsidR="00710035" w:rsidRDefault="00710035" w:rsidP="00710035">
      <w:pPr>
        <w:spacing w:line="480" w:lineRule="auto"/>
        <w:rPr>
          <w:color w:val="000000"/>
          <w:sz w:val="22"/>
          <w:szCs w:val="22"/>
        </w:rPr>
      </w:pPr>
      <w:r>
        <w:rPr>
          <w:color w:val="000000"/>
          <w:sz w:val="22"/>
          <w:szCs w:val="22"/>
          <w:vertAlign w:val="superscript"/>
        </w:rPr>
        <w:t>1</w:t>
      </w:r>
      <w:r>
        <w:rPr>
          <w:color w:val="000000"/>
          <w:sz w:val="22"/>
          <w:szCs w:val="22"/>
        </w:rPr>
        <w:t xml:space="preserve">Department of Biochemistry, Genetics and Microbiology, Forestry and Agricultural Biotechnology Institute (FABI), University of Pretoria, Private bag X20, Pretoria, 0028, South Africa; </w:t>
      </w:r>
      <w:r>
        <w:rPr>
          <w:color w:val="000000"/>
          <w:sz w:val="22"/>
          <w:szCs w:val="22"/>
          <w:vertAlign w:val="superscript"/>
        </w:rPr>
        <w:t>2</w:t>
      </w:r>
      <w:r>
        <w:rPr>
          <w:color w:val="000000"/>
          <w:sz w:val="22"/>
          <w:szCs w:val="22"/>
        </w:rPr>
        <w:t xml:space="preserve">Umeå Plant Science Centre, Department of Plant Physiology, </w:t>
      </w:r>
      <w:proofErr w:type="spellStart"/>
      <w:r>
        <w:rPr>
          <w:color w:val="000000"/>
          <w:sz w:val="22"/>
          <w:szCs w:val="22"/>
        </w:rPr>
        <w:t>Umeå</w:t>
      </w:r>
      <w:proofErr w:type="spellEnd"/>
      <w:r>
        <w:rPr>
          <w:color w:val="000000"/>
          <w:sz w:val="22"/>
          <w:szCs w:val="22"/>
        </w:rPr>
        <w:t xml:space="preserve"> University, SE-907 81 </w:t>
      </w:r>
      <w:proofErr w:type="spellStart"/>
      <w:r>
        <w:rPr>
          <w:color w:val="000000"/>
          <w:sz w:val="22"/>
          <w:szCs w:val="22"/>
        </w:rPr>
        <w:t>Umeå</w:t>
      </w:r>
      <w:proofErr w:type="spellEnd"/>
      <w:r>
        <w:rPr>
          <w:color w:val="000000"/>
          <w:sz w:val="22"/>
          <w:szCs w:val="22"/>
        </w:rPr>
        <w:t xml:space="preserve">, Sweden; </w:t>
      </w:r>
      <w:r>
        <w:rPr>
          <w:color w:val="000000"/>
          <w:sz w:val="22"/>
          <w:szCs w:val="22"/>
          <w:vertAlign w:val="superscript"/>
        </w:rPr>
        <w:t>3</w:t>
      </w:r>
      <w:r>
        <w:rPr>
          <w:color w:val="000000"/>
          <w:sz w:val="22"/>
          <w:szCs w:val="22"/>
        </w:rPr>
        <w:t xml:space="preserve"> </w:t>
      </w:r>
      <w:proofErr w:type="spellStart"/>
      <w:r>
        <w:rPr>
          <w:color w:val="000000"/>
          <w:sz w:val="22"/>
          <w:szCs w:val="22"/>
        </w:rPr>
        <w:t>Umeå</w:t>
      </w:r>
      <w:proofErr w:type="spellEnd"/>
      <w:r>
        <w:rPr>
          <w:color w:val="000000"/>
          <w:sz w:val="22"/>
          <w:szCs w:val="22"/>
        </w:rPr>
        <w:t xml:space="preserve"> Plant Science Centre, Department of Forest Genetics and Plant Physiology, Swedish University of Agricultural Sciences, SE-901 83 </w:t>
      </w:r>
      <w:proofErr w:type="spellStart"/>
      <w:r>
        <w:rPr>
          <w:color w:val="000000"/>
          <w:sz w:val="22"/>
          <w:szCs w:val="22"/>
        </w:rPr>
        <w:t>Umeå</w:t>
      </w:r>
      <w:proofErr w:type="spellEnd"/>
      <w:r>
        <w:rPr>
          <w:color w:val="000000"/>
          <w:sz w:val="22"/>
          <w:szCs w:val="22"/>
        </w:rPr>
        <w:t>, Sweden.</w:t>
      </w:r>
    </w:p>
    <w:p w14:paraId="48E4C1CC" w14:textId="77777777" w:rsidR="00710035" w:rsidRDefault="00710035" w:rsidP="00710035">
      <w:pPr>
        <w:tabs>
          <w:tab w:val="left" w:pos="8820"/>
        </w:tabs>
        <w:spacing w:line="480" w:lineRule="auto"/>
        <w:rPr>
          <w:color w:val="000000"/>
          <w:sz w:val="22"/>
          <w:szCs w:val="22"/>
        </w:rPr>
      </w:pPr>
      <w:r>
        <w:rPr>
          <w:color w:val="000000"/>
          <w:sz w:val="22"/>
          <w:szCs w:val="22"/>
        </w:rPr>
        <w:t>‡ These authors contributed equally to this work</w:t>
      </w:r>
    </w:p>
    <w:p w14:paraId="0AEB7984" w14:textId="77777777" w:rsidR="00710035" w:rsidRPr="00D82421" w:rsidRDefault="00710035" w:rsidP="00710035">
      <w:pPr>
        <w:tabs>
          <w:tab w:val="left" w:pos="8820"/>
        </w:tabs>
        <w:spacing w:line="480" w:lineRule="auto"/>
        <w:rPr>
          <w:color w:val="000000"/>
          <w:sz w:val="22"/>
          <w:szCs w:val="22"/>
        </w:rPr>
      </w:pPr>
      <w:r>
        <w:rPr>
          <w:color w:val="000000"/>
          <w:sz w:val="22"/>
          <w:szCs w:val="22"/>
        </w:rPr>
        <w:t>*Correspondence: Nanette Christie,</w:t>
      </w:r>
      <w:r>
        <w:rPr>
          <w:color w:val="000000"/>
          <w:sz w:val="22"/>
          <w:szCs w:val="22"/>
          <w:vertAlign w:val="superscript"/>
        </w:rPr>
        <w:t xml:space="preserve"> </w:t>
      </w:r>
      <w:r>
        <w:rPr>
          <w:color w:val="000000"/>
          <w:sz w:val="22"/>
          <w:szCs w:val="22"/>
        </w:rPr>
        <w:t xml:space="preserve">E-mail: </w:t>
      </w:r>
      <w:hyperlink r:id="rId6" w:history="1">
        <w:r>
          <w:rPr>
            <w:rStyle w:val="Hyperlink"/>
            <w:sz w:val="22"/>
            <w:szCs w:val="22"/>
          </w:rPr>
          <w:t>nanette.christie</w:t>
        </w:r>
        <w:r w:rsidRPr="008A3BD7">
          <w:rPr>
            <w:rStyle w:val="Hyperlink"/>
            <w:sz w:val="22"/>
            <w:szCs w:val="22"/>
          </w:rPr>
          <w:t>@</w:t>
        </w:r>
        <w:r>
          <w:rPr>
            <w:rStyle w:val="Hyperlink"/>
            <w:sz w:val="22"/>
            <w:szCs w:val="22"/>
          </w:rPr>
          <w:t>fabi.</w:t>
        </w:r>
        <w:r w:rsidRPr="008A3BD7">
          <w:rPr>
            <w:rStyle w:val="Hyperlink"/>
            <w:sz w:val="22"/>
            <w:szCs w:val="22"/>
          </w:rPr>
          <w:t>up.ac.za</w:t>
        </w:r>
      </w:hyperlink>
    </w:p>
    <w:p w14:paraId="06A17E98" w14:textId="77777777" w:rsidR="00710035" w:rsidRPr="00D82421" w:rsidRDefault="00710035" w:rsidP="00710035">
      <w:pPr>
        <w:tabs>
          <w:tab w:val="left" w:pos="8820"/>
        </w:tabs>
        <w:spacing w:line="480" w:lineRule="auto"/>
        <w:rPr>
          <w:color w:val="000000"/>
          <w:sz w:val="22"/>
          <w:szCs w:val="22"/>
        </w:rPr>
      </w:pPr>
      <w:r>
        <w:rPr>
          <w:sz w:val="22"/>
          <w:szCs w:val="22"/>
        </w:rPr>
        <w:t xml:space="preserve">                              Nathaniel R. Street, E-mail: </w:t>
      </w:r>
      <w:hyperlink r:id="rId7" w:history="1">
        <w:r w:rsidRPr="002A563C">
          <w:rPr>
            <w:rStyle w:val="Hyperlink"/>
            <w:sz w:val="22"/>
            <w:szCs w:val="22"/>
          </w:rPr>
          <w:t>nathaniel.street@umu.se</w:t>
        </w:r>
      </w:hyperlink>
      <w:r>
        <w:rPr>
          <w:sz w:val="22"/>
          <w:szCs w:val="22"/>
        </w:rPr>
        <w:t xml:space="preserve"> </w:t>
      </w:r>
    </w:p>
    <w:p w14:paraId="7C824530" w14:textId="77777777" w:rsidR="00710035" w:rsidRDefault="00710035" w:rsidP="00710035">
      <w:pPr>
        <w:spacing w:line="480" w:lineRule="auto"/>
        <w:rPr>
          <w:color w:val="000000"/>
          <w:sz w:val="22"/>
          <w:szCs w:val="22"/>
        </w:rPr>
      </w:pPr>
      <w:r>
        <w:rPr>
          <w:color w:val="000000"/>
          <w:sz w:val="22"/>
          <w:szCs w:val="22"/>
        </w:rPr>
        <w:t xml:space="preserve"> </w:t>
      </w:r>
    </w:p>
    <w:p w14:paraId="2CA53694" w14:textId="77777777" w:rsidR="00710035" w:rsidRDefault="00710035" w:rsidP="00710035">
      <w:pPr>
        <w:spacing w:line="480" w:lineRule="auto"/>
        <w:rPr>
          <w:b/>
          <w:color w:val="7030A0"/>
          <w:sz w:val="22"/>
          <w:szCs w:val="22"/>
        </w:rPr>
      </w:pPr>
    </w:p>
    <w:p w14:paraId="592B9438" w14:textId="77777777" w:rsidR="00710035" w:rsidRDefault="00710035" w:rsidP="00710035">
      <w:pPr>
        <w:spacing w:line="480" w:lineRule="auto"/>
        <w:rPr>
          <w:color w:val="000000"/>
          <w:sz w:val="22"/>
          <w:szCs w:val="22"/>
        </w:rPr>
      </w:pPr>
      <w:bookmarkStart w:id="0" w:name="_heading=h.30j0zll" w:colFirst="0" w:colLast="0"/>
      <w:bookmarkEnd w:id="0"/>
      <w:r>
        <w:rPr>
          <w:b/>
          <w:color w:val="000000"/>
          <w:sz w:val="22"/>
          <w:szCs w:val="22"/>
        </w:rPr>
        <w:t xml:space="preserve">Key words (3-10 keywords): </w:t>
      </w:r>
      <w:proofErr w:type="spellStart"/>
      <w:r>
        <w:rPr>
          <w:color w:val="000000"/>
          <w:sz w:val="22"/>
          <w:szCs w:val="22"/>
        </w:rPr>
        <w:t>qtlXplorer</w:t>
      </w:r>
      <w:proofErr w:type="spellEnd"/>
      <w:r>
        <w:rPr>
          <w:color w:val="000000"/>
          <w:sz w:val="22"/>
          <w:szCs w:val="22"/>
        </w:rPr>
        <w:t xml:space="preserve">, </w:t>
      </w:r>
      <w:r>
        <w:rPr>
          <w:i/>
          <w:color w:val="000000"/>
          <w:sz w:val="22"/>
          <w:szCs w:val="22"/>
        </w:rPr>
        <w:t>Eucalyptus</w:t>
      </w:r>
      <w:r>
        <w:rPr>
          <w:color w:val="000000"/>
          <w:sz w:val="22"/>
          <w:szCs w:val="22"/>
        </w:rPr>
        <w:t xml:space="preserve">, </w:t>
      </w:r>
      <w:proofErr w:type="spellStart"/>
      <w:r>
        <w:rPr>
          <w:color w:val="000000"/>
          <w:sz w:val="22"/>
          <w:szCs w:val="22"/>
        </w:rPr>
        <w:t>EucGenIE</w:t>
      </w:r>
      <w:proofErr w:type="spellEnd"/>
      <w:r>
        <w:rPr>
          <w:color w:val="000000"/>
          <w:sz w:val="22"/>
          <w:szCs w:val="22"/>
        </w:rPr>
        <w:t xml:space="preserve">, systems genetics, </w:t>
      </w:r>
      <w:proofErr w:type="spellStart"/>
      <w:r>
        <w:rPr>
          <w:color w:val="000000"/>
          <w:sz w:val="22"/>
          <w:szCs w:val="22"/>
        </w:rPr>
        <w:t>eQTL</w:t>
      </w:r>
      <w:proofErr w:type="spellEnd"/>
      <w:r>
        <w:rPr>
          <w:color w:val="000000"/>
          <w:sz w:val="22"/>
          <w:szCs w:val="22"/>
        </w:rPr>
        <w:t xml:space="preserve">, co-expression, </w:t>
      </w:r>
      <w:r>
        <w:rPr>
          <w:sz w:val="22"/>
          <w:szCs w:val="22"/>
        </w:rPr>
        <w:t xml:space="preserve">‘omics </w:t>
      </w:r>
      <w:r>
        <w:rPr>
          <w:color w:val="000000"/>
          <w:sz w:val="22"/>
          <w:szCs w:val="22"/>
        </w:rPr>
        <w:t>integration, online resource, database, genome browser</w:t>
      </w:r>
    </w:p>
    <w:p w14:paraId="5303ECC5" w14:textId="11508618" w:rsidR="004962D1" w:rsidRDefault="004962D1" w:rsidP="004962D1">
      <w:pPr>
        <w:spacing w:line="480" w:lineRule="auto"/>
        <w:rPr>
          <w:color w:val="000000"/>
          <w:sz w:val="22"/>
          <w:szCs w:val="22"/>
        </w:rPr>
      </w:pPr>
      <w:r>
        <w:rPr>
          <w:color w:val="000000"/>
          <w:sz w:val="22"/>
          <w:szCs w:val="22"/>
        </w:rPr>
        <w:t xml:space="preserve"> </w:t>
      </w:r>
    </w:p>
    <w:p w14:paraId="6ACB97E0" w14:textId="0D3166F2" w:rsidR="004962D1" w:rsidRDefault="004962D1" w:rsidP="004962D1">
      <w:pPr>
        <w:spacing w:line="480" w:lineRule="auto"/>
        <w:rPr>
          <w:color w:val="000000"/>
          <w:sz w:val="22"/>
          <w:szCs w:val="22"/>
        </w:rPr>
      </w:pPr>
    </w:p>
    <w:p w14:paraId="3122928D" w14:textId="77777777" w:rsidR="004962D1" w:rsidRDefault="004962D1">
      <w:pPr>
        <w:rPr>
          <w:b/>
        </w:rPr>
      </w:pPr>
      <w:r>
        <w:rPr>
          <w:b/>
        </w:rPr>
        <w:br w:type="page"/>
      </w:r>
    </w:p>
    <w:p w14:paraId="00000001" w14:textId="1F8E4CBC" w:rsidR="00DC0816" w:rsidRDefault="00391DD5">
      <w:pPr>
        <w:shd w:val="clear" w:color="auto" w:fill="FFFFFF"/>
        <w:tabs>
          <w:tab w:val="left" w:pos="0"/>
        </w:tabs>
        <w:spacing w:line="480" w:lineRule="auto"/>
        <w:jc w:val="both"/>
        <w:rPr>
          <w:b/>
          <w:color w:val="000000"/>
        </w:rPr>
      </w:pPr>
      <w:r>
        <w:rPr>
          <w:b/>
        </w:rPr>
        <w:lastRenderedPageBreak/>
        <w:t xml:space="preserve">Additional File 2: </w:t>
      </w:r>
      <w:r>
        <w:rPr>
          <w:b/>
          <w:color w:val="000000"/>
        </w:rPr>
        <w:t>Method S1</w:t>
      </w:r>
      <w:r>
        <w:rPr>
          <w:b/>
        </w:rPr>
        <w:t>.</w:t>
      </w:r>
      <w:r>
        <w:rPr>
          <w:b/>
          <w:color w:val="000000"/>
        </w:rPr>
        <w:t xml:space="preserve"> Expression profiling of RNA-</w:t>
      </w:r>
      <w:proofErr w:type="spellStart"/>
      <w:r>
        <w:rPr>
          <w:b/>
          <w:color w:val="000000"/>
        </w:rPr>
        <w:t>seq</w:t>
      </w:r>
      <w:proofErr w:type="spellEnd"/>
      <w:r>
        <w:rPr>
          <w:b/>
          <w:color w:val="000000"/>
        </w:rPr>
        <w:t xml:space="preserve"> datasets </w:t>
      </w:r>
    </w:p>
    <w:p w14:paraId="00000002" w14:textId="77777777" w:rsidR="00DC0816" w:rsidRDefault="00391DD5">
      <w:pPr>
        <w:shd w:val="clear" w:color="auto" w:fill="FFFFFF"/>
        <w:tabs>
          <w:tab w:val="left" w:pos="0"/>
        </w:tabs>
        <w:spacing w:line="480" w:lineRule="auto"/>
        <w:jc w:val="both"/>
        <w:rPr>
          <w:color w:val="000000"/>
          <w:sz w:val="22"/>
          <w:szCs w:val="22"/>
        </w:rPr>
      </w:pPr>
      <w:r>
        <w:rPr>
          <w:color w:val="000000"/>
          <w:sz w:val="22"/>
          <w:szCs w:val="22"/>
          <w:u w:val="single"/>
        </w:rPr>
        <w:t>Population RNA-</w:t>
      </w:r>
      <w:proofErr w:type="spellStart"/>
      <w:r>
        <w:rPr>
          <w:color w:val="000000"/>
          <w:sz w:val="22"/>
          <w:szCs w:val="22"/>
          <w:u w:val="single"/>
        </w:rPr>
        <w:t>seq</w:t>
      </w:r>
      <w:proofErr w:type="spellEnd"/>
      <w:r>
        <w:rPr>
          <w:color w:val="000000"/>
          <w:sz w:val="22"/>
          <w:szCs w:val="22"/>
          <w:u w:val="single"/>
        </w:rPr>
        <w:t xml:space="preserve"> datasets (to be explored with </w:t>
      </w:r>
      <w:proofErr w:type="spellStart"/>
      <w:r>
        <w:rPr>
          <w:color w:val="000000"/>
          <w:sz w:val="22"/>
          <w:szCs w:val="22"/>
          <w:u w:val="single"/>
        </w:rPr>
        <w:t>qtlXplorer</w:t>
      </w:r>
      <w:proofErr w:type="spellEnd"/>
      <w:r>
        <w:rPr>
          <w:color w:val="000000"/>
          <w:sz w:val="22"/>
          <w:szCs w:val="22"/>
          <w:u w:val="single"/>
        </w:rPr>
        <w:t>)</w:t>
      </w:r>
    </w:p>
    <w:p w14:paraId="00000003" w14:textId="7EDFB307" w:rsidR="00DC0816" w:rsidRDefault="00391DD5">
      <w:pPr>
        <w:shd w:val="clear" w:color="auto" w:fill="FFFFFF"/>
        <w:spacing w:line="480" w:lineRule="auto"/>
        <w:ind w:firstLine="720"/>
        <w:jc w:val="both"/>
        <w:rPr>
          <w:color w:val="000000"/>
          <w:sz w:val="22"/>
          <w:szCs w:val="22"/>
        </w:rPr>
      </w:pPr>
      <w:r>
        <w:rPr>
          <w:color w:val="000000"/>
          <w:sz w:val="22"/>
          <w:szCs w:val="22"/>
        </w:rPr>
        <w:t>RNA sequencing of wood forming tissues of 283 F2 backcross individuals (1</w:t>
      </w:r>
      <w:r>
        <w:rPr>
          <w:sz w:val="22"/>
          <w:szCs w:val="22"/>
        </w:rPr>
        <w:t>56</w:t>
      </w:r>
      <w:r>
        <w:rPr>
          <w:color w:val="000000"/>
          <w:sz w:val="22"/>
          <w:szCs w:val="22"/>
        </w:rPr>
        <w:t xml:space="preserve"> from the </w:t>
      </w:r>
      <w:r>
        <w:rPr>
          <w:i/>
          <w:color w:val="000000"/>
          <w:sz w:val="22"/>
          <w:szCs w:val="22"/>
        </w:rPr>
        <w:t xml:space="preserve">E. </w:t>
      </w:r>
      <w:proofErr w:type="spellStart"/>
      <w:r>
        <w:rPr>
          <w:i/>
          <w:color w:val="000000"/>
          <w:sz w:val="22"/>
          <w:szCs w:val="22"/>
        </w:rPr>
        <w:t>urophylla</w:t>
      </w:r>
      <w:proofErr w:type="spellEnd"/>
      <w:r>
        <w:rPr>
          <w:i/>
          <w:color w:val="000000"/>
          <w:sz w:val="22"/>
          <w:szCs w:val="22"/>
        </w:rPr>
        <w:t xml:space="preserve"> </w:t>
      </w:r>
      <w:r>
        <w:rPr>
          <w:color w:val="000000"/>
          <w:sz w:val="22"/>
          <w:szCs w:val="22"/>
        </w:rPr>
        <w:t xml:space="preserve">and 118 from the </w:t>
      </w:r>
      <w:r>
        <w:rPr>
          <w:i/>
          <w:color w:val="000000"/>
          <w:sz w:val="22"/>
          <w:szCs w:val="22"/>
        </w:rPr>
        <w:t>E. grandis</w:t>
      </w:r>
      <w:r>
        <w:rPr>
          <w:color w:val="000000"/>
          <w:sz w:val="22"/>
          <w:szCs w:val="22"/>
        </w:rPr>
        <w:t xml:space="preserve"> backcross population, respectively) was performed. The population-wide sequences have been deposited in the NCBI Sequence Read Archive, accession no. </w:t>
      </w:r>
      <w:r w:rsidR="00D75E17" w:rsidRPr="00764278">
        <w:rPr>
          <w:sz w:val="22"/>
          <w:szCs w:val="22"/>
          <w:lang w:eastAsia="en-ZA"/>
        </w:rPr>
        <w:t xml:space="preserve">SUB2087452 </w:t>
      </w:r>
      <w:r>
        <w:rPr>
          <w:color w:val="000000"/>
          <w:sz w:val="22"/>
          <w:szCs w:val="22"/>
        </w:rPr>
        <w:t>(</w:t>
      </w:r>
      <w:r>
        <w:rPr>
          <w:i/>
          <w:color w:val="000000"/>
          <w:sz w:val="22"/>
          <w:szCs w:val="22"/>
        </w:rPr>
        <w:t xml:space="preserve">E. </w:t>
      </w:r>
      <w:proofErr w:type="spellStart"/>
      <w:r>
        <w:rPr>
          <w:i/>
          <w:color w:val="000000"/>
          <w:sz w:val="22"/>
          <w:szCs w:val="22"/>
        </w:rPr>
        <w:t>urophylla</w:t>
      </w:r>
      <w:proofErr w:type="spellEnd"/>
      <w:r>
        <w:rPr>
          <w:color w:val="000000"/>
          <w:sz w:val="22"/>
          <w:szCs w:val="22"/>
        </w:rPr>
        <w:t xml:space="preserve"> backcross population) and </w:t>
      </w:r>
      <w:r w:rsidR="00D75E17" w:rsidRPr="00764278">
        <w:rPr>
          <w:sz w:val="22"/>
          <w:szCs w:val="22"/>
          <w:lang w:eastAsia="en-ZA"/>
        </w:rPr>
        <w:t xml:space="preserve">SUB4571814 </w:t>
      </w:r>
      <w:r>
        <w:rPr>
          <w:color w:val="000000"/>
          <w:sz w:val="22"/>
          <w:szCs w:val="22"/>
        </w:rPr>
        <w:t>(</w:t>
      </w:r>
      <w:r>
        <w:rPr>
          <w:i/>
          <w:color w:val="000000"/>
          <w:sz w:val="22"/>
          <w:szCs w:val="22"/>
        </w:rPr>
        <w:t>E. grandis</w:t>
      </w:r>
      <w:r>
        <w:rPr>
          <w:color w:val="000000"/>
          <w:sz w:val="22"/>
          <w:szCs w:val="22"/>
        </w:rPr>
        <w:t xml:space="preserve"> backcross population). Fragments Per Kilobase of transcript per Million mapped reads (FPKM) were calculated per gene model using </w:t>
      </w:r>
      <w:proofErr w:type="spellStart"/>
      <w:r>
        <w:rPr>
          <w:color w:val="000000"/>
          <w:sz w:val="22"/>
          <w:szCs w:val="22"/>
        </w:rPr>
        <w:t>TopHat</w:t>
      </w:r>
      <w:proofErr w:type="spellEnd"/>
      <w:r>
        <w:rPr>
          <w:color w:val="000000"/>
          <w:sz w:val="22"/>
          <w:szCs w:val="22"/>
        </w:rPr>
        <w:t xml:space="preserve"> version 1.3 and Cufflinks version 1.0.3 (bias correction and quartile normalization was enabled for the FPKM calculation) </w:t>
      </w:r>
      <w:r w:rsidR="004962D1">
        <w:rPr>
          <w:color w:val="000000"/>
          <w:sz w:val="22"/>
          <w:szCs w:val="22"/>
        </w:rPr>
        <w:fldChar w:fldCharType="begin" w:fldLock="1"/>
      </w:r>
      <w:r w:rsidR="004962D1">
        <w:rPr>
          <w:color w:val="000000"/>
          <w:sz w:val="22"/>
          <w:szCs w:val="22"/>
        </w:rPr>
        <w:instrText>ADDIN CSL_CITATION {"citationItems":[{"id":"ITEM-1","itemData":{"DOI":"10.1186/gb-2013-14-4-r36","ISSN":"1474760X","PMID":"23618408","abstract":"TopHat is a popular spliced aligner for RNA-sequence (RNA-seq) experiments. In this paper, we describe TopHat2, which incorporates many significant enhancements to TopHat. TopHat2 can align reads of various lengths produced by the latest sequencing technologies, while allowing for variable-length indels with respect to the reference genome. In addition to de novo spliced alignment, TopHat2 can align reads across fusion breaks, which can occur after genomic translocations. TopHat2 combines the ability to identify novel splice sites with direct mapping to known transcripts, producing sensitive and accurate alignments, even for highly repetitive genomes or in the presence of pseudogenes. TopHat2 is available at http://ccb.jhu.edu/software/tophat. © 2013 Kim et al.; licensee BioMed Central Ltd.","author":[{"dropping-particle":"","family":"Kim","given":"Daehwan","non-dropping-particle":"","parse-names":false,"suffix":""},{"dropping-particle":"","family":"Pertea","given":"Geo","non-dropping-particle":"","parse-names":false,"suffix":""},{"dropping-particle":"","family":"Trapnell","given":"Cole","non-dropping-particle":"","parse-names":false,"suffix":""},{"dropping-particle":"","family":"Pimentel","given":"Harold","non-dropping-particle":"","parse-names":false,"suffix":""},{"dropping-particle":"","family":"Kelley","given":"Ryan","non-dropping-particle":"","parse-names":false,"suffix":""},{"dropping-particle":"","family":"Salzberg","given":"Steven L.","non-dropping-particle":"","parse-names":false,"suffix":""}],"container-title":"Genome Biology","id":"ITEM-1","issue":"4","issued":{"date-parts":[["2013"]]},"page":"1-13","title":"TopHat2: Accurate alignment of transcriptomes in the presence of insertions, deletions and gene fusions.","type":"article-journal","volume":"14"},"uris":["http://www.mendeley.com/documents/?uuid=9e99aa33-6d74-4623-9000-d1ff095c8bc3"]},{"id":"ITEM-2","itemData":{"DOI":"10.1038/nprot.2012.016.Differential","author":[{"dropping-particle":"","family":"Trapnell","given":"Cole","non-dropping-particle":"","parse-names":false,"suffix":""},{"dropping-particle":"","family":"Roberts","given":"Adam","non-dropping-particle":"","parse-names":false,"suffix":""},{"dropping-particle":"","family":"Goff","given":"Loyal","non-dropping-particle":"","parse-names":false,"suffix":""},{"dropping-particle":"","family":"Pertea","given":"Geo","non-dropping-particle":"","parse-names":false,"suffix":""},{"dropping-particle":"","family":"Kim","given":"Daehwan","non-dropping-particle":"","parse-names":false,"suffix":""},{"dropping-particle":"","family":"R","given":"David","non-dropping-particle":"","parse-names":false,"suffix":""},{"dropping-particle":"","family":"Kelley","given":"","non-dropping-particle":"","parse-names":false,"suffix":""},{"dropping-particle":"","family":"Pimentel","given":"Harold","non-dropping-particle":"","parse-names":false,"suffix":""},{"dropping-particle":"","family":"Salzberg","given":"Steven L","non-dropping-particle":"","parse-names":false,"suffix":""},{"dropping-particle":"","family":"Rinn","given":"John L","non-dropping-particle":"","parse-names":false,"suffix":""},{"dropping-particle":"","family":"Pachter","given":"Lior","non-dropping-particle":"","parse-names":false,"suffix":""}],"container-title":"Nature Protocols","id":"ITEM-2","issue":"3","issued":{"date-parts":[["2013"]]},"page":"562-578","title":"Differential gene and transcript expression analysis of RNA-seq experiments with TopHat and Cufflinks","type":"article-journal","volume":"7"},"uris":["http://www.mendeley.com/documents/?uuid=93266d63-3df0-4a2f-a409-af44e84d2de0"]}],"mendeley":{"formattedCitation":"[1,2]","plainTextFormattedCitation":"[1,2]","previouslyFormattedCitation":"[1,2]"},"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[1,2]</w:t>
      </w:r>
      <w:r w:rsidR="004962D1">
        <w:rPr>
          <w:color w:val="000000"/>
          <w:sz w:val="22"/>
          <w:szCs w:val="22"/>
        </w:rPr>
        <w:fldChar w:fldCharType="end"/>
      </w:r>
      <w:r>
        <w:rPr>
          <w:color w:val="000000"/>
          <w:sz w:val="22"/>
          <w:szCs w:val="22"/>
        </w:rPr>
        <w:t xml:space="preserve"> for each backcross population. The R package WGCNA v1.62 </w:t>
      </w:r>
      <w:r w:rsidR="004962D1">
        <w:rPr>
          <w:color w:val="000000"/>
          <w:sz w:val="22"/>
          <w:szCs w:val="22"/>
        </w:rPr>
        <w:fldChar w:fldCharType="begin" w:fldLock="1"/>
      </w:r>
      <w:r w:rsidR="004962D1">
        <w:rPr>
          <w:color w:val="000000"/>
          <w:sz w:val="22"/>
          <w:szCs w:val="22"/>
        </w:rPr>
        <w:instrText>ADDIN CSL_CITATION {"citationItems":[{"id":"ITEM-1","itemData":{"DOI":"10.1093/bioinformatics/btm563","ISSN":"1367-4811","PMID":"18024473","abstract":"SUMMARY: Hierarchical clustering is a widely used method for detecting clusters in genomic data. Clusters are defined by cutting branches off the dendrogram. A common but inflexible method uses a constant height cutoff value; this method exhibits suboptimal performance on complicated dendrograms. We present the Dynamic Tree Cut R package that implements novel dynamic branch cutting methods for detecting clusters in a dendrogram depending on their shape. Compared to the constant height cutoff method, our techniques offer the following advantages: (1) they are capable of identifying nested clusters; (2) they are flexible-cluster shape parameters can be tuned to suit the application at hand; (3) they are suitable for automation; and (4) they can optionally combine the advantages of hierarchical clustering and partitioning around medoids, giving better detection of outliers. We illustrate the use of these methods by applying them to protein-protein interaction network data and to a simulated gene expression data set. AVAILABILITY: The Dynamic Tree Cut method is implemented in an R package available at http://www.genetics.ucla.edu/labs/horvath/CoexpressionNetwork/BranchCutting.","author":[{"dropping-particle":"","family":"Langfelder","given":"Peter","non-dropping-particle":"","parse-names":false,"suffix":""},{"dropping-particle":"","family":"Zhang","given":"Bin","non-dropping-particle":"","parse-names":false,"suffix":""},{"dropping-particle":"","family":"Horvath","given":"Steve","non-dropping-particle":"","parse-names":false,"suffix":""}],"container-title":"Bioinformatics (Oxford, England)","id":"ITEM-1","issue":"5","issued":{"date-parts":[["2008","3","1"]]},"page":"719-20","title":"Defining clusters from a hierarchical cluster tree: the Dynamic Tree Cut package for R.","type":"article-journal","volume":"24"},"uris":["http://www.mendeley.com/documents/?uuid=474f86c6-ff2a-43ca-9d1b-c7671a5fb338"]}],"mendeley":{"formattedCitation":"[3]","plainTextFormattedCitation":"[3]","previouslyFormattedCitation":"[3]"},"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[3]</w:t>
      </w:r>
      <w:r w:rsidR="004962D1">
        <w:rPr>
          <w:color w:val="000000"/>
          <w:sz w:val="22"/>
          <w:szCs w:val="22"/>
        </w:rPr>
        <w:fldChar w:fldCharType="end"/>
      </w:r>
      <w:r w:rsidR="004962D1">
        <w:rPr>
          <w:color w:val="000000"/>
          <w:sz w:val="22"/>
          <w:szCs w:val="22"/>
        </w:rPr>
        <w:t xml:space="preserve"> </w:t>
      </w:r>
      <w:r>
        <w:rPr>
          <w:color w:val="000000"/>
          <w:sz w:val="22"/>
          <w:szCs w:val="22"/>
        </w:rPr>
        <w:t xml:space="preserve">was used </w:t>
      </w:r>
      <w:r w:rsidRPr="00EC0E32">
        <w:rPr>
          <w:color w:val="000000"/>
          <w:sz w:val="22"/>
          <w:szCs w:val="22"/>
        </w:rPr>
        <w:t xml:space="preserve">for generating modules of highly correlated genes based on the gene expression profiles across individuals, for each backcross population. In order to ensure </w:t>
      </w:r>
      <w:r w:rsidRPr="00EC0E32">
        <w:rPr>
          <w:sz w:val="22"/>
          <w:szCs w:val="22"/>
        </w:rPr>
        <w:t>good scale free topology fit of the networks (R</w:t>
      </w:r>
      <w:r w:rsidRPr="00EC0E32">
        <w:rPr>
          <w:sz w:val="22"/>
          <w:szCs w:val="22"/>
          <w:vertAlign w:val="superscript"/>
        </w:rPr>
        <w:t>2</w:t>
      </w:r>
      <w:r w:rsidRPr="00EC0E32">
        <w:rPr>
          <w:rFonts w:eastAsia="Gungsuh"/>
          <w:sz w:val="22"/>
          <w:szCs w:val="22"/>
        </w:rPr>
        <w:t xml:space="preserve"> ≥ 0.8), </w:t>
      </w:r>
      <w:r w:rsidRPr="00EC0E32">
        <w:rPr>
          <w:color w:val="000000"/>
          <w:sz w:val="22"/>
          <w:szCs w:val="22"/>
        </w:rPr>
        <w:t>soft thresholding powers of 4 and 2, w</w:t>
      </w:r>
      <w:r w:rsidRPr="00EC0E32">
        <w:rPr>
          <w:sz w:val="22"/>
          <w:szCs w:val="22"/>
        </w:rPr>
        <w:t>ere</w:t>
      </w:r>
      <w:r w:rsidRPr="00EC0E32">
        <w:rPr>
          <w:color w:val="000000"/>
          <w:sz w:val="22"/>
          <w:szCs w:val="22"/>
        </w:rPr>
        <w:t xml:space="preserve"> used to calculate adjacency matrices for the </w:t>
      </w:r>
      <w:r w:rsidRPr="00EC0E32">
        <w:rPr>
          <w:i/>
          <w:color w:val="000000"/>
          <w:sz w:val="22"/>
          <w:szCs w:val="22"/>
        </w:rPr>
        <w:t xml:space="preserve">E. </w:t>
      </w:r>
      <w:proofErr w:type="spellStart"/>
      <w:r w:rsidRPr="00EC0E32">
        <w:rPr>
          <w:i/>
          <w:color w:val="000000"/>
          <w:sz w:val="22"/>
          <w:szCs w:val="22"/>
        </w:rPr>
        <w:t>urophylla</w:t>
      </w:r>
      <w:proofErr w:type="spellEnd"/>
      <w:r>
        <w:rPr>
          <w:color w:val="000000"/>
          <w:sz w:val="22"/>
          <w:szCs w:val="22"/>
        </w:rPr>
        <w:t xml:space="preserve"> and </w:t>
      </w:r>
      <w:r>
        <w:rPr>
          <w:i/>
          <w:color w:val="000000"/>
          <w:sz w:val="22"/>
          <w:szCs w:val="22"/>
        </w:rPr>
        <w:t>E. grandis</w:t>
      </w:r>
      <w:r>
        <w:rPr>
          <w:color w:val="000000"/>
          <w:sz w:val="22"/>
          <w:szCs w:val="22"/>
        </w:rPr>
        <w:t xml:space="preserve"> backcross populations respectively.</w:t>
      </w:r>
    </w:p>
    <w:p w14:paraId="00000004" w14:textId="77777777" w:rsidR="00DC0816" w:rsidRDefault="00DC0816">
      <w:pPr>
        <w:shd w:val="clear" w:color="auto" w:fill="FFFFFF"/>
        <w:spacing w:line="480" w:lineRule="auto"/>
        <w:ind w:firstLine="720"/>
        <w:jc w:val="both"/>
        <w:rPr>
          <w:color w:val="000000"/>
          <w:sz w:val="22"/>
          <w:szCs w:val="22"/>
        </w:rPr>
      </w:pPr>
    </w:p>
    <w:p w14:paraId="00000005" w14:textId="77777777" w:rsidR="00DC0816" w:rsidRDefault="00391DD5">
      <w:pPr>
        <w:shd w:val="clear" w:color="auto" w:fill="FFFFFF"/>
        <w:tabs>
          <w:tab w:val="left" w:pos="0"/>
        </w:tabs>
        <w:spacing w:line="480" w:lineRule="auto"/>
        <w:jc w:val="both"/>
        <w:rPr>
          <w:color w:val="000000"/>
          <w:sz w:val="22"/>
          <w:szCs w:val="22"/>
          <w:u w:val="single"/>
        </w:rPr>
      </w:pPr>
      <w:r>
        <w:rPr>
          <w:color w:val="000000"/>
          <w:sz w:val="22"/>
          <w:szCs w:val="22"/>
          <w:u w:val="single"/>
        </w:rPr>
        <w:t>RNA-</w:t>
      </w:r>
      <w:proofErr w:type="spellStart"/>
      <w:r>
        <w:rPr>
          <w:color w:val="000000"/>
          <w:sz w:val="22"/>
          <w:szCs w:val="22"/>
          <w:u w:val="single"/>
        </w:rPr>
        <w:t>seq</w:t>
      </w:r>
      <w:proofErr w:type="spellEnd"/>
      <w:r>
        <w:rPr>
          <w:color w:val="000000"/>
          <w:sz w:val="22"/>
          <w:szCs w:val="22"/>
          <w:u w:val="single"/>
        </w:rPr>
        <w:t xml:space="preserve"> datasets (to be explored with Expression tools)</w:t>
      </w:r>
    </w:p>
    <w:p w14:paraId="00000006" w14:textId="6844F134" w:rsidR="00DC0816" w:rsidRDefault="00391DD5">
      <w:pPr>
        <w:shd w:val="clear" w:color="auto" w:fill="FFFFFF"/>
        <w:tabs>
          <w:tab w:val="left" w:pos="0"/>
        </w:tabs>
        <w:spacing w:line="480" w:lineRule="auto"/>
        <w:ind w:firstLine="720"/>
        <w:jc w:val="both"/>
        <w:rPr>
          <w:color w:val="000000"/>
          <w:sz w:val="22"/>
          <w:szCs w:val="22"/>
        </w:rPr>
      </w:pPr>
      <w:r>
        <w:rPr>
          <w:color w:val="000000"/>
          <w:sz w:val="22"/>
          <w:szCs w:val="22"/>
        </w:rPr>
        <w:t>All RNA-</w:t>
      </w:r>
      <w:proofErr w:type="spellStart"/>
      <w:r w:rsidR="00751CC0">
        <w:rPr>
          <w:color w:val="000000"/>
          <w:sz w:val="22"/>
          <w:szCs w:val="22"/>
        </w:rPr>
        <w:t>s</w:t>
      </w:r>
      <w:r>
        <w:rPr>
          <w:color w:val="000000"/>
          <w:sz w:val="22"/>
          <w:szCs w:val="22"/>
        </w:rPr>
        <w:t>eq</w:t>
      </w:r>
      <w:proofErr w:type="spellEnd"/>
      <w:r>
        <w:rPr>
          <w:color w:val="000000"/>
          <w:sz w:val="22"/>
          <w:szCs w:val="22"/>
        </w:rPr>
        <w:t xml:space="preserve"> datasets were pre-processed using the pipeline detailed in</w:t>
      </w:r>
      <w:r w:rsidR="004962D1">
        <w:rPr>
          <w:color w:val="000000"/>
          <w:sz w:val="22"/>
          <w:szCs w:val="22"/>
        </w:rPr>
        <w:t xml:space="preserve"> Delhomme </w:t>
      </w:r>
      <w:r w:rsidR="004962D1">
        <w:rPr>
          <w:i/>
          <w:color w:val="000000"/>
          <w:sz w:val="22"/>
          <w:szCs w:val="22"/>
        </w:rPr>
        <w:t>et al.</w:t>
      </w:r>
      <w:r>
        <w:rPr>
          <w:color w:val="000000"/>
          <w:sz w:val="22"/>
          <w:szCs w:val="22"/>
        </w:rPr>
        <w:t xml:space="preserve"> </w:t>
      </w:r>
      <w:r w:rsidR="004962D1">
        <w:rPr>
          <w:color w:val="000000"/>
          <w:sz w:val="22"/>
          <w:szCs w:val="22"/>
        </w:rPr>
        <w:fldChar w:fldCharType="begin" w:fldLock="1"/>
      </w:r>
      <w:r w:rsidR="004962D1">
        <w:rPr>
          <w:color w:val="000000"/>
          <w:sz w:val="22"/>
          <w:szCs w:val="22"/>
        </w:rPr>
        <w:instrText>ADDIN CSL_CITATION {"citationItems":[{"id":"ITEM-1","itemData":{"abstract":"Here we present what is, in our opinion, a mature pipeline to pre-process and analyze RNA-Seq data. As often as possible we identify the most obvious pitfalls one will face while working with RNA-Seq data and point out caveats that should be considered. An overview of the pipeline is presented in Figure 1 and is detailed below.","author":[{"dropping-particle":"","family":"Delhomme","given":"Nicolas","non-dropping-particle":"","parse-names":false,"suffix":""},{"dropping-particle":"","family":"Mähler","given":"Niklas","non-dropping-particle":"","parse-names":false,"suffix":""},{"dropping-particle":"","family":"Schiffthaler","given":"Bastian","non-dropping-particle":"","parse-names":false,"suffix":""},{"dropping-particle":"","family":"Sundell","given":"David","non-dropping-particle":"","parse-names":false,"suffix":""}],"container-title":"Epigenesys protocol","id":"ITEM-1","issued":{"date-parts":[["2014"]]},"title":"Guidelines for RNA-Seq data analysis","type":"article-journal"},"uris":["http://www.mendeley.com/documents/?uuid=fb99578c-822c-4924-b62d-b3d9dbc71c97"]}],"mendeley":{"formattedCitation":"[4]","plainTextFormattedCitation":"[4]","previouslyFormattedCitation":"[4]"},"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[4]</w:t>
      </w:r>
      <w:r w:rsidR="004962D1">
        <w:rPr>
          <w:color w:val="000000"/>
          <w:sz w:val="22"/>
          <w:szCs w:val="22"/>
        </w:rPr>
        <w:fldChar w:fldCharType="end"/>
      </w:r>
      <w:r>
        <w:rPr>
          <w:color w:val="000000"/>
          <w:sz w:val="22"/>
          <w:szCs w:val="22"/>
        </w:rPr>
        <w:t xml:space="preserve">. In summary, raw data quality was assessed using </w:t>
      </w:r>
      <w:proofErr w:type="spellStart"/>
      <w:r>
        <w:rPr>
          <w:color w:val="000000"/>
          <w:sz w:val="22"/>
          <w:szCs w:val="22"/>
        </w:rPr>
        <w:t>FastQC</w:t>
      </w:r>
      <w:proofErr w:type="spellEnd"/>
      <w:r>
        <w:rPr>
          <w:color w:val="000000"/>
          <w:sz w:val="22"/>
          <w:szCs w:val="22"/>
        </w:rPr>
        <w:t xml:space="preserve"> (http://www.bioinformatics.babraham.ac.uk/projects/fastqc/) and residual ribosomal RNA (rRNA) sequences were removed using </w:t>
      </w:r>
      <w:proofErr w:type="spellStart"/>
      <w:r>
        <w:rPr>
          <w:color w:val="000000"/>
          <w:sz w:val="22"/>
          <w:szCs w:val="22"/>
        </w:rPr>
        <w:t>SortMeRNA</w:t>
      </w:r>
      <w:proofErr w:type="spellEnd"/>
      <w:r>
        <w:rPr>
          <w:color w:val="000000"/>
          <w:sz w:val="22"/>
          <w:szCs w:val="22"/>
        </w:rPr>
        <w:t xml:space="preserve"> v.2.1</w:t>
      </w:r>
      <w:r w:rsidR="004962D1">
        <w:rPr>
          <w:color w:val="000000"/>
          <w:sz w:val="22"/>
          <w:szCs w:val="22"/>
        </w:rPr>
        <w:t xml:space="preserve"> </w:t>
      </w:r>
      <w:r w:rsidR="004962D1">
        <w:rPr>
          <w:color w:val="000000"/>
          <w:sz w:val="22"/>
          <w:szCs w:val="22"/>
        </w:rPr>
        <w:fldChar w:fldCharType="begin" w:fldLock="1"/>
      </w:r>
      <w:r w:rsidR="004962D1">
        <w:rPr>
          <w:color w:val="000000"/>
          <w:sz w:val="22"/>
          <w:szCs w:val="22"/>
        </w:rPr>
        <w:instrText>ADDIN CSL_CITATION {"citationItems":[{"id":"ITEM-1","itemData":{"DOI":"10.1093/bioinformatics/bts611","ISSN":"13674803","abstract":"Motivation: The application of next-generation sequencing (NGS) technologies to RNAs directly extracted from a community of organisms yields a mixture of fragments characterizing both coding and non-coding types of RNAs. The task to distinguish among these and to further categorize the families of messenger RNAs and ribosomal RNAs (rRNAs) is an important step for examining gene expression patterns of an interactive environment and the phylogenetic classification of the constituting species.Results: We present SortMeRNA, a new software designed to rapidly filter rRNA fragments from metatranscriptomic data. It is capable of handling large sets of reads and sorting out all fragments matching to the rRNA database with high sensitivity and low running time.Availability: http://bioinfo.lifl.fr/RNA/sortmerna. © 2012 The Author.","author":[{"dropping-particle":"","family":"Kopylova","given":"Evguenia","non-dropping-particle":"","parse-names":false,"suffix":""},{"dropping-particle":"","family":"Noé","given":"Laurent","non-dropping-particle":"","parse-names":false,"suffix":""},{"dropping-particle":"","family":"Touzet","given":"Hélène","non-dropping-particle":"","parse-names":false,"suffix":""}],"container-title":"Bioinformatics","id":"ITEM-1","issue":"24","issued":{"date-parts":[["2012"]]},"page":"3211-3217","title":"SortMeRNA: Fast and accurate filtering of ribosomal RNAs in metatranscriptomic data","type":"article-journal","volume":"28"},"uris":["http://www.mendeley.com/documents/?uuid=53accb11-ed98-4eb9-8301-6289f663de41"]}],"mendeley":{"formattedCitation":"[5]","plainTextFormattedCitation":"[5]","previouslyFormattedCitation":"[5]"},"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[5]</w:t>
      </w:r>
      <w:r w:rsidR="004962D1">
        <w:rPr>
          <w:color w:val="000000"/>
          <w:sz w:val="22"/>
          <w:szCs w:val="22"/>
        </w:rPr>
        <w:fldChar w:fldCharType="end"/>
      </w:r>
      <w:r>
        <w:rPr>
          <w:color w:val="000000"/>
          <w:sz w:val="22"/>
          <w:szCs w:val="22"/>
        </w:rPr>
        <w:t xml:space="preserve"> (settings</w:t>
      </w:r>
      <w:r w:rsidR="004962D1">
        <w:rPr>
          <w:color w:val="000000"/>
          <w:sz w:val="22"/>
          <w:szCs w:val="22"/>
        </w:rPr>
        <w:t>:</w:t>
      </w:r>
      <w:r>
        <w:rPr>
          <w:color w:val="000000"/>
          <w:sz w:val="22"/>
          <w:szCs w:val="22"/>
        </w:rPr>
        <w:t xml:space="preserve"> –log –</w:t>
      </w:r>
      <w:proofErr w:type="spellStart"/>
      <w:r>
        <w:rPr>
          <w:color w:val="000000"/>
          <w:sz w:val="22"/>
          <w:szCs w:val="22"/>
        </w:rPr>
        <w:t>paired_in</w:t>
      </w:r>
      <w:proofErr w:type="spellEnd"/>
      <w:r>
        <w:rPr>
          <w:color w:val="000000"/>
          <w:sz w:val="22"/>
          <w:szCs w:val="22"/>
        </w:rPr>
        <w:t xml:space="preserve"> –</w:t>
      </w:r>
      <w:proofErr w:type="spellStart"/>
      <w:r>
        <w:rPr>
          <w:color w:val="000000"/>
          <w:sz w:val="22"/>
          <w:szCs w:val="22"/>
        </w:rPr>
        <w:t>fastx</w:t>
      </w:r>
      <w:proofErr w:type="spellEnd"/>
      <w:r>
        <w:rPr>
          <w:color w:val="000000"/>
          <w:sz w:val="22"/>
          <w:szCs w:val="22"/>
        </w:rPr>
        <w:t>–</w:t>
      </w:r>
      <w:proofErr w:type="spellStart"/>
      <w:r>
        <w:rPr>
          <w:color w:val="000000"/>
          <w:sz w:val="22"/>
          <w:szCs w:val="22"/>
        </w:rPr>
        <w:t>sam</w:t>
      </w:r>
      <w:proofErr w:type="spellEnd"/>
      <w:r>
        <w:rPr>
          <w:color w:val="000000"/>
          <w:sz w:val="22"/>
          <w:szCs w:val="22"/>
        </w:rPr>
        <w:t xml:space="preserve"> –</w:t>
      </w:r>
      <w:proofErr w:type="spellStart"/>
      <w:r>
        <w:rPr>
          <w:color w:val="000000"/>
          <w:sz w:val="22"/>
          <w:szCs w:val="22"/>
        </w:rPr>
        <w:t>num_alignments</w:t>
      </w:r>
      <w:proofErr w:type="spellEnd"/>
      <w:r>
        <w:rPr>
          <w:color w:val="000000"/>
          <w:sz w:val="22"/>
          <w:szCs w:val="22"/>
        </w:rPr>
        <w:t xml:space="preserve"> 1).  Data was then filtered to remove adapters and trimmed for quality using </w:t>
      </w:r>
      <w:proofErr w:type="spellStart"/>
      <w:r>
        <w:rPr>
          <w:color w:val="000000"/>
          <w:sz w:val="22"/>
          <w:szCs w:val="22"/>
        </w:rPr>
        <w:t>Trimmomatic</w:t>
      </w:r>
      <w:proofErr w:type="spellEnd"/>
      <w:r>
        <w:rPr>
          <w:color w:val="000000"/>
          <w:sz w:val="22"/>
          <w:szCs w:val="22"/>
        </w:rPr>
        <w:t xml:space="preserve"> v.0.32 </w:t>
      </w:r>
      <w:r w:rsidR="004962D1">
        <w:rPr>
          <w:color w:val="000000"/>
          <w:sz w:val="22"/>
          <w:szCs w:val="22"/>
        </w:rPr>
        <w:fldChar w:fldCharType="begin" w:fldLock="1"/>
      </w:r>
      <w:r w:rsidR="004962D1">
        <w:rPr>
          <w:color w:val="000000"/>
          <w:sz w:val="22"/>
          <w:szCs w:val="22"/>
        </w:rPr>
        <w:instrText>ADDIN CSL_CITATION {"citationItems":[{"id":"ITEM-1","itemData":{"ISBN":"1367-4803","ISSN":"14602059","PMID":"24695404","abstract":"MOTIVATION: Although many next-generation sequencing (NGS) read preprocessing tools already existed, we could not find any tool or combination of tools that met our requirements in terms of flexibility, correct handling of paired-end data and high performance. We have developed Trimmomatic as a more flexible and efficient preprocessing tool, which could correctly handle paired-end data. RESULTS: The value of NGS read preprocessing is demonstrated for both reference-based and reference-free tasks. Trimmomatic is shown to produce output that is at least competitive with, and in many cases superior to, that produced by other tools, in all scenarios tested. AVAILABILITY AND IMPLEMENTATION: Trimmomatic is licensed under GPL V3. It is cross-platform (Java 1.5+ required) and available at http://www.usadellab.org/cms/index.php?page=trimmomatic CONTACT: usadel@bio1.rwth-aachen.de SUPPLEMENTARY INFORMATION: Supplementary data are available at Bioinformatics online.","author":[{"dropping-particle":"","family":"Bolger","given":"Anthony M.","non-dropping-particle":"","parse-names":false,"suffix":""},{"dropping-particle":"","family":"Lohse","given":"Marc","non-dropping-particle":"","parse-names":false,"suffix":""},{"dropping-particle":"","family":"Usadel","given":"Bjoern","non-dropping-particle":"","parse-names":false,"suffix":""}],"container-title":"Bioinformatics","id":"ITEM-1","issue":"15","issued":{"date-parts":[["2014"]]},"page":"2114-2120","title":"Trimmomatic: A flexible trimmer for Illumina sequence data.","type":"article-journal","volume":"30"},"uris":["http://www.mendeley.com/documents/?uuid=74ecc6b4-d1e0-490a-8f1f-c4ff5cbb3798"]}],"mendeley":{"formattedCitation":"[6]","plainTextFormattedCitation":"[6]","previouslyFormattedCitation":"[6]"},"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[6]</w:t>
      </w:r>
      <w:r w:rsidR="004962D1">
        <w:rPr>
          <w:color w:val="000000"/>
          <w:sz w:val="22"/>
          <w:szCs w:val="22"/>
        </w:rPr>
        <w:fldChar w:fldCharType="end"/>
      </w:r>
      <w:r w:rsidR="004962D1">
        <w:rPr>
          <w:color w:val="000000"/>
          <w:sz w:val="22"/>
          <w:szCs w:val="22"/>
        </w:rPr>
        <w:t xml:space="preserve"> (</w:t>
      </w:r>
      <w:r>
        <w:rPr>
          <w:color w:val="000000"/>
          <w:sz w:val="22"/>
          <w:szCs w:val="22"/>
        </w:rPr>
        <w:t>settings</w:t>
      </w:r>
      <w:r w:rsidR="004962D1">
        <w:rPr>
          <w:color w:val="000000"/>
          <w:sz w:val="22"/>
          <w:szCs w:val="22"/>
        </w:rPr>
        <w:t>:</w:t>
      </w:r>
      <w:r>
        <w:rPr>
          <w:color w:val="000000"/>
          <w:sz w:val="22"/>
          <w:szCs w:val="22"/>
        </w:rPr>
        <w:t xml:space="preserve"> TruSeq3-PE-2.fa:2:30:10 LEADING:3 SLIDINGWINDOW:5:20 MINLEN:50). After completing the above steps, </w:t>
      </w:r>
      <w:proofErr w:type="spellStart"/>
      <w:r>
        <w:rPr>
          <w:color w:val="000000"/>
          <w:sz w:val="22"/>
          <w:szCs w:val="22"/>
        </w:rPr>
        <w:t>FastQC</w:t>
      </w:r>
      <w:proofErr w:type="spellEnd"/>
      <w:r>
        <w:rPr>
          <w:color w:val="000000"/>
          <w:sz w:val="22"/>
          <w:szCs w:val="22"/>
        </w:rPr>
        <w:t xml:space="preserve"> was run again to ensure the quality and make sure that no technical artefacts had been introduced. Filtered and pre-processed data were aligned to version 2 of the </w:t>
      </w:r>
      <w:r>
        <w:rPr>
          <w:i/>
          <w:color w:val="000000"/>
          <w:sz w:val="22"/>
          <w:szCs w:val="22"/>
        </w:rPr>
        <w:t>E. grandis</w:t>
      </w:r>
      <w:r>
        <w:rPr>
          <w:color w:val="000000"/>
        </w:rPr>
        <w:t xml:space="preserve"> </w:t>
      </w:r>
      <w:r>
        <w:rPr>
          <w:color w:val="000000"/>
          <w:sz w:val="22"/>
          <w:szCs w:val="22"/>
        </w:rPr>
        <w:t xml:space="preserve">reference genome using STAR v.2.5.2b </w:t>
      </w:r>
      <w:r w:rsidR="004962D1">
        <w:rPr>
          <w:color w:val="000000"/>
          <w:sz w:val="22"/>
          <w:szCs w:val="22"/>
        </w:rPr>
        <w:fldChar w:fldCharType="begin" w:fldLock="1"/>
      </w:r>
      <w:r w:rsidR="004962D1">
        <w:rPr>
          <w:color w:val="000000"/>
          <w:sz w:val="22"/>
          <w:szCs w:val="22"/>
        </w:rPr>
        <w:instrText>ADDIN CSL_CITATION {"citationItems":[{"id":"ITEM-1","itemData":{"DOI":"doi: 10.1093/bioinformatics/bts635","PMID":"23104886","author":[{"dropping-particle":"","family":"Dobin","given":"A","non-dropping-particle":"","parse-names":false,"suffix":""},{"dropping-particle":"","family":"Davis","given":"C A","non-dropping-particle":"","parse-names":false,"suffix":""},{"dropping-particle":"","family":"Schlesinger","given":"F","non-dropping-particle":"","parse-names":false,"suffix":""},{"dropping-particle":"","family":"Drenkow","given":"J","non-dropping-particle":"","parse-names":false,"suffix":""},{"dropping-particle":"","family":"Zaleski","given":"C","non-dropping-particle":"","parse-names":false,"suffix":""},{"dropping-particle":"","family":"Jha","given":"S","non-dropping-particle":"","parse-names":false,"suffix":""},{"dropping-particle":"","family":"Batut","given":"P","non-dropping-particle":"","parse-names":false,"suffix":""},{"dropping-particle":"","family":"Chaisson","given":"M","non-dropping-particle":"","parse-names":false,"suffix":""},{"dropping-particle":"","family":"Gingeras","given":"T R","non-dropping-particle":"","parse-names":false,"suffix":""}],"container-title":"Bioinformatics","id":"ITEM-1","issue":"1","issued":{"date-parts":[["2013"]]},"page":"15-21","title":"STAR: ultrafast universal RNA-seq aligner","type":"article-journal","volume":"29"},"uris":["http://www.mendeley.com/documents/?uuid=9937802b-d617-488d-9a0b-ad5c02d6c05e"]}],"mendeley":{"formattedCitation":"[7]","plainTextFormattedCitation":"[7]","previouslyFormattedCitation":"[7]"},"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[7]</w:t>
      </w:r>
      <w:r w:rsidR="004962D1">
        <w:rPr>
          <w:color w:val="000000"/>
          <w:sz w:val="22"/>
          <w:szCs w:val="22"/>
        </w:rPr>
        <w:fldChar w:fldCharType="end"/>
      </w:r>
      <w:r w:rsidR="004962D1">
        <w:rPr>
          <w:color w:val="000000"/>
          <w:sz w:val="22"/>
          <w:szCs w:val="22"/>
        </w:rPr>
        <w:t xml:space="preserve"> </w:t>
      </w:r>
      <w:r>
        <w:rPr>
          <w:color w:val="000000"/>
          <w:sz w:val="22"/>
          <w:szCs w:val="22"/>
        </w:rPr>
        <w:t>(nondefault settings: –</w:t>
      </w:r>
      <w:proofErr w:type="spellStart"/>
      <w:r>
        <w:rPr>
          <w:color w:val="000000"/>
          <w:sz w:val="22"/>
          <w:szCs w:val="22"/>
        </w:rPr>
        <w:t>outSAMstrandField</w:t>
      </w:r>
      <w:proofErr w:type="spellEnd"/>
      <w:r>
        <w:rPr>
          <w:color w:val="000000"/>
          <w:sz w:val="22"/>
          <w:szCs w:val="22"/>
        </w:rPr>
        <w:t xml:space="preserve"> </w:t>
      </w:r>
      <w:proofErr w:type="spellStart"/>
      <w:r>
        <w:rPr>
          <w:color w:val="000000"/>
          <w:sz w:val="22"/>
          <w:szCs w:val="22"/>
        </w:rPr>
        <w:t>intronMotif</w:t>
      </w:r>
      <w:proofErr w:type="spellEnd"/>
      <w:r>
        <w:rPr>
          <w:color w:val="000000"/>
          <w:sz w:val="22"/>
          <w:szCs w:val="22"/>
        </w:rPr>
        <w:t xml:space="preserve"> –</w:t>
      </w:r>
      <w:proofErr w:type="spellStart"/>
      <w:r>
        <w:rPr>
          <w:color w:val="000000"/>
          <w:sz w:val="22"/>
          <w:szCs w:val="22"/>
        </w:rPr>
        <w:t>readFilesComman</w:t>
      </w:r>
      <w:proofErr w:type="spellEnd"/>
      <w:r>
        <w:rPr>
          <w:color w:val="000000"/>
          <w:sz w:val="22"/>
          <w:szCs w:val="22"/>
        </w:rPr>
        <w:t xml:space="preserve"> d </w:t>
      </w:r>
      <w:proofErr w:type="spellStart"/>
      <w:r>
        <w:rPr>
          <w:color w:val="000000"/>
          <w:sz w:val="22"/>
          <w:szCs w:val="22"/>
        </w:rPr>
        <w:t>zcat</w:t>
      </w:r>
      <w:proofErr w:type="spellEnd"/>
      <w:r>
        <w:rPr>
          <w:color w:val="000000"/>
          <w:sz w:val="22"/>
          <w:szCs w:val="22"/>
        </w:rPr>
        <w:t>–</w:t>
      </w:r>
      <w:proofErr w:type="spellStart"/>
      <w:r>
        <w:rPr>
          <w:color w:val="000000"/>
          <w:sz w:val="22"/>
          <w:szCs w:val="22"/>
        </w:rPr>
        <w:t>outSAMmapqUnique</w:t>
      </w:r>
      <w:proofErr w:type="spellEnd"/>
      <w:r>
        <w:rPr>
          <w:color w:val="000000"/>
          <w:sz w:val="22"/>
          <w:szCs w:val="22"/>
        </w:rPr>
        <w:t xml:space="preserve"> 254 –</w:t>
      </w:r>
      <w:proofErr w:type="spellStart"/>
      <w:r>
        <w:rPr>
          <w:color w:val="000000"/>
          <w:sz w:val="22"/>
          <w:szCs w:val="22"/>
        </w:rPr>
        <w:t>quantMode</w:t>
      </w:r>
      <w:proofErr w:type="spellEnd"/>
      <w:r>
        <w:rPr>
          <w:color w:val="000000"/>
          <w:sz w:val="22"/>
          <w:szCs w:val="22"/>
        </w:rPr>
        <w:t xml:space="preserve"> </w:t>
      </w:r>
      <w:proofErr w:type="spellStart"/>
      <w:r>
        <w:rPr>
          <w:color w:val="000000"/>
          <w:sz w:val="22"/>
          <w:szCs w:val="22"/>
        </w:rPr>
        <w:t>TranscriptomeSAM</w:t>
      </w:r>
      <w:proofErr w:type="spellEnd"/>
      <w:r>
        <w:rPr>
          <w:color w:val="000000"/>
          <w:sz w:val="22"/>
          <w:szCs w:val="22"/>
        </w:rPr>
        <w:t xml:space="preserve"> –</w:t>
      </w:r>
      <w:proofErr w:type="spellStart"/>
      <w:r>
        <w:rPr>
          <w:color w:val="000000"/>
          <w:sz w:val="22"/>
          <w:szCs w:val="22"/>
        </w:rPr>
        <w:t>outFilterMultimapNmax</w:t>
      </w:r>
      <w:proofErr w:type="spellEnd"/>
      <w:r>
        <w:rPr>
          <w:color w:val="000000"/>
          <w:sz w:val="22"/>
          <w:szCs w:val="22"/>
        </w:rPr>
        <w:t xml:space="preserve"> 100 –</w:t>
      </w:r>
      <w:proofErr w:type="spellStart"/>
      <w:r>
        <w:rPr>
          <w:color w:val="000000"/>
          <w:sz w:val="22"/>
          <w:szCs w:val="22"/>
        </w:rPr>
        <w:t>outRe</w:t>
      </w:r>
      <w:proofErr w:type="spellEnd"/>
      <w:r>
        <w:rPr>
          <w:color w:val="000000"/>
          <w:sz w:val="22"/>
          <w:szCs w:val="22"/>
        </w:rPr>
        <w:t xml:space="preserve"> </w:t>
      </w:r>
      <w:proofErr w:type="spellStart"/>
      <w:r>
        <w:rPr>
          <w:color w:val="000000"/>
          <w:sz w:val="22"/>
          <w:szCs w:val="22"/>
        </w:rPr>
        <w:t>adsUnmapped</w:t>
      </w:r>
      <w:proofErr w:type="spellEnd"/>
      <w:r>
        <w:rPr>
          <w:color w:val="000000"/>
          <w:sz w:val="22"/>
          <w:szCs w:val="22"/>
        </w:rPr>
        <w:t xml:space="preserve"> </w:t>
      </w:r>
      <w:proofErr w:type="spellStart"/>
      <w:r>
        <w:rPr>
          <w:color w:val="000000"/>
          <w:sz w:val="22"/>
          <w:szCs w:val="22"/>
        </w:rPr>
        <w:t>Fastx</w:t>
      </w:r>
      <w:proofErr w:type="spellEnd"/>
      <w:r>
        <w:rPr>
          <w:color w:val="000000"/>
          <w:sz w:val="22"/>
          <w:szCs w:val="22"/>
        </w:rPr>
        <w:t xml:space="preserve"> –</w:t>
      </w:r>
      <w:proofErr w:type="spellStart"/>
      <w:r>
        <w:rPr>
          <w:color w:val="000000"/>
          <w:sz w:val="22"/>
          <w:szCs w:val="22"/>
        </w:rPr>
        <w:t>chimSegmentMin</w:t>
      </w:r>
      <w:proofErr w:type="spellEnd"/>
      <w:r>
        <w:rPr>
          <w:color w:val="000000"/>
          <w:sz w:val="22"/>
          <w:szCs w:val="22"/>
        </w:rPr>
        <w:t xml:space="preserve"> 1 –</w:t>
      </w:r>
      <w:proofErr w:type="spellStart"/>
      <w:r>
        <w:rPr>
          <w:color w:val="000000"/>
          <w:sz w:val="22"/>
          <w:szCs w:val="22"/>
        </w:rPr>
        <w:t>outSAMtype</w:t>
      </w:r>
      <w:proofErr w:type="spellEnd"/>
      <w:r>
        <w:rPr>
          <w:color w:val="000000"/>
          <w:sz w:val="22"/>
          <w:szCs w:val="22"/>
        </w:rPr>
        <w:t xml:space="preserve"> BAM </w:t>
      </w:r>
      <w:proofErr w:type="spellStart"/>
      <w:r>
        <w:rPr>
          <w:color w:val="000000"/>
          <w:sz w:val="22"/>
          <w:szCs w:val="22"/>
        </w:rPr>
        <w:t>SortedByCoordinate</w:t>
      </w:r>
      <w:proofErr w:type="spellEnd"/>
      <w:r>
        <w:rPr>
          <w:color w:val="000000"/>
          <w:sz w:val="22"/>
          <w:szCs w:val="22"/>
        </w:rPr>
        <w:t>–</w:t>
      </w:r>
      <w:proofErr w:type="spellStart"/>
      <w:r>
        <w:rPr>
          <w:color w:val="000000"/>
          <w:sz w:val="22"/>
          <w:szCs w:val="22"/>
        </w:rPr>
        <w:t>outWigType</w:t>
      </w:r>
      <w:proofErr w:type="spellEnd"/>
      <w:r>
        <w:rPr>
          <w:color w:val="000000"/>
          <w:sz w:val="22"/>
          <w:szCs w:val="22"/>
        </w:rPr>
        <w:t xml:space="preserve"> </w:t>
      </w:r>
      <w:proofErr w:type="spellStart"/>
      <w:r>
        <w:rPr>
          <w:color w:val="000000"/>
          <w:sz w:val="22"/>
          <w:szCs w:val="22"/>
        </w:rPr>
        <w:t>bedGraph</w:t>
      </w:r>
      <w:proofErr w:type="spellEnd"/>
      <w:r>
        <w:rPr>
          <w:color w:val="000000"/>
          <w:sz w:val="22"/>
          <w:szCs w:val="22"/>
        </w:rPr>
        <w:t xml:space="preserve"> –</w:t>
      </w:r>
      <w:proofErr w:type="spellStart"/>
      <w:r>
        <w:rPr>
          <w:color w:val="000000"/>
          <w:sz w:val="22"/>
          <w:szCs w:val="22"/>
        </w:rPr>
        <w:t>alignIntronMax</w:t>
      </w:r>
      <w:proofErr w:type="spellEnd"/>
      <w:r>
        <w:rPr>
          <w:color w:val="000000"/>
          <w:sz w:val="22"/>
          <w:szCs w:val="22"/>
        </w:rPr>
        <w:t xml:space="preserve"> 11000) and </w:t>
      </w:r>
      <w:proofErr w:type="spellStart"/>
      <w:r>
        <w:rPr>
          <w:color w:val="000000"/>
          <w:sz w:val="22"/>
          <w:szCs w:val="22"/>
        </w:rPr>
        <w:t>Kallisto</w:t>
      </w:r>
      <w:proofErr w:type="spellEnd"/>
      <w:r>
        <w:rPr>
          <w:color w:val="000000"/>
          <w:sz w:val="22"/>
          <w:szCs w:val="22"/>
        </w:rPr>
        <w:t xml:space="preserve"> </w:t>
      </w:r>
      <w:r w:rsidR="004962D1">
        <w:rPr>
          <w:color w:val="000000"/>
          <w:sz w:val="22"/>
          <w:szCs w:val="22"/>
        </w:rPr>
        <w:fldChar w:fldCharType="begin" w:fldLock="1"/>
      </w:r>
      <w:r w:rsidR="004962D1">
        <w:rPr>
          <w:color w:val="000000"/>
          <w:sz w:val="22"/>
          <w:szCs w:val="22"/>
        </w:rPr>
        <w:instrText>ADDIN CSL_CITATION {"citationItems":[{"id":"ITEM-1","itemData":{"DOI":"10.1038/nbt.3519","ISSN":"15461696","PMID":"27043002","abstract":"We present kallisto, an RNA-seq quantification program that is two orders of magnitude faster than previous approaches and achieves similar accuracy. Kallisto pseudoaligns reads to a reference, producing a list of transcripts that are compatible with each read while avoiding alignment of individual bases. We use kallisto to analyze 30 million unaligned paired-end RNA-seq reads in &lt;10 min on a standard laptop computer. This removes a major computational bottleneck in RNA-seq analysis.","author":[{"dropping-particle":"","family":"Bray","given":"Nicolas L.","non-dropping-particle":"","parse-names":false,"suffix":""},{"dropping-particle":"","family":"Pimentel","given":"Harold","non-dropping-particle":"","parse-names":false,"suffix":""},{"dropping-particle":"","family":"Melsted","given":"Páll","non-dropping-particle":"","parse-names":false,"suffix":""},{"dropping-particle":"","family":"Pachter","given":"Lior","non-dropping-particle":"","parse-names":false,"suffix":""}],"container-title":"Nature Biotechnology","id":"ITEM-1","issue":"5","issued":{"date-parts":[["2016"]]},"page":"525-527","title":"Near-optimal probabilistic RNA-seq quantification","type":"article-journal","volume":"34"},"uris":["http://www.mendeley.com/documents/?uuid=fe75fe20-5d87-4481-a556-84ae12834eb1"]}],"mendeley":{"formattedCitation":"[8]","plainTextFormattedCitation":"[8]","previouslyFormattedCitation":"[8]"},"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[8]</w:t>
      </w:r>
      <w:r w:rsidR="004962D1">
        <w:rPr>
          <w:color w:val="000000"/>
          <w:sz w:val="22"/>
          <w:szCs w:val="22"/>
        </w:rPr>
        <w:fldChar w:fldCharType="end"/>
      </w:r>
      <w:r>
        <w:rPr>
          <w:color w:val="000000"/>
          <w:sz w:val="22"/>
          <w:szCs w:val="22"/>
        </w:rPr>
        <w:t xml:space="preserve">. The number of reads aligning to annotated gene models was determined using HTSEQ </w:t>
      </w:r>
      <w:r w:rsidR="004962D1">
        <w:rPr>
          <w:color w:val="000000"/>
          <w:sz w:val="22"/>
          <w:szCs w:val="22"/>
        </w:rPr>
        <w:fldChar w:fldCharType="begin" w:fldLock="1"/>
      </w:r>
      <w:r w:rsidR="004962D1">
        <w:rPr>
          <w:color w:val="000000"/>
          <w:sz w:val="22"/>
          <w:szCs w:val="22"/>
        </w:rPr>
        <w:instrText>ADDIN CSL_CITATION {"citationItems":[{"id":"ITEM-1","itemData":{"ISBN":"1367-4811 (Electronic) 1367-4803 (Linking)","ISSN":"14602059","PMID":"25260700","abstract":"MOTIVATION: A large choice of tools exists for many standard tasks in the analysis of high-throughput sequencing (HTS) data. However, once a project deviates from standard work flows, custom scripts are needed.\\n\\nRESULTS: We present HTSeq, a Python library to facilitate the rapid development of such scripts. HTSeq offers parsers for many common data formats in HTS projects, as well as classes to represent data such as genomic coordinates, sequences, sequencing reads, alignments, gene model information, variant calls, and provides data structures that allow for querying via genomic coordinates. We also present htseq-count, a tool developed with HTSeq that preprocesses RNA-Seq data for differential expression analysis by counting the overlap of reads with genes. Availability: HTSeq is released as open-source software under the GNU General Public Licence and available from http://www-huber.embl.de/HTSeq or from the Python Package Index https://pypi.python.org/pypi/HTSeq.\\n\\nCONTACT: sanders@fs.tum.de.","author":[{"dropping-particle":"","family":"Anders","given":"Simon","non-dropping-particle":"","parse-names":false,"suffix":""},{"dropping-particle":"","family":"Pyl","given":"Paul Theodor","non-dropping-particle":"","parse-names":false,"suffix":""},{"dropping-particle":"","family":"Huber","given":"Wolfgang","non-dropping-particle":"","parse-names":false,"suffix":""}],"container-title":"Bioinformatics","id":"ITEM-1","issue":"2","issued":{"date-parts":[["2015"]]},"page":"166-169","title":"HTSeq-A Python framework to work with high-throughput sequencing data.","type":"article-journal","volume":"31"},"uris":["http://www.mendeley.com/documents/?uuid=e9d4ecb5-1ad6-499b-85be-a676e5ef63e4"]}],"mendeley":{"formattedCitation":"[9]","plainTextFormattedCitation":"[9]","previouslyFormattedCitation":"[9]"},"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[9]</w:t>
      </w:r>
      <w:r w:rsidR="004962D1">
        <w:rPr>
          <w:color w:val="000000"/>
          <w:sz w:val="22"/>
          <w:szCs w:val="22"/>
        </w:rPr>
        <w:fldChar w:fldCharType="end"/>
      </w:r>
      <w:r>
        <w:rPr>
          <w:color w:val="000000"/>
          <w:sz w:val="22"/>
          <w:szCs w:val="22"/>
        </w:rPr>
        <w:t xml:space="preserve"> </w:t>
      </w:r>
      <w:r>
        <w:rPr>
          <w:color w:val="000000"/>
          <w:sz w:val="22"/>
          <w:szCs w:val="22"/>
        </w:rPr>
        <w:lastRenderedPageBreak/>
        <w:t>for STAR output. These read counts were normalised using variance stabilizing transformation (VST; using blind = TRUE) implemented in the R-package DESeq2 v.1.13.14</w:t>
      </w:r>
      <w:r w:rsidR="004962D1">
        <w:rPr>
          <w:color w:val="000000"/>
          <w:sz w:val="22"/>
          <w:szCs w:val="22"/>
        </w:rPr>
        <w:t xml:space="preserve"> </w:t>
      </w:r>
      <w:r w:rsidR="004962D1">
        <w:rPr>
          <w:color w:val="000000"/>
          <w:sz w:val="22"/>
          <w:szCs w:val="22"/>
        </w:rPr>
        <w:fldChar w:fldCharType="begin" w:fldLock="1"/>
      </w:r>
      <w:r w:rsidR="004962D1">
        <w:rPr>
          <w:color w:val="000000"/>
          <w:sz w:val="22"/>
          <w:szCs w:val="22"/>
        </w:rPr>
        <w:instrText>ADDIN CSL_CITATION {"citationItems":[{"id":"ITEM-1","itemData":{"DOI":"10.1186/s13059-014-0550-8","ISBN":"1465-6906","ISSN":"1474-760X","PMID":"25516281","abstract":"In comparative high-throughput sequencing assays, a fundamental task is the analysis of count data, such as read counts per gene in RNA-seq, for evidence of systematic changes across experimental conditions. Small replicate numbers, discreteness, large dynamic range and the presence of outliers require a suitable statistical approach. We present DESeq2, a method for differential analysis of count data, using shrinkage estimation for dispersions and fold changes to improve stability and interpretability of estimates. This enables a more quantitative analysis focused on the strength rather than the mere presence of differential expression. The DESeq2 package is available at http://www.bioconductor.org/packages/release/bioc/html/DESeq2.html webcite.","author":[{"dropping-particle":"","family":"Love","given":"Michael I","non-dropping-particle":"","parse-names":false,"suffix":""},{"dropping-particle":"","family":"Huber","given":"Wolfgang","non-dropping-particle":"","parse-names":false,"suffix":""},{"dropping-particle":"","family":"Anders","given":"Simon","non-dropping-particle":"","parse-names":false,"suffix":""}],"container-title":"Genome Biology","id":"ITEM-1","issue":"12","issued":{"date-parts":[["2014"]]},"page":"550","title":"Moderated estimation of fold change and dispersion for RNA-seq data with DESeq2.","type":"article-journal","volume":"15"},"uris":["http://www.mendeley.com/documents/?uuid=19844d61-9dc6-493e-8fa4-db4f966736f9"]}],"mendeley":{"formattedCitation":"[10]","plainTextFormattedCitation":"[10]","previouslyFormattedCitation":"[10]"},"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[10]</w:t>
      </w:r>
      <w:r w:rsidR="004962D1">
        <w:rPr>
          <w:color w:val="000000"/>
          <w:sz w:val="22"/>
          <w:szCs w:val="22"/>
        </w:rPr>
        <w:fldChar w:fldCharType="end"/>
      </w:r>
      <w:r w:rsidR="004962D1">
        <w:rPr>
          <w:color w:val="000000"/>
          <w:sz w:val="22"/>
          <w:szCs w:val="22"/>
        </w:rPr>
        <w:t xml:space="preserve">. </w:t>
      </w:r>
      <w:proofErr w:type="spellStart"/>
      <w:r>
        <w:rPr>
          <w:color w:val="000000"/>
          <w:sz w:val="22"/>
          <w:szCs w:val="22"/>
        </w:rPr>
        <w:t>Kallisto</w:t>
      </w:r>
      <w:proofErr w:type="spellEnd"/>
      <w:r>
        <w:rPr>
          <w:color w:val="000000"/>
          <w:sz w:val="22"/>
          <w:szCs w:val="22"/>
        </w:rPr>
        <w:t xml:space="preserve"> v0.43.1 was used to generate Transcripts Per Million (TPM) values. Finally, TPM and VST expression values were loaded into a MySQL database. VST normalized values were used to construct gene co-expression networks and TPM values were used in the expression visualization tools. The use of TPM values enables intuitive comparison of expression among different experiments by correcting for sequencing depth.</w:t>
      </w:r>
    </w:p>
    <w:p w14:paraId="00000007" w14:textId="77777777" w:rsidR="00DC0816" w:rsidRDefault="00DC0816">
      <w:pPr>
        <w:shd w:val="clear" w:color="auto" w:fill="FFFFFF"/>
        <w:spacing w:after="160" w:line="480" w:lineRule="auto"/>
        <w:jc w:val="both"/>
        <w:rPr>
          <w:b/>
          <w:color w:val="000000"/>
          <w:sz w:val="22"/>
          <w:szCs w:val="22"/>
        </w:rPr>
      </w:pPr>
    </w:p>
    <w:p w14:paraId="00000008" w14:textId="77777777" w:rsidR="00DC0816" w:rsidRDefault="00391DD5">
      <w:pPr>
        <w:shd w:val="clear" w:color="auto" w:fill="FFFFFF"/>
        <w:spacing w:after="160" w:line="480" w:lineRule="auto"/>
        <w:jc w:val="both"/>
        <w:rPr>
          <w:b/>
          <w:color w:val="000000"/>
        </w:rPr>
      </w:pPr>
      <w:r>
        <w:rPr>
          <w:b/>
        </w:rPr>
        <w:t xml:space="preserve">Additional File 2: </w:t>
      </w:r>
      <w:r>
        <w:rPr>
          <w:b/>
          <w:color w:val="000000"/>
        </w:rPr>
        <w:t>Method S2</w:t>
      </w:r>
      <w:r>
        <w:rPr>
          <w:b/>
        </w:rPr>
        <w:t>.</w:t>
      </w:r>
      <w:r>
        <w:rPr>
          <w:b/>
          <w:color w:val="000000"/>
        </w:rPr>
        <w:t xml:space="preserve"> QTL and </w:t>
      </w:r>
      <w:proofErr w:type="spellStart"/>
      <w:r>
        <w:rPr>
          <w:b/>
          <w:color w:val="000000"/>
        </w:rPr>
        <w:t>eQTL</w:t>
      </w:r>
      <w:proofErr w:type="spellEnd"/>
      <w:r>
        <w:rPr>
          <w:b/>
          <w:color w:val="000000"/>
        </w:rPr>
        <w:t xml:space="preserve"> analysis of data in </w:t>
      </w:r>
      <w:proofErr w:type="spellStart"/>
      <w:r>
        <w:rPr>
          <w:b/>
          <w:color w:val="000000"/>
        </w:rPr>
        <w:t>qtlXplorer</w:t>
      </w:r>
      <w:proofErr w:type="spellEnd"/>
    </w:p>
    <w:p w14:paraId="00000009" w14:textId="77777777" w:rsidR="00DC0816" w:rsidRDefault="00391DD5">
      <w:pPr>
        <w:shd w:val="clear" w:color="auto" w:fill="FFFFFF"/>
        <w:spacing w:line="480" w:lineRule="auto"/>
        <w:jc w:val="both"/>
        <w:rPr>
          <w:color w:val="000000"/>
          <w:sz w:val="22"/>
          <w:szCs w:val="22"/>
        </w:rPr>
      </w:pPr>
      <w:r>
        <w:rPr>
          <w:color w:val="000000"/>
          <w:sz w:val="22"/>
          <w:szCs w:val="22"/>
          <w:u w:val="single"/>
        </w:rPr>
        <w:t xml:space="preserve">Complex trait analysis </w:t>
      </w:r>
    </w:p>
    <w:p w14:paraId="0000000A" w14:textId="26346F82" w:rsidR="00DC0816" w:rsidRDefault="00391DD5">
      <w:pPr>
        <w:shd w:val="clear" w:color="auto" w:fill="FFFFFF"/>
        <w:spacing w:line="480" w:lineRule="auto"/>
        <w:ind w:firstLine="720"/>
        <w:jc w:val="both"/>
        <w:rPr>
          <w:color w:val="000000"/>
          <w:sz w:val="22"/>
          <w:szCs w:val="22"/>
        </w:rPr>
      </w:pPr>
      <w:r>
        <w:rPr>
          <w:color w:val="000000"/>
          <w:sz w:val="22"/>
          <w:szCs w:val="22"/>
        </w:rPr>
        <w:t xml:space="preserve">Diameter (cm) at breast height (DBH) of the main stem was assessed as described previously </w:t>
      </w:r>
      <w:r w:rsidR="004962D1">
        <w:rPr>
          <w:color w:val="000000"/>
          <w:sz w:val="22"/>
          <w:szCs w:val="22"/>
        </w:rPr>
        <w:fldChar w:fldCharType="begin" w:fldLock="1"/>
      </w:r>
      <w:r w:rsidR="004962D1">
        <w:rPr>
          <w:color w:val="000000"/>
          <w:sz w:val="22"/>
          <w:szCs w:val="22"/>
        </w:rPr>
        <w:instrText>ADDIN CSL_CITATION {"citationItems":[{"id":"ITEM-1","itemData":{"DOI":"10.1186/1471-2156-13-60","ISBN":"1471-2156 (Electronic)\\n1471-2156 (Linking)","ISSN":"1471-2156","PMID":"22817272","abstract":"BACKGROUND: F1 hybrid clones of Eucalyptus grandis and E. urophylla are widely grown for pulp and paper production in tropical and subtropical regions. Volume growth and wood quality are priority objectives in Eucalyptus tree improvement. The molecular basis of quantitative variation and trait expression in eucalypt hybrids, however, remains largely unknown. The recent availability of a draft genome sequence (http://www.phytozome.net) and genome-wide genotyping platforms, combined with high levels of genetic variation and high linkage disequilibrium in hybrid crosses, greatly facilitate the detection of quantitative trait loci (QTLs) as well as underlying candidate genes for growth and wood property traits. In this study, we used Diversity Arrays Technology markers to assess the genetic architecture of volume growth (diameter at breast height, DBH) and wood basic density in four-year-old progeny of an interspecific backcross pedigree of E. grandis and E. urophylla. In addition, we used Illumina RNA-Seq expression profiling in the E. urophylla backcross family to identify cis- and trans-acting polymorphisms (eQTLs) affecting transcript abundance of genes underlying QTLs for wood basic density. RESULTS: A total of five QTLs for DBH and 12 for wood basic density were identified in the two backcross families. Individual QTLs for DBH and wood basic density explained 3.1 to 12.2% of phenotypic variation. Candidate genes underlying QTLs for wood basic density on linkage groups 8 and 9 were found to share trans-acting eQTLs located on linkage groups 4 and 10, which in turn coincided with QTLs for wood basic density suggesting that these QTLs represent segregating components of an underlying transcriptional network. CONCLUSION: This is the first demonstration of the use of next-generation expression profiling to quantify transcript abundance in a segregating tree population and identify candidate genes potentially affecting wood property variation. The QTLs identified in this study provide a resource for identifying candidate genes and developing molecular markers for marker-assisted breeding of volume growth and wood basic density. Our results suggest that integrated analysis of transcript and trait variation in eucalypt hybrids can be used to dissect the molecular basis of quantitative variation in wood property traits.","author":[{"dropping-particle":"","family":"Kullan","given":"Anand Raj","non-dropping-particle":"","parse-names":false,"suffix":""},{"dropping-particle":"","family":"Dyk","given":"Maria M","non-dropping-particle":"van","parse-names":false,"suffix":""},{"dropping-particle":"","family":"Hefer","given":"Charles A","non-dropping-particle":"","parse-names":false,"suffix":""},{"dropping-particle":"","family":"Jones","given":"Nicoletta","non-dropping-particle":"","parse-names":false,"suffix":""},{"dropping-particle":"","family":"Kanzler","given":"Arnulf","non-dropping-particle":"","parse-names":false,"suffix":""},{"dropping-particle":"","family":"Myburg","given":"Alexander A","non-dropping-particle":"","parse-names":false,"suffix":""}],"container-title":"BMC Genetics","id":"ITEM-1","issued":{"date-parts":[["2012"]]},"page":"60","publisher":"???","title":"Genetic dissection of growth, wood basic density and gene expression in interspecific backcrosses of &lt;i&gt;Eucalyptus grandis&lt;/i&gt; and &lt;i&gt;E. urophylla&lt;/i&gt;.","type":"article-journal","volume":"13"},"uris":["http://www.mendeley.com/documents/?uuid=265e4824-8d6d-488c-bfc4-49111202d7fc"]}],"mendeley":{"formattedCitation":"[11]","plainTextFormattedCitation":"[11]","previouslyFormattedCitation":"[11]"},"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[11]</w:t>
      </w:r>
      <w:r w:rsidR="004962D1">
        <w:rPr>
          <w:color w:val="000000"/>
          <w:sz w:val="22"/>
          <w:szCs w:val="22"/>
        </w:rPr>
        <w:fldChar w:fldCharType="end"/>
      </w:r>
      <w:r>
        <w:rPr>
          <w:color w:val="000000"/>
          <w:sz w:val="22"/>
          <w:szCs w:val="22"/>
        </w:rPr>
        <w:t>. Bark thickness was calculated as the difference between over-bark and under-bark DBH measurements. A wood disk taken at breast height (1.35 m) was used to determine wood basic density using the water displacement method (www.tappi.org/content/SARG/T258.pdf). Chemical wood properties were assessed using different analytical methods, including pyrolysis molecular beam mass spectrometry (</w:t>
      </w:r>
      <w:proofErr w:type="spellStart"/>
      <w:r>
        <w:rPr>
          <w:color w:val="000000"/>
          <w:sz w:val="22"/>
          <w:szCs w:val="22"/>
        </w:rPr>
        <w:t>pyMBMS</w:t>
      </w:r>
      <w:proofErr w:type="spellEnd"/>
      <w:r>
        <w:rPr>
          <w:color w:val="000000"/>
          <w:sz w:val="22"/>
          <w:szCs w:val="22"/>
        </w:rPr>
        <w:t xml:space="preserve">) using previously published methodology </w:t>
      </w:r>
      <w:r w:rsidR="004962D1">
        <w:rPr>
          <w:color w:val="000000"/>
          <w:sz w:val="22"/>
          <w:szCs w:val="22"/>
        </w:rPr>
        <w:fldChar w:fldCharType="begin" w:fldLock="1"/>
      </w:r>
      <w:r w:rsidR="004962D1">
        <w:rPr>
          <w:color w:val="000000"/>
          <w:sz w:val="22"/>
          <w:szCs w:val="22"/>
        </w:rPr>
        <w:instrText>ADDIN CSL_CITATION {"citationItems":[{"id":"ITEM-1","itemData":{"author":[{"dropping-particle":"","family":"Studer","given":"Anthony","non-dropping-particle":"","parse-names":false,"suffix":""},{"dropping-particle":"","family":"Zhao","given":"Qiong","non-dropping-particle":"","parse-names":false,"suffix":""},{"dropping-particle":"","family":"Ross-Ibarra","given":"Jeffrey","non-dropping-particle":"","parse-names":false,"suffix":""},{"dropping-particle":"","family":"Doebley","given":"John","non-dropping-particle":"","parse-names":false,"suffix":""}],"container-title":"Nature Genetics","id":"ITEM-1","issued":{"date-parts":[["2011"]]},"page":"1160–1163","title":"Identification of a functional transposon insertion in the maize domestication gene tb1.","type":"article-journal","volume":"43"},"uris":["http://www.mendeley.com/documents/?uuid=2e9efe29-74cb-4d36-adcc-38e1cb08e085"]}],"mendeley":{"formattedCitation":"[12]","plainTextFormattedCitation":"[12]","previouslyFormattedCitation":"[12]"},"properties":{"noteIndex":0},"schema":"https://github.com/citation-style-language/schema/raw/master/csl-citation.json"}</w:instrText>
      </w:r>
      <w:r w:rsidR="004962D1">
        <w:rPr>
          <w:color w:val="000000"/>
          <w:sz w:val="22"/>
          <w:szCs w:val="22"/>
        </w:rPr>
        <w:fldChar w:fldCharType="separate"/>
      </w:r>
      <w:r w:rsidR="004962D1" w:rsidRPr="004962D1">
        <w:rPr>
          <w:noProof/>
          <w:color w:val="000000"/>
          <w:sz w:val="22"/>
          <w:szCs w:val="22"/>
        </w:rPr>
        <w:t>[12]</w:t>
      </w:r>
      <w:r w:rsidR="004962D1">
        <w:rPr>
          <w:color w:val="000000"/>
          <w:sz w:val="22"/>
          <w:szCs w:val="22"/>
        </w:rPr>
        <w:fldChar w:fldCharType="end"/>
      </w:r>
      <w:r>
        <w:rPr>
          <w:color w:val="000000"/>
          <w:sz w:val="22"/>
          <w:szCs w:val="22"/>
        </w:rPr>
        <w:t xml:space="preserve">. HPLC analysis of cell wall sugars and </w:t>
      </w:r>
      <w:proofErr w:type="spellStart"/>
      <w:r>
        <w:rPr>
          <w:color w:val="000000"/>
          <w:sz w:val="22"/>
          <w:szCs w:val="22"/>
        </w:rPr>
        <w:t>Klason</w:t>
      </w:r>
      <w:proofErr w:type="spellEnd"/>
      <w:r>
        <w:rPr>
          <w:color w:val="000000"/>
          <w:sz w:val="22"/>
          <w:szCs w:val="22"/>
        </w:rPr>
        <w:t xml:space="preserve"> lignin composition analysis </w:t>
      </w:r>
      <w:r>
        <w:rPr>
          <w:sz w:val="22"/>
          <w:szCs w:val="22"/>
        </w:rPr>
        <w:t xml:space="preserve">were performed according to </w:t>
      </w:r>
      <w:r>
        <w:rPr>
          <w:color w:val="000000"/>
          <w:sz w:val="22"/>
          <w:szCs w:val="22"/>
        </w:rPr>
        <w:t>Maloney and Mansfield</w:t>
      </w:r>
      <w:r w:rsidR="004962D1">
        <w:rPr>
          <w:sz w:val="22"/>
          <w:szCs w:val="22"/>
        </w:rPr>
        <w:t xml:space="preserve"> </w:t>
      </w:r>
      <w:r w:rsidR="004962D1">
        <w:rPr>
          <w:sz w:val="22"/>
          <w:szCs w:val="22"/>
        </w:rPr>
        <w:fldChar w:fldCharType="begin" w:fldLock="1"/>
      </w:r>
      <w:r w:rsidR="00142449">
        <w:rPr>
          <w:sz w:val="22"/>
          <w:szCs w:val="22"/>
        </w:rPr>
        <w:instrText>ADDIN CSL_CITATION {"citationItems":[{"id":"ITEM-1","itemData":{"DOI":"10.1111/j.1467-7652.2009.00483.x","ISSN":"14677644","PMID":"20070872","abstract":"To understand better the intricacies of secondary cell wall biosynthesis in trees, we investigated changes in cellulose chemistry and ultrastructure manifested by the mis-regulation of the poplar membrane-bound β-1,4-endoglucanase orthologous to KORRIGAN (AtKOR). We isolated the poplar KORRIGAN gene from hybrid poplar (Populus alba×grandidentata; designated Pa×gKOR) and created a self-complementary (hairpin) RNAi suppression construct using PCR products derived from the gene. Additionally, AtKOR was employed to generate transgenic poplar over-expressing KORRIGAN. It was found that down-regulation leads to moderate to severe defects in plant growth, an irregular xylem (irx) phenotype, and significantly impacts the ultrastructure of the cellulose synthesized. The RNAi-suppressed lines deposited significantly reduced quantities of a more highly crystalline cellulose, while the hemicellulose content and, more specifically, the xylose content increased. In addition, the amount of soluble sucrose in the leaves and xylem decreased. Conversely, the AtKOR transgenics did not significantly alter cell wall development or plant growth parameters, but it did impact the ultrastructure of the cellulose produced, generating trees with less crystalline cellulose and reduced xylose content. © 2010 The Authors. Journal compilation © 2010 Blackwell Publishing Ltd.","author":[{"dropping-particle":"","family":"Maloney","given":"Victoria J.","non-dropping-particle":"","parse-names":false,"suffix":""},{"dropping-particle":"","family":"Mansfield","given":"Shawn D.","non-dropping-particle":"","parse-names":false,"suffix":""}],"container-title":"Plant Biotechnology Journal","id":"ITEM-1","issue":"3","issued":{"date-parts":[["2010"]]},"page":"294-307","title":"Characterization and varied expression of a membrane-bound endo-β-1,4-glucanase in hybrid poplar","type":"article-journal","volume":"8"},"uris":["http://www.mendeley.com/documents/?uuid=8ac0aa49-9228-4919-aa3b-6414909eb03f"]}],"mendeley":{"formattedCitation":"[13]","plainTextFormattedCitation":"[13]","previouslyFormattedCitation":"[13]"},"properties":{"noteIndex":0},"schema":"https://github.com/citation-style-language/schema/raw/master/csl-citation.json"}</w:instrText>
      </w:r>
      <w:r w:rsidR="004962D1">
        <w:rPr>
          <w:sz w:val="22"/>
          <w:szCs w:val="22"/>
        </w:rPr>
        <w:fldChar w:fldCharType="separate"/>
      </w:r>
      <w:r w:rsidR="004962D1" w:rsidRPr="004962D1">
        <w:rPr>
          <w:noProof/>
          <w:sz w:val="22"/>
          <w:szCs w:val="22"/>
        </w:rPr>
        <w:t>[13]</w:t>
      </w:r>
      <w:r w:rsidR="004962D1">
        <w:rPr>
          <w:sz w:val="22"/>
          <w:szCs w:val="22"/>
        </w:rPr>
        <w:fldChar w:fldCharType="end"/>
      </w:r>
      <w:r>
        <w:rPr>
          <w:color w:val="000000"/>
          <w:sz w:val="22"/>
          <w:szCs w:val="22"/>
        </w:rPr>
        <w:t>.</w:t>
      </w:r>
    </w:p>
    <w:p w14:paraId="0000000B" w14:textId="77777777" w:rsidR="00DC0816" w:rsidRDefault="00DC0816">
      <w:pPr>
        <w:shd w:val="clear" w:color="auto" w:fill="FFFFFF"/>
        <w:spacing w:line="480" w:lineRule="auto"/>
        <w:jc w:val="both"/>
        <w:rPr>
          <w:color w:val="000000"/>
          <w:sz w:val="22"/>
          <w:szCs w:val="22"/>
        </w:rPr>
      </w:pPr>
    </w:p>
    <w:p w14:paraId="0000000C" w14:textId="77777777" w:rsidR="00DC0816" w:rsidRDefault="00391DD5">
      <w:pPr>
        <w:shd w:val="clear" w:color="auto" w:fill="FFFFFF"/>
        <w:spacing w:line="480" w:lineRule="auto"/>
        <w:jc w:val="both"/>
        <w:rPr>
          <w:color w:val="000000"/>
          <w:sz w:val="22"/>
          <w:szCs w:val="22"/>
        </w:rPr>
      </w:pPr>
      <w:r>
        <w:rPr>
          <w:color w:val="000000"/>
          <w:sz w:val="22"/>
          <w:szCs w:val="22"/>
          <w:u w:val="single"/>
        </w:rPr>
        <w:t xml:space="preserve">Trait QTL and </w:t>
      </w:r>
      <w:proofErr w:type="spellStart"/>
      <w:r>
        <w:rPr>
          <w:color w:val="000000"/>
          <w:sz w:val="22"/>
          <w:szCs w:val="22"/>
          <w:u w:val="single"/>
        </w:rPr>
        <w:t>eQTL</w:t>
      </w:r>
      <w:proofErr w:type="spellEnd"/>
      <w:r>
        <w:rPr>
          <w:color w:val="000000"/>
          <w:sz w:val="22"/>
          <w:szCs w:val="22"/>
          <w:u w:val="single"/>
        </w:rPr>
        <w:t xml:space="preserve"> mapping</w:t>
      </w:r>
    </w:p>
    <w:p w14:paraId="0000000D" w14:textId="3B1F19E8" w:rsidR="00DC0816" w:rsidRDefault="00391DD5">
      <w:pPr>
        <w:shd w:val="clear" w:color="auto" w:fill="FFFFFF"/>
        <w:spacing w:line="480" w:lineRule="auto"/>
        <w:ind w:firstLine="720"/>
        <w:jc w:val="both"/>
        <w:rPr>
          <w:color w:val="000000"/>
          <w:sz w:val="22"/>
          <w:szCs w:val="22"/>
        </w:rPr>
      </w:pPr>
      <w:r>
        <w:rPr>
          <w:color w:val="000000"/>
          <w:sz w:val="22"/>
          <w:szCs w:val="22"/>
        </w:rPr>
        <w:t>Four framework genetic linkage maps consisting of 130 (</w:t>
      </w:r>
      <w:r>
        <w:rPr>
          <w:i/>
          <w:color w:val="000000"/>
          <w:sz w:val="22"/>
          <w:szCs w:val="22"/>
        </w:rPr>
        <w:t xml:space="preserve">E. </w:t>
      </w:r>
      <w:proofErr w:type="spellStart"/>
      <w:r>
        <w:rPr>
          <w:i/>
          <w:color w:val="000000"/>
          <w:sz w:val="22"/>
          <w:szCs w:val="22"/>
        </w:rPr>
        <w:t>urophylla</w:t>
      </w:r>
      <w:proofErr w:type="spellEnd"/>
      <w:r>
        <w:rPr>
          <w:color w:val="000000"/>
          <w:sz w:val="22"/>
          <w:szCs w:val="22"/>
        </w:rPr>
        <w:t xml:space="preserve"> backcross, F1 Hybrid map), 112 (</w:t>
      </w:r>
      <w:r>
        <w:rPr>
          <w:i/>
          <w:color w:val="000000"/>
          <w:sz w:val="22"/>
          <w:szCs w:val="22"/>
        </w:rPr>
        <w:t xml:space="preserve">E. </w:t>
      </w:r>
      <w:proofErr w:type="spellStart"/>
      <w:r>
        <w:rPr>
          <w:i/>
          <w:color w:val="000000"/>
          <w:sz w:val="22"/>
          <w:szCs w:val="22"/>
        </w:rPr>
        <w:t>urophylla</w:t>
      </w:r>
      <w:proofErr w:type="spellEnd"/>
      <w:r>
        <w:rPr>
          <w:i/>
          <w:color w:val="000000"/>
          <w:sz w:val="22"/>
          <w:szCs w:val="22"/>
        </w:rPr>
        <w:t xml:space="preserve"> </w:t>
      </w:r>
      <w:r>
        <w:rPr>
          <w:color w:val="000000"/>
          <w:sz w:val="22"/>
          <w:szCs w:val="22"/>
        </w:rPr>
        <w:t>backcross, backcross parent map), 159 (</w:t>
      </w:r>
      <w:r>
        <w:rPr>
          <w:i/>
          <w:color w:val="000000"/>
          <w:sz w:val="22"/>
          <w:szCs w:val="22"/>
        </w:rPr>
        <w:t>E. grandis</w:t>
      </w:r>
      <w:r>
        <w:rPr>
          <w:color w:val="000000"/>
          <w:sz w:val="22"/>
          <w:szCs w:val="22"/>
        </w:rPr>
        <w:t xml:space="preserve"> backcross, F1 Hybrid map) and 100 (</w:t>
      </w:r>
      <w:r>
        <w:rPr>
          <w:i/>
          <w:color w:val="000000"/>
          <w:sz w:val="22"/>
          <w:szCs w:val="22"/>
        </w:rPr>
        <w:t>E. grandis</w:t>
      </w:r>
      <w:r>
        <w:rPr>
          <w:color w:val="000000"/>
          <w:sz w:val="22"/>
          <w:szCs w:val="22"/>
        </w:rPr>
        <w:t xml:space="preserve"> backcross, backcross parent map) Diversity arrays technology (</w:t>
      </w:r>
      <w:proofErr w:type="spellStart"/>
      <w:r>
        <w:rPr>
          <w:color w:val="000000"/>
          <w:sz w:val="22"/>
          <w:szCs w:val="22"/>
        </w:rPr>
        <w:t>DArT</w:t>
      </w:r>
      <w:proofErr w:type="spellEnd"/>
      <w:r>
        <w:rPr>
          <w:color w:val="000000"/>
          <w:sz w:val="22"/>
          <w:szCs w:val="22"/>
        </w:rPr>
        <w:t xml:space="preserve">) markers were previously constructed for this F2 pseudo-backcross mapping pedigree of </w:t>
      </w:r>
      <w:r>
        <w:rPr>
          <w:i/>
          <w:color w:val="000000"/>
          <w:sz w:val="22"/>
          <w:szCs w:val="22"/>
        </w:rPr>
        <w:t xml:space="preserve">E. grandis × E. </w:t>
      </w:r>
      <w:proofErr w:type="spellStart"/>
      <w:r>
        <w:rPr>
          <w:i/>
          <w:color w:val="000000"/>
          <w:sz w:val="22"/>
          <w:szCs w:val="22"/>
        </w:rPr>
        <w:t>urophylla</w:t>
      </w:r>
      <w:proofErr w:type="spellEnd"/>
      <w:r>
        <w:rPr>
          <w:i/>
          <w:color w:val="000000"/>
          <w:sz w:val="22"/>
          <w:szCs w:val="22"/>
        </w:rPr>
        <w:t xml:space="preserve"> </w:t>
      </w:r>
      <w:r w:rsidR="00142449">
        <w:rPr>
          <w:i/>
          <w:color w:val="000000"/>
          <w:sz w:val="22"/>
          <w:szCs w:val="22"/>
        </w:rPr>
        <w:fldChar w:fldCharType="begin" w:fldLock="1"/>
      </w:r>
      <w:r w:rsidR="00142449">
        <w:rPr>
          <w:i/>
          <w:color w:val="000000"/>
          <w:sz w:val="22"/>
          <w:szCs w:val="22"/>
        </w:rPr>
        <w:instrText>ADDIN CSL_CITATION {"citationItems":[{"id":"ITEM-1","itemData":{"DOI":"10.1007/s11295-011-0430-2","ISBN":"1614-2942","ISSN":"16142942","abstract":"Traits that differentiate cross-fertile plant species can be dissected by genetic linkage analysis in interspecific hybrids. Such studies have been greatly facilitated in Eucalyptus tree species by the recent development of Diversity Arrays Technology (DArT) markers. DArT is an affordable, high-throughput marker technology for the construction of high-density genetic linkage maps. Eucalyptus grandis and Eucalyptus urophylla are commonly used to produce fast-growing, disease tolerant hybrids for clonal eucalypt plantations in tropical and subtropical regions. We analysed 7,680 DArT markers in an F2 pseudo-backcross mapping pedigree based on an F1 hybrid clone of E. grandis and E. urophylla. A total of 2,440 markers (31.7%) were polymorphic and could be placed in linkage maps of the F1 hybrid and two pure-species backcross parents. An integrated genetic linkage map was constructed for the pedigree resulting in 11 linkage groups (n = 11) with 2,290 high-confidence (LOD a parts per thousand yenaEuro parts per thousand 3.0) markers and a total map length of 1,107.6 cM. DNA sequence analysis of the mapped DArT marker fragments revealed that 43% were located in protein coding regions and 90% could be placed in the recently completed draft genome assembly of E. grandis. Together with the anchored genomic sequence information, this linkage map will allow detailed genetic dissection of quantitative traits and hybrid fitness characters segregating in the F2 progeny and will facilitate the development of markers for molecular breeding in Eucalyptus.","author":[{"dropping-particle":"","family":"Kullan","given":"Anand Raj Kumar","non-dropping-particle":"","parse-names":false,"suffix":""},{"dropping-particle":"","family":"Dyk","given":"Maria M.","non-dropping-particle":"van","parse-names":false,"suffix":""},{"dropping-particle":"","family":"Jones","given":"Nicoletta","non-dropping-particle":"","parse-names":false,"suffix":""},{"dropping-particle":"","family":"Kanzler","given":"Arnulf","non-dropping-particle":"","parse-names":false,"suffix":""},{"dropping-particle":"","family":"Bayley","given":"Arlene","non-dropping-particle":"","parse-names":false,"suffix":""},{"dropping-particle":"","family":"Myburg","given":"Alexander A.","non-dropping-particle":"","parse-names":false,"suffix":""}],"container-title":"Tree Genetics and Genomes","id":"ITEM-1","issued":{"date-parts":[["2011"]]},"page":"163-175","title":"High-density genetic linkage maps with over 2,400 sequence-anchored DArT markers for genetic dissection in an F2 pseudo-backcross of &lt;i&gt;Eucalyptus grandis x E. urophylla&lt;/i&gt;","type":"article-journal","volume":"8"},"uris":["http://www.mendeley.com/documents/?uuid=d189a21a-64b9-44aa-8095-c50871109bc1"]}],"mendeley":{"formattedCitation":"[14]","plainTextFormattedCitation":"[14]","previouslyFormattedCitation":"[14]"},"properties":{"noteIndex":0},"schema":"https://github.com/citation-style-language/schema/raw/master/csl-citation.json"}</w:instrText>
      </w:r>
      <w:r w:rsidR="00142449">
        <w:rPr>
          <w:i/>
          <w:color w:val="000000"/>
          <w:sz w:val="22"/>
          <w:szCs w:val="22"/>
        </w:rPr>
        <w:fldChar w:fldCharType="separate"/>
      </w:r>
      <w:r w:rsidR="00142449" w:rsidRPr="00142449">
        <w:rPr>
          <w:noProof/>
          <w:color w:val="000000"/>
          <w:sz w:val="22"/>
          <w:szCs w:val="22"/>
        </w:rPr>
        <w:t>[14]</w:t>
      </w:r>
      <w:r w:rsidR="00142449">
        <w:rPr>
          <w:i/>
          <w:color w:val="000000"/>
          <w:sz w:val="22"/>
          <w:szCs w:val="22"/>
        </w:rPr>
        <w:fldChar w:fldCharType="end"/>
      </w:r>
      <w:r>
        <w:rPr>
          <w:color w:val="000000"/>
          <w:sz w:val="22"/>
          <w:szCs w:val="22"/>
        </w:rPr>
        <w:t xml:space="preserve">. QTL and </w:t>
      </w:r>
      <w:proofErr w:type="spellStart"/>
      <w:r>
        <w:rPr>
          <w:color w:val="000000"/>
          <w:sz w:val="22"/>
          <w:szCs w:val="22"/>
        </w:rPr>
        <w:t>eQTL</w:t>
      </w:r>
      <w:proofErr w:type="spellEnd"/>
      <w:r>
        <w:rPr>
          <w:color w:val="000000"/>
          <w:sz w:val="22"/>
          <w:szCs w:val="22"/>
        </w:rPr>
        <w:t xml:space="preserve"> mapping was conducted, per map, using QTL Cartographer </w:t>
      </w:r>
      <w:r w:rsidR="00142449">
        <w:rPr>
          <w:color w:val="000000"/>
          <w:sz w:val="22"/>
          <w:szCs w:val="22"/>
        </w:rPr>
        <w:fldChar w:fldCharType="begin" w:fldLock="1"/>
      </w:r>
      <w:r w:rsidR="00142449">
        <w:rPr>
          <w:color w:val="000000"/>
          <w:sz w:val="22"/>
          <w:szCs w:val="22"/>
        </w:rPr>
        <w:instrText>ADDIN CSL_CITATION {"citationItems":[{"id":"ITEM-1","itemData":{"author":[{"dropping-particle":"","family":"Basten","given":"Christopher J.","non-dropping-particle":"","parse-names":false,"suffix":""},{"dropping-particle":"","family":"Weir","given":"Bruce S.","non-dropping-particle":"","parse-names":false,"suffix":""},{"dropping-particle":"","family":"Zeng","given":"Zhao-Bang","non-dropping-particle":"","parse-names":false,"suffix":""}],"id":"ITEM-1","issued":{"date-parts":[["2002"]]},"title":"QTL Cartographer, Version 1.16","type":"report"},"uris":["http://www.mendeley.com/documents/?uuid=45612665-08ab-4644-a572-3b5901c6d228"]}],"mendeley":{"formattedCitation":"[15]","plainTextFormattedCitation":"[15]","previouslyFormattedCitation":"[15]"},"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[15]</w:t>
      </w:r>
      <w:r w:rsidR="00142449">
        <w:rPr>
          <w:color w:val="000000"/>
          <w:sz w:val="22"/>
          <w:szCs w:val="22"/>
        </w:rPr>
        <w:fldChar w:fldCharType="end"/>
      </w:r>
      <w:r w:rsidRPr="0055685D">
        <w:rPr>
          <w:rFonts w:eastAsia="Gungsuh"/>
          <w:color w:val="000000"/>
          <w:sz w:val="22"/>
          <w:szCs w:val="22"/>
        </w:rPr>
        <w:t xml:space="preserve">. A walking speed of 1 </w:t>
      </w:r>
      <w:proofErr w:type="spellStart"/>
      <w:r w:rsidRPr="0055685D">
        <w:rPr>
          <w:rFonts w:eastAsia="Gungsuh"/>
          <w:color w:val="000000"/>
          <w:sz w:val="22"/>
          <w:szCs w:val="22"/>
        </w:rPr>
        <w:t>cM</w:t>
      </w:r>
      <w:proofErr w:type="spellEnd"/>
      <w:r w:rsidRPr="0055685D">
        <w:rPr>
          <w:rFonts w:eastAsia="Gungsuh"/>
          <w:color w:val="000000"/>
          <w:sz w:val="22"/>
          <w:szCs w:val="22"/>
        </w:rPr>
        <w:t xml:space="preserve"> was used in composite interval mapping with forward regression and backward </w:t>
      </w:r>
      <w:r w:rsidRPr="0055685D">
        <w:rPr>
          <w:rFonts w:eastAsia="Gungsuh"/>
          <w:color w:val="000000"/>
          <w:sz w:val="22"/>
          <w:szCs w:val="22"/>
        </w:rPr>
        <w:lastRenderedPageBreak/>
        <w:t xml:space="preserve">elimination (P ≤ 0.1). Permutation-based likelihood ratio score thresholds were calculated to globally approximate α ≤ 0.05 experiment-wise </w:t>
      </w:r>
      <w:r w:rsidR="00142449">
        <w:rPr>
          <w:rFonts w:eastAsia="Gungsuh"/>
          <w:color w:val="000000"/>
          <w:sz w:val="22"/>
          <w:szCs w:val="22"/>
        </w:rPr>
        <w:fldChar w:fldCharType="begin" w:fldLock="1"/>
      </w:r>
      <w:r w:rsidR="00142449">
        <w:rPr>
          <w:rFonts w:eastAsia="Gungsuh"/>
          <w:color w:val="000000"/>
          <w:sz w:val="22"/>
          <w:szCs w:val="22"/>
        </w:rPr>
        <w:instrText>ADDIN CSL_CITATION {"citationItems":[{"id":"ITEM-1","itemData":{"author":[{"dropping-particle":"","family":"Doerge","given":"R W","non-dropping-particle":"","parse-names":false,"suffix":""},{"dropping-particle":"","family":"Churchill","given":"G A","non-dropping-particle":"","parse-names":false,"suffix":""}],"container-title":"Genetics","id":"ITEM-1","issued":{"date-parts":[["1996"]]},"page":"285-294","title":"Permutation tests for multiple loci affecting a quantitative character.","type":"article-journal","volume":"142"},"uris":["http://www.mendeley.com/documents/?uuid=202f4531-726e-4f1e-8edc-9244e0fa9aa4"]}],"mendeley":{"formattedCitation":"[16]","plainTextFormattedCitation":"[16]","previouslyFormattedCitation":"[16]"},"properties":{"noteIndex":0},"schema":"https://github.com/citation-style-language/schema/raw/master/csl-citation.json"}</w:instrText>
      </w:r>
      <w:r w:rsidR="00142449">
        <w:rPr>
          <w:rFonts w:eastAsia="Gungsuh"/>
          <w:color w:val="000000"/>
          <w:sz w:val="22"/>
          <w:szCs w:val="22"/>
        </w:rPr>
        <w:fldChar w:fldCharType="separate"/>
      </w:r>
      <w:r w:rsidR="00142449" w:rsidRPr="00142449">
        <w:rPr>
          <w:rFonts w:eastAsia="Gungsuh"/>
          <w:noProof/>
          <w:color w:val="000000"/>
          <w:sz w:val="22"/>
          <w:szCs w:val="22"/>
        </w:rPr>
        <w:t>[16]</w:t>
      </w:r>
      <w:r w:rsidR="00142449">
        <w:rPr>
          <w:rFonts w:eastAsia="Gungsuh"/>
          <w:color w:val="000000"/>
          <w:sz w:val="22"/>
          <w:szCs w:val="22"/>
        </w:rPr>
        <w:fldChar w:fldCharType="end"/>
      </w:r>
      <w:r w:rsidR="00142449">
        <w:rPr>
          <w:rFonts w:eastAsia="Gungsuh"/>
          <w:color w:val="000000"/>
          <w:sz w:val="22"/>
          <w:szCs w:val="22"/>
        </w:rPr>
        <w:t>.</w:t>
      </w:r>
    </w:p>
    <w:p w14:paraId="0000000E" w14:textId="77777777" w:rsidR="00DC0816" w:rsidRDefault="00DC0816">
      <w:pPr>
        <w:shd w:val="clear" w:color="auto" w:fill="FFFFFF"/>
        <w:spacing w:line="480" w:lineRule="auto"/>
        <w:ind w:firstLine="720"/>
        <w:jc w:val="both"/>
        <w:rPr>
          <w:color w:val="000000"/>
          <w:sz w:val="22"/>
          <w:szCs w:val="22"/>
        </w:rPr>
      </w:pPr>
    </w:p>
    <w:p w14:paraId="0000000F" w14:textId="77777777" w:rsidR="00DC0816" w:rsidRDefault="00391DD5">
      <w:pPr>
        <w:spacing w:line="480" w:lineRule="auto"/>
        <w:jc w:val="both"/>
        <w:rPr>
          <w:color w:val="000000"/>
          <w:sz w:val="22"/>
          <w:szCs w:val="22"/>
          <w:u w:val="single"/>
        </w:rPr>
      </w:pPr>
      <w:proofErr w:type="spellStart"/>
      <w:r>
        <w:rPr>
          <w:color w:val="000000"/>
          <w:sz w:val="22"/>
          <w:szCs w:val="22"/>
          <w:u w:val="single"/>
        </w:rPr>
        <w:t>eQTL</w:t>
      </w:r>
      <w:proofErr w:type="spellEnd"/>
      <w:r>
        <w:rPr>
          <w:color w:val="000000"/>
          <w:sz w:val="22"/>
          <w:szCs w:val="22"/>
          <w:u w:val="single"/>
        </w:rPr>
        <w:t xml:space="preserve"> classification and hotspot identification</w:t>
      </w:r>
    </w:p>
    <w:p w14:paraId="00000010" w14:textId="39CC2C5B" w:rsidR="00DC0816" w:rsidRDefault="00391DD5">
      <w:pPr>
        <w:spacing w:line="480" w:lineRule="auto"/>
        <w:ind w:firstLine="720"/>
        <w:jc w:val="both"/>
        <w:rPr>
          <w:color w:val="000000"/>
          <w:sz w:val="22"/>
          <w:szCs w:val="22"/>
        </w:rPr>
      </w:pPr>
      <w:proofErr w:type="spellStart"/>
      <w:r>
        <w:rPr>
          <w:color w:val="000000"/>
          <w:sz w:val="22"/>
          <w:szCs w:val="22"/>
        </w:rPr>
        <w:t>eQTL</w:t>
      </w:r>
      <w:proofErr w:type="spellEnd"/>
      <w:r>
        <w:rPr>
          <w:color w:val="000000"/>
          <w:sz w:val="22"/>
          <w:szCs w:val="22"/>
        </w:rPr>
        <w:t xml:space="preserve"> that were located further than half the average size of an </w:t>
      </w:r>
      <w:proofErr w:type="spellStart"/>
      <w:r>
        <w:rPr>
          <w:color w:val="000000"/>
          <w:sz w:val="22"/>
          <w:szCs w:val="22"/>
        </w:rPr>
        <w:t>eQTL</w:t>
      </w:r>
      <w:proofErr w:type="spellEnd"/>
      <w:r>
        <w:rPr>
          <w:color w:val="000000"/>
          <w:sz w:val="22"/>
          <w:szCs w:val="22"/>
        </w:rPr>
        <w:t xml:space="preserve"> from the location of its linked gene, often on a different chromosome, were classified as </w:t>
      </w:r>
      <w:r>
        <w:rPr>
          <w:i/>
          <w:color w:val="000000"/>
          <w:sz w:val="22"/>
          <w:szCs w:val="22"/>
        </w:rPr>
        <w:t>trans</w:t>
      </w:r>
      <w:r>
        <w:rPr>
          <w:color w:val="000000"/>
          <w:sz w:val="22"/>
          <w:szCs w:val="22"/>
        </w:rPr>
        <w:t>-</w:t>
      </w:r>
      <w:proofErr w:type="spellStart"/>
      <w:r>
        <w:rPr>
          <w:color w:val="000000"/>
          <w:sz w:val="22"/>
          <w:szCs w:val="22"/>
        </w:rPr>
        <w:t>eQTL</w:t>
      </w:r>
      <w:proofErr w:type="spellEnd"/>
      <w:r>
        <w:rPr>
          <w:color w:val="000000"/>
          <w:sz w:val="22"/>
          <w:szCs w:val="22"/>
        </w:rPr>
        <w:t xml:space="preserve">. Global </w:t>
      </w:r>
      <w:r>
        <w:rPr>
          <w:i/>
          <w:color w:val="000000"/>
          <w:sz w:val="22"/>
          <w:szCs w:val="22"/>
        </w:rPr>
        <w:t>trans</w:t>
      </w:r>
      <w:r>
        <w:rPr>
          <w:color w:val="000000"/>
          <w:sz w:val="22"/>
          <w:szCs w:val="22"/>
        </w:rPr>
        <w:t>-</w:t>
      </w:r>
      <w:proofErr w:type="spellStart"/>
      <w:r>
        <w:rPr>
          <w:color w:val="000000"/>
          <w:sz w:val="22"/>
          <w:szCs w:val="22"/>
        </w:rPr>
        <w:t>eQTL</w:t>
      </w:r>
      <w:proofErr w:type="spellEnd"/>
      <w:r>
        <w:rPr>
          <w:color w:val="000000"/>
          <w:sz w:val="22"/>
          <w:szCs w:val="22"/>
        </w:rPr>
        <w:t xml:space="preserve"> hotspots were identified by firstly calculating the genome-wide frequency of </w:t>
      </w:r>
      <w:proofErr w:type="spellStart"/>
      <w:r>
        <w:rPr>
          <w:color w:val="000000"/>
          <w:sz w:val="22"/>
          <w:szCs w:val="22"/>
        </w:rPr>
        <w:t>eQTLs</w:t>
      </w:r>
      <w:proofErr w:type="spellEnd"/>
      <w:r>
        <w:rPr>
          <w:color w:val="000000"/>
          <w:sz w:val="22"/>
          <w:szCs w:val="22"/>
        </w:rPr>
        <w:t xml:space="preserve"> and then normalising for local gene density, using the </w:t>
      </w:r>
      <w:proofErr w:type="spellStart"/>
      <w:r>
        <w:rPr>
          <w:color w:val="000000"/>
          <w:sz w:val="22"/>
          <w:szCs w:val="22"/>
        </w:rPr>
        <w:t>eQTL</w:t>
      </w:r>
      <w:proofErr w:type="spellEnd"/>
      <w:r>
        <w:rPr>
          <w:color w:val="000000"/>
          <w:sz w:val="22"/>
          <w:szCs w:val="22"/>
        </w:rPr>
        <w:t xml:space="preserve"> data analysis pipeline described </w:t>
      </w:r>
      <w:r>
        <w:rPr>
          <w:sz w:val="22"/>
          <w:szCs w:val="22"/>
        </w:rPr>
        <w:t>in</w:t>
      </w:r>
      <w:r w:rsidR="00142449">
        <w:rPr>
          <w:sz w:val="22"/>
          <w:szCs w:val="22"/>
        </w:rPr>
        <w:t xml:space="preserve"> </w:t>
      </w:r>
      <w:r w:rsidR="00142449">
        <w:rPr>
          <w:color w:val="000000"/>
          <w:sz w:val="22"/>
          <w:szCs w:val="22"/>
        </w:rPr>
        <w:t xml:space="preserve">Christie </w:t>
      </w:r>
      <w:r w:rsidR="00142449">
        <w:rPr>
          <w:i/>
          <w:color w:val="000000"/>
          <w:sz w:val="22"/>
          <w:szCs w:val="22"/>
        </w:rPr>
        <w:t>et al.</w:t>
      </w:r>
      <w:r>
        <w:rPr>
          <w:sz w:val="22"/>
          <w:szCs w:val="22"/>
        </w:rPr>
        <w:t xml:space="preserve"> </w:t>
      </w:r>
      <w:r w:rsidR="00142449">
        <w:rPr>
          <w:sz w:val="22"/>
          <w:szCs w:val="22"/>
        </w:rPr>
        <w:fldChar w:fldCharType="begin" w:fldLock="1"/>
      </w:r>
      <w:r w:rsidR="00142449">
        <w:rPr>
          <w:sz w:val="22"/>
          <w:szCs w:val="22"/>
        </w:rPr>
        <w:instrText>ADDIN CSL_CITATION {"citationItems":[{"id":"ITEM-1","itemData":{"DOI":"10.1111/tpj.13419","author":[{"dropping-particle":"","family":"Christie","given":"Nanette","non-dropping-particle":"","parse-names":false,"suffix":""},{"dropping-particle":"","family":"Myburg","given":"Alexander A","non-dropping-particle":"","parse-names":false,"suffix":""},{"dropping-particle":"","family":"Joubert","given":"Fourie","non-dropping-particle":"","parse-names":false,"suffix":""},{"dropping-particle":"","family":"Murray","given":"Shane L","non-dropping-particle":"","parse-names":false,"suffix":""},{"dropping-particle":"","family":"Carstens","given":"Maryke","non-dropping-particle":"","parse-names":false,"suffix":""},{"dropping-particle":"","family":"Lin","given":"Yao-cheng","non-dropping-particle":"","parse-names":false,"suffix":""},{"dropping-particle":"","family":"Meyer","given":"Jacqueline","non-dropping-particle":"","parse-names":false,"suffix":""},{"dropping-particle":"","family":"Crampton","given":"Bridget G","non-dropping-particle":"","parse-names":false,"suffix":""},{"dropping-particle":"","family":"Christensen","given":"Shawn A","non-dropping-particle":"","parse-names":false,"suffix":""},{"dropping-particle":"","family":"Ntuli","given":"Jean F","non-dropping-particle":"","parse-names":false,"suffix":""},{"dropping-particle":"","family":"Wighard","given":"Sara S","non-dropping-particle":"","parse-names":false,"suffix":""},{"dropping-particle":"Van De","family":"Peer","given":"Yves","non-dropping-particle":"","parse-names":false,"suffix":""},{"dropping-particle":"","family":"Berger","given":"Dave K","non-dropping-particle":"","parse-names":false,"suffix":""}],"container-title":"The Plant Journal","id":"ITEM-1","issued":{"date-parts":[["2017"]]},"page":"746-763","title":"Systems genetics reveals a transcriptional network associated with susceptibility in the maize – grey leaf spot pathosystem.","type":"article-journal","volume":"89"},"uris":["http://www.mendeley.com/documents/?uuid=8f10ab1a-71e9-4d04-affd-ccef95038169"]}],"mendeley":{"formattedCitation":"[17]","plainTextFormattedCitation":"[17]","previouslyFormattedCitation":"[17]"},"properties":{"noteIndex":0},"schema":"https://github.com/citation-style-language/schema/raw/master/csl-citation.json"}</w:instrText>
      </w:r>
      <w:r w:rsidR="00142449">
        <w:rPr>
          <w:sz w:val="22"/>
          <w:szCs w:val="22"/>
        </w:rPr>
        <w:fldChar w:fldCharType="separate"/>
      </w:r>
      <w:r w:rsidR="00142449" w:rsidRPr="00142449">
        <w:rPr>
          <w:noProof/>
          <w:sz w:val="22"/>
          <w:szCs w:val="22"/>
        </w:rPr>
        <w:t>[17]</w:t>
      </w:r>
      <w:r w:rsidR="00142449">
        <w:rPr>
          <w:sz w:val="22"/>
          <w:szCs w:val="22"/>
        </w:rPr>
        <w:fldChar w:fldCharType="end"/>
      </w:r>
      <w:r w:rsidR="00142449">
        <w:rPr>
          <w:color w:val="000000"/>
          <w:sz w:val="22"/>
          <w:szCs w:val="22"/>
        </w:rPr>
        <w:t>.</w:t>
      </w:r>
    </w:p>
    <w:p w14:paraId="00000011" w14:textId="77777777" w:rsidR="00DC0816" w:rsidRDefault="00DC0816">
      <w:pPr>
        <w:spacing w:line="480" w:lineRule="auto"/>
        <w:ind w:firstLine="720"/>
        <w:jc w:val="both"/>
        <w:rPr>
          <w:color w:val="000000"/>
          <w:sz w:val="22"/>
          <w:szCs w:val="22"/>
        </w:rPr>
      </w:pPr>
    </w:p>
    <w:p w14:paraId="00000012" w14:textId="77777777" w:rsidR="00DC0816" w:rsidRDefault="00391DD5">
      <w:pPr>
        <w:spacing w:line="480" w:lineRule="auto"/>
        <w:jc w:val="both"/>
        <w:rPr>
          <w:color w:val="000000"/>
          <w:sz w:val="22"/>
          <w:szCs w:val="22"/>
          <w:u w:val="single"/>
        </w:rPr>
      </w:pPr>
      <w:r>
        <w:rPr>
          <w:color w:val="000000"/>
          <w:sz w:val="22"/>
          <w:szCs w:val="22"/>
          <w:u w:val="single"/>
        </w:rPr>
        <w:t xml:space="preserve">Trait correlation and QTL overlap analyses  </w:t>
      </w:r>
    </w:p>
    <w:p w14:paraId="00000013" w14:textId="3CB594AF" w:rsidR="00DC0816" w:rsidRDefault="00391DD5">
      <w:pPr>
        <w:spacing w:line="480" w:lineRule="auto"/>
        <w:ind w:firstLine="720"/>
        <w:jc w:val="both"/>
        <w:rPr>
          <w:color w:val="000000"/>
          <w:sz w:val="22"/>
          <w:szCs w:val="22"/>
        </w:rPr>
      </w:pPr>
      <w:r>
        <w:rPr>
          <w:color w:val="000000"/>
          <w:sz w:val="22"/>
          <w:szCs w:val="22"/>
        </w:rPr>
        <w:t xml:space="preserve">To relate gene expression and trait profiles, all-versus-all gene-gene, gene-trait and trait-trait Pearson correlations were pre-calculated and stored in the </w:t>
      </w:r>
      <w:proofErr w:type="spellStart"/>
      <w:r>
        <w:rPr>
          <w:color w:val="000000"/>
          <w:sz w:val="22"/>
          <w:szCs w:val="22"/>
        </w:rPr>
        <w:t>EucGenIE</w:t>
      </w:r>
      <w:proofErr w:type="spellEnd"/>
      <w:r>
        <w:rPr>
          <w:color w:val="000000"/>
          <w:sz w:val="22"/>
          <w:szCs w:val="22"/>
        </w:rPr>
        <w:t xml:space="preserve"> database. Furthermore, all-versus-all </w:t>
      </w:r>
      <w:proofErr w:type="spellStart"/>
      <w:r>
        <w:rPr>
          <w:color w:val="000000"/>
          <w:sz w:val="22"/>
          <w:szCs w:val="22"/>
        </w:rPr>
        <w:t>eQTL-eQTL</w:t>
      </w:r>
      <w:proofErr w:type="spellEnd"/>
      <w:r>
        <w:rPr>
          <w:color w:val="000000"/>
          <w:sz w:val="22"/>
          <w:szCs w:val="22"/>
        </w:rPr>
        <w:t xml:space="preserve">, </w:t>
      </w:r>
      <w:proofErr w:type="spellStart"/>
      <w:r>
        <w:rPr>
          <w:color w:val="000000"/>
          <w:sz w:val="22"/>
          <w:szCs w:val="22"/>
        </w:rPr>
        <w:t>eQTL</w:t>
      </w:r>
      <w:proofErr w:type="spellEnd"/>
      <w:r>
        <w:rPr>
          <w:color w:val="000000"/>
          <w:sz w:val="22"/>
          <w:szCs w:val="22"/>
        </w:rPr>
        <w:t xml:space="preserve">-trait QTL and trait QTL-trait QTL overlap analyses were performed. A hybrid QTL overlap score was calculated for each pair of QTL, as detailed in </w:t>
      </w:r>
      <w:r w:rsidR="00142449">
        <w:rPr>
          <w:color w:val="000000"/>
          <w:sz w:val="22"/>
          <w:szCs w:val="22"/>
        </w:rPr>
        <w:t xml:space="preserve">Mizrachi </w:t>
      </w:r>
      <w:r w:rsidR="00142449">
        <w:rPr>
          <w:i/>
          <w:color w:val="000000"/>
          <w:sz w:val="22"/>
          <w:szCs w:val="22"/>
        </w:rPr>
        <w:t>et al.</w:t>
      </w:r>
      <w:r w:rsidR="00142449">
        <w:rPr>
          <w:color w:val="000000"/>
          <w:sz w:val="22"/>
          <w:szCs w:val="22"/>
        </w:rPr>
        <w:t xml:space="preserve"> </w:t>
      </w:r>
      <w:r w:rsidR="00142449">
        <w:rPr>
          <w:color w:val="000000"/>
          <w:sz w:val="22"/>
          <w:szCs w:val="22"/>
        </w:rPr>
        <w:fldChar w:fldCharType="begin" w:fldLock="1"/>
      </w:r>
      <w:r w:rsidR="00142449">
        <w:rPr>
          <w:color w:val="000000"/>
          <w:sz w:val="22"/>
          <w:szCs w:val="22"/>
        </w:rPr>
        <w:instrText>ADDIN CSL_CITATION {"citationItems":[{"id":"ITEM-1","itemData":{"DOI":"10.1073/pnas.1620119114","author":[{"dropping-particle":"","family":"Mizrachi","given":"Eshchar","non-dropping-particle":"","parse-names":false,"suffix":""},{"dropping-particle":"","family":"Verbeke","given":"Lieven","non-dropping-particle":"","parse-names":false,"suffix":""},{"dropping-particle":"","family":"Christie","given":"Nanette","non-dropping-particle":"","parse-names":false,"suffix":""},{"dropping-particle":"","family":"Fierro","given":"Ana C","non-dropping-particle":"","parse-names":false,"suffix":""},{"dropping-particle":"","family":"Mansfield","given":"Shawn D","non-dropping-particle":"","parse-names":false,"suffix":""},{"dropping-particle":"","family":"Davis","given":"Mark F","non-dropping-particle":"","parse-names":false,"suffix":""}],"container-title":"Proceedings of the National Academy of Sciences","id":"ITEM-1","issue":"5","issued":{"date-parts":[["2017"]]},"page":"1195-1200","title":"Network-based integration of systems genetics data reveals pathways associated with lignocellulosic biomass accumulation and processing.","type":"article-journal","volume":"114"},"uris":["http://www.mendeley.com/documents/?uuid=0eb2a6f4-1ca0-41b3-b07e-31bee2c6eb4b"]}],"mendeley":{"formattedCitation":"[18]","plainTextFormattedCitation":"[18]","previouslyFormattedCitation":"[18]"},"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[18]</w:t>
      </w:r>
      <w:r w:rsidR="00142449">
        <w:rPr>
          <w:color w:val="000000"/>
          <w:sz w:val="22"/>
          <w:szCs w:val="22"/>
        </w:rPr>
        <w:fldChar w:fldCharType="end"/>
      </w:r>
      <w:r>
        <w:rPr>
          <w:color w:val="000000"/>
          <w:sz w:val="22"/>
          <w:szCs w:val="22"/>
        </w:rPr>
        <w:t>. The score ranges from 0 (indicating no overlap) to 1 (indicating identical peak positions and perfect overlap).</w:t>
      </w:r>
    </w:p>
    <w:p w14:paraId="00000014" w14:textId="77777777" w:rsidR="00DC0816" w:rsidRDefault="00DC0816">
      <w:pPr>
        <w:shd w:val="clear" w:color="auto" w:fill="FFFFFF"/>
        <w:tabs>
          <w:tab w:val="left" w:pos="0"/>
        </w:tabs>
        <w:spacing w:line="480" w:lineRule="auto"/>
        <w:jc w:val="both"/>
        <w:rPr>
          <w:b/>
          <w:color w:val="000000"/>
          <w:sz w:val="22"/>
          <w:szCs w:val="22"/>
        </w:rPr>
      </w:pPr>
    </w:p>
    <w:p w14:paraId="00000015" w14:textId="77777777" w:rsidR="00DC0816" w:rsidRDefault="00391DD5">
      <w:pPr>
        <w:shd w:val="clear" w:color="auto" w:fill="FFFFFF"/>
        <w:tabs>
          <w:tab w:val="left" w:pos="0"/>
        </w:tabs>
        <w:spacing w:line="480" w:lineRule="auto"/>
        <w:jc w:val="both"/>
        <w:rPr>
          <w:b/>
          <w:color w:val="000000"/>
        </w:rPr>
      </w:pPr>
      <w:r>
        <w:rPr>
          <w:b/>
        </w:rPr>
        <w:t xml:space="preserve">Additional File 2: </w:t>
      </w:r>
      <w:r>
        <w:rPr>
          <w:b/>
          <w:color w:val="000000"/>
        </w:rPr>
        <w:t>Method S3</w:t>
      </w:r>
      <w:r>
        <w:rPr>
          <w:b/>
        </w:rPr>
        <w:t>.</w:t>
      </w:r>
      <w:r>
        <w:rPr>
          <w:b/>
          <w:color w:val="000000"/>
        </w:rPr>
        <w:t xml:space="preserve"> Overview of the </w:t>
      </w:r>
      <w:proofErr w:type="spellStart"/>
      <w:r>
        <w:rPr>
          <w:b/>
          <w:color w:val="000000"/>
        </w:rPr>
        <w:t>EucGenIE</w:t>
      </w:r>
      <w:proofErr w:type="spellEnd"/>
      <w:r>
        <w:rPr>
          <w:b/>
          <w:color w:val="000000"/>
        </w:rPr>
        <w:t xml:space="preserve"> tools</w:t>
      </w:r>
    </w:p>
    <w:p w14:paraId="00000016" w14:textId="3B14F949" w:rsidR="00DC0816" w:rsidRDefault="00391DD5">
      <w:pPr>
        <w:shd w:val="clear" w:color="auto" w:fill="FFFFFF"/>
        <w:tabs>
          <w:tab w:val="left" w:pos="0"/>
        </w:tabs>
        <w:spacing w:line="480" w:lineRule="auto"/>
        <w:ind w:firstLine="720"/>
        <w:jc w:val="both"/>
        <w:rPr>
          <w:color w:val="000000"/>
          <w:sz w:val="22"/>
          <w:szCs w:val="22"/>
        </w:rPr>
      </w:pPr>
      <w:r>
        <w:rPr>
          <w:color w:val="000000"/>
          <w:sz w:val="22"/>
          <w:szCs w:val="22"/>
        </w:rPr>
        <w:t xml:space="preserve">The </w:t>
      </w:r>
      <w:proofErr w:type="spellStart"/>
      <w:r>
        <w:rPr>
          <w:color w:val="000000"/>
          <w:sz w:val="22"/>
          <w:szCs w:val="22"/>
        </w:rPr>
        <w:t>GeneList</w:t>
      </w:r>
      <w:proofErr w:type="spellEnd"/>
      <w:r>
        <w:rPr>
          <w:color w:val="000000"/>
          <w:sz w:val="22"/>
          <w:szCs w:val="22"/>
        </w:rPr>
        <w:t xml:space="preserve"> tool is the central tool (</w:t>
      </w:r>
      <w:r>
        <w:rPr>
          <w:b/>
          <w:color w:val="000000"/>
          <w:sz w:val="22"/>
          <w:szCs w:val="22"/>
        </w:rPr>
        <w:t>Table 1</w:t>
      </w:r>
      <w:r>
        <w:rPr>
          <w:color w:val="000000"/>
          <w:sz w:val="22"/>
          <w:szCs w:val="22"/>
        </w:rPr>
        <w:t xml:space="preserve">), where users can search and filter for genes based on different types of annotation and subsequently save custom gene lists. It is also possible to populate cross-species gene lists via the cross-species </w:t>
      </w:r>
      <w:proofErr w:type="spellStart"/>
      <w:r>
        <w:rPr>
          <w:color w:val="000000"/>
          <w:sz w:val="22"/>
          <w:szCs w:val="22"/>
        </w:rPr>
        <w:t>GeneList</w:t>
      </w:r>
      <w:proofErr w:type="spellEnd"/>
      <w:r>
        <w:rPr>
          <w:color w:val="000000"/>
          <w:sz w:val="22"/>
          <w:szCs w:val="22"/>
        </w:rPr>
        <w:t xml:space="preserve"> tool. The Cross-species </w:t>
      </w:r>
      <w:proofErr w:type="spellStart"/>
      <w:r>
        <w:rPr>
          <w:color w:val="000000"/>
          <w:sz w:val="22"/>
          <w:szCs w:val="22"/>
        </w:rPr>
        <w:t>GeneList</w:t>
      </w:r>
      <w:proofErr w:type="spellEnd"/>
      <w:r>
        <w:rPr>
          <w:color w:val="000000"/>
          <w:sz w:val="22"/>
          <w:szCs w:val="22"/>
        </w:rPr>
        <w:t xml:space="preserve"> uses the ortholog translation tables to translate gene lists between the species available in </w:t>
      </w:r>
      <w:proofErr w:type="spellStart"/>
      <w:r>
        <w:rPr>
          <w:color w:val="000000"/>
          <w:sz w:val="22"/>
          <w:szCs w:val="22"/>
        </w:rPr>
        <w:t>PlantGenIE</w:t>
      </w:r>
      <w:proofErr w:type="spellEnd"/>
      <w:r>
        <w:rPr>
          <w:color w:val="000000"/>
          <w:sz w:val="22"/>
          <w:szCs w:val="22"/>
        </w:rPr>
        <w:t xml:space="preserve">; the user can use best DIAMOND hits (or reciprocal best DIAMOND hits) or the PLAZA resource ortholog methods described in </w:t>
      </w:r>
      <w:r>
        <w:rPr>
          <w:b/>
          <w:sz w:val="22"/>
          <w:szCs w:val="22"/>
        </w:rPr>
        <w:t xml:space="preserve">Additional File 2: </w:t>
      </w:r>
      <w:r>
        <w:rPr>
          <w:b/>
          <w:color w:val="000000"/>
          <w:sz w:val="22"/>
          <w:szCs w:val="22"/>
        </w:rPr>
        <w:t>Method S2</w:t>
      </w:r>
      <w:r>
        <w:rPr>
          <w:color w:val="000000"/>
          <w:sz w:val="22"/>
          <w:szCs w:val="22"/>
        </w:rPr>
        <w:t xml:space="preserve"> </w:t>
      </w:r>
      <w:r w:rsidR="00142449">
        <w:rPr>
          <w:color w:val="000000"/>
          <w:sz w:val="22"/>
          <w:szCs w:val="22"/>
        </w:rPr>
        <w:fldChar w:fldCharType="begin" w:fldLock="1"/>
      </w:r>
      <w:r w:rsidR="00142449">
        <w:rPr>
          <w:color w:val="000000"/>
          <w:sz w:val="22"/>
          <w:szCs w:val="22"/>
        </w:rPr>
        <w:instrText>ADDIN CSL_CITATION {"citationItems":[{"id":"ITEM-1","itemData":{"DOI":"10.1093/nar/gku986","ISSN":"13624962","PMID":"25324309","abstract":"Comparative sequence analysis has significantly altered our view on the complexity of genome organization and gene functions in different kingdoms. PLAZA 3.0 is designed to make comparative genomics data for plants available through a user-friendly web interface. Structural and functional annotation, gene families, protein domains, phylogenetic trees and detailed information about genome organization can easily be queried and visualized. Compared with the first version released in 2009, which featured nine organisms, the number of integrated genomes is more than four times higher, and now covers 37 plant species. The new species provide a wider phylogenetic range as well as a more in-depth sampling of specific clades, and genomes of additional crop species are present. The functional annotation has been expanded and now comprises data from Gene Ontology, MapMan, UniProtKB/Swiss-Prot, PlnTFDB and PlantTFDB. Furthermore, we improved the algorithms to transfer functional annotation from well-characterized plant genomes to other species. The additional data and new features make PLAZA 3.0 (http://bioinformatics.psb.ugent.be/plaza/) a versatile and comprehensible resource for users wanting to explore genome information to study different aspects of plant biology, both in model and non-model organisms.","author":[{"dropping-particle":"","family":"Proost","given":"Sebastian","non-dropping-particle":"","parse-names":false,"suffix":""},{"dropping-particle":"V","family":"Bel","given":"Michiel","non-dropping-particle":"","parse-names":false,"suffix":""},{"dropping-particle":"","family":"Vaneechoutte","given":"Dries","non-dropping-particle":"","parse-names":false,"suffix":""},{"dropping-particle":"","family":"VanDePeer","given":"Yves","non-dropping-particle":"","parse-names":false,"suffix":""},{"dropping-particle":"","family":"Inzé","given":"Dirk","non-dropping-particle":"","parse-names":false,"suffix":""},{"dropping-particle":"","family":"Mueller-Roeber","given":"Bernd","non-dropping-particle":"","parse-names":false,"suffix":""},{"dropping-particle":"","family":"Vandepoele","given":"Klaas","non-dropping-particle":"","parse-names":false,"suffix":""}],"container-title":"Nucleic Acids Research","id":"ITEM-1","issue":"D1","issued":{"date-parts":[["2015"]]},"page":"D974-D981","title":"PLAZA 3.0: An access point for plant comparative genomics","type":"article-journal","volume":"43"},"uris":["http://www.mendeley.com/documents/?uuid=41f0202c-77d2-475c-abbe-a04d52bb9494"]}],"mendeley":{"formattedCitation":"[19]","plainTextFormattedCitation":"[19]","previouslyFormattedCitation":"[19]"},"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[19]</w:t>
      </w:r>
      <w:r w:rsidR="00142449">
        <w:rPr>
          <w:color w:val="000000"/>
          <w:sz w:val="22"/>
          <w:szCs w:val="22"/>
        </w:rPr>
        <w:fldChar w:fldCharType="end"/>
      </w:r>
      <w:r>
        <w:rPr>
          <w:color w:val="000000"/>
          <w:sz w:val="22"/>
          <w:szCs w:val="22"/>
        </w:rPr>
        <w:t xml:space="preserve">. After selecting a starting gene list, other </w:t>
      </w:r>
      <w:proofErr w:type="spellStart"/>
      <w:r>
        <w:rPr>
          <w:color w:val="000000"/>
          <w:sz w:val="22"/>
          <w:szCs w:val="22"/>
        </w:rPr>
        <w:t>EucGenIE</w:t>
      </w:r>
      <w:proofErr w:type="spellEnd"/>
      <w:r>
        <w:rPr>
          <w:color w:val="000000"/>
          <w:sz w:val="22"/>
          <w:szCs w:val="22"/>
        </w:rPr>
        <w:t xml:space="preserve"> tools can be used to explore the data and refine the active gene list for further exploration. </w:t>
      </w:r>
    </w:p>
    <w:p w14:paraId="00000017" w14:textId="51700E97" w:rsidR="00DC0816" w:rsidRDefault="00391DD5">
      <w:pPr>
        <w:shd w:val="clear" w:color="auto" w:fill="FFFFFF"/>
        <w:tabs>
          <w:tab w:val="left" w:pos="0"/>
        </w:tabs>
        <w:spacing w:line="480" w:lineRule="auto"/>
        <w:ind w:firstLine="720"/>
        <w:jc w:val="both"/>
        <w:rPr>
          <w:color w:val="000000"/>
          <w:sz w:val="22"/>
          <w:szCs w:val="22"/>
        </w:rPr>
      </w:pPr>
      <w:r>
        <w:rPr>
          <w:color w:val="000000"/>
          <w:sz w:val="22"/>
          <w:szCs w:val="22"/>
        </w:rPr>
        <w:t>Standard analysis features are provided in Genome tools and Analysis tools (</w:t>
      </w:r>
      <w:r>
        <w:rPr>
          <w:b/>
          <w:color w:val="000000"/>
          <w:sz w:val="22"/>
          <w:szCs w:val="22"/>
        </w:rPr>
        <w:t>Table 1</w:t>
      </w:r>
      <w:r>
        <w:rPr>
          <w:color w:val="000000"/>
          <w:sz w:val="22"/>
          <w:szCs w:val="22"/>
        </w:rPr>
        <w:t xml:space="preserve">). The </w:t>
      </w:r>
      <w:proofErr w:type="spellStart"/>
      <w:r>
        <w:rPr>
          <w:color w:val="000000"/>
          <w:sz w:val="22"/>
          <w:szCs w:val="22"/>
        </w:rPr>
        <w:t>SeqSearch</w:t>
      </w:r>
      <w:proofErr w:type="spellEnd"/>
      <w:r>
        <w:rPr>
          <w:color w:val="000000"/>
          <w:sz w:val="22"/>
          <w:szCs w:val="22"/>
        </w:rPr>
        <w:t xml:space="preserve"> tool extracts coding, transcript, protein or genomic sequences from the </w:t>
      </w:r>
      <w:proofErr w:type="spellStart"/>
      <w:r>
        <w:rPr>
          <w:color w:val="000000"/>
          <w:sz w:val="22"/>
          <w:szCs w:val="22"/>
        </w:rPr>
        <w:t>EucGenIE</w:t>
      </w:r>
      <w:proofErr w:type="spellEnd"/>
      <w:r>
        <w:rPr>
          <w:color w:val="000000"/>
          <w:sz w:val="22"/>
          <w:szCs w:val="22"/>
        </w:rPr>
        <w:t xml:space="preserve"> database. The BLAST tool compares input sequences to the </w:t>
      </w:r>
      <w:proofErr w:type="spellStart"/>
      <w:r>
        <w:rPr>
          <w:color w:val="000000"/>
          <w:sz w:val="22"/>
          <w:szCs w:val="22"/>
        </w:rPr>
        <w:t>EucGenIE</w:t>
      </w:r>
      <w:proofErr w:type="spellEnd"/>
      <w:r>
        <w:rPr>
          <w:color w:val="000000"/>
          <w:sz w:val="22"/>
          <w:szCs w:val="22"/>
        </w:rPr>
        <w:t xml:space="preserve"> sequence database to identify homologous </w:t>
      </w:r>
      <w:r>
        <w:rPr>
          <w:color w:val="000000"/>
          <w:sz w:val="22"/>
          <w:szCs w:val="22"/>
        </w:rPr>
        <w:lastRenderedPageBreak/>
        <w:t xml:space="preserve">sequence matches. The </w:t>
      </w:r>
      <w:proofErr w:type="spellStart"/>
      <w:r>
        <w:rPr>
          <w:color w:val="000000"/>
          <w:sz w:val="22"/>
          <w:szCs w:val="22"/>
        </w:rPr>
        <w:t>ChrDiagram</w:t>
      </w:r>
      <w:proofErr w:type="spellEnd"/>
      <w:r>
        <w:rPr>
          <w:color w:val="000000"/>
          <w:sz w:val="22"/>
          <w:szCs w:val="22"/>
        </w:rPr>
        <w:t xml:space="preserve"> tool plots the location of genes in the active gene list on the 11 chromosomes. The </w:t>
      </w:r>
      <w:proofErr w:type="spellStart"/>
      <w:r>
        <w:rPr>
          <w:color w:val="000000"/>
          <w:sz w:val="22"/>
          <w:szCs w:val="22"/>
        </w:rPr>
        <w:t>JBrowse</w:t>
      </w:r>
      <w:proofErr w:type="spellEnd"/>
      <w:r>
        <w:rPr>
          <w:color w:val="000000"/>
          <w:sz w:val="22"/>
          <w:szCs w:val="22"/>
        </w:rPr>
        <w:t xml:space="preserve"> tool is a genome browser allowing the genomic visualization of various data types. Enrichment is a tool that calculates enrichment for Gene Ontology (GO) categories, Kyoto </w:t>
      </w:r>
      <w:proofErr w:type="spellStart"/>
      <w:r>
        <w:rPr>
          <w:color w:val="000000"/>
          <w:sz w:val="22"/>
          <w:szCs w:val="22"/>
        </w:rPr>
        <w:t>Encyclopedia</w:t>
      </w:r>
      <w:proofErr w:type="spellEnd"/>
      <w:r>
        <w:rPr>
          <w:color w:val="000000"/>
          <w:sz w:val="22"/>
          <w:szCs w:val="22"/>
        </w:rPr>
        <w:t xml:space="preserve"> of Genes and Genomes (KEGG) pathways and Protein family (</w:t>
      </w:r>
      <w:proofErr w:type="spellStart"/>
      <w:r>
        <w:rPr>
          <w:color w:val="000000"/>
          <w:sz w:val="22"/>
          <w:szCs w:val="22"/>
        </w:rPr>
        <w:t>Pfam</w:t>
      </w:r>
      <w:proofErr w:type="spellEnd"/>
      <w:r>
        <w:rPr>
          <w:color w:val="000000"/>
          <w:sz w:val="22"/>
          <w:szCs w:val="22"/>
        </w:rPr>
        <w:t>) domains in the active gene list. For the Enrichment tool, a GO overrepresentation approach that examines each term in the context of its parent terms was incorporated (the parent–child approach</w:t>
      </w:r>
      <w:r w:rsidR="00142449">
        <w:rPr>
          <w:color w:val="000000"/>
          <w:sz w:val="22"/>
          <w:szCs w:val="22"/>
        </w:rPr>
        <w:t>)</w:t>
      </w:r>
      <w:r>
        <w:rPr>
          <w:color w:val="000000"/>
          <w:sz w:val="22"/>
          <w:szCs w:val="22"/>
        </w:rPr>
        <w:t xml:space="preserve"> </w:t>
      </w:r>
      <w:r w:rsidR="00142449">
        <w:rPr>
          <w:color w:val="000000"/>
          <w:sz w:val="22"/>
          <w:szCs w:val="22"/>
        </w:rPr>
        <w:fldChar w:fldCharType="begin" w:fldLock="1"/>
      </w:r>
      <w:r w:rsidR="00142449">
        <w:rPr>
          <w:color w:val="000000"/>
          <w:sz w:val="22"/>
          <w:szCs w:val="22"/>
        </w:rPr>
        <w:instrText>ADDIN CSL_CITATION {"citationItems":[{"id":"ITEM-1","itemData":{"DOI":"10.1093/bioinformatics/btm440","ISSN":"13674803","abstract":"MOTIVATION: High-throughput experiments such as microarray hybridizations often yield long lists of genes found to share a certain characteristic such as differential expression. Exploring Gene Ontology (GO) annotations for such lists of genes has become a widespread practice to get first insights into the potential biological meaning of the experiment. The standard statistical approach to measuring overrepresentation of GO terms cannot cope with the dependencies resulting from the structure of GO because they analyze each term in isolation. Especially the fact that annotations are inherited from more specific descendant terms can result in certain types of false-positive results with potentially misleading biological interpretation, a phenomenon which we term the inheritance problem. RESULTS: We present here a novel approach to analysis of GO term overrepresentation that determines overrepresentation of terms in the context of annotations to the term's parents. This approach reduces the dependencies between the individual term's measurements, and thereby avoids producing false-positive results owing to the inheritance problem. ROC analysis using study sets with overrepresented GO terms showed a clear advantage for our approach over the standard algorithm with respect to the inheritance problem. Although there can be no gold standard for exploratory methods such as analysis of GO term overrepresentation, analysis of biological datasets suggests that our algorithm tends to identify the core GO terms that are most characteristic of the dataset being analyzed.","author":[{"dropping-particle":"","family":"Grossmann","given":"Steffen","non-dropping-particle":"","parse-names":false,"suffix":""},{"dropping-particle":"","family":"Bauer","given":"Sebastian","non-dropping-particle":"","parse-names":false,"suffix":""},{"dropping-particle":"","family":"Robinson","given":"Peter N.","non-dropping-particle":"","parse-names":false,"suffix":""},{"dropping-particle":"","family":"Vingron","given":"Martin","non-dropping-particle":"","parse-names":false,"suffix":""}],"container-title":"Bioinformatics","id":"ITEM-1","issue":"22","issued":{"date-parts":[["2007"]]},"page":"3024-3031","title":"Improved detection of overrepresentation of Gene-Ontology annotations with parent-child analysis","type":"article-journal","volume":"23"},"uris":["http://www.mendeley.com/documents/?uuid=913c537d-c35d-4497-94f4-bbbec93225d0"]}],"mendeley":{"formattedCitation":"[20]","plainTextFormattedCitation":"[20]","previouslyFormattedCitation":"[20]"},"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[20]</w:t>
      </w:r>
      <w:r w:rsidR="00142449">
        <w:rPr>
          <w:color w:val="000000"/>
          <w:sz w:val="22"/>
          <w:szCs w:val="22"/>
        </w:rPr>
        <w:fldChar w:fldCharType="end"/>
      </w:r>
      <w:r>
        <w:rPr>
          <w:color w:val="000000"/>
          <w:sz w:val="22"/>
          <w:szCs w:val="22"/>
        </w:rPr>
        <w:t xml:space="preserve">. The Venn tool generates an interactive Venn diagram for the saved gene lists in </w:t>
      </w:r>
      <w:proofErr w:type="spellStart"/>
      <w:r>
        <w:rPr>
          <w:color w:val="000000"/>
          <w:sz w:val="22"/>
          <w:szCs w:val="22"/>
        </w:rPr>
        <w:t>EucGenIE</w:t>
      </w:r>
      <w:proofErr w:type="spellEnd"/>
      <w:r>
        <w:rPr>
          <w:color w:val="000000"/>
          <w:sz w:val="22"/>
          <w:szCs w:val="22"/>
        </w:rPr>
        <w:t>, and intersecting lists can be saved as new gene lists. The Venn tool is based on the interactive Venn diagram viewer (</w:t>
      </w:r>
      <w:proofErr w:type="spellStart"/>
      <w:r>
        <w:rPr>
          <w:color w:val="000000"/>
          <w:sz w:val="22"/>
          <w:szCs w:val="22"/>
        </w:rPr>
        <w:t>jvenn</w:t>
      </w:r>
      <w:proofErr w:type="spellEnd"/>
      <w:r w:rsidR="00142449">
        <w:rPr>
          <w:sz w:val="22"/>
          <w:szCs w:val="22"/>
        </w:rPr>
        <w:t>)</w:t>
      </w:r>
      <w:r>
        <w:rPr>
          <w:sz w:val="22"/>
          <w:szCs w:val="22"/>
        </w:rPr>
        <w:t xml:space="preserve"> </w:t>
      </w:r>
      <w:r w:rsidR="00142449">
        <w:rPr>
          <w:sz w:val="22"/>
          <w:szCs w:val="22"/>
        </w:rPr>
        <w:fldChar w:fldCharType="begin" w:fldLock="1"/>
      </w:r>
      <w:r w:rsidR="00142449">
        <w:rPr>
          <w:sz w:val="22"/>
          <w:szCs w:val="22"/>
        </w:rPr>
        <w:instrText>ADDIN CSL_CITATION {"citationItems":[{"id":"ITEM-1","itemData":{"DOI":"10.1186/1471-2105-15-293","ISSN":"14712105","abstract":"Background: Venn diagrams are commonly used to display list comparison. In biology, they are widely used to show the differences between gene lists originating from different differential analyses, for instance. They thus allow the comparison between different experimental conditions or between different methods. However, when the number of input lists exceeds four, the diagram becomes difficult to read. Alternative layouts and dynamic display features can improve its use and its readability.Results: jvenn is a new JavaScript library. It processes lists and produces Venn diagrams. It handles up to six input lists and presents results using classical or Edwards-Venn layouts. User interactions can be controlled and customized. Finally, jvenn can easily be embeded in a web page, allowing to have dynamic Venn diagrams.Conclusions: jvenn is an open source component for web environments helping scientists to analyze their data. The library package, which comes with full documentation and an example, is freely available at http://bioinfo.genotoul.fr/jvenn.","author":[{"dropping-particle":"","family":"Bardou","given":"Philippe","non-dropping-particle":"","parse-names":false,"suffix":""},{"dropping-particle":"","family":"Mariette","given":"Jérôme","non-dropping-particle":"","parse-names":false,"suffix":""},{"dropping-particle":"","family":"Escudié","given":"Frédéric","non-dropping-particle":"","parse-names":false,"suffix":""},{"dropping-particle":"","family":"Djemiel","given":"Christophe","non-dropping-particle":"","parse-names":false,"suffix":""},{"dropping-particle":"","family":"Klopp","given":"Christophe","non-dropping-particle":"","parse-names":false,"suffix":""}],"container-title":"BMC Bioinformatics","id":"ITEM-1","issue":"1","issued":{"date-parts":[["2014"]]},"page":"1-7","title":"Jvenn: An interactive Venn diagram viewer","type":"article-journal","volume":"15"},"uris":["http://www.mendeley.com/documents/?uuid=f36fc1ed-c7a2-4ab0-96de-c0e3d99797ec"]}],"mendeley":{"formattedCitation":"[21]","plainTextFormattedCitation":"[21]","previouslyFormattedCitation":"[21]"},"properties":{"noteIndex":0},"schema":"https://github.com/citation-style-language/schema/raw/master/csl-citation.json"}</w:instrText>
      </w:r>
      <w:r w:rsidR="00142449">
        <w:rPr>
          <w:sz w:val="22"/>
          <w:szCs w:val="22"/>
        </w:rPr>
        <w:fldChar w:fldCharType="separate"/>
      </w:r>
      <w:r w:rsidR="00142449" w:rsidRPr="00142449">
        <w:rPr>
          <w:noProof/>
          <w:sz w:val="22"/>
          <w:szCs w:val="22"/>
        </w:rPr>
        <w:t>[21]</w:t>
      </w:r>
      <w:r w:rsidR="00142449">
        <w:rPr>
          <w:sz w:val="22"/>
          <w:szCs w:val="22"/>
        </w:rPr>
        <w:fldChar w:fldCharType="end"/>
      </w:r>
      <w:r w:rsidR="00142449">
        <w:rPr>
          <w:color w:val="000000"/>
          <w:sz w:val="22"/>
          <w:szCs w:val="22"/>
        </w:rPr>
        <w:t>.</w:t>
      </w:r>
    </w:p>
    <w:p w14:paraId="00000018" w14:textId="0F963FF4" w:rsidR="00DC0816" w:rsidRDefault="00391DD5">
      <w:pPr>
        <w:shd w:val="clear" w:color="auto" w:fill="FFFFFF"/>
        <w:tabs>
          <w:tab w:val="left" w:pos="0"/>
        </w:tabs>
        <w:spacing w:line="480" w:lineRule="auto"/>
        <w:ind w:firstLine="720"/>
        <w:jc w:val="both"/>
        <w:rPr>
          <w:color w:val="000000"/>
          <w:sz w:val="22"/>
          <w:szCs w:val="22"/>
        </w:rPr>
      </w:pPr>
      <w:proofErr w:type="spellStart"/>
      <w:r>
        <w:rPr>
          <w:color w:val="000000"/>
          <w:sz w:val="22"/>
          <w:szCs w:val="22"/>
        </w:rPr>
        <w:t>exNet</w:t>
      </w:r>
      <w:proofErr w:type="spellEnd"/>
      <w:r>
        <w:rPr>
          <w:color w:val="000000"/>
          <w:sz w:val="22"/>
          <w:szCs w:val="22"/>
        </w:rPr>
        <w:t xml:space="preserve"> visualizes co-expression between genes in the active gene list, across the experiments in sample collections 2, 3 and 4 (</w:t>
      </w:r>
      <w:r>
        <w:rPr>
          <w:b/>
          <w:sz w:val="22"/>
          <w:szCs w:val="22"/>
        </w:rPr>
        <w:t xml:space="preserve">Additional File 1: </w:t>
      </w:r>
      <w:r>
        <w:rPr>
          <w:b/>
          <w:color w:val="000000"/>
          <w:sz w:val="22"/>
          <w:szCs w:val="22"/>
        </w:rPr>
        <w:t>Table S1</w:t>
      </w:r>
      <w:r>
        <w:rPr>
          <w:color w:val="000000"/>
          <w:sz w:val="22"/>
          <w:szCs w:val="22"/>
        </w:rPr>
        <w:t xml:space="preserve">). A co-expression network is constructed where nodes represent genes and edges represent co-expression above a selected threshold. Increasing or decreasing the threshold leads to contraction or expansion of the network. Nodes (genes) are coloured according to the tissue with the highest expression in the </w:t>
      </w:r>
      <w:r>
        <w:rPr>
          <w:i/>
          <w:color w:val="000000"/>
          <w:sz w:val="22"/>
          <w:szCs w:val="22"/>
        </w:rPr>
        <w:t>E. grandis</w:t>
      </w:r>
      <w:r>
        <w:rPr>
          <w:color w:val="000000"/>
          <w:sz w:val="22"/>
          <w:szCs w:val="22"/>
        </w:rPr>
        <w:t xml:space="preserve"> tissues </w:t>
      </w:r>
      <w:proofErr w:type="spellStart"/>
      <w:r>
        <w:rPr>
          <w:color w:val="000000"/>
          <w:sz w:val="22"/>
          <w:szCs w:val="22"/>
        </w:rPr>
        <w:t>exAtlas</w:t>
      </w:r>
      <w:proofErr w:type="spellEnd"/>
      <w:r>
        <w:rPr>
          <w:color w:val="000000"/>
          <w:sz w:val="22"/>
          <w:szCs w:val="22"/>
        </w:rPr>
        <w:t xml:space="preserve">. At any point, the genes in a co-expression network can be saved as a new gene list. In </w:t>
      </w:r>
      <w:proofErr w:type="spellStart"/>
      <w:r>
        <w:rPr>
          <w:color w:val="000000"/>
          <w:sz w:val="22"/>
          <w:szCs w:val="22"/>
        </w:rPr>
        <w:t>exNet</w:t>
      </w:r>
      <w:proofErr w:type="spellEnd"/>
      <w:r>
        <w:rPr>
          <w:color w:val="000000"/>
          <w:sz w:val="22"/>
          <w:szCs w:val="22"/>
        </w:rPr>
        <w:t xml:space="preserve">, networks are displayed using cytoscape.js </w:t>
      </w:r>
      <w:r w:rsidR="00142449">
        <w:rPr>
          <w:color w:val="000000"/>
          <w:sz w:val="22"/>
          <w:szCs w:val="22"/>
        </w:rPr>
        <w:fldChar w:fldCharType="begin" w:fldLock="1"/>
      </w:r>
      <w:r w:rsidR="00142449">
        <w:rPr>
          <w:color w:val="000000"/>
          <w:sz w:val="22"/>
          <w:szCs w:val="22"/>
        </w:rPr>
        <w:instrText>ADDIN CSL_CITATION {"citationItems":[{"id":"ITEM-1","itemData":{"ISSN":"14602059","abstract":"Summary: Cytoscape.js is an open-source JavaScript-based graph library. Its most common use case is as a visualization software component, so it can be used to render interactive graphs in a web browser. It also can be used in a headless manner, useful for graph operations on a server, such as Node.js. Availability and implementation: Cytoscape.js is implemented in JavaScript. Documentation, downloads and source code are available at http://js.cytoscape.org. Contact:","author":[{"dropping-particle":"","family":"Franz","given":"Max","non-dropping-particle":"","parse-names":false,"suffix":""},{"dropping-particle":"","family":"Lopes","given":"Christian T.","non-dropping-particle":"","parse-names":false,"suffix":""},{"dropping-particle":"","family":"Huck","given":"Gerardo","non-dropping-particle":"","parse-names":false,"suffix":""},{"dropping-particle":"","family":"Dong","given":"Yue","non-dropping-particle":"","parse-names":false,"suffix":""},{"dropping-particle":"","family":"Sumer","given":"Onur","non-dropping-particle":"","parse-names":false,"suffix":""},{"dropping-particle":"","family":"Bader","given":"Gary D.","non-dropping-particle":"","parse-names":false,"suffix":""}],"container-title":"Bioinformatics","id":"ITEM-1","issue":"2","issued":{"date-parts":[["2016"]]},"page":"309-311","title":"Cytoscape.js: A graph theory library for visualisation and analysis","type":"article-journal","volume":"32"},"uris":["http://www.mendeley.com/documents/?uuid=88aa0e5c-a4c3-419f-97d8-06a5a5729d3f"]}],"mendeley":{"formattedCitation":"[22]","plainTextFormattedCitation":"[22]","previouslyFormattedCitation":"[22]"},"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[22]</w:t>
      </w:r>
      <w:r w:rsidR="00142449">
        <w:rPr>
          <w:color w:val="000000"/>
          <w:sz w:val="22"/>
          <w:szCs w:val="22"/>
        </w:rPr>
        <w:fldChar w:fldCharType="end"/>
      </w:r>
      <w:r>
        <w:rPr>
          <w:color w:val="000000"/>
          <w:sz w:val="22"/>
          <w:szCs w:val="22"/>
        </w:rPr>
        <w:t xml:space="preserve"> and gene co-expression networks are inferred using context likelihood of relatedness (CLR) values </w:t>
      </w:r>
      <w:r w:rsidR="00142449">
        <w:rPr>
          <w:color w:val="000000"/>
          <w:sz w:val="22"/>
          <w:szCs w:val="22"/>
        </w:rPr>
        <w:fldChar w:fldCharType="begin" w:fldLock="1"/>
      </w:r>
      <w:r w:rsidR="00142449">
        <w:rPr>
          <w:color w:val="000000"/>
          <w:sz w:val="22"/>
          <w:szCs w:val="22"/>
        </w:rPr>
        <w:instrText>ADDIN CSL_CITATION {"citationItems":[{"id":"ITEM-1","itemData":{"DOI":"10.1371/journal.pbio.0050008","ISSN":"15449173","abstract":"Machine learning approaches offer the potential to systematically identify transcriptional regulatory interactions from a compendium of microarray expression profiles. However, experimental validation of the performance of these methods at the genome scale has remained elusive. Here we assess the global performance of four existing classes of inference algorithms using 445 Escherichia coli Affymetrix arrays and 3,216 known E. coli regulatory interactions from RegulonDB. We also developed and applied the context likelihood of relatedness (CLR) algorithm, a novel extension of the relevance networks class of algorithms. CLR demonstrates an average precision gain of 36% relative to the next-best performing algorithm. At a 60% true positive rate, CLR identifies 1,079 regulatory interactions, of which 338 were in the previously known network and 741 were novel predictions. We tested the predicted interactions for three transcription factors with chromatin immunoprecipitation, confirming 21 novel interactions and verifying our RegulonDB-based performance estimates. CLR also identified a regulatory link providing central metabolic control of iron transport, which we confirmed with real-time quantitative PCR. The compendium of expression data compiled in this study, coupled with RegulonDB, provides a valuable model system for further improvement of network inference algorithms using experimental data. © 2007 Faith et al.","author":[{"dropping-particle":"","family":"Faith","given":"Jeremiah J.","non-dropping-particle":"","parse-names":false,"suffix":""},{"dropping-particle":"","family":"Hayete","given":"Boris","non-dropping-particle":"","parse-names":false,"suffix":""},{"dropping-particle":"","family":"Thaden","given":"Joshua T.","non-dropping-particle":"","parse-names":false,"suffix":""},{"dropping-particle":"","family":"Mogno","given":"Ilaria","non-dropping-particle":"","parse-names":false,"suffix":""},{"dropping-particle":"","family":"Wierzbowski","given":"Jamey","non-dropping-particle":"","parse-names":false,"suffix":""},{"dropping-particle":"","family":"Cottarel","given":"Guillaume","non-dropping-particle":"","parse-names":false,"suffix":""},{"dropping-particle":"","family":"Kasif","given":"Simon","non-dropping-particle":"","parse-names":false,"suffix":""},{"dropping-particle":"","family":"Collins","given":"James J.","non-dropping-particle":"","parse-names":false,"suffix":""},{"dropping-particle":"","family":"Gardner","given":"Timothy S.","non-dropping-particle":"","parse-names":false,"suffix":""}],"container-title":"PLoS Biology","id":"ITEM-1","issue":"1","issued":{"date-parts":[["2007"]]},"page":"0054-0066","title":"Large-scale mapping and validation of &lt;i&gt;Escherichia coli&lt;/i&gt; transcriptional regulation from a compendium of expression profiles","type":"article-journal","volume":"5"},"uris":["http://www.mendeley.com/documents/?uuid=e60000da-e582-453b-adbc-ca6414c71a83"]}],"mendeley":{"formattedCitation":"[23]","plainTextFormattedCitation":"[23]","previouslyFormattedCitation":"[23]"},"properties":{"noteIndex":0},"schema":"https://github.com/citation-style-language/schema/raw/master/csl-citation.json"}</w:instrText>
      </w:r>
      <w:r w:rsidR="00142449">
        <w:rPr>
          <w:color w:val="000000"/>
          <w:sz w:val="22"/>
          <w:szCs w:val="22"/>
        </w:rPr>
        <w:fldChar w:fldCharType="separate"/>
      </w:r>
      <w:r w:rsidR="00142449" w:rsidRPr="00142449">
        <w:rPr>
          <w:noProof/>
          <w:color w:val="000000"/>
          <w:sz w:val="22"/>
          <w:szCs w:val="22"/>
        </w:rPr>
        <w:t>[23]</w:t>
      </w:r>
      <w:r w:rsidR="00142449">
        <w:rPr>
          <w:color w:val="000000"/>
          <w:sz w:val="22"/>
          <w:szCs w:val="22"/>
        </w:rPr>
        <w:fldChar w:fldCharType="end"/>
      </w:r>
      <w:r>
        <w:rPr>
          <w:color w:val="000000"/>
          <w:sz w:val="22"/>
          <w:szCs w:val="22"/>
        </w:rPr>
        <w:t xml:space="preserve">. The remaining Expression tools allow data exploration within a selected sample collection. </w:t>
      </w:r>
      <w:proofErr w:type="spellStart"/>
      <w:r>
        <w:rPr>
          <w:color w:val="000000"/>
          <w:sz w:val="22"/>
          <w:szCs w:val="22"/>
        </w:rPr>
        <w:t>exImage</w:t>
      </w:r>
      <w:proofErr w:type="spellEnd"/>
      <w:r>
        <w:rPr>
          <w:color w:val="000000"/>
          <w:sz w:val="22"/>
          <w:szCs w:val="22"/>
        </w:rPr>
        <w:t xml:space="preserve"> provides a pictorial representation of the expression levels of a single gene (in the active gene list) across different tissues or conditions in the sample collection. </w:t>
      </w:r>
      <w:proofErr w:type="spellStart"/>
      <w:r>
        <w:rPr>
          <w:color w:val="000000"/>
          <w:sz w:val="22"/>
          <w:szCs w:val="22"/>
        </w:rPr>
        <w:t>exMatch</w:t>
      </w:r>
      <w:proofErr w:type="spellEnd"/>
      <w:r>
        <w:rPr>
          <w:color w:val="000000"/>
          <w:sz w:val="22"/>
          <w:szCs w:val="22"/>
        </w:rPr>
        <w:t xml:space="preserve"> finds genes with a chosen expression profile, using a </w:t>
      </w:r>
      <w:proofErr w:type="spellStart"/>
      <w:r>
        <w:rPr>
          <w:color w:val="000000"/>
          <w:sz w:val="22"/>
          <w:szCs w:val="22"/>
        </w:rPr>
        <w:t>color</w:t>
      </w:r>
      <w:proofErr w:type="spellEnd"/>
      <w:r>
        <w:rPr>
          <w:color w:val="000000"/>
          <w:sz w:val="22"/>
          <w:szCs w:val="22"/>
        </w:rPr>
        <w:t xml:space="preserve"> legend. A user can create the desired pictorial representation of expression levels and search for genes with this expression profile. </w:t>
      </w:r>
      <w:proofErr w:type="spellStart"/>
      <w:r>
        <w:rPr>
          <w:color w:val="000000"/>
          <w:sz w:val="22"/>
          <w:szCs w:val="22"/>
        </w:rPr>
        <w:t>exPlot</w:t>
      </w:r>
      <w:proofErr w:type="spellEnd"/>
      <w:r>
        <w:rPr>
          <w:color w:val="000000"/>
          <w:sz w:val="22"/>
          <w:szCs w:val="22"/>
        </w:rPr>
        <w:t xml:space="preserve"> visualizes expression profiles of the genes in the active gene list as line graphs across tissues or conditions in the sample collection. </w:t>
      </w:r>
      <w:proofErr w:type="spellStart"/>
      <w:r>
        <w:rPr>
          <w:color w:val="000000"/>
          <w:sz w:val="22"/>
          <w:szCs w:val="22"/>
        </w:rPr>
        <w:t>exHeatmap</w:t>
      </w:r>
      <w:proofErr w:type="spellEnd"/>
      <w:r>
        <w:rPr>
          <w:color w:val="000000"/>
          <w:sz w:val="22"/>
          <w:szCs w:val="22"/>
        </w:rPr>
        <w:t xml:space="preserve"> generates a heatmap plot of the expression levels across tissues or conditions, from where clusters of similarly expressed genes can interactively be selected and saved as new gene lists. </w:t>
      </w:r>
      <w:proofErr w:type="spellStart"/>
      <w:r>
        <w:rPr>
          <w:color w:val="000000"/>
          <w:sz w:val="22"/>
          <w:szCs w:val="22"/>
        </w:rPr>
        <w:t>exHeatmap</w:t>
      </w:r>
      <w:proofErr w:type="spellEnd"/>
      <w:r>
        <w:rPr>
          <w:color w:val="000000"/>
          <w:sz w:val="22"/>
          <w:szCs w:val="22"/>
        </w:rPr>
        <w:t xml:space="preserve"> is based on the Interactive Cluster Heatmap library (</w:t>
      </w:r>
      <w:proofErr w:type="spellStart"/>
      <w:r>
        <w:rPr>
          <w:color w:val="000000"/>
          <w:sz w:val="22"/>
          <w:szCs w:val="22"/>
        </w:rPr>
        <w:t>InChlib</w:t>
      </w:r>
      <w:proofErr w:type="spellEnd"/>
      <w:r w:rsidR="00142449">
        <w:rPr>
          <w:sz w:val="22"/>
          <w:szCs w:val="22"/>
        </w:rPr>
        <w:t xml:space="preserve">) </w:t>
      </w:r>
      <w:r w:rsidR="00142449">
        <w:rPr>
          <w:sz w:val="22"/>
          <w:szCs w:val="22"/>
        </w:rPr>
        <w:fldChar w:fldCharType="begin" w:fldLock="1"/>
      </w:r>
      <w:r w:rsidR="00774A02">
        <w:rPr>
          <w:sz w:val="22"/>
          <w:szCs w:val="22"/>
        </w:rPr>
        <w:instrText>ADDIN CSL_CITATION {"citationItems":[{"id":"ITEM-1","itemData":{"author":[{"dropping-particle":"","family":"Škuta","given":"C","non-dropping-particle":"","parse-names":false,"suffix":""},{"dropping-particle":"","family":"Bartůněk","given":"P","non-dropping-particle":"","parse-names":false,"suffix":""},{"dropping-particle":"","family":"Svozil","given":"D","non-dropping-particle":"","parse-names":false,"suffix":""}],"container-title":"Journal of Cheminformatics","id":"ITEM-1","issue":"44","issued":{"date-parts":[["2014"]]},"page":"1-6","title":"Supplementary information InCHlib – Interactive Cluster Heatmap for web applications","type":"article-journal","volume":"6"},"uris":["http://www.mendeley.com/documents/?uuid=5996b62b-0fdf-4dfd-a577-48904bafb863"]}],"mendeley":{"formattedCitation":"[24]","plainTextFormattedCitation":"[24]","previouslyFormattedCitation":"[24]"},"properties":{"noteIndex":0},"schema":"https://github.com/citation-style-language/schema/raw/master/csl-citation.json"}</w:instrText>
      </w:r>
      <w:r w:rsidR="00142449">
        <w:rPr>
          <w:sz w:val="22"/>
          <w:szCs w:val="22"/>
        </w:rPr>
        <w:fldChar w:fldCharType="separate"/>
      </w:r>
      <w:r w:rsidR="00142449" w:rsidRPr="00142449">
        <w:rPr>
          <w:noProof/>
          <w:sz w:val="22"/>
          <w:szCs w:val="22"/>
        </w:rPr>
        <w:t>[24]</w:t>
      </w:r>
      <w:r w:rsidR="00142449">
        <w:rPr>
          <w:sz w:val="22"/>
          <w:szCs w:val="22"/>
        </w:rPr>
        <w:fldChar w:fldCharType="end"/>
      </w:r>
      <w:r>
        <w:rPr>
          <w:color w:val="000000"/>
          <w:sz w:val="22"/>
          <w:szCs w:val="22"/>
        </w:rPr>
        <w:t>.</w:t>
      </w:r>
    </w:p>
    <w:p w14:paraId="00000019" w14:textId="77777777" w:rsidR="00DC0816" w:rsidRDefault="00DC0816">
      <w:pPr>
        <w:spacing w:line="480" w:lineRule="auto"/>
        <w:jc w:val="both"/>
        <w:rPr>
          <w:color w:val="000000"/>
          <w:sz w:val="22"/>
          <w:szCs w:val="22"/>
        </w:rPr>
      </w:pPr>
    </w:p>
    <w:p w14:paraId="0000001A" w14:textId="77777777" w:rsidR="00DC0816" w:rsidRDefault="00391DD5">
      <w:pPr>
        <w:spacing w:after="160" w:line="480" w:lineRule="auto"/>
        <w:jc w:val="both"/>
        <w:rPr>
          <w:b/>
          <w:color w:val="000000"/>
        </w:rPr>
      </w:pPr>
      <w:r>
        <w:rPr>
          <w:b/>
        </w:rPr>
        <w:t xml:space="preserve">Additional File 2: </w:t>
      </w:r>
      <w:r>
        <w:rPr>
          <w:b/>
          <w:color w:val="000000"/>
        </w:rPr>
        <w:t>Method S4</w:t>
      </w:r>
      <w:r>
        <w:rPr>
          <w:b/>
        </w:rPr>
        <w:t>.</w:t>
      </w:r>
      <w:r>
        <w:rPr>
          <w:b/>
          <w:color w:val="000000"/>
        </w:rPr>
        <w:t xml:space="preserve"> Translating genes between species within </w:t>
      </w:r>
      <w:proofErr w:type="spellStart"/>
      <w:r>
        <w:rPr>
          <w:b/>
          <w:color w:val="000000"/>
        </w:rPr>
        <w:t>PlantGenIE</w:t>
      </w:r>
      <w:proofErr w:type="spellEnd"/>
    </w:p>
    <w:p w14:paraId="0000001B" w14:textId="0E4D7E9C" w:rsidR="00DC0816" w:rsidRDefault="00391DD5">
      <w:pPr>
        <w:spacing w:after="160" w:line="480" w:lineRule="auto"/>
        <w:ind w:firstLine="720"/>
        <w:jc w:val="both"/>
        <w:rPr>
          <w:b/>
          <w:color w:val="000000"/>
          <w:sz w:val="22"/>
          <w:szCs w:val="22"/>
        </w:rPr>
      </w:pPr>
      <w:r>
        <w:rPr>
          <w:color w:val="000000"/>
          <w:sz w:val="22"/>
          <w:szCs w:val="22"/>
        </w:rPr>
        <w:lastRenderedPageBreak/>
        <w:t xml:space="preserve">The "translation" database contains all the ortholog information of species included in </w:t>
      </w:r>
      <w:proofErr w:type="spellStart"/>
      <w:r>
        <w:rPr>
          <w:color w:val="000000"/>
          <w:sz w:val="22"/>
          <w:szCs w:val="22"/>
        </w:rPr>
        <w:t>PlantGenIE</w:t>
      </w:r>
      <w:proofErr w:type="spellEnd"/>
      <w:r>
        <w:rPr>
          <w:color w:val="000000"/>
          <w:sz w:val="22"/>
          <w:szCs w:val="22"/>
        </w:rPr>
        <w:t xml:space="preserve">, to enable users to move between different tools and subdomains. It contains data from the best DIAMOND hits (and reciprocal best DIAMOND hits) </w:t>
      </w:r>
      <w:r w:rsidR="00774A02">
        <w:rPr>
          <w:color w:val="000000"/>
          <w:sz w:val="22"/>
          <w:szCs w:val="22"/>
        </w:rPr>
        <w:fldChar w:fldCharType="begin" w:fldLock="1"/>
      </w:r>
      <w:r w:rsidR="00774A02">
        <w:rPr>
          <w:color w:val="000000"/>
          <w:sz w:val="22"/>
          <w:szCs w:val="22"/>
        </w:rPr>
        <w:instrText>ADDIN CSL_CITATION {"citationItems":[{"id":"ITEM-1","itemData":{"author":[{"dropping-particle":"","family":"Buchfink","given":"B.","non-dropping-particle":"","parse-names":false,"suffix":""},{"dropping-particle":"","family":"Xie","given":"C.","non-dropping-particle":"","parse-names":false,"suffix":""},{"dropping-particle":"","family":"Huson","given":"D.H.","non-dropping-particle":"","parse-names":false,"suffix":""}],"container-title":"Nature Methods","id":"ITEM-1","issued":{"date-parts":[["2015"]]},"page":"59–60","title":"Fast and sensitive protein alignment using DIAMOND","type":"article-journal","volume":"12"},"uris":["http://www.mendeley.com/documents/?uuid=616bde15-fb89-459b-8aa7-d86dc025d6d0"]}],"mendeley":{"formattedCitation":"[25]","plainTextFormattedCitation":"[25]","previouslyFormattedCitation":"[25]"},"properties":{"noteIndex":0},"schema":"https://github.com/citation-style-language/schema/raw/master/csl-citation.json"}</w:instrText>
      </w:r>
      <w:r w:rsidR="00774A02">
        <w:rPr>
          <w:color w:val="000000"/>
          <w:sz w:val="22"/>
          <w:szCs w:val="22"/>
        </w:rPr>
        <w:fldChar w:fldCharType="separate"/>
      </w:r>
      <w:r w:rsidR="00774A02" w:rsidRPr="00774A02">
        <w:rPr>
          <w:noProof/>
          <w:color w:val="000000"/>
          <w:sz w:val="22"/>
          <w:szCs w:val="22"/>
        </w:rPr>
        <w:t>[25]</w:t>
      </w:r>
      <w:r w:rsidR="00774A02">
        <w:rPr>
          <w:color w:val="000000"/>
          <w:sz w:val="22"/>
          <w:szCs w:val="22"/>
        </w:rPr>
        <w:fldChar w:fldCharType="end"/>
      </w:r>
      <w:r>
        <w:rPr>
          <w:color w:val="000000"/>
          <w:sz w:val="22"/>
          <w:szCs w:val="22"/>
        </w:rPr>
        <w:t xml:space="preserve">, as well as a combination of four methods as used and implemented in the PLAZA resource </w:t>
      </w:r>
      <w:r w:rsidR="00774A02">
        <w:rPr>
          <w:color w:val="000000"/>
          <w:sz w:val="22"/>
          <w:szCs w:val="22"/>
        </w:rPr>
        <w:fldChar w:fldCharType="begin" w:fldLock="1"/>
      </w:r>
      <w:r w:rsidR="007D360D">
        <w:rPr>
          <w:color w:val="000000"/>
          <w:sz w:val="22"/>
          <w:szCs w:val="22"/>
        </w:rPr>
        <w:instrText>ADDIN CSL_CITATION {"citationItems":[{"id":"ITEM-1","itemData":{"DOI":"10.1093/nar/gku986","ISSN":"13624962","PMID":"25324309","abstract":"Comparative sequence analysis has significantly altered our view on the complexity of genome organization and gene functions in different kingdoms. PLAZA 3.0 is designed to make comparative genomics data for plants available through a user-friendly web interface. Structural and functional annotation, gene families, protein domains, phylogenetic trees and detailed information about genome organization can easily be queried and visualized. Compared with the first version released in 2009, which featured nine organisms, the number of integrated genomes is more than four times higher, and now covers 37 plant species. The new species provide a wider phylogenetic range as well as a more in-depth sampling of specific clades, and genomes of additional crop species are present. The functional annotation has been expanded and now comprises data from Gene Ontology, MapMan, UniProtKB/Swiss-Prot, PlnTFDB and PlantTFDB. Furthermore, we improved the algorithms to transfer functional annotation from well-characterized plant genomes to other species. The additional data and new features make PLAZA 3.0 (http://bioinformatics.psb.ugent.be/plaza/) a versatile and comprehensible resource for users wanting to explore genome information to study different aspects of plant biology, both in model and non-model organisms.","author":[{"dropping-particle":"","family":"Proost","given":"Sebastian","non-dropping-particle":"","parse-names":false,"suffix":""},{"dropping-particle":"V","family":"Bel","given":"Michiel","non-dropping-particle":"","parse-names":false,"suffix":""},{"dropping-particle":"","family":"Vaneechoutte","given":"Dries","non-dropping-particle":"","parse-names":false,"suffix":""},{"dropping-particle":"","family":"VanDePeer","given":"Yves","non-dropping-particle":"","parse-names":false,"suffix":""},{"dropping-particle":"","family":"Inzé","given":"Dirk","non-dropping-particle":"","parse-names":false,"suffix":""},{"dropping-particle":"","family":"Mueller-Roeber","given":"Bernd","non-dropping-particle":"","parse-names":false,"suffix":""},{"dropping-particle":"","family":"Vandepoele","given":"Klaas","non-dropping-particle":"","parse-names":false,"suffix":""}],"container-title":"Nucleic Acids Research","id":"ITEM-1","issue":"D1","issued":{"date-parts":[["2015"]]},"page":"D974-D981","title":"PLAZA 3.0: An access point for plant comparative genomics","type":"article-journal","volume":"43"},"uris":["http://www.mendeley.com/documents/?uuid=41f0202c-77d2-475c-abbe-a04d52bb9494"]}],"mendeley":{"formattedCitation":"[19]","plainTextFormattedCitation":"[19]","previouslyFormattedCitation":"[19]"},"properties":{"noteIndex":0},"schema":"https://github.com/citation-style-language/schema/raw/master/csl-citation.json"}</w:instrText>
      </w:r>
      <w:r w:rsidR="00774A02">
        <w:rPr>
          <w:color w:val="000000"/>
          <w:sz w:val="22"/>
          <w:szCs w:val="22"/>
        </w:rPr>
        <w:fldChar w:fldCharType="separate"/>
      </w:r>
      <w:r w:rsidR="00774A02" w:rsidRPr="00774A02">
        <w:rPr>
          <w:noProof/>
          <w:color w:val="000000"/>
          <w:sz w:val="22"/>
          <w:szCs w:val="22"/>
        </w:rPr>
        <w:t>[19]</w:t>
      </w:r>
      <w:r w:rsidR="00774A02">
        <w:rPr>
          <w:color w:val="000000"/>
          <w:sz w:val="22"/>
          <w:szCs w:val="22"/>
        </w:rPr>
        <w:fldChar w:fldCharType="end"/>
      </w:r>
      <w:r>
        <w:rPr>
          <w:color w:val="000000"/>
          <w:sz w:val="22"/>
          <w:szCs w:val="22"/>
        </w:rPr>
        <w:t>: (</w:t>
      </w:r>
      <w:proofErr w:type="spellStart"/>
      <w:r>
        <w:rPr>
          <w:color w:val="000000"/>
          <w:sz w:val="22"/>
          <w:szCs w:val="22"/>
        </w:rPr>
        <w:t>i</w:t>
      </w:r>
      <w:proofErr w:type="spellEnd"/>
      <w:r>
        <w:rPr>
          <w:color w:val="000000"/>
          <w:sz w:val="22"/>
          <w:szCs w:val="22"/>
        </w:rPr>
        <w:t xml:space="preserve">) Orthologous gene families (ORTHO) inferred using </w:t>
      </w:r>
      <w:proofErr w:type="spellStart"/>
      <w:r>
        <w:rPr>
          <w:color w:val="000000"/>
          <w:sz w:val="22"/>
          <w:szCs w:val="22"/>
        </w:rPr>
        <w:t>OrthoMCL</w:t>
      </w:r>
      <w:proofErr w:type="spellEnd"/>
      <w:r>
        <w:rPr>
          <w:color w:val="000000"/>
          <w:sz w:val="22"/>
          <w:szCs w:val="22"/>
        </w:rPr>
        <w:t xml:space="preserve">, </w:t>
      </w:r>
      <w:r>
        <w:rPr>
          <w:i/>
          <w:color w:val="000000"/>
          <w:sz w:val="22"/>
          <w:szCs w:val="22"/>
        </w:rPr>
        <w:t>i.e.</w:t>
      </w:r>
      <w:r>
        <w:rPr>
          <w:color w:val="000000"/>
          <w:sz w:val="22"/>
          <w:szCs w:val="22"/>
        </w:rPr>
        <w:t xml:space="preserve"> sub-families; (ii) Tree-based orthologs (TROG) inferred using tree reconciliation of the phylogenetic tree of a gene family; (iii) Best-Hits-and-</w:t>
      </w:r>
      <w:proofErr w:type="spellStart"/>
      <w:r>
        <w:rPr>
          <w:color w:val="000000"/>
          <w:sz w:val="22"/>
          <w:szCs w:val="22"/>
        </w:rPr>
        <w:t>Inparalogs</w:t>
      </w:r>
      <w:proofErr w:type="spellEnd"/>
      <w:r>
        <w:rPr>
          <w:color w:val="000000"/>
          <w:sz w:val="22"/>
          <w:szCs w:val="22"/>
        </w:rPr>
        <w:t xml:space="preserve"> (BHIF) inferred from BLAST hits against the PLAZA protein database, </w:t>
      </w:r>
      <w:r>
        <w:rPr>
          <w:i/>
          <w:color w:val="000000"/>
          <w:sz w:val="22"/>
          <w:szCs w:val="22"/>
        </w:rPr>
        <w:t xml:space="preserve">i.e. </w:t>
      </w:r>
      <w:r>
        <w:rPr>
          <w:color w:val="000000"/>
          <w:sz w:val="22"/>
          <w:szCs w:val="22"/>
        </w:rPr>
        <w:t xml:space="preserve">the best BLAST hit including in-paralogs (genes from the same species having higher bit scores than the best hit from any other species); and (iv) Anchor points (APs) referring to gene-based collinearity between species (providing information about putative positional orthologs). The integration of PLAZA within </w:t>
      </w:r>
      <w:proofErr w:type="spellStart"/>
      <w:r>
        <w:rPr>
          <w:color w:val="000000"/>
          <w:sz w:val="22"/>
          <w:szCs w:val="22"/>
        </w:rPr>
        <w:t>PlantGenIE</w:t>
      </w:r>
      <w:proofErr w:type="spellEnd"/>
      <w:r>
        <w:rPr>
          <w:color w:val="000000"/>
          <w:sz w:val="22"/>
          <w:szCs w:val="22"/>
        </w:rPr>
        <w:t xml:space="preserve"> is an ongoing effort and the major focus of the next release of the resource.</w:t>
      </w:r>
    </w:p>
    <w:p w14:paraId="0000001C" w14:textId="77777777" w:rsidR="00DC0816" w:rsidRDefault="00DC0816">
      <w:pPr>
        <w:shd w:val="clear" w:color="auto" w:fill="FFFFFF"/>
        <w:spacing w:line="480" w:lineRule="auto"/>
        <w:jc w:val="both"/>
        <w:rPr>
          <w:b/>
          <w:color w:val="000000"/>
          <w:sz w:val="22"/>
          <w:szCs w:val="22"/>
        </w:rPr>
      </w:pPr>
    </w:p>
    <w:p w14:paraId="0000001D" w14:textId="77777777" w:rsidR="00DC0816" w:rsidRDefault="00391DD5">
      <w:pPr>
        <w:pBdr>
          <w:top w:val="nil"/>
          <w:left w:val="nil"/>
          <w:bottom w:val="nil"/>
          <w:right w:val="nil"/>
          <w:between w:val="nil"/>
        </w:pBdr>
        <w:spacing w:after="160" w:line="480" w:lineRule="auto"/>
        <w:jc w:val="both"/>
        <w:rPr>
          <w:b/>
          <w:color w:val="000000"/>
          <w:sz w:val="22"/>
          <w:szCs w:val="22"/>
        </w:rPr>
      </w:pPr>
      <w:r>
        <w:rPr>
          <w:b/>
        </w:rPr>
        <w:t xml:space="preserve">Additional File 2: </w:t>
      </w:r>
      <w:r>
        <w:rPr>
          <w:b/>
          <w:color w:val="000000"/>
        </w:rPr>
        <w:t>Method S5</w:t>
      </w:r>
      <w:r>
        <w:rPr>
          <w:b/>
        </w:rPr>
        <w:t>.</w:t>
      </w:r>
      <w:r>
        <w:rPr>
          <w:b/>
          <w:color w:val="000000"/>
        </w:rPr>
        <w:t xml:space="preserve"> Case study: Laccases and peroxidases</w:t>
      </w:r>
      <w:r>
        <w:rPr>
          <w:b/>
          <w:color w:val="000000"/>
          <w:sz w:val="22"/>
          <w:szCs w:val="22"/>
        </w:rPr>
        <w:t xml:space="preserve"> </w:t>
      </w:r>
    </w:p>
    <w:p w14:paraId="0000001E" w14:textId="77777777" w:rsidR="00DC0816" w:rsidRDefault="00391DD5">
      <w:pPr>
        <w:shd w:val="clear" w:color="auto" w:fill="FFFFFF"/>
        <w:tabs>
          <w:tab w:val="left" w:pos="0"/>
        </w:tabs>
        <w:spacing w:line="480" w:lineRule="auto"/>
        <w:jc w:val="both"/>
        <w:rPr>
          <w:i/>
          <w:color w:val="000000"/>
          <w:sz w:val="22"/>
          <w:szCs w:val="22"/>
          <w:u w:val="single"/>
        </w:rPr>
      </w:pPr>
      <w:r>
        <w:rPr>
          <w:color w:val="000000"/>
          <w:sz w:val="22"/>
          <w:szCs w:val="22"/>
          <w:u w:val="single"/>
        </w:rPr>
        <w:t xml:space="preserve">Identification of LAC candidate genes in </w:t>
      </w:r>
      <w:r>
        <w:rPr>
          <w:i/>
          <w:color w:val="000000"/>
          <w:sz w:val="22"/>
          <w:szCs w:val="22"/>
          <w:u w:val="single"/>
        </w:rPr>
        <w:t xml:space="preserve">E. grandis </w:t>
      </w:r>
    </w:p>
    <w:p w14:paraId="0000001F" w14:textId="3CB560DA" w:rsidR="00DC0816" w:rsidRDefault="00391DD5">
      <w:pPr>
        <w:shd w:val="clear" w:color="auto" w:fill="FFFFFF"/>
        <w:tabs>
          <w:tab w:val="left" w:pos="0"/>
        </w:tabs>
        <w:spacing w:line="480" w:lineRule="auto"/>
        <w:ind w:firstLine="720"/>
        <w:jc w:val="both"/>
        <w:rPr>
          <w:color w:val="000000"/>
          <w:sz w:val="22"/>
          <w:szCs w:val="22"/>
        </w:rPr>
      </w:pPr>
      <w:r>
        <w:rPr>
          <w:color w:val="000000"/>
          <w:sz w:val="22"/>
          <w:szCs w:val="22"/>
        </w:rPr>
        <w:t xml:space="preserve">Seventeen LAC genes were previously annotated in the </w:t>
      </w:r>
      <w:r>
        <w:rPr>
          <w:i/>
          <w:color w:val="000000"/>
          <w:sz w:val="22"/>
          <w:szCs w:val="22"/>
        </w:rPr>
        <w:t>A. thaliana</w:t>
      </w:r>
      <w:r>
        <w:rPr>
          <w:color w:val="000000"/>
          <w:sz w:val="22"/>
          <w:szCs w:val="22"/>
        </w:rPr>
        <w:t xml:space="preserve"> genome </w:t>
      </w:r>
      <w:r w:rsidR="007D360D">
        <w:rPr>
          <w:color w:val="000000"/>
          <w:sz w:val="22"/>
          <w:szCs w:val="22"/>
        </w:rPr>
        <w:fldChar w:fldCharType="begin" w:fldLock="1"/>
      </w:r>
      <w:r w:rsidR="007D360D">
        <w:rPr>
          <w:color w:val="000000"/>
          <w:sz w:val="22"/>
          <w:szCs w:val="22"/>
        </w:rPr>
        <w:instrText>ADDIN CSL_CITATION {"citationItems":[{"id":"ITEM-1","itemData":{"DOI":"10.1007/s00425-004-1472-6","ISSN":"00320935","abstract":"Completed genome sequences have made it clear that multicopper oxidases related to laccase are widely distributed as multigene families in higher plants. Laccase-like multicopper oxidase (LMCO) sequences culled from GenBank and the Arabidopsis thaliana genome, as well as those from several newly cloned genes, were used to construct a gene phylogeny that clearly divided plant LMCOs into six distinct classes, at least three of which predate the evolutionary divergence of angiosperms and gymnosperms. Alignments of the predicted amino acid sequences highlighted regions of variable sequence flanked by the highly conserved copper-binding domains that characterize members of this enzyme family. All of the predicted proteins contained apparent signal sequences. The expression of 13 of the 17 LMCO genes in A. thaliana was assessed in different tissues at various stages of development using RT-PCR. A diversity of expression patterns was demonstrated with some genes being expressed in a constitutive fashion, while others were only expressed in specific tissues at a particular stage of development. Only a few of the LMCO genes were expressed in a pattern that could be considered consistent with a major role for these enzymes in lignin deposition. These results are discussed in the context of other potential physiological functions for plant LMCOs, such as iron metabolism and wound healing.","author":[{"dropping-particle":"","family":"McCaig","given":"Bonnie C.","non-dropping-particle":"","parse-names":false,"suffix":""},{"dropping-particle":"","family":"Meagher","given":"Richard B.","non-dropping-particle":"","parse-names":false,"suffix":""},{"dropping-particle":"","family":"Dean","given":"Jeffrey F.D.","non-dropping-particle":"","parse-names":false,"suffix":""}],"container-title":"Planta","id":"ITEM-1","issue":"5","issued":{"date-parts":[["2005"]]},"page":"619-636","title":"Gene structure and molecular analysis of the laccase-like multicopper oxidase (LMCO) gene family in &lt;i&gt;Arabidopsis thaliana&lt;/i&gt;.","type":"article-journal","volume":"221"},"uris":["http://www.mendeley.com/documents/?uuid=03eca905-9099-48c5-b701-f36be173eebd"]}],"mendeley":{"formattedCitation":"[26]","plainTextFormattedCitation":"[26]","previouslyFormattedCitation":"[26]"},"properties":{"noteIndex":0},"schema":"https://github.com/citation-style-language/schema/raw/master/csl-citation.json"}</w:instrText>
      </w:r>
      <w:r w:rsidR="007D360D">
        <w:rPr>
          <w:color w:val="000000"/>
          <w:sz w:val="22"/>
          <w:szCs w:val="22"/>
        </w:rPr>
        <w:fldChar w:fldCharType="separate"/>
      </w:r>
      <w:r w:rsidR="007D360D" w:rsidRPr="007D360D">
        <w:rPr>
          <w:noProof/>
          <w:color w:val="000000"/>
          <w:sz w:val="22"/>
          <w:szCs w:val="22"/>
        </w:rPr>
        <w:t>[26]</w:t>
      </w:r>
      <w:r w:rsidR="007D360D">
        <w:rPr>
          <w:color w:val="000000"/>
          <w:sz w:val="22"/>
          <w:szCs w:val="22"/>
        </w:rPr>
        <w:fldChar w:fldCharType="end"/>
      </w:r>
      <w:r>
        <w:rPr>
          <w:color w:val="000000"/>
          <w:sz w:val="22"/>
          <w:szCs w:val="22"/>
        </w:rPr>
        <w:t xml:space="preserve">. Accessions of 84 putative LAC encoding genes were retrieved using the </w:t>
      </w:r>
      <w:proofErr w:type="spellStart"/>
      <w:r>
        <w:rPr>
          <w:color w:val="000000"/>
          <w:sz w:val="22"/>
          <w:szCs w:val="22"/>
        </w:rPr>
        <w:t>GeneList</w:t>
      </w:r>
      <w:proofErr w:type="spellEnd"/>
      <w:r>
        <w:rPr>
          <w:color w:val="000000"/>
          <w:sz w:val="22"/>
          <w:szCs w:val="22"/>
        </w:rPr>
        <w:t xml:space="preserve"> tool in </w:t>
      </w:r>
      <w:proofErr w:type="spellStart"/>
      <w:r>
        <w:rPr>
          <w:color w:val="000000"/>
          <w:sz w:val="22"/>
          <w:szCs w:val="22"/>
        </w:rPr>
        <w:t>EucGenIE</w:t>
      </w:r>
      <w:proofErr w:type="spellEnd"/>
      <w:r>
        <w:rPr>
          <w:color w:val="000000"/>
          <w:sz w:val="22"/>
          <w:szCs w:val="22"/>
        </w:rPr>
        <w:t xml:space="preserve">, using the keyword “laccase” as query. Among these, 76 genes with an average sequence identity greater than or equal to 40% to a typical LAC gene in </w:t>
      </w:r>
      <w:r>
        <w:rPr>
          <w:i/>
          <w:color w:val="000000"/>
          <w:sz w:val="22"/>
          <w:szCs w:val="22"/>
        </w:rPr>
        <w:t>Arabidopsis</w:t>
      </w:r>
      <w:r>
        <w:rPr>
          <w:color w:val="000000"/>
          <w:sz w:val="22"/>
          <w:szCs w:val="22"/>
        </w:rPr>
        <w:t xml:space="preserve"> (AtLAC4</w:t>
      </w:r>
      <w:r>
        <w:rPr>
          <w:sz w:val="22"/>
          <w:szCs w:val="22"/>
        </w:rPr>
        <w:t xml:space="preserve">; </w:t>
      </w:r>
      <w:r>
        <w:rPr>
          <w:color w:val="000000"/>
          <w:sz w:val="22"/>
          <w:szCs w:val="22"/>
        </w:rPr>
        <w:t xml:space="preserve">AT2G38080.1) were retained when analysed using the BLASTP tool in </w:t>
      </w:r>
      <w:proofErr w:type="spellStart"/>
      <w:r>
        <w:rPr>
          <w:color w:val="000000"/>
          <w:sz w:val="22"/>
          <w:szCs w:val="22"/>
        </w:rPr>
        <w:t>EucGenIE</w:t>
      </w:r>
      <w:proofErr w:type="spellEnd"/>
      <w:r>
        <w:rPr>
          <w:color w:val="000000"/>
          <w:sz w:val="22"/>
          <w:szCs w:val="22"/>
        </w:rPr>
        <w:t xml:space="preserve">. Their sequences were retrieved using </w:t>
      </w:r>
      <w:proofErr w:type="spellStart"/>
      <w:r>
        <w:rPr>
          <w:color w:val="000000"/>
          <w:sz w:val="22"/>
          <w:szCs w:val="22"/>
        </w:rPr>
        <w:t>SeqSearch</w:t>
      </w:r>
      <w:proofErr w:type="spellEnd"/>
      <w:r>
        <w:rPr>
          <w:color w:val="000000"/>
          <w:sz w:val="22"/>
          <w:szCs w:val="22"/>
        </w:rPr>
        <w:t xml:space="preserve"> in </w:t>
      </w:r>
      <w:proofErr w:type="spellStart"/>
      <w:r>
        <w:rPr>
          <w:color w:val="000000"/>
          <w:sz w:val="22"/>
          <w:szCs w:val="22"/>
        </w:rPr>
        <w:t>EucGenIE</w:t>
      </w:r>
      <w:proofErr w:type="spellEnd"/>
      <w:r>
        <w:rPr>
          <w:color w:val="000000"/>
          <w:sz w:val="22"/>
          <w:szCs w:val="22"/>
        </w:rPr>
        <w:t xml:space="preserve"> and screened for the presence and integrity of the three PFAM domains (PF00394, PF07731, PF07732) via the online interface for </w:t>
      </w:r>
      <w:proofErr w:type="spellStart"/>
      <w:r>
        <w:rPr>
          <w:color w:val="000000"/>
          <w:sz w:val="22"/>
          <w:szCs w:val="22"/>
        </w:rPr>
        <w:t>biosequence</w:t>
      </w:r>
      <w:proofErr w:type="spellEnd"/>
      <w:r>
        <w:rPr>
          <w:color w:val="000000"/>
          <w:sz w:val="22"/>
          <w:szCs w:val="22"/>
        </w:rPr>
        <w:t xml:space="preserve"> analysis using profile hidden Markov Models (HMMER;</w:t>
      </w:r>
      <w:hyperlink r:id="rId8">
        <w:r>
          <w:rPr>
            <w:color w:val="000000"/>
            <w:sz w:val="22"/>
            <w:szCs w:val="22"/>
          </w:rPr>
          <w:t xml:space="preserve"> </w:t>
        </w:r>
      </w:hyperlink>
      <w:hyperlink r:id="rId9">
        <w:r>
          <w:rPr>
            <w:color w:val="000000"/>
            <w:sz w:val="22"/>
            <w:szCs w:val="22"/>
            <w:u w:val="single"/>
          </w:rPr>
          <w:t>https://www.ebi.ac.uk/Tools/hmmer/</w:t>
        </w:r>
      </w:hyperlink>
      <w:r w:rsidR="007D360D">
        <w:rPr>
          <w:color w:val="000000"/>
          <w:sz w:val="22"/>
          <w:szCs w:val="22"/>
        </w:rPr>
        <w:t xml:space="preserve">) </w:t>
      </w:r>
      <w:r w:rsidR="007D360D">
        <w:rPr>
          <w:color w:val="000000"/>
          <w:sz w:val="22"/>
          <w:szCs w:val="22"/>
        </w:rPr>
        <w:fldChar w:fldCharType="begin" w:fldLock="1"/>
      </w:r>
      <w:r w:rsidR="007D360D">
        <w:rPr>
          <w:color w:val="000000"/>
          <w:sz w:val="22"/>
          <w:szCs w:val="22"/>
        </w:rPr>
        <w:instrText>ADDIN CSL_CITATION {"citationItems":[{"id":"ITEM-1","itemData":{"DOI":"10.1093/nar/gky448","ISSN":"0305-1048","author":[{"dropping-particle":"","family":"Potter","given":"Simon C","non-dropping-particle":"","parse-names":false,"suffix":""},{"dropping-particle":"","family":"Luciani","given":"Aurélien","non-dropping-particle":"","parse-names":false,"suffix":""},{"dropping-particle":"","family":"Eddy","given":"Sean R","non-dropping-particle":"","parse-names":false,"suffix":""},{"dropping-particle":"","family":"Park","given":"Youngmi","non-dropping-particle":"","parse-names":false,"suffix":""},{"dropping-particle":"","family":"Lopez","given":"Rodrigo","non-dropping-particle":"","parse-names":false,"suffix":""},{"dropping-particle":"","family":"Finn","given":"Robert D","non-dropping-particle":"","parse-names":false,"suffix":""}],"container-title":"Nucleic Acids Research","id":"ITEM-1","issue":"W1","issued":{"date-parts":[["2018","7"]]},"page":"W200-W204","publisher":"Narnia","title":"HMMER web server: 2018 update","type":"article-journal","volume":"46"},"uris":["http://www.mendeley.com/documents/?uuid=41d6bb4f-98fb-4e83-ae5c-a8570e1d3c93"]}],"mendeley":{"formattedCitation":"[27]","plainTextFormattedCitation":"[27]","previouslyFormattedCitation":"[27]"},"properties":{"noteIndex":0},"schema":"https://github.com/citation-style-language/schema/raw/master/csl-citation.json"}</w:instrText>
      </w:r>
      <w:r w:rsidR="007D360D">
        <w:rPr>
          <w:color w:val="000000"/>
          <w:sz w:val="22"/>
          <w:szCs w:val="22"/>
        </w:rPr>
        <w:fldChar w:fldCharType="separate"/>
      </w:r>
      <w:r w:rsidR="007D360D" w:rsidRPr="007D360D">
        <w:rPr>
          <w:noProof/>
          <w:color w:val="000000"/>
          <w:sz w:val="22"/>
          <w:szCs w:val="22"/>
        </w:rPr>
        <w:t>[27]</w:t>
      </w:r>
      <w:r w:rsidR="007D360D">
        <w:rPr>
          <w:color w:val="000000"/>
          <w:sz w:val="22"/>
          <w:szCs w:val="22"/>
        </w:rPr>
        <w:fldChar w:fldCharType="end"/>
      </w:r>
      <w:r w:rsidR="007D360D">
        <w:rPr>
          <w:color w:val="000000"/>
          <w:sz w:val="22"/>
          <w:szCs w:val="22"/>
        </w:rPr>
        <w:t>.</w:t>
      </w:r>
      <w:r>
        <w:rPr>
          <w:color w:val="000000"/>
          <w:sz w:val="22"/>
          <w:szCs w:val="22"/>
        </w:rPr>
        <w:t xml:space="preserve"> The presence of a signal peptide was predicted using the </w:t>
      </w:r>
      <w:proofErr w:type="spellStart"/>
      <w:r>
        <w:rPr>
          <w:color w:val="000000"/>
          <w:sz w:val="22"/>
          <w:szCs w:val="22"/>
        </w:rPr>
        <w:t>SignalP</w:t>
      </w:r>
      <w:proofErr w:type="spellEnd"/>
      <w:r>
        <w:rPr>
          <w:color w:val="000000"/>
          <w:sz w:val="22"/>
          <w:szCs w:val="22"/>
        </w:rPr>
        <w:t xml:space="preserve"> 5.0 server (</w:t>
      </w:r>
      <w:hyperlink r:id="rId10">
        <w:r>
          <w:rPr>
            <w:color w:val="000000"/>
            <w:sz w:val="22"/>
            <w:szCs w:val="22"/>
            <w:u w:val="single"/>
          </w:rPr>
          <w:t>http://www.cbs.dtu.dk/services/SignalP/</w:t>
        </w:r>
      </w:hyperlink>
      <w:r w:rsidR="007D360D">
        <w:rPr>
          <w:color w:val="000000"/>
          <w:sz w:val="22"/>
          <w:szCs w:val="22"/>
        </w:rPr>
        <w:t>)</w:t>
      </w:r>
      <w:r>
        <w:rPr>
          <w:color w:val="000000"/>
          <w:sz w:val="22"/>
          <w:szCs w:val="22"/>
        </w:rPr>
        <w:t xml:space="preserve"> </w:t>
      </w:r>
      <w:r w:rsidR="007D360D">
        <w:rPr>
          <w:color w:val="000000"/>
          <w:sz w:val="22"/>
          <w:szCs w:val="22"/>
        </w:rPr>
        <w:fldChar w:fldCharType="begin" w:fldLock="1"/>
      </w:r>
      <w:r w:rsidR="007D360D">
        <w:rPr>
          <w:color w:val="000000"/>
          <w:sz w:val="22"/>
          <w:szCs w:val="22"/>
        </w:rPr>
        <w:instrText>ADDIN CSL_CITATION {"citationItems":[{"id":"ITEM-1","itemData":{"DOI":"10.1038/s41587-019-0036-z","ISSN":"1087-0156","abstract":"Signal peptides (SPs) are short amino acid sequences in the amino terminus of many newly synthesized proteins that target proteins into, or across, membranes. Bioinformatic tools can predict SPs from amino acid sequences, but most cannot distinguish between various types of signal peptides. We present a deep neural network-based approach that improves SP prediction across all domains of life and distinguishes between three types of prokaryotic SPs. SignalP 5.0 improves proteome-wide detection of signal peptides across all organisms and can distinguish between different types of signal peptides in prokaryotes.","author":[{"dropping-particle":"","family":"Almagro Armenteros","given":"José Juan","non-dropping-particle":"","parse-names":false,"suffix":""},{"dropping-particle":"","family":"Tsirigos","given":"Konstantinos D.","non-dropping-particle":"","parse-names":false,"suffix":""},{"dropping-particle":"","family":"Sønderby","given":"Casper Kaae","non-dropping-particle":"","parse-names":false,"suffix":""},{"dropping-particle":"","family":"Petersen","given":"Thomas Nordahl","non-dropping-particle":"","parse-names":false,"suffix":""},{"dropping-particle":"","family":"Winther","given":"Ole","non-dropping-particle":"","parse-names":false,"suffix":""},{"dropping-particle":"","family":"Brunak","given":"Søren","non-dropping-particle":"","parse-names":false,"suffix":""},{"dropping-particle":"","family":"Heijne","given":"Gunnar","non-dropping-particle":"von","parse-names":false,"suffix":""},{"dropping-particle":"","family":"Nielsen","given":"Henrik","non-dropping-particle":"","parse-names":false,"suffix":""}],"container-title":"Nature Biotechnology","id":"ITEM-1","issue":"4","issued":{"date-parts":[["2019","4"]]},"page":"420-423","publisher":"Nature Publishing Group","title":"SignalP 5.0 improves signal peptide predictions using deep neural networks.","type":"article-journal","volume":"37"},"uris":["http://www.mendeley.com/documents/?uuid=081891ab-202e-43a1-bf13-dfe46cec9c34"]}],"mendeley":{"formattedCitation":"[28]","plainTextFormattedCitation":"[28]","previouslyFormattedCitation":"[28]"},"properties":{"noteIndex":0},"schema":"https://github.com/citation-style-language/schema/raw/master/csl-citation.json"}</w:instrText>
      </w:r>
      <w:r w:rsidR="007D360D">
        <w:rPr>
          <w:color w:val="000000"/>
          <w:sz w:val="22"/>
          <w:szCs w:val="22"/>
        </w:rPr>
        <w:fldChar w:fldCharType="separate"/>
      </w:r>
      <w:r w:rsidR="007D360D" w:rsidRPr="007D360D">
        <w:rPr>
          <w:noProof/>
          <w:color w:val="000000"/>
          <w:sz w:val="22"/>
          <w:szCs w:val="22"/>
        </w:rPr>
        <w:t>[28]</w:t>
      </w:r>
      <w:r w:rsidR="007D360D">
        <w:rPr>
          <w:color w:val="000000"/>
          <w:sz w:val="22"/>
          <w:szCs w:val="22"/>
        </w:rPr>
        <w:fldChar w:fldCharType="end"/>
      </w:r>
      <w:r>
        <w:rPr>
          <w:color w:val="000000"/>
          <w:sz w:val="22"/>
          <w:szCs w:val="22"/>
        </w:rPr>
        <w:t>. Genes encoding proteins with the three untruncated domains of a canonical LAC protein and predicted to have a signal peptide, were considered as LAC genes for later analyses (</w:t>
      </w:r>
      <w:r>
        <w:rPr>
          <w:b/>
          <w:sz w:val="22"/>
          <w:szCs w:val="22"/>
        </w:rPr>
        <w:t xml:space="preserve">Additional File 1: </w:t>
      </w:r>
      <w:r>
        <w:rPr>
          <w:b/>
          <w:color w:val="000000"/>
          <w:sz w:val="22"/>
          <w:szCs w:val="22"/>
        </w:rPr>
        <w:t>Table S2</w:t>
      </w:r>
      <w:r>
        <w:rPr>
          <w:color w:val="000000"/>
          <w:sz w:val="22"/>
          <w:szCs w:val="22"/>
        </w:rPr>
        <w:t xml:space="preserve">). This included </w:t>
      </w:r>
      <w:r>
        <w:rPr>
          <w:sz w:val="22"/>
          <w:szCs w:val="22"/>
        </w:rPr>
        <w:t>34</w:t>
      </w:r>
      <w:r>
        <w:rPr>
          <w:color w:val="000000"/>
          <w:sz w:val="22"/>
          <w:szCs w:val="22"/>
        </w:rPr>
        <w:t xml:space="preserve"> </w:t>
      </w:r>
      <w:r>
        <w:rPr>
          <w:sz w:val="22"/>
          <w:szCs w:val="22"/>
        </w:rPr>
        <w:t xml:space="preserve">genes recently annotated as LAC genes in </w:t>
      </w:r>
      <w:r>
        <w:rPr>
          <w:i/>
          <w:sz w:val="22"/>
          <w:szCs w:val="22"/>
        </w:rPr>
        <w:t>E. grandis</w:t>
      </w:r>
      <w:r>
        <w:rPr>
          <w:sz w:val="22"/>
          <w:szCs w:val="22"/>
        </w:rPr>
        <w:t xml:space="preserve"> by </w:t>
      </w:r>
      <w:r>
        <w:rPr>
          <w:color w:val="000000"/>
          <w:sz w:val="22"/>
          <w:szCs w:val="22"/>
        </w:rPr>
        <w:t xml:space="preserve">Arcuri </w:t>
      </w:r>
      <w:r>
        <w:rPr>
          <w:i/>
          <w:color w:val="000000"/>
          <w:sz w:val="22"/>
          <w:szCs w:val="22"/>
        </w:rPr>
        <w:t>et al</w:t>
      </w:r>
      <w:r>
        <w:rPr>
          <w:color w:val="000000"/>
          <w:sz w:val="22"/>
          <w:szCs w:val="22"/>
        </w:rPr>
        <w:t>.</w:t>
      </w:r>
      <w:r>
        <w:rPr>
          <w:sz w:val="22"/>
          <w:szCs w:val="22"/>
        </w:rPr>
        <w:t xml:space="preserve"> </w:t>
      </w:r>
      <w:r w:rsidR="007D360D">
        <w:rPr>
          <w:sz w:val="22"/>
          <w:szCs w:val="22"/>
        </w:rPr>
        <w:fldChar w:fldCharType="begin" w:fldLock="1"/>
      </w:r>
      <w:r w:rsidR="007D360D">
        <w:rPr>
          <w:sz w:val="22"/>
          <w:szCs w:val="22"/>
        </w:rPr>
        <w:instrText>ADDIN CSL_CITATION {"citationItems":[{"id":"ITEM-1","itemData":{"DOI":"10.1007/s00468-020-01954-3","ISBN":"0123456789","ISSN":"09311890","abstract":"Key message: A survey of theEucalyptus grandis genome revealed the presence of 54 laccase genes. Their tissue-specific and stress-induced expression patterns suggest a role in lignification and adaptation to abiotic stresses. Abstract: Laccases are multicopper oxidases that play important roles in the oxidation of monolignols during lignin biosynthesis and are reported to be functionally involved in plant development and stress responses. In this study, a genome-wide survey of the Eucalyptus grandis genome revealed the presence of 54 putative LAC genes (referred as EgrLAC), which were assigned to six different phylogenetic groups. Among them, 17 were predicted to be potential targets of miR397, a negative regulator of lignin biosynthesis. Based on different RNA-Seq datasets, distinct organ/tissue expression patterns of the identified EgrLAC genes were ascertained. The vast majority, however, showed enriched expression in the vascular tissues of roots and stems. Additional expression profiling of selected EgrLAC genes revealed differential expression in response to oxidative and osmotic stresses, suggesting a role in abiotic stress responses. Parallel promoter analysis of EgrLAC4, a close homologue to the Arabidopsis lignin biosynthesis-related gene AtLAC17, revealed a vascular expression pattern, mostly associated with the phloem. Overall, our data point to an involvement of the identified EgrLAC genes in lignification and in Eucalyptus adaptation to abiotic stresses.","author":[{"dropping-particle":"","family":"Arcuri","given":"Mariana L.C.","non-dropping-particle":"","parse-names":false,"suffix":""},{"dropping-particle":"","family":"Fialho","given":"Larissa C.","non-dropping-particle":"","parse-names":false,"suffix":""},{"dropping-particle":"","family":"Vasconcellos Nunes-Laitz","given":"Alessandra","non-dropping-particle":"","parse-names":false,"suffix":""},{"dropping-particle":"","family":"Fuchs-Ferraz","given":"Maria Cecília P.","non-dropping-particle":"","parse-names":false,"suffix":""},{"dropping-particle":"","family":"Wolf","given":"Ivan Rodrigo","non-dropping-particle":"","parse-names":false,"suffix":""},{"dropping-particle":"","family":"Valente","given":"Guilherme Targino","non-dropping-particle":"","parse-names":false,"suffix":""},{"dropping-particle":"","family":"Marino","given":"Celso L.","non-dropping-particle":"","parse-names":false,"suffix":""},{"dropping-particle":"","family":"Maia","given":"Ivan G.","non-dropping-particle":"","parse-names":false,"suffix":""}],"container-title":"Trees - Structure and Function","id":"ITEM-1","issue":"3","issued":{"date-parts":[["2020"]]},"page":"745-758","publisher":"Springer Berlin Heidelberg","title":"Genome-wide identification of multifunctional laccase gene family in &lt;i&gt;Eucalyptus grandis&lt;/i&gt;: potential targets for lignin engineering and stress tolerance","type":"article-journal","volume":"34"},"uris":["http://www.mendeley.com/documents/?uuid=0d17cb1b-dc3b-4303-a616-6d8466615b4a"]}],"mendeley":{"formattedCitation":"[29]","plainTextFormattedCitation":"[29]","previouslyFormattedCitation":"[29]"},"properties":{"noteIndex":0},"schema":"https://github.com/citation-style-language/schema/raw/master/csl-citation.json"}</w:instrText>
      </w:r>
      <w:r w:rsidR="007D360D">
        <w:rPr>
          <w:sz w:val="22"/>
          <w:szCs w:val="22"/>
        </w:rPr>
        <w:fldChar w:fldCharType="separate"/>
      </w:r>
      <w:r w:rsidR="007D360D" w:rsidRPr="007D360D">
        <w:rPr>
          <w:noProof/>
          <w:sz w:val="22"/>
          <w:szCs w:val="22"/>
        </w:rPr>
        <w:t>[29]</w:t>
      </w:r>
      <w:r w:rsidR="007D360D">
        <w:rPr>
          <w:sz w:val="22"/>
          <w:szCs w:val="22"/>
        </w:rPr>
        <w:fldChar w:fldCharType="end"/>
      </w:r>
      <w:r w:rsidR="007D360D">
        <w:rPr>
          <w:sz w:val="22"/>
          <w:szCs w:val="22"/>
        </w:rPr>
        <w:t>.</w:t>
      </w:r>
    </w:p>
    <w:p w14:paraId="00000020" w14:textId="77777777" w:rsidR="00DC0816" w:rsidRDefault="00DC0816">
      <w:pPr>
        <w:shd w:val="clear" w:color="auto" w:fill="FFFFFF"/>
        <w:tabs>
          <w:tab w:val="left" w:pos="0"/>
        </w:tabs>
        <w:spacing w:line="480" w:lineRule="auto"/>
        <w:jc w:val="both"/>
        <w:rPr>
          <w:color w:val="000000"/>
          <w:sz w:val="22"/>
          <w:szCs w:val="22"/>
          <w:highlight w:val="white"/>
          <w:u w:val="single"/>
        </w:rPr>
      </w:pPr>
      <w:bookmarkStart w:id="1" w:name="_heading=h.tyjcwt" w:colFirst="0" w:colLast="0"/>
      <w:bookmarkEnd w:id="1"/>
    </w:p>
    <w:p w14:paraId="00000021" w14:textId="77777777" w:rsidR="00DC0816" w:rsidRDefault="00391DD5">
      <w:pPr>
        <w:shd w:val="clear" w:color="auto" w:fill="FFFFFF"/>
        <w:tabs>
          <w:tab w:val="left" w:pos="0"/>
        </w:tabs>
        <w:spacing w:line="480" w:lineRule="auto"/>
        <w:jc w:val="both"/>
        <w:rPr>
          <w:color w:val="000000"/>
          <w:sz w:val="22"/>
          <w:szCs w:val="22"/>
          <w:highlight w:val="white"/>
          <w:u w:val="single"/>
        </w:rPr>
      </w:pPr>
      <w:r>
        <w:rPr>
          <w:color w:val="000000"/>
          <w:sz w:val="22"/>
          <w:szCs w:val="22"/>
          <w:highlight w:val="white"/>
          <w:u w:val="single"/>
        </w:rPr>
        <w:lastRenderedPageBreak/>
        <w:t>Systems genetics integration</w:t>
      </w:r>
    </w:p>
    <w:p w14:paraId="00000022" w14:textId="2E444474" w:rsidR="00DC0816" w:rsidRDefault="00391DD5">
      <w:pPr>
        <w:shd w:val="clear" w:color="auto" w:fill="FFFFFF"/>
        <w:tabs>
          <w:tab w:val="left" w:pos="0"/>
        </w:tabs>
        <w:spacing w:line="480" w:lineRule="auto"/>
        <w:ind w:firstLine="720"/>
        <w:jc w:val="both"/>
        <w:rPr>
          <w:color w:val="000000"/>
          <w:sz w:val="22"/>
          <w:szCs w:val="22"/>
        </w:rPr>
      </w:pPr>
      <w:r>
        <w:rPr>
          <w:color w:val="000000"/>
          <w:sz w:val="22"/>
          <w:szCs w:val="22"/>
          <w:highlight w:val="white"/>
        </w:rPr>
        <w:t>For the systems genetics analysis of the eight PRX/LAC genes selected in the co-expression analysis, we extracted (</w:t>
      </w:r>
      <w:proofErr w:type="spellStart"/>
      <w:r>
        <w:rPr>
          <w:color w:val="000000"/>
          <w:sz w:val="22"/>
          <w:szCs w:val="22"/>
          <w:highlight w:val="white"/>
        </w:rPr>
        <w:t>i</w:t>
      </w:r>
      <w:proofErr w:type="spellEnd"/>
      <w:r>
        <w:rPr>
          <w:color w:val="000000"/>
          <w:sz w:val="22"/>
          <w:szCs w:val="22"/>
          <w:highlight w:val="white"/>
        </w:rPr>
        <w:t xml:space="preserve">) </w:t>
      </w:r>
      <w:proofErr w:type="spellStart"/>
      <w:r>
        <w:rPr>
          <w:color w:val="000000"/>
          <w:sz w:val="22"/>
          <w:szCs w:val="22"/>
          <w:highlight w:val="white"/>
        </w:rPr>
        <w:t>eQTL</w:t>
      </w:r>
      <w:proofErr w:type="spellEnd"/>
      <w:r>
        <w:rPr>
          <w:color w:val="000000"/>
          <w:sz w:val="22"/>
          <w:szCs w:val="22"/>
          <w:highlight w:val="white"/>
        </w:rPr>
        <w:t xml:space="preserve"> associations, (ii) genes underlying </w:t>
      </w:r>
      <w:proofErr w:type="spellStart"/>
      <w:r>
        <w:rPr>
          <w:color w:val="000000"/>
          <w:sz w:val="22"/>
          <w:szCs w:val="22"/>
          <w:highlight w:val="white"/>
        </w:rPr>
        <w:t>eQTLs</w:t>
      </w:r>
      <w:proofErr w:type="spellEnd"/>
      <w:r>
        <w:rPr>
          <w:color w:val="000000"/>
          <w:sz w:val="22"/>
          <w:szCs w:val="22"/>
          <w:highlight w:val="white"/>
        </w:rPr>
        <w:t>, (iii) overlapping trait QTLs, and (iv) gene correlations, from the</w:t>
      </w:r>
      <w:r>
        <w:rPr>
          <w:i/>
          <w:color w:val="000000"/>
          <w:sz w:val="22"/>
          <w:szCs w:val="22"/>
          <w:highlight w:val="white"/>
        </w:rPr>
        <w:t xml:space="preserve"> E. </w:t>
      </w:r>
      <w:proofErr w:type="spellStart"/>
      <w:r>
        <w:rPr>
          <w:i/>
          <w:color w:val="000000"/>
          <w:sz w:val="22"/>
          <w:szCs w:val="22"/>
          <w:highlight w:val="white"/>
        </w:rPr>
        <w:t>urophylla</w:t>
      </w:r>
      <w:proofErr w:type="spellEnd"/>
      <w:r>
        <w:rPr>
          <w:i/>
          <w:color w:val="000000"/>
          <w:sz w:val="22"/>
          <w:szCs w:val="22"/>
          <w:highlight w:val="white"/>
        </w:rPr>
        <w:t xml:space="preserve"> </w:t>
      </w:r>
      <w:r>
        <w:rPr>
          <w:color w:val="000000"/>
          <w:sz w:val="22"/>
          <w:szCs w:val="22"/>
          <w:highlight w:val="white"/>
        </w:rPr>
        <w:t xml:space="preserve">F1 hybrid backcross population datasets using </w:t>
      </w:r>
      <w:proofErr w:type="spellStart"/>
      <w:r>
        <w:rPr>
          <w:color w:val="000000"/>
          <w:sz w:val="22"/>
          <w:szCs w:val="22"/>
          <w:highlight w:val="white"/>
        </w:rPr>
        <w:t>qtlXplorer</w:t>
      </w:r>
      <w:proofErr w:type="spellEnd"/>
      <w:r>
        <w:rPr>
          <w:color w:val="000000"/>
          <w:sz w:val="22"/>
          <w:szCs w:val="22"/>
          <w:highlight w:val="white"/>
        </w:rPr>
        <w:t xml:space="preserve">. For this approach, we considered nine traits related to secondary cell wall properties and/or wood processing (listed in </w:t>
      </w:r>
      <w:r>
        <w:rPr>
          <w:b/>
          <w:sz w:val="22"/>
          <w:szCs w:val="22"/>
        </w:rPr>
        <w:t xml:space="preserve">Additional File 1: </w:t>
      </w:r>
      <w:r>
        <w:rPr>
          <w:b/>
          <w:color w:val="000000"/>
          <w:sz w:val="22"/>
          <w:szCs w:val="22"/>
          <w:highlight w:val="white"/>
        </w:rPr>
        <w:t>Table S5</w:t>
      </w:r>
      <w:r>
        <w:rPr>
          <w:color w:val="000000"/>
          <w:sz w:val="22"/>
          <w:szCs w:val="22"/>
          <w:highlight w:val="white"/>
        </w:rPr>
        <w:t xml:space="preserve">), and for which trait QTL overlapped with the candidate genes or their </w:t>
      </w:r>
      <w:proofErr w:type="spellStart"/>
      <w:r>
        <w:rPr>
          <w:color w:val="000000"/>
          <w:sz w:val="22"/>
          <w:szCs w:val="22"/>
          <w:highlight w:val="white"/>
        </w:rPr>
        <w:t>eQTL</w:t>
      </w:r>
      <w:proofErr w:type="spellEnd"/>
      <w:r>
        <w:rPr>
          <w:color w:val="000000"/>
          <w:sz w:val="22"/>
          <w:szCs w:val="22"/>
          <w:highlight w:val="white"/>
        </w:rPr>
        <w:t xml:space="preserve"> positions. Candidate gene positions in the genome, their </w:t>
      </w:r>
      <w:proofErr w:type="spellStart"/>
      <w:r>
        <w:rPr>
          <w:color w:val="000000"/>
          <w:sz w:val="22"/>
          <w:szCs w:val="22"/>
          <w:highlight w:val="white"/>
        </w:rPr>
        <w:t>eQTL</w:t>
      </w:r>
      <w:proofErr w:type="spellEnd"/>
      <w:r>
        <w:rPr>
          <w:color w:val="000000"/>
          <w:sz w:val="22"/>
          <w:szCs w:val="22"/>
          <w:highlight w:val="white"/>
        </w:rPr>
        <w:t xml:space="preserve"> associations and overlaps with trait QTL were first visualized using the </w:t>
      </w:r>
      <w:proofErr w:type="spellStart"/>
      <w:r>
        <w:rPr>
          <w:color w:val="000000"/>
          <w:sz w:val="22"/>
          <w:szCs w:val="22"/>
          <w:highlight w:val="white"/>
        </w:rPr>
        <w:t>Circos</w:t>
      </w:r>
      <w:proofErr w:type="spellEnd"/>
      <w:r>
        <w:rPr>
          <w:color w:val="000000"/>
          <w:sz w:val="22"/>
          <w:szCs w:val="22"/>
          <w:highlight w:val="white"/>
        </w:rPr>
        <w:t xml:space="preserve"> tool in </w:t>
      </w:r>
      <w:proofErr w:type="spellStart"/>
      <w:r>
        <w:rPr>
          <w:color w:val="000000"/>
          <w:sz w:val="22"/>
          <w:szCs w:val="22"/>
          <w:highlight w:val="white"/>
        </w:rPr>
        <w:t>qtlXplorer</w:t>
      </w:r>
      <w:proofErr w:type="spellEnd"/>
      <w:r>
        <w:rPr>
          <w:color w:val="000000"/>
          <w:sz w:val="22"/>
          <w:szCs w:val="22"/>
          <w:highlight w:val="white"/>
        </w:rPr>
        <w:t xml:space="preserve">, and then converted to a network using </w:t>
      </w:r>
      <w:proofErr w:type="spellStart"/>
      <w:r>
        <w:rPr>
          <w:color w:val="000000"/>
          <w:sz w:val="22"/>
          <w:szCs w:val="22"/>
          <w:highlight w:val="white"/>
        </w:rPr>
        <w:t>Cytoscape</w:t>
      </w:r>
      <w:proofErr w:type="spellEnd"/>
      <w:r>
        <w:rPr>
          <w:color w:val="000000"/>
          <w:sz w:val="22"/>
          <w:szCs w:val="22"/>
          <w:highlight w:val="white"/>
        </w:rPr>
        <w:t xml:space="preserve"> </w:t>
      </w:r>
      <w:r w:rsidR="007D360D">
        <w:rPr>
          <w:color w:val="000000"/>
          <w:sz w:val="22"/>
          <w:szCs w:val="22"/>
          <w:highlight w:val="white"/>
        </w:rPr>
        <w:fldChar w:fldCharType="begin" w:fldLock="1"/>
      </w:r>
      <w:r w:rsidR="007D360D">
        <w:rPr>
          <w:color w:val="000000"/>
          <w:sz w:val="22"/>
          <w:szCs w:val="22"/>
          <w:highlight w:val="white"/>
        </w:rPr>
        <w:instrText>ADDIN CSL_CITATION {"citationItems":[{"id":"ITEM-1","itemData":{"author":[{"dropping-particle":"","family":"Smoot","given":"Michael E","non-dropping-particle":"","parse-names":false,"suffix":""},{"dropping-particle":"","family":"Ono","given":"Keiichiro","non-dropping-particle":"","parse-names":false,"suffix":""},{"dropping-particle":"","family":"Ruscheinski","given":"Johannes","non-dropping-particle":"","parse-names":false,"suffix":""},{"dropping-particle":"","family":"Wang","given":"Peng-Liang","non-dropping-particle":"","parse-names":false,"suffix":""},{"dropping-particle":"","family":"Ideker","given":"Trey","non-dropping-particle":"","parse-names":false,"suffix":""}],"container-title":"Bioinformatics","id":"ITEM-1","issue":"3","issued":{"date-parts":[["2011"]]},"page":"431-432","title":"Cytoscape 2.8: new features for data integration and network visualization.","type":"article-journal","volume":"27"},"uris":["http://www.mendeley.com/documents/?uuid=5a11744a-855d-4b6c-87cc-c4bf52f6fec5"]}],"mendeley":{"formattedCitation":"[30]","plainTextFormattedCitation":"[30]","previouslyFormattedCitation":"[30]"},"properties":{"noteIndex":0},"schema":"https://github.com/citation-style-language/schema/raw/master/csl-citation.json"}</w:instrText>
      </w:r>
      <w:r w:rsidR="007D360D">
        <w:rPr>
          <w:color w:val="000000"/>
          <w:sz w:val="22"/>
          <w:szCs w:val="22"/>
          <w:highlight w:val="white"/>
        </w:rPr>
        <w:fldChar w:fldCharType="separate"/>
      </w:r>
      <w:r w:rsidR="007D360D" w:rsidRPr="007D360D">
        <w:rPr>
          <w:noProof/>
          <w:color w:val="000000"/>
          <w:sz w:val="22"/>
          <w:szCs w:val="22"/>
          <w:highlight w:val="white"/>
        </w:rPr>
        <w:t>[30]</w:t>
      </w:r>
      <w:r w:rsidR="007D360D">
        <w:rPr>
          <w:color w:val="000000"/>
          <w:sz w:val="22"/>
          <w:szCs w:val="22"/>
          <w:highlight w:val="white"/>
        </w:rPr>
        <w:fldChar w:fldCharType="end"/>
      </w:r>
      <w:r>
        <w:rPr>
          <w:color w:val="000000"/>
          <w:sz w:val="22"/>
          <w:szCs w:val="22"/>
          <w:highlight w:val="white"/>
        </w:rPr>
        <w:t xml:space="preserve">. </w:t>
      </w:r>
      <w:r>
        <w:rPr>
          <w:i/>
          <w:color w:val="000000"/>
          <w:sz w:val="22"/>
          <w:szCs w:val="22"/>
          <w:highlight w:val="white"/>
        </w:rPr>
        <w:t>Cis-</w:t>
      </w:r>
      <w:r>
        <w:rPr>
          <w:color w:val="000000"/>
          <w:sz w:val="22"/>
          <w:szCs w:val="22"/>
          <w:highlight w:val="white"/>
        </w:rPr>
        <w:t xml:space="preserve"> and </w:t>
      </w:r>
      <w:r>
        <w:rPr>
          <w:i/>
          <w:color w:val="000000"/>
          <w:sz w:val="22"/>
          <w:szCs w:val="22"/>
          <w:highlight w:val="white"/>
        </w:rPr>
        <w:t>trans</w:t>
      </w:r>
      <w:r>
        <w:rPr>
          <w:color w:val="000000"/>
          <w:sz w:val="22"/>
          <w:szCs w:val="22"/>
          <w:highlight w:val="white"/>
        </w:rPr>
        <w:t>-</w:t>
      </w:r>
      <w:proofErr w:type="spellStart"/>
      <w:r>
        <w:rPr>
          <w:color w:val="000000"/>
          <w:sz w:val="22"/>
          <w:szCs w:val="22"/>
          <w:highlight w:val="white"/>
        </w:rPr>
        <w:t>eQTL</w:t>
      </w:r>
      <w:proofErr w:type="spellEnd"/>
      <w:r>
        <w:rPr>
          <w:color w:val="000000"/>
          <w:sz w:val="22"/>
          <w:szCs w:val="22"/>
          <w:highlight w:val="white"/>
        </w:rPr>
        <w:t xml:space="preserve"> associations, physical overlap of </w:t>
      </w:r>
      <w:proofErr w:type="spellStart"/>
      <w:r>
        <w:rPr>
          <w:color w:val="000000"/>
          <w:sz w:val="22"/>
          <w:szCs w:val="22"/>
          <w:highlight w:val="white"/>
        </w:rPr>
        <w:t>eQTL</w:t>
      </w:r>
      <w:proofErr w:type="spellEnd"/>
      <w:r>
        <w:rPr>
          <w:color w:val="000000"/>
          <w:sz w:val="22"/>
          <w:szCs w:val="22"/>
          <w:highlight w:val="white"/>
        </w:rPr>
        <w:t xml:space="preserve"> positions or candidate genes with trait QTLs, physical overlap between </w:t>
      </w:r>
      <w:proofErr w:type="spellStart"/>
      <w:r>
        <w:rPr>
          <w:color w:val="000000"/>
          <w:sz w:val="22"/>
          <w:szCs w:val="22"/>
          <w:highlight w:val="white"/>
        </w:rPr>
        <w:t>eQTL</w:t>
      </w:r>
      <w:proofErr w:type="spellEnd"/>
      <w:r>
        <w:rPr>
          <w:color w:val="000000"/>
          <w:sz w:val="22"/>
          <w:szCs w:val="22"/>
          <w:highlight w:val="white"/>
        </w:rPr>
        <w:t xml:space="preserve"> position and TFs (underlying TFs), and candidate genes - underlying TFs correlations, were considered as edges in the network. </w:t>
      </w:r>
      <w:r>
        <w:rPr>
          <w:color w:val="000000"/>
          <w:sz w:val="22"/>
          <w:szCs w:val="22"/>
        </w:rPr>
        <w:t xml:space="preserve">For each </w:t>
      </w:r>
      <w:proofErr w:type="spellStart"/>
      <w:r>
        <w:rPr>
          <w:color w:val="000000"/>
          <w:sz w:val="22"/>
          <w:szCs w:val="22"/>
        </w:rPr>
        <w:t>eQTL</w:t>
      </w:r>
      <w:proofErr w:type="spellEnd"/>
      <w:r>
        <w:rPr>
          <w:color w:val="000000"/>
          <w:sz w:val="22"/>
          <w:szCs w:val="22"/>
        </w:rPr>
        <w:t xml:space="preserve"> position, the underlying TFs potentially responsible for the </w:t>
      </w:r>
      <w:proofErr w:type="spellStart"/>
      <w:r>
        <w:rPr>
          <w:color w:val="000000"/>
          <w:sz w:val="22"/>
          <w:szCs w:val="22"/>
        </w:rPr>
        <w:t>eQTLs</w:t>
      </w:r>
      <w:proofErr w:type="spellEnd"/>
      <w:r>
        <w:rPr>
          <w:color w:val="000000"/>
          <w:sz w:val="22"/>
          <w:szCs w:val="22"/>
        </w:rPr>
        <w:t xml:space="preserve"> were prioritized according to an underlying TF score: the number of correlations greater than 0.5 for each TF (with all genes sharing an </w:t>
      </w:r>
      <w:proofErr w:type="spellStart"/>
      <w:r>
        <w:rPr>
          <w:color w:val="000000"/>
          <w:sz w:val="22"/>
          <w:szCs w:val="22"/>
        </w:rPr>
        <w:t>eQTL</w:t>
      </w:r>
      <w:proofErr w:type="spellEnd"/>
      <w:r>
        <w:rPr>
          <w:color w:val="000000"/>
          <w:sz w:val="22"/>
          <w:szCs w:val="22"/>
        </w:rPr>
        <w:t xml:space="preserve"> at that locus) was calculated as a percentage of the maximum number of correlations possible for that </w:t>
      </w:r>
      <w:proofErr w:type="spellStart"/>
      <w:r>
        <w:rPr>
          <w:color w:val="000000"/>
          <w:sz w:val="22"/>
          <w:szCs w:val="22"/>
        </w:rPr>
        <w:t>eQTL</w:t>
      </w:r>
      <w:proofErr w:type="spellEnd"/>
      <w:r>
        <w:rPr>
          <w:color w:val="000000"/>
          <w:sz w:val="22"/>
          <w:szCs w:val="22"/>
        </w:rPr>
        <w:t xml:space="preserve"> multiplied by the average correlation (</w:t>
      </w:r>
      <w:r>
        <w:rPr>
          <w:b/>
          <w:sz w:val="22"/>
          <w:szCs w:val="22"/>
        </w:rPr>
        <w:t xml:space="preserve">Additional File 1: </w:t>
      </w:r>
      <w:r>
        <w:rPr>
          <w:b/>
          <w:color w:val="000000"/>
          <w:sz w:val="22"/>
          <w:szCs w:val="22"/>
        </w:rPr>
        <w:t>Table S8</w:t>
      </w:r>
      <w:r>
        <w:rPr>
          <w:color w:val="000000"/>
          <w:sz w:val="22"/>
          <w:szCs w:val="22"/>
        </w:rPr>
        <w:t>).</w:t>
      </w:r>
      <w:r>
        <w:rPr>
          <w:color w:val="000000"/>
          <w:sz w:val="22"/>
          <w:szCs w:val="22"/>
          <w:highlight w:val="white"/>
        </w:rPr>
        <w:t xml:space="preserve"> In the final model, the presence of SCW-related TFs ranked in the top 10 best underlying candidate TFs, was used to prioritize the PRX/LAC candidates most likely involved in SCW formation. For each of the </w:t>
      </w:r>
      <w:r>
        <w:rPr>
          <w:sz w:val="22"/>
          <w:szCs w:val="22"/>
          <w:highlight w:val="white"/>
        </w:rPr>
        <w:t>eight</w:t>
      </w:r>
      <w:r>
        <w:rPr>
          <w:color w:val="000000"/>
          <w:sz w:val="22"/>
          <w:szCs w:val="22"/>
          <w:highlight w:val="white"/>
        </w:rPr>
        <w:t xml:space="preserve"> PRX/LAC, a score was computed by taking into account (</w:t>
      </w:r>
      <w:proofErr w:type="spellStart"/>
      <w:r>
        <w:rPr>
          <w:color w:val="000000"/>
          <w:sz w:val="22"/>
          <w:szCs w:val="22"/>
          <w:highlight w:val="white"/>
        </w:rPr>
        <w:t>i</w:t>
      </w:r>
      <w:proofErr w:type="spellEnd"/>
      <w:r>
        <w:rPr>
          <w:color w:val="000000"/>
          <w:sz w:val="22"/>
          <w:szCs w:val="22"/>
          <w:highlight w:val="white"/>
        </w:rPr>
        <w:t xml:space="preserve">) the number of correlations with SCW genes in the population-wide transcriptomic data, (ii) average absolute value of the correlations with SCW genes, (iii) number of physical overlaps with SCW-related QTLs, (iv) number of associations with SCW-enriched </w:t>
      </w:r>
      <w:proofErr w:type="spellStart"/>
      <w:r>
        <w:rPr>
          <w:color w:val="000000"/>
          <w:sz w:val="22"/>
          <w:szCs w:val="22"/>
          <w:highlight w:val="white"/>
        </w:rPr>
        <w:t>eQTLs</w:t>
      </w:r>
      <w:proofErr w:type="spellEnd"/>
      <w:r>
        <w:rPr>
          <w:color w:val="000000"/>
          <w:sz w:val="22"/>
          <w:szCs w:val="22"/>
          <w:highlight w:val="white"/>
        </w:rPr>
        <w:t xml:space="preserve">, (v) number of overlaps with SCW-related QTLs of their </w:t>
      </w:r>
      <w:proofErr w:type="spellStart"/>
      <w:r>
        <w:rPr>
          <w:color w:val="000000"/>
          <w:sz w:val="22"/>
          <w:szCs w:val="22"/>
          <w:highlight w:val="white"/>
        </w:rPr>
        <w:t>eQTL</w:t>
      </w:r>
      <w:proofErr w:type="spellEnd"/>
      <w:r>
        <w:rPr>
          <w:color w:val="000000"/>
          <w:sz w:val="22"/>
          <w:szCs w:val="22"/>
          <w:highlight w:val="white"/>
        </w:rPr>
        <w:t xml:space="preserve"> positions, and (vi) number of SCW-related underlying TFs prioritized for the corresponding </w:t>
      </w:r>
      <w:proofErr w:type="spellStart"/>
      <w:r>
        <w:rPr>
          <w:color w:val="000000"/>
          <w:sz w:val="22"/>
          <w:szCs w:val="22"/>
          <w:highlight w:val="white"/>
        </w:rPr>
        <w:t>eQTL</w:t>
      </w:r>
      <w:proofErr w:type="spellEnd"/>
      <w:r>
        <w:rPr>
          <w:color w:val="000000"/>
          <w:sz w:val="22"/>
          <w:szCs w:val="22"/>
          <w:highlight w:val="white"/>
        </w:rPr>
        <w:t xml:space="preserve"> position (see </w:t>
      </w:r>
      <w:r>
        <w:rPr>
          <w:b/>
          <w:sz w:val="22"/>
          <w:szCs w:val="22"/>
        </w:rPr>
        <w:t xml:space="preserve">Additional File 1: </w:t>
      </w:r>
      <w:r>
        <w:rPr>
          <w:b/>
          <w:color w:val="000000"/>
          <w:sz w:val="22"/>
          <w:szCs w:val="22"/>
          <w:highlight w:val="white"/>
        </w:rPr>
        <w:t>Table S9</w:t>
      </w:r>
      <w:r>
        <w:rPr>
          <w:color w:val="000000"/>
          <w:sz w:val="22"/>
          <w:szCs w:val="22"/>
          <w:highlight w:val="white"/>
        </w:rPr>
        <w:t xml:space="preserve"> for the exact calculation). </w:t>
      </w:r>
      <w:r>
        <w:rPr>
          <w:color w:val="000000"/>
          <w:sz w:val="22"/>
          <w:szCs w:val="22"/>
        </w:rPr>
        <w:t xml:space="preserve">For the cell wall enrichment test, all genes annotated with the GO term “GO0071554 cell wall organization or biogenesis” or its child terms, were considered as cell wall-related. For each </w:t>
      </w:r>
      <w:proofErr w:type="spellStart"/>
      <w:r>
        <w:rPr>
          <w:color w:val="000000"/>
          <w:sz w:val="22"/>
          <w:szCs w:val="22"/>
        </w:rPr>
        <w:t>eQTL</w:t>
      </w:r>
      <w:proofErr w:type="spellEnd"/>
      <w:r>
        <w:rPr>
          <w:color w:val="000000"/>
          <w:sz w:val="22"/>
          <w:szCs w:val="22"/>
        </w:rPr>
        <w:t xml:space="preserve"> position, enrichment for cell wall-related genes with </w:t>
      </w:r>
      <w:proofErr w:type="spellStart"/>
      <w:r>
        <w:rPr>
          <w:color w:val="000000"/>
          <w:sz w:val="22"/>
          <w:szCs w:val="22"/>
        </w:rPr>
        <w:t>eQTLs</w:t>
      </w:r>
      <w:proofErr w:type="spellEnd"/>
      <w:r>
        <w:rPr>
          <w:color w:val="000000"/>
          <w:sz w:val="22"/>
          <w:szCs w:val="22"/>
        </w:rPr>
        <w:t xml:space="preserve"> mapped at that position was determined using a two sided Fisher’s Exact Test (p-value &lt; 0.05; </w:t>
      </w:r>
      <w:r>
        <w:rPr>
          <w:b/>
          <w:sz w:val="22"/>
          <w:szCs w:val="22"/>
        </w:rPr>
        <w:t xml:space="preserve">Additional File 1: </w:t>
      </w:r>
      <w:r>
        <w:rPr>
          <w:b/>
          <w:color w:val="000000"/>
          <w:sz w:val="22"/>
          <w:szCs w:val="22"/>
        </w:rPr>
        <w:t>Table S7</w:t>
      </w:r>
      <w:r>
        <w:rPr>
          <w:color w:val="000000"/>
          <w:sz w:val="22"/>
          <w:szCs w:val="22"/>
        </w:rPr>
        <w:t>).</w:t>
      </w:r>
    </w:p>
    <w:p w14:paraId="6039A506" w14:textId="77777777" w:rsidR="004962D1" w:rsidRDefault="004962D1" w:rsidP="004962D1">
      <w:pPr>
        <w:spacing w:line="480" w:lineRule="auto"/>
        <w:jc w:val="both"/>
      </w:pPr>
    </w:p>
    <w:p w14:paraId="1E7CCCAB" w14:textId="77777777" w:rsidR="004962D1" w:rsidRDefault="004962D1" w:rsidP="004962D1">
      <w:pPr>
        <w:spacing w:line="480" w:lineRule="auto"/>
        <w:jc w:val="both"/>
        <w:rPr>
          <w:b/>
        </w:rPr>
      </w:pPr>
      <w:r>
        <w:rPr>
          <w:b/>
        </w:rPr>
        <w:lastRenderedPageBreak/>
        <w:t xml:space="preserve">References: </w:t>
      </w:r>
    </w:p>
    <w:p w14:paraId="31A78085" w14:textId="0A54F946" w:rsidR="00751CC0" w:rsidRPr="00751CC0" w:rsidRDefault="004962D1" w:rsidP="00751CC0">
      <w:pPr>
        <w:widowControl w:val="0"/>
        <w:autoSpaceDE w:val="0"/>
        <w:autoSpaceDN w:val="0"/>
        <w:adjustRightInd w:val="0"/>
        <w:spacing w:line="480" w:lineRule="auto"/>
        <w:ind w:left="640" w:hanging="640"/>
        <w:rPr>
          <w:noProof/>
          <w:sz w:val="22"/>
          <w:lang w:val="en-GB"/>
        </w:rPr>
      </w:pPr>
      <w:r w:rsidRPr="00751CC0">
        <w:rPr>
          <w:sz w:val="22"/>
          <w:szCs w:val="22"/>
        </w:rPr>
        <w:fldChar w:fldCharType="begin" w:fldLock="1"/>
      </w:r>
      <w:r w:rsidRPr="00751CC0">
        <w:rPr>
          <w:sz w:val="22"/>
          <w:szCs w:val="22"/>
        </w:rPr>
        <w:instrText xml:space="preserve">ADDIN Mendeley Bibliography CSL_BIBLIOGRAPHY </w:instrText>
      </w:r>
      <w:r w:rsidRPr="00751CC0">
        <w:rPr>
          <w:sz w:val="22"/>
          <w:szCs w:val="22"/>
        </w:rPr>
        <w:fldChar w:fldCharType="separate"/>
      </w:r>
      <w:r w:rsidR="00751CC0" w:rsidRPr="00751CC0">
        <w:rPr>
          <w:noProof/>
          <w:sz w:val="22"/>
          <w:lang w:val="en-GB"/>
        </w:rPr>
        <w:t xml:space="preserve">1. </w:t>
      </w:r>
      <w:r w:rsidR="00751CC0" w:rsidRPr="00751CC0">
        <w:rPr>
          <w:noProof/>
          <w:sz w:val="22"/>
          <w:lang w:val="en-GB"/>
        </w:rPr>
        <w:tab/>
        <w:t xml:space="preserve">Kim D, Pertea G, Trapnell C, Pimentel H, Kelley R, Salzberg SL. TopHat2: Accurate alignment of transcriptomes in the presence of insertions, deletions and gene fusions. Genome Biol. 2013;14(4):1–13. </w:t>
      </w:r>
    </w:p>
    <w:p w14:paraId="01FA2DB6"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 </w:t>
      </w:r>
      <w:r w:rsidRPr="00751CC0">
        <w:rPr>
          <w:noProof/>
          <w:sz w:val="22"/>
          <w:lang w:val="en-GB"/>
        </w:rPr>
        <w:tab/>
        <w:t xml:space="preserve">Trapnell C, Roberts A, Goff L, Pertea G, Kim D, R D, et al. Differential gene and transcript expression analysis of RNA-seq experiments with TopHat and Cufflinks. Nat Protoc. 2013;7(3):562–78. </w:t>
      </w:r>
    </w:p>
    <w:p w14:paraId="75B845DA"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3. </w:t>
      </w:r>
      <w:r w:rsidRPr="00751CC0">
        <w:rPr>
          <w:noProof/>
          <w:sz w:val="22"/>
          <w:lang w:val="en-GB"/>
        </w:rPr>
        <w:tab/>
        <w:t xml:space="preserve">Langfelder P, Zhang B, Horvath S. Defining clusters from a hierarchical cluster tree: the Dynamic Tree Cut package for R. Bioinformatics. 2008 Mar 1;24(5):719–20. </w:t>
      </w:r>
    </w:p>
    <w:p w14:paraId="395CB8E1"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4. </w:t>
      </w:r>
      <w:r w:rsidRPr="00751CC0">
        <w:rPr>
          <w:noProof/>
          <w:sz w:val="22"/>
          <w:lang w:val="en-GB"/>
        </w:rPr>
        <w:tab/>
        <w:t xml:space="preserve">Delhomme N, Mähler N, Schiffthaler B, Sundell D. Guidelines for RNA-Seq data analysis. Epigenesys Protoc. 2014; </w:t>
      </w:r>
    </w:p>
    <w:p w14:paraId="352D63E2"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5. </w:t>
      </w:r>
      <w:r w:rsidRPr="00751CC0">
        <w:rPr>
          <w:noProof/>
          <w:sz w:val="22"/>
          <w:lang w:val="en-GB"/>
        </w:rPr>
        <w:tab/>
        <w:t xml:space="preserve">Kopylova E, Noé L, Touzet H. SortMeRNA: Fast and accurate filtering of ribosomal RNAs in metatranscriptomic data. Bioinformatics. 2012;28(24):3211–7. </w:t>
      </w:r>
    </w:p>
    <w:p w14:paraId="295DAE45"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6. </w:t>
      </w:r>
      <w:r w:rsidRPr="00751CC0">
        <w:rPr>
          <w:noProof/>
          <w:sz w:val="22"/>
          <w:lang w:val="en-GB"/>
        </w:rPr>
        <w:tab/>
        <w:t xml:space="preserve">Bolger AM, Lohse M, Usadel B. Trimmomatic: A flexible trimmer for Illumina sequence data. Bioinformatics. 2014;30(15):2114–20. </w:t>
      </w:r>
    </w:p>
    <w:p w14:paraId="09F34664"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7. </w:t>
      </w:r>
      <w:r w:rsidRPr="00751CC0">
        <w:rPr>
          <w:noProof/>
          <w:sz w:val="22"/>
          <w:lang w:val="en-GB"/>
        </w:rPr>
        <w:tab/>
        <w:t xml:space="preserve">Dobin A, Davis CA, Schlesinger F, Drenkow J, Zaleski C, Jha S, et al. STAR: ultrafast universal RNA-seq aligner. Bioinformatics. 2013;29(1):15–21. </w:t>
      </w:r>
    </w:p>
    <w:p w14:paraId="54E01C14"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8. </w:t>
      </w:r>
      <w:r w:rsidRPr="00751CC0">
        <w:rPr>
          <w:noProof/>
          <w:sz w:val="22"/>
          <w:lang w:val="en-GB"/>
        </w:rPr>
        <w:tab/>
        <w:t xml:space="preserve">Bray NL, Pimentel H, Melsted P, Pachter L. Near-optimal probabilistic RNA-seq quantification. Nat Biotechnol. 2016;34(5):525–7. </w:t>
      </w:r>
    </w:p>
    <w:p w14:paraId="34A21C7C"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9. </w:t>
      </w:r>
      <w:r w:rsidRPr="00751CC0">
        <w:rPr>
          <w:noProof/>
          <w:sz w:val="22"/>
          <w:lang w:val="en-GB"/>
        </w:rPr>
        <w:tab/>
        <w:t xml:space="preserve">Anders S, Pyl PT, Huber W. HTSeq-A Python framework to work with high-throughput sequencing data. Bioinformatics. 2015;31(2):166–9. </w:t>
      </w:r>
    </w:p>
    <w:p w14:paraId="4A2B8621"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10. </w:t>
      </w:r>
      <w:r w:rsidRPr="00751CC0">
        <w:rPr>
          <w:noProof/>
          <w:sz w:val="22"/>
          <w:lang w:val="en-GB"/>
        </w:rPr>
        <w:tab/>
        <w:t xml:space="preserve">Love MI, Huber W, Anders S. Moderated estimation of fold change and dispersion for RNA-seq data with DESeq2. Genome Biol. 2014;15(12):550. </w:t>
      </w:r>
    </w:p>
    <w:p w14:paraId="02C58BF7"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11. </w:t>
      </w:r>
      <w:r w:rsidRPr="00751CC0">
        <w:rPr>
          <w:noProof/>
          <w:sz w:val="22"/>
          <w:lang w:val="en-GB"/>
        </w:rPr>
        <w:tab/>
        <w:t xml:space="preserve">Kullan AR, van Dyk MM, Hefer CA, Jones N, Kanzler A, Myburg AA. Genetic dissection of growth, wood basic density and gene expression in interspecific backcrosses of </w:t>
      </w:r>
      <w:r w:rsidRPr="00751CC0">
        <w:rPr>
          <w:i/>
          <w:iCs/>
          <w:noProof/>
          <w:sz w:val="22"/>
          <w:lang w:val="en-GB"/>
        </w:rPr>
        <w:t>Eucalyptus grandis</w:t>
      </w:r>
      <w:r w:rsidRPr="00751CC0">
        <w:rPr>
          <w:noProof/>
          <w:sz w:val="22"/>
          <w:lang w:val="en-GB"/>
        </w:rPr>
        <w:t xml:space="preserve"> and </w:t>
      </w:r>
      <w:r w:rsidRPr="00751CC0">
        <w:rPr>
          <w:i/>
          <w:iCs/>
          <w:noProof/>
          <w:sz w:val="22"/>
          <w:lang w:val="en-GB"/>
        </w:rPr>
        <w:t>E. urophylla</w:t>
      </w:r>
      <w:r w:rsidRPr="00751CC0">
        <w:rPr>
          <w:noProof/>
          <w:sz w:val="22"/>
          <w:lang w:val="en-GB"/>
        </w:rPr>
        <w:t xml:space="preserve">. BMC Genet. 2012;13:60. </w:t>
      </w:r>
    </w:p>
    <w:p w14:paraId="6F972C63"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12. </w:t>
      </w:r>
      <w:r w:rsidRPr="00751CC0">
        <w:rPr>
          <w:noProof/>
          <w:sz w:val="22"/>
          <w:lang w:val="en-GB"/>
        </w:rPr>
        <w:tab/>
        <w:t xml:space="preserve">Studer A, Zhao Q, Ross-Ibarra J, Doebley J. Identification of a functional transposon insertion in the maize domestication gene tb1. Nat Genet. 2011;43:1160–1163. </w:t>
      </w:r>
    </w:p>
    <w:p w14:paraId="158ED1DF"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lastRenderedPageBreak/>
        <w:t xml:space="preserve">13. </w:t>
      </w:r>
      <w:r w:rsidRPr="00751CC0">
        <w:rPr>
          <w:noProof/>
          <w:sz w:val="22"/>
          <w:lang w:val="en-GB"/>
        </w:rPr>
        <w:tab/>
        <w:t xml:space="preserve">Maloney VJ, Mansfield SD. Characterization and varied expression of a membrane-bound endo-β-1,4-glucanase in hybrid poplar. Plant Biotechnol J. 2010;8(3):294–307. </w:t>
      </w:r>
    </w:p>
    <w:p w14:paraId="231624D1"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14. </w:t>
      </w:r>
      <w:r w:rsidRPr="00751CC0">
        <w:rPr>
          <w:noProof/>
          <w:sz w:val="22"/>
          <w:lang w:val="en-GB"/>
        </w:rPr>
        <w:tab/>
        <w:t xml:space="preserve">Kullan ARK, van Dyk MM, Jones N, Kanzler A, Bayley A, Myburg AA. High-density genetic linkage maps with over 2,400 sequence-anchored DArT markers for genetic dissection in an F2 pseudo-backcross of </w:t>
      </w:r>
      <w:r w:rsidRPr="00751CC0">
        <w:rPr>
          <w:i/>
          <w:iCs/>
          <w:noProof/>
          <w:sz w:val="22"/>
          <w:lang w:val="en-GB"/>
        </w:rPr>
        <w:t>Eucalyptus grandis x E. urophylla</w:t>
      </w:r>
      <w:r w:rsidRPr="00751CC0">
        <w:rPr>
          <w:noProof/>
          <w:sz w:val="22"/>
          <w:lang w:val="en-GB"/>
        </w:rPr>
        <w:t xml:space="preserve">. Tree Genet Genomes. 2011;8:163–75. </w:t>
      </w:r>
    </w:p>
    <w:p w14:paraId="238F205F"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15. </w:t>
      </w:r>
      <w:r w:rsidRPr="00751CC0">
        <w:rPr>
          <w:noProof/>
          <w:sz w:val="22"/>
          <w:lang w:val="en-GB"/>
        </w:rPr>
        <w:tab/>
        <w:t xml:space="preserve">Basten CJ, Weir BS, Zeng Z-B. QTL Cartographer, Version 1.16. 2002. </w:t>
      </w:r>
    </w:p>
    <w:p w14:paraId="44D9AA10"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16. </w:t>
      </w:r>
      <w:r w:rsidRPr="00751CC0">
        <w:rPr>
          <w:noProof/>
          <w:sz w:val="22"/>
          <w:lang w:val="en-GB"/>
        </w:rPr>
        <w:tab/>
        <w:t xml:space="preserve">Doerge RW, Churchill GA. Permutation tests for multiple loci affecting a quantitative character. Genetics. 1996;142:285–94. </w:t>
      </w:r>
    </w:p>
    <w:p w14:paraId="6D5E0193"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17. </w:t>
      </w:r>
      <w:r w:rsidRPr="00751CC0">
        <w:rPr>
          <w:noProof/>
          <w:sz w:val="22"/>
          <w:lang w:val="en-GB"/>
        </w:rPr>
        <w:tab/>
        <w:t xml:space="preserve">Christie N, Myburg AA, Joubert F, Murray SL, Carstens M, Lin Y, et al. Systems genetics reveals a transcriptional network associated with susceptibility in the maize – grey leaf spot pathosystem. Plant J. 2017;89:746–63. </w:t>
      </w:r>
    </w:p>
    <w:p w14:paraId="4A6F5578"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18. </w:t>
      </w:r>
      <w:r w:rsidRPr="00751CC0">
        <w:rPr>
          <w:noProof/>
          <w:sz w:val="22"/>
          <w:lang w:val="en-GB"/>
        </w:rPr>
        <w:tab/>
        <w:t xml:space="preserve">Mizrachi E, Verbeke L, Christie N, Fierro AC, Mansfield SD, Davis MF. Network-based integration of systems genetics data reveals pathways associated with lignocellulosic biomass accumulation and processing. Proc Natl Acad Sci. 2017;114(5):1195–200. </w:t>
      </w:r>
    </w:p>
    <w:p w14:paraId="2C2EBA2E"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19. </w:t>
      </w:r>
      <w:r w:rsidRPr="00751CC0">
        <w:rPr>
          <w:noProof/>
          <w:sz w:val="22"/>
          <w:lang w:val="en-GB"/>
        </w:rPr>
        <w:tab/>
        <w:t xml:space="preserve">Proost S, Bel M V, Vaneechoutte D, VanDePeer Y, Inzé D, Mueller-Roeber B, et al. PLAZA 3.0: An access point for plant comparative genomics. Nucleic Acids Res. 2015;43(D1):D974–81. </w:t>
      </w:r>
    </w:p>
    <w:p w14:paraId="17A94B88"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20. </w:t>
      </w:r>
      <w:r w:rsidRPr="00751CC0">
        <w:rPr>
          <w:noProof/>
          <w:sz w:val="22"/>
          <w:lang w:val="en-GB"/>
        </w:rPr>
        <w:tab/>
        <w:t xml:space="preserve">Grossmann S, Bauer S, Robinson PN, Vingron M. Improved detection of overrepresentation of Gene-Ontology annotations with parent-child analysis. Bioinformatics. 2007;23(22):3024–31. </w:t>
      </w:r>
    </w:p>
    <w:p w14:paraId="54C36B8F"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21. </w:t>
      </w:r>
      <w:r w:rsidRPr="00751CC0">
        <w:rPr>
          <w:noProof/>
          <w:sz w:val="22"/>
          <w:lang w:val="en-GB"/>
        </w:rPr>
        <w:tab/>
        <w:t xml:space="preserve">Bardou P, Mariette J, Escudié F, Djemiel C, Klopp C. Jvenn: An interactive Venn diagram viewer. BMC Bioinformatics. 2014;15(1):1–7. </w:t>
      </w:r>
    </w:p>
    <w:p w14:paraId="68022DE8"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22. </w:t>
      </w:r>
      <w:r w:rsidRPr="00751CC0">
        <w:rPr>
          <w:noProof/>
          <w:sz w:val="22"/>
          <w:lang w:val="en-GB"/>
        </w:rPr>
        <w:tab/>
        <w:t xml:space="preserve">Franz M, Lopes CT, Huck G, Dong Y, Sumer O, Bader GD. Cytoscape.js: A graph theory library for visualisation and analysis. Bioinformatics. 2016;32(2):309–11. </w:t>
      </w:r>
    </w:p>
    <w:p w14:paraId="36A7F8C5"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23. </w:t>
      </w:r>
      <w:r w:rsidRPr="00751CC0">
        <w:rPr>
          <w:noProof/>
          <w:sz w:val="22"/>
          <w:lang w:val="en-GB"/>
        </w:rPr>
        <w:tab/>
        <w:t xml:space="preserve">Faith JJ, Hayete B, Thaden JT, Mogno I, Wierzbowski J, Cottarel G, et al. Large-scale mapping and validation of </w:t>
      </w:r>
      <w:r w:rsidRPr="00751CC0">
        <w:rPr>
          <w:i/>
          <w:iCs/>
          <w:noProof/>
          <w:sz w:val="22"/>
          <w:lang w:val="en-GB"/>
        </w:rPr>
        <w:t>Escherichia coli</w:t>
      </w:r>
      <w:r w:rsidRPr="00751CC0">
        <w:rPr>
          <w:noProof/>
          <w:sz w:val="22"/>
          <w:lang w:val="en-GB"/>
        </w:rPr>
        <w:t xml:space="preserve"> transcriptional regulation from a compendium of expression profiles. PLoS Biol. 2007;5(1):0054–66. </w:t>
      </w:r>
    </w:p>
    <w:p w14:paraId="64FF6F16"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24. </w:t>
      </w:r>
      <w:r w:rsidRPr="00751CC0">
        <w:rPr>
          <w:noProof/>
          <w:sz w:val="22"/>
          <w:lang w:val="en-GB"/>
        </w:rPr>
        <w:tab/>
        <w:t xml:space="preserve">Škuta C, Bartůněk P, Svozil D. Supplementary information InCHlib – Interactive Cluster </w:t>
      </w:r>
      <w:r w:rsidRPr="00751CC0">
        <w:rPr>
          <w:noProof/>
          <w:sz w:val="22"/>
          <w:lang w:val="en-GB"/>
        </w:rPr>
        <w:lastRenderedPageBreak/>
        <w:t xml:space="preserve">Heatmap for web applications. J Cheminform. 2014;6(44):1–6. </w:t>
      </w:r>
    </w:p>
    <w:p w14:paraId="365590CF"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25. </w:t>
      </w:r>
      <w:r w:rsidRPr="00751CC0">
        <w:rPr>
          <w:noProof/>
          <w:sz w:val="22"/>
          <w:lang w:val="en-GB"/>
        </w:rPr>
        <w:tab/>
        <w:t xml:space="preserve">Buchfink B, Xie C, Huson DH. Fast and sensitive protein alignment using DIAMOND. Nat Methods. 2015;12:59–60. </w:t>
      </w:r>
    </w:p>
    <w:p w14:paraId="0BA12BAC"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26. </w:t>
      </w:r>
      <w:r w:rsidRPr="00751CC0">
        <w:rPr>
          <w:noProof/>
          <w:sz w:val="22"/>
          <w:lang w:val="en-GB"/>
        </w:rPr>
        <w:tab/>
        <w:t xml:space="preserve">McCaig BC, Meagher RB, Dean JFD. Gene structure and molecular analysis of the laccase-like multicopper oxidase (LMCO) gene family in </w:t>
      </w:r>
      <w:r w:rsidRPr="00751CC0">
        <w:rPr>
          <w:i/>
          <w:iCs/>
          <w:noProof/>
          <w:sz w:val="22"/>
          <w:lang w:val="en-GB"/>
        </w:rPr>
        <w:t>Arabidopsis thaliana</w:t>
      </w:r>
      <w:r w:rsidRPr="00751CC0">
        <w:rPr>
          <w:noProof/>
          <w:sz w:val="22"/>
          <w:lang w:val="en-GB"/>
        </w:rPr>
        <w:t xml:space="preserve">. Planta. 2005;221(5):619–36. </w:t>
      </w:r>
    </w:p>
    <w:p w14:paraId="41150A20"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27. </w:t>
      </w:r>
      <w:r w:rsidRPr="00751CC0">
        <w:rPr>
          <w:noProof/>
          <w:sz w:val="22"/>
          <w:lang w:val="en-GB"/>
        </w:rPr>
        <w:tab/>
        <w:t xml:space="preserve">Potter SC, Luciani A, Eddy SR, Park Y, Lopez R, Finn RD. HMMER web server: 2018 update. Nucleic Acids Res. 2018 Jul;46(W1):W200–4. </w:t>
      </w:r>
    </w:p>
    <w:p w14:paraId="5F3240A5"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28. </w:t>
      </w:r>
      <w:r w:rsidRPr="00751CC0">
        <w:rPr>
          <w:noProof/>
          <w:sz w:val="22"/>
          <w:lang w:val="en-GB"/>
        </w:rPr>
        <w:tab/>
        <w:t xml:space="preserve">Almagro Armenteros JJ, Tsirigos KD, Sønderby CK, Petersen TN, Winther O, Brunak S, et al. SignalP 5.0 improves signal peptide predictions using deep neural networks. Nat Biotechnol. 2019 Apr;37(4):420–3. </w:t>
      </w:r>
    </w:p>
    <w:p w14:paraId="25E6DDAC" w14:textId="77777777" w:rsidR="00751CC0" w:rsidRPr="00751CC0" w:rsidRDefault="00751CC0" w:rsidP="00751CC0">
      <w:pPr>
        <w:widowControl w:val="0"/>
        <w:autoSpaceDE w:val="0"/>
        <w:autoSpaceDN w:val="0"/>
        <w:adjustRightInd w:val="0"/>
        <w:spacing w:line="480" w:lineRule="auto"/>
        <w:ind w:left="640" w:hanging="640"/>
        <w:rPr>
          <w:noProof/>
          <w:sz w:val="22"/>
          <w:lang w:val="en-GB"/>
        </w:rPr>
      </w:pPr>
      <w:r w:rsidRPr="00751CC0">
        <w:rPr>
          <w:noProof/>
          <w:sz w:val="22"/>
          <w:lang w:val="en-GB"/>
        </w:rPr>
        <w:t xml:space="preserve">29. </w:t>
      </w:r>
      <w:r w:rsidRPr="00751CC0">
        <w:rPr>
          <w:noProof/>
          <w:sz w:val="22"/>
          <w:lang w:val="en-GB"/>
        </w:rPr>
        <w:tab/>
        <w:t xml:space="preserve">Arcuri MLC, Fialho LC, Vasconcellos Nunes-Laitz A, Fuchs-Ferraz MCP, Wolf IR, Valente GT, et al. Genome-wide identification of multifunctional laccase gene family in </w:t>
      </w:r>
      <w:r w:rsidRPr="00751CC0">
        <w:rPr>
          <w:i/>
          <w:iCs/>
          <w:noProof/>
          <w:sz w:val="22"/>
          <w:lang w:val="en-GB"/>
        </w:rPr>
        <w:t>Eucalyptus grandis</w:t>
      </w:r>
      <w:r w:rsidRPr="00751CC0">
        <w:rPr>
          <w:noProof/>
          <w:sz w:val="22"/>
          <w:lang w:val="en-GB"/>
        </w:rPr>
        <w:t xml:space="preserve">: potential targets for lignin engineering and stress tolerance. Trees - Struct Funct. 2020;34(3):745–58. </w:t>
      </w:r>
    </w:p>
    <w:p w14:paraId="24D2E042" w14:textId="77777777" w:rsidR="00751CC0" w:rsidRPr="00751CC0" w:rsidRDefault="00751CC0" w:rsidP="00751CC0">
      <w:pPr>
        <w:widowControl w:val="0"/>
        <w:autoSpaceDE w:val="0"/>
        <w:autoSpaceDN w:val="0"/>
        <w:adjustRightInd w:val="0"/>
        <w:spacing w:line="480" w:lineRule="auto"/>
        <w:ind w:left="640" w:hanging="640"/>
        <w:rPr>
          <w:noProof/>
          <w:sz w:val="22"/>
        </w:rPr>
      </w:pPr>
      <w:r w:rsidRPr="00751CC0">
        <w:rPr>
          <w:noProof/>
          <w:sz w:val="22"/>
          <w:lang w:val="en-GB"/>
        </w:rPr>
        <w:t xml:space="preserve">30. </w:t>
      </w:r>
      <w:r w:rsidRPr="00751CC0">
        <w:rPr>
          <w:noProof/>
          <w:sz w:val="22"/>
          <w:lang w:val="en-GB"/>
        </w:rPr>
        <w:tab/>
        <w:t xml:space="preserve">Smoot ME, Ono K, Ruscheinski J, Wang P-L, Ideker T. Cytoscape 2.8: new features for data integration and network visualization. Bioinformatics. 2011;27(3):431–2. </w:t>
      </w:r>
    </w:p>
    <w:p w14:paraId="00000041" w14:textId="48F21679" w:rsidR="00DC0816" w:rsidRPr="007D360D" w:rsidRDefault="004962D1" w:rsidP="00751CC0">
      <w:pPr>
        <w:widowControl w:val="0"/>
        <w:autoSpaceDE w:val="0"/>
        <w:autoSpaceDN w:val="0"/>
        <w:adjustRightInd w:val="0"/>
        <w:spacing w:line="480" w:lineRule="auto"/>
        <w:ind w:left="640" w:hanging="640"/>
      </w:pPr>
      <w:r w:rsidRPr="00751CC0">
        <w:rPr>
          <w:sz w:val="22"/>
          <w:szCs w:val="22"/>
        </w:rPr>
        <w:fldChar w:fldCharType="end"/>
      </w:r>
    </w:p>
    <w:sectPr w:rsidR="00DC0816" w:rsidRPr="007D360D">
      <w:pgSz w:w="11900" w:h="16840"/>
      <w:pgMar w:top="1440" w:right="1440" w:bottom="1440" w:left="1440"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0816"/>
    <w:rsid w:val="00050C55"/>
    <w:rsid w:val="00142449"/>
    <w:rsid w:val="002D0152"/>
    <w:rsid w:val="00391DD5"/>
    <w:rsid w:val="004962D1"/>
    <w:rsid w:val="00555DA8"/>
    <w:rsid w:val="0055685D"/>
    <w:rsid w:val="005D55CA"/>
    <w:rsid w:val="006B4CF6"/>
    <w:rsid w:val="00710035"/>
    <w:rsid w:val="00751CC0"/>
    <w:rsid w:val="00774A02"/>
    <w:rsid w:val="007D360D"/>
    <w:rsid w:val="00AA3554"/>
    <w:rsid w:val="00D75E17"/>
    <w:rsid w:val="00DC0816"/>
    <w:rsid w:val="00EC0E32"/>
    <w:rsid w:val="00FF03B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E4619"/>
  <w15:docId w15:val="{53F44D21-D66E-A146-BA18-F7E2ABABD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ZA"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4146"/>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C94146"/>
    <w:rPr>
      <w:sz w:val="18"/>
      <w:szCs w:val="18"/>
    </w:rPr>
  </w:style>
  <w:style w:type="character" w:customStyle="1" w:styleId="BalloonTextChar">
    <w:name w:val="Balloon Text Char"/>
    <w:basedOn w:val="DefaultParagraphFont"/>
    <w:link w:val="BalloonText"/>
    <w:uiPriority w:val="99"/>
    <w:semiHidden/>
    <w:rsid w:val="00C94146"/>
    <w:rPr>
      <w:rFonts w:ascii="Times New Roman" w:eastAsia="Times New Roman" w:hAnsi="Times New Roman" w:cs="Times New Roman"/>
      <w:sz w:val="18"/>
      <w:szCs w:val="18"/>
      <w:lang w:eastAsia="en-GB"/>
    </w:rPr>
  </w:style>
  <w:style w:type="character" w:styleId="LineNumber">
    <w:name w:val="line number"/>
    <w:basedOn w:val="DefaultParagraphFont"/>
    <w:uiPriority w:val="99"/>
    <w:semiHidden/>
    <w:unhideWhenUsed/>
    <w:rsid w:val="00A540A2"/>
  </w:style>
  <w:style w:type="paragraph" w:styleId="ListParagraph">
    <w:name w:val="List Paragraph"/>
    <w:basedOn w:val="Normal"/>
    <w:uiPriority w:val="34"/>
    <w:qFormat/>
    <w:rsid w:val="00623625"/>
    <w:pPr>
      <w:ind w:left="720"/>
      <w:contextualSpacing/>
    </w:pPr>
  </w:style>
  <w:style w:type="character" w:styleId="CommentReference">
    <w:name w:val="annotation reference"/>
    <w:basedOn w:val="DefaultParagraphFont"/>
    <w:uiPriority w:val="99"/>
    <w:semiHidden/>
    <w:unhideWhenUsed/>
    <w:rsid w:val="004E2848"/>
    <w:rPr>
      <w:sz w:val="16"/>
      <w:szCs w:val="16"/>
    </w:rPr>
  </w:style>
  <w:style w:type="paragraph" w:styleId="CommentText">
    <w:name w:val="annotation text"/>
    <w:basedOn w:val="Normal"/>
    <w:link w:val="CommentTextChar"/>
    <w:uiPriority w:val="99"/>
    <w:semiHidden/>
    <w:unhideWhenUsed/>
    <w:rsid w:val="004E2848"/>
    <w:rPr>
      <w:sz w:val="20"/>
      <w:szCs w:val="20"/>
    </w:rPr>
  </w:style>
  <w:style w:type="character" w:customStyle="1" w:styleId="CommentTextChar">
    <w:name w:val="Comment Text Char"/>
    <w:basedOn w:val="DefaultParagraphFont"/>
    <w:link w:val="CommentText"/>
    <w:uiPriority w:val="99"/>
    <w:semiHidden/>
    <w:rsid w:val="004E2848"/>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E2848"/>
    <w:rPr>
      <w:b/>
      <w:bCs/>
    </w:rPr>
  </w:style>
  <w:style w:type="character" w:customStyle="1" w:styleId="CommentSubjectChar">
    <w:name w:val="Comment Subject Char"/>
    <w:basedOn w:val="CommentTextChar"/>
    <w:link w:val="CommentSubject"/>
    <w:uiPriority w:val="99"/>
    <w:semiHidden/>
    <w:rsid w:val="004E2848"/>
    <w:rPr>
      <w:rFonts w:ascii="Times New Roman" w:eastAsia="Times New Roman" w:hAnsi="Times New Roman" w:cs="Times New Roman"/>
      <w:b/>
      <w:bCs/>
      <w:sz w:val="20"/>
      <w:szCs w:val="20"/>
      <w:lang w:eastAsia="en-GB"/>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4962D1"/>
    <w:rPr>
      <w:color w:val="0000FF"/>
      <w:u w:val="single"/>
    </w:rPr>
  </w:style>
  <w:style w:type="character" w:styleId="UnresolvedMention">
    <w:name w:val="Unresolved Mention"/>
    <w:basedOn w:val="DefaultParagraphFont"/>
    <w:uiPriority w:val="99"/>
    <w:semiHidden/>
    <w:unhideWhenUsed/>
    <w:rsid w:val="004962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ebi.ac.uk/Tools/hmmer/" TargetMode="External"/><Relationship Id="rId3" Type="http://schemas.openxmlformats.org/officeDocument/2006/relationships/styles" Target="styles.xml"/><Relationship Id="rId7" Type="http://schemas.openxmlformats.org/officeDocument/2006/relationships/hyperlink" Target="mailto:nathaniel.street@umu.se"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hyperlink" Target="mailto:zander.myburg@up.ac.za"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bs.dtu.dk/services/SignalP/" TargetMode="External"/><Relationship Id="rId4" Type="http://schemas.openxmlformats.org/officeDocument/2006/relationships/settings" Target="settings.xml"/><Relationship Id="rId9" Type="http://schemas.openxmlformats.org/officeDocument/2006/relationships/hyperlink" Target="https://www.ebi.ac.uk/Tools/hmm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h8GgnUqFGN0X2WIrZlf3hYOzqueA==">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</go:docsCustomData>
</go:gDocsCustomXmlDataStorage>
</file>

<file path=customXml/itemProps1.xml><?xml version="1.0" encoding="utf-8"?>
<ds:datastoreItem xmlns:ds="http://schemas.openxmlformats.org/officeDocument/2006/customXml" ds:itemID="{B91D2A21-5DC9-1C41-8CC0-452FAECC12E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10</Pages>
  <Words>12601</Words>
  <Characters>71830</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nanette.christie@gmail.com</dc:creator>
  <cp:lastModifiedBy>nanette.christie@gmail.com</cp:lastModifiedBy>
  <cp:revision>12</cp:revision>
  <dcterms:created xsi:type="dcterms:W3CDTF">2021-08-02T15:35:00Z</dcterms:created>
  <dcterms:modified xsi:type="dcterms:W3CDTF">2021-12-03T12:23:00Z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http://www.zotero.org/styles/chicago-fullnote-bibliography</vt:lpwstr>
  </property>
  <property fmtid="{D5CDD505-2E9C-101B-9397-08002B2CF9AE}" pid="13" name="Mendeley Recent Style Name 5_1">
    <vt:lpwstr>Chicago Manual of Style 17th edition (full note)</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http://www.zotero.org/styles/the-plant-journal</vt:lpwstr>
  </property>
  <property fmtid="{D5CDD505-2E9C-101B-9397-08002B2CF9AE}" pid="17" name="Mendeley Recent Style Name 7_1">
    <vt:lpwstr>The Plant Journal</vt:lpwstr>
  </property>
  <property fmtid="{D5CDD505-2E9C-101B-9397-08002B2CF9AE}" pid="18" name="Mendeley Recent Style Id 8_1">
    <vt:lpwstr>http://www.zotero.org/styles/vancouver</vt:lpwstr>
  </property>
  <property fmtid="{D5CDD505-2E9C-101B-9397-08002B2CF9AE}" pid="19" name="Mendeley Recent Style Name 8_1">
    <vt:lpwstr>Vancouver</vt:lpwstr>
  </property>
  <property fmtid="{D5CDD505-2E9C-101B-9397-08002B2CF9AE}" pid="20" name="Mendeley Recent Style Id 9_1">
    <vt:lpwstr>http://www.zotero.org/styles/vancouver_custom</vt:lpwstr>
  </property>
  <property fmtid="{D5CDD505-2E9C-101B-9397-08002B2CF9AE}" pid="21" name="Mendeley Recent Style Name 9_1">
    <vt:lpwstr>Vancouver (custom)</vt:lpwstr>
  </property>
  <property fmtid="{D5CDD505-2E9C-101B-9397-08002B2CF9AE}" pid="22" name="Mendeley Document_1">
    <vt:lpwstr>True</vt:lpwstr>
  </property>
  <property fmtid="{D5CDD505-2E9C-101B-9397-08002B2CF9AE}" pid="23" name="Mendeley Unique User Id_1">
    <vt:lpwstr>21e5bac5-c524-33d7-9af9-4aef7c94f08b</vt:lpwstr>
  </property>
  <property fmtid="{D5CDD505-2E9C-101B-9397-08002B2CF9AE}" pid="24" name="Mendeley Citation Style_1">
    <vt:lpwstr>http://www.zotero.org/styles/vancouver_custom</vt:lpwstr>
  </property>
</Properties>
</file>