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21BD" w:rsidRDefault="00EE07BD">
      <w:pPr>
        <w:jc w:val="center"/>
        <w:rPr>
          <w:rFonts w:ascii="Arial" w:eastAsia="Arial" w:hAnsi="Arial" w:cs="Arial"/>
          <w:sz w:val="32"/>
          <w:szCs w:val="32"/>
        </w:rPr>
      </w:pPr>
      <w:bookmarkStart w:id="0" w:name="_GoBack"/>
      <w:bookmarkEnd w:id="0"/>
      <w:r>
        <w:rPr>
          <w:rFonts w:ascii="Arial" w:eastAsia="Arial" w:hAnsi="Arial" w:cs="Arial"/>
          <w:sz w:val="32"/>
          <w:szCs w:val="32"/>
        </w:rPr>
        <w:t>Inequalities in complete tooth loss within and between countries: What is the role of welfare state regimes?</w:t>
      </w:r>
    </w:p>
    <w:p w:rsidR="00BC21BD" w:rsidRDefault="00BC21BD">
      <w:pPr>
        <w:jc w:val="center"/>
        <w:rPr>
          <w:rFonts w:ascii="Arial" w:eastAsia="Arial" w:hAnsi="Arial" w:cs="Arial"/>
          <w:b/>
          <w:bCs/>
        </w:rPr>
      </w:pPr>
    </w:p>
    <w:p w:rsidR="00BC21BD" w:rsidRDefault="00EE07BD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b/>
          <w:bCs/>
        </w:rPr>
        <w:t>Running title:</w:t>
      </w:r>
      <w:r>
        <w:rPr>
          <w:rFonts w:ascii="Arial" w:eastAsia="Arial" w:hAnsi="Arial" w:cs="Arial"/>
          <w:i/>
          <w:iCs/>
        </w:rPr>
        <w:t xml:space="preserve"> welfare regimes and edentulism</w:t>
      </w:r>
    </w:p>
    <w:p w:rsidR="00BC21BD" w:rsidRDefault="00BC21BD">
      <w:pPr>
        <w:jc w:val="both"/>
        <w:rPr>
          <w:rFonts w:ascii="Arial" w:eastAsia="Arial" w:hAnsi="Arial" w:cs="Arial"/>
        </w:rPr>
      </w:pPr>
    </w:p>
    <w:p w:rsidR="00BC21BD" w:rsidRDefault="00EE07BD">
      <w:pPr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 xml:space="preserve">Roger Keller Celeste, PhD (1,2); Carol </w:t>
      </w:r>
      <w:proofErr w:type="spellStart"/>
      <w:r>
        <w:rPr>
          <w:rFonts w:ascii="Arial" w:eastAsia="Arial" w:hAnsi="Arial" w:cs="Arial"/>
          <w:i/>
          <w:iCs/>
        </w:rPr>
        <w:t>Guarnizo-Herreño</w:t>
      </w:r>
      <w:proofErr w:type="spellEnd"/>
      <w:r>
        <w:rPr>
          <w:rFonts w:ascii="Arial" w:eastAsia="Arial" w:hAnsi="Arial" w:cs="Arial"/>
          <w:i/>
          <w:iCs/>
        </w:rPr>
        <w:t xml:space="preserve">, PhD (3); Johan </w:t>
      </w:r>
      <w:proofErr w:type="spellStart"/>
      <w:r>
        <w:rPr>
          <w:rFonts w:ascii="Arial" w:eastAsia="Arial" w:hAnsi="Arial" w:cs="Arial"/>
          <w:i/>
          <w:iCs/>
        </w:rPr>
        <w:t>Fritzell</w:t>
      </w:r>
      <w:proofErr w:type="spellEnd"/>
      <w:r>
        <w:rPr>
          <w:rFonts w:ascii="Arial" w:eastAsia="Arial" w:hAnsi="Arial" w:cs="Arial"/>
          <w:i/>
          <w:iCs/>
        </w:rPr>
        <w:t xml:space="preserve">, PhD (2); </w:t>
      </w:r>
      <w:r>
        <w:rPr>
          <w:rFonts w:ascii="Arial" w:eastAsia="Arial" w:hAnsi="Arial" w:cs="Arial"/>
          <w:i/>
          <w:iCs/>
        </w:rPr>
        <w:t xml:space="preserve">Francine Costa, PhD (4); Olalekan Ayo-Yusuf, PhD (5); </w:t>
      </w:r>
      <w:proofErr w:type="spellStart"/>
      <w:r>
        <w:rPr>
          <w:rFonts w:ascii="Arial" w:eastAsia="Arial" w:hAnsi="Arial" w:cs="Arial"/>
          <w:i/>
          <w:iCs/>
        </w:rPr>
        <w:t>Aluisio</w:t>
      </w:r>
      <w:proofErr w:type="spellEnd"/>
      <w:r>
        <w:rPr>
          <w:rFonts w:ascii="Arial" w:eastAsia="Arial" w:hAnsi="Arial" w:cs="Arial"/>
          <w:i/>
          <w:iCs/>
        </w:rPr>
        <w:t xml:space="preserve"> J. Barros, PhD (4); </w:t>
      </w:r>
      <w:proofErr w:type="spellStart"/>
      <w:r>
        <w:rPr>
          <w:rFonts w:ascii="Arial" w:eastAsia="Arial" w:hAnsi="Arial" w:cs="Arial"/>
          <w:i/>
          <w:iCs/>
        </w:rPr>
        <w:t>Huihua</w:t>
      </w:r>
      <w:proofErr w:type="spellEnd"/>
      <w:r>
        <w:rPr>
          <w:rFonts w:ascii="Arial" w:eastAsia="Arial" w:hAnsi="Arial" w:cs="Arial"/>
          <w:i/>
          <w:iCs/>
        </w:rPr>
        <w:t xml:space="preserve"> Li, PhD (</w:t>
      </w:r>
      <w:r>
        <w:rPr>
          <w:rFonts w:ascii="Arial" w:eastAsia="Arial" w:hAnsi="Arial" w:cs="Arial"/>
          <w:i/>
          <w:iCs/>
        </w:rPr>
        <w:t xml:space="preserve">6); </w:t>
      </w:r>
      <w:proofErr w:type="spellStart"/>
      <w:r>
        <w:rPr>
          <w:rFonts w:ascii="Arial" w:eastAsia="Arial" w:hAnsi="Arial" w:cs="Arial"/>
        </w:rPr>
        <w:t>Ninuk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Hariyani</w:t>
      </w:r>
      <w:proofErr w:type="spellEnd"/>
      <w:r>
        <w:rPr>
          <w:rFonts w:ascii="Arial" w:eastAsia="Arial" w:hAnsi="Arial" w:cs="Arial"/>
        </w:rPr>
        <w:t xml:space="preserve">, PhD (7); </w:t>
      </w:r>
      <w:r>
        <w:rPr>
          <w:rFonts w:ascii="Arial" w:eastAsia="Arial" w:hAnsi="Arial" w:cs="Arial"/>
          <w:color w:val="000000" w:themeColor="text1"/>
        </w:rPr>
        <w:t>Donna M. Hackley, DMD</w:t>
      </w:r>
      <w:r>
        <w:rPr>
          <w:rFonts w:ascii="Arial" w:eastAsia="Arial" w:hAnsi="Arial" w:cs="Arial"/>
        </w:rPr>
        <w:t xml:space="preserve"> (8, 9); Silvana Blanco, </w:t>
      </w:r>
      <w:r>
        <w:rPr>
          <w:rFonts w:ascii="Arial" w:eastAsia="Arial" w:hAnsi="Arial" w:cs="Arial"/>
          <w:i/>
          <w:iCs/>
        </w:rPr>
        <w:t xml:space="preserve">PhD </w:t>
      </w:r>
      <w:r>
        <w:rPr>
          <w:rFonts w:ascii="Arial" w:eastAsia="Arial" w:hAnsi="Arial" w:cs="Arial"/>
        </w:rPr>
        <w:t xml:space="preserve">(10); Jorge A. </w:t>
      </w:r>
      <w:proofErr w:type="spellStart"/>
      <w:r>
        <w:rPr>
          <w:rFonts w:ascii="Arial" w:eastAsia="Arial" w:hAnsi="Arial" w:cs="Arial"/>
        </w:rPr>
        <w:t>Gamonal</w:t>
      </w:r>
      <w:proofErr w:type="spellEnd"/>
      <w:r>
        <w:rPr>
          <w:rFonts w:ascii="Arial" w:eastAsia="Arial" w:hAnsi="Arial" w:cs="Arial"/>
        </w:rPr>
        <w:t xml:space="preserve">, PhD (11) Gerardo </w:t>
      </w:r>
      <w:proofErr w:type="spellStart"/>
      <w:r>
        <w:rPr>
          <w:rFonts w:ascii="Arial" w:eastAsia="Arial" w:hAnsi="Arial" w:cs="Arial"/>
        </w:rPr>
        <w:t>Maupome</w:t>
      </w:r>
      <w:proofErr w:type="spellEnd"/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i/>
          <w:iCs/>
        </w:rPr>
        <w:t xml:space="preserve">PhD </w:t>
      </w:r>
      <w:r>
        <w:rPr>
          <w:rFonts w:ascii="Arial" w:eastAsia="Arial" w:hAnsi="Arial" w:cs="Arial"/>
        </w:rPr>
        <w:t xml:space="preserve">(12); </w:t>
      </w:r>
      <w:r>
        <w:rPr>
          <w:rFonts w:ascii="Arial" w:eastAsia="Arial" w:hAnsi="Arial" w:cs="Arial"/>
          <w:i/>
          <w:iCs/>
        </w:rPr>
        <w:t>Richa</w:t>
      </w:r>
      <w:r>
        <w:rPr>
          <w:rFonts w:ascii="Arial" w:eastAsia="Arial" w:hAnsi="Arial" w:cs="Arial"/>
          <w:i/>
          <w:iCs/>
        </w:rPr>
        <w:t>rd G Watt, PhD</w:t>
      </w:r>
      <w:r>
        <w:rPr>
          <w:rFonts w:ascii="Arial" w:eastAsia="Arial" w:hAnsi="Arial" w:cs="Arial"/>
          <w:i/>
          <w:iCs/>
        </w:rPr>
        <w:t xml:space="preserve"> (13); Marco Aurelio Peres, PhD (6).</w:t>
      </w:r>
    </w:p>
    <w:p w:rsidR="00BC21BD" w:rsidRDefault="00BC21BD">
      <w:pPr>
        <w:jc w:val="both"/>
        <w:rPr>
          <w:rFonts w:ascii="Arial" w:eastAsia="Arial" w:hAnsi="Arial" w:cs="Arial"/>
          <w:i/>
          <w:iCs/>
        </w:rPr>
      </w:pPr>
    </w:p>
    <w:p w:rsidR="00BC21BD" w:rsidRDefault="00EE07BD">
      <w:pPr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>Lancet Commission on Oral Health: Equity Group</w:t>
      </w:r>
    </w:p>
    <w:p w:rsidR="00BC21BD" w:rsidRDefault="00BC21BD">
      <w:pPr>
        <w:jc w:val="both"/>
        <w:rPr>
          <w:rFonts w:ascii="Arial" w:eastAsia="Arial" w:hAnsi="Arial" w:cs="Arial"/>
        </w:rPr>
      </w:pPr>
    </w:p>
    <w:p w:rsidR="00BC21BD" w:rsidRDefault="00EE07BD">
      <w:pPr>
        <w:ind w:left="450" w:hanging="450"/>
        <w:contextualSpacing/>
        <w:jc w:val="both"/>
        <w:rPr>
          <w:rFonts w:ascii="Arial" w:eastAsia="Arial" w:hAnsi="Arial" w:cs="Arial"/>
        </w:rPr>
      </w:pPr>
      <w:r>
        <w:br w:type="page"/>
      </w:r>
    </w:p>
    <w:p w:rsidR="00BC21BD" w:rsidRDefault="00EE07BD">
      <w:pPr>
        <w:rPr>
          <w:rFonts w:ascii="Arial" w:eastAsia="Liberation Serif" w:hAnsi="Arial" w:cs="Arial"/>
          <w:b/>
          <w:bCs/>
        </w:rPr>
      </w:pPr>
      <w:r>
        <w:rPr>
          <w:rFonts w:ascii="Arial" w:eastAsia="Liberation Serif" w:hAnsi="Arial" w:cs="Arial"/>
          <w:b/>
          <w:bCs/>
        </w:rPr>
        <w:lastRenderedPageBreak/>
        <w:t>Supplementary Information:</w:t>
      </w:r>
    </w:p>
    <w:p w:rsidR="00BC21BD" w:rsidRDefault="00EE07BD">
      <w:pPr>
        <w:rPr>
          <w:rFonts w:ascii="Arial" w:eastAsia="Liberation Serif" w:hAnsi="Arial" w:cs="Arial"/>
          <w:b/>
          <w:bCs/>
        </w:rPr>
      </w:pPr>
      <w:r>
        <w:rPr>
          <w:rFonts w:ascii="Arial" w:eastAsia="Liberation Serif" w:hAnsi="Arial" w:cs="Arial"/>
          <w:sz w:val="22"/>
          <w:szCs w:val="22"/>
        </w:rPr>
        <w:t>Supplementary Box 1 – List of datasets by country and ethical approval information.</w:t>
      </w:r>
    </w:p>
    <w:tbl>
      <w:tblPr>
        <w:tblW w:w="1450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6"/>
        <w:gridCol w:w="2775"/>
        <w:gridCol w:w="5940"/>
        <w:gridCol w:w="4484"/>
      </w:tblGrid>
      <w:tr w:rsidR="00BC21BD">
        <w:trPr>
          <w:trHeight w:val="555"/>
        </w:trPr>
        <w:tc>
          <w:tcPr>
            <w:tcW w:w="1305" w:type="dxa"/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b/>
                <w:bCs/>
                <w:kern w:val="0"/>
                <w:sz w:val="18"/>
                <w:szCs w:val="18"/>
                <w:lang w:eastAsia="en-US" w:bidi="ar-SA"/>
              </w:rPr>
              <w:t>Country</w:t>
            </w:r>
          </w:p>
        </w:tc>
        <w:tc>
          <w:tcPr>
            <w:tcW w:w="2775" w:type="dxa"/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b/>
                <w:bCs/>
                <w:kern w:val="0"/>
                <w:sz w:val="18"/>
                <w:szCs w:val="18"/>
                <w:lang w:eastAsia="en-US" w:bidi="ar-SA"/>
              </w:rPr>
              <w:t>Survey</w:t>
            </w:r>
          </w:p>
        </w:tc>
        <w:tc>
          <w:tcPr>
            <w:tcW w:w="5940" w:type="dxa"/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b/>
                <w:bCs/>
                <w:kern w:val="0"/>
                <w:sz w:val="18"/>
                <w:szCs w:val="18"/>
                <w:lang w:eastAsia="en-US" w:bidi="ar-SA"/>
              </w:rPr>
              <w:t>Ethical approval clearance</w:t>
            </w:r>
          </w:p>
        </w:tc>
        <w:tc>
          <w:tcPr>
            <w:tcW w:w="4484" w:type="dxa"/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b/>
                <w:bCs/>
                <w:kern w:val="0"/>
                <w:sz w:val="18"/>
                <w:szCs w:val="18"/>
                <w:lang w:eastAsia="en-US" w:bidi="ar-SA"/>
              </w:rPr>
              <w:t xml:space="preserve">Link to the </w:t>
            </w:r>
            <w:r>
              <w:rPr>
                <w:rFonts w:ascii="Arial" w:eastAsia="Aptos" w:hAnsi="Arial" w:cs="Arial"/>
                <w:b/>
                <w:bCs/>
                <w:kern w:val="0"/>
                <w:sz w:val="18"/>
                <w:szCs w:val="18"/>
                <w:lang w:eastAsia="en-US" w:bidi="ar-SA"/>
              </w:rPr>
              <w:t>source of the information</w:t>
            </w: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European countries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Eurobarometer 72.3: Public Health Attitudes, Behaviour, and Prevention 2009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No number publicly available.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7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https://search.gesis.org/research_data/ZA4977?doi=10.4232/1.11140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Brazil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Brazilian National Oral Health Survey – SB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Brasil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2010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Comissão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Nacional de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Ética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em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Pesquisa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nº 15.498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8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https://bvsms.saude.gov.br/bvs/publicacoes/SBBrasil_2010.pdf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Chile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National Health </w:t>
            </w:r>
            <w:proofErr w:type="gram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Survey  -</w:t>
            </w:r>
            <w:proofErr w:type="gram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Chile ENS 2016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Pontificia Universidad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Católica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de Chile (PUC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) nº 16–019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9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https://www.scielo.cl/pdf/rmc/v151n7/0717-6163-rmc-151-07-0849.pdf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Colombia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National Oral Health Study – ENSAB 2014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Comité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Científico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Técnico del ENSAB y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av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alado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mediante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acta 55 del 11 de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abril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de 2014 del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Comité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de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Investigación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y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Ética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del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Cendex</w:t>
            </w:r>
            <w:proofErr w:type="spellEnd"/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0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https://www.minsalud.gov.co/sites/rid/Lists/B</w:t>
              </w:r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ibliotecaDigital/RIDE/VS/PP/ENSAB-IV-Metodologia.pdf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Indonesia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Community Indonesian Health Survey – 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Riskesdas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2018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Ethical Committee of Health Research, NIHRD, Ministry of Health, the Republic of Indonesia, with the reference number 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LB.02.01/2/KE.267/2017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1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https://link.springer.com/article/10.1186/s12889-022-13104-0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Rwanda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National Oral Health Survey 2016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University of Rwanda College Medicine and Health 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Sciences on behalf of the Rwanda National Ethics Committee – 51/CMHS IRB/2016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2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https://www.tandfonline.com/doi/full/10.1080/16549716.2018.1477249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United Kingdom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Adult De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ntal Health Survey 2009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Oxford Research Ethics Committee B (09/H0605/50), April 2009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3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https://doc.ukdataservice.ac.uk/doc/6884/mrdoc/pdf/6884leaflets.pdf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color w:val="000000"/>
                <w:kern w:val="0"/>
                <w:sz w:val="18"/>
                <w:szCs w:val="18"/>
                <w:lang w:eastAsia="en-US" w:bidi="ar-SA"/>
              </w:rPr>
              <w:t>United States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National Health and Nutrition Examination Survey 2018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NCHS Ethics Review Board — 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Protocol #2018-01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4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https://www.cdc.gov/nchs/nhanes/about/erb.html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979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color w:val="000000"/>
                <w:kern w:val="0"/>
                <w:sz w:val="18"/>
                <w:szCs w:val="18"/>
                <w:lang w:eastAsia="en-US" w:bidi="ar-SA"/>
              </w:rPr>
              <w:t>Uruguay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National Oral Health Survey 2011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In accordance with current regulations in the country (32) the research project was presented and approved by the Research Ethics Committee of the Faculty of Dentistry (</w:t>
            </w:r>
            <w:proofErr w:type="spellStart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UdelaR</w:t>
            </w:r>
            <w:proofErr w:type="spellEnd"/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) – no number publicly available.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5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https://www.colibri.udelar.edu.uy/jspui/bitstream/20.500.12008/18508/1/Lorenzo_Encuesta.pdf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color w:val="000000"/>
                <w:kern w:val="0"/>
                <w:sz w:val="18"/>
                <w:szCs w:val="18"/>
                <w:lang w:eastAsia="en-US" w:bidi="ar-SA"/>
              </w:rPr>
              <w:t>Mexico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The original study was approved by the World Health Organization Ethics Committee - no 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number publicly available.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6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https://pmc.ncbi.nlm.nih.gov/articles/PMC6619793/pdf/pone.0219540.pdf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color w:val="000000"/>
                <w:kern w:val="0"/>
                <w:sz w:val="18"/>
                <w:szCs w:val="18"/>
                <w:lang w:eastAsia="en-US" w:bidi="ar-SA"/>
              </w:rPr>
              <w:t>Ghana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World Health Organization’s Ethical Review Board approved the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 SAGE study, and the University of Ghana Medical School ethical and protocol review committee provided local ethical approval - no number publicly available.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7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https://link.spring</w:t>
              </w:r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er.com/article/10.1186/s12903-015-0034-6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  <w:tr w:rsidR="00BC21BD">
        <w:trPr>
          <w:trHeight w:val="113"/>
        </w:trPr>
        <w:tc>
          <w:tcPr>
            <w:tcW w:w="13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color w:val="000000"/>
                <w:kern w:val="0"/>
                <w:sz w:val="18"/>
                <w:szCs w:val="18"/>
                <w:lang w:eastAsia="en-US" w:bidi="ar-SA"/>
              </w:rPr>
              <w:t>South Africa</w:t>
            </w:r>
          </w:p>
        </w:tc>
        <w:tc>
          <w:tcPr>
            <w:tcW w:w="277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South African Social</w:t>
            </w:r>
          </w:p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Attitudes Survey 2011</w:t>
            </w:r>
          </w:p>
        </w:tc>
        <w:tc>
          <w:tcPr>
            <w:tcW w:w="594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18"/>
                <w:szCs w:val="18"/>
                <w:lang w:eastAsia="en-US" w:bidi="ar-SA"/>
              </w:rPr>
            </w:pP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 xml:space="preserve">The Human Sciences Research Council Research Ethics Committee for review approved the study proposal, instruments, consent forms and information sheets for </w:t>
            </w:r>
            <w: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  <w:t>this study - no number publicly available.</w:t>
            </w:r>
          </w:p>
        </w:tc>
        <w:tc>
          <w:tcPr>
            <w:tcW w:w="448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21BD" w:rsidRDefault="00EE07BD">
            <w:pPr>
              <w:rPr>
                <w:rFonts w:ascii="Aptos" w:eastAsia="Aptos" w:hAnsi="Aptos" w:cs="Arial"/>
                <w:kern w:val="0"/>
                <w:sz w:val="22"/>
                <w:szCs w:val="22"/>
                <w:lang w:eastAsia="en-US" w:bidi="ar-SA"/>
              </w:rPr>
            </w:pPr>
            <w:hyperlink r:id="rId18">
              <w:r>
                <w:rPr>
                  <w:rStyle w:val="Hyperlink"/>
                  <w:rFonts w:ascii="Arial" w:eastAsia="Aptos" w:hAnsi="Arial" w:cs="Arial"/>
                  <w:kern w:val="0"/>
                  <w:sz w:val="18"/>
                  <w:szCs w:val="18"/>
                  <w:lang w:eastAsia="en-US" w:bidi="ar-SA"/>
                </w:rPr>
                <w:t>https://pdfs.semanticscholar.org/697f/a0ef31a63312bf493370366ea52d2f431a6a.pdf</w:t>
              </w:r>
            </w:hyperlink>
          </w:p>
          <w:p w:rsidR="00BC21BD" w:rsidRDefault="00BC21BD">
            <w:pPr>
              <w:rPr>
                <w:rFonts w:ascii="Arial" w:eastAsia="Aptos" w:hAnsi="Arial" w:cs="Arial"/>
                <w:kern w:val="0"/>
                <w:sz w:val="18"/>
                <w:szCs w:val="18"/>
                <w:lang w:eastAsia="en-US" w:bidi="ar-SA"/>
              </w:rPr>
            </w:pPr>
          </w:p>
        </w:tc>
      </w:tr>
    </w:tbl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EE07BD">
      <w:pPr>
        <w:rPr>
          <w:rFonts w:ascii="Arial" w:eastAsia="Liberation Serif" w:hAnsi="Arial" w:cs="Arial"/>
        </w:rPr>
      </w:pPr>
      <w:r>
        <w:rPr>
          <w:rFonts w:ascii="Arial" w:eastAsia="Liberation Serif" w:hAnsi="Arial" w:cs="Arial"/>
        </w:rPr>
        <w:t>Supplementary Box 2 – List of c</w:t>
      </w:r>
      <w:r>
        <w:rPr>
          <w:rFonts w:ascii="Arial" w:eastAsia="Liberation Serif" w:hAnsi="Arial" w:cs="Arial"/>
        </w:rPr>
        <w:t>ountries by welfare regime typology, year of data collection and sample size (n).</w:t>
      </w:r>
    </w:p>
    <w:tbl>
      <w:tblPr>
        <w:tblW w:w="14314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1276"/>
        <w:gridCol w:w="1985"/>
        <w:gridCol w:w="2180"/>
        <w:gridCol w:w="1842"/>
        <w:gridCol w:w="1577"/>
        <w:gridCol w:w="2357"/>
        <w:gridCol w:w="1558"/>
        <w:gridCol w:w="1539"/>
      </w:tblGrid>
      <w:tr w:rsidR="00BC21BD">
        <w:trPr>
          <w:trHeight w:val="300"/>
        </w:trPr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Welfare</w:t>
            </w:r>
          </w:p>
          <w:p w:rsidR="00BC21BD" w:rsidRDefault="00EE07BD">
            <w:pP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Regime</w:t>
            </w:r>
          </w:p>
          <w:p w:rsidR="00BC21BD" w:rsidRDefault="00EE07BD">
            <w:pP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(data year)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Corporative</w:t>
            </w:r>
          </w:p>
        </w:tc>
        <w:tc>
          <w:tcPr>
            <w:tcW w:w="2180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Eastern Europe</w:t>
            </w:r>
          </w:p>
        </w:tc>
        <w:tc>
          <w:tcPr>
            <w:tcW w:w="1842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Informal Security</w:t>
            </w:r>
          </w:p>
        </w:tc>
        <w:tc>
          <w:tcPr>
            <w:tcW w:w="1577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Social/Labour Insecurity</w:t>
            </w:r>
          </w:p>
        </w:tc>
        <w:tc>
          <w:tcPr>
            <w:tcW w:w="2357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Liberal</w:t>
            </w:r>
          </w:p>
        </w:tc>
        <w:tc>
          <w:tcPr>
            <w:tcW w:w="1558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Scandinavian</w:t>
            </w:r>
          </w:p>
        </w:tc>
        <w:tc>
          <w:tcPr>
            <w:tcW w:w="1539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Southern</w:t>
            </w:r>
          </w:p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Europe</w:t>
            </w:r>
          </w:p>
        </w:tc>
      </w:tr>
      <w:tr w:rsidR="00BC21BD">
        <w:trPr>
          <w:trHeight w:val="300"/>
        </w:trPr>
        <w:tc>
          <w:tcPr>
            <w:tcW w:w="1275" w:type="dxa"/>
            <w:vMerge w:val="restart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Country Name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France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962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18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Bulgaria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n=944)</w:t>
            </w:r>
          </w:p>
        </w:tc>
        <w:tc>
          <w:tcPr>
            <w:tcW w:w="184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Indonesia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(2018,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33930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7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Ghana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(2007, n=</w:t>
            </w:r>
            <w:r>
              <w:rPr>
                <w:rFonts w:ascii="Arial" w:eastAsia="Arial" w:hAnsi="Arial" w:cs="Arial"/>
                <w:sz w:val="18"/>
                <w:szCs w:val="18"/>
              </w:rPr>
              <w:t>5545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35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Ireland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946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5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Denmark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1016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Cyprus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917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Germany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1478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Hungary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986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Brazil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(2010, n=17398)</w:t>
            </w:r>
          </w:p>
        </w:tc>
        <w:tc>
          <w:tcPr>
            <w:tcW w:w="1577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Rwanda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(2016, n=</w:t>
            </w:r>
            <w:r>
              <w:rPr>
                <w:rFonts w:ascii="Arial" w:eastAsia="Arial" w:hAnsi="Arial" w:cs="Arial"/>
                <w:sz w:val="18"/>
                <w:szCs w:val="18"/>
              </w:rPr>
              <w:t>861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357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United Kingdom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(2009, 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n=</w:t>
            </w:r>
            <w:r>
              <w:rPr>
                <w:rFonts w:ascii="Arial" w:eastAsia="Arial" w:hAnsi="Arial" w:cs="Arial"/>
                <w:sz w:val="18"/>
                <w:szCs w:val="18"/>
              </w:rPr>
              <w:t>10892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58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Finland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974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39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Greece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959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Austria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n=967)</w:t>
            </w: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Croatia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938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Chile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(2016, n=5834)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United States</w:t>
            </w:r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(2013+2018, n=</w:t>
            </w:r>
            <w:r>
              <w:rPr>
                <w:rFonts w:ascii="Arial" w:eastAsia="Arial" w:hAnsi="Arial" w:cs="Arial"/>
                <w:sz w:val="18"/>
                <w:szCs w:val="18"/>
              </w:rPr>
              <w:t>11338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58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Sweden</w:t>
            </w:r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968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39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Italy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982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Belgium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n=955)</w:t>
            </w: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Estonia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945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Colombia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(2014, n=8042)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Malta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469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Luxembourg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486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Czechia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1027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Mexico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(2014,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4620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Portugal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971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Netherlands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940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Latvia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916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South Africa</w:t>
            </w:r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(2011, n=</w:t>
            </w:r>
            <w:r>
              <w:rPr>
                <w:rFonts w:ascii="Arial" w:eastAsia="Arial" w:hAnsi="Arial" w:cs="Arial"/>
                <w:sz w:val="18"/>
                <w:szCs w:val="18"/>
              </w:rPr>
              <w:t>2795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Spain</w:t>
            </w:r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947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Lithuania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921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Turkiye</w:t>
            </w:r>
            <w:proofErr w:type="spellEnd"/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905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Macedonia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919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Uruguay</w:t>
            </w:r>
          </w:p>
          <w:p w:rsidR="00BC21BD" w:rsidRDefault="00EE07BD">
            <w:pP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 xml:space="preserve"> (2011, n=</w:t>
            </w:r>
            <w:r>
              <w:rPr>
                <w:rFonts w:ascii="Arial" w:eastAsia="Arial" w:hAnsi="Arial" w:cs="Arial"/>
                <w:sz w:val="18"/>
                <w:szCs w:val="18"/>
              </w:rPr>
              <w:t>1087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Poland</w:t>
            </w:r>
          </w:p>
          <w:p w:rsidR="00BC21BD" w:rsidRDefault="00EE07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>959</w:t>
            </w:r>
            <w:r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BC21BD">
            <w:pPr>
              <w:jc w:val="center"/>
              <w:rPr>
                <w:rFonts w:ascii="Arial" w:eastAsia="Arial" w:hAnsi="Arial" w:cs="Arial"/>
                <w:sz w:val="18"/>
                <w:szCs w:val="18"/>
                <w:lang w:eastAsia="en-GB" w:bidi="ar-SA"/>
              </w:rPr>
            </w:pP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Romania</w:t>
            </w:r>
          </w:p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955</w:t>
            </w: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Slovak Republic</w:t>
            </w:r>
          </w:p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 xml:space="preserve"> 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956</w:t>
            </w: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77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</w:tr>
      <w:tr w:rsidR="00BC21BD">
        <w:trPr>
          <w:trHeight w:val="300"/>
        </w:trPr>
        <w:tc>
          <w:tcPr>
            <w:tcW w:w="1275" w:type="dxa"/>
            <w:vMerge/>
          </w:tcPr>
          <w:p w:rsidR="00BC21BD" w:rsidRDefault="00BC21BD"/>
        </w:tc>
        <w:tc>
          <w:tcPr>
            <w:tcW w:w="1984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1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Slovenia</w:t>
            </w:r>
          </w:p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(2009, n=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974</w:t>
            </w:r>
            <w:r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  <w:t>)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77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2357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5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  <w:tc>
          <w:tcPr>
            <w:tcW w:w="153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</w:p>
        </w:tc>
      </w:tr>
    </w:tbl>
    <w:p w:rsidR="00BC21BD" w:rsidRDefault="00EE07BD">
      <w:pPr>
        <w:rPr>
          <w:rFonts w:eastAsia="Liberation Serif" w:cs="Liberation Serif"/>
        </w:rPr>
      </w:pPr>
      <w:r>
        <w:rPr>
          <w:rFonts w:ascii="Arial" w:eastAsia="Arial" w:hAnsi="Arial" w:cs="Arial"/>
          <w:sz w:val="18"/>
          <w:szCs w:val="18"/>
        </w:rPr>
        <w:t xml:space="preserve">      </w:t>
      </w:r>
      <w:r>
        <w:br/>
      </w:r>
      <w:r>
        <w:rPr>
          <w:rFonts w:eastAsia="Liberation Serif" w:cs="Liberation Serif"/>
        </w:rPr>
        <w:t xml:space="preserve"> </w:t>
      </w:r>
      <w:r>
        <w:rPr>
          <w:rFonts w:ascii="Arial" w:eastAsia="Liberation Serif" w:hAnsi="Arial" w:cs="Liberation Serif"/>
          <w:sz w:val="20"/>
          <w:szCs w:val="20"/>
        </w:rPr>
        <w:t xml:space="preserve">Note: 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Original </w:t>
      </w:r>
      <w:proofErr w:type="spellStart"/>
      <w:r>
        <w:rPr>
          <w:rFonts w:ascii="Arial" w:eastAsia="Arial" w:hAnsi="Arial" w:cs="Arial"/>
          <w:i/>
          <w:iCs/>
          <w:sz w:val="20"/>
          <w:szCs w:val="20"/>
        </w:rPr>
        <w:t>Ferrera</w:t>
      </w:r>
      <w:proofErr w:type="spellEnd"/>
      <w:r>
        <w:rPr>
          <w:rFonts w:ascii="Arial" w:eastAsia="Arial" w:hAnsi="Arial" w:cs="Arial"/>
          <w:i/>
          <w:iCs/>
          <w:sz w:val="20"/>
          <w:szCs w:val="20"/>
        </w:rPr>
        <w:t xml:space="preserve"> Typology:</w:t>
      </w:r>
    </w:p>
    <w:p w:rsidR="00BC21BD" w:rsidRDefault="00EE07BD">
      <w:pPr>
        <w:widowControl w:val="0"/>
        <w:numPr>
          <w:ilvl w:val="0"/>
          <w:numId w:val="1"/>
        </w:numPr>
        <w:ind w:left="170" w:hanging="227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>Anglo-Saxon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 (Ireland, UK), US was added, it appears in original </w:t>
      </w:r>
      <w:proofErr w:type="spellStart"/>
      <w:r>
        <w:rPr>
          <w:rFonts w:ascii="Arial" w:eastAsia="Arial" w:hAnsi="Arial" w:cs="Arial"/>
          <w:i/>
          <w:iCs/>
          <w:sz w:val="20"/>
          <w:szCs w:val="20"/>
        </w:rPr>
        <w:t>Esping</w:t>
      </w:r>
      <w:proofErr w:type="spellEnd"/>
      <w:r>
        <w:rPr>
          <w:rFonts w:ascii="Arial" w:eastAsia="Arial" w:hAnsi="Arial" w:cs="Arial"/>
          <w:i/>
          <w:iCs/>
          <w:sz w:val="20"/>
          <w:szCs w:val="20"/>
        </w:rPr>
        <w:t>-Andersen.</w:t>
      </w:r>
    </w:p>
    <w:p w:rsidR="00BC21BD" w:rsidRDefault="00EE07BD">
      <w:pPr>
        <w:widowControl w:val="0"/>
        <w:numPr>
          <w:ilvl w:val="0"/>
          <w:numId w:val="1"/>
        </w:numPr>
        <w:ind w:left="170" w:hanging="227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>Bismarck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 (Austria, Belgium, France, Germany, Luxembourg, The Netherlands, Switzerland)</w:t>
      </w:r>
    </w:p>
    <w:p w:rsidR="00BC21BD" w:rsidRDefault="00EE07BD">
      <w:pPr>
        <w:widowControl w:val="0"/>
        <w:numPr>
          <w:ilvl w:val="0"/>
          <w:numId w:val="1"/>
        </w:numPr>
        <w:ind w:left="170" w:hanging="227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>Scandinavian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 (Denmark, Finland, Norway, Sweden)</w:t>
      </w:r>
    </w:p>
    <w:p w:rsidR="00BC21BD" w:rsidRDefault="00EE07BD">
      <w:pPr>
        <w:widowControl w:val="0"/>
        <w:numPr>
          <w:ilvl w:val="0"/>
          <w:numId w:val="1"/>
        </w:numPr>
        <w:ind w:left="170" w:hanging="227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>Southern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 (Greece, Ital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y, Portugal, Spain).  Cyprus and Malta </w:t>
      </w:r>
      <w:proofErr w:type="gramStart"/>
      <w:r>
        <w:rPr>
          <w:rFonts w:ascii="Arial" w:eastAsia="Arial" w:hAnsi="Arial" w:cs="Arial"/>
          <w:i/>
          <w:iCs/>
          <w:sz w:val="20"/>
          <w:szCs w:val="20"/>
        </w:rPr>
        <w:t>were  added</w:t>
      </w:r>
      <w:proofErr w:type="gramEnd"/>
      <w:r>
        <w:rPr>
          <w:rFonts w:ascii="Arial" w:eastAsia="Arial" w:hAnsi="Arial" w:cs="Arial"/>
          <w:i/>
          <w:iCs/>
          <w:sz w:val="20"/>
          <w:szCs w:val="20"/>
        </w:rPr>
        <w:t xml:space="preserve"> by Minas (2014, Table 1).</w:t>
      </w:r>
    </w:p>
    <w:p w:rsidR="00BC21BD" w:rsidRDefault="00EE07BD">
      <w:pPr>
        <w:ind w:left="680"/>
        <w:contextualSpacing/>
        <w:jc w:val="both"/>
        <w:rPr>
          <w:rFonts w:ascii="Arial" w:eastAsia="Arial" w:hAnsi="Arial" w:cs="Arial"/>
          <w:i/>
          <w:iCs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</w:rPr>
        <w:t>New Categories in the current study:</w:t>
      </w:r>
    </w:p>
    <w:p w:rsidR="00BC21BD" w:rsidRDefault="00EE07BD">
      <w:pPr>
        <w:numPr>
          <w:ilvl w:val="0"/>
          <w:numId w:val="2"/>
        </w:numPr>
        <w:ind w:left="170" w:hanging="170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 xml:space="preserve">Eastern Europe regime 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(Czech Republic, Hungary, Poland, and Slovenia) was proposed by </w:t>
      </w:r>
      <w:proofErr w:type="spellStart"/>
      <w:r>
        <w:rPr>
          <w:rFonts w:ascii="Arial" w:eastAsia="Arial" w:hAnsi="Arial" w:cs="Arial"/>
          <w:i/>
          <w:iCs/>
          <w:sz w:val="20"/>
          <w:szCs w:val="20"/>
        </w:rPr>
        <w:t>Eikemo</w:t>
      </w:r>
      <w:proofErr w:type="spellEnd"/>
      <w:r>
        <w:rPr>
          <w:rFonts w:ascii="Arial" w:eastAsia="Arial" w:hAnsi="Arial" w:cs="Arial"/>
          <w:i/>
          <w:iCs/>
          <w:sz w:val="20"/>
          <w:szCs w:val="20"/>
        </w:rPr>
        <w:t xml:space="preserve"> (2008). We expanded the number of countries to in</w:t>
      </w:r>
      <w:r>
        <w:rPr>
          <w:rFonts w:ascii="Arial" w:eastAsia="Arial" w:hAnsi="Arial" w:cs="Arial"/>
          <w:i/>
          <w:iCs/>
          <w:sz w:val="20"/>
          <w:szCs w:val="20"/>
        </w:rPr>
        <w:t>clude other former communist or soviet countries in our dataset: Bulgaria, Croatia, Estonia, Latvia, Lithuania, Macedonia, Romania, Slovenia, Slovak.</w:t>
      </w:r>
    </w:p>
    <w:p w:rsidR="00BC21BD" w:rsidRDefault="00EE07BD">
      <w:pPr>
        <w:numPr>
          <w:ilvl w:val="0"/>
          <w:numId w:val="2"/>
        </w:numPr>
        <w:ind w:left="170" w:hanging="170"/>
        <w:contextualSpacing/>
        <w:jc w:val="both"/>
        <w:rPr>
          <w:rFonts w:ascii="Arial" w:hAnsi="Arial"/>
          <w:sz w:val="20"/>
          <w:szCs w:val="20"/>
        </w:rPr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 xml:space="preserve">Social Insecurity regime 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(Sub-Saharan Africa: Rwanda, Ghana) was proposed by Wood and Gough (2006, Figure </w:t>
      </w:r>
      <w:r>
        <w:rPr>
          <w:rFonts w:ascii="Arial" w:eastAsia="Arial" w:hAnsi="Arial" w:cs="Arial"/>
          <w:i/>
          <w:iCs/>
          <w:sz w:val="20"/>
          <w:szCs w:val="20"/>
        </w:rPr>
        <w:t>2).</w:t>
      </w:r>
    </w:p>
    <w:p w:rsidR="00BC21BD" w:rsidRDefault="00EE07BD">
      <w:pPr>
        <w:numPr>
          <w:ilvl w:val="0"/>
          <w:numId w:val="2"/>
        </w:numPr>
        <w:ind w:left="170" w:hanging="170"/>
        <w:contextualSpacing/>
        <w:jc w:val="both"/>
      </w:pPr>
      <w:r>
        <w:rPr>
          <w:rFonts w:ascii="Arial" w:eastAsia="Arial" w:hAnsi="Arial" w:cs="Arial"/>
          <w:i/>
          <w:iCs/>
          <w:sz w:val="20"/>
          <w:szCs w:val="20"/>
          <w:u w:val="single"/>
        </w:rPr>
        <w:t xml:space="preserve">Informal Security Regime 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(Latin America, South Asia and East Asia: Indonesia, Mexico, Brazil, Uruguay, Chile) was proposed by Wood and Gough (2006, Figure 2). Turkey and South Africa were added to this group as they fit the proposed idea. For example, </w:t>
      </w:r>
      <w:r>
        <w:rPr>
          <w:rFonts w:ascii="Arial" w:eastAsia="Arial" w:hAnsi="Arial" w:cs="Arial"/>
          <w:i/>
          <w:iCs/>
          <w:sz w:val="20"/>
          <w:szCs w:val="20"/>
        </w:rPr>
        <w:t xml:space="preserve">in 2024, the percentage of informal employment was 28% in Turkey and 35% in South Africa, whereas in Ghana and </w:t>
      </w:r>
      <w:proofErr w:type="gramStart"/>
      <w:r>
        <w:rPr>
          <w:rFonts w:ascii="Arial" w:eastAsia="Arial" w:hAnsi="Arial" w:cs="Arial"/>
          <w:i/>
          <w:iCs/>
          <w:sz w:val="20"/>
          <w:szCs w:val="20"/>
        </w:rPr>
        <w:t>Rwanda  it</w:t>
      </w:r>
      <w:proofErr w:type="gramEnd"/>
      <w:r>
        <w:rPr>
          <w:rFonts w:ascii="Arial" w:eastAsia="Arial" w:hAnsi="Arial" w:cs="Arial"/>
          <w:i/>
          <w:iCs/>
          <w:sz w:val="20"/>
          <w:szCs w:val="20"/>
        </w:rPr>
        <w:t xml:space="preserve"> was, respectively, 78% and 84% (</w:t>
      </w:r>
      <w:hyperlink r:id="rId19">
        <w:r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https://ilostat.ilo.org/topics/informal</w:t>
        </w:r>
        <w:r>
          <w:rPr>
            <w:rStyle w:val="Hyperlink"/>
            <w:rFonts w:ascii="Arial" w:eastAsia="Arial" w:hAnsi="Arial" w:cs="Arial"/>
            <w:i/>
            <w:iCs/>
            <w:sz w:val="20"/>
            <w:szCs w:val="20"/>
          </w:rPr>
          <w:t>ity/</w:t>
        </w:r>
      </w:hyperlink>
      <w:r>
        <w:rPr>
          <w:rFonts w:ascii="Arial" w:eastAsia="Arial" w:hAnsi="Arial" w:cs="Arial"/>
          <w:i/>
          <w:iCs/>
          <w:sz w:val="20"/>
          <w:szCs w:val="20"/>
        </w:rPr>
        <w:t>).</w:t>
      </w:r>
      <w:r>
        <w:br w:type="page"/>
      </w:r>
    </w:p>
    <w:p w:rsidR="00BC21BD" w:rsidRDefault="00EE07BD">
      <w:pPr>
        <w:rPr>
          <w:rFonts w:ascii="Arial" w:eastAsia="Liberation Serif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lastRenderedPageBreak/>
        <w:t>Supplementary Table 1– Number of countries (n) for which there is information about country-level characteristics with respective means and standard-deviation (</w:t>
      </w:r>
      <w:proofErr w:type="spellStart"/>
      <w:r>
        <w:rPr>
          <w:rFonts w:ascii="Arial" w:eastAsia="Liberation Serif" w:hAnsi="Arial" w:cs="Arial"/>
          <w:sz w:val="20"/>
          <w:szCs w:val="20"/>
        </w:rPr>
        <w:t>sd</w:t>
      </w:r>
      <w:proofErr w:type="spellEnd"/>
      <w:r>
        <w:rPr>
          <w:rFonts w:ascii="Arial" w:eastAsia="Liberation Serif" w:hAnsi="Arial" w:cs="Arial"/>
          <w:sz w:val="20"/>
          <w:szCs w:val="20"/>
        </w:rPr>
        <w:t>) for some country-level variables.</w:t>
      </w: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tbl>
      <w:tblPr>
        <w:tblW w:w="14333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2625"/>
        <w:gridCol w:w="901"/>
        <w:gridCol w:w="1369"/>
        <w:gridCol w:w="1459"/>
        <w:gridCol w:w="1135"/>
        <w:gridCol w:w="1479"/>
        <w:gridCol w:w="1360"/>
        <w:gridCol w:w="1415"/>
        <w:gridCol w:w="1366"/>
        <w:gridCol w:w="1224"/>
      </w:tblGrid>
      <w:tr w:rsidR="00BC21BD">
        <w:trPr>
          <w:trHeight w:val="510"/>
        </w:trPr>
        <w:tc>
          <w:tcPr>
            <w:tcW w:w="2624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0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6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145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en-GB" w:bidi="ar-SA"/>
              </w:rPr>
              <w:t>Scandinavian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</w:t>
            </w:r>
          </w:p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Europe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</w:t>
            </w:r>
          </w:p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 Europe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</w:t>
            </w:r>
          </w:p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 Security</w:t>
            </w:r>
          </w:p>
        </w:tc>
        <w:tc>
          <w:tcPr>
            <w:tcW w:w="136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Social/Labour Insecurity</w:t>
            </w:r>
          </w:p>
        </w:tc>
        <w:tc>
          <w:tcPr>
            <w:tcW w:w="122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</w:t>
            </w:r>
          </w:p>
        </w:tc>
      </w:tr>
      <w:tr w:rsidR="00BC21BD">
        <w:trPr>
          <w:trHeight w:val="255"/>
        </w:trPr>
        <w:tc>
          <w:tcPr>
            <w:tcW w:w="262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Edentulism*</w:t>
            </w:r>
          </w:p>
        </w:tc>
        <w:tc>
          <w:tcPr>
            <w:tcW w:w="900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8.1%</w:t>
            </w:r>
          </w:p>
        </w:tc>
        <w:tc>
          <w:tcPr>
            <w:tcW w:w="14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4.7%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7.4%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7.0%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8.4%</w:t>
            </w:r>
          </w:p>
        </w:tc>
        <w:tc>
          <w:tcPr>
            <w:tcW w:w="141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7.8%</w:t>
            </w:r>
          </w:p>
        </w:tc>
        <w:tc>
          <w:tcPr>
            <w:tcW w:w="136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0.8%</w:t>
            </w:r>
          </w:p>
        </w:tc>
        <w:tc>
          <w:tcPr>
            <w:tcW w:w="122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7.3%</w:t>
            </w:r>
          </w:p>
        </w:tc>
      </w:tr>
      <w:tr w:rsidR="00BC21BD">
        <w:trPr>
          <w:trHeight w:val="255"/>
        </w:trPr>
        <w:tc>
          <w:tcPr>
            <w:tcW w:w="2624" w:type="dxa"/>
            <w:shd w:val="clear" w:color="auto" w:fill="999999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number of countries (n)</w:t>
            </w:r>
          </w:p>
        </w:tc>
        <w:tc>
          <w:tcPr>
            <w:tcW w:w="900" w:type="dxa"/>
            <w:shd w:val="clear" w:color="auto" w:fill="999999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6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</w:t>
            </w:r>
          </w:p>
        </w:tc>
        <w:tc>
          <w:tcPr>
            <w:tcW w:w="145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</w:t>
            </w:r>
          </w:p>
        </w:tc>
        <w:tc>
          <w:tcPr>
            <w:tcW w:w="113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</w:t>
            </w:r>
          </w:p>
        </w:tc>
        <w:tc>
          <w:tcPr>
            <w:tcW w:w="147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</w:t>
            </w:r>
          </w:p>
        </w:tc>
        <w:tc>
          <w:tcPr>
            <w:tcW w:w="136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12</w:t>
            </w:r>
          </w:p>
        </w:tc>
        <w:tc>
          <w:tcPr>
            <w:tcW w:w="141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</w:t>
            </w:r>
          </w:p>
        </w:tc>
        <w:tc>
          <w:tcPr>
            <w:tcW w:w="1366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</w:t>
            </w:r>
          </w:p>
        </w:tc>
        <w:tc>
          <w:tcPr>
            <w:tcW w:w="1224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40</w:t>
            </w:r>
          </w:p>
        </w:tc>
      </w:tr>
      <w:tr w:rsidR="00BC21BD">
        <w:trPr>
          <w:trHeight w:val="255"/>
        </w:trPr>
        <w:tc>
          <w:tcPr>
            <w:tcW w:w="262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 GNI per capita (US$)</w:t>
            </w:r>
          </w:p>
        </w:tc>
        <w:tc>
          <w:tcPr>
            <w:tcW w:w="90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</w:t>
            </w:r>
          </w:p>
        </w:tc>
        <w:tc>
          <w:tcPr>
            <w:tcW w:w="136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56 407</w:t>
            </w:r>
          </w:p>
        </w:tc>
        <w:tc>
          <w:tcPr>
            <w:tcW w:w="14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50 863</w:t>
            </w:r>
          </w:p>
        </w:tc>
        <w:tc>
          <w:tcPr>
            <w:tcW w:w="113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49 642</w:t>
            </w:r>
          </w:p>
        </w:tc>
        <w:tc>
          <w:tcPr>
            <w:tcW w:w="14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29 261</w:t>
            </w:r>
          </w:p>
        </w:tc>
        <w:tc>
          <w:tcPr>
            <w:tcW w:w="136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13 295</w:t>
            </w:r>
          </w:p>
        </w:tc>
        <w:tc>
          <w:tcPr>
            <w:tcW w:w="141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9 968</w:t>
            </w:r>
          </w:p>
        </w:tc>
        <w:tc>
          <w:tcPr>
            <w:tcW w:w="136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886</w:t>
            </w:r>
          </w:p>
        </w:tc>
        <w:tc>
          <w:tcPr>
            <w:tcW w:w="122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27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 166</w:t>
            </w:r>
          </w:p>
        </w:tc>
      </w:tr>
      <w:tr w:rsidR="00BC21BD">
        <w:trPr>
          <w:trHeight w:val="255"/>
        </w:trPr>
        <w:tc>
          <w:tcPr>
            <w:tcW w:w="2624" w:type="dxa"/>
            <w:vMerge/>
            <w:vAlign w:val="center"/>
          </w:tcPr>
          <w:p w:rsidR="00BC21BD" w:rsidRDefault="00BC21BD"/>
        </w:tc>
        <w:tc>
          <w:tcPr>
            <w:tcW w:w="90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sd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)</w:t>
            </w:r>
          </w:p>
        </w:tc>
        <w:tc>
          <w:tcPr>
            <w:tcW w:w="136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(26308.3)</w:t>
            </w:r>
          </w:p>
        </w:tc>
        <w:tc>
          <w:tcPr>
            <w:tcW w:w="14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(6327.1)</w:t>
            </w:r>
          </w:p>
        </w:tc>
        <w:tc>
          <w:tcPr>
            <w:tcW w:w="113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(9815.9)</w:t>
            </w:r>
          </w:p>
        </w:tc>
        <w:tc>
          <w:tcPr>
            <w:tcW w:w="14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(6075.4)</w:t>
            </w:r>
          </w:p>
        </w:tc>
        <w:tc>
          <w:tcPr>
            <w:tcW w:w="136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(5515.9)</w:t>
            </w:r>
          </w:p>
        </w:tc>
        <w:tc>
          <w:tcPr>
            <w:tcW w:w="141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(3459.8)</w:t>
            </w:r>
          </w:p>
        </w:tc>
        <w:tc>
          <w:tcPr>
            <w:tcW w:w="136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(223.1)</w:t>
            </w:r>
          </w:p>
        </w:tc>
        <w:tc>
          <w:tcPr>
            <w:tcW w:w="122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(22165.3)</w:t>
            </w:r>
          </w:p>
        </w:tc>
      </w:tr>
      <w:tr w:rsidR="00BC21BD">
        <w:trPr>
          <w:trHeight w:val="255"/>
        </w:trPr>
        <w:tc>
          <w:tcPr>
            <w:tcW w:w="2624" w:type="dxa"/>
            <w:vMerge w:val="restart"/>
            <w:shd w:val="clear" w:color="auto" w:fill="999999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Sugar &amp; Sweetener supply (Kg/capita/year)</w:t>
            </w:r>
          </w:p>
        </w:tc>
        <w:tc>
          <w:tcPr>
            <w:tcW w:w="90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</w:t>
            </w:r>
          </w:p>
        </w:tc>
        <w:tc>
          <w:tcPr>
            <w:tcW w:w="136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69.9</w:t>
            </w:r>
          </w:p>
        </w:tc>
        <w:tc>
          <w:tcPr>
            <w:tcW w:w="145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49.0</w:t>
            </w:r>
          </w:p>
        </w:tc>
        <w:tc>
          <w:tcPr>
            <w:tcW w:w="113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61.8</w:t>
            </w:r>
          </w:p>
        </w:tc>
        <w:tc>
          <w:tcPr>
            <w:tcW w:w="147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47.2</w:t>
            </w:r>
          </w:p>
        </w:tc>
        <w:tc>
          <w:tcPr>
            <w:tcW w:w="136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52.2</w:t>
            </w:r>
          </w:p>
        </w:tc>
        <w:tc>
          <w:tcPr>
            <w:tcW w:w="141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44.2</w:t>
            </w:r>
          </w:p>
        </w:tc>
        <w:tc>
          <w:tcPr>
            <w:tcW w:w="1366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11.3</w:t>
            </w:r>
          </w:p>
        </w:tc>
        <w:tc>
          <w:tcPr>
            <w:tcW w:w="1224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52.7</w:t>
            </w:r>
          </w:p>
        </w:tc>
      </w:tr>
      <w:tr w:rsidR="00BC21BD">
        <w:trPr>
          <w:trHeight w:val="255"/>
        </w:trPr>
        <w:tc>
          <w:tcPr>
            <w:tcW w:w="2624" w:type="dxa"/>
            <w:vMerge/>
            <w:vAlign w:val="center"/>
          </w:tcPr>
          <w:p w:rsidR="00BC21BD" w:rsidRDefault="00BC21BD"/>
        </w:tc>
        <w:tc>
          <w:tcPr>
            <w:tcW w:w="90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sd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)</w:t>
            </w:r>
          </w:p>
        </w:tc>
        <w:tc>
          <w:tcPr>
            <w:tcW w:w="136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(46.9)</w:t>
            </w:r>
          </w:p>
        </w:tc>
        <w:tc>
          <w:tcPr>
            <w:tcW w:w="145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(8.0)</w:t>
            </w:r>
          </w:p>
        </w:tc>
        <w:tc>
          <w:tcPr>
            <w:tcW w:w="113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(20.2)</w:t>
            </w:r>
          </w:p>
        </w:tc>
        <w:tc>
          <w:tcPr>
            <w:tcW w:w="147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(21.6)</w:t>
            </w:r>
          </w:p>
        </w:tc>
        <w:tc>
          <w:tcPr>
            <w:tcW w:w="136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(16.8)</w:t>
            </w:r>
          </w:p>
        </w:tc>
        <w:tc>
          <w:tcPr>
            <w:tcW w:w="141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(12.7)</w:t>
            </w:r>
          </w:p>
        </w:tc>
        <w:tc>
          <w:tcPr>
            <w:tcW w:w="1366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(3.7)</w:t>
            </w:r>
          </w:p>
        </w:tc>
        <w:tc>
          <w:tcPr>
            <w:tcW w:w="1224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(27.4)</w:t>
            </w:r>
          </w:p>
        </w:tc>
      </w:tr>
      <w:tr w:rsidR="00BC21BD">
        <w:trPr>
          <w:trHeight w:val="255"/>
        </w:trPr>
        <w:tc>
          <w:tcPr>
            <w:tcW w:w="262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Gini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coefficient, 2007-2018** (range: 0-100)</w:t>
            </w:r>
          </w:p>
        </w:tc>
        <w:tc>
          <w:tcPr>
            <w:tcW w:w="90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</w:t>
            </w:r>
          </w:p>
        </w:tc>
        <w:tc>
          <w:tcPr>
            <w:tcW w:w="136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30.5</w:t>
            </w:r>
          </w:p>
        </w:tc>
        <w:tc>
          <w:tcPr>
            <w:tcW w:w="14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27.8</w:t>
            </w:r>
          </w:p>
        </w:tc>
        <w:tc>
          <w:tcPr>
            <w:tcW w:w="113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35.6</w:t>
            </w:r>
          </w:p>
        </w:tc>
        <w:tc>
          <w:tcPr>
            <w:tcW w:w="14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33.7</w:t>
            </w:r>
          </w:p>
        </w:tc>
        <w:tc>
          <w:tcPr>
            <w:tcW w:w="136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32.0</w:t>
            </w:r>
          </w:p>
        </w:tc>
        <w:tc>
          <w:tcPr>
            <w:tcW w:w="141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45.0</w:t>
            </w:r>
          </w:p>
        </w:tc>
        <w:tc>
          <w:tcPr>
            <w:tcW w:w="136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31.3</w:t>
            </w:r>
          </w:p>
        </w:tc>
        <w:tc>
          <w:tcPr>
            <w:tcW w:w="122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34.6</w:t>
            </w:r>
          </w:p>
        </w:tc>
      </w:tr>
      <w:tr w:rsidR="00BC21BD">
        <w:trPr>
          <w:trHeight w:val="255"/>
        </w:trPr>
        <w:tc>
          <w:tcPr>
            <w:tcW w:w="2624" w:type="dxa"/>
            <w:vMerge/>
            <w:vAlign w:val="center"/>
          </w:tcPr>
          <w:p w:rsidR="00BC21BD" w:rsidRDefault="00BC21BD"/>
        </w:tc>
        <w:tc>
          <w:tcPr>
            <w:tcW w:w="90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sd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)</w:t>
            </w:r>
          </w:p>
        </w:tc>
        <w:tc>
          <w:tcPr>
            <w:tcW w:w="136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(2.0)</w:t>
            </w:r>
          </w:p>
        </w:tc>
        <w:tc>
          <w:tcPr>
            <w:tcW w:w="14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(0.5)</w:t>
            </w:r>
          </w:p>
        </w:tc>
        <w:tc>
          <w:tcPr>
            <w:tcW w:w="113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(4.7)</w:t>
            </w:r>
          </w:p>
        </w:tc>
        <w:tc>
          <w:tcPr>
            <w:tcW w:w="14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(2.4)</w:t>
            </w:r>
          </w:p>
        </w:tc>
        <w:tc>
          <w:tcPr>
            <w:tcW w:w="136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(4.5)</w:t>
            </w:r>
          </w:p>
        </w:tc>
        <w:tc>
          <w:tcPr>
            <w:tcW w:w="141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(6.1)</w:t>
            </w:r>
          </w:p>
        </w:tc>
        <w:tc>
          <w:tcPr>
            <w:tcW w:w="136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(3.8)</w:t>
            </w:r>
          </w:p>
        </w:tc>
        <w:tc>
          <w:tcPr>
            <w:tcW w:w="122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(6.7)</w:t>
            </w:r>
          </w:p>
        </w:tc>
      </w:tr>
      <w:tr w:rsidR="00BC21BD">
        <w:trPr>
          <w:trHeight w:val="255"/>
        </w:trPr>
        <w:tc>
          <w:tcPr>
            <w:tcW w:w="2624" w:type="dxa"/>
            <w:vMerge w:val="restart"/>
            <w:shd w:val="clear" w:color="auto" w:fill="999999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Urbanisation</w:t>
            </w:r>
          </w:p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(% urban residents)</w:t>
            </w:r>
          </w:p>
        </w:tc>
        <w:tc>
          <w:tcPr>
            <w:tcW w:w="90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</w:t>
            </w:r>
          </w:p>
        </w:tc>
        <w:tc>
          <w:tcPr>
            <w:tcW w:w="136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81.6</w:t>
            </w:r>
          </w:p>
        </w:tc>
        <w:tc>
          <w:tcPr>
            <w:tcW w:w="145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85.8</w:t>
            </w:r>
          </w:p>
        </w:tc>
        <w:tc>
          <w:tcPr>
            <w:tcW w:w="113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75.1</w:t>
            </w:r>
          </w:p>
        </w:tc>
        <w:tc>
          <w:tcPr>
            <w:tcW w:w="147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74.8</w:t>
            </w:r>
          </w:p>
        </w:tc>
        <w:tc>
          <w:tcPr>
            <w:tcW w:w="136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62.9</w:t>
            </w:r>
          </w:p>
        </w:tc>
        <w:tc>
          <w:tcPr>
            <w:tcW w:w="141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76.5</w:t>
            </w:r>
          </w:p>
        </w:tc>
        <w:tc>
          <w:tcPr>
            <w:tcW w:w="1366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34.7</w:t>
            </w:r>
          </w:p>
        </w:tc>
        <w:tc>
          <w:tcPr>
            <w:tcW w:w="1224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71.8</w:t>
            </w:r>
          </w:p>
        </w:tc>
      </w:tr>
      <w:tr w:rsidR="00BC21BD">
        <w:trPr>
          <w:trHeight w:val="255"/>
        </w:trPr>
        <w:tc>
          <w:tcPr>
            <w:tcW w:w="2624" w:type="dxa"/>
            <w:vMerge/>
            <w:vAlign w:val="center"/>
          </w:tcPr>
          <w:p w:rsidR="00BC21BD" w:rsidRDefault="00BC21BD"/>
        </w:tc>
        <w:tc>
          <w:tcPr>
            <w:tcW w:w="90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sd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)</w:t>
            </w:r>
          </w:p>
        </w:tc>
        <w:tc>
          <w:tcPr>
            <w:tcW w:w="136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(13.9)</w:t>
            </w:r>
          </w:p>
        </w:tc>
        <w:tc>
          <w:tcPr>
            <w:tcW w:w="145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(1.3)</w:t>
            </w:r>
          </w:p>
        </w:tc>
        <w:tc>
          <w:tcPr>
            <w:tcW w:w="113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(11.3)</w:t>
            </w:r>
          </w:p>
        </w:tc>
        <w:tc>
          <w:tcPr>
            <w:tcW w:w="1479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(11.4)</w:t>
            </w:r>
          </w:p>
        </w:tc>
        <w:tc>
          <w:tcPr>
            <w:tcW w:w="1360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(7.8)</w:t>
            </w:r>
          </w:p>
        </w:tc>
        <w:tc>
          <w:tcPr>
            <w:tcW w:w="1415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(13.8)</w:t>
            </w:r>
          </w:p>
        </w:tc>
        <w:tc>
          <w:tcPr>
            <w:tcW w:w="1366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(25.0)</w:t>
            </w:r>
          </w:p>
        </w:tc>
        <w:tc>
          <w:tcPr>
            <w:tcW w:w="1224" w:type="dxa"/>
            <w:shd w:val="clear" w:color="auto" w:fill="999999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(15.7)</w:t>
            </w:r>
          </w:p>
        </w:tc>
      </w:tr>
      <w:tr w:rsidR="00BC21BD">
        <w:trPr>
          <w:trHeight w:val="255"/>
        </w:trPr>
        <w:tc>
          <w:tcPr>
            <w:tcW w:w="262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Ratio of Dentist per 10 thousand inhabitants***</w:t>
            </w:r>
          </w:p>
        </w:tc>
        <w:tc>
          <w:tcPr>
            <w:tcW w:w="90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Mean</w:t>
            </w:r>
          </w:p>
        </w:tc>
        <w:tc>
          <w:tcPr>
            <w:tcW w:w="136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8.0</w:t>
            </w:r>
          </w:p>
        </w:tc>
        <w:tc>
          <w:tcPr>
            <w:tcW w:w="14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7.9</w:t>
            </w:r>
          </w:p>
        </w:tc>
        <w:tc>
          <w:tcPr>
            <w:tcW w:w="113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6.0</w:t>
            </w:r>
          </w:p>
        </w:tc>
        <w:tc>
          <w:tcPr>
            <w:tcW w:w="14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8.6</w:t>
            </w:r>
          </w:p>
        </w:tc>
        <w:tc>
          <w:tcPr>
            <w:tcW w:w="136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8.3</w:t>
            </w:r>
          </w:p>
        </w:tc>
        <w:tc>
          <w:tcPr>
            <w:tcW w:w="141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</w:t>
            </w:r>
          </w:p>
        </w:tc>
        <w:tc>
          <w:tcPr>
            <w:tcW w:w="136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</w:t>
            </w:r>
          </w:p>
        </w:tc>
        <w:tc>
          <w:tcPr>
            <w:tcW w:w="122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7.2</w:t>
            </w:r>
          </w:p>
        </w:tc>
      </w:tr>
      <w:tr w:rsidR="00BC21BD">
        <w:trPr>
          <w:trHeight w:val="255"/>
        </w:trPr>
        <w:tc>
          <w:tcPr>
            <w:tcW w:w="2624" w:type="dxa"/>
            <w:vMerge/>
            <w:vAlign w:val="bottom"/>
          </w:tcPr>
          <w:p w:rsidR="00BC21BD" w:rsidRDefault="00BC21BD"/>
        </w:tc>
        <w:tc>
          <w:tcPr>
            <w:tcW w:w="90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</w:t>
            </w:r>
            <w:proofErr w:type="spellStart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sd</w:t>
            </w:r>
            <w:proofErr w:type="spellEnd"/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)</w:t>
            </w:r>
          </w:p>
        </w:tc>
        <w:tc>
          <w:tcPr>
            <w:tcW w:w="13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(2.0)</w:t>
            </w:r>
          </w:p>
        </w:tc>
        <w:tc>
          <w:tcPr>
            <w:tcW w:w="14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(0.4)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(0.6)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(2.5)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(2.9)</w:t>
            </w:r>
          </w:p>
        </w:tc>
        <w:tc>
          <w:tcPr>
            <w:tcW w:w="141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(5.5)</w:t>
            </w:r>
          </w:p>
        </w:tc>
        <w:tc>
          <w:tcPr>
            <w:tcW w:w="136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(0.1)</w:t>
            </w:r>
          </w:p>
        </w:tc>
        <w:tc>
          <w:tcPr>
            <w:tcW w:w="122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(3.5)</w:t>
            </w:r>
          </w:p>
        </w:tc>
      </w:tr>
    </w:tbl>
    <w:p w:rsidR="00BC21BD" w:rsidRDefault="00EE07BD">
      <w:pPr>
        <w:rPr>
          <w:rFonts w:ascii="Arial" w:eastAsia="Liberation Serif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t xml:space="preserve">* </w:t>
      </w:r>
      <w:r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  <w:t>Weighted prevalence</w:t>
      </w:r>
    </w:p>
    <w:p w:rsidR="00BC21BD" w:rsidRDefault="00EE07BD">
      <w:pPr>
        <w:rPr>
          <w:rFonts w:ascii="Arial" w:eastAsia="Times New Roman" w:hAnsi="Arial" w:cs="Arial"/>
          <w:sz w:val="20"/>
          <w:szCs w:val="20"/>
          <w:lang w:eastAsia="en-GB" w:bidi="ar-SA"/>
        </w:rPr>
      </w:pPr>
      <w:r>
        <w:rPr>
          <w:rFonts w:ascii="Arial" w:eastAsia="Times New Roman" w:hAnsi="Arial" w:cs="Arial"/>
          <w:sz w:val="20"/>
          <w:szCs w:val="20"/>
          <w:lang w:eastAsia="en-GB" w:bidi="ar-SA"/>
        </w:rPr>
        <w:t>** Data available from the World Bank database</w:t>
      </w:r>
    </w:p>
    <w:p w:rsidR="00BC21BD" w:rsidRDefault="00EE07BD">
      <w:pPr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en-GB" w:bidi="ar-SA"/>
        </w:rPr>
        <w:t xml:space="preserve">*** Data obtained from the </w:t>
      </w:r>
      <w:r>
        <w:rPr>
          <w:rFonts w:ascii="Arial" w:eastAsia="Times New Roman" w:hAnsi="Arial" w:cs="Arial"/>
          <w:sz w:val="20"/>
          <w:szCs w:val="20"/>
        </w:rPr>
        <w:t>World Health Organization. Global oral health status report: towards universal health coverage for oral health by 2030. Geneva, 2022 https://www.who.int/publications/i/item/9789240061484 (accessed Nov 23, 2023).</w:t>
      </w:r>
    </w:p>
    <w:p w:rsidR="00BC21BD" w:rsidRDefault="00BC21BD">
      <w:pPr>
        <w:rPr>
          <w:rFonts w:ascii="Arial" w:eastAsia="Times New Roman" w:hAnsi="Arial" w:cs="Arial"/>
          <w:sz w:val="20"/>
          <w:szCs w:val="20"/>
          <w:lang w:eastAsia="en-GB" w:bidi="ar-SA"/>
        </w:rPr>
      </w:pP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EE07BD">
      <w:pPr>
        <w:rPr>
          <w:rFonts w:ascii="Arial" w:eastAsia="Liberation Serif" w:hAnsi="Arial" w:cs="Arial"/>
          <w:sz w:val="20"/>
          <w:szCs w:val="20"/>
        </w:rPr>
        <w:sectPr w:rsidR="00BC21BD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6838" w:h="11906" w:orient="landscape"/>
          <w:pgMar w:top="1134" w:right="1134" w:bottom="1134" w:left="1134" w:header="0" w:footer="0" w:gutter="0"/>
          <w:cols w:space="720"/>
          <w:formProt w:val="0"/>
          <w:docGrid w:linePitch="100"/>
        </w:sectPr>
      </w:pPr>
      <w:r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  <w:t xml:space="preserve"> </w:t>
      </w: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EE07BD">
      <w:pPr>
        <w:jc w:val="both"/>
        <w:rPr>
          <w:rFonts w:ascii="Arial" w:eastAsia="Liberation Serif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t xml:space="preserve">Supplementary Table 2 – Weighted age-adjusted prevalence of edentulism using the direct method of standardisation </w:t>
      </w:r>
      <w:r>
        <w:rPr>
          <w:rFonts w:ascii="Arial" w:eastAsia="Liberation Serif" w:hAnsi="Arial" w:cs="Arial"/>
          <w:sz w:val="20"/>
          <w:szCs w:val="20"/>
        </w:rPr>
        <w:t>according to welfare regimes and wealth quintiles among adult population 20 years and over in 40 countries.</w:t>
      </w:r>
    </w:p>
    <w:tbl>
      <w:tblPr>
        <w:tblW w:w="9923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1685"/>
        <w:gridCol w:w="947"/>
        <w:gridCol w:w="1107"/>
        <w:gridCol w:w="1233"/>
        <w:gridCol w:w="1088"/>
        <w:gridCol w:w="1239"/>
        <w:gridCol w:w="1232"/>
        <w:gridCol w:w="1392"/>
      </w:tblGrid>
      <w:tr w:rsidR="00BC21BD">
        <w:trPr>
          <w:trHeight w:val="270"/>
        </w:trPr>
        <w:tc>
          <w:tcPr>
            <w:tcW w:w="1684" w:type="dxa"/>
            <w:tcBorders>
              <w:top w:val="single" w:sz="4" w:space="0" w:color="000000"/>
            </w:tcBorders>
            <w:vAlign w:val="center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46" w:type="dxa"/>
            <w:tcBorders>
              <w:top w:val="single" w:sz="4" w:space="0" w:color="000000"/>
            </w:tcBorders>
            <w:vAlign w:val="center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5899" w:type="dxa"/>
            <w:gridSpan w:val="5"/>
            <w:tcBorders>
              <w:top w:val="single" w:sz="4" w:space="0" w:color="000000"/>
              <w:bottom w:val="single" w:sz="8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Quintiles of Wealth Score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sample</w:t>
            </w:r>
          </w:p>
        </w:tc>
      </w:tr>
      <w:tr w:rsidR="00BC21BD">
        <w:trPr>
          <w:trHeight w:val="315"/>
        </w:trPr>
        <w:tc>
          <w:tcPr>
            <w:tcW w:w="1684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46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07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Wealthiest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Fourth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Middle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Second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Poorest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center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946" w:type="dxa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11.2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4.1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12.6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10.9</w:t>
            </w:r>
          </w:p>
        </w:tc>
        <w:tc>
          <w:tcPr>
            <w:tcW w:w="1232" w:type="dxa"/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20.4</w:t>
            </w:r>
          </w:p>
        </w:tc>
        <w:tc>
          <w:tcPr>
            <w:tcW w:w="1392" w:type="dxa"/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15.0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(5.4,21.9)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(1.8,9.0)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(7.9,19.5)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(8.3,14.2)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(17.3,23.9)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(13.0,17.1)</w:t>
            </w: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 Europe</w:t>
            </w:r>
          </w:p>
        </w:tc>
        <w:tc>
          <w:tcPr>
            <w:tcW w:w="946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13.5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16.7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11.7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16.2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21.6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18.5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(4.7,32.9)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(12.9,21.3)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(7.4,17.8)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(13.9,18.7)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(19.6,23.7)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(17.0,20.1)</w:t>
            </w: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 Security: Liberal</w:t>
            </w:r>
          </w:p>
        </w:tc>
        <w:tc>
          <w:tcPr>
            <w:tcW w:w="946" w:type="dxa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11.5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15.4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10.7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19.9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16.2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16.4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(7.1,18.0)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(10.7,21.7)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(8.9,12.8)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(16.6,23.7)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(14.2,18.5)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(14.9,18.0)</w:t>
            </w:r>
          </w:p>
        </w:tc>
      </w:tr>
      <w:tr w:rsidR="00BC21BD">
        <w:trPr>
          <w:trHeight w:val="255"/>
        </w:trPr>
        <w:tc>
          <w:tcPr>
            <w:tcW w:w="1684" w:type="dxa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Insecurity:</w:t>
            </w:r>
          </w:p>
        </w:tc>
        <w:tc>
          <w:tcPr>
            <w:tcW w:w="946" w:type="dxa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1.9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1.5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1.70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1.9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1.50</w:t>
            </w:r>
          </w:p>
        </w:tc>
      </w:tr>
      <w:tr w:rsidR="00BC21BD">
        <w:trPr>
          <w:trHeight w:val="263"/>
        </w:trPr>
        <w:tc>
          <w:tcPr>
            <w:tcW w:w="1684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Social/Labour</w:t>
            </w:r>
          </w:p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(0.6,5.3)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(0.5,4.3)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(0.6,4.2)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(0.5,3.3)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(0.8,4.9)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(0.6,3.8)</w:t>
            </w: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946" w:type="dxa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5.2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9.2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16.6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25.9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14.8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(1.3,4.9)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(3.6,7.4)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(7.2,11.8)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(13.4,20.4)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(24.6,27.4)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(13.0,16.9)</w:t>
            </w: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Scandinavian</w:t>
            </w:r>
          </w:p>
        </w:tc>
        <w:tc>
          <w:tcPr>
            <w:tcW w:w="946" w:type="dxa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4.6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7.3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6.7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12.0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9.6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(0.4,4.4)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(1.8,11.3)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(2.8,18.1)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(3.9,11.4)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(9.8,14.8)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(7.2,12.5)</w:t>
            </w:r>
          </w:p>
        </w:tc>
      </w:tr>
      <w:tr w:rsidR="00BC21BD">
        <w:trPr>
          <w:trHeight w:val="255"/>
        </w:trPr>
        <w:tc>
          <w:tcPr>
            <w:tcW w:w="1684" w:type="dxa"/>
            <w:vMerge w:val="restart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 Europe</w:t>
            </w:r>
          </w:p>
        </w:tc>
        <w:tc>
          <w:tcPr>
            <w:tcW w:w="946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0.6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0.7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16.0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9.5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17.7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15.4</w:t>
            </w:r>
          </w:p>
        </w:tc>
      </w:tr>
      <w:tr w:rsidR="00BC21BD">
        <w:trPr>
          <w:trHeight w:val="255"/>
        </w:trPr>
        <w:tc>
          <w:tcPr>
            <w:tcW w:w="1684" w:type="dxa"/>
            <w:vMerge/>
            <w:vAlign w:val="center"/>
          </w:tcPr>
          <w:p w:rsidR="00BC21BD" w:rsidRDefault="00BC21BD"/>
        </w:tc>
        <w:tc>
          <w:tcPr>
            <w:tcW w:w="94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(0.2,2.6)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(0.3,1.8)</w:t>
            </w:r>
          </w:p>
        </w:tc>
        <w:tc>
          <w:tcPr>
            <w:tcW w:w="108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(9.2,26.5)</w:t>
            </w:r>
          </w:p>
        </w:tc>
        <w:tc>
          <w:tcPr>
            <w:tcW w:w="12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(5.7,15.3)</w:t>
            </w:r>
          </w:p>
        </w:tc>
        <w:tc>
          <w:tcPr>
            <w:tcW w:w="123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(15.2,20.4)</w:t>
            </w:r>
          </w:p>
        </w:tc>
        <w:tc>
          <w:tcPr>
            <w:tcW w:w="13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(13.6,17.4)</w:t>
            </w:r>
          </w:p>
        </w:tc>
      </w:tr>
      <w:tr w:rsidR="00BC21BD">
        <w:trPr>
          <w:trHeight w:val="255"/>
        </w:trPr>
        <w:tc>
          <w:tcPr>
            <w:tcW w:w="168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sample</w:t>
            </w:r>
          </w:p>
        </w:tc>
        <w:tc>
          <w:tcPr>
            <w:tcW w:w="946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%</w:t>
            </w:r>
          </w:p>
        </w:tc>
        <w:tc>
          <w:tcPr>
            <w:tcW w:w="1107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7.3</w:t>
            </w: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7.8</w:t>
            </w:r>
          </w:p>
        </w:tc>
        <w:tc>
          <w:tcPr>
            <w:tcW w:w="1088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10.7</w:t>
            </w:r>
          </w:p>
        </w:tc>
        <w:tc>
          <w:tcPr>
            <w:tcW w:w="123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13.8</w:t>
            </w:r>
          </w:p>
        </w:tc>
        <w:tc>
          <w:tcPr>
            <w:tcW w:w="123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18.9</w:t>
            </w:r>
          </w:p>
        </w:tc>
        <w:tc>
          <w:tcPr>
            <w:tcW w:w="139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15.4</w:t>
            </w:r>
          </w:p>
        </w:tc>
      </w:tr>
      <w:tr w:rsidR="00BC21BD">
        <w:trPr>
          <w:trHeight w:val="270"/>
        </w:trPr>
        <w:tc>
          <w:tcPr>
            <w:tcW w:w="1684" w:type="dxa"/>
            <w:tcBorders>
              <w:bottom w:val="single" w:sz="8" w:space="0" w:color="000000"/>
            </w:tcBorders>
            <w:vAlign w:val="center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46" w:type="dxa"/>
            <w:tcBorders>
              <w:bottom w:val="single" w:sz="8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(95%CI)</w:t>
            </w:r>
          </w:p>
        </w:tc>
        <w:tc>
          <w:tcPr>
            <w:tcW w:w="1107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(4.8,10.9)</w:t>
            </w:r>
          </w:p>
        </w:tc>
        <w:tc>
          <w:tcPr>
            <w:tcW w:w="1233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(5.9,10.3)</w:t>
            </w:r>
          </w:p>
        </w:tc>
        <w:tc>
          <w:tcPr>
            <w:tcW w:w="1088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(8.9,12.9)</w:t>
            </w:r>
          </w:p>
        </w:tc>
        <w:tc>
          <w:tcPr>
            <w:tcW w:w="1239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(12.3,15.5)</w:t>
            </w:r>
          </w:p>
        </w:tc>
        <w:tc>
          <w:tcPr>
            <w:tcW w:w="1232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(17.6,20.2)</w:t>
            </w:r>
          </w:p>
        </w:tc>
        <w:tc>
          <w:tcPr>
            <w:tcW w:w="1392" w:type="dxa"/>
            <w:tcBorders>
              <w:bottom w:val="single" w:sz="8" w:space="0" w:color="000000"/>
            </w:tcBorders>
            <w:vAlign w:val="bottom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(14.4,16.5)</w:t>
            </w:r>
          </w:p>
        </w:tc>
      </w:tr>
    </w:tbl>
    <w:p w:rsidR="00BC21BD" w:rsidRDefault="00BC21BD">
      <w:pPr>
        <w:sectPr w:rsidR="00BC21BD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6" w:h="16838"/>
          <w:pgMar w:top="1134" w:right="1134" w:bottom="1134" w:left="1134" w:header="0" w:footer="0" w:gutter="0"/>
          <w:cols w:space="720"/>
          <w:formProt w:val="0"/>
          <w:docGrid w:linePitch="326"/>
        </w:sectPr>
      </w:pPr>
    </w:p>
    <w:p w:rsidR="00BC21BD" w:rsidRDefault="00BC21BD">
      <w:pPr>
        <w:rPr>
          <w:rFonts w:ascii="Arial" w:hAnsi="Arial" w:cs="Arial"/>
          <w:sz w:val="20"/>
          <w:szCs w:val="20"/>
        </w:rPr>
      </w:pPr>
    </w:p>
    <w:p w:rsidR="00BC21BD" w:rsidRDefault="00EE07BD">
      <w:pPr>
        <w:rPr>
          <w:rFonts w:ascii="Arial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t>Supplementary Table 3</w:t>
      </w:r>
      <w:r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eastAsia="Liberation Serif" w:hAnsi="Arial" w:cs="Arial"/>
          <w:sz w:val="20"/>
          <w:szCs w:val="20"/>
        </w:rPr>
        <w:t>Estimates of the odds ratio (OR) of wealth score (quintiles) on edentulism by welfare regimes using IPTW.</w:t>
      </w:r>
    </w:p>
    <w:tbl>
      <w:tblPr>
        <w:tblW w:w="15072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1277"/>
        <w:gridCol w:w="1701"/>
        <w:gridCol w:w="1702"/>
        <w:gridCol w:w="2589"/>
        <w:gridCol w:w="1804"/>
        <w:gridCol w:w="1985"/>
        <w:gridCol w:w="2092"/>
        <w:gridCol w:w="1922"/>
      </w:tblGrid>
      <w:tr w:rsidR="00BC21BD">
        <w:trPr>
          <w:trHeight w:val="285"/>
        </w:trPr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:rsidR="00BC21BD" w:rsidRDefault="00BC21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en-GB"/>
              </w:rPr>
              <w:t>Corporative</w:t>
            </w:r>
          </w:p>
        </w:tc>
        <w:tc>
          <w:tcPr>
            <w:tcW w:w="1702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East Europe</w:t>
            </w:r>
          </w:p>
        </w:tc>
        <w:tc>
          <w:tcPr>
            <w:tcW w:w="2589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Informal security: liberal</w:t>
            </w:r>
          </w:p>
        </w:tc>
        <w:tc>
          <w:tcPr>
            <w:tcW w:w="1804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Insecurity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Liberal</w:t>
            </w:r>
          </w:p>
        </w:tc>
        <w:tc>
          <w:tcPr>
            <w:tcW w:w="2092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  <w:lang w:eastAsia="en-GB"/>
              </w:rPr>
              <w:t>Scandinavian</w:t>
            </w:r>
          </w:p>
        </w:tc>
        <w:tc>
          <w:tcPr>
            <w:tcW w:w="1922" w:type="dxa"/>
            <w:tcBorders>
              <w:top w:val="single" w:sz="4" w:space="0" w:color="000000"/>
            </w:tcBorders>
            <w:shd w:val="clear" w:color="auto" w:fill="BFBFBF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Southern Europe</w:t>
            </w:r>
          </w:p>
        </w:tc>
      </w:tr>
      <w:tr w:rsidR="00BC21BD">
        <w:trPr>
          <w:trHeight w:val="285"/>
        </w:trPr>
        <w:tc>
          <w:tcPr>
            <w:tcW w:w="127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n-GB"/>
              </w:rPr>
              <w:t>Wealth quintiles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OR (95%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CI)</w:t>
            </w:r>
          </w:p>
        </w:tc>
        <w:tc>
          <w:tcPr>
            <w:tcW w:w="1702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  <w:tc>
          <w:tcPr>
            <w:tcW w:w="2589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  <w:tc>
          <w:tcPr>
            <w:tcW w:w="1804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  <w:tc>
          <w:tcPr>
            <w:tcW w:w="2092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  <w:tc>
          <w:tcPr>
            <w:tcW w:w="1922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 (95% CI)</w:t>
            </w:r>
          </w:p>
        </w:tc>
      </w:tr>
      <w:tr w:rsidR="00BC21BD">
        <w:trPr>
          <w:trHeight w:val="285"/>
        </w:trPr>
        <w:tc>
          <w:tcPr>
            <w:tcW w:w="1276" w:type="dxa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Wealthiest</w:t>
            </w:r>
          </w:p>
        </w:tc>
        <w:tc>
          <w:tcPr>
            <w:tcW w:w="1700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702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2589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804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985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2092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922" w:type="dxa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</w:p>
        </w:tc>
      </w:tr>
      <w:tr w:rsidR="00BC21BD">
        <w:trPr>
          <w:trHeight w:val="285"/>
        </w:trPr>
        <w:tc>
          <w:tcPr>
            <w:tcW w:w="1276" w:type="dxa"/>
            <w:vAlign w:val="center"/>
          </w:tcPr>
          <w:p w:rsidR="00BC21BD" w:rsidRDefault="00EE07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Fourth</w:t>
            </w:r>
          </w:p>
        </w:tc>
        <w:tc>
          <w:tcPr>
            <w:tcW w:w="17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val="en-SG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0.80 (0.49, 1.32)</w:t>
            </w:r>
          </w:p>
        </w:tc>
        <w:tc>
          <w:tcPr>
            <w:tcW w:w="170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1.24 (0.85, 1.82)</w:t>
            </w:r>
          </w:p>
        </w:tc>
        <w:tc>
          <w:tcPr>
            <w:tcW w:w="25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2.80 (2.55, 3.06)</w:t>
            </w:r>
          </w:p>
        </w:tc>
        <w:tc>
          <w:tcPr>
            <w:tcW w:w="1804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1.09 (0.71, 1.66)</w:t>
            </w:r>
          </w:p>
        </w:tc>
        <w:tc>
          <w:tcPr>
            <w:tcW w:w="198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3.62 (2.46, 5.33)</w:t>
            </w:r>
          </w:p>
        </w:tc>
        <w:tc>
          <w:tcPr>
            <w:tcW w:w="209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1.76 (0.75, 4.13)</w:t>
            </w:r>
          </w:p>
        </w:tc>
        <w:tc>
          <w:tcPr>
            <w:tcW w:w="192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1.36 (0.41, 4.48)</w:t>
            </w:r>
          </w:p>
        </w:tc>
      </w:tr>
      <w:tr w:rsidR="00BC21BD">
        <w:trPr>
          <w:trHeight w:val="285"/>
        </w:trPr>
        <w:tc>
          <w:tcPr>
            <w:tcW w:w="1276" w:type="dxa"/>
            <w:vAlign w:val="center"/>
          </w:tcPr>
          <w:p w:rsidR="00BC21BD" w:rsidRDefault="00EE07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Middle</w:t>
            </w:r>
          </w:p>
        </w:tc>
        <w:tc>
          <w:tcPr>
            <w:tcW w:w="17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1.33 (0.84,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2.09)</w:t>
            </w:r>
          </w:p>
        </w:tc>
        <w:tc>
          <w:tcPr>
            <w:tcW w:w="170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3.18 (2.29, 4.43)</w:t>
            </w:r>
          </w:p>
        </w:tc>
        <w:tc>
          <w:tcPr>
            <w:tcW w:w="25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2.47 (2.25, 2.72)</w:t>
            </w:r>
          </w:p>
        </w:tc>
        <w:tc>
          <w:tcPr>
            <w:tcW w:w="1804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0.92 (0.59, 1.44)</w:t>
            </w:r>
          </w:p>
        </w:tc>
        <w:tc>
          <w:tcPr>
            <w:tcW w:w="198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6.54 (4.52, 9.47)</w:t>
            </w:r>
          </w:p>
        </w:tc>
        <w:tc>
          <w:tcPr>
            <w:tcW w:w="209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1.67 (0.74, 3.74)</w:t>
            </w:r>
          </w:p>
        </w:tc>
        <w:tc>
          <w:tcPr>
            <w:tcW w:w="192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7.41 (2.83, 19.39)</w:t>
            </w:r>
          </w:p>
        </w:tc>
      </w:tr>
      <w:tr w:rsidR="00BC21BD">
        <w:trPr>
          <w:trHeight w:val="285"/>
        </w:trPr>
        <w:tc>
          <w:tcPr>
            <w:tcW w:w="1276" w:type="dxa"/>
            <w:vAlign w:val="center"/>
          </w:tcPr>
          <w:p w:rsidR="00BC21BD" w:rsidRDefault="00EE07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Second</w:t>
            </w:r>
          </w:p>
        </w:tc>
        <w:tc>
          <w:tcPr>
            <w:tcW w:w="17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1.95 (1.28, 2.98)</w:t>
            </w:r>
          </w:p>
        </w:tc>
        <w:tc>
          <w:tcPr>
            <w:tcW w:w="170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4.65 (3.37, 6.41)</w:t>
            </w:r>
          </w:p>
        </w:tc>
        <w:tc>
          <w:tcPr>
            <w:tcW w:w="25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2.57 (2.33, 2.83)</w:t>
            </w:r>
          </w:p>
        </w:tc>
        <w:tc>
          <w:tcPr>
            <w:tcW w:w="1804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0.87 (0.51, 1.47)</w:t>
            </w:r>
          </w:p>
        </w:tc>
        <w:tc>
          <w:tcPr>
            <w:tcW w:w="198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7.48 (5.17, 10.81)</w:t>
            </w:r>
          </w:p>
        </w:tc>
        <w:tc>
          <w:tcPr>
            <w:tcW w:w="209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2.85 (1.31, 6.20)</w:t>
            </w:r>
          </w:p>
        </w:tc>
        <w:tc>
          <w:tcPr>
            <w:tcW w:w="1922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6.94 (2.64, 18.26)</w:t>
            </w:r>
          </w:p>
        </w:tc>
      </w:tr>
      <w:tr w:rsidR="00BC21BD">
        <w:trPr>
          <w:trHeight w:val="285"/>
        </w:trPr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Poorest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5.45 (3.67, 8.08)</w:t>
            </w:r>
          </w:p>
        </w:tc>
        <w:tc>
          <w:tcPr>
            <w:tcW w:w="170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6.63 (4.82, 9.13)</w:t>
            </w:r>
          </w:p>
        </w:tc>
        <w:tc>
          <w:tcPr>
            <w:tcW w:w="258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1.50 (1.36, 1.66)</w:t>
            </w:r>
          </w:p>
        </w:tc>
        <w:tc>
          <w:tcPr>
            <w:tcW w:w="180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0.88 (0.52, 1.49)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5.74 (3.97, 8.29)</w:t>
            </w:r>
          </w:p>
        </w:tc>
        <w:tc>
          <w:tcPr>
            <w:tcW w:w="209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8.39 (4.06, 17.38)</w:t>
            </w:r>
          </w:p>
        </w:tc>
        <w:tc>
          <w:tcPr>
            <w:tcW w:w="192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28.55 (11.25, 72.5)</w:t>
            </w:r>
          </w:p>
        </w:tc>
      </w:tr>
    </w:tbl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m:oMath>
        <m:r>
          <w:rPr>
            <w:rFonts w:ascii="Cambria Math" w:hAnsi="Cambria Math"/>
          </w:rPr>
          <m:t>IPTW</m:t>
        </m:r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f</m:t>
            </m:r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r>
                  <w:rPr>
                    <w:rFonts w:ascii="Cambria Math" w:hAnsi="Cambria Math"/>
                  </w:rPr>
                  <m:t>Wealt</m:t>
                </m:r>
                <m:r>
                  <w:rPr>
                    <w:rFonts w:ascii="Cambria Math" w:hAnsi="Cambria Math"/>
                  </w:rPr>
                  <m:t>h</m:t>
                </m:r>
                <m:r>
                  <w:rPr>
                    <w:rFonts w:ascii="Cambria Math" w:hAnsi="Cambria Math"/>
                  </w:rPr>
                  <m:t>score</m:t>
                </m:r>
                <m:r>
                  <w:rPr>
                    <w:rFonts w:ascii="Cambria Math" w:hAnsi="Cambria Math"/>
                  </w:rPr>
                  <m:t>∨</m:t>
                </m:r>
                <m:r>
                  <w:rPr>
                    <w:rFonts w:ascii="Cambria Math" w:hAnsi="Cambria Math"/>
                  </w:rPr>
                  <m:t>welfare</m:t>
                </m:r>
              </m:e>
            </m:d>
          </m:num>
          <m:den>
            <m:r>
              <w:rPr>
                <w:rFonts w:ascii="Cambria Math" w:hAnsi="Cambria Math"/>
              </w:rPr>
              <m:t>f</m:t>
            </m:r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Wealt</m:t>
            </m:r>
            <m:r>
              <w:rPr>
                <w:rFonts w:ascii="Cambria Math" w:hAnsi="Cambria Math"/>
              </w:rPr>
              <m:t>h</m:t>
            </m:r>
            <m:r>
              <w:rPr>
                <w:rFonts w:ascii="Cambria Math" w:hAnsi="Cambria Math"/>
              </w:rPr>
              <m:t>score</m:t>
            </m:r>
            <m:r>
              <w:rPr>
                <w:rFonts w:ascii="Cambria Math" w:hAnsi="Cambria Math"/>
              </w:rPr>
              <m:t>∨</m:t>
            </m:r>
            <m:r>
              <w:rPr>
                <w:rFonts w:ascii="Cambria Math" w:hAnsi="Cambria Math"/>
              </w:rPr>
              <m:t>C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</w:rPr>
              <m:t>welfare</m:t>
            </m:r>
            <m:r>
              <w:rPr>
                <w:rFonts w:ascii="Cambria Math" w:hAnsi="Cambria Math"/>
              </w:rPr>
              <m:t>)</m:t>
            </m:r>
          </m:den>
        </m:f>
      </m:oMath>
      <w:r>
        <w:rPr>
          <w:rFonts w:ascii="Arial" w:hAnsi="Arial" w:cs="Arial"/>
          <w:sz w:val="20"/>
          <w:szCs w:val="20"/>
        </w:rPr>
        <w:t xml:space="preserve">. Here, C refers to </w:t>
      </w:r>
      <w:r>
        <w:rPr>
          <w:rFonts w:ascii="Arial" w:hAnsi="Arial" w:cs="Arial"/>
          <w:sz w:val="20"/>
          <w:szCs w:val="20"/>
        </w:rPr>
        <w:t>confounders (including age, sex, urbanisation, and total sugar and sweetener supply); welfare is a modifier.</w:t>
      </w:r>
    </w:p>
    <w:p w:rsidR="00BC21BD" w:rsidRDefault="00BC21BD">
      <w:pPr>
        <w:rPr>
          <w:rFonts w:ascii="Arial" w:eastAsia="Liberation Serif" w:hAnsi="Arial" w:cs="Arial"/>
          <w:sz w:val="20"/>
          <w:szCs w:val="20"/>
        </w:rPr>
      </w:pPr>
    </w:p>
    <w:p w:rsidR="00BC21BD" w:rsidRDefault="00BC21BD">
      <w:pPr>
        <w:spacing w:after="160" w:line="259" w:lineRule="auto"/>
        <w:rPr>
          <w:rFonts w:ascii="Arial" w:eastAsia="Liberation Serif" w:hAnsi="Arial" w:cs="Arial"/>
          <w:sz w:val="20"/>
          <w:szCs w:val="20"/>
        </w:rPr>
      </w:pPr>
    </w:p>
    <w:p w:rsidR="00BC21BD" w:rsidRDefault="00EE07BD">
      <w:pPr>
        <w:rPr>
          <w:rFonts w:ascii="Arial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t>Supplementary Table 4 –Estimates of the prevalence difference (PD) in percentages points of wealth score (quintiles) on edentulism by welfare reg</w:t>
      </w:r>
      <w:r>
        <w:rPr>
          <w:rFonts w:ascii="Arial" w:eastAsia="Liberation Serif" w:hAnsi="Arial" w:cs="Arial"/>
          <w:sz w:val="20"/>
          <w:szCs w:val="20"/>
        </w:rPr>
        <w:t>imes using IPTW.</w:t>
      </w:r>
    </w:p>
    <w:tbl>
      <w:tblPr>
        <w:tblW w:w="14557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996"/>
        <w:gridCol w:w="1361"/>
        <w:gridCol w:w="666"/>
        <w:gridCol w:w="1001"/>
        <w:gridCol w:w="607"/>
        <w:gridCol w:w="1069"/>
        <w:gridCol w:w="551"/>
        <w:gridCol w:w="171"/>
        <w:gridCol w:w="1238"/>
        <w:gridCol w:w="667"/>
        <w:gridCol w:w="1069"/>
        <w:gridCol w:w="677"/>
        <w:gridCol w:w="968"/>
        <w:gridCol w:w="678"/>
        <w:gridCol w:w="1089"/>
        <w:gridCol w:w="680"/>
        <w:gridCol w:w="1069"/>
      </w:tblGrid>
      <w:tr w:rsidR="00BC21BD">
        <w:trPr>
          <w:trHeight w:val="255"/>
        </w:trPr>
        <w:tc>
          <w:tcPr>
            <w:tcW w:w="995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6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665" w:type="dxa"/>
            <w:gridSpan w:val="2"/>
            <w:tcBorders>
              <w:top w:val="single" w:sz="4" w:space="0" w:color="000000"/>
            </w:tcBorders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Corporative</w:t>
            </w:r>
          </w:p>
        </w:tc>
        <w:tc>
          <w:tcPr>
            <w:tcW w:w="1676" w:type="dxa"/>
            <w:gridSpan w:val="2"/>
            <w:tcBorders>
              <w:top w:val="single" w:sz="4" w:space="0" w:color="000000"/>
            </w:tcBorders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Eastern Europe</w:t>
            </w:r>
          </w:p>
        </w:tc>
        <w:tc>
          <w:tcPr>
            <w:tcW w:w="1960" w:type="dxa"/>
            <w:gridSpan w:val="3"/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Informal Security: Liberal</w:t>
            </w:r>
          </w:p>
        </w:tc>
        <w:tc>
          <w:tcPr>
            <w:tcW w:w="1736" w:type="dxa"/>
            <w:gridSpan w:val="2"/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Insecurity:</w:t>
            </w:r>
          </w:p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Social/Labour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</w:tcBorders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Liberal</w:t>
            </w:r>
          </w:p>
        </w:tc>
        <w:tc>
          <w:tcPr>
            <w:tcW w:w="1767" w:type="dxa"/>
            <w:gridSpan w:val="2"/>
            <w:tcBorders>
              <w:top w:val="single" w:sz="4" w:space="0" w:color="000000"/>
            </w:tcBorders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Scandinavian</w:t>
            </w:r>
          </w:p>
        </w:tc>
        <w:tc>
          <w:tcPr>
            <w:tcW w:w="1749" w:type="dxa"/>
            <w:gridSpan w:val="2"/>
            <w:tcBorders>
              <w:top w:val="single" w:sz="4" w:space="0" w:color="000000"/>
            </w:tcBorders>
            <w:shd w:val="clear" w:color="auto" w:fill="999999"/>
            <w:vAlign w:val="center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Southern Europe</w:t>
            </w:r>
          </w:p>
        </w:tc>
      </w:tr>
      <w:tr w:rsidR="00BC21BD">
        <w:trPr>
          <w:trHeight w:val="255"/>
        </w:trPr>
        <w:tc>
          <w:tcPr>
            <w:tcW w:w="2355" w:type="dxa"/>
            <w:gridSpan w:val="2"/>
            <w:tcBorders>
              <w:bottom w:val="single" w:sz="4" w:space="0" w:color="000000"/>
            </w:tcBorders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Intercept</w:t>
            </w:r>
          </w:p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Prevalence (95%CI)</w:t>
            </w:r>
          </w:p>
        </w:tc>
        <w:tc>
          <w:tcPr>
            <w:tcW w:w="665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3.4</w:t>
            </w:r>
          </w:p>
        </w:tc>
        <w:tc>
          <w:tcPr>
            <w:tcW w:w="1000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GB"/>
              </w:rPr>
              <w:t>(2.3-5.0)</w:t>
            </w:r>
          </w:p>
        </w:tc>
        <w:tc>
          <w:tcPr>
            <w:tcW w:w="60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2.4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(1.6-3.5)</w:t>
            </w:r>
          </w:p>
        </w:tc>
        <w:tc>
          <w:tcPr>
            <w:tcW w:w="551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4.1</w:t>
            </w:r>
          </w:p>
        </w:tc>
        <w:tc>
          <w:tcPr>
            <w:tcW w:w="1409" w:type="dxa"/>
            <w:gridSpan w:val="2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(2.3-7.0)</w:t>
            </w:r>
          </w:p>
        </w:tc>
        <w:tc>
          <w:tcPr>
            <w:tcW w:w="66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1.2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(0.3-4.9)</w:t>
            </w:r>
          </w:p>
        </w:tc>
        <w:tc>
          <w:tcPr>
            <w:tcW w:w="67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1.6</w:t>
            </w:r>
          </w:p>
        </w:tc>
        <w:tc>
          <w:tcPr>
            <w:tcW w:w="968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(1.1-2.3)</w:t>
            </w:r>
          </w:p>
        </w:tc>
        <w:tc>
          <w:tcPr>
            <w:tcW w:w="678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1.3</w:t>
            </w:r>
          </w:p>
        </w:tc>
        <w:tc>
          <w:tcPr>
            <w:tcW w:w="1089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(0.4-3.8)</w:t>
            </w:r>
          </w:p>
        </w:tc>
        <w:tc>
          <w:tcPr>
            <w:tcW w:w="680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(0.2-1.4)</w:t>
            </w:r>
          </w:p>
        </w:tc>
      </w:tr>
      <w:tr w:rsidR="00BC21BD">
        <w:trPr>
          <w:trHeight w:val="255"/>
        </w:trPr>
        <w:tc>
          <w:tcPr>
            <w:tcW w:w="995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60" w:type="dxa"/>
            <w:vAlign w:val="bottom"/>
          </w:tcPr>
          <w:p w:rsidR="00BC21BD" w:rsidRDefault="00BC21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66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00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6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55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409" w:type="dxa"/>
            <w:gridSpan w:val="2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66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67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96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67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08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6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p-value</w:t>
            </w:r>
          </w:p>
        </w:tc>
      </w:tr>
      <w:tr w:rsidR="00BC21BD">
        <w:trPr>
          <w:trHeight w:val="255"/>
        </w:trPr>
        <w:tc>
          <w:tcPr>
            <w:tcW w:w="995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Wealth Quintiles</w:t>
            </w:r>
          </w:p>
        </w:tc>
        <w:tc>
          <w:tcPr>
            <w:tcW w:w="136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Wealthiest</w:t>
            </w:r>
          </w:p>
        </w:tc>
        <w:tc>
          <w:tcPr>
            <w:tcW w:w="665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000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60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06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722" w:type="dxa"/>
            <w:gridSpan w:val="2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238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66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06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677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968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678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08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680" w:type="dxa"/>
            <w:vAlign w:val="bottom"/>
          </w:tcPr>
          <w:p w:rsidR="00BC21BD" w:rsidRDefault="00EE07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Ref</w:t>
            </w:r>
          </w:p>
        </w:tc>
        <w:tc>
          <w:tcPr>
            <w:tcW w:w="1069" w:type="dxa"/>
            <w:vAlign w:val="bottom"/>
          </w:tcPr>
          <w:p w:rsidR="00BC21BD" w:rsidRDefault="00BC21BD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</w:tr>
      <w:tr w:rsidR="00BC21BD">
        <w:trPr>
          <w:trHeight w:val="255"/>
        </w:trPr>
        <w:tc>
          <w:tcPr>
            <w:tcW w:w="995" w:type="dxa"/>
            <w:vMerge/>
            <w:vAlign w:val="center"/>
          </w:tcPr>
          <w:p w:rsidR="00BC21BD" w:rsidRDefault="00BC21BD"/>
        </w:tc>
        <w:tc>
          <w:tcPr>
            <w:tcW w:w="1360" w:type="dxa"/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Fourth</w:t>
            </w:r>
          </w:p>
        </w:tc>
        <w:tc>
          <w:tcPr>
            <w:tcW w:w="66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-0.7</w:t>
            </w:r>
          </w:p>
        </w:tc>
        <w:tc>
          <w:tcPr>
            <w:tcW w:w="10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0.39</w:t>
            </w:r>
          </w:p>
        </w:tc>
        <w:tc>
          <w:tcPr>
            <w:tcW w:w="60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0.27</w:t>
            </w:r>
          </w:p>
        </w:tc>
        <w:tc>
          <w:tcPr>
            <w:tcW w:w="722" w:type="dxa"/>
            <w:gridSpan w:val="2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7.7</w:t>
            </w:r>
          </w:p>
        </w:tc>
        <w:tc>
          <w:tcPr>
            <w:tcW w:w="123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6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0.1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0.70</w:t>
            </w:r>
          </w:p>
        </w:tc>
        <w:tc>
          <w:tcPr>
            <w:tcW w:w="67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3.9</w:t>
            </w:r>
          </w:p>
        </w:tc>
        <w:tc>
          <w:tcPr>
            <w:tcW w:w="96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7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</w:t>
            </w:r>
          </w:p>
        </w:tc>
        <w:tc>
          <w:tcPr>
            <w:tcW w:w="10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68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0.61</w:t>
            </w:r>
          </w:p>
        </w:tc>
      </w:tr>
      <w:tr w:rsidR="00BC21BD">
        <w:trPr>
          <w:trHeight w:val="255"/>
        </w:trPr>
        <w:tc>
          <w:tcPr>
            <w:tcW w:w="995" w:type="dxa"/>
            <w:vMerge/>
            <w:vAlign w:val="center"/>
          </w:tcPr>
          <w:p w:rsidR="00BC21BD" w:rsidRDefault="00BC21BD"/>
        </w:tc>
        <w:tc>
          <w:tcPr>
            <w:tcW w:w="1360" w:type="dxa"/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Middle</w:t>
            </w:r>
          </w:p>
        </w:tc>
        <w:tc>
          <w:tcPr>
            <w:tcW w:w="66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</w:t>
            </w:r>
          </w:p>
        </w:tc>
        <w:tc>
          <w:tcPr>
            <w:tcW w:w="10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60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722" w:type="dxa"/>
            <w:gridSpan w:val="2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6.4</w:t>
            </w:r>
          </w:p>
        </w:tc>
        <w:tc>
          <w:tcPr>
            <w:tcW w:w="123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6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-0.1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0.71</w:t>
            </w:r>
          </w:p>
        </w:tc>
        <w:tc>
          <w:tcPr>
            <w:tcW w:w="67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8.0</w:t>
            </w:r>
          </w:p>
        </w:tc>
        <w:tc>
          <w:tcPr>
            <w:tcW w:w="96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7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</w:t>
            </w:r>
          </w:p>
        </w:tc>
        <w:tc>
          <w:tcPr>
            <w:tcW w:w="10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0.26</w:t>
            </w:r>
          </w:p>
        </w:tc>
        <w:tc>
          <w:tcPr>
            <w:tcW w:w="68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3.6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</w:tr>
      <w:tr w:rsidR="00BC21BD">
        <w:trPr>
          <w:trHeight w:val="255"/>
        </w:trPr>
        <w:tc>
          <w:tcPr>
            <w:tcW w:w="995" w:type="dxa"/>
            <w:vMerge/>
            <w:vAlign w:val="center"/>
          </w:tcPr>
          <w:p w:rsidR="00BC21BD" w:rsidRDefault="00BC21BD"/>
        </w:tc>
        <w:tc>
          <w:tcPr>
            <w:tcW w:w="1360" w:type="dxa"/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Second</w:t>
            </w:r>
          </w:p>
        </w:tc>
        <w:tc>
          <w:tcPr>
            <w:tcW w:w="665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</w:t>
            </w:r>
          </w:p>
        </w:tc>
        <w:tc>
          <w:tcPr>
            <w:tcW w:w="100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0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8.4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722" w:type="dxa"/>
            <w:gridSpan w:val="2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6.8</w:t>
            </w:r>
          </w:p>
        </w:tc>
        <w:tc>
          <w:tcPr>
            <w:tcW w:w="123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6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-0.2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0.62</w:t>
            </w:r>
          </w:p>
        </w:tc>
        <w:tc>
          <w:tcPr>
            <w:tcW w:w="677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9.2</w:t>
            </w:r>
          </w:p>
        </w:tc>
        <w:tc>
          <w:tcPr>
            <w:tcW w:w="96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78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</w:t>
            </w:r>
          </w:p>
        </w:tc>
        <w:tc>
          <w:tcPr>
            <w:tcW w:w="108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0.07</w:t>
            </w:r>
          </w:p>
        </w:tc>
        <w:tc>
          <w:tcPr>
            <w:tcW w:w="680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1069" w:type="dxa"/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</w:tr>
      <w:tr w:rsidR="00BC21BD">
        <w:trPr>
          <w:trHeight w:val="255"/>
        </w:trPr>
        <w:tc>
          <w:tcPr>
            <w:tcW w:w="995" w:type="dxa"/>
            <w:vMerge/>
            <w:vAlign w:val="center"/>
          </w:tcPr>
          <w:p w:rsidR="00BC21BD" w:rsidRDefault="00BC21BD"/>
        </w:tc>
        <w:tc>
          <w:tcPr>
            <w:tcW w:w="136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Poorest</w:t>
            </w:r>
          </w:p>
        </w:tc>
        <w:tc>
          <w:tcPr>
            <w:tcW w:w="66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12.8</w:t>
            </w:r>
          </w:p>
        </w:tc>
        <w:tc>
          <w:tcPr>
            <w:tcW w:w="100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12.2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722" w:type="dxa"/>
            <w:gridSpan w:val="2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123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6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-0.2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67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6.9</w:t>
            </w:r>
          </w:p>
        </w:tc>
        <w:tc>
          <w:tcPr>
            <w:tcW w:w="96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  <w:tc>
          <w:tcPr>
            <w:tcW w:w="67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10.1</w:t>
            </w:r>
          </w:p>
        </w:tc>
        <w:tc>
          <w:tcPr>
            <w:tcW w:w="108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0.02</w:t>
            </w:r>
          </w:p>
        </w:tc>
        <w:tc>
          <w:tcPr>
            <w:tcW w:w="6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13.6</w:t>
            </w:r>
          </w:p>
        </w:tc>
        <w:tc>
          <w:tcPr>
            <w:tcW w:w="106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&lt;0.001</w:t>
            </w:r>
          </w:p>
        </w:tc>
      </w:tr>
    </w:tbl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m:oMath>
        <m:r>
          <w:rPr>
            <w:rFonts w:ascii="Cambria Math" w:hAnsi="Cambria Math"/>
          </w:rPr>
          <m:t>IPTW</m:t>
        </m:r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f</m:t>
            </m:r>
            <m:d>
              <m:dPr>
                <m:ctrlPr>
                  <w:rPr>
                    <w:rFonts w:ascii="Cambria Math" w:hAnsi="Cambria Math"/>
                  </w:rPr>
                </m:ctrlPr>
              </m:dPr>
              <m:e>
                <m:r>
                  <w:rPr>
                    <w:rFonts w:ascii="Cambria Math" w:hAnsi="Cambria Math"/>
                  </w:rPr>
                  <m:t>Wealt</m:t>
                </m:r>
                <m:r>
                  <w:rPr>
                    <w:rFonts w:ascii="Cambria Math" w:hAnsi="Cambria Math"/>
                  </w:rPr>
                  <m:t>h</m:t>
                </m:r>
                <m:r>
                  <w:rPr>
                    <w:rFonts w:ascii="Cambria Math" w:hAnsi="Cambria Math"/>
                  </w:rPr>
                  <m:t>score</m:t>
                </m:r>
                <m:r>
                  <w:rPr>
                    <w:rFonts w:ascii="Cambria Math" w:hAnsi="Cambria Math"/>
                  </w:rPr>
                  <m:t>∨</m:t>
                </m:r>
                <m:r>
                  <w:rPr>
                    <w:rFonts w:ascii="Cambria Math" w:hAnsi="Cambria Math"/>
                  </w:rPr>
                  <m:t>welfare</m:t>
                </m:r>
              </m:e>
            </m:d>
          </m:num>
          <m:den>
            <m:r>
              <w:rPr>
                <w:rFonts w:ascii="Cambria Math" w:hAnsi="Cambria Math"/>
              </w:rPr>
              <m:t>f</m:t>
            </m:r>
            <m:r>
              <w:rPr>
                <w:rFonts w:ascii="Cambria Math" w:hAnsi="Cambria Math"/>
              </w:rPr>
              <m:t>(</m:t>
            </m:r>
            <m:r>
              <w:rPr>
                <w:rFonts w:ascii="Cambria Math" w:hAnsi="Cambria Math"/>
              </w:rPr>
              <m:t>Wealt</m:t>
            </m:r>
            <m:r>
              <w:rPr>
                <w:rFonts w:ascii="Cambria Math" w:hAnsi="Cambria Math"/>
              </w:rPr>
              <m:t>h</m:t>
            </m:r>
            <m:r>
              <w:rPr>
                <w:rFonts w:ascii="Cambria Math" w:hAnsi="Cambria Math"/>
              </w:rPr>
              <m:t>score</m:t>
            </m:r>
            <m:r>
              <w:rPr>
                <w:rFonts w:ascii="Cambria Math" w:hAnsi="Cambria Math"/>
              </w:rPr>
              <m:t>∨</m:t>
            </m:r>
            <m:r>
              <w:rPr>
                <w:rFonts w:ascii="Cambria Math" w:hAnsi="Cambria Math"/>
              </w:rPr>
              <m:t>C</m:t>
            </m:r>
            <m:r>
              <w:rPr>
                <w:rFonts w:ascii="Cambria Math" w:hAnsi="Cambria Math"/>
              </w:rPr>
              <m:t>,</m:t>
            </m:r>
            <m:r>
              <w:rPr>
                <w:rFonts w:ascii="Cambria Math" w:hAnsi="Cambria Math"/>
              </w:rPr>
              <m:t>welfare</m:t>
            </m:r>
            <m:r>
              <w:rPr>
                <w:rFonts w:ascii="Cambria Math" w:hAnsi="Cambria Math"/>
              </w:rPr>
              <m:t>)</m:t>
            </m:r>
          </m:den>
        </m:f>
      </m:oMath>
      <w:r>
        <w:rPr>
          <w:rFonts w:ascii="Arial" w:hAnsi="Arial" w:cs="Arial"/>
          <w:sz w:val="20"/>
          <w:szCs w:val="20"/>
        </w:rPr>
        <w:t>. Here, C refers to confounders (including age, sex, urbanisation, and total sugar and sweetener supply); welfare is a modifier.</w:t>
      </w:r>
      <w:r>
        <w:br w:type="page"/>
      </w:r>
    </w:p>
    <w:p w:rsidR="00BC21BD" w:rsidRDefault="00EE07BD">
      <w:pPr>
        <w:rPr>
          <w:rFonts w:ascii="Arial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lastRenderedPageBreak/>
        <w:t xml:space="preserve">Supplementary Table 5 </w:t>
      </w:r>
      <w:r>
        <w:rPr>
          <w:rFonts w:ascii="Arial" w:hAnsi="Arial" w:cs="Arial"/>
          <w:sz w:val="20"/>
          <w:szCs w:val="20"/>
        </w:rPr>
        <w:t>– Odds Ratio of having edentulism ac</w:t>
      </w:r>
      <w:r>
        <w:rPr>
          <w:rFonts w:ascii="Arial" w:hAnsi="Arial" w:cs="Arial"/>
          <w:sz w:val="20"/>
          <w:szCs w:val="20"/>
        </w:rPr>
        <w:t>cording to individual and contextual variables in adult population of 40 countries (multilevel logistic regression with random intercept with calibrated sampling weight).</w:t>
      </w:r>
    </w:p>
    <w:p w:rsidR="00BC21BD" w:rsidRDefault="00BC21BD">
      <w:pPr>
        <w:rPr>
          <w:rFonts w:ascii="Arial" w:hAnsi="Arial" w:cs="Arial"/>
          <w:sz w:val="20"/>
          <w:szCs w:val="20"/>
        </w:rPr>
      </w:pPr>
    </w:p>
    <w:tbl>
      <w:tblPr>
        <w:tblW w:w="12958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1986"/>
        <w:gridCol w:w="2692"/>
        <w:gridCol w:w="994"/>
        <w:gridCol w:w="885"/>
        <w:gridCol w:w="881"/>
        <w:gridCol w:w="1140"/>
        <w:gridCol w:w="813"/>
        <w:gridCol w:w="808"/>
        <w:gridCol w:w="1139"/>
        <w:gridCol w:w="813"/>
        <w:gridCol w:w="807"/>
      </w:tblGrid>
      <w:tr w:rsidR="00BC21BD">
        <w:trPr>
          <w:trHeight w:val="255"/>
        </w:trPr>
        <w:tc>
          <w:tcPr>
            <w:tcW w:w="1985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691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Age groups=</w:t>
            </w:r>
          </w:p>
        </w:tc>
        <w:tc>
          <w:tcPr>
            <w:tcW w:w="2760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&lt;60</w:t>
            </w:r>
          </w:p>
        </w:tc>
        <w:tc>
          <w:tcPr>
            <w:tcW w:w="2761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≥ 60 and &lt;70</w:t>
            </w:r>
          </w:p>
        </w:tc>
        <w:tc>
          <w:tcPr>
            <w:tcW w:w="2759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≥70</w:t>
            </w:r>
          </w:p>
        </w:tc>
      </w:tr>
      <w:tr w:rsidR="00BC21BD">
        <w:trPr>
          <w:trHeight w:val="255"/>
        </w:trPr>
        <w:tc>
          <w:tcPr>
            <w:tcW w:w="1985" w:type="dxa"/>
            <w:vAlign w:val="bottom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69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94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21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139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20" w:type="dxa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Quintiles of Wealth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 Score</w:t>
            </w:r>
          </w:p>
        </w:tc>
        <w:tc>
          <w:tcPr>
            <w:tcW w:w="2691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Wealthiest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Fourth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1.66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2.12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1.90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2.77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1.96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1.59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2.42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Middle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2.35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1.87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2.95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2.22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3.25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1.87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2.81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Second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3.12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2.50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3.90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3.49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2.92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4.18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2.79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2.30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3.39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Poorest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3.78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3.03</w:t>
            </w: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4.71</w:t>
            </w: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4.25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3.56</w:t>
            </w: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5.07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3.52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2.91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4.26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Welfare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Regimes</w:t>
            </w:r>
          </w:p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Scandinavian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3.07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1.00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9.41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3.86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1.75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8.50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2.26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1.15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4.46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 Europe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3.43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1.10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10.68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3.99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1.79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8.92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3.46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1.72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6.96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 Security: Liberal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4.36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1.47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12.92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4.67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2.19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9.97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2.79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1.45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5.38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3.35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0.98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11.40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3.63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1.52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8.67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2.68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1.25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5.76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Insecurity: Social/Labour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1.34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0.27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6.73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0.59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0.17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2.13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0.38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0.13</w:t>
            </w:r>
          </w:p>
        </w:tc>
        <w:tc>
          <w:tcPr>
            <w:tcW w:w="807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1.17</w:t>
            </w: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 Europe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2.28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0.69</w:t>
            </w: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7.56</w:t>
            </w: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2.31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0.98</w:t>
            </w: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5.45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2.61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1.25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5.42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Age group</w:t>
            </w:r>
          </w:p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20-34 years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35-49 years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3.19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2.35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4.34</w:t>
            </w:r>
          </w:p>
        </w:tc>
        <w:tc>
          <w:tcPr>
            <w:tcW w:w="114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50-64 years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17.37</w:t>
            </w:r>
          </w:p>
        </w:tc>
        <w:tc>
          <w:tcPr>
            <w:tcW w:w="88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13.08</w:t>
            </w:r>
          </w:p>
        </w:tc>
        <w:tc>
          <w:tcPr>
            <w:tcW w:w="88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23.07</w:t>
            </w: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65- 79 years</w:t>
            </w:r>
          </w:p>
        </w:tc>
        <w:tc>
          <w:tcPr>
            <w:tcW w:w="99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1.52</w:t>
            </w:r>
          </w:p>
        </w:tc>
        <w:tc>
          <w:tcPr>
            <w:tcW w:w="81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80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1.71</w:t>
            </w: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80+ years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1.85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1.66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2.06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Sex</w:t>
            </w:r>
          </w:p>
        </w:tc>
        <w:tc>
          <w:tcPr>
            <w:tcW w:w="2691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Male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Female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1.37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1.21</w:t>
            </w: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1.24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1.13</w:t>
            </w: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1.20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1.42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Urbanisation</w:t>
            </w:r>
          </w:p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Below Median (&lt;73%)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Above Median (=&gt;73%</w:t>
            </w:r>
          </w:p>
        </w:tc>
        <w:tc>
          <w:tcPr>
            <w:tcW w:w="99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0.95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0.55</w:t>
            </w: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1.64</w:t>
            </w: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1.03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0.69</w:t>
            </w: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1.32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0.90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1.92</w:t>
            </w:r>
          </w:p>
        </w:tc>
      </w:tr>
      <w:tr w:rsidR="00BC21BD">
        <w:trPr>
          <w:trHeight w:val="255"/>
        </w:trPr>
        <w:tc>
          <w:tcPr>
            <w:tcW w:w="1985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Sugar &amp; Sweetener supply</w:t>
            </w:r>
          </w:p>
        </w:tc>
        <w:tc>
          <w:tcPr>
            <w:tcW w:w="2691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&lt;40 Kg/capita/year</w:t>
            </w: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Merge/>
            <w:vAlign w:val="center"/>
          </w:tcPr>
          <w:p w:rsidR="00BC21BD" w:rsidRDefault="00BC21BD"/>
        </w:tc>
        <w:tc>
          <w:tcPr>
            <w:tcW w:w="269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 w:bidi="ar-SA"/>
              </w:rPr>
              <w:t>≥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40 Kg/capita/year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1.59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0.90</w:t>
            </w: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2.81</w:t>
            </w: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1.79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1.16</w:t>
            </w: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2.75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0.89</w:t>
            </w: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1.94</w:t>
            </w:r>
          </w:p>
        </w:tc>
      </w:tr>
      <w:tr w:rsidR="00BC21BD">
        <w:trPr>
          <w:trHeight w:val="255"/>
        </w:trPr>
        <w:tc>
          <w:tcPr>
            <w:tcW w:w="1985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VPC</w:t>
            </w:r>
          </w:p>
        </w:tc>
        <w:tc>
          <w:tcPr>
            <w:tcW w:w="269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11.0%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6.2%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5.5%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1985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Variance</w:t>
            </w:r>
          </w:p>
        </w:tc>
        <w:tc>
          <w:tcPr>
            <w:tcW w:w="269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9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0.41</w:t>
            </w:r>
          </w:p>
        </w:tc>
        <w:tc>
          <w:tcPr>
            <w:tcW w:w="885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0.19</w:t>
            </w:r>
          </w:p>
        </w:tc>
        <w:tc>
          <w:tcPr>
            <w:tcW w:w="813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4676" w:type="dxa"/>
            <w:gridSpan w:val="2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sample size (individuals)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77163</w:t>
            </w:r>
          </w:p>
        </w:tc>
        <w:tc>
          <w:tcPr>
            <w:tcW w:w="885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1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4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16542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3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12552</w:t>
            </w:r>
          </w:p>
        </w:tc>
        <w:tc>
          <w:tcPr>
            <w:tcW w:w="813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</w:tbl>
    <w:p w:rsidR="00BC21BD" w:rsidRDefault="00EE07BD">
      <w:pPr>
        <w:rPr>
          <w:rFonts w:ascii="Arial" w:eastAsia="Liberation Serif" w:hAnsi="Arial" w:cs="Arial"/>
          <w:sz w:val="20"/>
          <w:szCs w:val="20"/>
        </w:rPr>
      </w:pPr>
      <w:r>
        <w:br w:type="page"/>
      </w:r>
    </w:p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eastAsia="Liberation Serif" w:hAnsi="Arial" w:cs="Arial"/>
          <w:sz w:val="20"/>
          <w:szCs w:val="20"/>
        </w:rPr>
        <w:lastRenderedPageBreak/>
        <w:t>Supplementary Table 6</w:t>
      </w:r>
      <w:r>
        <w:rPr>
          <w:rFonts w:ascii="Arial" w:hAnsi="Arial" w:cs="Arial"/>
          <w:sz w:val="20"/>
          <w:szCs w:val="20"/>
        </w:rPr>
        <w:t xml:space="preserve">– Odds Ratio of having edentulism according to individual and contextual variables in adult population of 40 countries (Removing Low Income Countries: Ghana and Rwanda, multilevel logistic regression with random intercept </w:t>
      </w:r>
      <w:r>
        <w:rPr>
          <w:rFonts w:ascii="Arial" w:hAnsi="Arial" w:cs="Arial"/>
          <w:sz w:val="20"/>
          <w:szCs w:val="20"/>
        </w:rPr>
        <w:t>with calibrated sampling weight).</w:t>
      </w:r>
    </w:p>
    <w:tbl>
      <w:tblPr>
        <w:tblW w:w="13326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2269"/>
        <w:gridCol w:w="2835"/>
        <w:gridCol w:w="1270"/>
        <w:gridCol w:w="1279"/>
        <w:gridCol w:w="1421"/>
        <w:gridCol w:w="1559"/>
        <w:gridCol w:w="1350"/>
        <w:gridCol w:w="1343"/>
      </w:tblGrid>
      <w:tr w:rsidR="00BC21BD">
        <w:trPr>
          <w:trHeight w:val="255"/>
        </w:trPr>
        <w:tc>
          <w:tcPr>
            <w:tcW w:w="226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3970" w:type="dxa"/>
            <w:gridSpan w:val="3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All countries</w:t>
            </w:r>
          </w:p>
        </w:tc>
        <w:tc>
          <w:tcPr>
            <w:tcW w:w="4252" w:type="dxa"/>
            <w:gridSpan w:val="3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Removing LIC</w:t>
            </w:r>
          </w:p>
        </w:tc>
      </w:tr>
      <w:tr w:rsidR="00BC21BD">
        <w:trPr>
          <w:trHeight w:val="255"/>
        </w:trPr>
        <w:tc>
          <w:tcPr>
            <w:tcW w:w="2268" w:type="dxa"/>
            <w:vAlign w:val="bottom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83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2700" w:type="dxa"/>
            <w:gridSpan w:val="2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2693" w:type="dxa"/>
            <w:gridSpan w:val="2"/>
            <w:tcBorders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Quintiles of Wealth Score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Wealthiest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Fourth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2.03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2.28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2.10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1.87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2.37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Middle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2.53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2.26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2.83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2.66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2.37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2.99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Second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3.21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3.57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3.37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3.02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3.76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Poorest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4.05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3.64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4.50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4.24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3.80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4.72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Welfare Regimes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Scandinavian</w:t>
            </w:r>
          </w:p>
        </w:tc>
        <w:tc>
          <w:tcPr>
            <w:tcW w:w="127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2.60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5.17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2.60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5.22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 Europe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3.19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1.58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6.45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3.19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1.57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6.48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 Security: Liberal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3.51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1.80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6.87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3.52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1.79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6.94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0.45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1.33</w:t>
            </w:r>
          </w:p>
        </w:tc>
        <w:tc>
          <w:tcPr>
            <w:tcW w:w="155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50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Insecurity: Social/Labour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6.33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2.89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6.40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 Europe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1.09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4.78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2.28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1.09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4.81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Age group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20-34 years</w:t>
            </w:r>
          </w:p>
        </w:tc>
        <w:tc>
          <w:tcPr>
            <w:tcW w:w="127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35-49 years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2.90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2.18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3.85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3.10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2.31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4.16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50-64 years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23.15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17.64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30.39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24.53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18.50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32.52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65- 79 years</w:t>
            </w: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81.40</w:t>
            </w:r>
          </w:p>
        </w:tc>
        <w:tc>
          <w:tcPr>
            <w:tcW w:w="12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62.14</w:t>
            </w:r>
          </w:p>
        </w:tc>
        <w:tc>
          <w:tcPr>
            <w:tcW w:w="142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106.62</w:t>
            </w: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88.20</w:t>
            </w:r>
          </w:p>
        </w:tc>
        <w:tc>
          <w:tcPr>
            <w:tcW w:w="135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66.66</w:t>
            </w:r>
          </w:p>
        </w:tc>
        <w:tc>
          <w:tcPr>
            <w:tcW w:w="134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116.70</w:t>
            </w: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80+ years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186.18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140.50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246.72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200.09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149.44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267.93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Sex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Male</w:t>
            </w:r>
          </w:p>
        </w:tc>
        <w:tc>
          <w:tcPr>
            <w:tcW w:w="127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Female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1.28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1.21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1.28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1.22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Urbanisation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Below Median (&lt;73%)</w:t>
            </w:r>
          </w:p>
        </w:tc>
        <w:tc>
          <w:tcPr>
            <w:tcW w:w="127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Above Median (=&gt;73%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1.07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0.74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1.07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0.73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</w:tr>
      <w:tr w:rsidR="00BC21BD">
        <w:trPr>
          <w:trHeight w:val="255"/>
        </w:trPr>
        <w:tc>
          <w:tcPr>
            <w:tcW w:w="2268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Total Sugar &amp; Sweetener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supply</w:t>
            </w:r>
          </w:p>
        </w:tc>
        <w:tc>
          <w:tcPr>
            <w:tcW w:w="28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&lt;40 Kg/capita/year</w:t>
            </w:r>
          </w:p>
        </w:tc>
        <w:tc>
          <w:tcPr>
            <w:tcW w:w="1270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2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Merge/>
            <w:vAlign w:val="center"/>
          </w:tcPr>
          <w:p w:rsidR="00BC21BD" w:rsidRDefault="00BC21BD"/>
        </w:tc>
        <w:tc>
          <w:tcPr>
            <w:tcW w:w="28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 w:bidi="ar-SA"/>
              </w:rPr>
              <w:t>≥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40 Kg/capita/year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2.21</w:t>
            </w:r>
          </w:p>
        </w:tc>
      </w:tr>
      <w:tr w:rsidR="00BC21BD">
        <w:trPr>
          <w:trHeight w:val="255"/>
        </w:trPr>
        <w:tc>
          <w:tcPr>
            <w:tcW w:w="2268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VPC</w:t>
            </w:r>
          </w:p>
        </w:tc>
        <w:tc>
          <w:tcPr>
            <w:tcW w:w="283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6.2%</w:t>
            </w:r>
          </w:p>
        </w:tc>
        <w:tc>
          <w:tcPr>
            <w:tcW w:w="127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6.34%</w:t>
            </w:r>
          </w:p>
        </w:tc>
        <w:tc>
          <w:tcPr>
            <w:tcW w:w="135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68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Variance</w:t>
            </w:r>
          </w:p>
        </w:tc>
        <w:tc>
          <w:tcPr>
            <w:tcW w:w="283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7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127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135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5102" w:type="dxa"/>
            <w:gridSpan w:val="2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sample size (individuals)</w:t>
            </w:r>
          </w:p>
        </w:tc>
        <w:tc>
          <w:tcPr>
            <w:tcW w:w="127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109963</w:t>
            </w:r>
          </w:p>
        </w:tc>
        <w:tc>
          <w:tcPr>
            <w:tcW w:w="127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421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104196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343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</w:tbl>
    <w:p w:rsidR="00BC21BD" w:rsidRDefault="00BC21BD">
      <w:pPr>
        <w:suppressAutoHyphens w:val="0"/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</w:pPr>
    </w:p>
    <w:p w:rsidR="00BC21BD" w:rsidRDefault="00BC21BD">
      <w:pPr>
        <w:suppressAutoHyphens w:val="0"/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</w:pPr>
    </w:p>
    <w:p w:rsidR="00BC21BD" w:rsidRDefault="00BC21BD">
      <w:pPr>
        <w:suppressAutoHyphens w:val="0"/>
        <w:jc w:val="right"/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</w:pPr>
    </w:p>
    <w:p w:rsidR="00BC21BD" w:rsidRDefault="00BC21BD">
      <w:pPr>
        <w:suppressAutoHyphens w:val="0"/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</w:pPr>
    </w:p>
    <w:p w:rsidR="00BC21BD" w:rsidRDefault="00EE07BD">
      <w:pPr>
        <w:suppressAutoHyphens w:val="0"/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</w:pPr>
      <w:r>
        <w:rPr>
          <w:rFonts w:ascii="Arial" w:eastAsia="Liberation Serif" w:hAnsi="Arial" w:cs="Arial"/>
          <w:sz w:val="20"/>
          <w:szCs w:val="20"/>
        </w:rPr>
        <w:lastRenderedPageBreak/>
        <w:t>Supplementary Table 7</w:t>
      </w:r>
      <w:r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  <w:t xml:space="preserve">– Odds Ratio of having edentulism according to </w:t>
      </w:r>
      <w:r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  <w:t>individual and contextual variables in adult population of 40 countries (Sensitivity analysis for inclusion of use of dental care,</w:t>
      </w:r>
      <w:r>
        <w:rPr>
          <w:rFonts w:ascii="Arial" w:hAnsi="Arial" w:cs="Arial"/>
          <w:sz w:val="20"/>
          <w:szCs w:val="20"/>
        </w:rPr>
        <w:t xml:space="preserve"> multilevel logistic regression with random intercept with calibrated sampling weight</w:t>
      </w:r>
      <w:r>
        <w:rPr>
          <w:rFonts w:ascii="Arial" w:eastAsia="Times New Roman" w:hAnsi="Arial" w:cs="Arial"/>
          <w:kern w:val="0"/>
          <w:sz w:val="20"/>
          <w:szCs w:val="20"/>
          <w:lang w:eastAsia="en-GB" w:bidi="ar-SA"/>
        </w:rPr>
        <w:t>).</w:t>
      </w:r>
    </w:p>
    <w:tbl>
      <w:tblPr>
        <w:tblW w:w="13438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2211"/>
        <w:gridCol w:w="2897"/>
        <w:gridCol w:w="884"/>
        <w:gridCol w:w="828"/>
        <w:gridCol w:w="829"/>
        <w:gridCol w:w="829"/>
        <w:gridCol w:w="829"/>
        <w:gridCol w:w="825"/>
        <w:gridCol w:w="1634"/>
        <w:gridCol w:w="828"/>
        <w:gridCol w:w="844"/>
      </w:tblGrid>
      <w:tr w:rsidR="00BC21BD">
        <w:trPr>
          <w:trHeight w:val="765"/>
        </w:trPr>
        <w:tc>
          <w:tcPr>
            <w:tcW w:w="221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896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541" w:type="dxa"/>
            <w:gridSpan w:val="3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M1 – Full Sample (n=109000), 40 coun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tries</w:t>
            </w:r>
          </w:p>
        </w:tc>
        <w:tc>
          <w:tcPr>
            <w:tcW w:w="2483" w:type="dxa"/>
            <w:gridSpan w:val="3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M2A – Small sample (n=64500), 36 countries</w:t>
            </w:r>
          </w:p>
        </w:tc>
        <w:tc>
          <w:tcPr>
            <w:tcW w:w="3306" w:type="dxa"/>
            <w:gridSpan w:val="3"/>
            <w:tcBorders>
              <w:top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M2B – Small sample with Dental care (n=64500), 36 countries</w:t>
            </w:r>
          </w:p>
        </w:tc>
      </w:tr>
      <w:tr w:rsidR="00BC21BD">
        <w:trPr>
          <w:trHeight w:val="255"/>
        </w:trPr>
        <w:tc>
          <w:tcPr>
            <w:tcW w:w="2210" w:type="dxa"/>
            <w:vAlign w:val="bottom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896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57" w:type="dxa"/>
            <w:gridSpan w:val="2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54" w:type="dxa"/>
            <w:gridSpan w:val="2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72" w:type="dxa"/>
            <w:gridSpan w:val="2"/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</w:tr>
      <w:tr w:rsidR="00BC21BD">
        <w:trPr>
          <w:trHeight w:val="255"/>
        </w:trPr>
        <w:tc>
          <w:tcPr>
            <w:tcW w:w="13436" w:type="dxa"/>
            <w:gridSpan w:val="11"/>
            <w:tcBorders>
              <w:bottom w:val="single" w:sz="4" w:space="0" w:color="000000"/>
            </w:tcBorders>
            <w:shd w:val="clear" w:color="auto" w:fill="808080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  <w:t>Country Level Variables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Welfare Regimes</w:t>
            </w:r>
          </w:p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Scandinavian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2.60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5.18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2.38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1.38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4.09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1.26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3.82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 Europe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3.19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6.45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2.50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1.42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4.41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1.76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0.99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3.13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 Security: Liberal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3.51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1.80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6.87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4.32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2.46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7.58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1.69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0.95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3.01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Insecurity: Social/Labour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0.45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1.33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0.03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0.84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0.05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0.01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0.26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6.33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2.66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1.44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4.91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1.82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0.97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3.39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 Europe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1.10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4.78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1.77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0.98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3.21</w:t>
            </w: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1.38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0.75</w:t>
            </w: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2.51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Urbanisation</w:t>
            </w:r>
          </w:p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Below Median (&lt;73%)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Above Median (=&gt;73%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1.07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0.74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0.88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0.64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1.20</w:t>
            </w: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0.98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0.72</w:t>
            </w: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Sugar &amp; Sweetener supply</w:t>
            </w:r>
          </w:p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&lt;40 Kg/capita/year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 w:bidi="ar-SA"/>
              </w:rPr>
              <w:t>≥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40 Kg/capita/year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1.14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0.82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1.58</w:t>
            </w: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1.22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0.87</w:t>
            </w: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1.70</w:t>
            </w:r>
          </w:p>
        </w:tc>
      </w:tr>
      <w:tr w:rsidR="00BC21BD">
        <w:trPr>
          <w:trHeight w:val="255"/>
        </w:trPr>
        <w:tc>
          <w:tcPr>
            <w:tcW w:w="13436" w:type="dxa"/>
            <w:gridSpan w:val="11"/>
            <w:tcBorders>
              <w:bottom w:val="single" w:sz="4" w:space="0" w:color="000000"/>
            </w:tcBorders>
            <w:shd w:val="clear" w:color="auto" w:fill="808080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  <w:t>Individual Level Variables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Time since last dental visit / Reason for visit</w:t>
            </w:r>
          </w:p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 w:bidi="ar-SA"/>
              </w:rPr>
              <w:t>≤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12 months</w:t>
            </w:r>
            <w:r>
              <w:rPr>
                <w:rFonts w:ascii="Arial" w:eastAsia="Times New Roman" w:hAnsi="Arial" w:cs="Arial"/>
                <w:sz w:val="20"/>
                <w:szCs w:val="20"/>
                <w:lang w:eastAsia="en-GB" w:bidi="ar-SA"/>
              </w:rPr>
              <w:t xml:space="preserve"> not for treatment</w:t>
            </w:r>
          </w:p>
        </w:tc>
        <w:tc>
          <w:tcPr>
            <w:tcW w:w="88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≤12 months for treatment</w:t>
            </w:r>
          </w:p>
        </w:tc>
        <w:tc>
          <w:tcPr>
            <w:tcW w:w="88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1.33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1.18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1.50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&gt;12 months for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treatment</w:t>
            </w:r>
          </w:p>
        </w:tc>
        <w:tc>
          <w:tcPr>
            <w:tcW w:w="88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6.65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5.91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7.48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&gt;12 months not for treatment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4.28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3.81</w:t>
            </w: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4.81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Age group</w:t>
            </w:r>
          </w:p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20-34 years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35-49 years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2.96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2.23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3.95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2.82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2.07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3.84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2.78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2.04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3.79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50-64 years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23.63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17.96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31.09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22.08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16.43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29.67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21.14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15.73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28.42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65- 79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years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83.11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63.30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109.13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80.67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60.20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108.10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75.70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56.45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101.52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80+ years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190.02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143.06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252.38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178.84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131.53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243.16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159.41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117.00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217.18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Sex</w:t>
            </w:r>
          </w:p>
        </w:tc>
        <w:tc>
          <w:tcPr>
            <w:tcW w:w="2896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Male</w:t>
            </w:r>
          </w:p>
        </w:tc>
        <w:tc>
          <w:tcPr>
            <w:tcW w:w="88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Female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1.28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1.21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1.22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1.38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1.40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</w:tr>
      <w:tr w:rsidR="00BC21BD">
        <w:trPr>
          <w:trHeight w:val="255"/>
        </w:trPr>
        <w:tc>
          <w:tcPr>
            <w:tcW w:w="2210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Quintiles of Wealth Score</w:t>
            </w:r>
          </w:p>
        </w:tc>
        <w:tc>
          <w:tcPr>
            <w:tcW w:w="2896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Wealthiest</w:t>
            </w:r>
          </w:p>
        </w:tc>
        <w:tc>
          <w:tcPr>
            <w:tcW w:w="88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Fourth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2.03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1.97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2.57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1.82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1.59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2.09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Middle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2.53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2.25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2.83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2.66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2.33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3.03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1.99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1.73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2.27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Second</w:t>
            </w: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3.21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3.57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3.59</w:t>
            </w: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3.17</w:t>
            </w:r>
          </w:p>
        </w:tc>
        <w:tc>
          <w:tcPr>
            <w:tcW w:w="825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4.07</w:t>
            </w: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2.52</w:t>
            </w:r>
          </w:p>
        </w:tc>
        <w:tc>
          <w:tcPr>
            <w:tcW w:w="82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2.21</w:t>
            </w:r>
          </w:p>
        </w:tc>
        <w:tc>
          <w:tcPr>
            <w:tcW w:w="84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2.86</w:t>
            </w:r>
          </w:p>
        </w:tc>
      </w:tr>
      <w:tr w:rsidR="00BC21BD">
        <w:trPr>
          <w:trHeight w:val="255"/>
        </w:trPr>
        <w:tc>
          <w:tcPr>
            <w:tcW w:w="2210" w:type="dxa"/>
            <w:vMerge/>
            <w:vAlign w:val="center"/>
          </w:tcPr>
          <w:p w:rsidR="00BC21BD" w:rsidRDefault="00BC21BD"/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Poorest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4.05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3.64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4.50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4.84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4.28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5.47</w:t>
            </w: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3.06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2.69</w:t>
            </w: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3.47</w:t>
            </w:r>
          </w:p>
        </w:tc>
      </w:tr>
      <w:tr w:rsidR="00BC21BD">
        <w:trPr>
          <w:trHeight w:val="255"/>
        </w:trPr>
        <w:tc>
          <w:tcPr>
            <w:tcW w:w="221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VPC</w:t>
            </w:r>
          </w:p>
        </w:tc>
        <w:tc>
          <w:tcPr>
            <w:tcW w:w="2896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6.2%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3.7%</w:t>
            </w:r>
          </w:p>
        </w:tc>
        <w:tc>
          <w:tcPr>
            <w:tcW w:w="82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3.8%</w:t>
            </w:r>
          </w:p>
        </w:tc>
        <w:tc>
          <w:tcPr>
            <w:tcW w:w="8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Variance</w:t>
            </w:r>
          </w:p>
        </w:tc>
        <w:tc>
          <w:tcPr>
            <w:tcW w:w="2896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0.13</w:t>
            </w:r>
          </w:p>
        </w:tc>
        <w:tc>
          <w:tcPr>
            <w:tcW w:w="82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0.13</w:t>
            </w:r>
          </w:p>
        </w:tc>
        <w:tc>
          <w:tcPr>
            <w:tcW w:w="82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21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sample size</w:t>
            </w:r>
          </w:p>
        </w:tc>
        <w:tc>
          <w:tcPr>
            <w:tcW w:w="2896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109963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64566</w:t>
            </w:r>
          </w:p>
        </w:tc>
        <w:tc>
          <w:tcPr>
            <w:tcW w:w="82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25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634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64566</w:t>
            </w:r>
          </w:p>
        </w:tc>
        <w:tc>
          <w:tcPr>
            <w:tcW w:w="82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4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</w:tbl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Model 2A removed individuals who were missing dental care. M2B included dental care in the model.</w:t>
      </w:r>
    </w:p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Countries without data on dental care: Insecurity: Ghana. Informal Security: Indonesia,</w:t>
      </w:r>
      <w:r>
        <w:rPr>
          <w:rFonts w:ascii="Arial" w:hAnsi="Arial" w:cs="Arial"/>
          <w:sz w:val="20"/>
          <w:szCs w:val="20"/>
        </w:rPr>
        <w:t xml:space="preserve"> Mexico, Uruguay.</w:t>
      </w:r>
    </w:p>
    <w:p w:rsidR="00BC21BD" w:rsidRDefault="00EE07BD">
      <w:pPr>
        <w:rPr>
          <w:rFonts w:ascii="Arial" w:hAnsi="Arial" w:cs="Arial"/>
          <w:sz w:val="20"/>
          <w:szCs w:val="20"/>
        </w:rPr>
      </w:pPr>
      <w:r>
        <w:br w:type="page"/>
      </w:r>
    </w:p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Supplementary Table 8 – Odds Ratio of having edentulism according to individual and contextual variables in adult population of 40 countries (Sensitivity analysis for urban x rural areas, multilevel logistic regression with random inter</w:t>
      </w:r>
      <w:r>
        <w:rPr>
          <w:rFonts w:ascii="Arial" w:hAnsi="Arial" w:cs="Arial"/>
          <w:sz w:val="20"/>
          <w:szCs w:val="20"/>
        </w:rPr>
        <w:t>cept with calibrated sampling weight).</w:t>
      </w:r>
    </w:p>
    <w:tbl>
      <w:tblPr>
        <w:tblW w:w="13294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2129"/>
        <w:gridCol w:w="2694"/>
        <w:gridCol w:w="923"/>
        <w:gridCol w:w="848"/>
        <w:gridCol w:w="849"/>
        <w:gridCol w:w="1112"/>
        <w:gridCol w:w="876"/>
        <w:gridCol w:w="871"/>
        <w:gridCol w:w="1233"/>
        <w:gridCol w:w="880"/>
        <w:gridCol w:w="879"/>
      </w:tblGrid>
      <w:tr w:rsidR="00BC21BD">
        <w:trPr>
          <w:trHeight w:val="705"/>
        </w:trPr>
        <w:tc>
          <w:tcPr>
            <w:tcW w:w="212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69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620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M1 – Adjusted full Sample (n=109000) 40 countries</w:t>
            </w:r>
          </w:p>
        </w:tc>
        <w:tc>
          <w:tcPr>
            <w:tcW w:w="2859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M2A – Adjusted small sample (n=105000) 39 countries</w:t>
            </w:r>
          </w:p>
        </w:tc>
        <w:tc>
          <w:tcPr>
            <w:tcW w:w="2992" w:type="dxa"/>
            <w:gridSpan w:val="3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C21BD" w:rsidRDefault="00EE07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M2B – Residence place (n=105000) 39 countries</w:t>
            </w:r>
          </w:p>
        </w:tc>
      </w:tr>
      <w:tr w:rsidR="00BC21BD">
        <w:trPr>
          <w:trHeight w:val="255"/>
        </w:trPr>
        <w:tc>
          <w:tcPr>
            <w:tcW w:w="2128" w:type="dxa"/>
            <w:vAlign w:val="bottom"/>
          </w:tcPr>
          <w:p w:rsidR="00BC21BD" w:rsidRDefault="00BC21BD">
            <w:pPr>
              <w:suppressAutoHyphens w:val="0"/>
              <w:jc w:val="center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269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697" w:type="dxa"/>
            <w:gridSpan w:val="2"/>
            <w:vAlign w:val="center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747" w:type="dxa"/>
            <w:gridSpan w:val="2"/>
            <w:vAlign w:val="center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OR</w:t>
            </w:r>
          </w:p>
        </w:tc>
        <w:tc>
          <w:tcPr>
            <w:tcW w:w="1759" w:type="dxa"/>
            <w:gridSpan w:val="2"/>
            <w:vAlign w:val="center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95%CI</w:t>
            </w:r>
          </w:p>
        </w:tc>
      </w:tr>
      <w:tr w:rsidR="00BC21BD">
        <w:trPr>
          <w:trHeight w:val="255"/>
        </w:trPr>
        <w:tc>
          <w:tcPr>
            <w:tcW w:w="13292" w:type="dxa"/>
            <w:gridSpan w:val="11"/>
            <w:tcBorders>
              <w:bottom w:val="single" w:sz="4" w:space="0" w:color="000000"/>
            </w:tcBorders>
            <w:shd w:val="clear" w:color="auto" w:fill="808080"/>
            <w:vAlign w:val="center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  <w:t>Country Level Variables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 xml:space="preserve">Welfare </w:t>
            </w: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Regimes</w:t>
            </w:r>
          </w:p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Scandinavian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Corporative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2.60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1.30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5.17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2.63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5.26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2.63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1.32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5.27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Eastern Europe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3.19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1.58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6.45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3.28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1.61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6.67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3.28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1.61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6.67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Informal Security: Liberal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3.51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1.80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6.87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3.57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1.82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7.01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3.56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6.99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Insecurity: Social/Labour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0.45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1.33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0.45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0.46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0.15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1.36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Liberal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6.33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3.40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1.39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8.29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3.42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1.40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8.34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Southern Europe</w:t>
            </w:r>
          </w:p>
        </w:tc>
        <w:tc>
          <w:tcPr>
            <w:tcW w:w="92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84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1.09</w:t>
            </w:r>
          </w:p>
        </w:tc>
        <w:tc>
          <w:tcPr>
            <w:tcW w:w="84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4.78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2.34</w:t>
            </w:r>
          </w:p>
        </w:tc>
        <w:tc>
          <w:tcPr>
            <w:tcW w:w="87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1.11</w:t>
            </w:r>
          </w:p>
        </w:tc>
        <w:tc>
          <w:tcPr>
            <w:tcW w:w="87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4.91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2.35</w:t>
            </w:r>
          </w:p>
        </w:tc>
        <w:tc>
          <w:tcPr>
            <w:tcW w:w="8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1.12</w:t>
            </w:r>
          </w:p>
        </w:tc>
        <w:tc>
          <w:tcPr>
            <w:tcW w:w="8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4.94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Urbanisation</w:t>
            </w:r>
          </w:p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Below Median (&lt;73%)</w:t>
            </w:r>
          </w:p>
        </w:tc>
        <w:tc>
          <w:tcPr>
            <w:tcW w:w="92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Above Median (=&gt;73%</w:t>
            </w:r>
          </w:p>
        </w:tc>
        <w:tc>
          <w:tcPr>
            <w:tcW w:w="92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1.07</w:t>
            </w:r>
          </w:p>
        </w:tc>
        <w:tc>
          <w:tcPr>
            <w:tcW w:w="84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0.74</w:t>
            </w:r>
          </w:p>
        </w:tc>
        <w:tc>
          <w:tcPr>
            <w:tcW w:w="84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1.55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1.09</w:t>
            </w:r>
          </w:p>
        </w:tc>
        <w:tc>
          <w:tcPr>
            <w:tcW w:w="87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0.75</w:t>
            </w:r>
          </w:p>
        </w:tc>
        <w:tc>
          <w:tcPr>
            <w:tcW w:w="87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1.59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1.09</w:t>
            </w:r>
          </w:p>
        </w:tc>
        <w:tc>
          <w:tcPr>
            <w:tcW w:w="8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0.75</w:t>
            </w:r>
          </w:p>
        </w:tc>
        <w:tc>
          <w:tcPr>
            <w:tcW w:w="8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1.60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Total Sugar &amp; Sweetener supply</w:t>
            </w:r>
          </w:p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&lt;40 Kg/capita/year</w:t>
            </w:r>
          </w:p>
        </w:tc>
        <w:tc>
          <w:tcPr>
            <w:tcW w:w="92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≥40 Kg/capita/year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1.49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1.01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2.20</w:t>
            </w:r>
          </w:p>
        </w:tc>
      </w:tr>
      <w:tr w:rsidR="00BC21BD">
        <w:trPr>
          <w:trHeight w:val="255"/>
        </w:trPr>
        <w:tc>
          <w:tcPr>
            <w:tcW w:w="13292" w:type="dxa"/>
            <w:gridSpan w:val="11"/>
            <w:tcBorders>
              <w:bottom w:val="single" w:sz="4" w:space="0" w:color="000000"/>
            </w:tcBorders>
            <w:shd w:val="clear" w:color="auto" w:fill="808080"/>
            <w:vAlign w:val="center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color w:val="FFFFFF"/>
                <w:kern w:val="0"/>
                <w:sz w:val="20"/>
                <w:szCs w:val="20"/>
                <w:lang w:eastAsia="en-GB" w:bidi="ar-SA"/>
              </w:rPr>
              <w:t>Individual Level Variables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Residence</w:t>
            </w:r>
          </w:p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Urban</w:t>
            </w:r>
          </w:p>
        </w:tc>
        <w:tc>
          <w:tcPr>
            <w:tcW w:w="923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6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Rural</w:t>
            </w:r>
          </w:p>
        </w:tc>
        <w:tc>
          <w:tcPr>
            <w:tcW w:w="923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6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0.98</w:t>
            </w:r>
          </w:p>
        </w:tc>
        <w:tc>
          <w:tcPr>
            <w:tcW w:w="8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0.92</w:t>
            </w:r>
          </w:p>
        </w:tc>
        <w:tc>
          <w:tcPr>
            <w:tcW w:w="8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1.06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Age group</w:t>
            </w:r>
          </w:p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20-34 years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35-49 years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2.90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2.18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3.85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2.80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2.09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3.74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2.79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2.09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3.73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50-64 years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23.15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17.64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30.39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22.17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16.80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29.27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22.13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16.76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29.21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65- 79 years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81.40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62.14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106.62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80.16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60.87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105.57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79.89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60.66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105.21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80+ years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186.18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140.50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246.72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197.11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147.69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263.05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196.40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147.16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262.11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  <w:tcBorders>
              <w:top w:val="single" w:sz="4" w:space="0" w:color="000000"/>
            </w:tcBorders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Sex</w:t>
            </w:r>
          </w:p>
        </w:tc>
        <w:tc>
          <w:tcPr>
            <w:tcW w:w="269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Male</w:t>
            </w:r>
          </w:p>
        </w:tc>
        <w:tc>
          <w:tcPr>
            <w:tcW w:w="92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4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76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Female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1.28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1.21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1.35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1.25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1.39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1.31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1.24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1.39</w:t>
            </w:r>
          </w:p>
        </w:tc>
      </w:tr>
      <w:tr w:rsidR="00BC21BD">
        <w:trPr>
          <w:trHeight w:val="255"/>
        </w:trPr>
        <w:tc>
          <w:tcPr>
            <w:tcW w:w="2128" w:type="dxa"/>
            <w:vMerge w:val="restart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Quintiles of Wealth Score</w:t>
            </w:r>
          </w:p>
        </w:tc>
        <w:tc>
          <w:tcPr>
            <w:tcW w:w="269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Wealthiest</w:t>
            </w:r>
          </w:p>
        </w:tc>
        <w:tc>
          <w:tcPr>
            <w:tcW w:w="92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48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76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tcBorders>
              <w:top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kern w:val="0"/>
                <w:sz w:val="20"/>
                <w:szCs w:val="20"/>
                <w:lang w:eastAsia="en-GB" w:bidi="ar-SA"/>
              </w:rPr>
              <w:t>1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tcBorders>
              <w:top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Fourth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2.03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2.28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2.04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2.03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1.81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2.29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Middle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2.53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2.25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2.83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2.45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2.18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2.75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2.45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2.18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2.75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Second</w:t>
            </w: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3.21</w:t>
            </w:r>
          </w:p>
        </w:tc>
        <w:tc>
          <w:tcPr>
            <w:tcW w:w="848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2.88</w:t>
            </w:r>
          </w:p>
        </w:tc>
        <w:tc>
          <w:tcPr>
            <w:tcW w:w="84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3.57</w:t>
            </w: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3.10</w:t>
            </w:r>
          </w:p>
        </w:tc>
        <w:tc>
          <w:tcPr>
            <w:tcW w:w="876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2.77</w:t>
            </w:r>
          </w:p>
        </w:tc>
        <w:tc>
          <w:tcPr>
            <w:tcW w:w="871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3.46</w:t>
            </w: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3.10</w:t>
            </w:r>
          </w:p>
        </w:tc>
        <w:tc>
          <w:tcPr>
            <w:tcW w:w="880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2.77</w:t>
            </w:r>
          </w:p>
        </w:tc>
        <w:tc>
          <w:tcPr>
            <w:tcW w:w="879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3.46</w:t>
            </w:r>
          </w:p>
        </w:tc>
      </w:tr>
      <w:tr w:rsidR="00BC21BD">
        <w:trPr>
          <w:trHeight w:val="255"/>
        </w:trPr>
        <w:tc>
          <w:tcPr>
            <w:tcW w:w="2128" w:type="dxa"/>
            <w:vMerge/>
            <w:vAlign w:val="center"/>
          </w:tcPr>
          <w:p w:rsidR="00BC21BD" w:rsidRDefault="00BC21BD"/>
        </w:tc>
        <w:tc>
          <w:tcPr>
            <w:tcW w:w="269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Poorest</w:t>
            </w:r>
          </w:p>
        </w:tc>
        <w:tc>
          <w:tcPr>
            <w:tcW w:w="92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4.05</w:t>
            </w:r>
          </w:p>
        </w:tc>
        <w:tc>
          <w:tcPr>
            <w:tcW w:w="848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3.64</w:t>
            </w:r>
          </w:p>
        </w:tc>
        <w:tc>
          <w:tcPr>
            <w:tcW w:w="84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4.50</w:t>
            </w:r>
          </w:p>
        </w:tc>
        <w:tc>
          <w:tcPr>
            <w:tcW w:w="111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3.85</w:t>
            </w:r>
          </w:p>
        </w:tc>
        <w:tc>
          <w:tcPr>
            <w:tcW w:w="876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3.46</w:t>
            </w:r>
          </w:p>
        </w:tc>
        <w:tc>
          <w:tcPr>
            <w:tcW w:w="871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4.29</w:t>
            </w: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n-GB" w:bidi="ar-SA"/>
              </w:rPr>
              <w:t>3.86</w:t>
            </w:r>
          </w:p>
        </w:tc>
        <w:tc>
          <w:tcPr>
            <w:tcW w:w="880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3.47</w:t>
            </w:r>
          </w:p>
        </w:tc>
        <w:tc>
          <w:tcPr>
            <w:tcW w:w="879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4.31</w:t>
            </w:r>
          </w:p>
        </w:tc>
      </w:tr>
      <w:tr w:rsidR="00BC21BD">
        <w:trPr>
          <w:trHeight w:val="255"/>
        </w:trPr>
        <w:tc>
          <w:tcPr>
            <w:tcW w:w="2128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VPC</w:t>
            </w:r>
          </w:p>
        </w:tc>
        <w:tc>
          <w:tcPr>
            <w:tcW w:w="269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6.2%</w:t>
            </w: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6.3%</w:t>
            </w: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6.3%</w:t>
            </w: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2128" w:type="dxa"/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lastRenderedPageBreak/>
              <w:t>Variance</w:t>
            </w:r>
          </w:p>
        </w:tc>
        <w:tc>
          <w:tcPr>
            <w:tcW w:w="2693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92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848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876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0.22</w:t>
            </w:r>
          </w:p>
        </w:tc>
        <w:tc>
          <w:tcPr>
            <w:tcW w:w="880" w:type="dxa"/>
            <w:vAlign w:val="bottom"/>
          </w:tcPr>
          <w:p w:rsidR="00BC21BD" w:rsidRDefault="00BC21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  <w:tr w:rsidR="00BC21BD">
        <w:trPr>
          <w:trHeight w:val="255"/>
        </w:trPr>
        <w:tc>
          <w:tcPr>
            <w:tcW w:w="4821" w:type="dxa"/>
            <w:gridSpan w:val="2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sample size</w:t>
            </w:r>
          </w:p>
        </w:tc>
        <w:tc>
          <w:tcPr>
            <w:tcW w:w="92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109963</w:t>
            </w:r>
          </w:p>
        </w:tc>
        <w:tc>
          <w:tcPr>
            <w:tcW w:w="848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4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112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105226</w:t>
            </w:r>
          </w:p>
        </w:tc>
        <w:tc>
          <w:tcPr>
            <w:tcW w:w="876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1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1233" w:type="dxa"/>
            <w:tcBorders>
              <w:bottom w:val="single" w:sz="4" w:space="0" w:color="000000"/>
            </w:tcBorders>
            <w:vAlign w:val="bottom"/>
          </w:tcPr>
          <w:p w:rsidR="00BC21BD" w:rsidRDefault="00EE07BD">
            <w:pPr>
              <w:suppressAutoHyphens w:val="0"/>
              <w:jc w:val="right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  <w:t>105226</w:t>
            </w:r>
          </w:p>
        </w:tc>
        <w:tc>
          <w:tcPr>
            <w:tcW w:w="880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  <w:tc>
          <w:tcPr>
            <w:tcW w:w="879" w:type="dxa"/>
            <w:tcBorders>
              <w:bottom w:val="single" w:sz="4" w:space="0" w:color="000000"/>
            </w:tcBorders>
            <w:vAlign w:val="bottom"/>
          </w:tcPr>
          <w:p w:rsidR="00BC21BD" w:rsidRDefault="00BC21BD">
            <w:pPr>
              <w:suppressAutoHyphens w:val="0"/>
              <w:rPr>
                <w:rFonts w:ascii="Arial" w:eastAsia="Times New Roman" w:hAnsi="Arial" w:cs="Arial"/>
                <w:kern w:val="0"/>
                <w:sz w:val="20"/>
                <w:szCs w:val="20"/>
                <w:lang w:eastAsia="en-GB" w:bidi="ar-SA"/>
              </w:rPr>
            </w:pPr>
          </w:p>
        </w:tc>
      </w:tr>
    </w:tbl>
    <w:p w:rsidR="00BC21BD" w:rsidRDefault="00EE07BD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Model 2A removed individuals with missing</w:t>
      </w:r>
      <w:r>
        <w:rPr>
          <w:rFonts w:ascii="Arial" w:hAnsi="Arial" w:cs="Arial"/>
          <w:sz w:val="20"/>
          <w:szCs w:val="20"/>
        </w:rPr>
        <w:t xml:space="preserve"> on urban/rural location. M2B included urban/rural location (removed USA, and all Brazilians are urban)</w:t>
      </w:r>
    </w:p>
    <w:sectPr w:rsidR="00BC21BD">
      <w:headerReference w:type="even" r:id="rId32"/>
      <w:headerReference w:type="default" r:id="rId33"/>
      <w:footerReference w:type="even" r:id="rId34"/>
      <w:footerReference w:type="default" r:id="rId35"/>
      <w:headerReference w:type="first" r:id="rId36"/>
      <w:footerReference w:type="first" r:id="rId37"/>
      <w:pgSz w:w="16838" w:h="11906" w:orient="landscape"/>
      <w:pgMar w:top="1440" w:right="1440" w:bottom="1440" w:left="851" w:header="706" w:footer="706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07BD" w:rsidRDefault="00EE07BD">
      <w:r>
        <w:separator/>
      </w:r>
    </w:p>
  </w:endnote>
  <w:endnote w:type="continuationSeparator" w:id="0">
    <w:p w:rsidR="00EE07BD" w:rsidRDefault="00EE0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ptos Display">
    <w:altName w:val="Calibri"/>
    <w:charset w:val="01"/>
    <w:family w:val="roman"/>
    <w:pitch w:val="variable"/>
  </w:font>
  <w:font w:name="OpenSymbol">
    <w:altName w:val="Cambria"/>
    <w:charset w:val="01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1"/>
    <w:family w:val="swiss"/>
    <w:pitch w:val="variable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Footer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BC21BD">
          <w:pPr>
            <w:pStyle w:val="Header"/>
            <w:ind w:right="-115"/>
            <w:jc w:val="right"/>
          </w:pPr>
        </w:p>
      </w:tc>
    </w:tr>
  </w:tbl>
  <w:p w:rsidR="00BC21BD" w:rsidRDefault="00BC21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07BD" w:rsidRDefault="00EE07BD">
      <w:r>
        <w:separator/>
      </w:r>
    </w:p>
  </w:footnote>
  <w:footnote w:type="continuationSeparator" w:id="0">
    <w:p w:rsidR="00EE07BD" w:rsidRDefault="00EE07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4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5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5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21BD" w:rsidRDefault="00BC21BD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12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0" w:type="dxa"/>
      <w:tblInd w:w="-108" w:type="dxa"/>
      <w:tblLayout w:type="fixed"/>
      <w:tblLook w:val="04A0" w:firstRow="1" w:lastRow="0" w:firstColumn="1" w:lastColumn="0" w:noHBand="0" w:noVBand="1"/>
    </w:tblPr>
    <w:tblGrid>
      <w:gridCol w:w="3210"/>
      <w:gridCol w:w="3210"/>
      <w:gridCol w:w="3210"/>
    </w:tblGrid>
    <w:tr w:rsidR="00BC21BD">
      <w:trPr>
        <w:trHeight w:val="300"/>
      </w:trPr>
      <w:tc>
        <w:tcPr>
          <w:tcW w:w="3210" w:type="dxa"/>
        </w:tcPr>
        <w:p w:rsidR="00BC21BD" w:rsidRDefault="00BC21BD">
          <w:pPr>
            <w:pStyle w:val="Header"/>
            <w:ind w:left="-115"/>
          </w:pPr>
        </w:p>
      </w:tc>
      <w:tc>
        <w:tcPr>
          <w:tcW w:w="3210" w:type="dxa"/>
        </w:tcPr>
        <w:p w:rsidR="00BC21BD" w:rsidRDefault="00BC21BD">
          <w:pPr>
            <w:pStyle w:val="Header"/>
            <w:jc w:val="center"/>
          </w:pPr>
        </w:p>
      </w:tc>
      <w:tc>
        <w:tcPr>
          <w:tcW w:w="3210" w:type="dxa"/>
        </w:tcPr>
        <w:p w:rsidR="00BC21BD" w:rsidRDefault="00EE07BD">
          <w:pPr>
            <w:pStyle w:val="Header"/>
            <w:ind w:right="-115"/>
            <w:jc w:val="right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12</w:t>
          </w:r>
          <w:r>
            <w:fldChar w:fldCharType="end"/>
          </w:r>
        </w:p>
      </w:tc>
    </w:tr>
  </w:tbl>
  <w:p w:rsidR="00BC21BD" w:rsidRDefault="00BC21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90E35"/>
    <w:multiLevelType w:val="multilevel"/>
    <w:tmpl w:val="5F3011D2"/>
    <w:lvl w:ilvl="0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760"/>
        </w:tabs>
        <w:ind w:left="176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0"/>
        </w:tabs>
        <w:ind w:left="212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840"/>
        </w:tabs>
        <w:ind w:left="284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3200"/>
        </w:tabs>
        <w:ind w:left="320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920"/>
        </w:tabs>
        <w:ind w:left="392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4280"/>
        </w:tabs>
        <w:ind w:left="4280" w:hanging="360"/>
      </w:pPr>
      <w:rPr>
        <w:rFonts w:ascii="Symbol" w:hAnsi="Symbol" w:cs="Symbol" w:hint="default"/>
      </w:rPr>
    </w:lvl>
  </w:abstractNum>
  <w:abstractNum w:abstractNumId="1" w15:restartNumberingAfterBreak="0">
    <w:nsid w:val="77FA007E"/>
    <w:multiLevelType w:val="multilevel"/>
    <w:tmpl w:val="2758CEF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A735963"/>
    <w:multiLevelType w:val="multilevel"/>
    <w:tmpl w:val="01F8C5CE"/>
    <w:lvl w:ilvl="0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760"/>
        </w:tabs>
        <w:ind w:left="176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0"/>
        </w:tabs>
        <w:ind w:left="212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840"/>
        </w:tabs>
        <w:ind w:left="284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3200"/>
        </w:tabs>
        <w:ind w:left="320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920"/>
        </w:tabs>
        <w:ind w:left="392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4280"/>
        </w:tabs>
        <w:ind w:left="4280" w:hanging="360"/>
      </w:pPr>
      <w:rPr>
        <w:rFonts w:ascii="Symbol" w:hAnsi="Symbol" w:cs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1BD"/>
    <w:rsid w:val="00BC21BD"/>
    <w:rsid w:val="00D22DB6"/>
    <w:rsid w:val="00EE0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C490F5B-3141-4A54-B9C1-C3A74D8E3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en-GB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="Aptos Display" w:hAnsi="Aptos Display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/>
      <w:outlineLvl w:val="1"/>
    </w:pPr>
    <w:rPr>
      <w:rFonts w:ascii="Aptos Display" w:hAnsi="Aptos Display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/>
      <w:outlineLvl w:val="2"/>
    </w:pPr>
    <w:rPr>
      <w:rFonts w:ascii="Aptos Display" w:hAnsi="Aptos Display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/>
      <w:outlineLvl w:val="3"/>
    </w:pPr>
    <w:rPr>
      <w:rFonts w:ascii="Aptos Display" w:hAnsi="Aptos Display"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40"/>
      <w:outlineLvl w:val="4"/>
    </w:pPr>
    <w:rPr>
      <w:rFonts w:ascii="Aptos Display" w:hAnsi="Aptos Display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ascii="Aptos Display" w:hAnsi="Aptos Display"/>
    </w:rPr>
  </w:style>
  <w:style w:type="paragraph" w:styleId="Heading7">
    <w:name w:val="heading 7"/>
    <w:basedOn w:val="Normal"/>
    <w:next w:val="Normal"/>
    <w:link w:val="Heading7Char"/>
    <w:qFormat/>
    <w:pPr>
      <w:keepNext/>
      <w:keepLines/>
      <w:spacing w:before="40"/>
      <w:outlineLvl w:val="6"/>
    </w:pPr>
    <w:rPr>
      <w:rFonts w:ascii="Aptos Display" w:hAnsi="Aptos Display"/>
      <w:i/>
      <w:iCs/>
    </w:rPr>
  </w:style>
  <w:style w:type="paragraph" w:styleId="Heading8">
    <w:name w:val="heading 8"/>
    <w:basedOn w:val="Normal"/>
    <w:next w:val="Normal"/>
    <w:link w:val="Heading8Char"/>
    <w:qFormat/>
    <w:pPr>
      <w:keepNext/>
      <w:keepLines/>
      <w:spacing w:before="40"/>
      <w:outlineLvl w:val="7"/>
    </w:pPr>
    <w:rPr>
      <w:rFonts w:ascii="Aptos Display" w:hAnsi="Aptos Display"/>
      <w:sz w:val="21"/>
      <w:szCs w:val="21"/>
    </w:rPr>
  </w:style>
  <w:style w:type="paragraph" w:styleId="Heading9">
    <w:name w:val="heading 9"/>
    <w:basedOn w:val="Normal"/>
    <w:next w:val="Normal"/>
    <w:link w:val="Heading9Char"/>
    <w:qFormat/>
    <w:pPr>
      <w:keepNext/>
      <w:keepLines/>
      <w:spacing w:before="40"/>
      <w:outlineLvl w:val="8"/>
    </w:pPr>
    <w:rPr>
      <w:rFonts w:ascii="Aptos Display" w:hAnsi="Aptos Display"/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467886" w:themeColor="hyperlink"/>
      <w:u w:val="single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Bulletsuser">
    <w:name w:val="Bullets (user)"/>
    <w:qFormat/>
    <w:rPr>
      <w:rFonts w:ascii="OpenSymbol" w:eastAsia="OpenSymbol" w:hAnsi="OpenSymbol" w:cs="OpenSymbol"/>
    </w:rPr>
  </w:style>
  <w:style w:type="character" w:customStyle="1" w:styleId="Heading1Char">
    <w:name w:val="Heading 1 Char"/>
    <w:basedOn w:val="DefaultParagraphFont"/>
    <w:link w:val="Heading1"/>
    <w:qFormat/>
    <w:rPr>
      <w:rFonts w:ascii="Aptos Display" w:eastAsia="Noto Serif CJK SC" w:hAnsi="Aptos Display" w:cs="Lohit Devanagari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qFormat/>
    <w:rPr>
      <w:rFonts w:ascii="Aptos Display" w:eastAsia="Noto Serif CJK SC" w:hAnsi="Aptos Display" w:cs="Lohit Devanagari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qFormat/>
    <w:rPr>
      <w:rFonts w:ascii="Aptos Display" w:eastAsia="Noto Serif CJK SC" w:hAnsi="Aptos Display" w:cs="Lohit Devanagari"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qFormat/>
    <w:rPr>
      <w:rFonts w:ascii="Aptos Display" w:eastAsia="Noto Serif CJK SC" w:hAnsi="Aptos Display" w:cs="Lohit Devanagari"/>
      <w:i/>
      <w:iCs/>
      <w:lang w:val="en-GB"/>
    </w:rPr>
  </w:style>
  <w:style w:type="character" w:customStyle="1" w:styleId="Heading5Char">
    <w:name w:val="Heading 5 Char"/>
    <w:basedOn w:val="DefaultParagraphFont"/>
    <w:link w:val="Heading5"/>
    <w:qFormat/>
    <w:rPr>
      <w:rFonts w:ascii="Aptos Display" w:eastAsia="Noto Serif CJK SC" w:hAnsi="Aptos Display" w:cs="Lohit Devanagari"/>
      <w:lang w:val="en-GB"/>
    </w:rPr>
  </w:style>
  <w:style w:type="character" w:customStyle="1" w:styleId="Heading6Char">
    <w:name w:val="Heading 6 Char"/>
    <w:basedOn w:val="DefaultParagraphFont"/>
    <w:link w:val="Heading6"/>
    <w:qFormat/>
    <w:rPr>
      <w:rFonts w:ascii="Aptos Display" w:eastAsia="Noto Serif CJK SC" w:hAnsi="Aptos Display" w:cs="Lohit Devanagari"/>
      <w:lang w:val="en-GB"/>
    </w:rPr>
  </w:style>
  <w:style w:type="character" w:customStyle="1" w:styleId="Heading7Char">
    <w:name w:val="Heading 7 Char"/>
    <w:basedOn w:val="DefaultParagraphFont"/>
    <w:link w:val="Heading7"/>
    <w:qFormat/>
    <w:rPr>
      <w:rFonts w:ascii="Aptos Display" w:eastAsia="Noto Serif CJK SC" w:hAnsi="Aptos Display" w:cs="Lohit Devanagari"/>
      <w:i/>
      <w:iCs/>
      <w:lang w:val="en-GB"/>
    </w:rPr>
  </w:style>
  <w:style w:type="character" w:customStyle="1" w:styleId="Heading8Char">
    <w:name w:val="Heading 8 Char"/>
    <w:basedOn w:val="DefaultParagraphFont"/>
    <w:link w:val="Heading8"/>
    <w:qFormat/>
    <w:rPr>
      <w:rFonts w:ascii="Aptos Display" w:eastAsia="Noto Serif CJK SC" w:hAnsi="Aptos Display" w:cs="Lohit Devanagari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qFormat/>
    <w:rPr>
      <w:rFonts w:ascii="Aptos Display" w:eastAsia="Noto Serif CJK SC" w:hAnsi="Aptos Display" w:cs="Lohit Devanagari"/>
      <w:i/>
      <w:iCs/>
      <w:sz w:val="21"/>
      <w:szCs w:val="21"/>
      <w:lang w:val="en-GB"/>
    </w:rPr>
  </w:style>
  <w:style w:type="character" w:customStyle="1" w:styleId="TitleChar">
    <w:name w:val="Title Char"/>
    <w:basedOn w:val="DefaultParagraphFont"/>
    <w:link w:val="Title"/>
    <w:qFormat/>
    <w:rPr>
      <w:rFonts w:ascii="Aptos Display" w:eastAsia="Noto Serif CJK SC" w:hAnsi="Aptos Display" w:cs="Lohit Devanagari"/>
      <w:sz w:val="56"/>
      <w:szCs w:val="56"/>
      <w:lang w:val="en-GB"/>
    </w:rPr>
  </w:style>
  <w:style w:type="character" w:customStyle="1" w:styleId="SubtitleChar">
    <w:name w:val="Subtitle Char"/>
    <w:basedOn w:val="DefaultParagraphFont"/>
    <w:link w:val="Subtitle"/>
    <w:qFormat/>
    <w:rPr>
      <w:rFonts w:ascii="Liberation Serif" w:eastAsia="Noto Serif CJK SC" w:hAnsi="Liberation Serif" w:cs="Lohit Devanagari"/>
      <w:lang w:val="en-GB"/>
    </w:rPr>
  </w:style>
  <w:style w:type="character" w:customStyle="1" w:styleId="QuoteChar">
    <w:name w:val="Quote Char"/>
    <w:basedOn w:val="DefaultParagraphFont"/>
    <w:link w:val="Quote"/>
    <w:qFormat/>
    <w:rPr>
      <w:i/>
      <w:iCs/>
      <w:lang w:val="en-GB"/>
    </w:rPr>
  </w:style>
  <w:style w:type="character" w:customStyle="1" w:styleId="IntenseQuoteChar">
    <w:name w:val="Intense Quote Char"/>
    <w:basedOn w:val="DefaultParagraphFont"/>
    <w:link w:val="IntenseQuote"/>
    <w:qFormat/>
    <w:rPr>
      <w:i/>
      <w:iCs/>
      <w:lang w:val="en-GB"/>
    </w:rPr>
  </w:style>
  <w:style w:type="character" w:customStyle="1" w:styleId="EndnoteTextChar">
    <w:name w:val="Endnote Text Char"/>
    <w:basedOn w:val="DefaultParagraphFont"/>
    <w:link w:val="EndnoteText"/>
    <w:qFormat/>
    <w:rPr>
      <w:sz w:val="20"/>
      <w:szCs w:val="20"/>
      <w:lang w:val="en-GB"/>
    </w:rPr>
  </w:style>
  <w:style w:type="character" w:customStyle="1" w:styleId="FooterChar">
    <w:name w:val="Footer Char"/>
    <w:basedOn w:val="DefaultParagraphFont"/>
    <w:link w:val="Footer"/>
    <w:qFormat/>
    <w:rPr>
      <w:lang w:val="en-GB"/>
    </w:rPr>
  </w:style>
  <w:style w:type="character" w:customStyle="1" w:styleId="FootnoteTextChar">
    <w:name w:val="Footnote Text Char"/>
    <w:basedOn w:val="DefaultParagraphFont"/>
    <w:link w:val="FootnoteText"/>
    <w:qFormat/>
    <w:rPr>
      <w:sz w:val="20"/>
      <w:szCs w:val="20"/>
      <w:lang w:val="en-GB"/>
    </w:rPr>
  </w:style>
  <w:style w:type="character" w:customStyle="1" w:styleId="CommentTextChar">
    <w:name w:val="Comment Text Char"/>
    <w:basedOn w:val="DefaultParagraphFont"/>
    <w:link w:val="CommentText"/>
    <w:qFormat/>
    <w:rPr>
      <w:rFonts w:cs="Mangal"/>
      <w:sz w:val="20"/>
      <w:szCs w:val="18"/>
    </w:rPr>
  </w:style>
  <w:style w:type="character" w:styleId="CommentReference">
    <w:name w:val="annotation reference"/>
    <w:basedOn w:val="DefaultParagraphFont"/>
    <w:qFormat/>
    <w:rPr>
      <w:sz w:val="16"/>
      <w:szCs w:val="16"/>
    </w:rPr>
  </w:style>
  <w:style w:type="character" w:styleId="PlaceholderText">
    <w:name w:val="Placeholder Text"/>
    <w:basedOn w:val="DefaultParagraphFont"/>
    <w:qFormat/>
    <w:rPr>
      <w:color w:val="666666"/>
    </w:rPr>
  </w:style>
  <w:style w:type="character" w:customStyle="1" w:styleId="cf01">
    <w:name w:val="cf01"/>
    <w:basedOn w:val="DefaultParagraphFont"/>
    <w:qFormat/>
    <w:rPr>
      <w:rFonts w:ascii="Segoe UI" w:hAnsi="Segoe UI" w:cs="Segoe UI"/>
      <w:sz w:val="18"/>
      <w:szCs w:val="18"/>
    </w:rPr>
  </w:style>
  <w:style w:type="character" w:customStyle="1" w:styleId="CommentSubjectChar">
    <w:name w:val="Comment Subject Char"/>
    <w:basedOn w:val="CommentTextChar"/>
    <w:link w:val="CommentSubject"/>
    <w:qFormat/>
    <w:rPr>
      <w:rFonts w:cs="Mangal"/>
      <w:b/>
      <w:bCs/>
      <w:sz w:val="20"/>
      <w:szCs w:val="18"/>
    </w:rPr>
  </w:style>
  <w:style w:type="character" w:customStyle="1" w:styleId="HTMLPreformattedChar">
    <w:name w:val="HTML Preformatted Char"/>
    <w:basedOn w:val="DefaultParagraphFont"/>
    <w:link w:val="HTMLPreformatted"/>
    <w:qFormat/>
    <w:rPr>
      <w:rFonts w:ascii="Courier New" w:eastAsia="Times New Roman" w:hAnsi="Courier New" w:cs="Courier New"/>
      <w:kern w:val="0"/>
      <w:sz w:val="20"/>
      <w:szCs w:val="20"/>
      <w:lang w:val="en-SG" w:bidi="ar-SA"/>
    </w:rPr>
  </w:style>
  <w:style w:type="character" w:customStyle="1" w:styleId="gnvwddmdn3b">
    <w:name w:val="gnvwddmdn3b"/>
    <w:basedOn w:val="DefaultParagraphFont"/>
    <w:qFormat/>
  </w:style>
  <w:style w:type="character" w:styleId="Emphasis">
    <w:name w:val="Emphasis"/>
    <w:basedOn w:val="DefaultParagraphFont"/>
    <w:qFormat/>
    <w:rPr>
      <w:i/>
      <w:iCs/>
    </w:rPr>
  </w:style>
  <w:style w:type="character" w:styleId="UnresolvedMention">
    <w:name w:val="Unresolved Mention"/>
    <w:basedOn w:val="DefaultParagraphFont"/>
    <w:qFormat/>
    <w:rPr>
      <w:color w:val="605E5C"/>
      <w:shd w:val="clear" w:color="auto" w:fill="E1DFDD"/>
    </w:rPr>
  </w:style>
  <w:style w:type="character" w:styleId="LineNumber">
    <w:name w:val="line number"/>
  </w:style>
  <w:style w:type="character" w:styleId="FollowedHyperlink">
    <w:name w:val="FollowedHyperlink"/>
    <w:rPr>
      <w:color w:val="800000"/>
      <w:u w:val="single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pacing w:before="120" w:after="120"/>
    </w:pPr>
    <w:rPr>
      <w:i/>
      <w:iCs/>
    </w:rPr>
  </w:style>
  <w:style w:type="paragraph" w:customStyle="1" w:styleId="Index">
    <w:name w:val="Index"/>
    <w:basedOn w:val="Normal"/>
    <w:qFormat/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pPr>
      <w:tabs>
        <w:tab w:val="center" w:pos="4252"/>
        <w:tab w:val="right" w:pos="8504"/>
      </w:tabs>
    </w:pPr>
  </w:style>
  <w:style w:type="paragraph" w:customStyle="1" w:styleId="FrameContentsuser">
    <w:name w:val="Frame Contents (user)"/>
    <w:basedOn w:val="Normal"/>
    <w:qFormat/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="Aptos Display" w:hAnsi="Aptos Display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</w:style>
  <w:style w:type="paragraph" w:styleId="Quote">
    <w:name w:val="Quote"/>
    <w:basedOn w:val="Normal"/>
    <w:next w:val="Normal"/>
    <w:link w:val="QuoteChar"/>
    <w:qFormat/>
    <w:pPr>
      <w:spacing w:before="200"/>
      <w:ind w:left="864" w:right="864"/>
      <w:jc w:val="center"/>
    </w:pPr>
    <w:rPr>
      <w:i/>
      <w:iCs/>
    </w:rPr>
  </w:style>
  <w:style w:type="paragraph" w:styleId="IntenseQuote">
    <w:name w:val="Intense Quote"/>
    <w:basedOn w:val="Normal"/>
    <w:next w:val="Normal"/>
    <w:link w:val="IntenseQuoteChar"/>
    <w:qFormat/>
    <w:pPr>
      <w:spacing w:before="360" w:after="360"/>
      <w:ind w:left="864" w:right="864"/>
      <w:jc w:val="center"/>
    </w:pPr>
    <w:rPr>
      <w:i/>
      <w:iCs/>
    </w:rPr>
  </w:style>
  <w:style w:type="paragraph" w:styleId="ListParagraph">
    <w:name w:val="List Paragraph"/>
    <w:basedOn w:val="Normal"/>
    <w:qFormat/>
    <w:pPr>
      <w:ind w:left="720"/>
      <w:contextualSpacing/>
    </w:pPr>
  </w:style>
  <w:style w:type="paragraph" w:styleId="TOC1">
    <w:name w:val="toc 1"/>
    <w:basedOn w:val="Normal"/>
    <w:next w:val="Normal"/>
    <w:pPr>
      <w:spacing w:after="100"/>
    </w:pPr>
  </w:style>
  <w:style w:type="paragraph" w:styleId="TOC2">
    <w:name w:val="toc 2"/>
    <w:basedOn w:val="Normal"/>
    <w:next w:val="Normal"/>
    <w:pPr>
      <w:spacing w:after="100"/>
      <w:ind w:left="220"/>
    </w:pPr>
  </w:style>
  <w:style w:type="paragraph" w:styleId="TOC3">
    <w:name w:val="toc 3"/>
    <w:basedOn w:val="Normal"/>
    <w:next w:val="Normal"/>
    <w:pPr>
      <w:spacing w:after="100"/>
      <w:ind w:left="440"/>
    </w:pPr>
  </w:style>
  <w:style w:type="paragraph" w:styleId="TOC4">
    <w:name w:val="toc 4"/>
    <w:basedOn w:val="Normal"/>
    <w:next w:val="Normal"/>
    <w:pPr>
      <w:spacing w:after="100"/>
      <w:ind w:left="660"/>
    </w:pPr>
  </w:style>
  <w:style w:type="paragraph" w:styleId="TOC5">
    <w:name w:val="toc 5"/>
    <w:basedOn w:val="Normal"/>
    <w:next w:val="Normal"/>
    <w:pPr>
      <w:spacing w:after="100"/>
      <w:ind w:left="880"/>
    </w:pPr>
  </w:style>
  <w:style w:type="paragraph" w:styleId="TOC6">
    <w:name w:val="toc 6"/>
    <w:basedOn w:val="Normal"/>
    <w:next w:val="Normal"/>
    <w:pPr>
      <w:spacing w:after="100"/>
      <w:ind w:left="1100"/>
    </w:pPr>
  </w:style>
  <w:style w:type="paragraph" w:styleId="TOC7">
    <w:name w:val="toc 7"/>
    <w:basedOn w:val="Normal"/>
    <w:next w:val="Normal"/>
    <w:pPr>
      <w:spacing w:after="100"/>
      <w:ind w:left="1320"/>
    </w:pPr>
  </w:style>
  <w:style w:type="paragraph" w:styleId="TOC8">
    <w:name w:val="toc 8"/>
    <w:basedOn w:val="Normal"/>
    <w:next w:val="Normal"/>
    <w:pPr>
      <w:spacing w:after="100"/>
      <w:ind w:left="1540"/>
    </w:pPr>
  </w:style>
  <w:style w:type="paragraph" w:styleId="TOC9">
    <w:name w:val="toc 9"/>
    <w:basedOn w:val="Normal"/>
    <w:next w:val="Normal"/>
    <w:pPr>
      <w:spacing w:after="100"/>
      <w:ind w:left="1760"/>
    </w:pPr>
  </w:style>
  <w:style w:type="paragraph" w:styleId="EndnoteText">
    <w:name w:val="endnote text"/>
    <w:basedOn w:val="Normal"/>
    <w:link w:val="EndnoteTextChar"/>
    <w:rPr>
      <w:sz w:val="20"/>
      <w:szCs w:val="20"/>
    </w:rPr>
  </w:style>
  <w:style w:type="paragraph" w:styleId="Footer">
    <w:name w:val="footer"/>
    <w:basedOn w:val="Normal"/>
    <w:link w:val="FooterChar"/>
    <w:pPr>
      <w:tabs>
        <w:tab w:val="center" w:pos="4680"/>
        <w:tab w:val="right" w:pos="9360"/>
      </w:tabs>
    </w:pPr>
  </w:style>
  <w:style w:type="paragraph" w:styleId="FootnoteText">
    <w:name w:val="footnote text"/>
    <w:basedOn w:val="Normal"/>
    <w:link w:val="FootnoteTextChar"/>
    <w:rPr>
      <w:sz w:val="20"/>
      <w:szCs w:val="20"/>
    </w:rPr>
  </w:style>
  <w:style w:type="paragraph" w:styleId="CommentText">
    <w:name w:val="annotation text"/>
    <w:basedOn w:val="Normal"/>
    <w:link w:val="CommentTextChar"/>
    <w:rPr>
      <w:rFonts w:cs="Mangal"/>
      <w:sz w:val="20"/>
      <w:szCs w:val="18"/>
    </w:rPr>
  </w:style>
  <w:style w:type="paragraph" w:customStyle="1" w:styleId="pf0">
    <w:name w:val="pf0"/>
    <w:basedOn w:val="Normal"/>
    <w:qFormat/>
    <w:pPr>
      <w:suppressAutoHyphens w:val="0"/>
      <w:spacing w:before="280" w:after="280"/>
    </w:pPr>
    <w:rPr>
      <w:rFonts w:ascii="Times New Roman" w:eastAsia="Times New Roman" w:hAnsi="Times New Roman" w:cs="Times New Roman"/>
      <w:kern w:val="0"/>
      <w:lang w:eastAsia="en-GB" w:bidi="ar-SA"/>
    </w:rPr>
  </w:style>
  <w:style w:type="paragraph" w:styleId="CommentSubject">
    <w:name w:val="annotation subject"/>
    <w:basedOn w:val="CommentText"/>
    <w:next w:val="CommentText"/>
    <w:link w:val="CommentSubjectChar"/>
    <w:qFormat/>
    <w:rPr>
      <w:b/>
      <w:bCs/>
    </w:rPr>
  </w:style>
  <w:style w:type="paragraph" w:styleId="HTMLPreformatted">
    <w:name w:val="HTML Preformatted"/>
    <w:basedOn w:val="Normal"/>
    <w:link w:val="HTMLPreformattedChar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val="en-SG" w:bidi="ar-SA"/>
    </w:rPr>
  </w:style>
  <w:style w:type="paragraph" w:styleId="Revision">
    <w:name w:val="Revision"/>
    <w:qFormat/>
    <w:pPr>
      <w:suppressAutoHyphens w:val="0"/>
    </w:pPr>
    <w:rPr>
      <w:rFonts w:cs="Mangal"/>
      <w:szCs w:val="21"/>
    </w:rPr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c.ukdataservice.ac.uk/doc/6884/mrdoc/pdf/6884leaflets.pdf" TargetMode="External"/><Relationship Id="rId18" Type="http://schemas.openxmlformats.org/officeDocument/2006/relationships/hyperlink" Target="https://pdfs.semanticscholar.org/697f/a0ef31a63312bf493370366ea52d2f431a6a.pdf" TargetMode="External"/><Relationship Id="rId26" Type="http://schemas.openxmlformats.org/officeDocument/2006/relationships/header" Target="header4.xml"/><Relationship Id="rId39" Type="http://schemas.openxmlformats.org/officeDocument/2006/relationships/theme" Target="theme/theme1.xml"/><Relationship Id="rId21" Type="http://schemas.openxmlformats.org/officeDocument/2006/relationships/header" Target="header2.xml"/><Relationship Id="rId34" Type="http://schemas.openxmlformats.org/officeDocument/2006/relationships/footer" Target="footer7.xml"/><Relationship Id="rId7" Type="http://schemas.openxmlformats.org/officeDocument/2006/relationships/hyperlink" Target="https://search.gesis.org/research_data/ZA4977?doi=10.4232/1.11140" TargetMode="External"/><Relationship Id="rId12" Type="http://schemas.openxmlformats.org/officeDocument/2006/relationships/hyperlink" Target="https://www.tandfonline.com/doi/full/10.1080/16549716.2018.1477249" TargetMode="External"/><Relationship Id="rId17" Type="http://schemas.openxmlformats.org/officeDocument/2006/relationships/hyperlink" Target="https://link.springer.com/article/10.1186/s12903-015-0034-6" TargetMode="External"/><Relationship Id="rId25" Type="http://schemas.openxmlformats.org/officeDocument/2006/relationships/footer" Target="footer3.xml"/><Relationship Id="rId33" Type="http://schemas.openxmlformats.org/officeDocument/2006/relationships/header" Target="header8.xm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pmc.ncbi.nlm.nih.gov/articles/PMC6619793/pdf/pone.0219540.pdf" TargetMode="External"/><Relationship Id="rId20" Type="http://schemas.openxmlformats.org/officeDocument/2006/relationships/header" Target="header1.xml"/><Relationship Id="rId29" Type="http://schemas.openxmlformats.org/officeDocument/2006/relationships/footer" Target="foot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ink.springer.com/article/10.1186/s12889-022-13104-0" TargetMode="External"/><Relationship Id="rId24" Type="http://schemas.openxmlformats.org/officeDocument/2006/relationships/header" Target="header3.xml"/><Relationship Id="rId32" Type="http://schemas.openxmlformats.org/officeDocument/2006/relationships/header" Target="header7.xml"/><Relationship Id="rId37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hyperlink" Target="https://www.colibri.udelar.edu.uy/jspui/bitstream/20.500.12008/18508/1/Lorenzo_Encuesta.pdf" TargetMode="External"/><Relationship Id="rId23" Type="http://schemas.openxmlformats.org/officeDocument/2006/relationships/footer" Target="footer2.xml"/><Relationship Id="rId28" Type="http://schemas.openxmlformats.org/officeDocument/2006/relationships/footer" Target="footer4.xml"/><Relationship Id="rId36" Type="http://schemas.openxmlformats.org/officeDocument/2006/relationships/header" Target="header9.xml"/><Relationship Id="rId10" Type="http://schemas.openxmlformats.org/officeDocument/2006/relationships/hyperlink" Target="https://www.minsalud.gov.co/sites/rid/Lists/BibliotecaDigital/RIDE/VS/PP/ENSAB-IV-Metodologia.pdf" TargetMode="External"/><Relationship Id="rId19" Type="http://schemas.openxmlformats.org/officeDocument/2006/relationships/hyperlink" Target="https://ilostat.ilo.org/topics/informality/" TargetMode="External"/><Relationship Id="rId31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yperlink" Target="https://www.scielo.cl/pdf/rmc/v151n7/0717-6163-rmc-151-07-0849.pdf" TargetMode="External"/><Relationship Id="rId14" Type="http://schemas.openxmlformats.org/officeDocument/2006/relationships/hyperlink" Target="https://www.cdc.gov/nchs/nhanes/about/erb.html" TargetMode="External"/><Relationship Id="rId22" Type="http://schemas.openxmlformats.org/officeDocument/2006/relationships/footer" Target="footer1.xml"/><Relationship Id="rId27" Type="http://schemas.openxmlformats.org/officeDocument/2006/relationships/header" Target="header5.xml"/><Relationship Id="rId30" Type="http://schemas.openxmlformats.org/officeDocument/2006/relationships/header" Target="header6.xml"/><Relationship Id="rId35" Type="http://schemas.openxmlformats.org/officeDocument/2006/relationships/footer" Target="footer8.xml"/><Relationship Id="rId8" Type="http://schemas.openxmlformats.org/officeDocument/2006/relationships/hyperlink" Target="https://bvsms.saude.gov.br/bvs/publicacoes/SBBrasil_2010.pdf?utm_source=chatgpt.com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2963</Words>
  <Characters>16891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19815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HJ Lotter</dc:creator>
  <cp:lastModifiedBy>Mrs. HJ Lotter</cp:lastModifiedBy>
  <cp:revision>2</cp:revision>
  <dcterms:created xsi:type="dcterms:W3CDTF">2026-01-30T12:04:00Z</dcterms:created>
  <dcterms:modified xsi:type="dcterms:W3CDTF">2026-01-30T12:04:00Z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2024-11-06T09:14:00Z</dcterms:created>
  <dc:creator>Roger Keller Celeste</dc:creator>
  <dc:description/>
  <dc:language>en-GB</dc:language>
  <cp:lastModifiedBy>Roger Keller Celeste</cp:lastModifiedBy>
  <cp:lastPrinted>2024-06-20T15:25:00Z</cp:lastPrinted>
  <dcterms:modified xsi:type="dcterms:W3CDTF">2025-12-01T13:18:11Z</dcterms:modified>
  <cp:revision>850</cp:revision>
  <dc:subject/>
  <dc:title/>
</cp:coreProperties>
</file>