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1015B" w14:textId="2C0C332C" w:rsidR="006F48BC" w:rsidRDefault="002E5078">
      <w:pPr>
        <w:rPr>
          <w:lang w:val="en-US"/>
        </w:rPr>
      </w:pPr>
      <w:r>
        <w:rPr>
          <w:lang w:val="en-US"/>
        </w:rPr>
        <w:t>Supplementary tables</w:t>
      </w:r>
    </w:p>
    <w:p w14:paraId="6B13E15E" w14:textId="74B9D0CD" w:rsidR="002E5078" w:rsidRDefault="002E5078">
      <w:pPr>
        <w:rPr>
          <w:lang w:val="en-US"/>
        </w:rPr>
      </w:pPr>
    </w:p>
    <w:p w14:paraId="73409E22" w14:textId="0938256A" w:rsidR="002E5078" w:rsidRPr="002E5078" w:rsidRDefault="002E5078" w:rsidP="002E5078">
      <w:pPr>
        <w:spacing w:line="360" w:lineRule="auto"/>
        <w:rPr>
          <w:sz w:val="22"/>
          <w:szCs w:val="22"/>
          <w:lang w:val="en-US"/>
        </w:rPr>
      </w:pPr>
      <w:r w:rsidRPr="00C24738">
        <w:rPr>
          <w:sz w:val="22"/>
          <w:szCs w:val="22"/>
          <w:lang w:val="en-US"/>
        </w:rPr>
        <w:t xml:space="preserve">Table </w:t>
      </w:r>
      <w:r>
        <w:rPr>
          <w:sz w:val="22"/>
          <w:szCs w:val="22"/>
          <w:lang w:val="en-US"/>
        </w:rPr>
        <w:t>S</w:t>
      </w:r>
      <w:r w:rsidRPr="00C24738">
        <w:rPr>
          <w:sz w:val="22"/>
          <w:szCs w:val="22"/>
          <w:lang w:val="en-US"/>
        </w:rPr>
        <w:t>1</w:t>
      </w:r>
      <w:r>
        <w:rPr>
          <w:sz w:val="22"/>
          <w:szCs w:val="22"/>
          <w:lang w:val="en-US"/>
        </w:rPr>
        <w:t>.</w:t>
      </w:r>
      <w:r w:rsidRPr="00C24738">
        <w:rPr>
          <w:sz w:val="22"/>
          <w:szCs w:val="22"/>
          <w:lang w:val="en-US"/>
        </w:rPr>
        <w:t xml:space="preserve"> The number of each ARG detected in the </w:t>
      </w:r>
      <w:r>
        <w:rPr>
          <w:sz w:val="22"/>
          <w:szCs w:val="22"/>
          <w:lang w:val="en-US"/>
        </w:rPr>
        <w:t>study</w:t>
      </w:r>
      <w:r w:rsidRPr="00C24738">
        <w:rPr>
          <w:sz w:val="22"/>
          <w:szCs w:val="22"/>
          <w:lang w:val="en-US"/>
        </w:rPr>
        <w:t xml:space="preserve"> according to the antibiotic resistance gene</w:t>
      </w:r>
      <w:r>
        <w:rPr>
          <w:sz w:val="22"/>
          <w:szCs w:val="22"/>
          <w:lang w:val="en-US"/>
        </w:rPr>
        <w:t xml:space="preserve"> </w:t>
      </w:r>
      <w:r w:rsidRPr="00C24738">
        <w:rPr>
          <w:sz w:val="22"/>
          <w:szCs w:val="22"/>
          <w:lang w:val="en-US"/>
        </w:rPr>
        <w:t>family and the corresponding resistance mechanism</w:t>
      </w:r>
      <w:r>
        <w:rPr>
          <w:sz w:val="22"/>
          <w:szCs w:val="22"/>
          <w:lang w:val="en-US"/>
        </w:rPr>
        <w:t>.</w:t>
      </w:r>
    </w:p>
    <w:tbl>
      <w:tblPr>
        <w:tblStyle w:val="TableGrid"/>
        <w:tblW w:w="0" w:type="auto"/>
        <w:jc w:val="center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3"/>
        <w:gridCol w:w="3827"/>
        <w:gridCol w:w="1360"/>
      </w:tblGrid>
      <w:tr w:rsidR="002E5078" w:rsidRPr="009A7486" w14:paraId="57A78915" w14:textId="77777777" w:rsidTr="002E5078">
        <w:trPr>
          <w:jc w:val="center"/>
        </w:trPr>
        <w:tc>
          <w:tcPr>
            <w:tcW w:w="3823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CFE2EC2" w14:textId="77777777" w:rsidR="002E5078" w:rsidRPr="009A7486" w:rsidRDefault="002E5078" w:rsidP="00E36BBE">
            <w:pPr>
              <w:rPr>
                <w:sz w:val="21"/>
                <w:szCs w:val="21"/>
                <w:lang w:val="en-US"/>
              </w:rPr>
            </w:pPr>
            <w:r w:rsidRPr="009A7486">
              <w:rPr>
                <w:sz w:val="21"/>
                <w:szCs w:val="21"/>
                <w:lang w:val="en-US"/>
              </w:rPr>
              <w:t>ARG family</w:t>
            </w:r>
            <w:r>
              <w:rPr>
                <w:sz w:val="21"/>
                <w:szCs w:val="21"/>
                <w:lang w:val="en-US"/>
              </w:rPr>
              <w:t xml:space="preserve"> Description</w:t>
            </w:r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</w:tcPr>
          <w:p w14:paraId="6E54CBC0" w14:textId="77777777" w:rsidR="002E5078" w:rsidRPr="009A7486" w:rsidRDefault="002E5078" w:rsidP="00E36BBE">
            <w:pPr>
              <w:rPr>
                <w:sz w:val="21"/>
                <w:szCs w:val="21"/>
                <w:lang w:val="en-US"/>
              </w:rPr>
            </w:pPr>
            <w:r w:rsidRPr="009A7486">
              <w:rPr>
                <w:sz w:val="21"/>
                <w:szCs w:val="21"/>
                <w:lang w:val="en-US"/>
              </w:rPr>
              <w:t>Resistance mechanism</w:t>
            </w:r>
          </w:p>
        </w:tc>
        <w:tc>
          <w:tcPr>
            <w:tcW w:w="13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46196795" w14:textId="77777777" w:rsidR="002E5078" w:rsidRPr="009A7486" w:rsidRDefault="002E5078" w:rsidP="00E36BBE">
            <w:pPr>
              <w:jc w:val="center"/>
              <w:rPr>
                <w:sz w:val="21"/>
                <w:szCs w:val="21"/>
                <w:lang w:val="en-US"/>
              </w:rPr>
            </w:pPr>
            <w:r w:rsidRPr="009A7486">
              <w:rPr>
                <w:sz w:val="21"/>
                <w:szCs w:val="21"/>
                <w:lang w:val="en-US"/>
              </w:rPr>
              <w:t>Number of ARGs</w:t>
            </w:r>
          </w:p>
        </w:tc>
      </w:tr>
      <w:tr w:rsidR="002E5078" w:rsidRPr="009A7486" w14:paraId="3C3257D0" w14:textId="77777777" w:rsidTr="002E5078">
        <w:trPr>
          <w:trHeight w:val="256"/>
          <w:jc w:val="center"/>
        </w:trPr>
        <w:tc>
          <w:tcPr>
            <w:tcW w:w="3823" w:type="dxa"/>
            <w:tcBorders>
              <w:top w:val="single" w:sz="4" w:space="0" w:color="auto"/>
              <w:left w:val="nil"/>
            </w:tcBorders>
          </w:tcPr>
          <w:p w14:paraId="5142CF2F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0B130EC7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rifampin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phosphotransferase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752A8D74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7C819EF0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antibiotic inactivation by phosphorylation</w:t>
            </w:r>
          </w:p>
        </w:tc>
        <w:tc>
          <w:tcPr>
            <w:tcW w:w="1360" w:type="dxa"/>
            <w:tcBorders>
              <w:top w:val="single" w:sz="4" w:space="0" w:color="auto"/>
              <w:right w:val="nil"/>
            </w:tcBorders>
          </w:tcPr>
          <w:p w14:paraId="13BB4A83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</w:p>
          <w:p w14:paraId="132637AB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29ED82FF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725FA558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antibiotic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isoleucyl-tRNA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synthetase (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ileS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5A57188E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or replacement</w:t>
            </w:r>
          </w:p>
        </w:tc>
        <w:tc>
          <w:tcPr>
            <w:tcW w:w="1360" w:type="dxa"/>
            <w:tcBorders>
              <w:right w:val="nil"/>
            </w:tcBorders>
          </w:tcPr>
          <w:p w14:paraId="5A55D587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4AD2B3C8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17C73A25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rifamycin-resistant beta-subunit of RNA polymerase (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rpoB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510E582F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or replacement</w:t>
            </w:r>
          </w:p>
        </w:tc>
        <w:tc>
          <w:tcPr>
            <w:tcW w:w="1360" w:type="dxa"/>
            <w:tcBorders>
              <w:right w:val="nil"/>
            </w:tcBorders>
          </w:tcPr>
          <w:p w14:paraId="2E59EC80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3</w:t>
            </w:r>
          </w:p>
        </w:tc>
      </w:tr>
      <w:tr w:rsidR="002E5078" w:rsidRPr="009A7486" w14:paraId="28EBAE2E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1047CBDD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aminosalicylate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resistant dihydrofolate synthase</w:t>
            </w:r>
          </w:p>
        </w:tc>
        <w:tc>
          <w:tcPr>
            <w:tcW w:w="3827" w:type="dxa"/>
          </w:tcPr>
          <w:p w14:paraId="2D648659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0482CC7E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154E45D2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7485DB39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antibiotic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inhA</w:t>
            </w:r>
            <w:proofErr w:type="spellEnd"/>
          </w:p>
        </w:tc>
        <w:tc>
          <w:tcPr>
            <w:tcW w:w="3827" w:type="dxa"/>
          </w:tcPr>
          <w:p w14:paraId="4E38029B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55C8D989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00326FF8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76D95616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</w:t>
            </w:r>
            <w:r w:rsidRPr="009A7486">
              <w:rPr>
                <w:color w:val="000000"/>
                <w:sz w:val="20"/>
                <w:szCs w:val="20"/>
              </w:rPr>
              <w:t xml:space="preserve">ntibiotic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kasA</w:t>
            </w:r>
            <w:proofErr w:type="spellEnd"/>
          </w:p>
        </w:tc>
        <w:tc>
          <w:tcPr>
            <w:tcW w:w="3827" w:type="dxa"/>
          </w:tcPr>
          <w:p w14:paraId="0AC8912B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4B75C5CF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065CDCAB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29FE2170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</w:t>
            </w:r>
            <w:r w:rsidRPr="009A7486">
              <w:rPr>
                <w:color w:val="000000"/>
                <w:sz w:val="20"/>
                <w:szCs w:val="20"/>
              </w:rPr>
              <w:t xml:space="preserve">ntibiotic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ndh</w:t>
            </w:r>
            <w:proofErr w:type="spellEnd"/>
          </w:p>
        </w:tc>
        <w:tc>
          <w:tcPr>
            <w:tcW w:w="3827" w:type="dxa"/>
          </w:tcPr>
          <w:p w14:paraId="15557CD7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0BA2F9FC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7A1AF2F3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338A2E5D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</w:t>
            </w:r>
            <w:r w:rsidRPr="009A7486">
              <w:rPr>
                <w:color w:val="000000"/>
                <w:sz w:val="20"/>
                <w:szCs w:val="20"/>
              </w:rPr>
              <w:t xml:space="preserve">ntibiotic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rpsL</w:t>
            </w:r>
            <w:proofErr w:type="spellEnd"/>
          </w:p>
        </w:tc>
        <w:tc>
          <w:tcPr>
            <w:tcW w:w="3827" w:type="dxa"/>
          </w:tcPr>
          <w:p w14:paraId="57217FFF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3B384E27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099B8968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76E74ABC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daptomycin resistant beta prime subunit of RNA polymerase (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rpoC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222B153F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69DACA9B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1401438E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2EF3203E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elfamycin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resistant EF-Tu</w:t>
            </w:r>
          </w:p>
        </w:tc>
        <w:tc>
          <w:tcPr>
            <w:tcW w:w="3827" w:type="dxa"/>
          </w:tcPr>
          <w:p w14:paraId="4028AC9C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7372BE73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4</w:t>
            </w:r>
          </w:p>
        </w:tc>
      </w:tr>
      <w:tr w:rsidR="002E5078" w:rsidRPr="009A7486" w14:paraId="46F8D45D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0F896925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elfamycin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resistant EF-Tu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kirromycin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self-resistant EF-Tu</w:t>
            </w:r>
          </w:p>
        </w:tc>
        <w:tc>
          <w:tcPr>
            <w:tcW w:w="3827" w:type="dxa"/>
          </w:tcPr>
          <w:p w14:paraId="259359A7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20E331C3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6762E508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52F7DB69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ethionamide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ethA</w:t>
            </w:r>
            <w:proofErr w:type="spellEnd"/>
          </w:p>
        </w:tc>
        <w:tc>
          <w:tcPr>
            <w:tcW w:w="3827" w:type="dxa"/>
          </w:tcPr>
          <w:p w14:paraId="09A92D01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3A303B62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03FCB563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57F95A38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flouroquinolone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gyrA</w:t>
            </w:r>
            <w:proofErr w:type="spellEnd"/>
          </w:p>
        </w:tc>
        <w:tc>
          <w:tcPr>
            <w:tcW w:w="3827" w:type="dxa"/>
          </w:tcPr>
          <w:p w14:paraId="1406E8EB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6822394A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7</w:t>
            </w:r>
          </w:p>
        </w:tc>
      </w:tr>
      <w:tr w:rsidR="002E5078" w:rsidRPr="009A7486" w14:paraId="5D34DDDA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10C740DA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fluoroquinolone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resistanct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gyrB</w:t>
            </w:r>
            <w:proofErr w:type="spellEnd"/>
          </w:p>
        </w:tc>
        <w:tc>
          <w:tcPr>
            <w:tcW w:w="3827" w:type="dxa"/>
          </w:tcPr>
          <w:p w14:paraId="470FB347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405D7A98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3</w:t>
            </w:r>
          </w:p>
        </w:tc>
      </w:tr>
      <w:tr w:rsidR="002E5078" w:rsidRPr="009A7486" w14:paraId="03EBB186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502FDCB8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fluoroquinolone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parE</w:t>
            </w:r>
            <w:proofErr w:type="spellEnd"/>
          </w:p>
        </w:tc>
        <w:tc>
          <w:tcPr>
            <w:tcW w:w="3827" w:type="dxa"/>
          </w:tcPr>
          <w:p w14:paraId="57336798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6A1A0982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1BF14026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0406075F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isoniazid resistant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katG</w:t>
            </w:r>
            <w:proofErr w:type="spellEnd"/>
          </w:p>
        </w:tc>
        <w:tc>
          <w:tcPr>
            <w:tcW w:w="3827" w:type="dxa"/>
          </w:tcPr>
          <w:p w14:paraId="765588FF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4A759566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1E53CF5B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1136C055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murA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transferase</w:t>
            </w:r>
          </w:p>
        </w:tc>
        <w:tc>
          <w:tcPr>
            <w:tcW w:w="3827" w:type="dxa"/>
          </w:tcPr>
          <w:p w14:paraId="7C7D3E23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alteration by mutation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6BC5CCEF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3615CC7F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1046AA82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RbpA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bacterial RNA polymerase-binding protein</w:t>
            </w:r>
          </w:p>
        </w:tc>
        <w:tc>
          <w:tcPr>
            <w:tcW w:w="3827" w:type="dxa"/>
          </w:tcPr>
          <w:p w14:paraId="0207E58B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protection</w:t>
            </w:r>
          </w:p>
        </w:tc>
        <w:tc>
          <w:tcPr>
            <w:tcW w:w="1360" w:type="dxa"/>
            <w:tcBorders>
              <w:right w:val="nil"/>
            </w:tcBorders>
          </w:tcPr>
          <w:p w14:paraId="03FDAE56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275F0F46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7D52F7E5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rifamycin-resistant beta-subunit of RNA polymerase (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rpoB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72FCFFF4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antibiotic target replacement gene duplication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6EF425E7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6FF31EF2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04D9A9C1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TEM </w:t>
            </w:r>
            <w:r>
              <w:rPr>
                <w:color w:val="000000"/>
                <w:sz w:val="20"/>
                <w:szCs w:val="20"/>
              </w:rPr>
              <w:sym w:font="Symbol" w:char="F062"/>
            </w:r>
            <w:r>
              <w:rPr>
                <w:color w:val="000000"/>
                <w:sz w:val="20"/>
                <w:szCs w:val="20"/>
              </w:rPr>
              <w:t>-</w:t>
            </w:r>
            <w:r w:rsidRPr="009A7486">
              <w:rPr>
                <w:color w:val="000000"/>
                <w:sz w:val="20"/>
                <w:szCs w:val="20"/>
              </w:rPr>
              <w:t>lactamase</w:t>
            </w:r>
          </w:p>
        </w:tc>
        <w:tc>
          <w:tcPr>
            <w:tcW w:w="3827" w:type="dxa"/>
          </w:tcPr>
          <w:p w14:paraId="2D5202DE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class A </w:t>
            </w:r>
            <w:r>
              <w:rPr>
                <w:color w:val="000000"/>
                <w:sz w:val="20"/>
                <w:szCs w:val="20"/>
              </w:rPr>
              <w:sym w:font="Symbol" w:char="F062"/>
            </w:r>
            <w:r w:rsidRPr="009A7486">
              <w:rPr>
                <w:color w:val="000000"/>
                <w:sz w:val="20"/>
                <w:szCs w:val="20"/>
              </w:rPr>
              <w:t>-Lactamase</w:t>
            </w:r>
          </w:p>
        </w:tc>
        <w:tc>
          <w:tcPr>
            <w:tcW w:w="1360" w:type="dxa"/>
            <w:tcBorders>
              <w:right w:val="nil"/>
            </w:tcBorders>
          </w:tcPr>
          <w:p w14:paraId="3E44C981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526C5154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5CF715E2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RND antibiotic efflux pump</w:t>
            </w:r>
          </w:p>
        </w:tc>
        <w:tc>
          <w:tcPr>
            <w:tcW w:w="3827" w:type="dxa"/>
          </w:tcPr>
          <w:p w14:paraId="0E0F7591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efflux pump complex</w:t>
            </w:r>
          </w:p>
        </w:tc>
        <w:tc>
          <w:tcPr>
            <w:tcW w:w="1360" w:type="dxa"/>
            <w:tcBorders>
              <w:right w:val="nil"/>
            </w:tcBorders>
          </w:tcPr>
          <w:p w14:paraId="021DF5D3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2C333F38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2078EDC5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AAC(3</w:t>
            </w:r>
            <w:r>
              <w:rPr>
                <w:color w:val="000000"/>
                <w:sz w:val="20"/>
                <w:szCs w:val="20"/>
              </w:rPr>
              <w:t>’</w:t>
            </w:r>
            <w:r w:rsidRPr="009A7486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5A465869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inactivation by acetyltransferase</w:t>
            </w:r>
          </w:p>
        </w:tc>
        <w:tc>
          <w:tcPr>
            <w:tcW w:w="1360" w:type="dxa"/>
            <w:tcBorders>
              <w:right w:val="nil"/>
            </w:tcBorders>
          </w:tcPr>
          <w:p w14:paraId="57BA96AD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60F4C872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450D0F0D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AAC(6</w:t>
            </w:r>
            <w:r>
              <w:rPr>
                <w:color w:val="000000"/>
                <w:sz w:val="20"/>
                <w:szCs w:val="20"/>
              </w:rPr>
              <w:t>’</w:t>
            </w:r>
            <w:r w:rsidRPr="009A7486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2107390C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inactivation by </w:t>
            </w:r>
            <w:r>
              <w:rPr>
                <w:color w:val="000000"/>
                <w:sz w:val="20"/>
                <w:szCs w:val="20"/>
              </w:rPr>
              <w:t>acetyltransferase</w:t>
            </w:r>
          </w:p>
        </w:tc>
        <w:tc>
          <w:tcPr>
            <w:tcW w:w="1360" w:type="dxa"/>
            <w:tcBorders>
              <w:right w:val="nil"/>
            </w:tcBorders>
          </w:tcPr>
          <w:p w14:paraId="2D24343D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3AEFEFF2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29BAB7C6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rifampin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phosphotransferase</w:t>
            </w:r>
          </w:p>
        </w:tc>
        <w:tc>
          <w:tcPr>
            <w:tcW w:w="3827" w:type="dxa"/>
          </w:tcPr>
          <w:p w14:paraId="7B28F228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</w:t>
            </w:r>
            <w:r w:rsidRPr="009A7486">
              <w:rPr>
                <w:color w:val="000000"/>
                <w:sz w:val="20"/>
                <w:szCs w:val="20"/>
              </w:rPr>
              <w:t xml:space="preserve">nactivation of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rifampi</w:t>
            </w:r>
            <w:r>
              <w:rPr>
                <w:color w:val="000000"/>
                <w:sz w:val="20"/>
                <w:szCs w:val="20"/>
              </w:rPr>
              <w:t>n</w:t>
            </w:r>
            <w:proofErr w:type="spellEnd"/>
          </w:p>
        </w:tc>
        <w:tc>
          <w:tcPr>
            <w:tcW w:w="1360" w:type="dxa"/>
            <w:tcBorders>
              <w:right w:val="nil"/>
            </w:tcBorders>
          </w:tcPr>
          <w:p w14:paraId="6CDED074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2EEBF4F0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21D4EFDB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RND antibiotic efflux pump</w:t>
            </w:r>
          </w:p>
        </w:tc>
        <w:tc>
          <w:tcPr>
            <w:tcW w:w="3827" w:type="dxa"/>
          </w:tcPr>
          <w:p w14:paraId="01026F57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metal and multidrug efflux</w:t>
            </w:r>
          </w:p>
        </w:tc>
        <w:tc>
          <w:tcPr>
            <w:tcW w:w="1360" w:type="dxa"/>
            <w:tcBorders>
              <w:right w:val="nil"/>
            </w:tcBorders>
          </w:tcPr>
          <w:p w14:paraId="55761AB8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14135030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2D20764D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MFS antibiotic efflux pump</w:t>
            </w:r>
          </w:p>
        </w:tc>
        <w:tc>
          <w:tcPr>
            <w:tcW w:w="3827" w:type="dxa"/>
          </w:tcPr>
          <w:p w14:paraId="51673D04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MFS efflux</w:t>
            </w:r>
          </w:p>
        </w:tc>
        <w:tc>
          <w:tcPr>
            <w:tcW w:w="1360" w:type="dxa"/>
            <w:tcBorders>
              <w:right w:val="nil"/>
            </w:tcBorders>
          </w:tcPr>
          <w:p w14:paraId="009CA284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2</w:t>
            </w:r>
          </w:p>
        </w:tc>
      </w:tr>
      <w:tr w:rsidR="002E5078" w:rsidRPr="009A7486" w14:paraId="4F7B59D3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43F7F7B0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RND antibiotic efflux pump</w:t>
            </w:r>
          </w:p>
        </w:tc>
        <w:tc>
          <w:tcPr>
            <w:tcW w:w="3827" w:type="dxa"/>
          </w:tcPr>
          <w:p w14:paraId="1AE5ED66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multidrug efflux</w:t>
            </w:r>
          </w:p>
        </w:tc>
        <w:tc>
          <w:tcPr>
            <w:tcW w:w="1360" w:type="dxa"/>
            <w:tcBorders>
              <w:right w:val="nil"/>
            </w:tcBorders>
          </w:tcPr>
          <w:p w14:paraId="01D124BF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69B4CE6D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4A31D476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glycopeptide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resistance gene cluster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vanR</w:t>
            </w:r>
            <w:proofErr w:type="spellEnd"/>
          </w:p>
        </w:tc>
        <w:tc>
          <w:tcPr>
            <w:tcW w:w="3827" w:type="dxa"/>
          </w:tcPr>
          <w:p w14:paraId="74B0976B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restructuring of bacterial cell wall</w:t>
            </w:r>
          </w:p>
        </w:tc>
        <w:tc>
          <w:tcPr>
            <w:tcW w:w="1360" w:type="dxa"/>
            <w:tcBorders>
              <w:right w:val="nil"/>
            </w:tcBorders>
          </w:tcPr>
          <w:p w14:paraId="35ADDAEF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20A50388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58601000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 xml:space="preserve">van ligase </w:t>
            </w:r>
            <w:proofErr w:type="spellStart"/>
            <w:r w:rsidRPr="009A7486">
              <w:rPr>
                <w:color w:val="000000"/>
                <w:sz w:val="20"/>
                <w:szCs w:val="20"/>
              </w:rPr>
              <w:t>glycopeptide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resistance gene cluster</w:t>
            </w:r>
          </w:p>
        </w:tc>
        <w:tc>
          <w:tcPr>
            <w:tcW w:w="3827" w:type="dxa"/>
          </w:tcPr>
          <w:p w14:paraId="7852B91F" w14:textId="77777777" w:rsidR="002E5078" w:rsidRPr="009A7486" w:rsidRDefault="002E5078" w:rsidP="00E36BBE">
            <w:pPr>
              <w:spacing w:line="276" w:lineRule="auto"/>
              <w:rPr>
                <w:sz w:val="20"/>
                <w:szCs w:val="20"/>
                <w:lang w:val="en-US"/>
              </w:rPr>
            </w:pPr>
            <w:r w:rsidRPr="009A7486">
              <w:rPr>
                <w:color w:val="000000"/>
                <w:sz w:val="20"/>
                <w:szCs w:val="20"/>
              </w:rPr>
              <w:t>restructuring of bacterial cell wall</w:t>
            </w:r>
          </w:p>
        </w:tc>
        <w:tc>
          <w:tcPr>
            <w:tcW w:w="1360" w:type="dxa"/>
            <w:tcBorders>
              <w:right w:val="nil"/>
            </w:tcBorders>
          </w:tcPr>
          <w:p w14:paraId="1894D466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4864FC5C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75852DE7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9A7486">
              <w:rPr>
                <w:color w:val="000000"/>
                <w:sz w:val="20"/>
                <w:szCs w:val="20"/>
              </w:rPr>
              <w:t>elfamycin</w:t>
            </w:r>
            <w:proofErr w:type="spellEnd"/>
            <w:r w:rsidRPr="009A7486">
              <w:rPr>
                <w:color w:val="000000"/>
                <w:sz w:val="20"/>
                <w:szCs w:val="20"/>
              </w:rPr>
              <w:t xml:space="preserve"> resistant EF-Tu</w:t>
            </w:r>
          </w:p>
        </w:tc>
        <w:tc>
          <w:tcPr>
            <w:tcW w:w="3827" w:type="dxa"/>
          </w:tcPr>
          <w:p w14:paraId="113EEB49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Ribosomal alteration</w:t>
            </w:r>
          </w:p>
        </w:tc>
        <w:tc>
          <w:tcPr>
            <w:tcW w:w="1360" w:type="dxa"/>
            <w:tcBorders>
              <w:right w:val="nil"/>
            </w:tcBorders>
          </w:tcPr>
          <w:p w14:paraId="35D50671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6C7504C6" w14:textId="77777777" w:rsidTr="002E5078">
        <w:trPr>
          <w:jc w:val="center"/>
        </w:trPr>
        <w:tc>
          <w:tcPr>
            <w:tcW w:w="3823" w:type="dxa"/>
            <w:tcBorders>
              <w:left w:val="nil"/>
            </w:tcBorders>
          </w:tcPr>
          <w:p w14:paraId="6532310F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tetracycline-resistant ribosomal protection protein</w:t>
            </w:r>
          </w:p>
        </w:tc>
        <w:tc>
          <w:tcPr>
            <w:tcW w:w="3827" w:type="dxa"/>
          </w:tcPr>
          <w:p w14:paraId="5190EBE8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ribosomal protection proteins</w:t>
            </w:r>
          </w:p>
        </w:tc>
        <w:tc>
          <w:tcPr>
            <w:tcW w:w="1360" w:type="dxa"/>
            <w:tcBorders>
              <w:right w:val="nil"/>
            </w:tcBorders>
          </w:tcPr>
          <w:p w14:paraId="3FB70CDB" w14:textId="77777777" w:rsidR="002E5078" w:rsidRPr="009A7486" w:rsidRDefault="002E5078" w:rsidP="00E36BBE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  <w:r w:rsidRPr="009A7486">
              <w:rPr>
                <w:sz w:val="20"/>
                <w:szCs w:val="20"/>
                <w:lang w:val="en-US"/>
              </w:rPr>
              <w:t>1</w:t>
            </w:r>
          </w:p>
        </w:tc>
      </w:tr>
      <w:tr w:rsidR="002E5078" w:rsidRPr="009A7486" w14:paraId="41C7E0E9" w14:textId="77777777" w:rsidTr="002E5078">
        <w:trPr>
          <w:jc w:val="center"/>
        </w:trPr>
        <w:tc>
          <w:tcPr>
            <w:tcW w:w="3823" w:type="dxa"/>
            <w:tcBorders>
              <w:left w:val="nil"/>
              <w:bottom w:val="single" w:sz="4" w:space="0" w:color="auto"/>
            </w:tcBorders>
          </w:tcPr>
          <w:p w14:paraId="60450A40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RND antibiotic efflux pump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14:paraId="53A72FDC" w14:textId="77777777" w:rsidR="002E5078" w:rsidRPr="009A7486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9A7486">
              <w:rPr>
                <w:color w:val="000000"/>
                <w:sz w:val="20"/>
                <w:szCs w:val="20"/>
              </w:rPr>
              <w:t>RND efflux transporter</w:t>
            </w:r>
          </w:p>
        </w:tc>
        <w:tc>
          <w:tcPr>
            <w:tcW w:w="1360" w:type="dxa"/>
            <w:tcBorders>
              <w:bottom w:val="single" w:sz="4" w:space="0" w:color="auto"/>
              <w:right w:val="nil"/>
            </w:tcBorders>
          </w:tcPr>
          <w:p w14:paraId="77E25AF2" w14:textId="7BB47EC3" w:rsidR="002E5078" w:rsidRPr="009A7486" w:rsidRDefault="002E5078" w:rsidP="002E5078">
            <w:pPr>
              <w:spacing w:line="276" w:lineRule="auto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14:paraId="3D466136" w14:textId="6D98B037" w:rsidR="002E5078" w:rsidRDefault="002E5078" w:rsidP="002E5078">
      <w:pPr>
        <w:spacing w:line="360" w:lineRule="auto"/>
        <w:rPr>
          <w:sz w:val="22"/>
          <w:szCs w:val="22"/>
          <w:lang w:val="en-US"/>
        </w:rPr>
      </w:pPr>
      <w:r w:rsidRPr="00747125">
        <w:rPr>
          <w:sz w:val="22"/>
          <w:szCs w:val="22"/>
          <w:lang w:val="en-US"/>
        </w:rPr>
        <w:lastRenderedPageBreak/>
        <w:t xml:space="preserve">Table </w:t>
      </w:r>
      <w:r>
        <w:rPr>
          <w:sz w:val="22"/>
          <w:szCs w:val="22"/>
          <w:lang w:val="en-US"/>
        </w:rPr>
        <w:t>S2.</w:t>
      </w:r>
      <w:r w:rsidRPr="00747125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The number of each M</w:t>
      </w:r>
      <w:r w:rsidRPr="00C24738">
        <w:rPr>
          <w:sz w:val="22"/>
          <w:szCs w:val="22"/>
          <w:lang w:val="en-US"/>
        </w:rPr>
        <w:t xml:space="preserve">RG detected in the </w:t>
      </w:r>
      <w:r>
        <w:rPr>
          <w:sz w:val="22"/>
          <w:szCs w:val="22"/>
          <w:lang w:val="en-US"/>
        </w:rPr>
        <w:t>study</w:t>
      </w:r>
      <w:r w:rsidRPr="00C24738">
        <w:rPr>
          <w:sz w:val="22"/>
          <w:szCs w:val="22"/>
          <w:lang w:val="en-US"/>
        </w:rPr>
        <w:t xml:space="preserve"> according to the </w:t>
      </w:r>
      <w:r>
        <w:rPr>
          <w:sz w:val="22"/>
          <w:szCs w:val="22"/>
          <w:lang w:val="en-US"/>
        </w:rPr>
        <w:t>metal/biocide</w:t>
      </w:r>
      <w:r w:rsidRPr="00C24738">
        <w:rPr>
          <w:sz w:val="22"/>
          <w:szCs w:val="22"/>
          <w:lang w:val="en-US"/>
        </w:rPr>
        <w:t xml:space="preserve"> resistance gene family and the corresponding resistance mechanism</w:t>
      </w:r>
      <w:r>
        <w:rPr>
          <w:sz w:val="22"/>
          <w:szCs w:val="22"/>
          <w:lang w:val="en-US"/>
        </w:rPr>
        <w:t>.</w:t>
      </w:r>
    </w:p>
    <w:p w14:paraId="0E5E7D61" w14:textId="59FCB23A" w:rsidR="002E5078" w:rsidRDefault="002E5078">
      <w:pPr>
        <w:rPr>
          <w:lang w:val="en-US"/>
        </w:rPr>
      </w:pPr>
    </w:p>
    <w:tbl>
      <w:tblPr>
        <w:tblStyle w:val="TableGrid"/>
        <w:tblW w:w="8525" w:type="dxa"/>
        <w:jc w:val="center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89"/>
        <w:gridCol w:w="2383"/>
        <w:gridCol w:w="1253"/>
      </w:tblGrid>
      <w:tr w:rsidR="002E5078" w:rsidRPr="005C6D0A" w14:paraId="3055C8C7" w14:textId="77777777" w:rsidTr="00E36BBE">
        <w:trPr>
          <w:trHeight w:val="472"/>
          <w:jc w:val="center"/>
        </w:trPr>
        <w:tc>
          <w:tcPr>
            <w:tcW w:w="488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30079FD4" w14:textId="77777777" w:rsidR="002E5078" w:rsidRPr="005C6D0A" w:rsidRDefault="002E5078" w:rsidP="00E36BBE">
            <w:pPr>
              <w:rPr>
                <w:sz w:val="21"/>
                <w:szCs w:val="21"/>
              </w:rPr>
            </w:pPr>
            <w:r w:rsidRPr="005C6D0A">
              <w:rPr>
                <w:sz w:val="21"/>
                <w:szCs w:val="21"/>
              </w:rPr>
              <w:t>Metal</w:t>
            </w:r>
            <w:r>
              <w:rPr>
                <w:sz w:val="21"/>
                <w:szCs w:val="21"/>
              </w:rPr>
              <w:t>/biocide</w:t>
            </w:r>
            <w:r w:rsidRPr="005C6D0A">
              <w:rPr>
                <w:sz w:val="21"/>
                <w:szCs w:val="21"/>
              </w:rPr>
              <w:t xml:space="preserve"> resistance gene family</w:t>
            </w:r>
          </w:p>
        </w:tc>
        <w:tc>
          <w:tcPr>
            <w:tcW w:w="2383" w:type="dxa"/>
            <w:tcBorders>
              <w:top w:val="single" w:sz="4" w:space="0" w:color="auto"/>
              <w:bottom w:val="single" w:sz="4" w:space="0" w:color="auto"/>
            </w:tcBorders>
          </w:tcPr>
          <w:p w14:paraId="2F8B43BC" w14:textId="77777777" w:rsidR="002E5078" w:rsidRPr="005C6D0A" w:rsidRDefault="002E5078" w:rsidP="00E36BBE">
            <w:pPr>
              <w:rPr>
                <w:sz w:val="21"/>
                <w:szCs w:val="21"/>
              </w:rPr>
            </w:pPr>
            <w:r w:rsidRPr="005C6D0A">
              <w:rPr>
                <w:sz w:val="21"/>
                <w:szCs w:val="21"/>
              </w:rPr>
              <w:t>Resistance mechanism</w:t>
            </w:r>
          </w:p>
        </w:tc>
        <w:tc>
          <w:tcPr>
            <w:tcW w:w="1253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0CB25439" w14:textId="77777777" w:rsidR="002E5078" w:rsidRPr="005C6D0A" w:rsidRDefault="002E5078" w:rsidP="00E36BBE">
            <w:pPr>
              <w:jc w:val="center"/>
              <w:rPr>
                <w:sz w:val="21"/>
                <w:szCs w:val="21"/>
              </w:rPr>
            </w:pPr>
            <w:r w:rsidRPr="005C6D0A">
              <w:rPr>
                <w:sz w:val="21"/>
                <w:szCs w:val="21"/>
              </w:rPr>
              <w:t>Number of MRGs</w:t>
            </w:r>
          </w:p>
        </w:tc>
      </w:tr>
      <w:tr w:rsidR="002E5078" w:rsidRPr="005C6D0A" w14:paraId="33C90D7F" w14:textId="77777777" w:rsidTr="00E36BBE">
        <w:trPr>
          <w:trHeight w:val="531"/>
          <w:jc w:val="center"/>
        </w:trPr>
        <w:tc>
          <w:tcPr>
            <w:tcW w:w="4889" w:type="dxa"/>
            <w:tcBorders>
              <w:top w:val="single" w:sz="4" w:space="0" w:color="auto"/>
              <w:left w:val="nil"/>
            </w:tcBorders>
          </w:tcPr>
          <w:p w14:paraId="66044B5D" w14:textId="77777777" w:rsidR="002E5078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4DCC1D27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ABC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superfamily</w:t>
            </w:r>
          </w:p>
        </w:tc>
        <w:tc>
          <w:tcPr>
            <w:tcW w:w="2383" w:type="dxa"/>
            <w:tcBorders>
              <w:top w:val="single" w:sz="4" w:space="0" w:color="auto"/>
            </w:tcBorders>
          </w:tcPr>
          <w:p w14:paraId="2A87505D" w14:textId="77777777" w:rsidR="002E5078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</w:p>
          <w:p w14:paraId="2422C88B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Enhanced Efflux</w:t>
            </w:r>
          </w:p>
        </w:tc>
        <w:tc>
          <w:tcPr>
            <w:tcW w:w="1253" w:type="dxa"/>
            <w:tcBorders>
              <w:top w:val="single" w:sz="4" w:space="0" w:color="auto"/>
              <w:right w:val="nil"/>
            </w:tcBorders>
          </w:tcPr>
          <w:p w14:paraId="65743E48" w14:textId="77777777" w:rsidR="002E5078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  <w:p w14:paraId="37863C6E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27FE6524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43178A31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103236">
              <w:rPr>
                <w:i/>
                <w:color w:val="000000"/>
                <w:sz w:val="20"/>
                <w:szCs w:val="20"/>
              </w:rPr>
              <w:t>ars</w:t>
            </w:r>
            <w:r w:rsidRPr="005C6D0A">
              <w:rPr>
                <w:color w:val="000000"/>
                <w:sz w:val="20"/>
                <w:szCs w:val="20"/>
              </w:rPr>
              <w:t>B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791D5775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Enhanced Efflux</w:t>
            </w:r>
          </w:p>
        </w:tc>
        <w:tc>
          <w:tcPr>
            <w:tcW w:w="1253" w:type="dxa"/>
            <w:tcBorders>
              <w:right w:val="nil"/>
            </w:tcBorders>
          </w:tcPr>
          <w:p w14:paraId="75B125A7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06E8E2B7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657AD817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RND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superfamily</w:t>
            </w:r>
          </w:p>
        </w:tc>
        <w:tc>
          <w:tcPr>
            <w:tcW w:w="2383" w:type="dxa"/>
          </w:tcPr>
          <w:p w14:paraId="34C0C52B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Enhanced Efflux</w:t>
            </w:r>
          </w:p>
        </w:tc>
        <w:tc>
          <w:tcPr>
            <w:tcW w:w="1253" w:type="dxa"/>
            <w:tcBorders>
              <w:right w:val="nil"/>
            </w:tcBorders>
          </w:tcPr>
          <w:p w14:paraId="6258E227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5</w:t>
            </w:r>
          </w:p>
        </w:tc>
      </w:tr>
      <w:tr w:rsidR="002E5078" w:rsidRPr="005C6D0A" w14:paraId="78169322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2F4E3337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Aconitase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660F8950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7D13B513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2819C8B9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15177BA9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103236">
              <w:rPr>
                <w:i/>
                <w:color w:val="000000"/>
                <w:sz w:val="20"/>
                <w:szCs w:val="20"/>
              </w:rPr>
              <w:t>ars</w:t>
            </w:r>
            <w:r w:rsidRPr="005C6D0A">
              <w:rPr>
                <w:color w:val="000000"/>
                <w:sz w:val="20"/>
                <w:szCs w:val="20"/>
              </w:rPr>
              <w:t>C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40EFC30F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491AE6EC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16202499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003624A6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Cation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transport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ATPase</w:t>
            </w:r>
          </w:p>
        </w:tc>
        <w:tc>
          <w:tcPr>
            <w:tcW w:w="2383" w:type="dxa"/>
          </w:tcPr>
          <w:p w14:paraId="382893B3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07B717FE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5</w:t>
            </w:r>
          </w:p>
        </w:tc>
      </w:tr>
      <w:tr w:rsidR="002E5078" w:rsidRPr="005C6D0A" w14:paraId="59EE483A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6A28B355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Cation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transport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ATPase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(P-type)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3674B519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3654452B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4F3E1F68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2555CF75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Methyltransferase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6804950B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12D6A329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58021D38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1D47A583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Multi-copper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oxidase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60A54610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3F7DCBD9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3</w:t>
            </w:r>
          </w:p>
        </w:tc>
      </w:tr>
      <w:tr w:rsidR="002E5078" w:rsidRPr="005C6D0A" w14:paraId="57B9AFE8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6427E1EE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NADPH-dependent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FMN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reductases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69135993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26604EBF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23072AD0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099E2BCE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RuvB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14032D1E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Enzymatic detoxification</w:t>
            </w:r>
          </w:p>
        </w:tc>
        <w:tc>
          <w:tcPr>
            <w:tcW w:w="1253" w:type="dxa"/>
            <w:tcBorders>
              <w:right w:val="nil"/>
            </w:tcBorders>
          </w:tcPr>
          <w:p w14:paraId="58E6A2FA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2A39D069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650226CE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Sodium</w:t>
            </w:r>
            <w:r>
              <w:rPr>
                <w:color w:val="000000"/>
                <w:sz w:val="20"/>
                <w:szCs w:val="20"/>
              </w:rPr>
              <w:t>-</w:t>
            </w:r>
            <w:r w:rsidRPr="005C6D0A">
              <w:rPr>
                <w:color w:val="000000"/>
                <w:sz w:val="20"/>
                <w:szCs w:val="20"/>
              </w:rPr>
              <w:t>solute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symporter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(SSF)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1E97A459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Membrane transporters</w:t>
            </w:r>
          </w:p>
        </w:tc>
        <w:tc>
          <w:tcPr>
            <w:tcW w:w="1253" w:type="dxa"/>
            <w:tcBorders>
              <w:right w:val="nil"/>
            </w:tcBorders>
          </w:tcPr>
          <w:p w14:paraId="3A88B94F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7E05FC4D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06FD1547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Contains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HTH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C6D0A">
              <w:rPr>
                <w:color w:val="000000"/>
                <w:sz w:val="20"/>
                <w:szCs w:val="20"/>
              </w:rPr>
              <w:t>arsR</w:t>
            </w:r>
            <w:proofErr w:type="spellEnd"/>
            <w:r w:rsidRPr="005C6D0A">
              <w:rPr>
                <w:color w:val="000000"/>
                <w:sz w:val="20"/>
                <w:szCs w:val="20"/>
              </w:rPr>
              <w:t>-type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DNA-binding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domain</w:t>
            </w:r>
          </w:p>
        </w:tc>
        <w:tc>
          <w:tcPr>
            <w:tcW w:w="2383" w:type="dxa"/>
          </w:tcPr>
          <w:p w14:paraId="3626030F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Regulatory transporters</w:t>
            </w:r>
          </w:p>
        </w:tc>
        <w:tc>
          <w:tcPr>
            <w:tcW w:w="1253" w:type="dxa"/>
            <w:tcBorders>
              <w:right w:val="nil"/>
            </w:tcBorders>
          </w:tcPr>
          <w:p w14:paraId="6B502E1D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2</w:t>
            </w:r>
          </w:p>
        </w:tc>
      </w:tr>
      <w:tr w:rsidR="002E5078" w:rsidRPr="005C6D0A" w14:paraId="74582751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46AD1A39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Contains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HTH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C6D0A">
              <w:rPr>
                <w:color w:val="000000"/>
                <w:sz w:val="20"/>
                <w:szCs w:val="20"/>
              </w:rPr>
              <w:t>dtxR</w:t>
            </w:r>
            <w:proofErr w:type="spellEnd"/>
            <w:r w:rsidRPr="005C6D0A">
              <w:rPr>
                <w:color w:val="000000"/>
                <w:sz w:val="20"/>
                <w:szCs w:val="20"/>
              </w:rPr>
              <w:t>-type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DNA-binding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domain</w:t>
            </w:r>
          </w:p>
        </w:tc>
        <w:tc>
          <w:tcPr>
            <w:tcW w:w="2383" w:type="dxa"/>
          </w:tcPr>
          <w:p w14:paraId="79D3C71C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Regulatory transporters</w:t>
            </w:r>
          </w:p>
        </w:tc>
        <w:tc>
          <w:tcPr>
            <w:tcW w:w="1253" w:type="dxa"/>
            <w:tcBorders>
              <w:right w:val="nil"/>
            </w:tcBorders>
          </w:tcPr>
          <w:p w14:paraId="4C8A652C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086DCFC1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74E94290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Contains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response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regulatory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domain</w:t>
            </w:r>
          </w:p>
        </w:tc>
        <w:tc>
          <w:tcPr>
            <w:tcW w:w="2383" w:type="dxa"/>
          </w:tcPr>
          <w:p w14:paraId="33AB7D22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Regulatory transporters</w:t>
            </w:r>
          </w:p>
        </w:tc>
        <w:tc>
          <w:tcPr>
            <w:tcW w:w="1253" w:type="dxa"/>
            <w:tcBorders>
              <w:right w:val="nil"/>
            </w:tcBorders>
          </w:tcPr>
          <w:p w14:paraId="54EC4DB4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138B5236" w14:textId="77777777" w:rsidTr="00E36BBE">
        <w:trPr>
          <w:trHeight w:val="256"/>
          <w:jc w:val="center"/>
        </w:trPr>
        <w:tc>
          <w:tcPr>
            <w:tcW w:w="4889" w:type="dxa"/>
            <w:tcBorders>
              <w:left w:val="nil"/>
            </w:tcBorders>
          </w:tcPr>
          <w:p w14:paraId="77C7DF06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RND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superfamily</w:t>
            </w:r>
          </w:p>
        </w:tc>
        <w:tc>
          <w:tcPr>
            <w:tcW w:w="2383" w:type="dxa"/>
          </w:tcPr>
          <w:p w14:paraId="49C3E70F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color w:val="000000"/>
                <w:sz w:val="20"/>
                <w:szCs w:val="20"/>
              </w:rPr>
              <w:t>Regulatory transporters</w:t>
            </w:r>
          </w:p>
        </w:tc>
        <w:tc>
          <w:tcPr>
            <w:tcW w:w="1253" w:type="dxa"/>
            <w:tcBorders>
              <w:right w:val="nil"/>
            </w:tcBorders>
          </w:tcPr>
          <w:p w14:paraId="7B840A47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2</w:t>
            </w:r>
          </w:p>
        </w:tc>
      </w:tr>
      <w:tr w:rsidR="002E5078" w:rsidRPr="005C6D0A" w14:paraId="0493CE83" w14:textId="77777777" w:rsidTr="00E36BBE">
        <w:trPr>
          <w:trHeight w:val="275"/>
          <w:jc w:val="center"/>
        </w:trPr>
        <w:tc>
          <w:tcPr>
            <w:tcW w:w="4889" w:type="dxa"/>
            <w:tcBorders>
              <w:left w:val="nil"/>
            </w:tcBorders>
          </w:tcPr>
          <w:p w14:paraId="62DDA460" w14:textId="77777777" w:rsidR="002E5078" w:rsidRPr="005C6D0A" w:rsidRDefault="002E5078" w:rsidP="00E36BBE">
            <w:pPr>
              <w:spacing w:line="276" w:lineRule="auto"/>
              <w:rPr>
                <w:color w:val="000000"/>
                <w:sz w:val="20"/>
                <w:szCs w:val="20"/>
              </w:rPr>
            </w:pPr>
            <w:proofErr w:type="spellStart"/>
            <w:r w:rsidRPr="00103236">
              <w:rPr>
                <w:i/>
                <w:color w:val="000000"/>
                <w:sz w:val="20"/>
                <w:szCs w:val="20"/>
              </w:rPr>
              <w:t>ars</w:t>
            </w:r>
            <w:r w:rsidRPr="005C6D0A">
              <w:rPr>
                <w:color w:val="000000"/>
                <w:sz w:val="20"/>
                <w:szCs w:val="20"/>
              </w:rPr>
              <w:t>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r w:rsidRPr="005C6D0A">
              <w:rPr>
                <w:color w:val="000000"/>
                <w:sz w:val="20"/>
                <w:szCs w:val="20"/>
              </w:rPr>
              <w:t>family</w:t>
            </w:r>
          </w:p>
        </w:tc>
        <w:tc>
          <w:tcPr>
            <w:tcW w:w="2383" w:type="dxa"/>
          </w:tcPr>
          <w:p w14:paraId="6BF7F101" w14:textId="77777777" w:rsidR="002E5078" w:rsidRPr="005C6D0A" w:rsidRDefault="002E5078" w:rsidP="00E36BBE">
            <w:pPr>
              <w:spacing w:line="276" w:lineRule="auto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Not yet determined*</w:t>
            </w:r>
          </w:p>
        </w:tc>
        <w:tc>
          <w:tcPr>
            <w:tcW w:w="1253" w:type="dxa"/>
            <w:tcBorders>
              <w:right w:val="nil"/>
            </w:tcBorders>
          </w:tcPr>
          <w:p w14:paraId="21E5B66A" w14:textId="77777777" w:rsidR="002E5078" w:rsidRPr="005C6D0A" w:rsidRDefault="002E5078" w:rsidP="00E36BBE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5C6D0A">
              <w:rPr>
                <w:sz w:val="20"/>
                <w:szCs w:val="20"/>
              </w:rPr>
              <w:t>1</w:t>
            </w:r>
          </w:p>
        </w:tc>
      </w:tr>
      <w:tr w:rsidR="002E5078" w:rsidRPr="005C6D0A" w14:paraId="123E740F" w14:textId="77777777" w:rsidTr="00E36BBE">
        <w:trPr>
          <w:trHeight w:val="53"/>
          <w:jc w:val="center"/>
        </w:trPr>
        <w:tc>
          <w:tcPr>
            <w:tcW w:w="4889" w:type="dxa"/>
            <w:tcBorders>
              <w:left w:val="nil"/>
              <w:bottom w:val="single" w:sz="4" w:space="0" w:color="auto"/>
            </w:tcBorders>
          </w:tcPr>
          <w:p w14:paraId="35662E70" w14:textId="77777777" w:rsidR="002E5078" w:rsidRPr="005C6D0A" w:rsidRDefault="002E5078" w:rsidP="00E36BB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tcBorders>
              <w:bottom w:val="single" w:sz="4" w:space="0" w:color="auto"/>
            </w:tcBorders>
          </w:tcPr>
          <w:p w14:paraId="2C105708" w14:textId="77777777" w:rsidR="002E5078" w:rsidRPr="005C6D0A" w:rsidRDefault="002E5078" w:rsidP="00E36BB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tcBorders>
              <w:bottom w:val="single" w:sz="4" w:space="0" w:color="auto"/>
              <w:right w:val="nil"/>
            </w:tcBorders>
          </w:tcPr>
          <w:p w14:paraId="09E7874E" w14:textId="77777777" w:rsidR="002E5078" w:rsidRPr="005C6D0A" w:rsidRDefault="002E5078" w:rsidP="00E36BBE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E4E398E" w14:textId="452AB05D" w:rsidR="002E5078" w:rsidRDefault="002E5078">
      <w:pPr>
        <w:rPr>
          <w:lang w:val="en-US"/>
        </w:rPr>
      </w:pPr>
    </w:p>
    <w:p w14:paraId="11BCC64A" w14:textId="120FCAF2" w:rsidR="004B44F2" w:rsidRDefault="004B44F2">
      <w:pPr>
        <w:rPr>
          <w:lang w:val="en-US"/>
        </w:rPr>
      </w:pPr>
    </w:p>
    <w:p w14:paraId="02E95306" w14:textId="4C22CDFE" w:rsidR="004B44F2" w:rsidRDefault="004B44F2">
      <w:pPr>
        <w:rPr>
          <w:lang w:val="en-US"/>
        </w:rPr>
      </w:pPr>
    </w:p>
    <w:p w14:paraId="6E4567AF" w14:textId="77A79051" w:rsidR="004B44F2" w:rsidRDefault="004B44F2">
      <w:pPr>
        <w:rPr>
          <w:lang w:val="en-US"/>
        </w:rPr>
      </w:pPr>
    </w:p>
    <w:p w14:paraId="72587B6B" w14:textId="4783ABC9" w:rsidR="004B44F2" w:rsidRDefault="004B44F2">
      <w:pPr>
        <w:rPr>
          <w:lang w:val="en-US"/>
        </w:rPr>
      </w:pPr>
    </w:p>
    <w:p w14:paraId="216217DC" w14:textId="4B3A2498" w:rsidR="004B44F2" w:rsidRDefault="004B44F2">
      <w:pPr>
        <w:rPr>
          <w:lang w:val="en-US"/>
        </w:rPr>
      </w:pPr>
    </w:p>
    <w:p w14:paraId="109AB49D" w14:textId="1A0F92E6" w:rsidR="004B44F2" w:rsidRDefault="004B44F2">
      <w:pPr>
        <w:rPr>
          <w:lang w:val="en-US"/>
        </w:rPr>
      </w:pPr>
    </w:p>
    <w:p w14:paraId="62834D4E" w14:textId="62399BAD" w:rsidR="004B44F2" w:rsidRDefault="004B44F2">
      <w:pPr>
        <w:rPr>
          <w:lang w:val="en-US"/>
        </w:rPr>
      </w:pPr>
    </w:p>
    <w:p w14:paraId="57161CBB" w14:textId="06590675" w:rsidR="004B44F2" w:rsidRDefault="004B44F2">
      <w:pPr>
        <w:rPr>
          <w:lang w:val="en-US"/>
        </w:rPr>
      </w:pPr>
    </w:p>
    <w:p w14:paraId="205965C9" w14:textId="20A29B1A" w:rsidR="004B44F2" w:rsidRDefault="004B44F2">
      <w:pPr>
        <w:rPr>
          <w:lang w:val="en-US"/>
        </w:rPr>
      </w:pPr>
    </w:p>
    <w:p w14:paraId="1924E813" w14:textId="37E7DA26" w:rsidR="004B44F2" w:rsidRDefault="004B44F2">
      <w:pPr>
        <w:rPr>
          <w:lang w:val="en-US"/>
        </w:rPr>
      </w:pPr>
    </w:p>
    <w:p w14:paraId="54A8B4F3" w14:textId="6732C39D" w:rsidR="004B44F2" w:rsidRDefault="004B44F2">
      <w:pPr>
        <w:rPr>
          <w:lang w:val="en-US"/>
        </w:rPr>
      </w:pPr>
    </w:p>
    <w:p w14:paraId="2187491C" w14:textId="5E0C804D" w:rsidR="004B44F2" w:rsidRDefault="004B44F2">
      <w:pPr>
        <w:rPr>
          <w:lang w:val="en-US"/>
        </w:rPr>
      </w:pPr>
    </w:p>
    <w:p w14:paraId="20A2EE9B" w14:textId="25A8619D" w:rsidR="004B44F2" w:rsidRDefault="004B44F2">
      <w:pPr>
        <w:rPr>
          <w:lang w:val="en-US"/>
        </w:rPr>
      </w:pPr>
    </w:p>
    <w:p w14:paraId="47B58B71" w14:textId="1AB34BDD" w:rsidR="004B44F2" w:rsidRDefault="004B44F2">
      <w:pPr>
        <w:rPr>
          <w:lang w:val="en-US"/>
        </w:rPr>
      </w:pPr>
    </w:p>
    <w:p w14:paraId="04280BAB" w14:textId="77777777" w:rsidR="004B44F2" w:rsidRDefault="004B44F2">
      <w:pPr>
        <w:rPr>
          <w:lang w:val="en-US"/>
        </w:rPr>
        <w:sectPr w:rsidR="004B44F2" w:rsidSect="00F046A9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3C09B906" w14:textId="39A25AB5" w:rsidR="007966F9" w:rsidRDefault="007966F9" w:rsidP="007966F9">
      <w:pPr>
        <w:spacing w:line="360" w:lineRule="auto"/>
        <w:rPr>
          <w:sz w:val="22"/>
          <w:szCs w:val="22"/>
          <w:lang w:val="en-US"/>
        </w:rPr>
      </w:pPr>
      <w:r w:rsidRPr="00747125">
        <w:rPr>
          <w:sz w:val="22"/>
          <w:szCs w:val="22"/>
          <w:lang w:val="en-US"/>
        </w:rPr>
        <w:lastRenderedPageBreak/>
        <w:t xml:space="preserve">Table </w:t>
      </w:r>
      <w:r>
        <w:rPr>
          <w:sz w:val="22"/>
          <w:szCs w:val="22"/>
          <w:lang w:val="en-US"/>
        </w:rPr>
        <w:t>S3.</w:t>
      </w:r>
      <w:r w:rsidRPr="00747125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The proportion of mobile genetic elements</w:t>
      </w:r>
      <w:r w:rsidRPr="00C24738">
        <w:rPr>
          <w:sz w:val="22"/>
          <w:szCs w:val="22"/>
          <w:lang w:val="en-US"/>
        </w:rPr>
        <w:t xml:space="preserve"> detected in the </w:t>
      </w:r>
      <w:r>
        <w:rPr>
          <w:sz w:val="22"/>
          <w:szCs w:val="22"/>
          <w:lang w:val="en-US"/>
        </w:rPr>
        <w:t>study.</w:t>
      </w:r>
    </w:p>
    <w:tbl>
      <w:tblPr>
        <w:tblStyle w:val="TableGrid"/>
        <w:tblpPr w:leftFromText="180" w:rightFromText="180" w:vertAnchor="page" w:horzAnchor="margin" w:tblpY="2184"/>
        <w:tblW w:w="765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  <w:gridCol w:w="2881"/>
        <w:gridCol w:w="1513"/>
      </w:tblGrid>
      <w:tr w:rsidR="00724F93" w:rsidRPr="005C6D0A" w14:paraId="0486CB55" w14:textId="77777777" w:rsidTr="00AD71DA">
        <w:trPr>
          <w:trHeight w:val="472"/>
        </w:trPr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38282F7F" w14:textId="77777777" w:rsidR="00724F93" w:rsidRPr="005C6D0A" w:rsidRDefault="00724F93" w:rsidP="007966F9">
            <w:pPr>
              <w:rPr>
                <w:sz w:val="21"/>
                <w:szCs w:val="21"/>
              </w:rPr>
            </w:pPr>
            <w:r w:rsidRPr="005C6D0A">
              <w:rPr>
                <w:sz w:val="21"/>
                <w:szCs w:val="21"/>
              </w:rPr>
              <w:t>M</w:t>
            </w:r>
            <w:r>
              <w:rPr>
                <w:sz w:val="21"/>
                <w:szCs w:val="21"/>
              </w:rPr>
              <w:t>obile genetic element</w:t>
            </w:r>
          </w:p>
        </w:tc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03A2A8F" w14:textId="1629174B" w:rsidR="00724F93" w:rsidRDefault="00724F93" w:rsidP="007966F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Definition</w:t>
            </w:r>
          </w:p>
        </w:tc>
        <w:tc>
          <w:tcPr>
            <w:tcW w:w="1513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8B2F5A6" w14:textId="7B56B0FA" w:rsidR="00724F93" w:rsidRPr="005C6D0A" w:rsidRDefault="00724F93" w:rsidP="007966F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Proportion</w:t>
            </w:r>
            <w:r w:rsidR="00AD71DA">
              <w:rPr>
                <w:sz w:val="21"/>
                <w:szCs w:val="21"/>
              </w:rPr>
              <w:t xml:space="preserve"> (%)</w:t>
            </w:r>
          </w:p>
        </w:tc>
      </w:tr>
      <w:tr w:rsidR="00724F93" w:rsidRPr="005C6D0A" w14:paraId="612CE102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42333041" w14:textId="3F129DD1" w:rsidR="00724F93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bookmarkStart w:id="0" w:name="_GoBack" w:colFirst="0" w:colLast="2"/>
            <w:r w:rsidRPr="00AD71DA">
              <w:rPr>
                <w:color w:val="000000" w:themeColor="text1"/>
                <w:sz w:val="20"/>
                <w:szCs w:val="20"/>
              </w:rPr>
              <w:t>IS10</w:t>
            </w:r>
          </w:p>
        </w:tc>
        <w:tc>
          <w:tcPr>
            <w:tcW w:w="2881" w:type="dxa"/>
          </w:tcPr>
          <w:p w14:paraId="42B0523A" w14:textId="05F33066" w:rsidR="00724F93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Insertion sequence</w:t>
            </w:r>
          </w:p>
        </w:tc>
        <w:tc>
          <w:tcPr>
            <w:tcW w:w="1513" w:type="dxa"/>
            <w:tcBorders>
              <w:right w:val="nil"/>
            </w:tcBorders>
          </w:tcPr>
          <w:p w14:paraId="40CF062E" w14:textId="39482E56" w:rsidR="00724F93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1,3</w:t>
            </w:r>
          </w:p>
        </w:tc>
      </w:tr>
      <w:tr w:rsidR="00AD71DA" w:rsidRPr="005C6D0A" w14:paraId="3B6A1040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098540D8" w14:textId="4F5C6ED4" w:rsidR="00AD71DA" w:rsidRPr="00AD71DA" w:rsidRDefault="00AD71DA" w:rsidP="00AD71DA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IS10R</w:t>
            </w:r>
          </w:p>
        </w:tc>
        <w:tc>
          <w:tcPr>
            <w:tcW w:w="2881" w:type="dxa"/>
          </w:tcPr>
          <w:p w14:paraId="5815455B" w14:textId="5874A8AE" w:rsidR="00AD71DA" w:rsidRPr="00AD71DA" w:rsidRDefault="00AD71DA" w:rsidP="00AD71DA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Insertion sequence</w:t>
            </w:r>
          </w:p>
        </w:tc>
        <w:tc>
          <w:tcPr>
            <w:tcW w:w="1513" w:type="dxa"/>
            <w:tcBorders>
              <w:right w:val="nil"/>
            </w:tcBorders>
          </w:tcPr>
          <w:p w14:paraId="43129850" w14:textId="5F4E3CB5" w:rsidR="00AD71DA" w:rsidRPr="00AD71DA" w:rsidRDefault="00AD71DA" w:rsidP="00AD71DA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0,7</w:t>
            </w:r>
          </w:p>
        </w:tc>
      </w:tr>
      <w:tr w:rsidR="00AD71DA" w:rsidRPr="005C6D0A" w14:paraId="3477AF57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3D9B6ECD" w14:textId="6152370C" w:rsidR="00AD71DA" w:rsidRPr="00AD71DA" w:rsidRDefault="00AD71DA" w:rsidP="00AD71DA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IS91</w:t>
            </w:r>
          </w:p>
        </w:tc>
        <w:tc>
          <w:tcPr>
            <w:tcW w:w="2881" w:type="dxa"/>
          </w:tcPr>
          <w:p w14:paraId="0EF68312" w14:textId="0E780084" w:rsidR="00AD71DA" w:rsidRPr="00AD71DA" w:rsidRDefault="00AD71DA" w:rsidP="00AD71DA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Insertion sequence</w:t>
            </w:r>
          </w:p>
        </w:tc>
        <w:tc>
          <w:tcPr>
            <w:tcW w:w="1513" w:type="dxa"/>
            <w:tcBorders>
              <w:right w:val="nil"/>
            </w:tcBorders>
          </w:tcPr>
          <w:p w14:paraId="220EFFCA" w14:textId="4239A610" w:rsidR="00AD71DA" w:rsidRPr="00AD71DA" w:rsidRDefault="00AD71DA" w:rsidP="00AD71DA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60,3</w:t>
            </w:r>
          </w:p>
        </w:tc>
      </w:tr>
      <w:tr w:rsidR="00AD71DA" w:rsidRPr="005C6D0A" w14:paraId="7D6551D3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5A8DAD1E" w14:textId="48447C11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tNiA</w:t>
            </w:r>
            <w:proofErr w:type="spellEnd"/>
          </w:p>
        </w:tc>
        <w:tc>
          <w:tcPr>
            <w:tcW w:w="2881" w:type="dxa"/>
          </w:tcPr>
          <w:p w14:paraId="08372D3F" w14:textId="1D67ED83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Integrase</w:t>
            </w:r>
          </w:p>
        </w:tc>
        <w:tc>
          <w:tcPr>
            <w:tcW w:w="1513" w:type="dxa"/>
            <w:tcBorders>
              <w:right w:val="nil"/>
            </w:tcBorders>
          </w:tcPr>
          <w:p w14:paraId="47CF7917" w14:textId="5AB6C9FE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0,7</w:t>
            </w:r>
          </w:p>
        </w:tc>
      </w:tr>
      <w:tr w:rsidR="00AD71DA" w:rsidRPr="005C6D0A" w14:paraId="14F4E970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6BF46A6F" w14:textId="29481B66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Int2</w:t>
            </w:r>
          </w:p>
        </w:tc>
        <w:tc>
          <w:tcPr>
            <w:tcW w:w="2881" w:type="dxa"/>
          </w:tcPr>
          <w:p w14:paraId="1AA40D87" w14:textId="44B010C0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Integron</w:t>
            </w:r>
            <w:proofErr w:type="spellEnd"/>
          </w:p>
        </w:tc>
        <w:tc>
          <w:tcPr>
            <w:tcW w:w="1513" w:type="dxa"/>
            <w:tcBorders>
              <w:right w:val="nil"/>
            </w:tcBorders>
          </w:tcPr>
          <w:p w14:paraId="22A7A86C" w14:textId="4D0DD1D0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0,7</w:t>
            </w:r>
          </w:p>
        </w:tc>
      </w:tr>
      <w:tr w:rsidR="00AD71DA" w:rsidRPr="005C6D0A" w14:paraId="2EB76CD9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17C8DA17" w14:textId="0E318F5D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istB</w:t>
            </w:r>
            <w:proofErr w:type="spellEnd"/>
          </w:p>
        </w:tc>
        <w:tc>
          <w:tcPr>
            <w:tcW w:w="2881" w:type="dxa"/>
          </w:tcPr>
          <w:p w14:paraId="0F6355F6" w14:textId="60A8EE71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Integron</w:t>
            </w:r>
            <w:proofErr w:type="spellEnd"/>
          </w:p>
        </w:tc>
        <w:tc>
          <w:tcPr>
            <w:tcW w:w="1513" w:type="dxa"/>
            <w:tcBorders>
              <w:right w:val="nil"/>
            </w:tcBorders>
          </w:tcPr>
          <w:p w14:paraId="70E57B48" w14:textId="12820C7C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1,3</w:t>
            </w:r>
          </w:p>
        </w:tc>
      </w:tr>
      <w:tr w:rsidR="00AD71DA" w:rsidRPr="005C6D0A" w14:paraId="4036B7F2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3C85E82F" w14:textId="4EAEBC6B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ColRNAi</w:t>
            </w:r>
            <w:proofErr w:type="spellEnd"/>
          </w:p>
        </w:tc>
        <w:tc>
          <w:tcPr>
            <w:tcW w:w="2881" w:type="dxa"/>
          </w:tcPr>
          <w:p w14:paraId="782939CC" w14:textId="46EC599B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Plasmid</w:t>
            </w:r>
          </w:p>
        </w:tc>
        <w:tc>
          <w:tcPr>
            <w:tcW w:w="1513" w:type="dxa"/>
            <w:tcBorders>
              <w:right w:val="nil"/>
            </w:tcBorders>
          </w:tcPr>
          <w:p w14:paraId="609B486F" w14:textId="08D433B7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2,6</w:t>
            </w:r>
          </w:p>
        </w:tc>
      </w:tr>
      <w:tr w:rsidR="00AD71DA" w:rsidRPr="005C6D0A" w14:paraId="20855871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691B5466" w14:textId="595F1BF3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Delta-</w:t>
            </w: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tnpA</w:t>
            </w:r>
            <w:proofErr w:type="spellEnd"/>
          </w:p>
        </w:tc>
        <w:tc>
          <w:tcPr>
            <w:tcW w:w="2881" w:type="dxa"/>
          </w:tcPr>
          <w:p w14:paraId="5881C743" w14:textId="650EA58C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Transposase</w:t>
            </w:r>
          </w:p>
        </w:tc>
        <w:tc>
          <w:tcPr>
            <w:tcW w:w="1513" w:type="dxa"/>
            <w:tcBorders>
              <w:right w:val="nil"/>
            </w:tcBorders>
          </w:tcPr>
          <w:p w14:paraId="05C63900" w14:textId="48162151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0,7</w:t>
            </w:r>
          </w:p>
        </w:tc>
      </w:tr>
      <w:tr w:rsidR="00AD71DA" w:rsidRPr="005C6D0A" w14:paraId="7675D44D" w14:textId="77777777" w:rsidTr="00AD71DA">
        <w:trPr>
          <w:trHeight w:val="53"/>
        </w:trPr>
        <w:tc>
          <w:tcPr>
            <w:tcW w:w="3261" w:type="dxa"/>
            <w:tcBorders>
              <w:left w:val="nil"/>
            </w:tcBorders>
          </w:tcPr>
          <w:p w14:paraId="0C13A757" w14:textId="51681EBA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AD71DA">
              <w:rPr>
                <w:color w:val="000000" w:themeColor="text1"/>
                <w:sz w:val="20"/>
                <w:szCs w:val="20"/>
              </w:rPr>
              <w:t>tnpA</w:t>
            </w:r>
            <w:proofErr w:type="spellEnd"/>
          </w:p>
        </w:tc>
        <w:tc>
          <w:tcPr>
            <w:tcW w:w="2881" w:type="dxa"/>
          </w:tcPr>
          <w:p w14:paraId="69076EF9" w14:textId="4ED0368B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transposase</w:t>
            </w:r>
          </w:p>
        </w:tc>
        <w:tc>
          <w:tcPr>
            <w:tcW w:w="1513" w:type="dxa"/>
            <w:tcBorders>
              <w:right w:val="nil"/>
            </w:tcBorders>
          </w:tcPr>
          <w:p w14:paraId="5D393367" w14:textId="1AC92D20" w:rsidR="00AD71DA" w:rsidRPr="00AD71DA" w:rsidRDefault="00AD71DA" w:rsidP="00724F9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AD71DA">
              <w:rPr>
                <w:color w:val="000000" w:themeColor="text1"/>
                <w:sz w:val="20"/>
                <w:szCs w:val="20"/>
              </w:rPr>
              <w:t>31,8</w:t>
            </w:r>
          </w:p>
        </w:tc>
      </w:tr>
      <w:bookmarkEnd w:id="0"/>
      <w:tr w:rsidR="00AD71DA" w:rsidRPr="005C6D0A" w14:paraId="752D1AAA" w14:textId="77777777" w:rsidTr="00AD71DA">
        <w:trPr>
          <w:trHeight w:val="53"/>
        </w:trPr>
        <w:tc>
          <w:tcPr>
            <w:tcW w:w="3261" w:type="dxa"/>
            <w:tcBorders>
              <w:left w:val="nil"/>
              <w:bottom w:val="single" w:sz="4" w:space="0" w:color="auto"/>
            </w:tcBorders>
          </w:tcPr>
          <w:p w14:paraId="7C7B5081" w14:textId="77777777" w:rsidR="00AD71DA" w:rsidRPr="00724F93" w:rsidRDefault="00AD71DA" w:rsidP="00724F93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2881" w:type="dxa"/>
            <w:tcBorders>
              <w:bottom w:val="single" w:sz="4" w:space="0" w:color="auto"/>
            </w:tcBorders>
          </w:tcPr>
          <w:p w14:paraId="21CC570E" w14:textId="77777777" w:rsidR="00AD71DA" w:rsidRPr="00724F93" w:rsidRDefault="00AD71DA" w:rsidP="00724F93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513" w:type="dxa"/>
            <w:tcBorders>
              <w:bottom w:val="single" w:sz="4" w:space="0" w:color="auto"/>
              <w:right w:val="nil"/>
            </w:tcBorders>
          </w:tcPr>
          <w:p w14:paraId="37348708" w14:textId="77777777" w:rsidR="00AD71DA" w:rsidRPr="00724F93" w:rsidRDefault="00AD71DA" w:rsidP="00724F93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</w:tbl>
    <w:p w14:paraId="2F28E7EB" w14:textId="77777777" w:rsidR="004B44F2" w:rsidRPr="004B44F2" w:rsidRDefault="004B44F2" w:rsidP="004B44F2">
      <w:pPr>
        <w:rPr>
          <w:lang w:val="en-US"/>
        </w:rPr>
      </w:pPr>
    </w:p>
    <w:sectPr w:rsidR="004B44F2" w:rsidRPr="004B44F2" w:rsidSect="007966F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47A466" w14:textId="77777777" w:rsidR="00E4311E" w:rsidRDefault="00E4311E" w:rsidP="002E5078">
      <w:r>
        <w:separator/>
      </w:r>
    </w:p>
  </w:endnote>
  <w:endnote w:type="continuationSeparator" w:id="0">
    <w:p w14:paraId="1164D739" w14:textId="77777777" w:rsidR="00E4311E" w:rsidRDefault="00E4311E" w:rsidP="002E5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4AD32A" w14:textId="77777777" w:rsidR="00E4311E" w:rsidRDefault="00E4311E" w:rsidP="002E5078">
      <w:r>
        <w:separator/>
      </w:r>
    </w:p>
  </w:footnote>
  <w:footnote w:type="continuationSeparator" w:id="0">
    <w:p w14:paraId="5D303BA4" w14:textId="77777777" w:rsidR="00E4311E" w:rsidRDefault="00E4311E" w:rsidP="002E50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078"/>
    <w:rsid w:val="00221BDB"/>
    <w:rsid w:val="002E5078"/>
    <w:rsid w:val="004B44F2"/>
    <w:rsid w:val="00616401"/>
    <w:rsid w:val="006D6C46"/>
    <w:rsid w:val="006F48BC"/>
    <w:rsid w:val="00724F93"/>
    <w:rsid w:val="007966F9"/>
    <w:rsid w:val="009D38BE"/>
    <w:rsid w:val="009E598D"/>
    <w:rsid w:val="00A24C8C"/>
    <w:rsid w:val="00AD71DA"/>
    <w:rsid w:val="00E4311E"/>
    <w:rsid w:val="00F04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A2365"/>
  <w15:chartTrackingRefBased/>
  <w15:docId w15:val="{EB01C950-3DB4-2443-A452-98BE84C9F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E50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E507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5078"/>
  </w:style>
  <w:style w:type="paragraph" w:styleId="Footer">
    <w:name w:val="footer"/>
    <w:basedOn w:val="Normal"/>
    <w:link w:val="FooterChar"/>
    <w:uiPriority w:val="99"/>
    <w:unhideWhenUsed/>
    <w:rsid w:val="002E507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50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586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D767F8-040E-1F4D-8A95-11BA2A023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594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Yashini</dc:creator>
  <cp:keywords/>
  <dc:description/>
  <cp:lastModifiedBy>Yashini</cp:lastModifiedBy>
  <cp:revision>4</cp:revision>
  <dcterms:created xsi:type="dcterms:W3CDTF">2021-03-08T11:38:00Z</dcterms:created>
  <dcterms:modified xsi:type="dcterms:W3CDTF">2023-11-06T11:49:00Z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http://www.zotero.org/styles/applied-and-environmental-microbiology</vt:lpwstr>
  </property>
  <property fmtid="{D5CDD505-2E9C-101B-9397-08002B2CF9AE}" pid="5" name="Mendeley Recent Style Name 1_1">
    <vt:lpwstr>Applied and Environmental Microbiology</vt:lpwstr>
  </property>
  <property fmtid="{D5CDD505-2E9C-101B-9397-08002B2CF9AE}" pid="6" name="Mendeley Recent Style Id 2_1">
    <vt:lpwstr>http://www.zotero.org/styles/harvard-cite-them-right</vt:lpwstr>
  </property>
  <property fmtid="{D5CDD505-2E9C-101B-9397-08002B2CF9AE}" pid="7" name="Mendeley Recent Style Name 2_1">
    <vt:lpwstr>Cite Them Right 10th edition - Harvard</vt:lpwstr>
  </property>
  <property fmtid="{D5CDD505-2E9C-101B-9397-08002B2CF9AE}" pid="8" name="Mendeley Recent Style Id 3_1">
    <vt:lpwstr>http://www.zotero.org/styles/environmental-microbiology</vt:lpwstr>
  </property>
  <property fmtid="{D5CDD505-2E9C-101B-9397-08002B2CF9AE}" pid="9" name="Mendeley Recent Style Name 3_1">
    <vt:lpwstr>Environmental Microbiology</vt:lpwstr>
  </property>
  <property fmtid="{D5CDD505-2E9C-101B-9397-08002B2CF9AE}" pid="10" name="Mendeley Recent Style Id 4_1">
    <vt:lpwstr>http://www.zotero.org/styles/ieee</vt:lpwstr>
  </property>
  <property fmtid="{D5CDD505-2E9C-101B-9397-08002B2CF9AE}" pid="11" name="Mendeley Recent Style Name 4_1">
    <vt:lpwstr>IEEE</vt:lpwstr>
  </property>
  <property fmtid="{D5CDD505-2E9C-101B-9397-08002B2CF9AE}" pid="12" name="Mendeley Recent Style Id 5_1">
    <vt:lpwstr>http://www.zotero.org/styles/microbial-ecology</vt:lpwstr>
  </property>
  <property fmtid="{D5CDD505-2E9C-101B-9397-08002B2CF9AE}" pid="13" name="Mendeley Recent Style Name 5_1">
    <vt:lpwstr>Microbial Ecology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http://www.zotero.org/styles/national-library-of-medicine</vt:lpwstr>
  </property>
  <property fmtid="{D5CDD505-2E9C-101B-9397-08002B2CF9AE}" pid="19" name="Mendeley Recent Style Name 8_1">
    <vt:lpwstr>National Library of Medicine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