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DA3B4CA" w14:textId="6C4B14EB" w:rsidR="00B76369" w:rsidRPr="00783A4F" w:rsidRDefault="00BF5FBD" w:rsidP="00D828C0">
      <w:pPr>
        <w:pStyle w:val="Heading3"/>
        <w:rPr>
          <w:lang w:val="en-AU"/>
        </w:rPr>
      </w:pPr>
      <w:bookmarkStart w:id="0" w:name="_GoBack"/>
      <w:bookmarkEnd w:id="0"/>
      <w:r w:rsidRPr="00783A4F">
        <w:rPr>
          <w:lang w:val="en-AU"/>
        </w:rPr>
        <w:t xml:space="preserve">Appendix IV. </w:t>
      </w:r>
      <w:r w:rsidR="00560989" w:rsidRPr="00783A4F">
        <w:rPr>
          <w:lang w:val="en-AU"/>
        </w:rPr>
        <w:t xml:space="preserve">Response to feedback </w:t>
      </w:r>
      <w:r w:rsidR="00B76369" w:rsidRPr="00783A4F">
        <w:rPr>
          <w:lang w:val="en-AU"/>
        </w:rPr>
        <w:t>– examples of indicator amendments</w:t>
      </w:r>
    </w:p>
    <w:tbl>
      <w:tblPr>
        <w:tblStyle w:val="TableGrid"/>
        <w:tblW w:w="0" w:type="auto"/>
        <w:tblBorders>
          <w:left w:val="none" w:sz="0" w:space="0" w:color="auto"/>
          <w:right w:val="none" w:sz="0" w:space="0" w:color="auto"/>
          <w:insideV w:val="none" w:sz="0" w:space="0" w:color="auto"/>
        </w:tblBorders>
        <w:tblLook w:val="04A0" w:firstRow="1" w:lastRow="0" w:firstColumn="1" w:lastColumn="0" w:noHBand="0" w:noVBand="1"/>
      </w:tblPr>
      <w:tblGrid>
        <w:gridCol w:w="2496"/>
        <w:gridCol w:w="2795"/>
        <w:gridCol w:w="4875"/>
        <w:gridCol w:w="3836"/>
      </w:tblGrid>
      <w:tr w:rsidR="00B76369" w:rsidRPr="00783A4F" w14:paraId="1E1D4214" w14:textId="77777777" w:rsidTr="00ED32E0">
        <w:trPr>
          <w:cantSplit/>
          <w:tblHeader/>
        </w:trPr>
        <w:tc>
          <w:tcPr>
            <w:tcW w:w="2496" w:type="dxa"/>
            <w:shd w:val="clear" w:color="auto" w:fill="DBE5F1" w:themeFill="accent1" w:themeFillTint="33"/>
          </w:tcPr>
          <w:p w14:paraId="7C5B7595" w14:textId="77777777" w:rsidR="00B76369" w:rsidRPr="00783A4F" w:rsidRDefault="00B76369" w:rsidP="000E626A">
            <w:pPr>
              <w:spacing w:after="80"/>
              <w:rPr>
                <w:b/>
                <w:i/>
                <w:sz w:val="20"/>
                <w:szCs w:val="20"/>
                <w:lang w:val="en-AU"/>
              </w:rPr>
            </w:pPr>
            <w:r w:rsidRPr="00783A4F">
              <w:rPr>
                <w:b/>
                <w:i/>
                <w:sz w:val="20"/>
                <w:szCs w:val="20"/>
                <w:lang w:val="en-AU"/>
              </w:rPr>
              <w:t>Intervention</w:t>
            </w:r>
          </w:p>
        </w:tc>
        <w:tc>
          <w:tcPr>
            <w:tcW w:w="2795" w:type="dxa"/>
            <w:shd w:val="clear" w:color="auto" w:fill="DBE5F1" w:themeFill="accent1" w:themeFillTint="33"/>
          </w:tcPr>
          <w:p w14:paraId="5BBACAEA" w14:textId="77777777" w:rsidR="00B76369" w:rsidRPr="00783A4F" w:rsidRDefault="0043463E" w:rsidP="000E626A">
            <w:pPr>
              <w:spacing w:after="80"/>
              <w:rPr>
                <w:b/>
                <w:i/>
                <w:sz w:val="20"/>
                <w:szCs w:val="20"/>
                <w:lang w:val="en-AU"/>
              </w:rPr>
            </w:pPr>
            <w:r w:rsidRPr="00783A4F">
              <w:rPr>
                <w:b/>
                <w:i/>
                <w:sz w:val="20"/>
                <w:szCs w:val="20"/>
                <w:lang w:val="en-AU"/>
              </w:rPr>
              <w:t>I</w:t>
            </w:r>
            <w:r w:rsidR="00B76369" w:rsidRPr="00783A4F">
              <w:rPr>
                <w:b/>
                <w:i/>
                <w:sz w:val="20"/>
                <w:szCs w:val="20"/>
                <w:lang w:val="en-AU"/>
              </w:rPr>
              <w:t>ndicator</w:t>
            </w:r>
          </w:p>
        </w:tc>
        <w:tc>
          <w:tcPr>
            <w:tcW w:w="4875" w:type="dxa"/>
            <w:shd w:val="clear" w:color="auto" w:fill="DBE5F1" w:themeFill="accent1" w:themeFillTint="33"/>
          </w:tcPr>
          <w:p w14:paraId="28076187" w14:textId="77777777" w:rsidR="00B76369" w:rsidRPr="00783A4F" w:rsidRDefault="00B76369" w:rsidP="000E626A">
            <w:pPr>
              <w:spacing w:after="80"/>
              <w:rPr>
                <w:b/>
                <w:i/>
                <w:sz w:val="20"/>
                <w:szCs w:val="20"/>
                <w:lang w:val="en-AU"/>
              </w:rPr>
            </w:pPr>
            <w:r w:rsidRPr="00783A4F">
              <w:rPr>
                <w:b/>
                <w:i/>
                <w:sz w:val="20"/>
                <w:szCs w:val="20"/>
                <w:lang w:val="en-AU"/>
              </w:rPr>
              <w:t>Comments</w:t>
            </w:r>
          </w:p>
        </w:tc>
        <w:tc>
          <w:tcPr>
            <w:tcW w:w="3836" w:type="dxa"/>
            <w:shd w:val="clear" w:color="auto" w:fill="DBE5F1" w:themeFill="accent1" w:themeFillTint="33"/>
          </w:tcPr>
          <w:p w14:paraId="3E354ECF" w14:textId="77777777" w:rsidR="00B76369" w:rsidRPr="00783A4F" w:rsidRDefault="00B76369" w:rsidP="000E626A">
            <w:pPr>
              <w:spacing w:after="80"/>
              <w:rPr>
                <w:b/>
                <w:i/>
                <w:sz w:val="20"/>
                <w:szCs w:val="20"/>
                <w:lang w:val="en-AU"/>
              </w:rPr>
            </w:pPr>
            <w:r w:rsidRPr="00783A4F">
              <w:rPr>
                <w:b/>
                <w:i/>
                <w:sz w:val="20"/>
                <w:szCs w:val="20"/>
                <w:lang w:val="en-AU"/>
              </w:rPr>
              <w:t>Summary of amendments</w:t>
            </w:r>
          </w:p>
        </w:tc>
      </w:tr>
      <w:tr w:rsidR="0043463E" w:rsidRPr="00783A4F" w14:paraId="0611F11A" w14:textId="77777777" w:rsidTr="00ED32E0">
        <w:trPr>
          <w:cantSplit/>
        </w:trPr>
        <w:tc>
          <w:tcPr>
            <w:tcW w:w="2496" w:type="dxa"/>
          </w:tcPr>
          <w:p w14:paraId="637CBBCD" w14:textId="75E92B87" w:rsidR="0043463E" w:rsidRPr="00783A4F" w:rsidRDefault="0043463E" w:rsidP="000E626A">
            <w:pPr>
              <w:spacing w:after="80"/>
              <w:rPr>
                <w:sz w:val="20"/>
                <w:szCs w:val="20"/>
                <w:lang w:val="en-AU"/>
              </w:rPr>
            </w:pPr>
            <w:r w:rsidRPr="00783A4F">
              <w:rPr>
                <w:sz w:val="20"/>
                <w:szCs w:val="20"/>
                <w:lang w:val="en-AU"/>
              </w:rPr>
              <w:t xml:space="preserve">Prevention and management of STIs including HIV for PMTCT of HIV and syphilis </w:t>
            </w:r>
          </w:p>
        </w:tc>
        <w:tc>
          <w:tcPr>
            <w:tcW w:w="2795" w:type="dxa"/>
          </w:tcPr>
          <w:p w14:paraId="433D8CB3" w14:textId="1EEC686F" w:rsidR="0043463E" w:rsidRPr="00783A4F" w:rsidRDefault="0043463E" w:rsidP="000E626A">
            <w:pPr>
              <w:spacing w:after="80"/>
              <w:rPr>
                <w:sz w:val="20"/>
                <w:szCs w:val="20"/>
                <w:lang w:val="en-AU"/>
              </w:rPr>
            </w:pPr>
            <w:r w:rsidRPr="00783A4F">
              <w:rPr>
                <w:sz w:val="20"/>
                <w:szCs w:val="20"/>
                <w:lang w:val="en-AU"/>
              </w:rPr>
              <w:t>Proportion of women of reproductive age who are screened for sexually transmitted infections</w:t>
            </w:r>
            <w:r w:rsidR="00ED32E0" w:rsidRPr="00783A4F">
              <w:rPr>
                <w:sz w:val="20"/>
                <w:szCs w:val="20"/>
                <w:u w:val="single"/>
                <w:lang w:val="en-AU"/>
              </w:rPr>
              <w:t xml:space="preserve"> </w:t>
            </w:r>
            <w:r w:rsidR="00ED32E0" w:rsidRPr="00783A4F">
              <w:rPr>
                <w:sz w:val="20"/>
                <w:szCs w:val="20"/>
                <w:lang w:val="en-AU"/>
              </w:rPr>
              <w:t>(screening process indicator)</w:t>
            </w:r>
          </w:p>
        </w:tc>
        <w:tc>
          <w:tcPr>
            <w:tcW w:w="4875" w:type="dxa"/>
          </w:tcPr>
          <w:p w14:paraId="2B4B9814" w14:textId="77777777" w:rsidR="0043463E" w:rsidRPr="00783A4F" w:rsidRDefault="002A2E1D" w:rsidP="000E626A">
            <w:pPr>
              <w:spacing w:after="80"/>
              <w:rPr>
                <w:i/>
                <w:sz w:val="20"/>
                <w:szCs w:val="20"/>
                <w:lang w:val="en-AU"/>
              </w:rPr>
            </w:pPr>
            <w:r w:rsidRPr="00783A4F">
              <w:rPr>
                <w:i/>
                <w:sz w:val="20"/>
                <w:szCs w:val="20"/>
                <w:lang w:val="en-AU"/>
              </w:rPr>
              <w:t>“</w:t>
            </w:r>
            <w:r w:rsidR="0043463E" w:rsidRPr="00783A4F">
              <w:rPr>
                <w:i/>
                <w:sz w:val="20"/>
                <w:szCs w:val="20"/>
                <w:lang w:val="en-AU"/>
              </w:rPr>
              <w:t>Operational criteria: It is not clear which and how many STIs have to be screened for. Is this dependent on country specific guidelines? If so, it may be great to specify that</w:t>
            </w:r>
            <w:r w:rsidRPr="00783A4F">
              <w:rPr>
                <w:i/>
                <w:sz w:val="20"/>
                <w:szCs w:val="20"/>
                <w:lang w:val="en-AU"/>
              </w:rPr>
              <w:t>”</w:t>
            </w:r>
          </w:p>
          <w:p w14:paraId="0E160412" w14:textId="77777777" w:rsidR="0043463E" w:rsidRPr="00783A4F" w:rsidRDefault="002A2E1D" w:rsidP="000E626A">
            <w:pPr>
              <w:spacing w:after="80"/>
              <w:rPr>
                <w:sz w:val="20"/>
                <w:szCs w:val="20"/>
                <w:lang w:val="en-AU"/>
              </w:rPr>
            </w:pPr>
            <w:r w:rsidRPr="00783A4F">
              <w:rPr>
                <w:i/>
                <w:sz w:val="20"/>
                <w:szCs w:val="20"/>
                <w:lang w:val="en-AU"/>
              </w:rPr>
              <w:t>“</w:t>
            </w:r>
            <w:r w:rsidR="0043463E" w:rsidRPr="00783A4F">
              <w:rPr>
                <w:i/>
                <w:sz w:val="20"/>
                <w:szCs w:val="20"/>
                <w:lang w:val="en-AU"/>
              </w:rPr>
              <w:t>Will type of STI need to be specified for each case reported?</w:t>
            </w:r>
            <w:r w:rsidRPr="00783A4F">
              <w:rPr>
                <w:i/>
                <w:sz w:val="20"/>
                <w:szCs w:val="20"/>
                <w:lang w:val="en-AU"/>
              </w:rPr>
              <w:t>”</w:t>
            </w:r>
          </w:p>
        </w:tc>
        <w:tc>
          <w:tcPr>
            <w:tcW w:w="3836" w:type="dxa"/>
          </w:tcPr>
          <w:p w14:paraId="7DA6E0FB" w14:textId="77777777" w:rsidR="0043463E" w:rsidRPr="00783A4F" w:rsidRDefault="002A2E1D" w:rsidP="000E626A">
            <w:pPr>
              <w:spacing w:after="80"/>
              <w:rPr>
                <w:sz w:val="20"/>
                <w:szCs w:val="20"/>
                <w:lang w:val="en-AU"/>
              </w:rPr>
            </w:pPr>
            <w:r w:rsidRPr="00783A4F">
              <w:rPr>
                <w:sz w:val="20"/>
                <w:szCs w:val="20"/>
                <w:lang w:val="en-AU"/>
              </w:rPr>
              <w:t xml:space="preserve">Indicator definition revised to: </w:t>
            </w:r>
            <w:r w:rsidR="0043463E" w:rsidRPr="00783A4F">
              <w:rPr>
                <w:sz w:val="20"/>
                <w:szCs w:val="20"/>
                <w:lang w:val="en-AU"/>
              </w:rPr>
              <w:t>Proportion of women of reproductive age who are screened for sexually transmitted infections including HIV, and any other STIs relevant to regional or country-specific guidelines, of all sexually active women attending health services</w:t>
            </w:r>
          </w:p>
        </w:tc>
      </w:tr>
      <w:tr w:rsidR="007804B6" w:rsidRPr="00783A4F" w14:paraId="65672B07" w14:textId="77777777" w:rsidTr="00ED32E0">
        <w:trPr>
          <w:cantSplit/>
        </w:trPr>
        <w:tc>
          <w:tcPr>
            <w:tcW w:w="2496" w:type="dxa"/>
          </w:tcPr>
          <w:p w14:paraId="795B25EB" w14:textId="391EF369" w:rsidR="007804B6" w:rsidRPr="00783A4F" w:rsidRDefault="00CD4615" w:rsidP="000E626A">
            <w:pPr>
              <w:spacing w:after="80"/>
              <w:rPr>
                <w:sz w:val="20"/>
                <w:szCs w:val="20"/>
                <w:lang w:val="en-AU"/>
              </w:rPr>
            </w:pPr>
            <w:r w:rsidRPr="00783A4F">
              <w:rPr>
                <w:sz w:val="20"/>
                <w:szCs w:val="20"/>
                <w:lang w:val="en-AU"/>
              </w:rPr>
              <w:t>Screening and treatment of syphilis (during pregnancy)</w:t>
            </w:r>
          </w:p>
        </w:tc>
        <w:tc>
          <w:tcPr>
            <w:tcW w:w="2795" w:type="dxa"/>
          </w:tcPr>
          <w:p w14:paraId="38CAA068" w14:textId="50957FDC" w:rsidR="007804B6" w:rsidRPr="00783A4F" w:rsidRDefault="007804B6" w:rsidP="00ED32E0">
            <w:pPr>
              <w:spacing w:after="80"/>
              <w:rPr>
                <w:sz w:val="20"/>
                <w:szCs w:val="20"/>
                <w:lang w:val="en-AU"/>
              </w:rPr>
            </w:pPr>
            <w:r w:rsidRPr="00783A4F">
              <w:rPr>
                <w:sz w:val="20"/>
                <w:szCs w:val="20"/>
                <w:lang w:val="en-AU"/>
              </w:rPr>
              <w:t>Proportion of pregnant women aged 15–24 years with a positive serology for syphilis attending antenatal care clinics</w:t>
            </w:r>
            <w:r w:rsidR="00ED32E0" w:rsidRPr="00783A4F">
              <w:rPr>
                <w:sz w:val="20"/>
                <w:szCs w:val="20"/>
                <w:lang w:val="en-AU"/>
              </w:rPr>
              <w:t xml:space="preserve"> (screening outcome indicator)</w:t>
            </w:r>
          </w:p>
        </w:tc>
        <w:tc>
          <w:tcPr>
            <w:tcW w:w="4875" w:type="dxa"/>
          </w:tcPr>
          <w:p w14:paraId="50788F52" w14:textId="77777777" w:rsidR="007804B6" w:rsidRPr="00783A4F" w:rsidRDefault="002A2E1D" w:rsidP="000E626A">
            <w:pPr>
              <w:spacing w:after="80"/>
              <w:rPr>
                <w:i/>
                <w:sz w:val="20"/>
                <w:szCs w:val="20"/>
                <w:lang w:val="en-AU"/>
              </w:rPr>
            </w:pPr>
            <w:r w:rsidRPr="00783A4F">
              <w:rPr>
                <w:i/>
                <w:sz w:val="20"/>
                <w:szCs w:val="20"/>
                <w:lang w:val="en-AU"/>
              </w:rPr>
              <w:t>“</w:t>
            </w:r>
            <w:r w:rsidR="007804B6" w:rsidRPr="00783A4F">
              <w:rPr>
                <w:i/>
                <w:sz w:val="20"/>
                <w:szCs w:val="20"/>
                <w:lang w:val="en-AU"/>
              </w:rPr>
              <w:t>Why is this outcome indicator restricted to women between the ages of 15 and 24 years?</w:t>
            </w:r>
            <w:r w:rsidRPr="00783A4F">
              <w:rPr>
                <w:i/>
                <w:sz w:val="20"/>
                <w:szCs w:val="20"/>
                <w:lang w:val="en-AU"/>
              </w:rPr>
              <w:t>”</w:t>
            </w:r>
          </w:p>
          <w:p w14:paraId="3C1F18F4" w14:textId="77777777" w:rsidR="007804B6" w:rsidRPr="00783A4F" w:rsidRDefault="002A2E1D" w:rsidP="000E626A">
            <w:pPr>
              <w:spacing w:after="80"/>
              <w:rPr>
                <w:i/>
                <w:sz w:val="20"/>
                <w:szCs w:val="20"/>
                <w:lang w:val="en-AU"/>
              </w:rPr>
            </w:pPr>
            <w:r w:rsidRPr="00783A4F">
              <w:rPr>
                <w:i/>
                <w:sz w:val="20"/>
                <w:szCs w:val="20"/>
                <w:lang w:val="en-AU"/>
              </w:rPr>
              <w:t>“</w:t>
            </w:r>
            <w:r w:rsidR="007804B6" w:rsidRPr="00783A4F">
              <w:rPr>
                <w:i/>
                <w:sz w:val="20"/>
                <w:szCs w:val="20"/>
                <w:lang w:val="en-AU"/>
              </w:rPr>
              <w:t>Why limit this to 15-24? Older women can get syphilis (younger than 15 as well)</w:t>
            </w:r>
            <w:r w:rsidRPr="00783A4F">
              <w:rPr>
                <w:i/>
                <w:sz w:val="20"/>
                <w:szCs w:val="20"/>
                <w:lang w:val="en-AU"/>
              </w:rPr>
              <w:t>”</w:t>
            </w:r>
          </w:p>
          <w:p w14:paraId="100D0C27" w14:textId="77777777" w:rsidR="007804B6" w:rsidRPr="00783A4F" w:rsidRDefault="002A2E1D" w:rsidP="000E626A">
            <w:pPr>
              <w:spacing w:after="80"/>
              <w:rPr>
                <w:i/>
                <w:sz w:val="20"/>
                <w:szCs w:val="20"/>
                <w:lang w:val="en-AU"/>
              </w:rPr>
            </w:pPr>
            <w:r w:rsidRPr="00783A4F">
              <w:rPr>
                <w:i/>
                <w:sz w:val="20"/>
                <w:szCs w:val="20"/>
                <w:lang w:val="en-AU"/>
              </w:rPr>
              <w:t>“</w:t>
            </w:r>
            <w:r w:rsidR="007804B6" w:rsidRPr="00783A4F">
              <w:rPr>
                <w:i/>
                <w:sz w:val="20"/>
                <w:szCs w:val="20"/>
                <w:lang w:val="en-AU"/>
              </w:rPr>
              <w:t>Not clear to me why age-range has been selected - or that it would be meaningful in some communities</w:t>
            </w:r>
            <w:r w:rsidRPr="00783A4F">
              <w:rPr>
                <w:i/>
                <w:sz w:val="20"/>
                <w:szCs w:val="20"/>
                <w:lang w:val="en-AU"/>
              </w:rPr>
              <w:t>”</w:t>
            </w:r>
          </w:p>
        </w:tc>
        <w:tc>
          <w:tcPr>
            <w:tcW w:w="3836" w:type="dxa"/>
          </w:tcPr>
          <w:p w14:paraId="5F9800E5" w14:textId="77777777" w:rsidR="007804B6" w:rsidRPr="00783A4F" w:rsidRDefault="002A2E1D" w:rsidP="000E626A">
            <w:pPr>
              <w:spacing w:after="80"/>
              <w:rPr>
                <w:sz w:val="20"/>
                <w:szCs w:val="20"/>
                <w:lang w:val="en-AU"/>
              </w:rPr>
            </w:pPr>
            <w:r w:rsidRPr="00783A4F">
              <w:rPr>
                <w:sz w:val="20"/>
                <w:szCs w:val="20"/>
                <w:lang w:val="en-AU"/>
              </w:rPr>
              <w:t xml:space="preserve">Indicator revised to: </w:t>
            </w:r>
            <w:r w:rsidR="007804B6" w:rsidRPr="00783A4F">
              <w:rPr>
                <w:sz w:val="20"/>
                <w:szCs w:val="20"/>
                <w:lang w:val="en-AU"/>
              </w:rPr>
              <w:t>Proportion of pregnant women with a positive serology for syphilis</w:t>
            </w:r>
          </w:p>
        </w:tc>
      </w:tr>
      <w:tr w:rsidR="00B76369" w:rsidRPr="00783A4F" w14:paraId="48E8AB69" w14:textId="77777777" w:rsidTr="00ED32E0">
        <w:trPr>
          <w:cantSplit/>
        </w:trPr>
        <w:tc>
          <w:tcPr>
            <w:tcW w:w="2496" w:type="dxa"/>
          </w:tcPr>
          <w:p w14:paraId="41EAA394" w14:textId="0868C84C" w:rsidR="00B76369" w:rsidRPr="00783A4F" w:rsidRDefault="00B76369" w:rsidP="000E626A">
            <w:pPr>
              <w:spacing w:after="80"/>
              <w:rPr>
                <w:sz w:val="20"/>
                <w:szCs w:val="20"/>
                <w:lang w:val="en-AU"/>
              </w:rPr>
            </w:pPr>
            <w:r w:rsidRPr="00783A4F">
              <w:rPr>
                <w:sz w:val="20"/>
                <w:szCs w:val="20"/>
                <w:lang w:val="en-AU"/>
              </w:rPr>
              <w:t>External Cephalic Version (&gt;36 weeks) to reduce malpresentation at term</w:t>
            </w:r>
          </w:p>
        </w:tc>
        <w:tc>
          <w:tcPr>
            <w:tcW w:w="2795" w:type="dxa"/>
          </w:tcPr>
          <w:p w14:paraId="61923E27" w14:textId="1C00E8CD" w:rsidR="00B76369" w:rsidRPr="00783A4F" w:rsidRDefault="00B76369" w:rsidP="000E626A">
            <w:pPr>
              <w:spacing w:after="80"/>
              <w:rPr>
                <w:sz w:val="20"/>
                <w:szCs w:val="20"/>
                <w:lang w:val="en-AU"/>
              </w:rPr>
            </w:pPr>
            <w:r w:rsidRPr="00783A4F">
              <w:rPr>
                <w:sz w:val="20"/>
                <w:szCs w:val="20"/>
                <w:lang w:val="en-AU"/>
              </w:rPr>
              <w:t>Antenatal detection of breech presentation</w:t>
            </w:r>
            <w:r w:rsidR="00ED32E0" w:rsidRPr="00783A4F">
              <w:rPr>
                <w:sz w:val="20"/>
                <w:szCs w:val="20"/>
                <w:lang w:val="en-AU"/>
              </w:rPr>
              <w:t xml:space="preserve"> (screening process indicator)</w:t>
            </w:r>
          </w:p>
        </w:tc>
        <w:tc>
          <w:tcPr>
            <w:tcW w:w="4875" w:type="dxa"/>
          </w:tcPr>
          <w:p w14:paraId="426752C2" w14:textId="77777777" w:rsidR="00B76369" w:rsidRPr="00783A4F" w:rsidRDefault="002A2E1D" w:rsidP="000E626A">
            <w:pPr>
              <w:spacing w:after="80"/>
              <w:rPr>
                <w:i/>
                <w:sz w:val="20"/>
                <w:szCs w:val="20"/>
                <w:lang w:val="en-AU"/>
              </w:rPr>
            </w:pPr>
            <w:r w:rsidRPr="00783A4F">
              <w:rPr>
                <w:i/>
                <w:sz w:val="20"/>
                <w:szCs w:val="20"/>
                <w:lang w:val="en-AU"/>
              </w:rPr>
              <w:t>“</w:t>
            </w:r>
            <w:r w:rsidR="00B76369" w:rsidRPr="00783A4F">
              <w:rPr>
                <w:i/>
                <w:sz w:val="20"/>
                <w:szCs w:val="20"/>
                <w:lang w:val="en-AU"/>
              </w:rPr>
              <w:t>Checking occurs always, does not mean th</w:t>
            </w:r>
            <w:r w:rsidRPr="00783A4F">
              <w:rPr>
                <w:i/>
                <w:sz w:val="20"/>
                <w:szCs w:val="20"/>
                <w:lang w:val="en-AU"/>
              </w:rPr>
              <w:t>at the breech is also detected”</w:t>
            </w:r>
          </w:p>
        </w:tc>
        <w:tc>
          <w:tcPr>
            <w:tcW w:w="3836" w:type="dxa"/>
          </w:tcPr>
          <w:p w14:paraId="10DEA83B" w14:textId="77777777" w:rsidR="00B76369" w:rsidRPr="00783A4F" w:rsidRDefault="00B76369" w:rsidP="000E626A">
            <w:pPr>
              <w:spacing w:after="80"/>
              <w:rPr>
                <w:sz w:val="20"/>
                <w:szCs w:val="20"/>
                <w:lang w:val="en-AU"/>
              </w:rPr>
            </w:pPr>
            <w:r w:rsidRPr="00783A4F">
              <w:rPr>
                <w:sz w:val="20"/>
                <w:szCs w:val="20"/>
                <w:lang w:val="en-AU"/>
              </w:rPr>
              <w:t xml:space="preserve">Indicator revised to: </w:t>
            </w:r>
            <w:r w:rsidR="00A94E3C" w:rsidRPr="00783A4F">
              <w:rPr>
                <w:sz w:val="20"/>
                <w:szCs w:val="20"/>
                <w:lang w:val="en-AU"/>
              </w:rPr>
              <w:t>Proportion of pregnant women who have presentation of baby checked by skilled birth attendant at or after 37 weeks of gestation</w:t>
            </w:r>
          </w:p>
        </w:tc>
      </w:tr>
      <w:tr w:rsidR="00B76369" w:rsidRPr="00783A4F" w14:paraId="268C891F" w14:textId="77777777" w:rsidTr="00ED32E0">
        <w:trPr>
          <w:cantSplit/>
        </w:trPr>
        <w:tc>
          <w:tcPr>
            <w:tcW w:w="2496" w:type="dxa"/>
          </w:tcPr>
          <w:p w14:paraId="2104BC07" w14:textId="5A083868" w:rsidR="00B76369" w:rsidRPr="00783A4F" w:rsidRDefault="00B76369" w:rsidP="000E626A">
            <w:pPr>
              <w:spacing w:after="80"/>
              <w:rPr>
                <w:sz w:val="20"/>
                <w:szCs w:val="20"/>
                <w:lang w:val="en-AU"/>
              </w:rPr>
            </w:pPr>
            <w:r w:rsidRPr="00783A4F">
              <w:rPr>
                <w:sz w:val="20"/>
                <w:szCs w:val="20"/>
                <w:lang w:val="en-AU"/>
              </w:rPr>
              <w:t>External Cephalic Version (&gt;36 weeks) to reduce malpresentation at term</w:t>
            </w:r>
          </w:p>
        </w:tc>
        <w:tc>
          <w:tcPr>
            <w:tcW w:w="2795" w:type="dxa"/>
          </w:tcPr>
          <w:p w14:paraId="4DAE2D10" w14:textId="28AAF70C" w:rsidR="00B76369" w:rsidRPr="00783A4F" w:rsidRDefault="00B76369" w:rsidP="000E626A">
            <w:pPr>
              <w:spacing w:after="80"/>
              <w:rPr>
                <w:sz w:val="20"/>
                <w:szCs w:val="20"/>
                <w:lang w:val="en-AU"/>
              </w:rPr>
            </w:pPr>
            <w:r w:rsidRPr="00783A4F">
              <w:rPr>
                <w:sz w:val="20"/>
                <w:szCs w:val="20"/>
                <w:lang w:val="en-AU"/>
              </w:rPr>
              <w:t>Proportion of women who have ‘successful’ ECV procedures</w:t>
            </w:r>
            <w:r w:rsidR="00ED32E0" w:rsidRPr="00783A4F">
              <w:rPr>
                <w:sz w:val="20"/>
                <w:szCs w:val="20"/>
                <w:lang w:val="en-AU"/>
              </w:rPr>
              <w:t xml:space="preserve"> (treatment outcome </w:t>
            </w:r>
            <w:r w:rsidR="00052999" w:rsidRPr="00783A4F">
              <w:rPr>
                <w:sz w:val="20"/>
                <w:szCs w:val="20"/>
                <w:lang w:val="en-AU"/>
              </w:rPr>
              <w:t>indicator</w:t>
            </w:r>
            <w:r w:rsidR="00ED32E0" w:rsidRPr="00783A4F">
              <w:rPr>
                <w:sz w:val="20"/>
                <w:szCs w:val="20"/>
                <w:lang w:val="en-AU"/>
              </w:rPr>
              <w:t>)</w:t>
            </w:r>
          </w:p>
        </w:tc>
        <w:tc>
          <w:tcPr>
            <w:tcW w:w="4875" w:type="dxa"/>
          </w:tcPr>
          <w:p w14:paraId="2E039475" w14:textId="77777777" w:rsidR="00B76369" w:rsidRPr="00783A4F" w:rsidRDefault="002A2E1D" w:rsidP="000E626A">
            <w:pPr>
              <w:spacing w:after="80"/>
              <w:rPr>
                <w:i/>
                <w:sz w:val="20"/>
                <w:szCs w:val="20"/>
                <w:lang w:val="en-AU"/>
              </w:rPr>
            </w:pPr>
            <w:r w:rsidRPr="00783A4F">
              <w:rPr>
                <w:i/>
                <w:sz w:val="20"/>
                <w:szCs w:val="20"/>
                <w:lang w:val="en-AU"/>
              </w:rPr>
              <w:t>“</w:t>
            </w:r>
            <w:r w:rsidR="00B76369" w:rsidRPr="00783A4F">
              <w:rPr>
                <w:i/>
                <w:sz w:val="20"/>
                <w:szCs w:val="20"/>
                <w:lang w:val="en-AU"/>
              </w:rPr>
              <w:t>It is not clear whether this outcome indicates cephalic presentation converted from ECV procedure is identified immediately after the procedure or at delivery</w:t>
            </w:r>
            <w:r w:rsidRPr="00783A4F">
              <w:rPr>
                <w:i/>
                <w:sz w:val="20"/>
                <w:szCs w:val="20"/>
                <w:lang w:val="en-AU"/>
              </w:rPr>
              <w:t>. ‘Successful’</w:t>
            </w:r>
            <w:r w:rsidR="00B76369" w:rsidRPr="00783A4F">
              <w:rPr>
                <w:i/>
                <w:sz w:val="20"/>
                <w:szCs w:val="20"/>
                <w:lang w:val="en-AU"/>
              </w:rPr>
              <w:t xml:space="preserve"> ECV procedure defined by cephalic presentation at delivery is more clinically important. I will change my agreement to 'Yes' if this outcome indicates a cephalic presentation at delivery, or 'Possibly' for a cephalic presentation before delivery.</w:t>
            </w:r>
            <w:r w:rsidRPr="00783A4F">
              <w:rPr>
                <w:i/>
                <w:sz w:val="20"/>
                <w:szCs w:val="20"/>
                <w:lang w:val="en-AU"/>
              </w:rPr>
              <w:t>”</w:t>
            </w:r>
          </w:p>
        </w:tc>
        <w:tc>
          <w:tcPr>
            <w:tcW w:w="3836" w:type="dxa"/>
          </w:tcPr>
          <w:p w14:paraId="5A631795" w14:textId="77777777" w:rsidR="00B76369" w:rsidRPr="00783A4F" w:rsidRDefault="002A2E1D" w:rsidP="000E626A">
            <w:pPr>
              <w:spacing w:after="80"/>
              <w:rPr>
                <w:sz w:val="20"/>
                <w:szCs w:val="20"/>
                <w:lang w:val="en-AU"/>
              </w:rPr>
            </w:pPr>
            <w:r w:rsidRPr="00783A4F">
              <w:rPr>
                <w:sz w:val="20"/>
                <w:szCs w:val="20"/>
                <w:lang w:val="en-AU"/>
              </w:rPr>
              <w:t xml:space="preserve">Indicator </w:t>
            </w:r>
            <w:r w:rsidR="00E538FF" w:rsidRPr="00783A4F">
              <w:rPr>
                <w:sz w:val="20"/>
                <w:szCs w:val="20"/>
                <w:lang w:val="en-AU"/>
              </w:rPr>
              <w:t>revised to: Proportion of women who have ECV procedure performed by skilled birth attendant that result in conversion of breech to cephalic presentation at birth</w:t>
            </w:r>
          </w:p>
        </w:tc>
      </w:tr>
      <w:tr w:rsidR="00B76369" w:rsidRPr="00783A4F" w14:paraId="51AFD273" w14:textId="77777777" w:rsidTr="00ED32E0">
        <w:trPr>
          <w:cantSplit/>
        </w:trPr>
        <w:tc>
          <w:tcPr>
            <w:tcW w:w="2496" w:type="dxa"/>
          </w:tcPr>
          <w:p w14:paraId="78752381" w14:textId="1CFABBED" w:rsidR="00B76369" w:rsidRPr="00783A4F" w:rsidRDefault="00B76369" w:rsidP="000E626A">
            <w:pPr>
              <w:spacing w:after="80"/>
              <w:rPr>
                <w:sz w:val="20"/>
                <w:szCs w:val="20"/>
                <w:lang w:val="en-AU"/>
              </w:rPr>
            </w:pPr>
            <w:r w:rsidRPr="00783A4F">
              <w:rPr>
                <w:sz w:val="20"/>
                <w:szCs w:val="20"/>
                <w:lang w:val="en-AU"/>
              </w:rPr>
              <w:lastRenderedPageBreak/>
              <w:t>Antibiotics for management of preterm prelabour rupture of membranes (pPROM)</w:t>
            </w:r>
          </w:p>
        </w:tc>
        <w:tc>
          <w:tcPr>
            <w:tcW w:w="2795" w:type="dxa"/>
          </w:tcPr>
          <w:p w14:paraId="40E00360" w14:textId="52668CEE" w:rsidR="00B76369" w:rsidRPr="00783A4F" w:rsidRDefault="00B76369" w:rsidP="000E626A">
            <w:pPr>
              <w:spacing w:after="80"/>
              <w:rPr>
                <w:sz w:val="20"/>
                <w:szCs w:val="20"/>
                <w:lang w:val="en-AU"/>
              </w:rPr>
            </w:pPr>
            <w:r w:rsidRPr="00783A4F">
              <w:rPr>
                <w:sz w:val="20"/>
                <w:szCs w:val="20"/>
                <w:lang w:val="en-AU"/>
              </w:rPr>
              <w:t>Proportion of women with suspected preterm prelabour rupture of membranes (pPROM) for whom sterile speculum examination is performed</w:t>
            </w:r>
            <w:r w:rsidR="00ED32E0" w:rsidRPr="00783A4F">
              <w:rPr>
                <w:sz w:val="20"/>
                <w:szCs w:val="20"/>
                <w:lang w:val="en-AU"/>
              </w:rPr>
              <w:t xml:space="preserve"> (screening process indicator)</w:t>
            </w:r>
          </w:p>
        </w:tc>
        <w:tc>
          <w:tcPr>
            <w:tcW w:w="4875" w:type="dxa"/>
          </w:tcPr>
          <w:p w14:paraId="6CEE48EC" w14:textId="77777777" w:rsidR="00B76369" w:rsidRPr="00783A4F" w:rsidRDefault="002A2E1D" w:rsidP="000E626A">
            <w:pPr>
              <w:spacing w:after="80"/>
              <w:rPr>
                <w:i/>
                <w:sz w:val="20"/>
                <w:szCs w:val="20"/>
                <w:lang w:val="en-AU"/>
              </w:rPr>
            </w:pPr>
            <w:r w:rsidRPr="00783A4F">
              <w:rPr>
                <w:i/>
                <w:sz w:val="20"/>
                <w:szCs w:val="20"/>
                <w:lang w:val="en-AU"/>
              </w:rPr>
              <w:t>“</w:t>
            </w:r>
            <w:r w:rsidR="00B76369" w:rsidRPr="00783A4F">
              <w:rPr>
                <w:i/>
                <w:sz w:val="20"/>
                <w:szCs w:val="20"/>
                <w:lang w:val="en-AU"/>
              </w:rPr>
              <w:t xml:space="preserve">My concern here is that while a sterile speculum examination might be performed this does not mean that other </w:t>
            </w:r>
            <w:r w:rsidR="00714723" w:rsidRPr="00783A4F">
              <w:rPr>
                <w:i/>
                <w:sz w:val="20"/>
                <w:szCs w:val="20"/>
                <w:lang w:val="en-AU"/>
              </w:rPr>
              <w:t>interventions</w:t>
            </w:r>
            <w:r w:rsidR="00B76369" w:rsidRPr="00783A4F">
              <w:rPr>
                <w:i/>
                <w:sz w:val="20"/>
                <w:szCs w:val="20"/>
                <w:lang w:val="en-AU"/>
              </w:rPr>
              <w:t xml:space="preserve"> e.g., a VE have not been performed. Could rephrase to 'sterile speculum examination performed (only) to diagnose or outrule pPROM'</w:t>
            </w:r>
            <w:r w:rsidRPr="00783A4F">
              <w:rPr>
                <w:i/>
                <w:sz w:val="20"/>
                <w:szCs w:val="20"/>
                <w:lang w:val="en-AU"/>
              </w:rPr>
              <w:t>”</w:t>
            </w:r>
          </w:p>
        </w:tc>
        <w:tc>
          <w:tcPr>
            <w:tcW w:w="3836" w:type="dxa"/>
          </w:tcPr>
          <w:p w14:paraId="0C7077C7" w14:textId="77777777" w:rsidR="00B76369" w:rsidRPr="00783A4F" w:rsidRDefault="002A2E1D" w:rsidP="000E626A">
            <w:pPr>
              <w:spacing w:after="80"/>
              <w:rPr>
                <w:sz w:val="20"/>
                <w:szCs w:val="20"/>
                <w:lang w:val="en-AU"/>
              </w:rPr>
            </w:pPr>
            <w:r w:rsidRPr="00783A4F">
              <w:rPr>
                <w:sz w:val="20"/>
                <w:szCs w:val="20"/>
                <w:lang w:val="en-AU"/>
              </w:rPr>
              <w:t xml:space="preserve">Indicator revised to: </w:t>
            </w:r>
            <w:r w:rsidR="00A2093B" w:rsidRPr="00783A4F">
              <w:rPr>
                <w:sz w:val="20"/>
                <w:szCs w:val="20"/>
                <w:lang w:val="en-AU"/>
              </w:rPr>
              <w:t>Proportion of women with clinical picture of pPROM for whom only sterile speculum examination is performed to diagnose or rule-out pPROM</w:t>
            </w:r>
          </w:p>
        </w:tc>
      </w:tr>
      <w:tr w:rsidR="0028343D" w:rsidRPr="00783A4F" w14:paraId="0C170FF0" w14:textId="77777777" w:rsidTr="00ED32E0">
        <w:trPr>
          <w:cantSplit/>
        </w:trPr>
        <w:tc>
          <w:tcPr>
            <w:tcW w:w="2496" w:type="dxa"/>
          </w:tcPr>
          <w:p w14:paraId="612978B7" w14:textId="62241306" w:rsidR="0028343D" w:rsidRPr="00783A4F" w:rsidRDefault="0028343D" w:rsidP="000E626A">
            <w:pPr>
              <w:spacing w:after="80"/>
              <w:rPr>
                <w:sz w:val="20"/>
                <w:szCs w:val="20"/>
                <w:lang w:val="en-AU"/>
              </w:rPr>
            </w:pPr>
            <w:r w:rsidRPr="00783A4F">
              <w:rPr>
                <w:sz w:val="20"/>
                <w:szCs w:val="20"/>
                <w:lang w:val="en-AU"/>
              </w:rPr>
              <w:t>Safe abortion for management of unintended pregnancy</w:t>
            </w:r>
          </w:p>
        </w:tc>
        <w:tc>
          <w:tcPr>
            <w:tcW w:w="2795" w:type="dxa"/>
          </w:tcPr>
          <w:p w14:paraId="0F08F6C0" w14:textId="209FEC9D" w:rsidR="0028343D" w:rsidRPr="00783A4F" w:rsidRDefault="0028343D" w:rsidP="00ED32E0">
            <w:pPr>
              <w:spacing w:after="80"/>
              <w:rPr>
                <w:sz w:val="20"/>
                <w:szCs w:val="20"/>
                <w:lang w:val="en-AU"/>
              </w:rPr>
            </w:pPr>
            <w:r w:rsidRPr="00783A4F">
              <w:rPr>
                <w:sz w:val="20"/>
                <w:szCs w:val="20"/>
                <w:lang w:val="en-AU"/>
              </w:rPr>
              <w:t>Proportion of safe abortions of all abortions performed</w:t>
            </w:r>
            <w:r w:rsidR="00ED32E0" w:rsidRPr="00783A4F">
              <w:rPr>
                <w:sz w:val="20"/>
                <w:szCs w:val="20"/>
                <w:lang w:val="en-AU"/>
              </w:rPr>
              <w:t xml:space="preserve"> (treatment process indicator)</w:t>
            </w:r>
          </w:p>
        </w:tc>
        <w:tc>
          <w:tcPr>
            <w:tcW w:w="4875" w:type="dxa"/>
          </w:tcPr>
          <w:p w14:paraId="65EED74C" w14:textId="77777777" w:rsidR="00533504" w:rsidRPr="00783A4F" w:rsidRDefault="00533504" w:rsidP="000E626A">
            <w:pPr>
              <w:spacing w:after="80"/>
              <w:rPr>
                <w:i/>
                <w:sz w:val="20"/>
                <w:szCs w:val="20"/>
                <w:lang w:val="en-AU"/>
              </w:rPr>
            </w:pPr>
            <w:r w:rsidRPr="00783A4F">
              <w:rPr>
                <w:i/>
                <w:sz w:val="20"/>
                <w:szCs w:val="20"/>
                <w:lang w:val="en-AU"/>
              </w:rPr>
              <w:t>“The use of this indicator is dependent on the number of abortions being known (this is the denominator) and by definition many of the unsafe abortions may not be carried out in registered clinics or by health professionals so this number may be very hard to quantify”</w:t>
            </w:r>
          </w:p>
          <w:p w14:paraId="16C67D9E" w14:textId="77777777" w:rsidR="0028343D" w:rsidRPr="00783A4F" w:rsidRDefault="00533504" w:rsidP="000E626A">
            <w:pPr>
              <w:spacing w:after="80"/>
              <w:rPr>
                <w:i/>
                <w:sz w:val="20"/>
                <w:szCs w:val="20"/>
                <w:lang w:val="en-AU"/>
              </w:rPr>
            </w:pPr>
            <w:r w:rsidRPr="00783A4F">
              <w:rPr>
                <w:i/>
                <w:sz w:val="20"/>
                <w:szCs w:val="20"/>
                <w:lang w:val="en-AU"/>
              </w:rPr>
              <w:t>“in my view it is extremely difficult to collect reliable data on unsafe abortions for the denominator”</w:t>
            </w:r>
          </w:p>
        </w:tc>
        <w:tc>
          <w:tcPr>
            <w:tcW w:w="3836" w:type="dxa"/>
          </w:tcPr>
          <w:p w14:paraId="57CDC54D" w14:textId="77777777" w:rsidR="0028343D" w:rsidRPr="00783A4F" w:rsidRDefault="0028343D" w:rsidP="000E626A">
            <w:pPr>
              <w:spacing w:after="80"/>
              <w:rPr>
                <w:sz w:val="20"/>
                <w:szCs w:val="20"/>
                <w:lang w:val="en-AU"/>
              </w:rPr>
            </w:pPr>
            <w:r w:rsidRPr="00783A4F">
              <w:rPr>
                <w:sz w:val="20"/>
                <w:szCs w:val="20"/>
                <w:lang w:val="en-AU"/>
              </w:rPr>
              <w:t>Indicators removed as many unsafe abortions occur in unre</w:t>
            </w:r>
            <w:r w:rsidR="00A93BD0" w:rsidRPr="00783A4F">
              <w:rPr>
                <w:sz w:val="20"/>
                <w:szCs w:val="20"/>
                <w:lang w:val="en-AU"/>
              </w:rPr>
              <w:t xml:space="preserve">gistered clinics; the </w:t>
            </w:r>
            <w:r w:rsidRPr="00783A4F">
              <w:rPr>
                <w:sz w:val="20"/>
                <w:szCs w:val="20"/>
                <w:lang w:val="en-AU"/>
              </w:rPr>
              <w:t>denominator</w:t>
            </w:r>
            <w:r w:rsidR="00A93BD0" w:rsidRPr="00783A4F">
              <w:rPr>
                <w:sz w:val="20"/>
                <w:szCs w:val="20"/>
                <w:lang w:val="en-AU"/>
              </w:rPr>
              <w:t xml:space="preserve"> is</w:t>
            </w:r>
            <w:r w:rsidRPr="00783A4F">
              <w:rPr>
                <w:sz w:val="20"/>
                <w:szCs w:val="20"/>
                <w:lang w:val="en-AU"/>
              </w:rPr>
              <w:t xml:space="preserve"> unattainable</w:t>
            </w:r>
          </w:p>
        </w:tc>
      </w:tr>
      <w:tr w:rsidR="00B76369" w:rsidRPr="00783A4F" w14:paraId="6EA93F75" w14:textId="77777777" w:rsidTr="00ED32E0">
        <w:trPr>
          <w:cantSplit/>
        </w:trPr>
        <w:tc>
          <w:tcPr>
            <w:tcW w:w="2496" w:type="dxa"/>
          </w:tcPr>
          <w:p w14:paraId="6BCB326B" w14:textId="6077772E" w:rsidR="00B76369" w:rsidRPr="00783A4F" w:rsidRDefault="0076477F" w:rsidP="000E626A">
            <w:pPr>
              <w:spacing w:after="80"/>
              <w:rPr>
                <w:sz w:val="20"/>
                <w:szCs w:val="20"/>
                <w:lang w:val="en-AU"/>
              </w:rPr>
            </w:pPr>
            <w:r w:rsidRPr="00783A4F">
              <w:rPr>
                <w:sz w:val="20"/>
                <w:szCs w:val="20"/>
                <w:lang w:val="en-AU"/>
              </w:rPr>
              <w:t>Social support during childbirth</w:t>
            </w:r>
          </w:p>
        </w:tc>
        <w:tc>
          <w:tcPr>
            <w:tcW w:w="2795" w:type="dxa"/>
          </w:tcPr>
          <w:p w14:paraId="6D5A109B" w14:textId="216DC4A9" w:rsidR="00B76369" w:rsidRPr="00783A4F" w:rsidRDefault="00053BF3" w:rsidP="000E626A">
            <w:pPr>
              <w:spacing w:after="80"/>
              <w:rPr>
                <w:sz w:val="20"/>
                <w:szCs w:val="20"/>
                <w:lang w:val="en-AU"/>
              </w:rPr>
            </w:pPr>
            <w:r w:rsidRPr="00783A4F">
              <w:rPr>
                <w:sz w:val="20"/>
                <w:szCs w:val="20"/>
                <w:lang w:val="en-AU"/>
              </w:rPr>
              <w:t>Proportion of labouring women who had continuous presence and support from a skilled or non-skilled person during labour and birth</w:t>
            </w:r>
            <w:r w:rsidR="00ED32E0" w:rsidRPr="00783A4F">
              <w:rPr>
                <w:sz w:val="20"/>
                <w:szCs w:val="20"/>
                <w:lang w:val="en-AU"/>
              </w:rPr>
              <w:t xml:space="preserve"> (treatment process indicator)</w:t>
            </w:r>
          </w:p>
        </w:tc>
        <w:tc>
          <w:tcPr>
            <w:tcW w:w="4875" w:type="dxa"/>
          </w:tcPr>
          <w:p w14:paraId="333BED24" w14:textId="3FECC774" w:rsidR="00B76369" w:rsidRPr="00783A4F" w:rsidRDefault="002A2E1D" w:rsidP="00BC3C28">
            <w:pPr>
              <w:spacing w:after="80"/>
              <w:rPr>
                <w:i/>
                <w:sz w:val="20"/>
                <w:szCs w:val="20"/>
                <w:lang w:val="en-AU"/>
              </w:rPr>
            </w:pPr>
            <w:r w:rsidRPr="00783A4F">
              <w:rPr>
                <w:i/>
                <w:sz w:val="20"/>
                <w:szCs w:val="20"/>
                <w:lang w:val="en-AU"/>
              </w:rPr>
              <w:t>“</w:t>
            </w:r>
            <w:r w:rsidR="00053BF3" w:rsidRPr="00783A4F">
              <w:rPr>
                <w:i/>
                <w:sz w:val="20"/>
                <w:szCs w:val="20"/>
                <w:lang w:val="en-AU"/>
              </w:rPr>
              <w:t xml:space="preserve">I think support may </w:t>
            </w:r>
            <w:r w:rsidRPr="00783A4F">
              <w:rPr>
                <w:i/>
                <w:sz w:val="20"/>
                <w:szCs w:val="20"/>
                <w:lang w:val="en-AU"/>
              </w:rPr>
              <w:t>need</w:t>
            </w:r>
            <w:r w:rsidR="00BC3C28" w:rsidRPr="00783A4F">
              <w:rPr>
                <w:i/>
                <w:sz w:val="20"/>
                <w:szCs w:val="20"/>
                <w:lang w:val="en-AU"/>
              </w:rPr>
              <w:t xml:space="preserve"> to be explained… </w:t>
            </w:r>
            <w:r w:rsidR="00053BF3" w:rsidRPr="00783A4F">
              <w:rPr>
                <w:i/>
                <w:sz w:val="20"/>
                <w:szCs w:val="20"/>
                <w:lang w:val="en-AU"/>
              </w:rPr>
              <w:t>Most women need encouragement and some like physical support in terms of massage etc. So not easy to incorporate - maybe just to say '...</w:t>
            </w:r>
            <w:r w:rsidR="00714723" w:rsidRPr="00783A4F">
              <w:rPr>
                <w:i/>
                <w:sz w:val="20"/>
                <w:szCs w:val="20"/>
                <w:lang w:val="en-AU"/>
              </w:rPr>
              <w:t>continuous</w:t>
            </w:r>
            <w:r w:rsidR="00053BF3" w:rsidRPr="00783A4F">
              <w:rPr>
                <w:i/>
                <w:sz w:val="20"/>
                <w:szCs w:val="20"/>
                <w:lang w:val="en-AU"/>
              </w:rPr>
              <w:t xml:space="preserve"> presence and active support...' would possibly be ok.</w:t>
            </w:r>
            <w:r w:rsidRPr="00783A4F">
              <w:rPr>
                <w:i/>
                <w:sz w:val="20"/>
                <w:szCs w:val="20"/>
                <w:lang w:val="en-AU"/>
              </w:rPr>
              <w:t>”</w:t>
            </w:r>
          </w:p>
        </w:tc>
        <w:tc>
          <w:tcPr>
            <w:tcW w:w="3836" w:type="dxa"/>
          </w:tcPr>
          <w:p w14:paraId="1D054809" w14:textId="77777777" w:rsidR="00B76369" w:rsidRPr="00783A4F" w:rsidRDefault="002A2E1D" w:rsidP="000E626A">
            <w:pPr>
              <w:spacing w:after="80"/>
              <w:rPr>
                <w:sz w:val="20"/>
                <w:szCs w:val="20"/>
                <w:lang w:val="en-AU"/>
              </w:rPr>
            </w:pPr>
            <w:r w:rsidRPr="00783A4F">
              <w:rPr>
                <w:sz w:val="20"/>
                <w:szCs w:val="20"/>
                <w:lang w:val="en-AU"/>
              </w:rPr>
              <w:t>Indicator revised to: Proportion of labouring women who had continuous supportive presence during labour and birth. Indicator definition updated so that continuous presence was defined as presence throughout labour a birth, and not intermittent presence</w:t>
            </w:r>
          </w:p>
        </w:tc>
      </w:tr>
      <w:tr w:rsidR="00B76369" w:rsidRPr="00783A4F" w14:paraId="5AF3DC8E" w14:textId="77777777" w:rsidTr="00ED32E0">
        <w:trPr>
          <w:cantSplit/>
        </w:trPr>
        <w:tc>
          <w:tcPr>
            <w:tcW w:w="2496" w:type="dxa"/>
          </w:tcPr>
          <w:p w14:paraId="6DF46290" w14:textId="23E34269" w:rsidR="00B76369" w:rsidRPr="00783A4F" w:rsidRDefault="00053BF3" w:rsidP="000E626A">
            <w:pPr>
              <w:spacing w:after="80"/>
              <w:rPr>
                <w:sz w:val="20"/>
                <w:szCs w:val="20"/>
                <w:lang w:val="en-AU"/>
              </w:rPr>
            </w:pPr>
            <w:r w:rsidRPr="00783A4F">
              <w:rPr>
                <w:sz w:val="20"/>
                <w:szCs w:val="20"/>
                <w:lang w:val="en-AU"/>
              </w:rPr>
              <w:lastRenderedPageBreak/>
              <w:t>Uterotonics for management of postpartum haemorrhage</w:t>
            </w:r>
          </w:p>
        </w:tc>
        <w:tc>
          <w:tcPr>
            <w:tcW w:w="2795" w:type="dxa"/>
          </w:tcPr>
          <w:p w14:paraId="53762047" w14:textId="6579FD9F" w:rsidR="00B76369" w:rsidRPr="00783A4F" w:rsidRDefault="00053BF3" w:rsidP="000E626A">
            <w:pPr>
              <w:spacing w:after="80"/>
              <w:rPr>
                <w:sz w:val="20"/>
                <w:szCs w:val="20"/>
                <w:lang w:val="en-AU"/>
              </w:rPr>
            </w:pPr>
            <w:r w:rsidRPr="00783A4F">
              <w:rPr>
                <w:sz w:val="20"/>
                <w:szCs w:val="20"/>
                <w:lang w:val="en-AU"/>
              </w:rPr>
              <w:t>Proportion of women with postpartum haemorrhage who received therapeutic oxytocin of all women with postpartum haemorrhage</w:t>
            </w:r>
            <w:r w:rsidR="00ED32E0" w:rsidRPr="00783A4F">
              <w:rPr>
                <w:sz w:val="20"/>
                <w:szCs w:val="20"/>
                <w:lang w:val="en-AU"/>
              </w:rPr>
              <w:t xml:space="preserve"> (treatment process indicator)</w:t>
            </w:r>
          </w:p>
        </w:tc>
        <w:tc>
          <w:tcPr>
            <w:tcW w:w="4875" w:type="dxa"/>
          </w:tcPr>
          <w:p w14:paraId="75C12845" w14:textId="77777777" w:rsidR="00B76369" w:rsidRPr="00783A4F" w:rsidRDefault="002A2E1D" w:rsidP="000E626A">
            <w:pPr>
              <w:spacing w:after="80"/>
              <w:rPr>
                <w:i/>
                <w:sz w:val="20"/>
                <w:szCs w:val="20"/>
                <w:lang w:val="en-AU"/>
              </w:rPr>
            </w:pPr>
            <w:r w:rsidRPr="00783A4F">
              <w:rPr>
                <w:i/>
                <w:sz w:val="20"/>
                <w:szCs w:val="20"/>
                <w:lang w:val="en-AU"/>
              </w:rPr>
              <w:t>“</w:t>
            </w:r>
            <w:r w:rsidR="00053BF3" w:rsidRPr="00783A4F">
              <w:rPr>
                <w:i/>
                <w:sz w:val="20"/>
                <w:szCs w:val="20"/>
                <w:lang w:val="en-AU"/>
              </w:rPr>
              <w:t>What about misoprostol?</w:t>
            </w:r>
            <w:r w:rsidRPr="00783A4F">
              <w:rPr>
                <w:i/>
                <w:sz w:val="20"/>
                <w:szCs w:val="20"/>
                <w:lang w:val="en-AU"/>
              </w:rPr>
              <w:t>”</w:t>
            </w:r>
          </w:p>
          <w:p w14:paraId="0E32CF2A" w14:textId="77777777" w:rsidR="00053BF3" w:rsidRPr="00783A4F" w:rsidRDefault="002A2E1D" w:rsidP="000E626A">
            <w:pPr>
              <w:spacing w:after="80"/>
              <w:rPr>
                <w:i/>
                <w:sz w:val="20"/>
                <w:szCs w:val="20"/>
                <w:lang w:val="en-AU"/>
              </w:rPr>
            </w:pPr>
            <w:r w:rsidRPr="00783A4F">
              <w:rPr>
                <w:i/>
                <w:sz w:val="20"/>
                <w:szCs w:val="20"/>
                <w:lang w:val="en-AU"/>
              </w:rPr>
              <w:t>“</w:t>
            </w:r>
            <w:r w:rsidR="00053BF3" w:rsidRPr="00783A4F">
              <w:rPr>
                <w:i/>
                <w:sz w:val="20"/>
                <w:szCs w:val="20"/>
                <w:lang w:val="en-AU"/>
              </w:rPr>
              <w:t xml:space="preserve">Oxytocin, including Uniject is not available in all maternity units, especially in LMIC. In settings where oxytocin is not available, other uterotonics (i.e. ergometrine, prostaglandins including misoprostol) are strongly recommended to manage PPH (2011 WHO Recommendations for the prevention and treatment of PPH, strong recommendation, low-quality evidence). As the use of uterotonics other than oxytocin for management of PPH is not uncommon in reality, </w:t>
            </w:r>
            <w:r w:rsidR="00714723" w:rsidRPr="00783A4F">
              <w:rPr>
                <w:i/>
                <w:sz w:val="20"/>
                <w:szCs w:val="20"/>
                <w:lang w:val="en-AU"/>
              </w:rPr>
              <w:t>especially</w:t>
            </w:r>
            <w:r w:rsidR="00053BF3" w:rsidRPr="00783A4F">
              <w:rPr>
                <w:i/>
                <w:sz w:val="20"/>
                <w:szCs w:val="20"/>
                <w:lang w:val="en-AU"/>
              </w:rPr>
              <w:t xml:space="preserve"> in LMIC, it would be very useful to have proportion of women with PPH who received any uterotonics (i.e. oxytocin and other uterotonics)</w:t>
            </w:r>
            <w:r w:rsidRPr="00783A4F">
              <w:rPr>
                <w:i/>
                <w:sz w:val="20"/>
                <w:szCs w:val="20"/>
                <w:lang w:val="en-AU"/>
              </w:rPr>
              <w:t xml:space="preserve"> reported as a process indicator”</w:t>
            </w:r>
          </w:p>
        </w:tc>
        <w:tc>
          <w:tcPr>
            <w:tcW w:w="3836" w:type="dxa"/>
          </w:tcPr>
          <w:p w14:paraId="4E42278B" w14:textId="77777777" w:rsidR="00B76369" w:rsidRPr="00783A4F" w:rsidRDefault="002A2E1D" w:rsidP="000E626A">
            <w:pPr>
              <w:spacing w:after="80"/>
              <w:rPr>
                <w:sz w:val="20"/>
                <w:szCs w:val="20"/>
                <w:lang w:val="en-AU"/>
              </w:rPr>
            </w:pPr>
            <w:r w:rsidRPr="00783A4F">
              <w:rPr>
                <w:sz w:val="20"/>
                <w:szCs w:val="20"/>
                <w:lang w:val="en-AU"/>
              </w:rPr>
              <w:t xml:space="preserve">Indicator revised to: </w:t>
            </w:r>
            <w:r w:rsidR="00053BF3" w:rsidRPr="00783A4F">
              <w:rPr>
                <w:sz w:val="20"/>
                <w:szCs w:val="20"/>
                <w:lang w:val="en-AU"/>
              </w:rPr>
              <w:t xml:space="preserve">Proportion of women who received therapeutic </w:t>
            </w:r>
            <w:r w:rsidR="00053BF3" w:rsidRPr="00783A4F">
              <w:rPr>
                <w:sz w:val="20"/>
                <w:szCs w:val="20"/>
                <w:u w:val="single"/>
                <w:lang w:val="en-AU"/>
              </w:rPr>
              <w:t>uterotonics</w:t>
            </w:r>
            <w:r w:rsidR="00053BF3" w:rsidRPr="00783A4F">
              <w:rPr>
                <w:sz w:val="20"/>
                <w:szCs w:val="20"/>
                <w:lang w:val="en-AU"/>
              </w:rPr>
              <w:t xml:space="preserve"> for management of postpartum haemorrhage</w:t>
            </w:r>
          </w:p>
        </w:tc>
      </w:tr>
      <w:tr w:rsidR="000C0D4B" w:rsidRPr="00783A4F" w14:paraId="1CA4A29F" w14:textId="77777777" w:rsidTr="00ED32E0">
        <w:trPr>
          <w:cantSplit/>
        </w:trPr>
        <w:tc>
          <w:tcPr>
            <w:tcW w:w="2496" w:type="dxa"/>
          </w:tcPr>
          <w:p w14:paraId="5861245A" w14:textId="4D6B2E7D" w:rsidR="000C0D4B" w:rsidRPr="00783A4F" w:rsidRDefault="00714723" w:rsidP="000E626A">
            <w:pPr>
              <w:spacing w:after="80"/>
              <w:rPr>
                <w:sz w:val="20"/>
                <w:szCs w:val="20"/>
                <w:lang w:val="en-AU"/>
              </w:rPr>
            </w:pPr>
            <w:r w:rsidRPr="00783A4F">
              <w:rPr>
                <w:sz w:val="20"/>
                <w:szCs w:val="20"/>
                <w:lang w:val="en-AU"/>
              </w:rPr>
              <w:t>Promotion and support for early initiation and exclusive breastfeeding (within the first hour)</w:t>
            </w:r>
          </w:p>
        </w:tc>
        <w:tc>
          <w:tcPr>
            <w:tcW w:w="2795" w:type="dxa"/>
          </w:tcPr>
          <w:p w14:paraId="21BC78B3" w14:textId="6CE8733F" w:rsidR="000C0D4B" w:rsidRPr="00783A4F" w:rsidRDefault="000C0D4B" w:rsidP="000E626A">
            <w:pPr>
              <w:spacing w:after="80"/>
              <w:rPr>
                <w:sz w:val="20"/>
                <w:szCs w:val="20"/>
                <w:lang w:val="en-AU"/>
              </w:rPr>
            </w:pPr>
            <w:r w:rsidRPr="00783A4F">
              <w:rPr>
                <w:sz w:val="20"/>
                <w:szCs w:val="20"/>
                <w:lang w:val="en-AU"/>
              </w:rPr>
              <w:t>Proportion of pregnant women provided breastfeeding counselling in health facilities</w:t>
            </w:r>
            <w:r w:rsidR="00ED32E0" w:rsidRPr="00783A4F">
              <w:rPr>
                <w:sz w:val="20"/>
                <w:szCs w:val="20"/>
                <w:lang w:val="en-AU"/>
              </w:rPr>
              <w:t xml:space="preserve"> (treatment process indicator)</w:t>
            </w:r>
          </w:p>
        </w:tc>
        <w:tc>
          <w:tcPr>
            <w:tcW w:w="4875" w:type="dxa"/>
          </w:tcPr>
          <w:p w14:paraId="566F22FF" w14:textId="77777777" w:rsidR="000C0D4B" w:rsidRPr="00783A4F" w:rsidRDefault="002A2E1D" w:rsidP="000E626A">
            <w:pPr>
              <w:spacing w:after="80"/>
              <w:rPr>
                <w:i/>
                <w:sz w:val="20"/>
                <w:szCs w:val="20"/>
                <w:lang w:val="en-AU"/>
              </w:rPr>
            </w:pPr>
            <w:r w:rsidRPr="00783A4F">
              <w:rPr>
                <w:i/>
                <w:sz w:val="20"/>
                <w:szCs w:val="20"/>
                <w:lang w:val="en-AU"/>
              </w:rPr>
              <w:t>“</w:t>
            </w:r>
            <w:r w:rsidR="000C0D4B" w:rsidRPr="00783A4F">
              <w:rPr>
                <w:i/>
                <w:sz w:val="20"/>
                <w:szCs w:val="20"/>
                <w:lang w:val="en-AU"/>
              </w:rPr>
              <w:t xml:space="preserve">How is counselling to be defined? I know from other work I am </w:t>
            </w:r>
            <w:r w:rsidR="00714723" w:rsidRPr="00783A4F">
              <w:rPr>
                <w:i/>
                <w:sz w:val="20"/>
                <w:szCs w:val="20"/>
                <w:lang w:val="en-AU"/>
              </w:rPr>
              <w:t>involved</w:t>
            </w:r>
            <w:r w:rsidR="000C0D4B" w:rsidRPr="00783A4F">
              <w:rPr>
                <w:i/>
                <w:sz w:val="20"/>
                <w:szCs w:val="20"/>
                <w:lang w:val="en-AU"/>
              </w:rPr>
              <w:t xml:space="preserve"> in that this can be hugely challenging and can range from a telephone call to much more intensive programme of support.</w:t>
            </w:r>
            <w:r w:rsidRPr="00783A4F">
              <w:rPr>
                <w:i/>
                <w:sz w:val="20"/>
                <w:szCs w:val="20"/>
                <w:lang w:val="en-AU"/>
              </w:rPr>
              <w:t>”</w:t>
            </w:r>
          </w:p>
          <w:p w14:paraId="009E84C8" w14:textId="77777777" w:rsidR="000C0D4B" w:rsidRPr="00783A4F" w:rsidRDefault="002A2E1D" w:rsidP="000E626A">
            <w:pPr>
              <w:spacing w:after="80"/>
              <w:rPr>
                <w:i/>
                <w:sz w:val="20"/>
                <w:szCs w:val="20"/>
                <w:lang w:val="en-AU"/>
              </w:rPr>
            </w:pPr>
            <w:r w:rsidRPr="00783A4F">
              <w:rPr>
                <w:i/>
                <w:sz w:val="20"/>
                <w:szCs w:val="20"/>
                <w:lang w:val="en-AU"/>
              </w:rPr>
              <w:t>“</w:t>
            </w:r>
            <w:r w:rsidR="000C0D4B" w:rsidRPr="00783A4F">
              <w:rPr>
                <w:i/>
                <w:sz w:val="20"/>
                <w:szCs w:val="20"/>
                <w:lang w:val="en-AU"/>
              </w:rPr>
              <w:t xml:space="preserve">My uncertainty here us around how breastfeeding counselling is defined, I </w:t>
            </w:r>
            <w:r w:rsidR="00714723" w:rsidRPr="00783A4F">
              <w:rPr>
                <w:i/>
                <w:sz w:val="20"/>
                <w:szCs w:val="20"/>
                <w:lang w:val="en-AU"/>
              </w:rPr>
              <w:t>know</w:t>
            </w:r>
            <w:r w:rsidR="000C0D4B" w:rsidRPr="00783A4F">
              <w:rPr>
                <w:i/>
                <w:sz w:val="20"/>
                <w:szCs w:val="20"/>
                <w:lang w:val="en-AU"/>
              </w:rPr>
              <w:t xml:space="preserve"> there are good ways but I think there are also poor ways. It is not clear how you will ensure this is good counselling. However, I think it is import</w:t>
            </w:r>
            <w:r w:rsidRPr="00783A4F">
              <w:rPr>
                <w:i/>
                <w:sz w:val="20"/>
                <w:szCs w:val="20"/>
                <w:lang w:val="en-AU"/>
              </w:rPr>
              <w:t>ant to collect this information”</w:t>
            </w:r>
          </w:p>
          <w:p w14:paraId="5C588E99" w14:textId="77777777" w:rsidR="000C0D4B" w:rsidRPr="00783A4F" w:rsidRDefault="002A2E1D" w:rsidP="000E626A">
            <w:pPr>
              <w:spacing w:after="80"/>
              <w:rPr>
                <w:i/>
                <w:sz w:val="20"/>
                <w:szCs w:val="20"/>
                <w:lang w:val="en-AU"/>
              </w:rPr>
            </w:pPr>
            <w:r w:rsidRPr="00783A4F">
              <w:rPr>
                <w:i/>
                <w:sz w:val="20"/>
                <w:szCs w:val="20"/>
                <w:lang w:val="en-AU"/>
              </w:rPr>
              <w:t>“</w:t>
            </w:r>
            <w:r w:rsidR="000C0D4B" w:rsidRPr="00783A4F">
              <w:rPr>
                <w:i/>
                <w:sz w:val="20"/>
                <w:szCs w:val="20"/>
                <w:lang w:val="en-AU"/>
              </w:rPr>
              <w:t>The format of the antenatal information may be important. This might make a difference to whether the indicator impacts on the outcome. In addition the delivery of any one forma</w:t>
            </w:r>
            <w:r w:rsidRPr="00783A4F">
              <w:rPr>
                <w:i/>
                <w:sz w:val="20"/>
                <w:szCs w:val="20"/>
                <w:lang w:val="en-AU"/>
              </w:rPr>
              <w:t>t might also make a difference”</w:t>
            </w:r>
          </w:p>
        </w:tc>
        <w:tc>
          <w:tcPr>
            <w:tcW w:w="3836" w:type="dxa"/>
          </w:tcPr>
          <w:p w14:paraId="4C636849" w14:textId="77777777" w:rsidR="000C0D4B" w:rsidRPr="00783A4F" w:rsidRDefault="002A2E1D" w:rsidP="000E626A">
            <w:pPr>
              <w:spacing w:after="80"/>
              <w:rPr>
                <w:sz w:val="20"/>
                <w:szCs w:val="20"/>
                <w:lang w:val="en-AU"/>
              </w:rPr>
            </w:pPr>
            <w:r w:rsidRPr="00783A4F">
              <w:rPr>
                <w:sz w:val="20"/>
                <w:szCs w:val="20"/>
                <w:lang w:val="en-AU"/>
              </w:rPr>
              <w:t xml:space="preserve">Indicator definition revised to include a definition of counselling as </w:t>
            </w:r>
            <w:r w:rsidR="000C0D4B" w:rsidRPr="00783A4F">
              <w:rPr>
                <w:sz w:val="20"/>
                <w:szCs w:val="20"/>
                <w:lang w:val="en-AU"/>
              </w:rPr>
              <w:t>verbal and/or written information about the benefits and risks of breastfeeding provided by a trained maternity care professional during antenatal care</w:t>
            </w:r>
          </w:p>
        </w:tc>
      </w:tr>
    </w:tbl>
    <w:p w14:paraId="52B95843" w14:textId="4E65D15D" w:rsidR="00AF5BDF" w:rsidRPr="00783A4F" w:rsidRDefault="00AF5BDF" w:rsidP="00B44970">
      <w:pPr>
        <w:pStyle w:val="Heading3"/>
        <w:numPr>
          <w:ilvl w:val="0"/>
          <w:numId w:val="0"/>
        </w:numPr>
        <w:ind w:left="720"/>
        <w:rPr>
          <w:lang w:val="en-AU"/>
        </w:rPr>
      </w:pPr>
    </w:p>
    <w:sectPr w:rsidR="00AF5BDF" w:rsidRPr="00783A4F" w:rsidSect="000D7554">
      <w:headerReference w:type="default" r:id="rId9"/>
      <w:footerReference w:type="default" r:id="rId10"/>
      <w:pgSz w:w="16838" w:h="11906" w:orient="landscape"/>
      <w:pgMar w:top="1560"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60D3653" w14:textId="77777777" w:rsidR="00783A4F" w:rsidRDefault="00783A4F" w:rsidP="006C745E">
      <w:pPr>
        <w:spacing w:after="0" w:line="240" w:lineRule="auto"/>
      </w:pPr>
      <w:r>
        <w:separator/>
      </w:r>
    </w:p>
  </w:endnote>
  <w:endnote w:type="continuationSeparator" w:id="0">
    <w:p w14:paraId="3D3CA68D" w14:textId="77777777" w:rsidR="00783A4F" w:rsidRDefault="00783A4F" w:rsidP="006C745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83136438"/>
      <w:docPartObj>
        <w:docPartGallery w:val="Page Numbers (Bottom of Page)"/>
        <w:docPartUnique/>
      </w:docPartObj>
    </w:sdtPr>
    <w:sdtEndPr>
      <w:rPr>
        <w:noProof/>
      </w:rPr>
    </w:sdtEndPr>
    <w:sdtContent>
      <w:p w14:paraId="33655F72" w14:textId="77777777" w:rsidR="00783A4F" w:rsidRDefault="00783A4F">
        <w:pPr>
          <w:pStyle w:val="Footer"/>
          <w:jc w:val="center"/>
        </w:pPr>
        <w:r>
          <w:fldChar w:fldCharType="begin"/>
        </w:r>
        <w:r>
          <w:instrText xml:space="preserve"> PAGE   \* MERGEFORMAT </w:instrText>
        </w:r>
        <w:r>
          <w:fldChar w:fldCharType="separate"/>
        </w:r>
        <w:r w:rsidR="00F14962">
          <w:rPr>
            <w:noProof/>
          </w:rPr>
          <w:t>1</w:t>
        </w:r>
        <w:r>
          <w:rPr>
            <w:noProof/>
          </w:rPr>
          <w:fldChar w:fldCharType="end"/>
        </w:r>
      </w:p>
    </w:sdtContent>
  </w:sdt>
  <w:p w14:paraId="530B619E" w14:textId="77777777" w:rsidR="00783A4F" w:rsidRDefault="00783A4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2BB7179" w14:textId="77777777" w:rsidR="00783A4F" w:rsidRDefault="00783A4F" w:rsidP="006C745E">
      <w:pPr>
        <w:spacing w:after="0" w:line="240" w:lineRule="auto"/>
      </w:pPr>
      <w:r>
        <w:separator/>
      </w:r>
    </w:p>
  </w:footnote>
  <w:footnote w:type="continuationSeparator" w:id="0">
    <w:p w14:paraId="48F3587F" w14:textId="77777777" w:rsidR="00783A4F" w:rsidRDefault="00783A4F" w:rsidP="006C745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19783926"/>
      <w:docPartObj>
        <w:docPartGallery w:val="Watermarks"/>
        <w:docPartUnique/>
      </w:docPartObj>
    </w:sdtPr>
    <w:sdtEndPr/>
    <w:sdtContent>
      <w:p w14:paraId="3A581910" w14:textId="77777777" w:rsidR="00783A4F" w:rsidRDefault="00783A4F">
        <w:pPr>
          <w:pStyle w:val="Header"/>
        </w:pPr>
        <w:r>
          <w:rPr>
            <w:noProof/>
            <w:lang w:val="en-ZA" w:eastAsia="en-ZA"/>
          </w:rPr>
          <mc:AlternateContent>
            <mc:Choice Requires="wps">
              <w:drawing>
                <wp:anchor distT="0" distB="0" distL="114300" distR="114300" simplePos="0" relativeHeight="251658240" behindDoc="1" locked="0" layoutInCell="0" allowOverlap="1" wp14:anchorId="420EB1EE" wp14:editId="48CCD8B8">
                  <wp:simplePos x="0" y="0"/>
                  <wp:positionH relativeFrom="margin">
                    <wp:align>center</wp:align>
                  </wp:positionH>
                  <wp:positionV relativeFrom="margin">
                    <wp:align>center</wp:align>
                  </wp:positionV>
                  <wp:extent cx="6703695" cy="1675765"/>
                  <wp:effectExtent l="0" t="1809750" r="0" b="1648460"/>
                  <wp:wrapNone/>
                  <wp:docPr id="2" name="WordArt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6703695" cy="1675765"/>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75A2DBD7" w14:textId="77777777" w:rsidR="00783A4F" w:rsidRDefault="00783A4F" w:rsidP="0014584D">
                              <w:pPr>
                                <w:pStyle w:val="NormalWeb"/>
                                <w:spacing w:before="0" w:beforeAutospacing="0" w:after="0"/>
                                <w:jc w:val="center"/>
                              </w:pPr>
                              <w:r>
                                <w:rPr>
                                  <w:rFonts w:ascii="Calibri" w:hAnsi="Calibri"/>
                                  <w:color w:val="C0C0C0"/>
                                  <w:sz w:val="2"/>
                                  <w:szCs w:val="2"/>
                                  <w14:textFill>
                                    <w14:solidFill>
                                      <w14:srgbClr w14:val="C0C0C0">
                                        <w14:alpha w14:val="50000"/>
                                      </w14:srgbClr>
                                    </w14:solidFill>
                                  </w14:textFill>
                                </w:rPr>
                                <w:t>CONFIDENTIAL</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type w14:anchorId="420EB1EE" id="_x0000_t202" coordsize="21600,21600" o:spt="202" path="m,l,21600r21600,l21600,xe">
                  <v:stroke joinstyle="miter"/>
                  <v:path gradientshapeok="t" o:connecttype="rect"/>
                </v:shapetype>
                <v:shape id="WordArt 4" o:spid="_x0000_s1026" type="#_x0000_t202" style="position:absolute;margin-left:0;margin-top:0;width:527.85pt;height:131.95pt;rotation:-45;z-index:-251658240;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" o:allowincell="f" filled="f" stroked="f">
                  <v:stroke joinstyle="round"/>
                  <o:lock v:ext="edit" shapetype="t"/>
                  <v:textbox style="mso-fit-shape-to-text:t">
                    <w:txbxContent>
                      <w:p w14:paraId="75A2DBD7" w14:textId="77777777" w:rsidR="00783A4F" w:rsidRDefault="00783A4F" w:rsidP="0014584D">
                        <w:pPr>
                          <w:pStyle w:val="NormalWeb"/>
                          <w:spacing w:before="0" w:beforeAutospacing="0" w:after="0"/>
                          <w:jc w:val="center"/>
                        </w:pPr>
                        <w:r>
                          <w:rPr>
                            <w:rFonts w:ascii="Calibri" w:hAnsi="Calibri"/>
                            <w:color w:val="C0C0C0"/>
                            <w:sz w:val="2"/>
                            <w:szCs w:val="2"/>
                            <w14:textFill>
                              <w14:solidFill>
                                <w14:srgbClr w14:val="C0C0C0">
                                  <w14:alpha w14:val="50000"/>
                                </w14:srgbClr>
                              </w14:solidFill>
                            </w14:textFill>
                          </w:rPr>
                          <w:t>CONFIDENTIAL</w:t>
                        </w:r>
                      </w:p>
                    </w:txbxContent>
                  </v:textbox>
                  <w10:wrap anchorx="margin" anchory="margin"/>
                </v:shape>
              </w:pict>
            </mc:Fallback>
          </mc:AlternateContent>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ED6D6C"/>
    <w:multiLevelType w:val="hybridMultilevel"/>
    <w:tmpl w:val="2A5EC5A8"/>
    <w:lvl w:ilvl="0" w:tplc="0C09000F">
      <w:start w:val="1"/>
      <w:numFmt w:val="decimal"/>
      <w:lvlText w:val="%1."/>
      <w:lvlJc w:val="left"/>
      <w:pPr>
        <w:ind w:left="360" w:hanging="360"/>
      </w:pPr>
    </w:lvl>
    <w:lvl w:ilvl="1" w:tplc="0C09001B">
      <w:start w:val="1"/>
      <w:numFmt w:val="lowerRoman"/>
      <w:lvlText w:val="%2."/>
      <w:lvlJc w:val="right"/>
      <w:pPr>
        <w:ind w:left="1080" w:hanging="360"/>
      </w:pPr>
      <w:rPr>
        <w:rFonts w:hint="default"/>
      </w:r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1">
    <w:nsid w:val="10A94C57"/>
    <w:multiLevelType w:val="hybridMultilevel"/>
    <w:tmpl w:val="256642A6"/>
    <w:lvl w:ilvl="0" w:tplc="0C09000F">
      <w:start w:val="1"/>
      <w:numFmt w:val="decimal"/>
      <w:lvlText w:val="%1."/>
      <w:lvlJc w:val="left"/>
      <w:pPr>
        <w:ind w:left="360" w:hanging="360"/>
      </w:pPr>
    </w:lvl>
    <w:lvl w:ilvl="1" w:tplc="0C090019">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2">
    <w:nsid w:val="200470C6"/>
    <w:multiLevelType w:val="hybridMultilevel"/>
    <w:tmpl w:val="49C8E52C"/>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
    <w:nsid w:val="224559D3"/>
    <w:multiLevelType w:val="hybridMultilevel"/>
    <w:tmpl w:val="6186AC58"/>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nsid w:val="251969DD"/>
    <w:multiLevelType w:val="hybridMultilevel"/>
    <w:tmpl w:val="2AE64446"/>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5">
    <w:nsid w:val="28B43811"/>
    <w:multiLevelType w:val="hybridMultilevel"/>
    <w:tmpl w:val="E7D460AE"/>
    <w:lvl w:ilvl="0" w:tplc="2BDE3D60">
      <w:start w:val="10"/>
      <w:numFmt w:val="bullet"/>
      <w:lvlText w:val="-"/>
      <w:lvlJc w:val="left"/>
      <w:pPr>
        <w:ind w:left="720" w:hanging="360"/>
      </w:pPr>
      <w:rPr>
        <w:rFonts w:ascii="Calibri" w:eastAsiaTheme="minorHAnsi" w:hAnsi="Calibri" w:cstheme="minorBid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
    <w:nsid w:val="33FF77F5"/>
    <w:multiLevelType w:val="multilevel"/>
    <w:tmpl w:val="04140025"/>
    <w:lvl w:ilvl="0">
      <w:start w:val="1"/>
      <w:numFmt w:val="decimal"/>
      <w:pStyle w:val="Heading1"/>
      <w:lvlText w:val="%1"/>
      <w:lvlJc w:val="left"/>
      <w:pPr>
        <w:ind w:left="432" w:hanging="432"/>
      </w:pPr>
    </w:lvl>
    <w:lvl w:ilvl="1">
      <w:start w:val="1"/>
      <w:numFmt w:val="decimal"/>
      <w:pStyle w:val="Heading2"/>
      <w:lvlText w:val="%1.%2"/>
      <w:lvlJc w:val="left"/>
      <w:pPr>
        <w:ind w:left="1002" w:hanging="576"/>
      </w:pPr>
    </w:lvl>
    <w:lvl w:ilvl="2">
      <w:start w:val="1"/>
      <w:numFmt w:val="decimal"/>
      <w:pStyle w:val="Heading3"/>
      <w:lvlText w:val="%1.%2.%3"/>
      <w:lvlJc w:val="left"/>
      <w:pPr>
        <w:ind w:left="720" w:hanging="720"/>
      </w:pPr>
    </w:lvl>
    <w:lvl w:ilvl="3">
      <w:start w:val="1"/>
      <w:numFmt w:val="decimal"/>
      <w:pStyle w:val="Heading4"/>
      <w:lvlText w:val="%1.%2.%3.%4"/>
      <w:lvlJc w:val="left"/>
      <w:pPr>
        <w:ind w:left="1574" w:hanging="864"/>
      </w:pPr>
    </w:lvl>
    <w:lvl w:ilvl="4">
      <w:start w:val="1"/>
      <w:numFmt w:val="decimal"/>
      <w:pStyle w:val="Heading5"/>
      <w:lvlText w:val="%1.%2.%3.%4.%5"/>
      <w:lvlJc w:val="left"/>
      <w:pPr>
        <w:ind w:left="4836"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7">
    <w:nsid w:val="3E95149E"/>
    <w:multiLevelType w:val="hybridMultilevel"/>
    <w:tmpl w:val="255C9894"/>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8">
    <w:nsid w:val="3FFB3F68"/>
    <w:multiLevelType w:val="hybridMultilevel"/>
    <w:tmpl w:val="8F148D9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80E04F4"/>
    <w:multiLevelType w:val="hybridMultilevel"/>
    <w:tmpl w:val="859C4FF2"/>
    <w:lvl w:ilvl="0" w:tplc="0414000F">
      <w:start w:val="1"/>
      <w:numFmt w:val="decimal"/>
      <w:lvlText w:val="%1."/>
      <w:lvlJc w:val="left"/>
      <w:pPr>
        <w:ind w:left="720" w:hanging="360"/>
      </w:pPr>
    </w:lvl>
    <w:lvl w:ilvl="1" w:tplc="04140019">
      <w:start w:val="1"/>
      <w:numFmt w:val="lowerLetter"/>
      <w:lvlText w:val="%2."/>
      <w:lvlJc w:val="left"/>
      <w:pPr>
        <w:ind w:left="1440" w:hanging="360"/>
      </w:pPr>
    </w:lvl>
    <w:lvl w:ilvl="2" w:tplc="0414001B">
      <w:start w:val="1"/>
      <w:numFmt w:val="lowerRoman"/>
      <w:lvlText w:val="%3."/>
      <w:lvlJc w:val="right"/>
      <w:pPr>
        <w:ind w:left="2160" w:hanging="180"/>
      </w:pPr>
    </w:lvl>
    <w:lvl w:ilvl="3" w:tplc="0414000F">
      <w:start w:val="1"/>
      <w:numFmt w:val="decimal"/>
      <w:lvlText w:val="%4."/>
      <w:lvlJc w:val="left"/>
      <w:pPr>
        <w:ind w:left="2880" w:hanging="360"/>
      </w:pPr>
    </w:lvl>
    <w:lvl w:ilvl="4" w:tplc="04140019">
      <w:start w:val="1"/>
      <w:numFmt w:val="lowerLetter"/>
      <w:lvlText w:val="%5."/>
      <w:lvlJc w:val="left"/>
      <w:pPr>
        <w:ind w:left="3600" w:hanging="360"/>
      </w:pPr>
    </w:lvl>
    <w:lvl w:ilvl="5" w:tplc="0414001B">
      <w:start w:val="1"/>
      <w:numFmt w:val="lowerRoman"/>
      <w:lvlText w:val="%6."/>
      <w:lvlJc w:val="right"/>
      <w:pPr>
        <w:ind w:left="4320" w:hanging="180"/>
      </w:pPr>
    </w:lvl>
    <w:lvl w:ilvl="6" w:tplc="0414000F">
      <w:start w:val="1"/>
      <w:numFmt w:val="decimal"/>
      <w:lvlText w:val="%7."/>
      <w:lvlJc w:val="left"/>
      <w:pPr>
        <w:ind w:left="5040" w:hanging="360"/>
      </w:pPr>
    </w:lvl>
    <w:lvl w:ilvl="7" w:tplc="04140019">
      <w:start w:val="1"/>
      <w:numFmt w:val="lowerLetter"/>
      <w:lvlText w:val="%8."/>
      <w:lvlJc w:val="left"/>
      <w:pPr>
        <w:ind w:left="5760" w:hanging="360"/>
      </w:pPr>
    </w:lvl>
    <w:lvl w:ilvl="8" w:tplc="0414001B">
      <w:start w:val="1"/>
      <w:numFmt w:val="lowerRoman"/>
      <w:lvlText w:val="%9."/>
      <w:lvlJc w:val="right"/>
      <w:pPr>
        <w:ind w:left="6480" w:hanging="180"/>
      </w:pPr>
    </w:lvl>
  </w:abstractNum>
  <w:abstractNum w:abstractNumId="10">
    <w:nsid w:val="4E240C3E"/>
    <w:multiLevelType w:val="hybridMultilevel"/>
    <w:tmpl w:val="96B4ED88"/>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11">
    <w:nsid w:val="5CDF1EB8"/>
    <w:multiLevelType w:val="hybridMultilevel"/>
    <w:tmpl w:val="61AA38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72B856D9"/>
    <w:multiLevelType w:val="hybridMultilevel"/>
    <w:tmpl w:val="C908EB6E"/>
    <w:lvl w:ilvl="0" w:tplc="34447B90">
      <w:numFmt w:val="bullet"/>
      <w:lvlText w:val="-"/>
      <w:lvlJc w:val="left"/>
      <w:pPr>
        <w:ind w:left="720" w:hanging="360"/>
      </w:pPr>
      <w:rPr>
        <w:rFonts w:ascii="Calibri" w:eastAsiaTheme="minorHAnsi" w:hAnsi="Calibri" w:cs="Calibri"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3">
    <w:nsid w:val="7EA25906"/>
    <w:multiLevelType w:val="hybridMultilevel"/>
    <w:tmpl w:val="77405DEA"/>
    <w:lvl w:ilvl="0" w:tplc="35767FDE">
      <w:numFmt w:val="bullet"/>
      <w:lvlText w:val="-"/>
      <w:lvlJc w:val="left"/>
      <w:pPr>
        <w:ind w:left="720" w:hanging="360"/>
      </w:pPr>
      <w:rPr>
        <w:rFonts w:ascii="Calibri" w:eastAsiaTheme="minorHAnsi" w:hAnsi="Calibri" w:cs="Calibri" w:hint="default"/>
        <w:color w:val="auto"/>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6"/>
  </w:num>
  <w:num w:numId="2">
    <w:abstractNumId w:val="1"/>
  </w:num>
  <w:num w:numId="3">
    <w:abstractNumId w:val="0"/>
  </w:num>
  <w:num w:numId="4">
    <w:abstractNumId w:val="10"/>
  </w:num>
  <w:num w:numId="5">
    <w:abstractNumId w:val="4"/>
  </w:num>
  <w:num w:numId="6">
    <w:abstractNumId w:val="3"/>
  </w:num>
  <w:num w:numId="7">
    <w:abstractNumId w:val="5"/>
  </w:num>
  <w:num w:numId="8">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2"/>
  </w:num>
  <w:num w:numId="10">
    <w:abstractNumId w:val="13"/>
  </w:num>
  <w:num w:numId="1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num>
  <w:num w:numId="13">
    <w:abstractNumId w:val="11"/>
  </w:num>
  <w:num w:numId="14">
    <w:abstractNumId w:val="2"/>
  </w:num>
  <w:num w:numId="15">
    <w:abstractNumId w:val="8"/>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hdrShapeDefaults>
    <o:shapedefaults v:ext="edit" spidmax="7782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BMC Pregnancy Childbirth revised&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ableBibliographyCategories&gt;0&lt;/EnableBibliographyCategories&gt;&lt;/ENLayout&gt;"/>
    <w:docVar w:name="EN.Libraries" w:val="&lt;Libraries&gt;&lt;item db-id=&quot;wfftszer6wfz5bed0vlvsa5ez5fpez5f2ds9&quot;&gt;WHO Project Library 26th Feb 2016&lt;record-ids&gt;&lt;item&gt;8&lt;/item&gt;&lt;item&gt;40&lt;/item&gt;&lt;item&gt;50&lt;/item&gt;&lt;item&gt;78&lt;/item&gt;&lt;item&gt;127&lt;/item&gt;&lt;item&gt;136&lt;/item&gt;&lt;item&gt;137&lt;/item&gt;&lt;item&gt;146&lt;/item&gt;&lt;item&gt;165&lt;/item&gt;&lt;item&gt;172&lt;/item&gt;&lt;item&gt;324&lt;/item&gt;&lt;item&gt;328&lt;/item&gt;&lt;item&gt;373&lt;/item&gt;&lt;item&gt;374&lt;/item&gt;&lt;item&gt;375&lt;/item&gt;&lt;item&gt;377&lt;/item&gt;&lt;item&gt;382&lt;/item&gt;&lt;item&gt;384&lt;/item&gt;&lt;item&gt;386&lt;/item&gt;&lt;item&gt;400&lt;/item&gt;&lt;item&gt;410&lt;/item&gt;&lt;item&gt;411&lt;/item&gt;&lt;item&gt;412&lt;/item&gt;&lt;item&gt;413&lt;/item&gt;&lt;item&gt;417&lt;/item&gt;&lt;item&gt;419&lt;/item&gt;&lt;item&gt;420&lt;/item&gt;&lt;item&gt;421&lt;/item&gt;&lt;item&gt;422&lt;/item&gt;&lt;item&gt;423&lt;/item&gt;&lt;item&gt;424&lt;/item&gt;&lt;item&gt;426&lt;/item&gt;&lt;/record-ids&gt;&lt;/item&gt;&lt;/Libraries&gt;"/>
  </w:docVars>
  <w:rsids>
    <w:rsidRoot w:val="00690F33"/>
    <w:rsid w:val="00004A4C"/>
    <w:rsid w:val="00011A8A"/>
    <w:rsid w:val="00011B34"/>
    <w:rsid w:val="00014966"/>
    <w:rsid w:val="00015E8F"/>
    <w:rsid w:val="0001733A"/>
    <w:rsid w:val="000309A5"/>
    <w:rsid w:val="00031EA9"/>
    <w:rsid w:val="00032138"/>
    <w:rsid w:val="00032908"/>
    <w:rsid w:val="00032968"/>
    <w:rsid w:val="00033502"/>
    <w:rsid w:val="00034F8E"/>
    <w:rsid w:val="00036390"/>
    <w:rsid w:val="000431EE"/>
    <w:rsid w:val="0004429F"/>
    <w:rsid w:val="000464DB"/>
    <w:rsid w:val="00051BEC"/>
    <w:rsid w:val="00052999"/>
    <w:rsid w:val="00053BF3"/>
    <w:rsid w:val="00055449"/>
    <w:rsid w:val="00057E92"/>
    <w:rsid w:val="00060DED"/>
    <w:rsid w:val="000640EF"/>
    <w:rsid w:val="00067207"/>
    <w:rsid w:val="00067498"/>
    <w:rsid w:val="00070DA1"/>
    <w:rsid w:val="00071AD3"/>
    <w:rsid w:val="000727BD"/>
    <w:rsid w:val="00073832"/>
    <w:rsid w:val="000817E0"/>
    <w:rsid w:val="0008441D"/>
    <w:rsid w:val="000846DE"/>
    <w:rsid w:val="00092899"/>
    <w:rsid w:val="00092E44"/>
    <w:rsid w:val="00093596"/>
    <w:rsid w:val="000937FB"/>
    <w:rsid w:val="00095194"/>
    <w:rsid w:val="00095BE2"/>
    <w:rsid w:val="00096BCA"/>
    <w:rsid w:val="000A3F7C"/>
    <w:rsid w:val="000A576A"/>
    <w:rsid w:val="000A61A9"/>
    <w:rsid w:val="000A7236"/>
    <w:rsid w:val="000A7D0C"/>
    <w:rsid w:val="000B1025"/>
    <w:rsid w:val="000B25C7"/>
    <w:rsid w:val="000B3A14"/>
    <w:rsid w:val="000B492B"/>
    <w:rsid w:val="000B5FA8"/>
    <w:rsid w:val="000B70BB"/>
    <w:rsid w:val="000C0D4B"/>
    <w:rsid w:val="000C410E"/>
    <w:rsid w:val="000C7452"/>
    <w:rsid w:val="000D0F93"/>
    <w:rsid w:val="000D5006"/>
    <w:rsid w:val="000D7554"/>
    <w:rsid w:val="000E043A"/>
    <w:rsid w:val="000E55D6"/>
    <w:rsid w:val="000E626A"/>
    <w:rsid w:val="000F3BB2"/>
    <w:rsid w:val="000F4CCC"/>
    <w:rsid w:val="000F5864"/>
    <w:rsid w:val="000F7F9E"/>
    <w:rsid w:val="0010182E"/>
    <w:rsid w:val="0010253F"/>
    <w:rsid w:val="00106512"/>
    <w:rsid w:val="00107936"/>
    <w:rsid w:val="00111980"/>
    <w:rsid w:val="00113DA5"/>
    <w:rsid w:val="00121F89"/>
    <w:rsid w:val="0012280D"/>
    <w:rsid w:val="0012333B"/>
    <w:rsid w:val="0012746D"/>
    <w:rsid w:val="00127DAD"/>
    <w:rsid w:val="0013039F"/>
    <w:rsid w:val="00130970"/>
    <w:rsid w:val="001324E0"/>
    <w:rsid w:val="00135D20"/>
    <w:rsid w:val="00140233"/>
    <w:rsid w:val="0014581C"/>
    <w:rsid w:val="0014584D"/>
    <w:rsid w:val="00145A17"/>
    <w:rsid w:val="001461DA"/>
    <w:rsid w:val="0014662A"/>
    <w:rsid w:val="00147281"/>
    <w:rsid w:val="001477B9"/>
    <w:rsid w:val="001514FE"/>
    <w:rsid w:val="00152261"/>
    <w:rsid w:val="0015356A"/>
    <w:rsid w:val="00153EC3"/>
    <w:rsid w:val="001555F0"/>
    <w:rsid w:val="00166724"/>
    <w:rsid w:val="00173F8F"/>
    <w:rsid w:val="00175FA8"/>
    <w:rsid w:val="00181242"/>
    <w:rsid w:val="00181C9B"/>
    <w:rsid w:val="00183AAC"/>
    <w:rsid w:val="0018607B"/>
    <w:rsid w:val="001905CE"/>
    <w:rsid w:val="00192115"/>
    <w:rsid w:val="001932BA"/>
    <w:rsid w:val="0019484C"/>
    <w:rsid w:val="00194E89"/>
    <w:rsid w:val="001A08DA"/>
    <w:rsid w:val="001A0915"/>
    <w:rsid w:val="001A4672"/>
    <w:rsid w:val="001A52A9"/>
    <w:rsid w:val="001A6DBA"/>
    <w:rsid w:val="001A74B5"/>
    <w:rsid w:val="001B5D53"/>
    <w:rsid w:val="001B75EE"/>
    <w:rsid w:val="001C077D"/>
    <w:rsid w:val="001C0C27"/>
    <w:rsid w:val="001C4265"/>
    <w:rsid w:val="001C6614"/>
    <w:rsid w:val="001D317A"/>
    <w:rsid w:val="001D3F8C"/>
    <w:rsid w:val="001D5BCD"/>
    <w:rsid w:val="001D66E2"/>
    <w:rsid w:val="001D79D0"/>
    <w:rsid w:val="001E22AE"/>
    <w:rsid w:val="001E23B3"/>
    <w:rsid w:val="001E5109"/>
    <w:rsid w:val="001E6258"/>
    <w:rsid w:val="001E6C0F"/>
    <w:rsid w:val="001E6C30"/>
    <w:rsid w:val="001E789B"/>
    <w:rsid w:val="001F0E5E"/>
    <w:rsid w:val="001F1D99"/>
    <w:rsid w:val="001F43ED"/>
    <w:rsid w:val="001F50A0"/>
    <w:rsid w:val="001F5BF6"/>
    <w:rsid w:val="002031D0"/>
    <w:rsid w:val="002047F1"/>
    <w:rsid w:val="00205ADC"/>
    <w:rsid w:val="002076A0"/>
    <w:rsid w:val="002109BB"/>
    <w:rsid w:val="00226942"/>
    <w:rsid w:val="00227391"/>
    <w:rsid w:val="0023011F"/>
    <w:rsid w:val="0023305E"/>
    <w:rsid w:val="002354CE"/>
    <w:rsid w:val="00242875"/>
    <w:rsid w:val="00242C4F"/>
    <w:rsid w:val="002444A8"/>
    <w:rsid w:val="00251D37"/>
    <w:rsid w:val="00252D33"/>
    <w:rsid w:val="00262149"/>
    <w:rsid w:val="00262CB1"/>
    <w:rsid w:val="00267617"/>
    <w:rsid w:val="0027164C"/>
    <w:rsid w:val="00271E00"/>
    <w:rsid w:val="00274A2F"/>
    <w:rsid w:val="0027706A"/>
    <w:rsid w:val="002824BE"/>
    <w:rsid w:val="00282931"/>
    <w:rsid w:val="0028343D"/>
    <w:rsid w:val="002841C1"/>
    <w:rsid w:val="00284B53"/>
    <w:rsid w:val="002915E5"/>
    <w:rsid w:val="0029317C"/>
    <w:rsid w:val="00293A3D"/>
    <w:rsid w:val="00294238"/>
    <w:rsid w:val="00294628"/>
    <w:rsid w:val="002954C6"/>
    <w:rsid w:val="00295D5D"/>
    <w:rsid w:val="002963F5"/>
    <w:rsid w:val="002A1281"/>
    <w:rsid w:val="002A2E1D"/>
    <w:rsid w:val="002A3C31"/>
    <w:rsid w:val="002A3D84"/>
    <w:rsid w:val="002A5C96"/>
    <w:rsid w:val="002B21B6"/>
    <w:rsid w:val="002B747C"/>
    <w:rsid w:val="002C02C3"/>
    <w:rsid w:val="002C12A0"/>
    <w:rsid w:val="002C236D"/>
    <w:rsid w:val="002C2BDA"/>
    <w:rsid w:val="002D2362"/>
    <w:rsid w:val="002D33D3"/>
    <w:rsid w:val="002D4428"/>
    <w:rsid w:val="002D777F"/>
    <w:rsid w:val="002E368A"/>
    <w:rsid w:val="002E36DF"/>
    <w:rsid w:val="002E3D4A"/>
    <w:rsid w:val="002E73EF"/>
    <w:rsid w:val="002F1D22"/>
    <w:rsid w:val="002F7281"/>
    <w:rsid w:val="002F778F"/>
    <w:rsid w:val="003046E8"/>
    <w:rsid w:val="0030657B"/>
    <w:rsid w:val="00307F78"/>
    <w:rsid w:val="003110E2"/>
    <w:rsid w:val="00312513"/>
    <w:rsid w:val="00316563"/>
    <w:rsid w:val="00316F90"/>
    <w:rsid w:val="0031736C"/>
    <w:rsid w:val="00320481"/>
    <w:rsid w:val="003253D2"/>
    <w:rsid w:val="00325E11"/>
    <w:rsid w:val="00326BC7"/>
    <w:rsid w:val="00332E7E"/>
    <w:rsid w:val="00335FB1"/>
    <w:rsid w:val="003364D1"/>
    <w:rsid w:val="00336680"/>
    <w:rsid w:val="00337163"/>
    <w:rsid w:val="0034053D"/>
    <w:rsid w:val="003430BD"/>
    <w:rsid w:val="003431AC"/>
    <w:rsid w:val="0034556A"/>
    <w:rsid w:val="003460AA"/>
    <w:rsid w:val="00346C75"/>
    <w:rsid w:val="00352973"/>
    <w:rsid w:val="00353223"/>
    <w:rsid w:val="003672AA"/>
    <w:rsid w:val="00367948"/>
    <w:rsid w:val="00370492"/>
    <w:rsid w:val="00382761"/>
    <w:rsid w:val="00384639"/>
    <w:rsid w:val="00390138"/>
    <w:rsid w:val="0039125C"/>
    <w:rsid w:val="00394355"/>
    <w:rsid w:val="003B0C10"/>
    <w:rsid w:val="003B2301"/>
    <w:rsid w:val="003B444C"/>
    <w:rsid w:val="003B44C3"/>
    <w:rsid w:val="003B6A13"/>
    <w:rsid w:val="003B759B"/>
    <w:rsid w:val="003C11DE"/>
    <w:rsid w:val="003D0B9A"/>
    <w:rsid w:val="003D18FD"/>
    <w:rsid w:val="003D2110"/>
    <w:rsid w:val="003D4C1A"/>
    <w:rsid w:val="003D4D5A"/>
    <w:rsid w:val="003D63AC"/>
    <w:rsid w:val="003D7034"/>
    <w:rsid w:val="003E0E03"/>
    <w:rsid w:val="003E406B"/>
    <w:rsid w:val="003E64BC"/>
    <w:rsid w:val="003F0AC2"/>
    <w:rsid w:val="003F5F40"/>
    <w:rsid w:val="003F7244"/>
    <w:rsid w:val="00401DC2"/>
    <w:rsid w:val="00402E21"/>
    <w:rsid w:val="004031B2"/>
    <w:rsid w:val="00403AAA"/>
    <w:rsid w:val="0040407C"/>
    <w:rsid w:val="00405D94"/>
    <w:rsid w:val="004102BA"/>
    <w:rsid w:val="004109F1"/>
    <w:rsid w:val="00414305"/>
    <w:rsid w:val="00415137"/>
    <w:rsid w:val="00415406"/>
    <w:rsid w:val="00415C2E"/>
    <w:rsid w:val="00417925"/>
    <w:rsid w:val="00420738"/>
    <w:rsid w:val="004213D6"/>
    <w:rsid w:val="00421C13"/>
    <w:rsid w:val="0043206B"/>
    <w:rsid w:val="0043221B"/>
    <w:rsid w:val="0043463E"/>
    <w:rsid w:val="00441A3F"/>
    <w:rsid w:val="004421BC"/>
    <w:rsid w:val="00447767"/>
    <w:rsid w:val="00447B8A"/>
    <w:rsid w:val="0045126E"/>
    <w:rsid w:val="0045751F"/>
    <w:rsid w:val="004605D9"/>
    <w:rsid w:val="00463F55"/>
    <w:rsid w:val="00472A3E"/>
    <w:rsid w:val="00474F1F"/>
    <w:rsid w:val="004754D4"/>
    <w:rsid w:val="00475D4E"/>
    <w:rsid w:val="00484075"/>
    <w:rsid w:val="004846D7"/>
    <w:rsid w:val="0048537D"/>
    <w:rsid w:val="00487981"/>
    <w:rsid w:val="0049040D"/>
    <w:rsid w:val="00490B13"/>
    <w:rsid w:val="004929C8"/>
    <w:rsid w:val="004945A5"/>
    <w:rsid w:val="00496195"/>
    <w:rsid w:val="0049625F"/>
    <w:rsid w:val="004A6D69"/>
    <w:rsid w:val="004A7954"/>
    <w:rsid w:val="004A7C7F"/>
    <w:rsid w:val="004B4167"/>
    <w:rsid w:val="004B7854"/>
    <w:rsid w:val="004C0E3B"/>
    <w:rsid w:val="004C55C3"/>
    <w:rsid w:val="004C71AD"/>
    <w:rsid w:val="004C7A23"/>
    <w:rsid w:val="004D787B"/>
    <w:rsid w:val="004D7C3F"/>
    <w:rsid w:val="004E0609"/>
    <w:rsid w:val="004E2F00"/>
    <w:rsid w:val="004E5DDE"/>
    <w:rsid w:val="004E782F"/>
    <w:rsid w:val="004F47D4"/>
    <w:rsid w:val="004F6A19"/>
    <w:rsid w:val="004F7503"/>
    <w:rsid w:val="00500AB6"/>
    <w:rsid w:val="0050526F"/>
    <w:rsid w:val="00505E65"/>
    <w:rsid w:val="00507FCC"/>
    <w:rsid w:val="00516069"/>
    <w:rsid w:val="00517CB8"/>
    <w:rsid w:val="00522D66"/>
    <w:rsid w:val="00524CE0"/>
    <w:rsid w:val="005259C2"/>
    <w:rsid w:val="005269F8"/>
    <w:rsid w:val="005333A7"/>
    <w:rsid w:val="00533504"/>
    <w:rsid w:val="00534CC6"/>
    <w:rsid w:val="00537B76"/>
    <w:rsid w:val="00546A93"/>
    <w:rsid w:val="00551529"/>
    <w:rsid w:val="005553A5"/>
    <w:rsid w:val="00556E2F"/>
    <w:rsid w:val="00557AFF"/>
    <w:rsid w:val="00560989"/>
    <w:rsid w:val="00560F64"/>
    <w:rsid w:val="00564B8B"/>
    <w:rsid w:val="005654EF"/>
    <w:rsid w:val="00570019"/>
    <w:rsid w:val="005700AA"/>
    <w:rsid w:val="005702AC"/>
    <w:rsid w:val="00571DE5"/>
    <w:rsid w:val="00574F23"/>
    <w:rsid w:val="0057534E"/>
    <w:rsid w:val="005759C6"/>
    <w:rsid w:val="00575DAE"/>
    <w:rsid w:val="005812D3"/>
    <w:rsid w:val="00585B62"/>
    <w:rsid w:val="00586A4B"/>
    <w:rsid w:val="00592ECF"/>
    <w:rsid w:val="00596969"/>
    <w:rsid w:val="005972F0"/>
    <w:rsid w:val="00597B95"/>
    <w:rsid w:val="005A2973"/>
    <w:rsid w:val="005A4087"/>
    <w:rsid w:val="005A54D3"/>
    <w:rsid w:val="005B5587"/>
    <w:rsid w:val="005B7233"/>
    <w:rsid w:val="005B7A9D"/>
    <w:rsid w:val="005B7D66"/>
    <w:rsid w:val="005C2557"/>
    <w:rsid w:val="005C2BDB"/>
    <w:rsid w:val="005D3FDB"/>
    <w:rsid w:val="005D4099"/>
    <w:rsid w:val="005D6639"/>
    <w:rsid w:val="005E093B"/>
    <w:rsid w:val="005E0D12"/>
    <w:rsid w:val="005E0EE9"/>
    <w:rsid w:val="005E1C02"/>
    <w:rsid w:val="005E2A09"/>
    <w:rsid w:val="005E2C66"/>
    <w:rsid w:val="005E3B8A"/>
    <w:rsid w:val="005E440E"/>
    <w:rsid w:val="005E5AAB"/>
    <w:rsid w:val="005F227D"/>
    <w:rsid w:val="005F4887"/>
    <w:rsid w:val="005F5F0A"/>
    <w:rsid w:val="00600FA9"/>
    <w:rsid w:val="00601031"/>
    <w:rsid w:val="0060791C"/>
    <w:rsid w:val="00616614"/>
    <w:rsid w:val="00616CEB"/>
    <w:rsid w:val="00617BAC"/>
    <w:rsid w:val="00620E3C"/>
    <w:rsid w:val="00621E60"/>
    <w:rsid w:val="00623575"/>
    <w:rsid w:val="00624BDE"/>
    <w:rsid w:val="006256C6"/>
    <w:rsid w:val="006309C6"/>
    <w:rsid w:val="00633B72"/>
    <w:rsid w:val="00645D23"/>
    <w:rsid w:val="0065367A"/>
    <w:rsid w:val="00653806"/>
    <w:rsid w:val="00656E5E"/>
    <w:rsid w:val="00661366"/>
    <w:rsid w:val="00663172"/>
    <w:rsid w:val="00663E5A"/>
    <w:rsid w:val="00666A31"/>
    <w:rsid w:val="00671B61"/>
    <w:rsid w:val="006720B2"/>
    <w:rsid w:val="00673DA1"/>
    <w:rsid w:val="00673EB1"/>
    <w:rsid w:val="00677EEB"/>
    <w:rsid w:val="00681FC7"/>
    <w:rsid w:val="00684BAC"/>
    <w:rsid w:val="006870D7"/>
    <w:rsid w:val="00687BD0"/>
    <w:rsid w:val="00690F33"/>
    <w:rsid w:val="00692A89"/>
    <w:rsid w:val="00692F4D"/>
    <w:rsid w:val="00694223"/>
    <w:rsid w:val="00694CBC"/>
    <w:rsid w:val="00694EB2"/>
    <w:rsid w:val="00696C8E"/>
    <w:rsid w:val="006A004C"/>
    <w:rsid w:val="006A206E"/>
    <w:rsid w:val="006A7A78"/>
    <w:rsid w:val="006B424A"/>
    <w:rsid w:val="006B44E8"/>
    <w:rsid w:val="006B5B15"/>
    <w:rsid w:val="006C2CC8"/>
    <w:rsid w:val="006C55B9"/>
    <w:rsid w:val="006C745E"/>
    <w:rsid w:val="006C7F8F"/>
    <w:rsid w:val="006D2993"/>
    <w:rsid w:val="006D2B7D"/>
    <w:rsid w:val="006D54AA"/>
    <w:rsid w:val="006D6162"/>
    <w:rsid w:val="006E73B9"/>
    <w:rsid w:val="006F4589"/>
    <w:rsid w:val="006F5F85"/>
    <w:rsid w:val="006F6952"/>
    <w:rsid w:val="00703595"/>
    <w:rsid w:val="007041C6"/>
    <w:rsid w:val="007058CC"/>
    <w:rsid w:val="00706D64"/>
    <w:rsid w:val="00706DFF"/>
    <w:rsid w:val="00706EB5"/>
    <w:rsid w:val="0071040E"/>
    <w:rsid w:val="00711573"/>
    <w:rsid w:val="00711AC0"/>
    <w:rsid w:val="00714147"/>
    <w:rsid w:val="00714723"/>
    <w:rsid w:val="00714E13"/>
    <w:rsid w:val="00716815"/>
    <w:rsid w:val="00717855"/>
    <w:rsid w:val="00720307"/>
    <w:rsid w:val="0072211C"/>
    <w:rsid w:val="00724D84"/>
    <w:rsid w:val="00726C7E"/>
    <w:rsid w:val="0073080A"/>
    <w:rsid w:val="00735866"/>
    <w:rsid w:val="00735B39"/>
    <w:rsid w:val="00740DC5"/>
    <w:rsid w:val="00742F49"/>
    <w:rsid w:val="00744189"/>
    <w:rsid w:val="00744EE0"/>
    <w:rsid w:val="00745BEB"/>
    <w:rsid w:val="00746C70"/>
    <w:rsid w:val="007525EA"/>
    <w:rsid w:val="0075260B"/>
    <w:rsid w:val="0075442C"/>
    <w:rsid w:val="00757562"/>
    <w:rsid w:val="00757E14"/>
    <w:rsid w:val="0076193B"/>
    <w:rsid w:val="007630B6"/>
    <w:rsid w:val="0076357E"/>
    <w:rsid w:val="00763B1D"/>
    <w:rsid w:val="0076477F"/>
    <w:rsid w:val="007725E6"/>
    <w:rsid w:val="00772E99"/>
    <w:rsid w:val="007801DE"/>
    <w:rsid w:val="007804B6"/>
    <w:rsid w:val="00783A4F"/>
    <w:rsid w:val="007848EC"/>
    <w:rsid w:val="007851C2"/>
    <w:rsid w:val="00785A7E"/>
    <w:rsid w:val="00787C94"/>
    <w:rsid w:val="00790BE9"/>
    <w:rsid w:val="007972E9"/>
    <w:rsid w:val="007A1907"/>
    <w:rsid w:val="007A44CC"/>
    <w:rsid w:val="007A7312"/>
    <w:rsid w:val="007A7390"/>
    <w:rsid w:val="007B2262"/>
    <w:rsid w:val="007C0E8F"/>
    <w:rsid w:val="007C17EA"/>
    <w:rsid w:val="007C49FA"/>
    <w:rsid w:val="007C77B2"/>
    <w:rsid w:val="007D1785"/>
    <w:rsid w:val="007D681A"/>
    <w:rsid w:val="007E2585"/>
    <w:rsid w:val="007E29F6"/>
    <w:rsid w:val="007E2C44"/>
    <w:rsid w:val="007F46F4"/>
    <w:rsid w:val="008012AA"/>
    <w:rsid w:val="00802CAE"/>
    <w:rsid w:val="00804029"/>
    <w:rsid w:val="00805CDD"/>
    <w:rsid w:val="0080736C"/>
    <w:rsid w:val="00811680"/>
    <w:rsid w:val="0081175A"/>
    <w:rsid w:val="00813D4B"/>
    <w:rsid w:val="00816883"/>
    <w:rsid w:val="00821E22"/>
    <w:rsid w:val="00832597"/>
    <w:rsid w:val="008342C7"/>
    <w:rsid w:val="008352A7"/>
    <w:rsid w:val="008365B6"/>
    <w:rsid w:val="00843979"/>
    <w:rsid w:val="008541C3"/>
    <w:rsid w:val="008608E3"/>
    <w:rsid w:val="00861863"/>
    <w:rsid w:val="008635FA"/>
    <w:rsid w:val="00863AB0"/>
    <w:rsid w:val="00864200"/>
    <w:rsid w:val="0087104C"/>
    <w:rsid w:val="00872039"/>
    <w:rsid w:val="00872496"/>
    <w:rsid w:val="00873BD4"/>
    <w:rsid w:val="00874F42"/>
    <w:rsid w:val="008765B3"/>
    <w:rsid w:val="00877A4E"/>
    <w:rsid w:val="00880E05"/>
    <w:rsid w:val="00881526"/>
    <w:rsid w:val="008839EA"/>
    <w:rsid w:val="00885483"/>
    <w:rsid w:val="00886637"/>
    <w:rsid w:val="00886661"/>
    <w:rsid w:val="00894661"/>
    <w:rsid w:val="00894AA5"/>
    <w:rsid w:val="00896FF4"/>
    <w:rsid w:val="008A3AAB"/>
    <w:rsid w:val="008B2C76"/>
    <w:rsid w:val="008B444A"/>
    <w:rsid w:val="008B7B82"/>
    <w:rsid w:val="008C378F"/>
    <w:rsid w:val="008C4013"/>
    <w:rsid w:val="008C4FFD"/>
    <w:rsid w:val="008C606D"/>
    <w:rsid w:val="008C610C"/>
    <w:rsid w:val="008C7FBE"/>
    <w:rsid w:val="008D0A49"/>
    <w:rsid w:val="008D172D"/>
    <w:rsid w:val="008D1FD1"/>
    <w:rsid w:val="008D25B2"/>
    <w:rsid w:val="008D44D9"/>
    <w:rsid w:val="008D638F"/>
    <w:rsid w:val="008D6561"/>
    <w:rsid w:val="008D7A57"/>
    <w:rsid w:val="008E0D82"/>
    <w:rsid w:val="008E2FFA"/>
    <w:rsid w:val="008E36B8"/>
    <w:rsid w:val="008E4DE1"/>
    <w:rsid w:val="008E60A1"/>
    <w:rsid w:val="008E7299"/>
    <w:rsid w:val="008F0902"/>
    <w:rsid w:val="008F2738"/>
    <w:rsid w:val="008F5439"/>
    <w:rsid w:val="009009BB"/>
    <w:rsid w:val="00902110"/>
    <w:rsid w:val="00903ADC"/>
    <w:rsid w:val="00903BD9"/>
    <w:rsid w:val="00904175"/>
    <w:rsid w:val="00906486"/>
    <w:rsid w:val="009067CC"/>
    <w:rsid w:val="009133CF"/>
    <w:rsid w:val="00914CA9"/>
    <w:rsid w:val="00915286"/>
    <w:rsid w:val="00920036"/>
    <w:rsid w:val="00921EA1"/>
    <w:rsid w:val="009236AE"/>
    <w:rsid w:val="0093101B"/>
    <w:rsid w:val="009316C9"/>
    <w:rsid w:val="00934BE9"/>
    <w:rsid w:val="00941856"/>
    <w:rsid w:val="009430FD"/>
    <w:rsid w:val="0094641A"/>
    <w:rsid w:val="00947487"/>
    <w:rsid w:val="0095048D"/>
    <w:rsid w:val="00951948"/>
    <w:rsid w:val="009544C7"/>
    <w:rsid w:val="009574E7"/>
    <w:rsid w:val="0096177D"/>
    <w:rsid w:val="00961C4A"/>
    <w:rsid w:val="00966138"/>
    <w:rsid w:val="009678C1"/>
    <w:rsid w:val="00971A02"/>
    <w:rsid w:val="00974700"/>
    <w:rsid w:val="00974C0D"/>
    <w:rsid w:val="0097525E"/>
    <w:rsid w:val="00975F90"/>
    <w:rsid w:val="0097642F"/>
    <w:rsid w:val="00982463"/>
    <w:rsid w:val="00983102"/>
    <w:rsid w:val="00985459"/>
    <w:rsid w:val="009868A2"/>
    <w:rsid w:val="00991CDF"/>
    <w:rsid w:val="00992D30"/>
    <w:rsid w:val="00994B62"/>
    <w:rsid w:val="00996030"/>
    <w:rsid w:val="0099769E"/>
    <w:rsid w:val="009A3D3A"/>
    <w:rsid w:val="009B0BED"/>
    <w:rsid w:val="009B41BB"/>
    <w:rsid w:val="009B4211"/>
    <w:rsid w:val="009B753B"/>
    <w:rsid w:val="009C0E50"/>
    <w:rsid w:val="009C2FDD"/>
    <w:rsid w:val="009C39A4"/>
    <w:rsid w:val="009C3D8F"/>
    <w:rsid w:val="009C4D23"/>
    <w:rsid w:val="009D150A"/>
    <w:rsid w:val="009D1FFB"/>
    <w:rsid w:val="009D6710"/>
    <w:rsid w:val="009D77E9"/>
    <w:rsid w:val="009D7E8B"/>
    <w:rsid w:val="009E0AB1"/>
    <w:rsid w:val="009E5240"/>
    <w:rsid w:val="009F30C2"/>
    <w:rsid w:val="009F36A4"/>
    <w:rsid w:val="009F6429"/>
    <w:rsid w:val="00A00E65"/>
    <w:rsid w:val="00A033E6"/>
    <w:rsid w:val="00A04CD9"/>
    <w:rsid w:val="00A135D4"/>
    <w:rsid w:val="00A15184"/>
    <w:rsid w:val="00A15DE2"/>
    <w:rsid w:val="00A170E6"/>
    <w:rsid w:val="00A2093B"/>
    <w:rsid w:val="00A23FD6"/>
    <w:rsid w:val="00A2417A"/>
    <w:rsid w:val="00A242D7"/>
    <w:rsid w:val="00A251AB"/>
    <w:rsid w:val="00A251FF"/>
    <w:rsid w:val="00A2629C"/>
    <w:rsid w:val="00A26D99"/>
    <w:rsid w:val="00A3233B"/>
    <w:rsid w:val="00A32936"/>
    <w:rsid w:val="00A342CB"/>
    <w:rsid w:val="00A34F65"/>
    <w:rsid w:val="00A37524"/>
    <w:rsid w:val="00A37C97"/>
    <w:rsid w:val="00A431A7"/>
    <w:rsid w:val="00A45D32"/>
    <w:rsid w:val="00A46620"/>
    <w:rsid w:val="00A5050E"/>
    <w:rsid w:val="00A5242F"/>
    <w:rsid w:val="00A5385F"/>
    <w:rsid w:val="00A57AD1"/>
    <w:rsid w:val="00A60CDE"/>
    <w:rsid w:val="00A61ADD"/>
    <w:rsid w:val="00A62F21"/>
    <w:rsid w:val="00A65081"/>
    <w:rsid w:val="00A65697"/>
    <w:rsid w:val="00A70522"/>
    <w:rsid w:val="00A72BBF"/>
    <w:rsid w:val="00A7341D"/>
    <w:rsid w:val="00A759F3"/>
    <w:rsid w:val="00A76217"/>
    <w:rsid w:val="00A77554"/>
    <w:rsid w:val="00A80CE1"/>
    <w:rsid w:val="00A82EB6"/>
    <w:rsid w:val="00A90CC4"/>
    <w:rsid w:val="00A93BD0"/>
    <w:rsid w:val="00A9490B"/>
    <w:rsid w:val="00A94E3C"/>
    <w:rsid w:val="00A958D2"/>
    <w:rsid w:val="00A97AA7"/>
    <w:rsid w:val="00A97C2C"/>
    <w:rsid w:val="00AA41DE"/>
    <w:rsid w:val="00AB09EA"/>
    <w:rsid w:val="00AB26DD"/>
    <w:rsid w:val="00AB3334"/>
    <w:rsid w:val="00AB3F20"/>
    <w:rsid w:val="00AB5DF0"/>
    <w:rsid w:val="00AB6EE9"/>
    <w:rsid w:val="00AC7C70"/>
    <w:rsid w:val="00AD133D"/>
    <w:rsid w:val="00AD266C"/>
    <w:rsid w:val="00AD4EE1"/>
    <w:rsid w:val="00AE1CC0"/>
    <w:rsid w:val="00AE69AC"/>
    <w:rsid w:val="00AF0E33"/>
    <w:rsid w:val="00AF5BDF"/>
    <w:rsid w:val="00AF5CAA"/>
    <w:rsid w:val="00B03442"/>
    <w:rsid w:val="00B112B1"/>
    <w:rsid w:val="00B11F0F"/>
    <w:rsid w:val="00B1243B"/>
    <w:rsid w:val="00B12EDA"/>
    <w:rsid w:val="00B1444B"/>
    <w:rsid w:val="00B150CF"/>
    <w:rsid w:val="00B24859"/>
    <w:rsid w:val="00B301E1"/>
    <w:rsid w:val="00B317DF"/>
    <w:rsid w:val="00B35113"/>
    <w:rsid w:val="00B37E0A"/>
    <w:rsid w:val="00B401E9"/>
    <w:rsid w:val="00B41AB7"/>
    <w:rsid w:val="00B433F0"/>
    <w:rsid w:val="00B439CA"/>
    <w:rsid w:val="00B43D0F"/>
    <w:rsid w:val="00B44970"/>
    <w:rsid w:val="00B52C06"/>
    <w:rsid w:val="00B52D5B"/>
    <w:rsid w:val="00B6008D"/>
    <w:rsid w:val="00B614DD"/>
    <w:rsid w:val="00B6377D"/>
    <w:rsid w:val="00B644EE"/>
    <w:rsid w:val="00B66800"/>
    <w:rsid w:val="00B7016C"/>
    <w:rsid w:val="00B74070"/>
    <w:rsid w:val="00B76369"/>
    <w:rsid w:val="00B76B3C"/>
    <w:rsid w:val="00B77A53"/>
    <w:rsid w:val="00B80738"/>
    <w:rsid w:val="00B82D2A"/>
    <w:rsid w:val="00B83D50"/>
    <w:rsid w:val="00B86CA7"/>
    <w:rsid w:val="00B9046A"/>
    <w:rsid w:val="00B91434"/>
    <w:rsid w:val="00B93817"/>
    <w:rsid w:val="00B9579B"/>
    <w:rsid w:val="00B969EB"/>
    <w:rsid w:val="00BA2691"/>
    <w:rsid w:val="00BA26ED"/>
    <w:rsid w:val="00BA7194"/>
    <w:rsid w:val="00BB48C7"/>
    <w:rsid w:val="00BC0203"/>
    <w:rsid w:val="00BC197C"/>
    <w:rsid w:val="00BC3C28"/>
    <w:rsid w:val="00BC5050"/>
    <w:rsid w:val="00BD1693"/>
    <w:rsid w:val="00BD2174"/>
    <w:rsid w:val="00BD2278"/>
    <w:rsid w:val="00BD4857"/>
    <w:rsid w:val="00BE1D97"/>
    <w:rsid w:val="00BE252D"/>
    <w:rsid w:val="00BE263A"/>
    <w:rsid w:val="00BE2B6F"/>
    <w:rsid w:val="00BE4CDD"/>
    <w:rsid w:val="00BE66FF"/>
    <w:rsid w:val="00BF09DD"/>
    <w:rsid w:val="00BF4601"/>
    <w:rsid w:val="00BF5FBD"/>
    <w:rsid w:val="00C0224E"/>
    <w:rsid w:val="00C03421"/>
    <w:rsid w:val="00C064BB"/>
    <w:rsid w:val="00C06C3D"/>
    <w:rsid w:val="00C06FEC"/>
    <w:rsid w:val="00C07199"/>
    <w:rsid w:val="00C07EC5"/>
    <w:rsid w:val="00C11779"/>
    <w:rsid w:val="00C12664"/>
    <w:rsid w:val="00C13BF0"/>
    <w:rsid w:val="00C15893"/>
    <w:rsid w:val="00C22A26"/>
    <w:rsid w:val="00C24247"/>
    <w:rsid w:val="00C24977"/>
    <w:rsid w:val="00C266BA"/>
    <w:rsid w:val="00C27B6A"/>
    <w:rsid w:val="00C322E9"/>
    <w:rsid w:val="00C33E22"/>
    <w:rsid w:val="00C35B59"/>
    <w:rsid w:val="00C360BA"/>
    <w:rsid w:val="00C36AC1"/>
    <w:rsid w:val="00C372EC"/>
    <w:rsid w:val="00C37E0E"/>
    <w:rsid w:val="00C51F36"/>
    <w:rsid w:val="00C53752"/>
    <w:rsid w:val="00C54170"/>
    <w:rsid w:val="00C54537"/>
    <w:rsid w:val="00C54D93"/>
    <w:rsid w:val="00C54FEA"/>
    <w:rsid w:val="00C56306"/>
    <w:rsid w:val="00C6017C"/>
    <w:rsid w:val="00C64B01"/>
    <w:rsid w:val="00C66370"/>
    <w:rsid w:val="00C67A0D"/>
    <w:rsid w:val="00C70E2C"/>
    <w:rsid w:val="00C71865"/>
    <w:rsid w:val="00C7214D"/>
    <w:rsid w:val="00C72BA3"/>
    <w:rsid w:val="00C74AFA"/>
    <w:rsid w:val="00C77595"/>
    <w:rsid w:val="00C81050"/>
    <w:rsid w:val="00C816DE"/>
    <w:rsid w:val="00C817E1"/>
    <w:rsid w:val="00C81EB0"/>
    <w:rsid w:val="00C84924"/>
    <w:rsid w:val="00C905BF"/>
    <w:rsid w:val="00C91BE9"/>
    <w:rsid w:val="00C93B1D"/>
    <w:rsid w:val="00C94A93"/>
    <w:rsid w:val="00C95117"/>
    <w:rsid w:val="00C97D48"/>
    <w:rsid w:val="00CA53E8"/>
    <w:rsid w:val="00CA675A"/>
    <w:rsid w:val="00CA7432"/>
    <w:rsid w:val="00CA7EF8"/>
    <w:rsid w:val="00CB591D"/>
    <w:rsid w:val="00CB6EC2"/>
    <w:rsid w:val="00CC7347"/>
    <w:rsid w:val="00CC7934"/>
    <w:rsid w:val="00CD054B"/>
    <w:rsid w:val="00CD3351"/>
    <w:rsid w:val="00CD4615"/>
    <w:rsid w:val="00CD4C07"/>
    <w:rsid w:val="00CD7EE9"/>
    <w:rsid w:val="00CE1C93"/>
    <w:rsid w:val="00CE2E9D"/>
    <w:rsid w:val="00CE32CA"/>
    <w:rsid w:val="00CE56CC"/>
    <w:rsid w:val="00CE5CD4"/>
    <w:rsid w:val="00CE69A7"/>
    <w:rsid w:val="00CE74CE"/>
    <w:rsid w:val="00CF0AE7"/>
    <w:rsid w:val="00CF2C68"/>
    <w:rsid w:val="00D007B4"/>
    <w:rsid w:val="00D05FC1"/>
    <w:rsid w:val="00D17158"/>
    <w:rsid w:val="00D2162B"/>
    <w:rsid w:val="00D21C87"/>
    <w:rsid w:val="00D21EB2"/>
    <w:rsid w:val="00D2291F"/>
    <w:rsid w:val="00D30525"/>
    <w:rsid w:val="00D3237A"/>
    <w:rsid w:val="00D33296"/>
    <w:rsid w:val="00D3373E"/>
    <w:rsid w:val="00D33AC0"/>
    <w:rsid w:val="00D36C8E"/>
    <w:rsid w:val="00D3789A"/>
    <w:rsid w:val="00D44A78"/>
    <w:rsid w:val="00D456A1"/>
    <w:rsid w:val="00D4788F"/>
    <w:rsid w:val="00D519D7"/>
    <w:rsid w:val="00D532E5"/>
    <w:rsid w:val="00D541DB"/>
    <w:rsid w:val="00D5733F"/>
    <w:rsid w:val="00D617F5"/>
    <w:rsid w:val="00D62E7F"/>
    <w:rsid w:val="00D64D7E"/>
    <w:rsid w:val="00D66483"/>
    <w:rsid w:val="00D675C8"/>
    <w:rsid w:val="00D70DD7"/>
    <w:rsid w:val="00D719CB"/>
    <w:rsid w:val="00D77D06"/>
    <w:rsid w:val="00D81C42"/>
    <w:rsid w:val="00D828C0"/>
    <w:rsid w:val="00D857BA"/>
    <w:rsid w:val="00D858C6"/>
    <w:rsid w:val="00D9014F"/>
    <w:rsid w:val="00D901CE"/>
    <w:rsid w:val="00D93E71"/>
    <w:rsid w:val="00D9491B"/>
    <w:rsid w:val="00D95999"/>
    <w:rsid w:val="00DA038C"/>
    <w:rsid w:val="00DA1191"/>
    <w:rsid w:val="00DA3A83"/>
    <w:rsid w:val="00DA6A95"/>
    <w:rsid w:val="00DA7870"/>
    <w:rsid w:val="00DB10A4"/>
    <w:rsid w:val="00DB1EE9"/>
    <w:rsid w:val="00DB3219"/>
    <w:rsid w:val="00DB3565"/>
    <w:rsid w:val="00DB5EC2"/>
    <w:rsid w:val="00DC2C65"/>
    <w:rsid w:val="00DC4092"/>
    <w:rsid w:val="00DD38E7"/>
    <w:rsid w:val="00DD65CC"/>
    <w:rsid w:val="00DD68ED"/>
    <w:rsid w:val="00DD73CE"/>
    <w:rsid w:val="00DD752E"/>
    <w:rsid w:val="00DE0FF4"/>
    <w:rsid w:val="00DE3665"/>
    <w:rsid w:val="00DE4964"/>
    <w:rsid w:val="00DE6140"/>
    <w:rsid w:val="00DE62BC"/>
    <w:rsid w:val="00DF2477"/>
    <w:rsid w:val="00DF6500"/>
    <w:rsid w:val="00E00FFE"/>
    <w:rsid w:val="00E01A90"/>
    <w:rsid w:val="00E03438"/>
    <w:rsid w:val="00E066B8"/>
    <w:rsid w:val="00E0715B"/>
    <w:rsid w:val="00E11AA1"/>
    <w:rsid w:val="00E15258"/>
    <w:rsid w:val="00E15869"/>
    <w:rsid w:val="00E17789"/>
    <w:rsid w:val="00E21539"/>
    <w:rsid w:val="00E22485"/>
    <w:rsid w:val="00E24CF0"/>
    <w:rsid w:val="00E316BB"/>
    <w:rsid w:val="00E46344"/>
    <w:rsid w:val="00E4710D"/>
    <w:rsid w:val="00E527C0"/>
    <w:rsid w:val="00E538FF"/>
    <w:rsid w:val="00E53C02"/>
    <w:rsid w:val="00E53EBF"/>
    <w:rsid w:val="00E559BA"/>
    <w:rsid w:val="00E64609"/>
    <w:rsid w:val="00E70A63"/>
    <w:rsid w:val="00E71322"/>
    <w:rsid w:val="00E7306F"/>
    <w:rsid w:val="00E77D75"/>
    <w:rsid w:val="00E80A4E"/>
    <w:rsid w:val="00E80B7A"/>
    <w:rsid w:val="00E82BBB"/>
    <w:rsid w:val="00E83D89"/>
    <w:rsid w:val="00E86CB2"/>
    <w:rsid w:val="00E90146"/>
    <w:rsid w:val="00E919FE"/>
    <w:rsid w:val="00E91AF7"/>
    <w:rsid w:val="00E9632C"/>
    <w:rsid w:val="00EA1583"/>
    <w:rsid w:val="00EA17E2"/>
    <w:rsid w:val="00EA332A"/>
    <w:rsid w:val="00EA3E24"/>
    <w:rsid w:val="00EA6164"/>
    <w:rsid w:val="00EA67D3"/>
    <w:rsid w:val="00EB243C"/>
    <w:rsid w:val="00EB269E"/>
    <w:rsid w:val="00EB27BB"/>
    <w:rsid w:val="00EB2D49"/>
    <w:rsid w:val="00EB3793"/>
    <w:rsid w:val="00EB4E99"/>
    <w:rsid w:val="00EB5A0D"/>
    <w:rsid w:val="00EC196F"/>
    <w:rsid w:val="00EC27DC"/>
    <w:rsid w:val="00EC43FE"/>
    <w:rsid w:val="00EC4720"/>
    <w:rsid w:val="00EC5F46"/>
    <w:rsid w:val="00EC6E38"/>
    <w:rsid w:val="00EC7F79"/>
    <w:rsid w:val="00ED00D8"/>
    <w:rsid w:val="00ED175A"/>
    <w:rsid w:val="00ED32E0"/>
    <w:rsid w:val="00ED4F91"/>
    <w:rsid w:val="00ED5412"/>
    <w:rsid w:val="00EE00E2"/>
    <w:rsid w:val="00EE17F0"/>
    <w:rsid w:val="00EE21CB"/>
    <w:rsid w:val="00EE2295"/>
    <w:rsid w:val="00EE53AA"/>
    <w:rsid w:val="00EE72A7"/>
    <w:rsid w:val="00EF4F46"/>
    <w:rsid w:val="00EF5ABD"/>
    <w:rsid w:val="00EF5AF2"/>
    <w:rsid w:val="00EF77FB"/>
    <w:rsid w:val="00F006C1"/>
    <w:rsid w:val="00F04D6A"/>
    <w:rsid w:val="00F07C22"/>
    <w:rsid w:val="00F11106"/>
    <w:rsid w:val="00F11735"/>
    <w:rsid w:val="00F14962"/>
    <w:rsid w:val="00F15B9A"/>
    <w:rsid w:val="00F164F1"/>
    <w:rsid w:val="00F23571"/>
    <w:rsid w:val="00F241A6"/>
    <w:rsid w:val="00F27058"/>
    <w:rsid w:val="00F3118D"/>
    <w:rsid w:val="00F3141D"/>
    <w:rsid w:val="00F33DC9"/>
    <w:rsid w:val="00F42378"/>
    <w:rsid w:val="00F4340A"/>
    <w:rsid w:val="00F43F2C"/>
    <w:rsid w:val="00F47FED"/>
    <w:rsid w:val="00F5320D"/>
    <w:rsid w:val="00F56401"/>
    <w:rsid w:val="00F602B7"/>
    <w:rsid w:val="00F617DE"/>
    <w:rsid w:val="00F61C9F"/>
    <w:rsid w:val="00F6395A"/>
    <w:rsid w:val="00F649D1"/>
    <w:rsid w:val="00F65DC2"/>
    <w:rsid w:val="00F6713D"/>
    <w:rsid w:val="00F6737E"/>
    <w:rsid w:val="00F71ED2"/>
    <w:rsid w:val="00F836CA"/>
    <w:rsid w:val="00F86B96"/>
    <w:rsid w:val="00F90703"/>
    <w:rsid w:val="00F90A74"/>
    <w:rsid w:val="00F917BF"/>
    <w:rsid w:val="00F93C13"/>
    <w:rsid w:val="00F95219"/>
    <w:rsid w:val="00F96596"/>
    <w:rsid w:val="00FA1070"/>
    <w:rsid w:val="00FA2F69"/>
    <w:rsid w:val="00FA41D0"/>
    <w:rsid w:val="00FA5076"/>
    <w:rsid w:val="00FB1AD1"/>
    <w:rsid w:val="00FB4F32"/>
    <w:rsid w:val="00FB60ED"/>
    <w:rsid w:val="00FC1A24"/>
    <w:rsid w:val="00FC3720"/>
    <w:rsid w:val="00FC4C2E"/>
    <w:rsid w:val="00FC6283"/>
    <w:rsid w:val="00FD453E"/>
    <w:rsid w:val="00FD4565"/>
    <w:rsid w:val="00FD5276"/>
    <w:rsid w:val="00FD59B5"/>
    <w:rsid w:val="00FD7AE9"/>
    <w:rsid w:val="00FF043D"/>
    <w:rsid w:val="00FF348A"/>
    <w:rsid w:val="00FF4E31"/>
  </w:rsids>
  <m:mathPr>
    <m:mathFont m:val="Cambria Math"/>
    <m:brkBin m:val="before"/>
    <m:brkBinSub m:val="--"/>
    <m:smallFrac m:val="0"/>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shapeDefaults>
    <o:shapedefaults v:ext="edit" spidmax="77825"/>
    <o:shapelayout v:ext="edit">
      <o:idmap v:ext="edit" data="1"/>
    </o:shapelayout>
  </w:shapeDefaults>
  <w:decimalSymbol w:val="."/>
  <w:listSeparator w:val=","/>
  <w14:docId w14:val="517552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nb-N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690F33"/>
    <w:pPr>
      <w:keepNext/>
      <w:keepLines/>
      <w:numPr>
        <w:numId w:val="1"/>
      </w:numPr>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5F4887"/>
    <w:pPr>
      <w:keepNext/>
      <w:keepLines/>
      <w:numPr>
        <w:ilvl w:val="1"/>
        <w:numId w:val="1"/>
      </w:numPr>
      <w:spacing w:before="360" w:after="160"/>
      <w:ind w:left="578" w:hanging="578"/>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EE00E2"/>
    <w:pPr>
      <w:keepNext/>
      <w:keepLines/>
      <w:numPr>
        <w:ilvl w:val="2"/>
        <w:numId w:val="1"/>
      </w:numPr>
      <w:spacing w:before="120" w:after="12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106512"/>
    <w:pPr>
      <w:keepNext/>
      <w:keepLines/>
      <w:numPr>
        <w:ilvl w:val="3"/>
        <w:numId w:val="1"/>
      </w:numPr>
      <w:spacing w:before="120" w:after="120"/>
      <w:ind w:left="862" w:hanging="862"/>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C0224E"/>
    <w:pPr>
      <w:keepNext/>
      <w:keepLines/>
      <w:numPr>
        <w:ilvl w:val="4"/>
        <w:numId w:val="1"/>
      </w:numPr>
      <w:spacing w:before="200" w:after="120"/>
      <w:ind w:left="1009" w:hanging="1009"/>
      <w:outlineLvl w:val="4"/>
    </w:pPr>
    <w:rPr>
      <w:rFonts w:asciiTheme="majorHAnsi" w:eastAsiaTheme="majorEastAsia" w:hAnsiTheme="majorHAnsi" w:cstheme="majorBidi"/>
      <w:b/>
      <w:i/>
      <w:color w:val="365F91" w:themeColor="accent1" w:themeShade="BF"/>
    </w:rPr>
  </w:style>
  <w:style w:type="paragraph" w:styleId="Heading6">
    <w:name w:val="heading 6"/>
    <w:basedOn w:val="Normal"/>
    <w:next w:val="Normal"/>
    <w:link w:val="Heading6Char"/>
    <w:uiPriority w:val="9"/>
    <w:unhideWhenUsed/>
    <w:qFormat/>
    <w:rsid w:val="008365B6"/>
    <w:pPr>
      <w:keepNext/>
      <w:keepLines/>
      <w:numPr>
        <w:ilvl w:val="5"/>
        <w:numId w:val="1"/>
      </w:numPr>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8365B6"/>
    <w:pPr>
      <w:keepNext/>
      <w:keepLines/>
      <w:numPr>
        <w:ilvl w:val="6"/>
        <w:numId w:val="1"/>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8365B6"/>
    <w:pPr>
      <w:keepNext/>
      <w:keepLines/>
      <w:numPr>
        <w:ilvl w:val="7"/>
        <w:numId w:val="1"/>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8365B6"/>
    <w:pPr>
      <w:keepNext/>
      <w:keepLines/>
      <w:numPr>
        <w:ilvl w:val="8"/>
        <w:numId w:val="1"/>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90F33"/>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5F4887"/>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EE00E2"/>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106512"/>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C0224E"/>
    <w:rPr>
      <w:rFonts w:asciiTheme="majorHAnsi" w:eastAsiaTheme="majorEastAsia" w:hAnsiTheme="majorHAnsi" w:cstheme="majorBidi"/>
      <w:b/>
      <w:i/>
      <w:color w:val="365F91" w:themeColor="accent1" w:themeShade="BF"/>
    </w:rPr>
  </w:style>
  <w:style w:type="character" w:customStyle="1" w:styleId="Heading6Char">
    <w:name w:val="Heading 6 Char"/>
    <w:basedOn w:val="DefaultParagraphFont"/>
    <w:link w:val="Heading6"/>
    <w:uiPriority w:val="9"/>
    <w:rsid w:val="008365B6"/>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8365B6"/>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8365B6"/>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8365B6"/>
    <w:rPr>
      <w:rFonts w:asciiTheme="majorHAnsi" w:eastAsiaTheme="majorEastAsia" w:hAnsiTheme="majorHAnsi" w:cstheme="majorBidi"/>
      <w:i/>
      <w:iCs/>
      <w:color w:val="404040" w:themeColor="text1" w:themeTint="BF"/>
      <w:sz w:val="20"/>
      <w:szCs w:val="20"/>
    </w:rPr>
  </w:style>
  <w:style w:type="paragraph" w:styleId="Header">
    <w:name w:val="header"/>
    <w:basedOn w:val="Normal"/>
    <w:link w:val="HeaderChar"/>
    <w:uiPriority w:val="99"/>
    <w:unhideWhenUsed/>
    <w:rsid w:val="006C745E"/>
    <w:pPr>
      <w:tabs>
        <w:tab w:val="center" w:pos="4536"/>
        <w:tab w:val="right" w:pos="9072"/>
      </w:tabs>
      <w:spacing w:after="0" w:line="240" w:lineRule="auto"/>
    </w:pPr>
  </w:style>
  <w:style w:type="character" w:customStyle="1" w:styleId="HeaderChar">
    <w:name w:val="Header Char"/>
    <w:basedOn w:val="DefaultParagraphFont"/>
    <w:link w:val="Header"/>
    <w:uiPriority w:val="99"/>
    <w:rsid w:val="006C745E"/>
  </w:style>
  <w:style w:type="paragraph" w:styleId="Footer">
    <w:name w:val="footer"/>
    <w:basedOn w:val="Normal"/>
    <w:link w:val="FooterChar"/>
    <w:uiPriority w:val="99"/>
    <w:unhideWhenUsed/>
    <w:rsid w:val="006C745E"/>
    <w:pPr>
      <w:tabs>
        <w:tab w:val="center" w:pos="4536"/>
        <w:tab w:val="right" w:pos="9072"/>
      </w:tabs>
      <w:spacing w:after="0" w:line="240" w:lineRule="auto"/>
    </w:pPr>
  </w:style>
  <w:style w:type="character" w:customStyle="1" w:styleId="FooterChar">
    <w:name w:val="Footer Char"/>
    <w:basedOn w:val="DefaultParagraphFont"/>
    <w:link w:val="Footer"/>
    <w:uiPriority w:val="99"/>
    <w:rsid w:val="006C745E"/>
  </w:style>
  <w:style w:type="paragraph" w:styleId="ListParagraph">
    <w:name w:val="List Paragraph"/>
    <w:basedOn w:val="Normal"/>
    <w:link w:val="ListParagraphChar"/>
    <w:uiPriority w:val="34"/>
    <w:qFormat/>
    <w:rsid w:val="00CA7432"/>
    <w:pPr>
      <w:ind w:left="720"/>
      <w:contextualSpacing/>
    </w:pPr>
  </w:style>
  <w:style w:type="paragraph" w:styleId="BalloonText">
    <w:name w:val="Balloon Text"/>
    <w:basedOn w:val="Normal"/>
    <w:link w:val="BalloonTextChar"/>
    <w:uiPriority w:val="99"/>
    <w:semiHidden/>
    <w:unhideWhenUsed/>
    <w:rsid w:val="004929C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929C8"/>
    <w:rPr>
      <w:rFonts w:ascii="Tahoma" w:hAnsi="Tahoma" w:cs="Tahoma"/>
      <w:sz w:val="16"/>
      <w:szCs w:val="16"/>
    </w:rPr>
  </w:style>
  <w:style w:type="character" w:styleId="LineNumber">
    <w:name w:val="line number"/>
    <w:basedOn w:val="DefaultParagraphFont"/>
    <w:uiPriority w:val="99"/>
    <w:semiHidden/>
    <w:unhideWhenUsed/>
    <w:rsid w:val="00067207"/>
  </w:style>
  <w:style w:type="character" w:styleId="CommentReference">
    <w:name w:val="annotation reference"/>
    <w:basedOn w:val="DefaultParagraphFont"/>
    <w:uiPriority w:val="99"/>
    <w:semiHidden/>
    <w:unhideWhenUsed/>
    <w:rsid w:val="00703595"/>
    <w:rPr>
      <w:sz w:val="16"/>
      <w:szCs w:val="16"/>
    </w:rPr>
  </w:style>
  <w:style w:type="paragraph" w:styleId="CommentText">
    <w:name w:val="annotation text"/>
    <w:basedOn w:val="Normal"/>
    <w:link w:val="CommentTextChar"/>
    <w:uiPriority w:val="99"/>
    <w:unhideWhenUsed/>
    <w:rsid w:val="00703595"/>
    <w:pPr>
      <w:spacing w:line="240" w:lineRule="auto"/>
    </w:pPr>
    <w:rPr>
      <w:sz w:val="20"/>
      <w:szCs w:val="20"/>
    </w:rPr>
  </w:style>
  <w:style w:type="character" w:customStyle="1" w:styleId="CommentTextChar">
    <w:name w:val="Comment Text Char"/>
    <w:basedOn w:val="DefaultParagraphFont"/>
    <w:link w:val="CommentText"/>
    <w:uiPriority w:val="99"/>
    <w:rsid w:val="00703595"/>
    <w:rPr>
      <w:sz w:val="20"/>
      <w:szCs w:val="20"/>
    </w:rPr>
  </w:style>
  <w:style w:type="paragraph" w:styleId="CommentSubject">
    <w:name w:val="annotation subject"/>
    <w:basedOn w:val="CommentText"/>
    <w:next w:val="CommentText"/>
    <w:link w:val="CommentSubjectChar"/>
    <w:uiPriority w:val="99"/>
    <w:semiHidden/>
    <w:unhideWhenUsed/>
    <w:rsid w:val="00703595"/>
    <w:rPr>
      <w:b/>
      <w:bCs/>
    </w:rPr>
  </w:style>
  <w:style w:type="character" w:customStyle="1" w:styleId="CommentSubjectChar">
    <w:name w:val="Comment Subject Char"/>
    <w:basedOn w:val="CommentTextChar"/>
    <w:link w:val="CommentSubject"/>
    <w:uiPriority w:val="99"/>
    <w:semiHidden/>
    <w:rsid w:val="00703595"/>
    <w:rPr>
      <w:b/>
      <w:bCs/>
      <w:sz w:val="20"/>
      <w:szCs w:val="20"/>
    </w:rPr>
  </w:style>
  <w:style w:type="paragraph" w:customStyle="1" w:styleId="Img">
    <w:name w:val="Img"/>
    <w:basedOn w:val="Normal"/>
    <w:rsid w:val="009B41BB"/>
    <w:pPr>
      <w:shd w:val="solid" w:color="FFFFFF" w:fill="auto"/>
      <w:spacing w:after="0" w:line="240" w:lineRule="auto"/>
    </w:pPr>
    <w:rPr>
      <w:rFonts w:ascii="Times New Roman" w:eastAsia="Times New Roman" w:hAnsi="Times New Roman" w:cs="Times New Roman"/>
      <w:color w:val="000000"/>
      <w:sz w:val="24"/>
      <w:szCs w:val="24"/>
      <w:shd w:val="solid" w:color="FFFFFF" w:fill="auto"/>
      <w:lang w:val="ru-RU" w:eastAsia="ru-RU"/>
    </w:rPr>
  </w:style>
  <w:style w:type="character" w:customStyle="1" w:styleId="ListParagraphChar">
    <w:name w:val="List Paragraph Char"/>
    <w:link w:val="ListParagraph"/>
    <w:uiPriority w:val="34"/>
    <w:rsid w:val="005E0D12"/>
  </w:style>
  <w:style w:type="character" w:customStyle="1" w:styleId="st1">
    <w:name w:val="st1"/>
    <w:basedOn w:val="DefaultParagraphFont"/>
    <w:rsid w:val="00885483"/>
  </w:style>
  <w:style w:type="character" w:styleId="Strong">
    <w:name w:val="Strong"/>
    <w:basedOn w:val="DefaultParagraphFont"/>
    <w:uiPriority w:val="22"/>
    <w:qFormat/>
    <w:rsid w:val="005E1C02"/>
    <w:rPr>
      <w:b/>
      <w:bCs/>
    </w:rPr>
  </w:style>
  <w:style w:type="paragraph" w:styleId="PlainText">
    <w:name w:val="Plain Text"/>
    <w:basedOn w:val="Normal"/>
    <w:link w:val="PlainTextChar"/>
    <w:uiPriority w:val="99"/>
    <w:unhideWhenUsed/>
    <w:rsid w:val="00B52D5B"/>
    <w:pPr>
      <w:spacing w:after="0" w:line="240" w:lineRule="auto"/>
    </w:pPr>
    <w:rPr>
      <w:rFonts w:ascii="Consolas" w:eastAsia="Calibri" w:hAnsi="Consolas" w:cs="Times New Roman"/>
      <w:sz w:val="21"/>
      <w:szCs w:val="21"/>
      <w:lang w:val="nl-NL"/>
    </w:rPr>
  </w:style>
  <w:style w:type="character" w:customStyle="1" w:styleId="PlainTextChar">
    <w:name w:val="Plain Text Char"/>
    <w:basedOn w:val="DefaultParagraphFont"/>
    <w:link w:val="PlainText"/>
    <w:uiPriority w:val="99"/>
    <w:rsid w:val="00B52D5B"/>
    <w:rPr>
      <w:rFonts w:ascii="Consolas" w:eastAsia="Calibri" w:hAnsi="Consolas" w:cs="Times New Roman"/>
      <w:sz w:val="21"/>
      <w:szCs w:val="21"/>
      <w:lang w:val="nl-NL"/>
    </w:rPr>
  </w:style>
  <w:style w:type="character" w:styleId="Hyperlink">
    <w:name w:val="Hyperlink"/>
    <w:basedOn w:val="DefaultParagraphFont"/>
    <w:uiPriority w:val="99"/>
    <w:unhideWhenUsed/>
    <w:rsid w:val="00113DA5"/>
    <w:rPr>
      <w:strike w:val="0"/>
      <w:dstrike w:val="0"/>
      <w:color w:val="3C63AF"/>
      <w:u w:val="none"/>
      <w:effect w:val="none"/>
    </w:rPr>
  </w:style>
  <w:style w:type="paragraph" w:styleId="NormalWeb">
    <w:name w:val="Normal (Web)"/>
    <w:basedOn w:val="Normal"/>
    <w:uiPriority w:val="99"/>
    <w:unhideWhenUsed/>
    <w:rsid w:val="00113DA5"/>
    <w:pPr>
      <w:spacing w:before="100" w:beforeAutospacing="1" w:after="240" w:line="240" w:lineRule="auto"/>
    </w:pPr>
    <w:rPr>
      <w:rFonts w:ascii="Times New Roman" w:eastAsia="Times New Roman" w:hAnsi="Times New Roman" w:cs="Times New Roman"/>
      <w:sz w:val="24"/>
      <w:szCs w:val="24"/>
      <w:lang w:val="en-AU" w:eastAsia="en-AU"/>
    </w:rPr>
  </w:style>
  <w:style w:type="character" w:styleId="Emphasis">
    <w:name w:val="Emphasis"/>
    <w:basedOn w:val="DefaultParagraphFont"/>
    <w:uiPriority w:val="20"/>
    <w:qFormat/>
    <w:rsid w:val="00113DA5"/>
    <w:rPr>
      <w:i/>
      <w:iCs/>
    </w:rPr>
  </w:style>
  <w:style w:type="character" w:customStyle="1" w:styleId="rwrro4">
    <w:name w:val="rwrro4"/>
    <w:basedOn w:val="DefaultParagraphFont"/>
    <w:rsid w:val="00616614"/>
    <w:rPr>
      <w:strike w:val="0"/>
      <w:dstrike w:val="0"/>
      <w:color w:val="408CD9"/>
      <w:u w:val="none"/>
      <w:effect w:val="none"/>
    </w:rPr>
  </w:style>
  <w:style w:type="table" w:styleId="TableGrid">
    <w:name w:val="Table Grid"/>
    <w:basedOn w:val="TableNormal"/>
    <w:uiPriority w:val="59"/>
    <w:rsid w:val="00307F7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FootnoteText">
    <w:name w:val="footnote text"/>
    <w:basedOn w:val="Normal"/>
    <w:link w:val="FootnoteTextChar"/>
    <w:uiPriority w:val="99"/>
    <w:semiHidden/>
    <w:unhideWhenUsed/>
    <w:rsid w:val="00C53752"/>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C53752"/>
    <w:rPr>
      <w:sz w:val="20"/>
      <w:szCs w:val="20"/>
    </w:rPr>
  </w:style>
  <w:style w:type="character" w:styleId="FootnoteReference">
    <w:name w:val="footnote reference"/>
    <w:basedOn w:val="DefaultParagraphFont"/>
    <w:uiPriority w:val="99"/>
    <w:semiHidden/>
    <w:unhideWhenUsed/>
    <w:rsid w:val="00C53752"/>
    <w:rPr>
      <w:vertAlign w:val="superscript"/>
    </w:rPr>
  </w:style>
  <w:style w:type="paragraph" w:customStyle="1" w:styleId="Default">
    <w:name w:val="Default"/>
    <w:rsid w:val="00772E99"/>
    <w:pPr>
      <w:autoSpaceDE w:val="0"/>
      <w:autoSpaceDN w:val="0"/>
      <w:adjustRightInd w:val="0"/>
      <w:spacing w:after="0" w:line="240" w:lineRule="auto"/>
    </w:pPr>
    <w:rPr>
      <w:rFonts w:ascii="Calibri" w:hAnsi="Calibri" w:cs="Calibri"/>
      <w:color w:val="000000"/>
      <w:sz w:val="24"/>
      <w:szCs w:val="24"/>
      <w:lang w:val="en-AU"/>
    </w:rPr>
  </w:style>
  <w:style w:type="character" w:styleId="FollowedHyperlink">
    <w:name w:val="FollowedHyperlink"/>
    <w:basedOn w:val="DefaultParagraphFont"/>
    <w:uiPriority w:val="99"/>
    <w:semiHidden/>
    <w:unhideWhenUsed/>
    <w:rsid w:val="00C817E1"/>
    <w:rPr>
      <w:color w:val="800080" w:themeColor="followedHyperlink"/>
      <w:u w:val="single"/>
    </w:rPr>
  </w:style>
  <w:style w:type="paragraph" w:customStyle="1" w:styleId="EndNoteBibliographyTitle">
    <w:name w:val="EndNote Bibliography Title"/>
    <w:basedOn w:val="Normal"/>
    <w:link w:val="EndNoteBibliographyTitleChar"/>
    <w:rsid w:val="009067CC"/>
    <w:pPr>
      <w:spacing w:after="0"/>
      <w:jc w:val="center"/>
    </w:pPr>
    <w:rPr>
      <w:rFonts w:ascii="Calibri" w:hAnsi="Calibri"/>
      <w:noProof/>
      <w:lang w:val="en-US"/>
    </w:rPr>
  </w:style>
  <w:style w:type="character" w:customStyle="1" w:styleId="EndNoteBibliographyTitleChar">
    <w:name w:val="EndNote Bibliography Title Char"/>
    <w:basedOn w:val="DefaultParagraphFont"/>
    <w:link w:val="EndNoteBibliographyTitle"/>
    <w:rsid w:val="009067CC"/>
    <w:rPr>
      <w:rFonts w:ascii="Calibri" w:hAnsi="Calibri"/>
      <w:noProof/>
      <w:lang w:val="en-US"/>
    </w:rPr>
  </w:style>
  <w:style w:type="paragraph" w:customStyle="1" w:styleId="EndNoteBibliography">
    <w:name w:val="EndNote Bibliography"/>
    <w:basedOn w:val="Normal"/>
    <w:link w:val="EndNoteBibliographyChar"/>
    <w:rsid w:val="009067CC"/>
    <w:pPr>
      <w:spacing w:line="240" w:lineRule="auto"/>
    </w:pPr>
    <w:rPr>
      <w:rFonts w:ascii="Calibri" w:hAnsi="Calibri"/>
      <w:noProof/>
      <w:lang w:val="en-US"/>
    </w:rPr>
  </w:style>
  <w:style w:type="character" w:customStyle="1" w:styleId="EndNoteBibliographyChar">
    <w:name w:val="EndNote Bibliography Char"/>
    <w:basedOn w:val="DefaultParagraphFont"/>
    <w:link w:val="EndNoteBibliography"/>
    <w:rsid w:val="009067CC"/>
    <w:rPr>
      <w:rFonts w:ascii="Calibri" w:hAnsi="Calibri"/>
      <w:noProof/>
      <w:lang w:val="en-US"/>
    </w:rPr>
  </w:style>
  <w:style w:type="paragraph" w:styleId="Revision">
    <w:name w:val="Revision"/>
    <w:hidden/>
    <w:uiPriority w:val="99"/>
    <w:semiHidden/>
    <w:rsid w:val="00DB3565"/>
    <w:pPr>
      <w:spacing w:after="0" w:line="240" w:lineRule="auto"/>
    </w:pPr>
  </w:style>
  <w:style w:type="paragraph" w:styleId="BodyText">
    <w:name w:val="Body Text"/>
    <w:basedOn w:val="Normal"/>
    <w:link w:val="BodyTextChar"/>
    <w:uiPriority w:val="99"/>
    <w:unhideWhenUsed/>
    <w:rsid w:val="00F42378"/>
    <w:pPr>
      <w:spacing w:after="120" w:line="480" w:lineRule="auto"/>
    </w:pPr>
    <w:rPr>
      <w:lang w:val="en-GB"/>
    </w:rPr>
  </w:style>
  <w:style w:type="character" w:customStyle="1" w:styleId="BodyTextChar">
    <w:name w:val="Body Text Char"/>
    <w:basedOn w:val="DefaultParagraphFont"/>
    <w:link w:val="BodyText"/>
    <w:uiPriority w:val="99"/>
    <w:rsid w:val="00F42378"/>
    <w:rPr>
      <w:lang w:val="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nb-N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690F33"/>
    <w:pPr>
      <w:keepNext/>
      <w:keepLines/>
      <w:numPr>
        <w:numId w:val="1"/>
      </w:numPr>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5F4887"/>
    <w:pPr>
      <w:keepNext/>
      <w:keepLines/>
      <w:numPr>
        <w:ilvl w:val="1"/>
        <w:numId w:val="1"/>
      </w:numPr>
      <w:spacing w:before="360" w:after="160"/>
      <w:ind w:left="578" w:hanging="578"/>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EE00E2"/>
    <w:pPr>
      <w:keepNext/>
      <w:keepLines/>
      <w:numPr>
        <w:ilvl w:val="2"/>
        <w:numId w:val="1"/>
      </w:numPr>
      <w:spacing w:before="120" w:after="12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106512"/>
    <w:pPr>
      <w:keepNext/>
      <w:keepLines/>
      <w:numPr>
        <w:ilvl w:val="3"/>
        <w:numId w:val="1"/>
      </w:numPr>
      <w:spacing w:before="120" w:after="120"/>
      <w:ind w:left="862" w:hanging="862"/>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C0224E"/>
    <w:pPr>
      <w:keepNext/>
      <w:keepLines/>
      <w:numPr>
        <w:ilvl w:val="4"/>
        <w:numId w:val="1"/>
      </w:numPr>
      <w:spacing w:before="200" w:after="120"/>
      <w:ind w:left="1009" w:hanging="1009"/>
      <w:outlineLvl w:val="4"/>
    </w:pPr>
    <w:rPr>
      <w:rFonts w:asciiTheme="majorHAnsi" w:eastAsiaTheme="majorEastAsia" w:hAnsiTheme="majorHAnsi" w:cstheme="majorBidi"/>
      <w:b/>
      <w:i/>
      <w:color w:val="365F91" w:themeColor="accent1" w:themeShade="BF"/>
    </w:rPr>
  </w:style>
  <w:style w:type="paragraph" w:styleId="Heading6">
    <w:name w:val="heading 6"/>
    <w:basedOn w:val="Normal"/>
    <w:next w:val="Normal"/>
    <w:link w:val="Heading6Char"/>
    <w:uiPriority w:val="9"/>
    <w:unhideWhenUsed/>
    <w:qFormat/>
    <w:rsid w:val="008365B6"/>
    <w:pPr>
      <w:keepNext/>
      <w:keepLines/>
      <w:numPr>
        <w:ilvl w:val="5"/>
        <w:numId w:val="1"/>
      </w:numPr>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8365B6"/>
    <w:pPr>
      <w:keepNext/>
      <w:keepLines/>
      <w:numPr>
        <w:ilvl w:val="6"/>
        <w:numId w:val="1"/>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8365B6"/>
    <w:pPr>
      <w:keepNext/>
      <w:keepLines/>
      <w:numPr>
        <w:ilvl w:val="7"/>
        <w:numId w:val="1"/>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8365B6"/>
    <w:pPr>
      <w:keepNext/>
      <w:keepLines/>
      <w:numPr>
        <w:ilvl w:val="8"/>
        <w:numId w:val="1"/>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90F33"/>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5F4887"/>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EE00E2"/>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106512"/>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C0224E"/>
    <w:rPr>
      <w:rFonts w:asciiTheme="majorHAnsi" w:eastAsiaTheme="majorEastAsia" w:hAnsiTheme="majorHAnsi" w:cstheme="majorBidi"/>
      <w:b/>
      <w:i/>
      <w:color w:val="365F91" w:themeColor="accent1" w:themeShade="BF"/>
    </w:rPr>
  </w:style>
  <w:style w:type="character" w:customStyle="1" w:styleId="Heading6Char">
    <w:name w:val="Heading 6 Char"/>
    <w:basedOn w:val="DefaultParagraphFont"/>
    <w:link w:val="Heading6"/>
    <w:uiPriority w:val="9"/>
    <w:rsid w:val="008365B6"/>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8365B6"/>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8365B6"/>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8365B6"/>
    <w:rPr>
      <w:rFonts w:asciiTheme="majorHAnsi" w:eastAsiaTheme="majorEastAsia" w:hAnsiTheme="majorHAnsi" w:cstheme="majorBidi"/>
      <w:i/>
      <w:iCs/>
      <w:color w:val="404040" w:themeColor="text1" w:themeTint="BF"/>
      <w:sz w:val="20"/>
      <w:szCs w:val="20"/>
    </w:rPr>
  </w:style>
  <w:style w:type="paragraph" w:styleId="Header">
    <w:name w:val="header"/>
    <w:basedOn w:val="Normal"/>
    <w:link w:val="HeaderChar"/>
    <w:uiPriority w:val="99"/>
    <w:unhideWhenUsed/>
    <w:rsid w:val="006C745E"/>
    <w:pPr>
      <w:tabs>
        <w:tab w:val="center" w:pos="4536"/>
        <w:tab w:val="right" w:pos="9072"/>
      </w:tabs>
      <w:spacing w:after="0" w:line="240" w:lineRule="auto"/>
    </w:pPr>
  </w:style>
  <w:style w:type="character" w:customStyle="1" w:styleId="HeaderChar">
    <w:name w:val="Header Char"/>
    <w:basedOn w:val="DefaultParagraphFont"/>
    <w:link w:val="Header"/>
    <w:uiPriority w:val="99"/>
    <w:rsid w:val="006C745E"/>
  </w:style>
  <w:style w:type="paragraph" w:styleId="Footer">
    <w:name w:val="footer"/>
    <w:basedOn w:val="Normal"/>
    <w:link w:val="FooterChar"/>
    <w:uiPriority w:val="99"/>
    <w:unhideWhenUsed/>
    <w:rsid w:val="006C745E"/>
    <w:pPr>
      <w:tabs>
        <w:tab w:val="center" w:pos="4536"/>
        <w:tab w:val="right" w:pos="9072"/>
      </w:tabs>
      <w:spacing w:after="0" w:line="240" w:lineRule="auto"/>
    </w:pPr>
  </w:style>
  <w:style w:type="character" w:customStyle="1" w:styleId="FooterChar">
    <w:name w:val="Footer Char"/>
    <w:basedOn w:val="DefaultParagraphFont"/>
    <w:link w:val="Footer"/>
    <w:uiPriority w:val="99"/>
    <w:rsid w:val="006C745E"/>
  </w:style>
  <w:style w:type="paragraph" w:styleId="ListParagraph">
    <w:name w:val="List Paragraph"/>
    <w:basedOn w:val="Normal"/>
    <w:link w:val="ListParagraphChar"/>
    <w:uiPriority w:val="34"/>
    <w:qFormat/>
    <w:rsid w:val="00CA7432"/>
    <w:pPr>
      <w:ind w:left="720"/>
      <w:contextualSpacing/>
    </w:pPr>
  </w:style>
  <w:style w:type="paragraph" w:styleId="BalloonText">
    <w:name w:val="Balloon Text"/>
    <w:basedOn w:val="Normal"/>
    <w:link w:val="BalloonTextChar"/>
    <w:uiPriority w:val="99"/>
    <w:semiHidden/>
    <w:unhideWhenUsed/>
    <w:rsid w:val="004929C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929C8"/>
    <w:rPr>
      <w:rFonts w:ascii="Tahoma" w:hAnsi="Tahoma" w:cs="Tahoma"/>
      <w:sz w:val="16"/>
      <w:szCs w:val="16"/>
    </w:rPr>
  </w:style>
  <w:style w:type="character" w:styleId="LineNumber">
    <w:name w:val="line number"/>
    <w:basedOn w:val="DefaultParagraphFont"/>
    <w:uiPriority w:val="99"/>
    <w:semiHidden/>
    <w:unhideWhenUsed/>
    <w:rsid w:val="00067207"/>
  </w:style>
  <w:style w:type="character" w:styleId="CommentReference">
    <w:name w:val="annotation reference"/>
    <w:basedOn w:val="DefaultParagraphFont"/>
    <w:uiPriority w:val="99"/>
    <w:semiHidden/>
    <w:unhideWhenUsed/>
    <w:rsid w:val="00703595"/>
    <w:rPr>
      <w:sz w:val="16"/>
      <w:szCs w:val="16"/>
    </w:rPr>
  </w:style>
  <w:style w:type="paragraph" w:styleId="CommentText">
    <w:name w:val="annotation text"/>
    <w:basedOn w:val="Normal"/>
    <w:link w:val="CommentTextChar"/>
    <w:uiPriority w:val="99"/>
    <w:unhideWhenUsed/>
    <w:rsid w:val="00703595"/>
    <w:pPr>
      <w:spacing w:line="240" w:lineRule="auto"/>
    </w:pPr>
    <w:rPr>
      <w:sz w:val="20"/>
      <w:szCs w:val="20"/>
    </w:rPr>
  </w:style>
  <w:style w:type="character" w:customStyle="1" w:styleId="CommentTextChar">
    <w:name w:val="Comment Text Char"/>
    <w:basedOn w:val="DefaultParagraphFont"/>
    <w:link w:val="CommentText"/>
    <w:uiPriority w:val="99"/>
    <w:rsid w:val="00703595"/>
    <w:rPr>
      <w:sz w:val="20"/>
      <w:szCs w:val="20"/>
    </w:rPr>
  </w:style>
  <w:style w:type="paragraph" w:styleId="CommentSubject">
    <w:name w:val="annotation subject"/>
    <w:basedOn w:val="CommentText"/>
    <w:next w:val="CommentText"/>
    <w:link w:val="CommentSubjectChar"/>
    <w:uiPriority w:val="99"/>
    <w:semiHidden/>
    <w:unhideWhenUsed/>
    <w:rsid w:val="00703595"/>
    <w:rPr>
      <w:b/>
      <w:bCs/>
    </w:rPr>
  </w:style>
  <w:style w:type="character" w:customStyle="1" w:styleId="CommentSubjectChar">
    <w:name w:val="Comment Subject Char"/>
    <w:basedOn w:val="CommentTextChar"/>
    <w:link w:val="CommentSubject"/>
    <w:uiPriority w:val="99"/>
    <w:semiHidden/>
    <w:rsid w:val="00703595"/>
    <w:rPr>
      <w:b/>
      <w:bCs/>
      <w:sz w:val="20"/>
      <w:szCs w:val="20"/>
    </w:rPr>
  </w:style>
  <w:style w:type="paragraph" w:customStyle="1" w:styleId="Img">
    <w:name w:val="Img"/>
    <w:basedOn w:val="Normal"/>
    <w:rsid w:val="009B41BB"/>
    <w:pPr>
      <w:shd w:val="solid" w:color="FFFFFF" w:fill="auto"/>
      <w:spacing w:after="0" w:line="240" w:lineRule="auto"/>
    </w:pPr>
    <w:rPr>
      <w:rFonts w:ascii="Times New Roman" w:eastAsia="Times New Roman" w:hAnsi="Times New Roman" w:cs="Times New Roman"/>
      <w:color w:val="000000"/>
      <w:sz w:val="24"/>
      <w:szCs w:val="24"/>
      <w:shd w:val="solid" w:color="FFFFFF" w:fill="auto"/>
      <w:lang w:val="ru-RU" w:eastAsia="ru-RU"/>
    </w:rPr>
  </w:style>
  <w:style w:type="character" w:customStyle="1" w:styleId="ListParagraphChar">
    <w:name w:val="List Paragraph Char"/>
    <w:link w:val="ListParagraph"/>
    <w:uiPriority w:val="34"/>
    <w:rsid w:val="005E0D12"/>
  </w:style>
  <w:style w:type="character" w:customStyle="1" w:styleId="st1">
    <w:name w:val="st1"/>
    <w:basedOn w:val="DefaultParagraphFont"/>
    <w:rsid w:val="00885483"/>
  </w:style>
  <w:style w:type="character" w:styleId="Strong">
    <w:name w:val="Strong"/>
    <w:basedOn w:val="DefaultParagraphFont"/>
    <w:uiPriority w:val="22"/>
    <w:qFormat/>
    <w:rsid w:val="005E1C02"/>
    <w:rPr>
      <w:b/>
      <w:bCs/>
    </w:rPr>
  </w:style>
  <w:style w:type="paragraph" w:styleId="PlainText">
    <w:name w:val="Plain Text"/>
    <w:basedOn w:val="Normal"/>
    <w:link w:val="PlainTextChar"/>
    <w:uiPriority w:val="99"/>
    <w:unhideWhenUsed/>
    <w:rsid w:val="00B52D5B"/>
    <w:pPr>
      <w:spacing w:after="0" w:line="240" w:lineRule="auto"/>
    </w:pPr>
    <w:rPr>
      <w:rFonts w:ascii="Consolas" w:eastAsia="Calibri" w:hAnsi="Consolas" w:cs="Times New Roman"/>
      <w:sz w:val="21"/>
      <w:szCs w:val="21"/>
      <w:lang w:val="nl-NL"/>
    </w:rPr>
  </w:style>
  <w:style w:type="character" w:customStyle="1" w:styleId="PlainTextChar">
    <w:name w:val="Plain Text Char"/>
    <w:basedOn w:val="DefaultParagraphFont"/>
    <w:link w:val="PlainText"/>
    <w:uiPriority w:val="99"/>
    <w:rsid w:val="00B52D5B"/>
    <w:rPr>
      <w:rFonts w:ascii="Consolas" w:eastAsia="Calibri" w:hAnsi="Consolas" w:cs="Times New Roman"/>
      <w:sz w:val="21"/>
      <w:szCs w:val="21"/>
      <w:lang w:val="nl-NL"/>
    </w:rPr>
  </w:style>
  <w:style w:type="character" w:styleId="Hyperlink">
    <w:name w:val="Hyperlink"/>
    <w:basedOn w:val="DefaultParagraphFont"/>
    <w:uiPriority w:val="99"/>
    <w:unhideWhenUsed/>
    <w:rsid w:val="00113DA5"/>
    <w:rPr>
      <w:strike w:val="0"/>
      <w:dstrike w:val="0"/>
      <w:color w:val="3C63AF"/>
      <w:u w:val="none"/>
      <w:effect w:val="none"/>
    </w:rPr>
  </w:style>
  <w:style w:type="paragraph" w:styleId="NormalWeb">
    <w:name w:val="Normal (Web)"/>
    <w:basedOn w:val="Normal"/>
    <w:uiPriority w:val="99"/>
    <w:unhideWhenUsed/>
    <w:rsid w:val="00113DA5"/>
    <w:pPr>
      <w:spacing w:before="100" w:beforeAutospacing="1" w:after="240" w:line="240" w:lineRule="auto"/>
    </w:pPr>
    <w:rPr>
      <w:rFonts w:ascii="Times New Roman" w:eastAsia="Times New Roman" w:hAnsi="Times New Roman" w:cs="Times New Roman"/>
      <w:sz w:val="24"/>
      <w:szCs w:val="24"/>
      <w:lang w:val="en-AU" w:eastAsia="en-AU"/>
    </w:rPr>
  </w:style>
  <w:style w:type="character" w:styleId="Emphasis">
    <w:name w:val="Emphasis"/>
    <w:basedOn w:val="DefaultParagraphFont"/>
    <w:uiPriority w:val="20"/>
    <w:qFormat/>
    <w:rsid w:val="00113DA5"/>
    <w:rPr>
      <w:i/>
      <w:iCs/>
    </w:rPr>
  </w:style>
  <w:style w:type="character" w:customStyle="1" w:styleId="rwrro4">
    <w:name w:val="rwrro4"/>
    <w:basedOn w:val="DefaultParagraphFont"/>
    <w:rsid w:val="00616614"/>
    <w:rPr>
      <w:strike w:val="0"/>
      <w:dstrike w:val="0"/>
      <w:color w:val="408CD9"/>
      <w:u w:val="none"/>
      <w:effect w:val="none"/>
    </w:rPr>
  </w:style>
  <w:style w:type="table" w:styleId="TableGrid">
    <w:name w:val="Table Grid"/>
    <w:basedOn w:val="TableNormal"/>
    <w:uiPriority w:val="59"/>
    <w:rsid w:val="00307F7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FootnoteText">
    <w:name w:val="footnote text"/>
    <w:basedOn w:val="Normal"/>
    <w:link w:val="FootnoteTextChar"/>
    <w:uiPriority w:val="99"/>
    <w:semiHidden/>
    <w:unhideWhenUsed/>
    <w:rsid w:val="00C53752"/>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C53752"/>
    <w:rPr>
      <w:sz w:val="20"/>
      <w:szCs w:val="20"/>
    </w:rPr>
  </w:style>
  <w:style w:type="character" w:styleId="FootnoteReference">
    <w:name w:val="footnote reference"/>
    <w:basedOn w:val="DefaultParagraphFont"/>
    <w:uiPriority w:val="99"/>
    <w:semiHidden/>
    <w:unhideWhenUsed/>
    <w:rsid w:val="00C53752"/>
    <w:rPr>
      <w:vertAlign w:val="superscript"/>
    </w:rPr>
  </w:style>
  <w:style w:type="paragraph" w:customStyle="1" w:styleId="Default">
    <w:name w:val="Default"/>
    <w:rsid w:val="00772E99"/>
    <w:pPr>
      <w:autoSpaceDE w:val="0"/>
      <w:autoSpaceDN w:val="0"/>
      <w:adjustRightInd w:val="0"/>
      <w:spacing w:after="0" w:line="240" w:lineRule="auto"/>
    </w:pPr>
    <w:rPr>
      <w:rFonts w:ascii="Calibri" w:hAnsi="Calibri" w:cs="Calibri"/>
      <w:color w:val="000000"/>
      <w:sz w:val="24"/>
      <w:szCs w:val="24"/>
      <w:lang w:val="en-AU"/>
    </w:rPr>
  </w:style>
  <w:style w:type="character" w:styleId="FollowedHyperlink">
    <w:name w:val="FollowedHyperlink"/>
    <w:basedOn w:val="DefaultParagraphFont"/>
    <w:uiPriority w:val="99"/>
    <w:semiHidden/>
    <w:unhideWhenUsed/>
    <w:rsid w:val="00C817E1"/>
    <w:rPr>
      <w:color w:val="800080" w:themeColor="followedHyperlink"/>
      <w:u w:val="single"/>
    </w:rPr>
  </w:style>
  <w:style w:type="paragraph" w:customStyle="1" w:styleId="EndNoteBibliographyTitle">
    <w:name w:val="EndNote Bibliography Title"/>
    <w:basedOn w:val="Normal"/>
    <w:link w:val="EndNoteBibliographyTitleChar"/>
    <w:rsid w:val="009067CC"/>
    <w:pPr>
      <w:spacing w:after="0"/>
      <w:jc w:val="center"/>
    </w:pPr>
    <w:rPr>
      <w:rFonts w:ascii="Calibri" w:hAnsi="Calibri"/>
      <w:noProof/>
      <w:lang w:val="en-US"/>
    </w:rPr>
  </w:style>
  <w:style w:type="character" w:customStyle="1" w:styleId="EndNoteBibliographyTitleChar">
    <w:name w:val="EndNote Bibliography Title Char"/>
    <w:basedOn w:val="DefaultParagraphFont"/>
    <w:link w:val="EndNoteBibliographyTitle"/>
    <w:rsid w:val="009067CC"/>
    <w:rPr>
      <w:rFonts w:ascii="Calibri" w:hAnsi="Calibri"/>
      <w:noProof/>
      <w:lang w:val="en-US"/>
    </w:rPr>
  </w:style>
  <w:style w:type="paragraph" w:customStyle="1" w:styleId="EndNoteBibliography">
    <w:name w:val="EndNote Bibliography"/>
    <w:basedOn w:val="Normal"/>
    <w:link w:val="EndNoteBibliographyChar"/>
    <w:rsid w:val="009067CC"/>
    <w:pPr>
      <w:spacing w:line="240" w:lineRule="auto"/>
    </w:pPr>
    <w:rPr>
      <w:rFonts w:ascii="Calibri" w:hAnsi="Calibri"/>
      <w:noProof/>
      <w:lang w:val="en-US"/>
    </w:rPr>
  </w:style>
  <w:style w:type="character" w:customStyle="1" w:styleId="EndNoteBibliographyChar">
    <w:name w:val="EndNote Bibliography Char"/>
    <w:basedOn w:val="DefaultParagraphFont"/>
    <w:link w:val="EndNoteBibliography"/>
    <w:rsid w:val="009067CC"/>
    <w:rPr>
      <w:rFonts w:ascii="Calibri" w:hAnsi="Calibri"/>
      <w:noProof/>
      <w:lang w:val="en-US"/>
    </w:rPr>
  </w:style>
  <w:style w:type="paragraph" w:styleId="Revision">
    <w:name w:val="Revision"/>
    <w:hidden/>
    <w:uiPriority w:val="99"/>
    <w:semiHidden/>
    <w:rsid w:val="00DB3565"/>
    <w:pPr>
      <w:spacing w:after="0" w:line="240" w:lineRule="auto"/>
    </w:pPr>
  </w:style>
  <w:style w:type="paragraph" w:styleId="BodyText">
    <w:name w:val="Body Text"/>
    <w:basedOn w:val="Normal"/>
    <w:link w:val="BodyTextChar"/>
    <w:uiPriority w:val="99"/>
    <w:unhideWhenUsed/>
    <w:rsid w:val="00F42378"/>
    <w:pPr>
      <w:spacing w:after="120" w:line="480" w:lineRule="auto"/>
    </w:pPr>
    <w:rPr>
      <w:lang w:val="en-GB"/>
    </w:rPr>
  </w:style>
  <w:style w:type="character" w:customStyle="1" w:styleId="BodyTextChar">
    <w:name w:val="Body Text Char"/>
    <w:basedOn w:val="DefaultParagraphFont"/>
    <w:link w:val="BodyText"/>
    <w:uiPriority w:val="99"/>
    <w:rsid w:val="00F42378"/>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1533290">
      <w:bodyDiv w:val="1"/>
      <w:marLeft w:val="0"/>
      <w:marRight w:val="0"/>
      <w:marTop w:val="0"/>
      <w:marBottom w:val="0"/>
      <w:divBdr>
        <w:top w:val="none" w:sz="0" w:space="0" w:color="auto"/>
        <w:left w:val="none" w:sz="0" w:space="0" w:color="auto"/>
        <w:bottom w:val="none" w:sz="0" w:space="0" w:color="auto"/>
        <w:right w:val="none" w:sz="0" w:space="0" w:color="auto"/>
      </w:divBdr>
    </w:div>
    <w:div w:id="123742389">
      <w:bodyDiv w:val="1"/>
      <w:marLeft w:val="0"/>
      <w:marRight w:val="0"/>
      <w:marTop w:val="0"/>
      <w:marBottom w:val="0"/>
      <w:divBdr>
        <w:top w:val="none" w:sz="0" w:space="0" w:color="auto"/>
        <w:left w:val="none" w:sz="0" w:space="0" w:color="auto"/>
        <w:bottom w:val="none" w:sz="0" w:space="0" w:color="auto"/>
        <w:right w:val="none" w:sz="0" w:space="0" w:color="auto"/>
      </w:divBdr>
    </w:div>
    <w:div w:id="169568950">
      <w:bodyDiv w:val="1"/>
      <w:marLeft w:val="0"/>
      <w:marRight w:val="0"/>
      <w:marTop w:val="0"/>
      <w:marBottom w:val="0"/>
      <w:divBdr>
        <w:top w:val="none" w:sz="0" w:space="0" w:color="auto"/>
        <w:left w:val="none" w:sz="0" w:space="0" w:color="auto"/>
        <w:bottom w:val="none" w:sz="0" w:space="0" w:color="auto"/>
        <w:right w:val="none" w:sz="0" w:space="0" w:color="auto"/>
      </w:divBdr>
    </w:div>
    <w:div w:id="232325816">
      <w:bodyDiv w:val="1"/>
      <w:marLeft w:val="0"/>
      <w:marRight w:val="0"/>
      <w:marTop w:val="0"/>
      <w:marBottom w:val="0"/>
      <w:divBdr>
        <w:top w:val="none" w:sz="0" w:space="0" w:color="auto"/>
        <w:left w:val="none" w:sz="0" w:space="0" w:color="auto"/>
        <w:bottom w:val="none" w:sz="0" w:space="0" w:color="auto"/>
        <w:right w:val="none" w:sz="0" w:space="0" w:color="auto"/>
      </w:divBdr>
      <w:divsChild>
        <w:div w:id="1821380079">
          <w:marLeft w:val="0"/>
          <w:marRight w:val="0"/>
          <w:marTop w:val="0"/>
          <w:marBottom w:val="0"/>
          <w:divBdr>
            <w:top w:val="none" w:sz="0" w:space="0" w:color="auto"/>
            <w:left w:val="none" w:sz="0" w:space="0" w:color="auto"/>
            <w:bottom w:val="none" w:sz="0" w:space="0" w:color="auto"/>
            <w:right w:val="none" w:sz="0" w:space="0" w:color="auto"/>
          </w:divBdr>
          <w:divsChild>
            <w:div w:id="464392209">
              <w:marLeft w:val="0"/>
              <w:marRight w:val="0"/>
              <w:marTop w:val="0"/>
              <w:marBottom w:val="0"/>
              <w:divBdr>
                <w:top w:val="none" w:sz="0" w:space="0" w:color="auto"/>
                <w:left w:val="none" w:sz="0" w:space="0" w:color="auto"/>
                <w:bottom w:val="none" w:sz="0" w:space="0" w:color="auto"/>
                <w:right w:val="none" w:sz="0" w:space="0" w:color="auto"/>
              </w:divBdr>
              <w:divsChild>
                <w:div w:id="1552838618">
                  <w:marLeft w:val="0"/>
                  <w:marRight w:val="0"/>
                  <w:marTop w:val="0"/>
                  <w:marBottom w:val="0"/>
                  <w:divBdr>
                    <w:top w:val="none" w:sz="0" w:space="0" w:color="auto"/>
                    <w:left w:val="none" w:sz="0" w:space="0" w:color="auto"/>
                    <w:bottom w:val="none" w:sz="0" w:space="0" w:color="auto"/>
                    <w:right w:val="none" w:sz="0" w:space="0" w:color="auto"/>
                  </w:divBdr>
                  <w:divsChild>
                    <w:div w:id="21300774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33009441">
      <w:bodyDiv w:val="1"/>
      <w:marLeft w:val="0"/>
      <w:marRight w:val="0"/>
      <w:marTop w:val="0"/>
      <w:marBottom w:val="0"/>
      <w:divBdr>
        <w:top w:val="none" w:sz="0" w:space="0" w:color="auto"/>
        <w:left w:val="none" w:sz="0" w:space="0" w:color="auto"/>
        <w:bottom w:val="none" w:sz="0" w:space="0" w:color="auto"/>
        <w:right w:val="none" w:sz="0" w:space="0" w:color="auto"/>
      </w:divBdr>
    </w:div>
    <w:div w:id="268583984">
      <w:bodyDiv w:val="1"/>
      <w:marLeft w:val="0"/>
      <w:marRight w:val="0"/>
      <w:marTop w:val="0"/>
      <w:marBottom w:val="0"/>
      <w:divBdr>
        <w:top w:val="none" w:sz="0" w:space="0" w:color="auto"/>
        <w:left w:val="none" w:sz="0" w:space="0" w:color="auto"/>
        <w:bottom w:val="none" w:sz="0" w:space="0" w:color="auto"/>
        <w:right w:val="none" w:sz="0" w:space="0" w:color="auto"/>
      </w:divBdr>
    </w:div>
    <w:div w:id="401218478">
      <w:bodyDiv w:val="1"/>
      <w:marLeft w:val="0"/>
      <w:marRight w:val="0"/>
      <w:marTop w:val="0"/>
      <w:marBottom w:val="0"/>
      <w:divBdr>
        <w:top w:val="none" w:sz="0" w:space="0" w:color="auto"/>
        <w:left w:val="none" w:sz="0" w:space="0" w:color="auto"/>
        <w:bottom w:val="none" w:sz="0" w:space="0" w:color="auto"/>
        <w:right w:val="none" w:sz="0" w:space="0" w:color="auto"/>
      </w:divBdr>
    </w:div>
    <w:div w:id="444689710">
      <w:bodyDiv w:val="1"/>
      <w:marLeft w:val="0"/>
      <w:marRight w:val="0"/>
      <w:marTop w:val="0"/>
      <w:marBottom w:val="0"/>
      <w:divBdr>
        <w:top w:val="none" w:sz="0" w:space="0" w:color="auto"/>
        <w:left w:val="none" w:sz="0" w:space="0" w:color="auto"/>
        <w:bottom w:val="none" w:sz="0" w:space="0" w:color="auto"/>
        <w:right w:val="none" w:sz="0" w:space="0" w:color="auto"/>
      </w:divBdr>
    </w:div>
    <w:div w:id="452099843">
      <w:bodyDiv w:val="1"/>
      <w:marLeft w:val="0"/>
      <w:marRight w:val="0"/>
      <w:marTop w:val="0"/>
      <w:marBottom w:val="0"/>
      <w:divBdr>
        <w:top w:val="none" w:sz="0" w:space="0" w:color="auto"/>
        <w:left w:val="none" w:sz="0" w:space="0" w:color="auto"/>
        <w:bottom w:val="none" w:sz="0" w:space="0" w:color="auto"/>
        <w:right w:val="none" w:sz="0" w:space="0" w:color="auto"/>
      </w:divBdr>
    </w:div>
    <w:div w:id="489755596">
      <w:bodyDiv w:val="1"/>
      <w:marLeft w:val="0"/>
      <w:marRight w:val="0"/>
      <w:marTop w:val="0"/>
      <w:marBottom w:val="0"/>
      <w:divBdr>
        <w:top w:val="none" w:sz="0" w:space="0" w:color="auto"/>
        <w:left w:val="none" w:sz="0" w:space="0" w:color="auto"/>
        <w:bottom w:val="none" w:sz="0" w:space="0" w:color="auto"/>
        <w:right w:val="none" w:sz="0" w:space="0" w:color="auto"/>
      </w:divBdr>
    </w:div>
    <w:div w:id="537664995">
      <w:bodyDiv w:val="1"/>
      <w:marLeft w:val="0"/>
      <w:marRight w:val="0"/>
      <w:marTop w:val="0"/>
      <w:marBottom w:val="0"/>
      <w:divBdr>
        <w:top w:val="none" w:sz="0" w:space="0" w:color="auto"/>
        <w:left w:val="none" w:sz="0" w:space="0" w:color="auto"/>
        <w:bottom w:val="none" w:sz="0" w:space="0" w:color="auto"/>
        <w:right w:val="none" w:sz="0" w:space="0" w:color="auto"/>
      </w:divBdr>
    </w:div>
    <w:div w:id="543054822">
      <w:bodyDiv w:val="1"/>
      <w:marLeft w:val="0"/>
      <w:marRight w:val="0"/>
      <w:marTop w:val="0"/>
      <w:marBottom w:val="0"/>
      <w:divBdr>
        <w:top w:val="none" w:sz="0" w:space="0" w:color="auto"/>
        <w:left w:val="none" w:sz="0" w:space="0" w:color="auto"/>
        <w:bottom w:val="none" w:sz="0" w:space="0" w:color="auto"/>
        <w:right w:val="none" w:sz="0" w:space="0" w:color="auto"/>
      </w:divBdr>
    </w:div>
    <w:div w:id="635791583">
      <w:bodyDiv w:val="1"/>
      <w:marLeft w:val="0"/>
      <w:marRight w:val="0"/>
      <w:marTop w:val="0"/>
      <w:marBottom w:val="0"/>
      <w:divBdr>
        <w:top w:val="none" w:sz="0" w:space="0" w:color="auto"/>
        <w:left w:val="none" w:sz="0" w:space="0" w:color="auto"/>
        <w:bottom w:val="none" w:sz="0" w:space="0" w:color="auto"/>
        <w:right w:val="none" w:sz="0" w:space="0" w:color="auto"/>
      </w:divBdr>
    </w:div>
    <w:div w:id="929236770">
      <w:bodyDiv w:val="1"/>
      <w:marLeft w:val="0"/>
      <w:marRight w:val="0"/>
      <w:marTop w:val="0"/>
      <w:marBottom w:val="0"/>
      <w:divBdr>
        <w:top w:val="none" w:sz="0" w:space="0" w:color="auto"/>
        <w:left w:val="none" w:sz="0" w:space="0" w:color="auto"/>
        <w:bottom w:val="none" w:sz="0" w:space="0" w:color="auto"/>
        <w:right w:val="none" w:sz="0" w:space="0" w:color="auto"/>
      </w:divBdr>
    </w:div>
    <w:div w:id="1028263721">
      <w:bodyDiv w:val="1"/>
      <w:marLeft w:val="0"/>
      <w:marRight w:val="0"/>
      <w:marTop w:val="0"/>
      <w:marBottom w:val="0"/>
      <w:divBdr>
        <w:top w:val="none" w:sz="0" w:space="0" w:color="auto"/>
        <w:left w:val="none" w:sz="0" w:space="0" w:color="auto"/>
        <w:bottom w:val="none" w:sz="0" w:space="0" w:color="auto"/>
        <w:right w:val="none" w:sz="0" w:space="0" w:color="auto"/>
      </w:divBdr>
    </w:div>
    <w:div w:id="1047411010">
      <w:bodyDiv w:val="1"/>
      <w:marLeft w:val="0"/>
      <w:marRight w:val="0"/>
      <w:marTop w:val="0"/>
      <w:marBottom w:val="0"/>
      <w:divBdr>
        <w:top w:val="none" w:sz="0" w:space="0" w:color="auto"/>
        <w:left w:val="none" w:sz="0" w:space="0" w:color="auto"/>
        <w:bottom w:val="none" w:sz="0" w:space="0" w:color="auto"/>
        <w:right w:val="none" w:sz="0" w:space="0" w:color="auto"/>
      </w:divBdr>
    </w:div>
    <w:div w:id="1162619314">
      <w:bodyDiv w:val="1"/>
      <w:marLeft w:val="0"/>
      <w:marRight w:val="0"/>
      <w:marTop w:val="0"/>
      <w:marBottom w:val="0"/>
      <w:divBdr>
        <w:top w:val="none" w:sz="0" w:space="0" w:color="auto"/>
        <w:left w:val="none" w:sz="0" w:space="0" w:color="auto"/>
        <w:bottom w:val="none" w:sz="0" w:space="0" w:color="auto"/>
        <w:right w:val="none" w:sz="0" w:space="0" w:color="auto"/>
      </w:divBdr>
    </w:div>
    <w:div w:id="1224871735">
      <w:bodyDiv w:val="1"/>
      <w:marLeft w:val="0"/>
      <w:marRight w:val="0"/>
      <w:marTop w:val="0"/>
      <w:marBottom w:val="0"/>
      <w:divBdr>
        <w:top w:val="none" w:sz="0" w:space="0" w:color="auto"/>
        <w:left w:val="none" w:sz="0" w:space="0" w:color="auto"/>
        <w:bottom w:val="none" w:sz="0" w:space="0" w:color="auto"/>
        <w:right w:val="none" w:sz="0" w:space="0" w:color="auto"/>
      </w:divBdr>
    </w:div>
    <w:div w:id="1264649919">
      <w:bodyDiv w:val="1"/>
      <w:marLeft w:val="0"/>
      <w:marRight w:val="0"/>
      <w:marTop w:val="0"/>
      <w:marBottom w:val="0"/>
      <w:divBdr>
        <w:top w:val="none" w:sz="0" w:space="0" w:color="auto"/>
        <w:left w:val="none" w:sz="0" w:space="0" w:color="auto"/>
        <w:bottom w:val="none" w:sz="0" w:space="0" w:color="auto"/>
        <w:right w:val="none" w:sz="0" w:space="0" w:color="auto"/>
      </w:divBdr>
    </w:div>
    <w:div w:id="1453555702">
      <w:bodyDiv w:val="1"/>
      <w:marLeft w:val="0"/>
      <w:marRight w:val="0"/>
      <w:marTop w:val="0"/>
      <w:marBottom w:val="0"/>
      <w:divBdr>
        <w:top w:val="none" w:sz="0" w:space="0" w:color="auto"/>
        <w:left w:val="none" w:sz="0" w:space="0" w:color="auto"/>
        <w:bottom w:val="none" w:sz="0" w:space="0" w:color="auto"/>
        <w:right w:val="none" w:sz="0" w:space="0" w:color="auto"/>
      </w:divBdr>
    </w:div>
    <w:div w:id="1562986800">
      <w:bodyDiv w:val="1"/>
      <w:marLeft w:val="0"/>
      <w:marRight w:val="0"/>
      <w:marTop w:val="0"/>
      <w:marBottom w:val="0"/>
      <w:divBdr>
        <w:top w:val="none" w:sz="0" w:space="0" w:color="auto"/>
        <w:left w:val="none" w:sz="0" w:space="0" w:color="auto"/>
        <w:bottom w:val="none" w:sz="0" w:space="0" w:color="auto"/>
        <w:right w:val="none" w:sz="0" w:space="0" w:color="auto"/>
      </w:divBdr>
    </w:div>
    <w:div w:id="1587958563">
      <w:bodyDiv w:val="1"/>
      <w:marLeft w:val="0"/>
      <w:marRight w:val="0"/>
      <w:marTop w:val="0"/>
      <w:marBottom w:val="0"/>
      <w:divBdr>
        <w:top w:val="none" w:sz="0" w:space="0" w:color="auto"/>
        <w:left w:val="none" w:sz="0" w:space="0" w:color="auto"/>
        <w:bottom w:val="none" w:sz="0" w:space="0" w:color="auto"/>
        <w:right w:val="none" w:sz="0" w:space="0" w:color="auto"/>
      </w:divBdr>
    </w:div>
    <w:div w:id="1646082536">
      <w:bodyDiv w:val="1"/>
      <w:marLeft w:val="0"/>
      <w:marRight w:val="0"/>
      <w:marTop w:val="0"/>
      <w:marBottom w:val="0"/>
      <w:divBdr>
        <w:top w:val="none" w:sz="0" w:space="0" w:color="auto"/>
        <w:left w:val="none" w:sz="0" w:space="0" w:color="auto"/>
        <w:bottom w:val="none" w:sz="0" w:space="0" w:color="auto"/>
        <w:right w:val="none" w:sz="0" w:space="0" w:color="auto"/>
      </w:divBdr>
    </w:div>
    <w:div w:id="1647735119">
      <w:bodyDiv w:val="1"/>
      <w:marLeft w:val="0"/>
      <w:marRight w:val="0"/>
      <w:marTop w:val="0"/>
      <w:marBottom w:val="0"/>
      <w:divBdr>
        <w:top w:val="none" w:sz="0" w:space="0" w:color="auto"/>
        <w:left w:val="none" w:sz="0" w:space="0" w:color="auto"/>
        <w:bottom w:val="none" w:sz="0" w:space="0" w:color="auto"/>
        <w:right w:val="none" w:sz="0" w:space="0" w:color="auto"/>
      </w:divBdr>
    </w:div>
    <w:div w:id="1691831382">
      <w:bodyDiv w:val="1"/>
      <w:marLeft w:val="0"/>
      <w:marRight w:val="0"/>
      <w:marTop w:val="0"/>
      <w:marBottom w:val="0"/>
      <w:divBdr>
        <w:top w:val="none" w:sz="0" w:space="0" w:color="auto"/>
        <w:left w:val="none" w:sz="0" w:space="0" w:color="auto"/>
        <w:bottom w:val="none" w:sz="0" w:space="0" w:color="auto"/>
        <w:right w:val="none" w:sz="0" w:space="0" w:color="auto"/>
      </w:divBdr>
    </w:div>
    <w:div w:id="1764910608">
      <w:bodyDiv w:val="1"/>
      <w:marLeft w:val="0"/>
      <w:marRight w:val="0"/>
      <w:marTop w:val="0"/>
      <w:marBottom w:val="0"/>
      <w:divBdr>
        <w:top w:val="none" w:sz="0" w:space="0" w:color="auto"/>
        <w:left w:val="none" w:sz="0" w:space="0" w:color="auto"/>
        <w:bottom w:val="none" w:sz="0" w:space="0" w:color="auto"/>
        <w:right w:val="none" w:sz="0" w:space="0" w:color="auto"/>
      </w:divBdr>
      <w:divsChild>
        <w:div w:id="220139857">
          <w:marLeft w:val="547"/>
          <w:marRight w:val="0"/>
          <w:marTop w:val="0"/>
          <w:marBottom w:val="0"/>
          <w:divBdr>
            <w:top w:val="none" w:sz="0" w:space="0" w:color="auto"/>
            <w:left w:val="none" w:sz="0" w:space="0" w:color="auto"/>
            <w:bottom w:val="none" w:sz="0" w:space="0" w:color="auto"/>
            <w:right w:val="none" w:sz="0" w:space="0" w:color="auto"/>
          </w:divBdr>
        </w:div>
        <w:div w:id="724333956">
          <w:marLeft w:val="547"/>
          <w:marRight w:val="0"/>
          <w:marTop w:val="0"/>
          <w:marBottom w:val="0"/>
          <w:divBdr>
            <w:top w:val="none" w:sz="0" w:space="0" w:color="auto"/>
            <w:left w:val="none" w:sz="0" w:space="0" w:color="auto"/>
            <w:bottom w:val="none" w:sz="0" w:space="0" w:color="auto"/>
            <w:right w:val="none" w:sz="0" w:space="0" w:color="auto"/>
          </w:divBdr>
        </w:div>
      </w:divsChild>
    </w:div>
    <w:div w:id="1766606567">
      <w:bodyDiv w:val="1"/>
      <w:marLeft w:val="0"/>
      <w:marRight w:val="0"/>
      <w:marTop w:val="0"/>
      <w:marBottom w:val="0"/>
      <w:divBdr>
        <w:top w:val="none" w:sz="0" w:space="0" w:color="auto"/>
        <w:left w:val="none" w:sz="0" w:space="0" w:color="auto"/>
        <w:bottom w:val="none" w:sz="0" w:space="0" w:color="auto"/>
        <w:right w:val="none" w:sz="0" w:space="0" w:color="auto"/>
      </w:divBdr>
      <w:divsChild>
        <w:div w:id="470287003">
          <w:marLeft w:val="547"/>
          <w:marRight w:val="0"/>
          <w:marTop w:val="0"/>
          <w:marBottom w:val="0"/>
          <w:divBdr>
            <w:top w:val="none" w:sz="0" w:space="0" w:color="auto"/>
            <w:left w:val="none" w:sz="0" w:space="0" w:color="auto"/>
            <w:bottom w:val="none" w:sz="0" w:space="0" w:color="auto"/>
            <w:right w:val="none" w:sz="0" w:space="0" w:color="auto"/>
          </w:divBdr>
        </w:div>
        <w:div w:id="1442996854">
          <w:marLeft w:val="547"/>
          <w:marRight w:val="0"/>
          <w:marTop w:val="0"/>
          <w:marBottom w:val="0"/>
          <w:divBdr>
            <w:top w:val="none" w:sz="0" w:space="0" w:color="auto"/>
            <w:left w:val="none" w:sz="0" w:space="0" w:color="auto"/>
            <w:bottom w:val="none" w:sz="0" w:space="0" w:color="auto"/>
            <w:right w:val="none" w:sz="0" w:space="0" w:color="auto"/>
          </w:divBdr>
        </w:div>
        <w:div w:id="1223446449">
          <w:marLeft w:val="547"/>
          <w:marRight w:val="0"/>
          <w:marTop w:val="0"/>
          <w:marBottom w:val="0"/>
          <w:divBdr>
            <w:top w:val="none" w:sz="0" w:space="0" w:color="auto"/>
            <w:left w:val="none" w:sz="0" w:space="0" w:color="auto"/>
            <w:bottom w:val="none" w:sz="0" w:space="0" w:color="auto"/>
            <w:right w:val="none" w:sz="0" w:space="0" w:color="auto"/>
          </w:divBdr>
        </w:div>
      </w:divsChild>
    </w:div>
    <w:div w:id="1900432463">
      <w:bodyDiv w:val="1"/>
      <w:marLeft w:val="0"/>
      <w:marRight w:val="0"/>
      <w:marTop w:val="0"/>
      <w:marBottom w:val="0"/>
      <w:divBdr>
        <w:top w:val="none" w:sz="0" w:space="0" w:color="auto"/>
        <w:left w:val="none" w:sz="0" w:space="0" w:color="auto"/>
        <w:bottom w:val="none" w:sz="0" w:space="0" w:color="auto"/>
        <w:right w:val="none" w:sz="0" w:space="0" w:color="auto"/>
      </w:divBdr>
    </w:div>
    <w:div w:id="2101755753">
      <w:bodyDiv w:val="1"/>
      <w:marLeft w:val="0"/>
      <w:marRight w:val="0"/>
      <w:marTop w:val="0"/>
      <w:marBottom w:val="0"/>
      <w:divBdr>
        <w:top w:val="none" w:sz="0" w:space="0" w:color="auto"/>
        <w:left w:val="none" w:sz="0" w:space="0" w:color="auto"/>
        <w:bottom w:val="none" w:sz="0" w:space="0" w:color="auto"/>
        <w:right w:val="none" w:sz="0" w:space="0" w:color="auto"/>
      </w:divBdr>
    </w:div>
    <w:div w:id="2111319038">
      <w:bodyDiv w:val="1"/>
      <w:marLeft w:val="0"/>
      <w:marRight w:val="0"/>
      <w:marTop w:val="0"/>
      <w:marBottom w:val="0"/>
      <w:divBdr>
        <w:top w:val="none" w:sz="0" w:space="0" w:color="auto"/>
        <w:left w:val="none" w:sz="0" w:space="0" w:color="auto"/>
        <w:bottom w:val="none" w:sz="0" w:space="0" w:color="auto"/>
        <w:right w:val="none" w:sz="0" w:space="0" w:color="auto"/>
      </w:divBdr>
    </w:div>
    <w:div w:id="21217564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39EA9E0-D3DA-4FD5-961C-5D42DFF469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983</Words>
  <Characters>5607</Characters>
  <Application>Microsoft Office Word</Application>
  <DocSecurity>4</DocSecurity>
  <Lines>46</Lines>
  <Paragraphs>13</Paragraphs>
  <ScaleCrop>false</ScaleCrop>
  <HeadingPairs>
    <vt:vector size="6" baseType="variant">
      <vt:variant>
        <vt:lpstr>Title</vt:lpstr>
      </vt:variant>
      <vt:variant>
        <vt:i4>1</vt:i4>
      </vt:variant>
      <vt:variant>
        <vt:lpstr>Tittel</vt:lpstr>
      </vt:variant>
      <vt:variant>
        <vt:i4>1</vt:i4>
      </vt:variant>
      <vt:variant>
        <vt:lpstr>Titel</vt:lpstr>
      </vt:variant>
      <vt:variant>
        <vt:i4>1</vt:i4>
      </vt:variant>
    </vt:vector>
  </HeadingPairs>
  <TitlesOfParts>
    <vt:vector size="3" baseType="lpstr">
      <vt:lpstr/>
      <vt:lpstr/>
      <vt:lpstr/>
    </vt:vector>
  </TitlesOfParts>
  <Company>FHI</Company>
  <LinksUpToDate>false</LinksUpToDate>
  <CharactersWithSpaces>6577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Frøen, J. Frederik</dc:creator>
  <cp:lastModifiedBy>User</cp:lastModifiedBy>
  <cp:revision>2</cp:revision>
  <cp:lastPrinted>2016-06-22T08:46:00Z</cp:lastPrinted>
  <dcterms:created xsi:type="dcterms:W3CDTF">2017-06-22T06:48:00Z</dcterms:created>
  <dcterms:modified xsi:type="dcterms:W3CDTF">2017-06-22T06:48:00Z</dcterms:modified>
</cp:coreProperties>
</file>