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873103" w14:textId="77777777" w:rsidR="00426D3D" w:rsidRPr="00A150BC" w:rsidRDefault="00426D3D" w:rsidP="00426D3D">
      <w:pPr>
        <w:pStyle w:val="Heading2"/>
        <w:rPr>
          <w:rFonts w:eastAsia="Times New Roman" w:cs="Times New Roman"/>
        </w:rPr>
      </w:pPr>
      <w:bookmarkStart w:id="0" w:name="_Hlk119933550"/>
      <w:bookmarkStart w:id="1" w:name="_GoBack"/>
      <w:bookmarkEnd w:id="1"/>
      <w:r w:rsidRPr="00A150BC">
        <w:rPr>
          <w:rFonts w:eastAsia="Times New Roman" w:cs="Times New Roman"/>
        </w:rPr>
        <w:t>Supplementary material</w:t>
      </w:r>
    </w:p>
    <w:p w14:paraId="047014C3" w14:textId="3A171339" w:rsidR="00426D3D" w:rsidRPr="00A150BC" w:rsidRDefault="00426D3D" w:rsidP="00426D3D">
      <w:pPr>
        <w:spacing w:after="240"/>
        <w:rPr>
          <w:rFonts w:cs="Times New Roman"/>
          <w:sz w:val="20"/>
          <w:szCs w:val="20"/>
        </w:rPr>
      </w:pPr>
      <w:r w:rsidRPr="00A150BC">
        <w:rPr>
          <w:rFonts w:cs="Times New Roman"/>
          <w:b/>
          <w:bCs/>
          <w:sz w:val="20"/>
          <w:szCs w:val="20"/>
        </w:rPr>
        <w:t>Supplementary 1</w:t>
      </w:r>
      <w:r w:rsidRPr="00A150BC">
        <w:rPr>
          <w:rFonts w:cs="Times New Roman"/>
          <w:sz w:val="20"/>
          <w:szCs w:val="20"/>
        </w:rPr>
        <w:t xml:space="preserve"> </w:t>
      </w:r>
      <w:proofErr w:type="gramStart"/>
      <w:r w:rsidR="0052605A">
        <w:rPr>
          <w:rFonts w:cs="Times New Roman"/>
          <w:sz w:val="20"/>
          <w:szCs w:val="20"/>
        </w:rPr>
        <w:t>Further details</w:t>
      </w:r>
      <w:proofErr w:type="gramEnd"/>
      <w:r w:rsidRPr="00A150BC">
        <w:rPr>
          <w:rFonts w:cs="Times New Roman"/>
          <w:sz w:val="20"/>
          <w:szCs w:val="20"/>
        </w:rPr>
        <w:t xml:space="preserve"> on the modelling procedure applied in the study. The sub-sections are divided as in the main text to improve readability</w:t>
      </w:r>
    </w:p>
    <w:p w14:paraId="5AD93A0E" w14:textId="77777777" w:rsidR="00426D3D" w:rsidRPr="00A150BC" w:rsidRDefault="00426D3D" w:rsidP="00426D3D">
      <w:pPr>
        <w:spacing w:after="240"/>
        <w:rPr>
          <w:rFonts w:eastAsia="Calibri" w:cs="Times New Roman"/>
          <w:i/>
          <w:iCs/>
        </w:rPr>
      </w:pPr>
      <w:r w:rsidRPr="00A150BC">
        <w:rPr>
          <w:rFonts w:eastAsia="Calibri" w:cs="Times New Roman"/>
          <w:i/>
          <w:iCs/>
        </w:rPr>
        <w:t>Selection and preparation of predictor variables</w:t>
      </w:r>
    </w:p>
    <w:p w14:paraId="5A951449" w14:textId="20889F7E" w:rsidR="00426D3D" w:rsidRPr="00A150BC" w:rsidRDefault="00426D3D" w:rsidP="00426D3D">
      <w:pPr>
        <w:spacing w:after="240"/>
        <w:rPr>
          <w:rFonts w:eastAsia="Calibri" w:cs="Times New Roman"/>
        </w:rPr>
      </w:pPr>
      <w:r w:rsidRPr="00A150BC">
        <w:rPr>
          <w:rFonts w:eastAsia="Calibri" w:cs="Times New Roman"/>
        </w:rPr>
        <w:t xml:space="preserve">Co-linearity, the non-independence of predictor variables, can be detrimental to the accuracy of SDM predictions, particularly when a SDM is calibrated on data from one region and projected to another with a unique or unknown structure of co-linearity </w:t>
      </w:r>
      <w:r w:rsidRPr="00A150BC">
        <w:rPr>
          <w:rFonts w:eastAsia="Calibri" w:cs="Times New Roman"/>
          <w:noProof/>
        </w:rPr>
        <w:t>(Dormann et al. 2013; Petitpierre et al. 2017)</w:t>
      </w:r>
      <w:r w:rsidRPr="00A150BC">
        <w:rPr>
          <w:rFonts w:eastAsia="Calibri" w:cs="Times New Roman"/>
        </w:rPr>
        <w:t xml:space="preserve">. Additionally, the presence of co-linearity in a model may ultimately lead to the misidentification of the most relevant predictors </w:t>
      </w:r>
      <w:r w:rsidRPr="00A150BC">
        <w:rPr>
          <w:rFonts w:eastAsia="Calibri" w:cs="Times New Roman"/>
          <w:noProof/>
        </w:rPr>
        <w:t>(Braunisch et al. 2013; Dormann et al. 2013)</w:t>
      </w:r>
      <w:r w:rsidRPr="00A150BC">
        <w:rPr>
          <w:rFonts w:eastAsia="Calibri" w:cs="Times New Roman"/>
        </w:rPr>
        <w:t>. Accordingly, for each species we used the Pearson correlation coefficient (‘</w:t>
      </w:r>
      <w:proofErr w:type="spellStart"/>
      <w:r w:rsidRPr="00A150BC">
        <w:rPr>
          <w:rFonts w:eastAsia="Calibri" w:cs="Times New Roman"/>
        </w:rPr>
        <w:t>cor</w:t>
      </w:r>
      <w:proofErr w:type="spellEnd"/>
      <w:r w:rsidRPr="00A150BC">
        <w:rPr>
          <w:rFonts w:eastAsia="Calibri" w:cs="Times New Roman"/>
        </w:rPr>
        <w:t xml:space="preserve">’ function in R) to test for correlation amongst the candidate variables. Co-linear sets of variables (|&gt;0.75|, </w:t>
      </w:r>
      <w:r w:rsidRPr="00A150BC">
        <w:rPr>
          <w:rFonts w:eastAsia="Calibri" w:cs="Times New Roman"/>
          <w:noProof/>
        </w:rPr>
        <w:t xml:space="preserve">Dormann et al. 2008) for all species constituted </w:t>
      </w:r>
      <w:r w:rsidRPr="00A150BC">
        <w:rPr>
          <w:rFonts w:eastAsia="Calibri" w:cs="Times New Roman"/>
        </w:rPr>
        <w:t xml:space="preserve">instances where average </w:t>
      </w:r>
      <w:r w:rsidR="00B055E5" w:rsidRPr="00A150BC">
        <w:rPr>
          <w:rFonts w:eastAsia="Calibri" w:cs="Times New Roman"/>
        </w:rPr>
        <w:t xml:space="preserve">climatic </w:t>
      </w:r>
      <w:r w:rsidRPr="00A150BC">
        <w:rPr>
          <w:rFonts w:eastAsia="Calibri" w:cs="Times New Roman"/>
        </w:rPr>
        <w:t xml:space="preserve">measures were co-linear with climatic extremes. Specifically, annual mean temperature was co-linear with temperature of the warmest quarter, and mean temperature of the coldest quarter; and annual precipitation was co-linear with precipitation of the wettest quarter, and precipitation of the driest quarter. In these instances, we opted to retain variables that represented extremes, as the use of climatic extremes has shown to improve SDM predictions for other species (e.g., trees; </w:t>
      </w:r>
      <w:r w:rsidRPr="00A150BC">
        <w:rPr>
          <w:rFonts w:eastAsia="Calibri" w:cs="Times New Roman"/>
          <w:noProof/>
        </w:rPr>
        <w:t>Zimmermann et al. 2009)</w:t>
      </w:r>
      <w:r w:rsidRPr="00A150BC">
        <w:rPr>
          <w:rFonts w:eastAsia="Calibri" w:cs="Times New Roman"/>
        </w:rPr>
        <w:t xml:space="preserve">. In addition, we followed the methods presented in </w:t>
      </w:r>
      <w:r w:rsidRPr="00A150BC">
        <w:rPr>
          <w:rFonts w:eastAsia="Calibri" w:cs="Times New Roman"/>
          <w:noProof/>
        </w:rPr>
        <w:t>West et al. (2016)</w:t>
      </w:r>
      <w:r w:rsidRPr="00A150BC">
        <w:rPr>
          <w:rFonts w:eastAsia="Calibri" w:cs="Times New Roman"/>
        </w:rPr>
        <w:t xml:space="preserve"> and consulted the percentage deviance explained by each variable using a univariate generalised additive model (GAM), to ensure that potential</w:t>
      </w:r>
      <w:r w:rsidR="00B055E5" w:rsidRPr="00A150BC">
        <w:rPr>
          <w:rFonts w:eastAsia="Calibri" w:cs="Times New Roman"/>
        </w:rPr>
        <w:t>ly</w:t>
      </w:r>
      <w:r w:rsidRPr="00A150BC">
        <w:rPr>
          <w:rFonts w:eastAsia="Calibri" w:cs="Times New Roman"/>
        </w:rPr>
        <w:t xml:space="preserve"> statistically significant variables were not excluded. The use of GAMs was a supportive rather than conclusive approach in the decision to retain or drop co-linear variables. Ultimately, seven predictor variables (land cover, temperature seasonality, mean temperature of the warmest quarter, mean temperature of the coldest quarter, precipitation seasonality, precipitation of the wettest quarter, and precipitation of the driest quarter) were used to build SDMs for each of the six study species.</w:t>
      </w:r>
    </w:p>
    <w:p w14:paraId="24380F42" w14:textId="77777777" w:rsidR="00426D3D" w:rsidRPr="00A150BC" w:rsidRDefault="00426D3D" w:rsidP="00426D3D">
      <w:pPr>
        <w:spacing w:after="0"/>
        <w:rPr>
          <w:rFonts w:cs="Times New Roman"/>
          <w:i/>
          <w:iCs/>
        </w:rPr>
      </w:pPr>
      <w:r w:rsidRPr="00A150BC">
        <w:rPr>
          <w:rFonts w:cs="Times New Roman"/>
          <w:i/>
          <w:iCs/>
        </w:rPr>
        <w:t>Background data generation</w:t>
      </w:r>
    </w:p>
    <w:p w14:paraId="15AE2F8B" w14:textId="07CFF393" w:rsidR="00426D3D" w:rsidRPr="00A150BC" w:rsidRDefault="00426D3D" w:rsidP="00426D3D">
      <w:pPr>
        <w:spacing w:after="240"/>
        <w:rPr>
          <w:rFonts w:eastAsia="Calibri" w:cs="Times New Roman"/>
        </w:rPr>
      </w:pPr>
      <w:r w:rsidRPr="00A150BC">
        <w:rPr>
          <w:rFonts w:eastAsia="Calibri" w:cs="Times New Roman"/>
        </w:rPr>
        <w:t xml:space="preserve">Models executed using background records from both the native and introduced ranges of a species have outperformed those which considered the native range only </w:t>
      </w:r>
      <w:r w:rsidRPr="00A150BC">
        <w:rPr>
          <w:rFonts w:eastAsia="Calibri" w:cs="Times New Roman"/>
          <w:noProof/>
        </w:rPr>
        <w:t>(Jiménez-Valverde et al. 2011; Mainali et al. 2015)</w:t>
      </w:r>
      <w:r w:rsidRPr="00A150BC">
        <w:rPr>
          <w:rFonts w:eastAsia="Calibri" w:cs="Times New Roman"/>
        </w:rPr>
        <w:t xml:space="preserve">. Additionally, deriving background records from areas that directly contrast the environments indicated by the species occurrence records is a safe, but </w:t>
      </w:r>
      <w:r w:rsidRPr="00A150BC">
        <w:rPr>
          <w:rFonts w:eastAsia="Calibri" w:cs="Times New Roman"/>
        </w:rPr>
        <w:lastRenderedPageBreak/>
        <w:t xml:space="preserve">uninformative method </w:t>
      </w:r>
      <w:r w:rsidRPr="00A150BC">
        <w:rPr>
          <w:rFonts w:eastAsia="Calibri" w:cs="Times New Roman"/>
          <w:noProof/>
        </w:rPr>
        <w:t>(Lobo et al. 2010)</w:t>
      </w:r>
      <w:r w:rsidRPr="00A150BC">
        <w:rPr>
          <w:rFonts w:eastAsia="Calibri" w:cs="Times New Roman"/>
        </w:rPr>
        <w:t xml:space="preserve">. Rather, background record selection should include environments that are unsuitable, but similar to those that are suitable for the species and should reflect the dispersal potential of the species, i.e., if a species can only disperse over a limited distance, background records should be consistent with this </w:t>
      </w:r>
      <w:r w:rsidRPr="00A150BC">
        <w:rPr>
          <w:rFonts w:eastAsia="Calibri" w:cs="Times New Roman"/>
          <w:noProof/>
        </w:rPr>
        <w:t>(Jiménez-Valverde et al. 2011; Elith 2013; Mainali et al. 2015; Chapman et al. 2019)</w:t>
      </w:r>
      <w:r w:rsidRPr="00A150BC">
        <w:rPr>
          <w:rFonts w:eastAsia="Calibri" w:cs="Times New Roman"/>
        </w:rPr>
        <w:t xml:space="preserve">. Accordingly, to select background records in this study, the cleaned occurrence records of each species were superimposed onto a map of the </w:t>
      </w:r>
      <w:proofErr w:type="spellStart"/>
      <w:r w:rsidRPr="00A150BC">
        <w:rPr>
          <w:rFonts w:eastAsia="Calibri" w:cs="Times New Roman"/>
        </w:rPr>
        <w:t>Köppen</w:t>
      </w:r>
      <w:proofErr w:type="spellEnd"/>
      <w:r w:rsidRPr="00A150BC">
        <w:rPr>
          <w:rFonts w:eastAsia="Calibri" w:cs="Times New Roman"/>
        </w:rPr>
        <w:t xml:space="preserve">-Geiger climate zones </w:t>
      </w:r>
      <w:r w:rsidRPr="00A150BC">
        <w:rPr>
          <w:rFonts w:eastAsia="Calibri" w:cs="Times New Roman"/>
          <w:noProof/>
        </w:rPr>
        <w:t>(Kottek et al. 2006)</w:t>
      </w:r>
      <w:r w:rsidRPr="00A150BC">
        <w:rPr>
          <w:rFonts w:eastAsia="Calibri" w:cs="Times New Roman"/>
        </w:rPr>
        <w:t xml:space="preserve"> to identify climates across the globe that are analogous to those occupied by each species. We further restricted the domain for the selection of background points according to the dispersal potential of ferns as this has been shown to reduce bias related to species-environment relationships (Elith 2013; Mainali et al. 2015; Chapman et al. 2019). As a result, background points for each species were selected from a restricted area that was, </w:t>
      </w:r>
      <w:proofErr w:type="spellStart"/>
      <w:r w:rsidRPr="00A150BC">
        <w:rPr>
          <w:rFonts w:eastAsia="Calibri" w:cs="Times New Roman"/>
        </w:rPr>
        <w:t>i</w:t>
      </w:r>
      <w:proofErr w:type="spellEnd"/>
      <w:r w:rsidRPr="00A150BC">
        <w:rPr>
          <w:rFonts w:eastAsia="Calibri" w:cs="Times New Roman"/>
        </w:rPr>
        <w:t xml:space="preserve">) environmentally similar to sites where the species occurs; and ii) within 500 km of the occurrence records based on the potential long-range wind and water dispersal of fern spores </w:t>
      </w:r>
      <w:r w:rsidRPr="00A150BC">
        <w:rPr>
          <w:rFonts w:eastAsia="Calibri" w:cs="Times New Roman"/>
          <w:noProof/>
        </w:rPr>
        <w:t>(Peck et al. 1990)</w:t>
      </w:r>
      <w:r w:rsidRPr="00A150BC">
        <w:rPr>
          <w:rFonts w:eastAsia="Calibri" w:cs="Times New Roman"/>
        </w:rPr>
        <w:t xml:space="preserve">, but excluding areas within 5 km of the occurrence records as we assumed that while the organism has not been recorded at these sites, it likely occurs there (the majority of fern recruitment occurs within 2 m of the parent plants; </w:t>
      </w:r>
      <w:r w:rsidRPr="00A150BC">
        <w:rPr>
          <w:rFonts w:eastAsia="Calibri" w:cs="Times New Roman"/>
          <w:noProof/>
        </w:rPr>
        <w:t>Rose and Dassler 2017)</w:t>
      </w:r>
      <w:r w:rsidRPr="00A150BC">
        <w:rPr>
          <w:rFonts w:eastAsia="Calibri" w:cs="Times New Roman"/>
        </w:rPr>
        <w:t xml:space="preserve">. MaxEnt models perform best when built using a large number of randomly selected background records (e.g., 10 000 records, </w:t>
      </w:r>
      <w:r w:rsidRPr="00A150BC">
        <w:rPr>
          <w:rFonts w:eastAsia="Calibri" w:cs="Times New Roman"/>
          <w:i/>
          <w:iCs/>
        </w:rPr>
        <w:t xml:space="preserve">sensu </w:t>
      </w:r>
      <w:r w:rsidRPr="00A150BC">
        <w:rPr>
          <w:rFonts w:eastAsia="Calibri" w:cs="Times New Roman"/>
          <w:noProof/>
        </w:rPr>
        <w:t>Phillips and Dudík 2008; Barbet-Massin et al. 2018)</w:t>
      </w:r>
      <w:r w:rsidRPr="00A150BC">
        <w:rPr>
          <w:rFonts w:eastAsia="Calibri" w:cs="Times New Roman"/>
          <w:i/>
          <w:iCs/>
        </w:rPr>
        <w:t xml:space="preserve">. </w:t>
      </w:r>
      <w:r w:rsidRPr="00A150BC">
        <w:rPr>
          <w:rFonts w:eastAsia="Calibri" w:cs="Times New Roman"/>
        </w:rPr>
        <w:t>Accordingly, we randomly selected 10 000 background points from the selected areas for each species.</w:t>
      </w:r>
    </w:p>
    <w:p w14:paraId="5DC5BB17" w14:textId="77777777" w:rsidR="00930029" w:rsidRPr="00A150BC" w:rsidRDefault="00930029" w:rsidP="00930029">
      <w:pPr>
        <w:spacing w:after="0"/>
        <w:rPr>
          <w:rFonts w:cs="Times New Roman"/>
          <w:i/>
        </w:rPr>
      </w:pPr>
      <w:r w:rsidRPr="00A150BC">
        <w:rPr>
          <w:rFonts w:cs="Times New Roman"/>
          <w:i/>
        </w:rPr>
        <w:t>Collection and preparation of species occurrence records</w:t>
      </w:r>
    </w:p>
    <w:p w14:paraId="0366C2A6" w14:textId="08725F66" w:rsidR="00C60CEF" w:rsidRPr="00A150BC" w:rsidRDefault="00B86C8B" w:rsidP="0082283B">
      <w:pPr>
        <w:shd w:val="clear" w:color="auto" w:fill="FFFFFF"/>
        <w:spacing w:after="240"/>
        <w:rPr>
          <w:rFonts w:cs="Times New Roman"/>
          <w:i/>
        </w:rPr>
      </w:pPr>
      <w:r w:rsidRPr="00A150BC">
        <w:rPr>
          <w:rFonts w:eastAsia="Times New Roman" w:cs="Times New Roman"/>
          <w:szCs w:val="24"/>
        </w:rPr>
        <w:t xml:space="preserve">There are often errors and issues with the mostly opportunistically collected records that are available on global databases such as GBIF. Therefore, the quality of the occurrence records for each species was assessed and improved using the R packages Biogeo (Robertson et al. 2016) and </w:t>
      </w:r>
      <w:proofErr w:type="spellStart"/>
      <w:r w:rsidRPr="00A150BC">
        <w:rPr>
          <w:rFonts w:eastAsia="Times New Roman" w:cs="Times New Roman"/>
          <w:szCs w:val="24"/>
        </w:rPr>
        <w:t>CoordinateCleaner</w:t>
      </w:r>
      <w:proofErr w:type="spellEnd"/>
      <w:r w:rsidRPr="00A150BC">
        <w:rPr>
          <w:rFonts w:eastAsia="Times New Roman" w:cs="Times New Roman"/>
          <w:szCs w:val="24"/>
        </w:rPr>
        <w:t xml:space="preserve"> (</w:t>
      </w:r>
      <w:proofErr w:type="spellStart"/>
      <w:r w:rsidRPr="00A150BC">
        <w:rPr>
          <w:rFonts w:eastAsia="Times New Roman" w:cs="Times New Roman"/>
          <w:szCs w:val="24"/>
        </w:rPr>
        <w:t>Zizka</w:t>
      </w:r>
      <w:proofErr w:type="spellEnd"/>
      <w:r w:rsidRPr="00A150BC">
        <w:rPr>
          <w:rFonts w:eastAsia="Times New Roman" w:cs="Times New Roman"/>
          <w:szCs w:val="24"/>
        </w:rPr>
        <w:t xml:space="preserve"> et al. 2019). Environmental outliers are records that are far away from the rest of the records in environmental space. Environmental outliers can have serious consequences for SDMs, and may arise due to a variety of factors, including errors in co-ordinates, records under cultivation, and records for ephemeral populations. The R package Biogeo was used to detect and remove these outliers, with these records being those that fell a distance of 1.5 times beyond the interquartile range. While this may not have removed all such errors (</w:t>
      </w:r>
      <w:r w:rsidR="00066285" w:rsidRPr="00A150BC">
        <w:rPr>
          <w:rFonts w:eastAsia="Times New Roman" w:cs="Times New Roman"/>
          <w:szCs w:val="24"/>
        </w:rPr>
        <w:t>e.g.,</w:t>
      </w:r>
      <w:r w:rsidRPr="00A150BC">
        <w:rPr>
          <w:rFonts w:eastAsia="Times New Roman" w:cs="Times New Roman"/>
          <w:szCs w:val="24"/>
        </w:rPr>
        <w:t xml:space="preserve"> records in cultivation), any such records remaining were found within the realised climatic niche of the species, and thus the SDM and its outputs would not have been greatly affected by their inclusion</w:t>
      </w:r>
      <w:r w:rsidR="00C60CEF" w:rsidRPr="00A150BC">
        <w:rPr>
          <w:rFonts w:eastAsia="Times New Roman" w:cs="Times New Roman"/>
          <w:szCs w:val="24"/>
        </w:rPr>
        <w:t>.</w:t>
      </w:r>
    </w:p>
    <w:p w14:paraId="5662B5CC" w14:textId="77777777" w:rsidR="00426D3D" w:rsidRPr="00A150BC" w:rsidRDefault="00426D3D" w:rsidP="00426D3D">
      <w:pPr>
        <w:spacing w:after="0"/>
        <w:rPr>
          <w:rFonts w:cs="Times New Roman"/>
          <w:i/>
          <w:iCs/>
        </w:rPr>
      </w:pPr>
      <w:r w:rsidRPr="00A150BC">
        <w:rPr>
          <w:rFonts w:cs="Times New Roman"/>
          <w:i/>
          <w:iCs/>
        </w:rPr>
        <w:lastRenderedPageBreak/>
        <w:t>MaxEnt models</w:t>
      </w:r>
    </w:p>
    <w:p w14:paraId="23E525D5" w14:textId="2D9A8471" w:rsidR="00426D3D" w:rsidRPr="00A150BC" w:rsidRDefault="00426D3D" w:rsidP="005F62BA">
      <w:pPr>
        <w:spacing w:after="240"/>
        <w:rPr>
          <w:rFonts w:eastAsia="Calibri" w:cs="Times New Roman"/>
        </w:rPr>
      </w:pPr>
      <w:r w:rsidRPr="00A150BC">
        <w:rPr>
          <w:rFonts w:eastAsia="Calibri" w:cs="Times New Roman"/>
        </w:rPr>
        <w:t xml:space="preserve">All </w:t>
      </w:r>
      <w:r w:rsidRPr="00A150BC">
        <w:rPr>
          <w:rFonts w:cs="Times New Roman"/>
        </w:rPr>
        <w:t>models were built using MaxEnt Version 3.4.4 (http://biodiversityinformatics.amnh.org/open_source/MaxEnt/; Phillips et al. 2004). In MaxEnt the choice of feature types and setting of the regularisation parameter (RM) are important considerations in the development of predictive</w:t>
      </w:r>
      <w:r w:rsidRPr="00A150BC">
        <w:rPr>
          <w:rFonts w:eastAsia="Calibri" w:cs="Times New Roman"/>
        </w:rPr>
        <w:t xml:space="preserve"> models that involve transferal (i.e., when the potential distribution is estimated in a different time period or region than that where the data are from) </w:t>
      </w:r>
      <w:r w:rsidRPr="00A150BC">
        <w:rPr>
          <w:rFonts w:eastAsia="Calibri" w:cs="Times New Roman"/>
          <w:noProof/>
        </w:rPr>
        <w:t>(Phillips and Dudík 2008)</w:t>
      </w:r>
      <w:r w:rsidRPr="00A150BC">
        <w:rPr>
          <w:rFonts w:eastAsia="Calibri" w:cs="Times New Roman"/>
        </w:rPr>
        <w:t xml:space="preserve">. In this study, all models were initially run using all features (auto-features), and with the RM set to the default value of one. We subsequently experimented with applying hinge features only, as such models have been shown to perform well for alien species </w:t>
      </w:r>
      <w:r w:rsidRPr="00A150BC">
        <w:rPr>
          <w:rFonts w:eastAsia="Calibri" w:cs="Times New Roman"/>
          <w:noProof/>
        </w:rPr>
        <w:t>(</w:t>
      </w:r>
      <w:r w:rsidRPr="00A150BC">
        <w:rPr>
          <w:rFonts w:eastAsia="Calibri" w:cs="Times New Roman"/>
          <w:i/>
          <w:iCs/>
          <w:noProof/>
        </w:rPr>
        <w:t>sensu</w:t>
      </w:r>
      <w:r w:rsidRPr="00A150BC">
        <w:rPr>
          <w:rFonts w:eastAsia="Calibri" w:cs="Times New Roman"/>
          <w:noProof/>
        </w:rPr>
        <w:t xml:space="preserve"> Phillips and Dudík 2008)</w:t>
      </w:r>
      <w:r w:rsidRPr="00A150BC">
        <w:rPr>
          <w:rFonts w:eastAsia="Calibri" w:cs="Times New Roman"/>
        </w:rPr>
        <w:t xml:space="preserve">. But as the use of hinge features had little impact on the predicted area and the performance of the models, the auto-features setting was retained for modelling. Applying a greater number of feature settings to a MaxEnt model can, however, cause the model to be prone to over-fitting </w:t>
      </w:r>
      <w:r w:rsidRPr="00A150BC">
        <w:rPr>
          <w:rFonts w:eastAsia="Calibri" w:cs="Times New Roman"/>
          <w:noProof/>
        </w:rPr>
        <w:t>(Phillips and Dudík 2008)</w:t>
      </w:r>
      <w:r w:rsidRPr="00A150BC">
        <w:rPr>
          <w:rFonts w:eastAsia="Calibri" w:cs="Times New Roman"/>
        </w:rPr>
        <w:t xml:space="preserve">. This can be avoided by increasing the RM to a value greater than one </w:t>
      </w:r>
      <w:r w:rsidRPr="00A150BC">
        <w:rPr>
          <w:rFonts w:eastAsia="Calibri" w:cs="Times New Roman"/>
          <w:noProof/>
        </w:rPr>
        <w:t>(Radosavljevic and Anderson 2014; Kong et al. 2019)</w:t>
      </w:r>
      <w:r w:rsidRPr="00A150BC">
        <w:rPr>
          <w:rFonts w:eastAsia="Calibri" w:cs="Times New Roman"/>
        </w:rPr>
        <w:t xml:space="preserve">. We consequently increased the RM to 1.5 and monitored model performance. While model performance and the predictions changed very little, having RM set to 1.5 produced smoother, more ecologically plausible response curves. </w:t>
      </w:r>
      <w:r w:rsidR="000B6408" w:rsidRPr="00A150BC">
        <w:rPr>
          <w:rFonts w:eastAsia="Calibri" w:cs="Times New Roman"/>
        </w:rPr>
        <w:t>An ecologically plausible response curve is typically a smooth bell-shaped curve that does not have several optima or minima (Merow et al. 201</w:t>
      </w:r>
      <w:r w:rsidR="000A1C03">
        <w:rPr>
          <w:rFonts w:eastAsia="Calibri" w:cs="Times New Roman"/>
        </w:rPr>
        <w:t>3</w:t>
      </w:r>
      <w:r w:rsidR="000B6408" w:rsidRPr="00A150BC">
        <w:rPr>
          <w:rFonts w:eastAsia="Calibri" w:cs="Times New Roman"/>
        </w:rPr>
        <w:t>; Hannemann et al. 2016). But, incomplete response curves (i.e., one side of the bell curve) or linear response curves may be expected if the full fundamental niche has not been captured by the occurrence records (Merow et al. 201</w:t>
      </w:r>
      <w:r w:rsidR="000A1C03">
        <w:rPr>
          <w:rFonts w:eastAsia="Calibri" w:cs="Times New Roman"/>
        </w:rPr>
        <w:t>3</w:t>
      </w:r>
      <w:r w:rsidR="000B6408" w:rsidRPr="00A150BC">
        <w:rPr>
          <w:rFonts w:eastAsia="Calibri" w:cs="Times New Roman"/>
        </w:rPr>
        <w:t xml:space="preserve">). </w:t>
      </w:r>
      <w:r w:rsidRPr="00A150BC">
        <w:rPr>
          <w:rFonts w:eastAsia="Calibri" w:cs="Times New Roman"/>
        </w:rPr>
        <w:t xml:space="preserve">SDMs produced using smoothed fitted functions have outperformed more complex models when modelling the distributions of alien species </w:t>
      </w:r>
      <w:r w:rsidRPr="00A150BC">
        <w:rPr>
          <w:rFonts w:eastAsia="Calibri" w:cs="Times New Roman"/>
          <w:noProof/>
        </w:rPr>
        <w:t>(Elith et al. 2010)</w:t>
      </w:r>
      <w:r w:rsidRPr="00A150BC">
        <w:rPr>
          <w:rFonts w:eastAsia="Calibri" w:cs="Times New Roman"/>
        </w:rPr>
        <w:t xml:space="preserve">. Accordingly, the distributions of the fern species were modelled using auto-features and a RM value of 1.5. Clamping was also used to avoid extrapolations of the SDM into novel environments. </w:t>
      </w:r>
    </w:p>
    <w:p w14:paraId="3B02F533" w14:textId="364D8B95" w:rsidR="00797DE7" w:rsidRPr="00A150BC" w:rsidRDefault="00426D3D" w:rsidP="00797DE7">
      <w:pPr>
        <w:spacing w:after="240"/>
        <w:rPr>
          <w:rFonts w:eastAsia="Calibri" w:cs="Times New Roman"/>
          <w:szCs w:val="24"/>
        </w:rPr>
      </w:pPr>
      <w:r w:rsidRPr="00A150BC">
        <w:rPr>
          <w:rFonts w:eastAsia="Calibri" w:cs="Times New Roman"/>
          <w:szCs w:val="24"/>
        </w:rPr>
        <w:t xml:space="preserve">All models were run using five-fold cross validation (as all records are used for training and testing in this method) and model performance was evaluated using multiple methods, </w:t>
      </w:r>
      <w:proofErr w:type="spellStart"/>
      <w:r w:rsidRPr="00A150BC">
        <w:rPr>
          <w:rFonts w:eastAsia="Calibri" w:cs="Times New Roman"/>
          <w:szCs w:val="24"/>
        </w:rPr>
        <w:t>i</w:t>
      </w:r>
      <w:proofErr w:type="spellEnd"/>
      <w:r w:rsidRPr="00A150BC">
        <w:rPr>
          <w:rFonts w:eastAsia="Calibri" w:cs="Times New Roman"/>
          <w:szCs w:val="24"/>
        </w:rPr>
        <w:t xml:space="preserve">) evaluating the Area Under the Curve (AUC) statistic, ii) calculating the Continuous Boyce Index (CBI), iii) assessing the fitted response curves; iv) considering the sensibility of the model in terms of fern ecology </w:t>
      </w:r>
      <w:r w:rsidRPr="00A150BC">
        <w:rPr>
          <w:rFonts w:eastAsia="Calibri" w:cs="Times New Roman"/>
          <w:noProof/>
          <w:szCs w:val="24"/>
        </w:rPr>
        <w:t>(Austin 2007)</w:t>
      </w:r>
      <w:r w:rsidRPr="00A150BC">
        <w:rPr>
          <w:rFonts w:eastAsia="Calibri" w:cs="Times New Roman"/>
          <w:szCs w:val="24"/>
        </w:rPr>
        <w:t xml:space="preserve">; and v) scrutinising the multivariate environmental similarity surface maps (MESS maps). AUC measures the ability of the SDM to differentiate occupied sites from unoccupied sites (i.e., the ability to discriminate) </w:t>
      </w:r>
      <w:r w:rsidRPr="00A150BC">
        <w:rPr>
          <w:rFonts w:eastAsia="Calibri" w:cs="Times New Roman"/>
          <w:noProof/>
          <w:szCs w:val="24"/>
        </w:rPr>
        <w:t xml:space="preserve">(Phillips </w:t>
      </w:r>
      <w:r w:rsidRPr="00A150BC">
        <w:rPr>
          <w:rFonts w:eastAsia="Calibri" w:cs="Times New Roman"/>
          <w:noProof/>
          <w:szCs w:val="24"/>
        </w:rPr>
        <w:lastRenderedPageBreak/>
        <w:t>et al. 2009; Merow et al. 2013)</w:t>
      </w:r>
      <w:r w:rsidRPr="00A150BC">
        <w:rPr>
          <w:rFonts w:eastAsia="Calibri" w:cs="Times New Roman"/>
          <w:szCs w:val="24"/>
        </w:rPr>
        <w:t xml:space="preserve">, with an AUC statistic closer to one indicating a better performing model </w:t>
      </w:r>
      <w:r w:rsidRPr="00A150BC">
        <w:rPr>
          <w:rFonts w:eastAsia="Calibri" w:cs="Times New Roman"/>
          <w:noProof/>
          <w:szCs w:val="24"/>
        </w:rPr>
        <w:t>(Phillips et al. 2009; Peterson et al. 2011; Merow et al. 2013)</w:t>
      </w:r>
      <w:r w:rsidRPr="00A150BC">
        <w:rPr>
          <w:rFonts w:eastAsia="Calibri" w:cs="Times New Roman"/>
          <w:szCs w:val="24"/>
        </w:rPr>
        <w:t>. CBI assesses the calibration ability of the SDM, and</w:t>
      </w:r>
      <w:r w:rsidRPr="00A150BC">
        <w:rPr>
          <w:rFonts w:eastAsia="Calibri" w:cs="Times New Roman"/>
          <w:i/>
          <w:iCs/>
          <w:szCs w:val="24"/>
        </w:rPr>
        <w:t xml:space="preserve"> </w:t>
      </w:r>
      <w:r w:rsidRPr="00A150BC">
        <w:rPr>
          <w:rFonts w:eastAsia="Calibri" w:cs="Times New Roman"/>
          <w:szCs w:val="24"/>
        </w:rPr>
        <w:t xml:space="preserve">provides a value between -1 and 1, where values close to one indicate a good model </w:t>
      </w:r>
      <w:r w:rsidRPr="00A150BC">
        <w:rPr>
          <w:rFonts w:eastAsia="Calibri" w:cs="Times New Roman"/>
          <w:noProof/>
          <w:szCs w:val="24"/>
        </w:rPr>
        <w:t>(Boyce et al. 2002; Hirzel et al. 2006; Petitpierre et al. 2017)</w:t>
      </w:r>
      <w:r w:rsidRPr="00A150BC">
        <w:rPr>
          <w:rFonts w:eastAsia="Calibri" w:cs="Times New Roman"/>
          <w:szCs w:val="24"/>
        </w:rPr>
        <w:t xml:space="preserve">. CBI is considered to be a more reliable indication of model performance relative to other metrics such as AUC, and is specifically appropriate for assessing presence only models </w:t>
      </w:r>
      <w:r w:rsidRPr="00A150BC">
        <w:rPr>
          <w:rFonts w:eastAsia="Calibri" w:cs="Times New Roman"/>
          <w:noProof/>
          <w:szCs w:val="24"/>
        </w:rPr>
        <w:t>(Boyce et al. 2002; Hirzel et al. 2006; Manzoor et al. 2018)</w:t>
      </w:r>
      <w:r w:rsidRPr="00A150BC">
        <w:rPr>
          <w:rFonts w:eastAsia="Calibri" w:cs="Times New Roman"/>
          <w:szCs w:val="24"/>
        </w:rPr>
        <w:t xml:space="preserve">. The response curves were assessed to determine if they were plausible based on expectations of the general shapes of species-environment relationships </w:t>
      </w:r>
      <w:r w:rsidRPr="00A150BC">
        <w:rPr>
          <w:rFonts w:eastAsia="Calibri" w:cs="Times New Roman"/>
          <w:noProof/>
          <w:szCs w:val="24"/>
        </w:rPr>
        <w:t>(Austin 2007; Merow et al. 2013; Hannemann et al. 2016), and the MESS maps</w:t>
      </w:r>
      <w:r w:rsidRPr="00A150BC">
        <w:rPr>
          <w:rFonts w:eastAsia="Calibri" w:cs="Times New Roman"/>
          <w:szCs w:val="24"/>
        </w:rPr>
        <w:t xml:space="preserve"> were evaluated to identify any instances of extrapolation </w:t>
      </w:r>
      <w:r w:rsidRPr="00A150BC">
        <w:rPr>
          <w:rFonts w:eastAsia="Calibri" w:cs="Times New Roman"/>
          <w:noProof/>
          <w:szCs w:val="24"/>
        </w:rPr>
        <w:t>(Elith et al. 2010)</w:t>
      </w:r>
      <w:r w:rsidRPr="00A150BC">
        <w:rPr>
          <w:rFonts w:eastAsia="Calibri" w:cs="Times New Roman"/>
          <w:szCs w:val="24"/>
        </w:rPr>
        <w:t xml:space="preserve">. The relative contribution of each environmental predictor in the model for each species was gauged using the Jack-knife test in MaxEnt which provides the percent contribution of each variable to the model </w:t>
      </w:r>
      <w:r w:rsidRPr="00A150BC">
        <w:rPr>
          <w:rFonts w:eastAsia="Calibri" w:cs="Times New Roman"/>
          <w:noProof/>
          <w:szCs w:val="24"/>
        </w:rPr>
        <w:t>(Phillips et al. 2006)</w:t>
      </w:r>
      <w:r w:rsidRPr="00A150BC">
        <w:rPr>
          <w:rFonts w:eastAsia="Calibri" w:cs="Times New Roman"/>
          <w:szCs w:val="24"/>
        </w:rPr>
        <w:t xml:space="preserve">. </w:t>
      </w:r>
      <w:r w:rsidR="00BB025C" w:rsidRPr="00A150BC">
        <w:rPr>
          <w:rFonts w:eastAsia="Calibri" w:cs="Times New Roman"/>
          <w:szCs w:val="24"/>
        </w:rPr>
        <w:t xml:space="preserve">As a precautionary measure the models were re-run using </w:t>
      </w:r>
      <w:r w:rsidR="00E64217" w:rsidRPr="00A150BC">
        <w:rPr>
          <w:rFonts w:eastAsia="Calibri" w:cs="Times New Roman"/>
          <w:szCs w:val="24"/>
        </w:rPr>
        <w:t xml:space="preserve">the </w:t>
      </w:r>
      <w:r w:rsidR="0004654E" w:rsidRPr="00A150BC">
        <w:rPr>
          <w:rFonts w:eastAsia="Calibri" w:cs="Times New Roman"/>
          <w:szCs w:val="24"/>
        </w:rPr>
        <w:t>same</w:t>
      </w:r>
      <w:r w:rsidR="00E64217" w:rsidRPr="00A150BC">
        <w:rPr>
          <w:rFonts w:eastAsia="Calibri" w:cs="Times New Roman"/>
          <w:szCs w:val="24"/>
        </w:rPr>
        <w:t xml:space="preserve"> features and RM setting</w:t>
      </w:r>
      <w:r w:rsidR="0004654E" w:rsidRPr="00A150BC">
        <w:rPr>
          <w:rFonts w:eastAsia="Calibri" w:cs="Times New Roman"/>
          <w:szCs w:val="24"/>
        </w:rPr>
        <w:t>s</w:t>
      </w:r>
      <w:r w:rsidR="00E64217" w:rsidRPr="00A150BC">
        <w:rPr>
          <w:rFonts w:eastAsia="Calibri" w:cs="Times New Roman"/>
          <w:szCs w:val="24"/>
        </w:rPr>
        <w:t xml:space="preserve">, but with 10-fold cross validation. </w:t>
      </w:r>
      <w:r w:rsidR="0052195E" w:rsidRPr="00A150BC">
        <w:rPr>
          <w:rFonts w:eastAsia="Calibri" w:cs="Times New Roman"/>
          <w:szCs w:val="24"/>
        </w:rPr>
        <w:t>This did not improve model performance with negligible differences noted in the AUC score</w:t>
      </w:r>
      <w:r w:rsidR="0004654E" w:rsidRPr="00A150BC">
        <w:rPr>
          <w:rFonts w:eastAsia="Calibri" w:cs="Times New Roman"/>
          <w:szCs w:val="24"/>
        </w:rPr>
        <w:t>s</w:t>
      </w:r>
      <w:r w:rsidR="0052195E" w:rsidRPr="00A150BC">
        <w:rPr>
          <w:rFonts w:eastAsia="Calibri" w:cs="Times New Roman"/>
          <w:szCs w:val="24"/>
        </w:rPr>
        <w:t xml:space="preserve">, response curves, </w:t>
      </w:r>
      <w:r w:rsidR="0004654E" w:rsidRPr="00A150BC">
        <w:rPr>
          <w:rFonts w:eastAsia="Calibri" w:cs="Times New Roman"/>
          <w:szCs w:val="24"/>
        </w:rPr>
        <w:t xml:space="preserve">and the MESS maps; and five-fold cross validation was thus retained. </w:t>
      </w:r>
    </w:p>
    <w:p w14:paraId="57F0AFF7" w14:textId="77777777" w:rsidR="00797DE7" w:rsidRPr="00A150BC" w:rsidRDefault="00797DE7">
      <w:pPr>
        <w:spacing w:after="160" w:line="259" w:lineRule="auto"/>
        <w:rPr>
          <w:rFonts w:eastAsia="Calibri" w:cs="Times New Roman"/>
          <w:szCs w:val="24"/>
        </w:rPr>
      </w:pPr>
      <w:r w:rsidRPr="00A150BC">
        <w:rPr>
          <w:rFonts w:eastAsia="Calibri" w:cs="Times New Roman"/>
          <w:szCs w:val="24"/>
        </w:rPr>
        <w:br w:type="page"/>
      </w:r>
    </w:p>
    <w:p w14:paraId="4BBC3115" w14:textId="57217E9B" w:rsidR="00426D3D" w:rsidRPr="00A150BC" w:rsidRDefault="00426D3D" w:rsidP="00797DE7">
      <w:pPr>
        <w:spacing w:after="240"/>
        <w:rPr>
          <w:rFonts w:cs="Times New Roman"/>
          <w:szCs w:val="24"/>
        </w:rPr>
      </w:pPr>
      <w:r w:rsidRPr="00A150BC">
        <w:rPr>
          <w:rFonts w:cs="Times New Roman"/>
          <w:b/>
          <w:bCs/>
          <w:szCs w:val="24"/>
        </w:rPr>
        <w:lastRenderedPageBreak/>
        <w:t xml:space="preserve">Supplementary 2 </w:t>
      </w:r>
      <w:r w:rsidRPr="00A150BC">
        <w:rPr>
          <w:rFonts w:cs="Times New Roman"/>
          <w:szCs w:val="24"/>
        </w:rPr>
        <w:t>The total number of occurrence records for each study species obtained from the Global Biodiversity Information Facility (GBIF; https://www.gbif.org/) and the number of occurrence records available for modelling post-data cleaning.</w:t>
      </w:r>
    </w:p>
    <w:p w14:paraId="0C4AE37F" w14:textId="77777777" w:rsidR="002C72F4" w:rsidRPr="00A150BC" w:rsidRDefault="002C72F4" w:rsidP="002C72F4">
      <w:pPr>
        <w:rPr>
          <w:rFonts w:cs="Times New Roman"/>
        </w:rPr>
      </w:pPr>
    </w:p>
    <w:tbl>
      <w:tblPr>
        <w:tblW w:w="0" w:type="auto"/>
        <w:tblLook w:val="04A0" w:firstRow="1" w:lastRow="0" w:firstColumn="1" w:lastColumn="0" w:noHBand="0" w:noVBand="1"/>
      </w:tblPr>
      <w:tblGrid>
        <w:gridCol w:w="2977"/>
        <w:gridCol w:w="1276"/>
        <w:gridCol w:w="1276"/>
        <w:gridCol w:w="3489"/>
      </w:tblGrid>
      <w:tr w:rsidR="00426D3D" w:rsidRPr="00A150BC" w14:paraId="621ACA74" w14:textId="77777777" w:rsidTr="001338F3">
        <w:trPr>
          <w:trHeight w:val="897"/>
        </w:trPr>
        <w:tc>
          <w:tcPr>
            <w:tcW w:w="2977" w:type="dxa"/>
            <w:tcBorders>
              <w:top w:val="single" w:sz="4" w:space="0" w:color="auto"/>
              <w:bottom w:val="single" w:sz="4" w:space="0" w:color="auto"/>
            </w:tcBorders>
            <w:shd w:val="clear" w:color="auto" w:fill="auto"/>
          </w:tcPr>
          <w:p w14:paraId="0DB3DA09"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Species</w:t>
            </w:r>
          </w:p>
        </w:tc>
        <w:tc>
          <w:tcPr>
            <w:tcW w:w="1276" w:type="dxa"/>
            <w:tcBorders>
              <w:top w:val="single" w:sz="4" w:space="0" w:color="auto"/>
              <w:bottom w:val="single" w:sz="4" w:space="0" w:color="auto"/>
            </w:tcBorders>
            <w:shd w:val="clear" w:color="auto" w:fill="auto"/>
          </w:tcPr>
          <w:p w14:paraId="47C031DC"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Number of records obtained</w:t>
            </w:r>
          </w:p>
        </w:tc>
        <w:tc>
          <w:tcPr>
            <w:tcW w:w="1276" w:type="dxa"/>
            <w:tcBorders>
              <w:top w:val="single" w:sz="4" w:space="0" w:color="auto"/>
              <w:bottom w:val="single" w:sz="4" w:space="0" w:color="auto"/>
            </w:tcBorders>
            <w:shd w:val="clear" w:color="auto" w:fill="auto"/>
          </w:tcPr>
          <w:p w14:paraId="33458D4E"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 xml:space="preserve">Subset of records available for modelling </w:t>
            </w:r>
          </w:p>
        </w:tc>
        <w:tc>
          <w:tcPr>
            <w:tcW w:w="3489" w:type="dxa"/>
            <w:tcBorders>
              <w:top w:val="single" w:sz="4" w:space="0" w:color="auto"/>
              <w:bottom w:val="single" w:sz="4" w:space="0" w:color="auto"/>
            </w:tcBorders>
            <w:shd w:val="clear" w:color="auto" w:fill="auto"/>
          </w:tcPr>
          <w:p w14:paraId="0E4AAEA6"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Occurrence database reference</w:t>
            </w:r>
          </w:p>
        </w:tc>
      </w:tr>
      <w:tr w:rsidR="00426D3D" w:rsidRPr="00A150BC" w14:paraId="55E2DD43" w14:textId="77777777" w:rsidTr="001338F3">
        <w:trPr>
          <w:trHeight w:val="591"/>
        </w:trPr>
        <w:tc>
          <w:tcPr>
            <w:tcW w:w="2977" w:type="dxa"/>
            <w:tcBorders>
              <w:top w:val="single" w:sz="4" w:space="0" w:color="auto"/>
            </w:tcBorders>
            <w:shd w:val="clear" w:color="auto" w:fill="auto"/>
          </w:tcPr>
          <w:p w14:paraId="38D5AE2A" w14:textId="77777777" w:rsidR="00426D3D" w:rsidRPr="00A150BC" w:rsidRDefault="00426D3D" w:rsidP="001338F3">
            <w:pPr>
              <w:spacing w:after="60" w:line="240" w:lineRule="auto"/>
              <w:rPr>
                <w:rFonts w:eastAsia="Calibri" w:cs="Times New Roman"/>
                <w:i/>
                <w:iCs/>
                <w:sz w:val="20"/>
                <w:szCs w:val="20"/>
              </w:rPr>
            </w:pPr>
            <w:r w:rsidRPr="00A150BC">
              <w:rPr>
                <w:rFonts w:eastAsia="Calibri" w:cs="Times New Roman"/>
                <w:i/>
                <w:iCs/>
                <w:sz w:val="20"/>
                <w:szCs w:val="20"/>
              </w:rPr>
              <w:t>Adiantum raddianum</w:t>
            </w:r>
          </w:p>
        </w:tc>
        <w:tc>
          <w:tcPr>
            <w:tcW w:w="1276" w:type="dxa"/>
            <w:tcBorders>
              <w:top w:val="single" w:sz="4" w:space="0" w:color="auto"/>
            </w:tcBorders>
            <w:shd w:val="clear" w:color="auto" w:fill="auto"/>
          </w:tcPr>
          <w:p w14:paraId="78875BEB"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6 166</w:t>
            </w:r>
          </w:p>
        </w:tc>
        <w:tc>
          <w:tcPr>
            <w:tcW w:w="1276" w:type="dxa"/>
            <w:tcBorders>
              <w:top w:val="single" w:sz="4" w:space="0" w:color="auto"/>
            </w:tcBorders>
            <w:shd w:val="clear" w:color="auto" w:fill="auto"/>
          </w:tcPr>
          <w:p w14:paraId="7BDE3E54"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1 060</w:t>
            </w:r>
          </w:p>
        </w:tc>
        <w:tc>
          <w:tcPr>
            <w:tcW w:w="3489" w:type="dxa"/>
            <w:tcBorders>
              <w:top w:val="single" w:sz="4" w:space="0" w:color="auto"/>
            </w:tcBorders>
            <w:shd w:val="clear" w:color="auto" w:fill="auto"/>
          </w:tcPr>
          <w:p w14:paraId="180A1561"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GBIF.org (29 June 2022) GBIF Occurrence Download https://doi.org/10.15468/dl.s4yytz</w:t>
            </w:r>
          </w:p>
        </w:tc>
      </w:tr>
      <w:tr w:rsidR="00426D3D" w:rsidRPr="00A150BC" w14:paraId="60787406" w14:textId="77777777" w:rsidTr="001338F3">
        <w:trPr>
          <w:trHeight w:val="591"/>
        </w:trPr>
        <w:tc>
          <w:tcPr>
            <w:tcW w:w="2977" w:type="dxa"/>
            <w:shd w:val="clear" w:color="auto" w:fill="auto"/>
          </w:tcPr>
          <w:p w14:paraId="7B4F47ED" w14:textId="77777777" w:rsidR="00426D3D" w:rsidRPr="00A150BC" w:rsidRDefault="00426D3D" w:rsidP="001338F3">
            <w:pPr>
              <w:spacing w:after="60" w:line="240" w:lineRule="auto"/>
              <w:rPr>
                <w:rFonts w:eastAsia="Calibri" w:cs="Times New Roman"/>
                <w:i/>
                <w:iCs/>
                <w:sz w:val="20"/>
                <w:szCs w:val="20"/>
              </w:rPr>
            </w:pPr>
            <w:r w:rsidRPr="00A150BC">
              <w:rPr>
                <w:rFonts w:eastAsia="Calibri" w:cs="Times New Roman"/>
                <w:i/>
                <w:iCs/>
                <w:sz w:val="20"/>
                <w:szCs w:val="20"/>
              </w:rPr>
              <w:t>Dicksonia antarctica</w:t>
            </w:r>
          </w:p>
        </w:tc>
        <w:tc>
          <w:tcPr>
            <w:tcW w:w="1276" w:type="dxa"/>
            <w:shd w:val="clear" w:color="auto" w:fill="auto"/>
          </w:tcPr>
          <w:p w14:paraId="2B874137"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15 839</w:t>
            </w:r>
          </w:p>
        </w:tc>
        <w:tc>
          <w:tcPr>
            <w:tcW w:w="1276" w:type="dxa"/>
            <w:shd w:val="clear" w:color="auto" w:fill="auto"/>
          </w:tcPr>
          <w:p w14:paraId="7EDDA707"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3 356</w:t>
            </w:r>
          </w:p>
        </w:tc>
        <w:tc>
          <w:tcPr>
            <w:tcW w:w="3489" w:type="dxa"/>
            <w:shd w:val="clear" w:color="auto" w:fill="auto"/>
          </w:tcPr>
          <w:p w14:paraId="185DC5C2"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GBIF.org (29 June 2022) GBIF Occurrence Download https://doi.org/10.15468/dl.uvxkyf</w:t>
            </w:r>
          </w:p>
        </w:tc>
      </w:tr>
      <w:tr w:rsidR="00426D3D" w:rsidRPr="00A150BC" w14:paraId="55750C98" w14:textId="77777777" w:rsidTr="001338F3">
        <w:trPr>
          <w:trHeight w:val="599"/>
        </w:trPr>
        <w:tc>
          <w:tcPr>
            <w:tcW w:w="2977" w:type="dxa"/>
            <w:shd w:val="clear" w:color="auto" w:fill="auto"/>
          </w:tcPr>
          <w:p w14:paraId="0807EE23" w14:textId="77777777" w:rsidR="00426D3D" w:rsidRPr="00A150BC" w:rsidRDefault="00426D3D" w:rsidP="001338F3">
            <w:pPr>
              <w:spacing w:after="60" w:line="240" w:lineRule="auto"/>
              <w:rPr>
                <w:rFonts w:eastAsia="Calibri" w:cs="Times New Roman"/>
                <w:i/>
                <w:iCs/>
                <w:sz w:val="20"/>
                <w:szCs w:val="20"/>
              </w:rPr>
            </w:pPr>
            <w:r w:rsidRPr="00A150BC">
              <w:rPr>
                <w:rFonts w:eastAsia="Calibri" w:cs="Times New Roman"/>
                <w:i/>
                <w:iCs/>
                <w:sz w:val="20"/>
                <w:szCs w:val="20"/>
              </w:rPr>
              <w:t>Dryopteris erythrosora</w:t>
            </w:r>
          </w:p>
        </w:tc>
        <w:tc>
          <w:tcPr>
            <w:tcW w:w="1276" w:type="dxa"/>
            <w:shd w:val="clear" w:color="auto" w:fill="auto"/>
          </w:tcPr>
          <w:p w14:paraId="33477408"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18 996</w:t>
            </w:r>
          </w:p>
        </w:tc>
        <w:tc>
          <w:tcPr>
            <w:tcW w:w="1276" w:type="dxa"/>
            <w:shd w:val="clear" w:color="auto" w:fill="auto"/>
          </w:tcPr>
          <w:p w14:paraId="573B1D0A"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2979</w:t>
            </w:r>
          </w:p>
        </w:tc>
        <w:tc>
          <w:tcPr>
            <w:tcW w:w="3489" w:type="dxa"/>
            <w:shd w:val="clear" w:color="auto" w:fill="auto"/>
          </w:tcPr>
          <w:p w14:paraId="11D5E313"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GBIF.org (29 June 2022) GBIF Occurrence Download https://doi.org/10.15468/dl.mbk279</w:t>
            </w:r>
          </w:p>
        </w:tc>
      </w:tr>
      <w:tr w:rsidR="00426D3D" w:rsidRPr="00A150BC" w14:paraId="475C7FB7" w14:textId="77777777" w:rsidTr="001338F3">
        <w:trPr>
          <w:trHeight w:val="591"/>
        </w:trPr>
        <w:tc>
          <w:tcPr>
            <w:tcW w:w="2977" w:type="dxa"/>
            <w:shd w:val="clear" w:color="auto" w:fill="auto"/>
          </w:tcPr>
          <w:p w14:paraId="06710202" w14:textId="77777777" w:rsidR="00426D3D" w:rsidRPr="00A150BC" w:rsidRDefault="00426D3D" w:rsidP="001338F3">
            <w:pPr>
              <w:spacing w:after="60" w:line="240" w:lineRule="auto"/>
              <w:rPr>
                <w:rFonts w:eastAsia="Calibri" w:cs="Times New Roman"/>
                <w:i/>
                <w:iCs/>
                <w:sz w:val="20"/>
                <w:szCs w:val="20"/>
              </w:rPr>
            </w:pPr>
            <w:r w:rsidRPr="00A150BC">
              <w:rPr>
                <w:rFonts w:eastAsia="Calibri" w:cs="Times New Roman"/>
                <w:i/>
                <w:iCs/>
                <w:sz w:val="20"/>
                <w:szCs w:val="20"/>
              </w:rPr>
              <w:t>Lygodium japonicum</w:t>
            </w:r>
          </w:p>
        </w:tc>
        <w:tc>
          <w:tcPr>
            <w:tcW w:w="1276" w:type="dxa"/>
            <w:shd w:val="clear" w:color="auto" w:fill="auto"/>
          </w:tcPr>
          <w:p w14:paraId="3866B196"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14 764</w:t>
            </w:r>
          </w:p>
          <w:p w14:paraId="56B79D6F" w14:textId="77777777" w:rsidR="00426D3D" w:rsidRPr="00A150BC" w:rsidRDefault="00426D3D" w:rsidP="001338F3">
            <w:pPr>
              <w:spacing w:after="60" w:line="240" w:lineRule="auto"/>
              <w:rPr>
                <w:rFonts w:eastAsia="Calibri" w:cs="Times New Roman"/>
                <w:sz w:val="20"/>
                <w:szCs w:val="20"/>
              </w:rPr>
            </w:pPr>
          </w:p>
        </w:tc>
        <w:tc>
          <w:tcPr>
            <w:tcW w:w="1276" w:type="dxa"/>
            <w:shd w:val="clear" w:color="auto" w:fill="auto"/>
          </w:tcPr>
          <w:p w14:paraId="5D1F9246"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3760</w:t>
            </w:r>
          </w:p>
        </w:tc>
        <w:tc>
          <w:tcPr>
            <w:tcW w:w="3489" w:type="dxa"/>
            <w:shd w:val="clear" w:color="auto" w:fill="auto"/>
          </w:tcPr>
          <w:p w14:paraId="1F3B774D"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GBIF.org (29 June 2022) GBIF Occurrence Download https://doi.org/10.15468/dl.w9wuck</w:t>
            </w:r>
          </w:p>
        </w:tc>
      </w:tr>
      <w:tr w:rsidR="00426D3D" w:rsidRPr="00A150BC" w14:paraId="56554565" w14:textId="77777777" w:rsidTr="001338F3">
        <w:trPr>
          <w:trHeight w:val="591"/>
        </w:trPr>
        <w:tc>
          <w:tcPr>
            <w:tcW w:w="2977" w:type="dxa"/>
            <w:shd w:val="clear" w:color="auto" w:fill="auto"/>
          </w:tcPr>
          <w:p w14:paraId="429C78E8" w14:textId="77777777" w:rsidR="00426D3D" w:rsidRPr="00A150BC" w:rsidRDefault="00426D3D" w:rsidP="001338F3">
            <w:pPr>
              <w:spacing w:after="60" w:line="240" w:lineRule="auto"/>
              <w:rPr>
                <w:rFonts w:eastAsia="Calibri" w:cs="Times New Roman"/>
                <w:i/>
                <w:iCs/>
                <w:sz w:val="20"/>
                <w:szCs w:val="20"/>
              </w:rPr>
            </w:pPr>
            <w:r w:rsidRPr="00A150BC">
              <w:rPr>
                <w:rFonts w:eastAsia="Calibri" w:cs="Times New Roman"/>
                <w:i/>
                <w:iCs/>
                <w:sz w:val="20"/>
                <w:szCs w:val="20"/>
              </w:rPr>
              <w:t>Phlebodium aureum</w:t>
            </w:r>
          </w:p>
        </w:tc>
        <w:tc>
          <w:tcPr>
            <w:tcW w:w="1276" w:type="dxa"/>
            <w:shd w:val="clear" w:color="auto" w:fill="auto"/>
          </w:tcPr>
          <w:p w14:paraId="07D72591"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5 125</w:t>
            </w:r>
          </w:p>
        </w:tc>
        <w:tc>
          <w:tcPr>
            <w:tcW w:w="1276" w:type="dxa"/>
            <w:shd w:val="clear" w:color="auto" w:fill="auto"/>
          </w:tcPr>
          <w:p w14:paraId="63C8D183"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1 154</w:t>
            </w:r>
          </w:p>
        </w:tc>
        <w:tc>
          <w:tcPr>
            <w:tcW w:w="3489" w:type="dxa"/>
            <w:shd w:val="clear" w:color="auto" w:fill="auto"/>
          </w:tcPr>
          <w:p w14:paraId="2A1A8461"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GBIF.org (29 June 2022) GBIF Occurrence Download https://doi.org/10.15468/dl.6egjxh</w:t>
            </w:r>
          </w:p>
        </w:tc>
      </w:tr>
      <w:tr w:rsidR="00426D3D" w:rsidRPr="00A150BC" w14:paraId="7BA29499" w14:textId="77777777" w:rsidTr="001338F3">
        <w:trPr>
          <w:trHeight w:val="591"/>
        </w:trPr>
        <w:tc>
          <w:tcPr>
            <w:tcW w:w="2977" w:type="dxa"/>
            <w:tcBorders>
              <w:bottom w:val="single" w:sz="4" w:space="0" w:color="auto"/>
            </w:tcBorders>
            <w:shd w:val="clear" w:color="auto" w:fill="auto"/>
          </w:tcPr>
          <w:p w14:paraId="20540A76" w14:textId="77777777" w:rsidR="00426D3D" w:rsidRPr="00A150BC" w:rsidRDefault="00426D3D" w:rsidP="001338F3">
            <w:pPr>
              <w:spacing w:after="60" w:line="240" w:lineRule="auto"/>
              <w:rPr>
                <w:rFonts w:eastAsia="Calibri" w:cs="Times New Roman"/>
                <w:i/>
                <w:iCs/>
                <w:sz w:val="20"/>
                <w:szCs w:val="20"/>
              </w:rPr>
            </w:pPr>
            <w:r w:rsidRPr="00A150BC">
              <w:rPr>
                <w:rFonts w:eastAsia="Calibri" w:cs="Times New Roman"/>
                <w:i/>
                <w:iCs/>
                <w:sz w:val="20"/>
                <w:szCs w:val="20"/>
              </w:rPr>
              <w:t>Sphaeropteris cooperi</w:t>
            </w:r>
          </w:p>
        </w:tc>
        <w:tc>
          <w:tcPr>
            <w:tcW w:w="1276" w:type="dxa"/>
            <w:tcBorders>
              <w:bottom w:val="single" w:sz="4" w:space="0" w:color="auto"/>
            </w:tcBorders>
            <w:shd w:val="clear" w:color="auto" w:fill="auto"/>
          </w:tcPr>
          <w:p w14:paraId="53221161"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3 237</w:t>
            </w:r>
          </w:p>
        </w:tc>
        <w:tc>
          <w:tcPr>
            <w:tcW w:w="1276" w:type="dxa"/>
            <w:tcBorders>
              <w:bottom w:val="single" w:sz="4" w:space="0" w:color="auto"/>
            </w:tcBorders>
            <w:shd w:val="clear" w:color="auto" w:fill="auto"/>
          </w:tcPr>
          <w:p w14:paraId="5D019F23"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886</w:t>
            </w:r>
          </w:p>
        </w:tc>
        <w:tc>
          <w:tcPr>
            <w:tcW w:w="3489" w:type="dxa"/>
            <w:tcBorders>
              <w:bottom w:val="single" w:sz="4" w:space="0" w:color="auto"/>
            </w:tcBorders>
            <w:shd w:val="clear" w:color="auto" w:fill="auto"/>
          </w:tcPr>
          <w:p w14:paraId="2242E6F2" w14:textId="77777777" w:rsidR="00426D3D" w:rsidRPr="00A150BC" w:rsidRDefault="00426D3D" w:rsidP="001338F3">
            <w:pPr>
              <w:spacing w:after="60" w:line="240" w:lineRule="auto"/>
              <w:rPr>
                <w:rFonts w:eastAsia="Calibri" w:cs="Times New Roman"/>
                <w:sz w:val="20"/>
                <w:szCs w:val="20"/>
              </w:rPr>
            </w:pPr>
            <w:r w:rsidRPr="00A150BC">
              <w:rPr>
                <w:rFonts w:eastAsia="Calibri" w:cs="Times New Roman"/>
                <w:sz w:val="20"/>
                <w:szCs w:val="20"/>
              </w:rPr>
              <w:t>GBIF.org (29 June 2022) GBIF Occurrence Download https://doi.org/10.15468/dl.7arm62</w:t>
            </w:r>
          </w:p>
        </w:tc>
      </w:tr>
    </w:tbl>
    <w:p w14:paraId="272BA4C0" w14:textId="77777777" w:rsidR="00426D3D" w:rsidRPr="00A150BC" w:rsidRDefault="00426D3D" w:rsidP="00426D3D">
      <w:pPr>
        <w:spacing w:after="160" w:line="259" w:lineRule="auto"/>
        <w:rPr>
          <w:rFonts w:eastAsia="Times New Roman" w:cs="Times New Roman"/>
          <w:b/>
          <w:bCs/>
          <w:color w:val="000000" w:themeColor="text1"/>
          <w:sz w:val="32"/>
          <w:szCs w:val="32"/>
        </w:rPr>
      </w:pPr>
    </w:p>
    <w:p w14:paraId="505C1445" w14:textId="77777777" w:rsidR="00426D3D" w:rsidRPr="00A150BC" w:rsidRDefault="00426D3D" w:rsidP="00426D3D">
      <w:pPr>
        <w:spacing w:after="160" w:line="259" w:lineRule="auto"/>
        <w:rPr>
          <w:rFonts w:eastAsia="Times New Roman" w:cs="Times New Roman"/>
          <w:b/>
          <w:bCs/>
          <w:color w:val="000000" w:themeColor="text1"/>
          <w:sz w:val="32"/>
          <w:szCs w:val="32"/>
        </w:rPr>
      </w:pPr>
      <w:r w:rsidRPr="00A150BC">
        <w:rPr>
          <w:rFonts w:eastAsia="Times New Roman" w:cs="Times New Roman"/>
          <w:b/>
          <w:bCs/>
          <w:color w:val="000000" w:themeColor="text1"/>
          <w:sz w:val="32"/>
          <w:szCs w:val="32"/>
        </w:rPr>
        <w:br w:type="page"/>
      </w:r>
    </w:p>
    <w:p w14:paraId="77826F95" w14:textId="77777777" w:rsidR="00426D3D" w:rsidRPr="00A150BC" w:rsidRDefault="00426D3D" w:rsidP="00426D3D">
      <w:pPr>
        <w:pStyle w:val="Caption"/>
        <w:rPr>
          <w:rFonts w:cs="Times New Roman"/>
        </w:rPr>
      </w:pPr>
      <w:r w:rsidRPr="00A150BC">
        <w:rPr>
          <w:rFonts w:cs="Times New Roman"/>
          <w:b/>
          <w:bCs/>
        </w:rPr>
        <w:lastRenderedPageBreak/>
        <w:t xml:space="preserve">Supplementary </w:t>
      </w:r>
      <w:bookmarkStart w:id="2" w:name="_Hlk89286123"/>
      <w:r w:rsidRPr="00A150BC">
        <w:rPr>
          <w:rFonts w:cs="Times New Roman"/>
          <w:b/>
          <w:bCs/>
        </w:rPr>
        <w:t>3</w:t>
      </w:r>
      <w:r w:rsidRPr="00A150BC">
        <w:rPr>
          <w:rFonts w:cs="Times New Roman"/>
        </w:rPr>
        <w:t xml:space="preserve"> A breakdown of the land cover variable which was acquired from the ESA CCI Land Cover project</w:t>
      </w:r>
      <w:bookmarkEnd w:id="2"/>
      <w:r w:rsidRPr="00A150BC">
        <w:rPr>
          <w:rFonts w:cs="Times New Roman"/>
        </w:rPr>
        <w:t xml:space="preserve"> (http://maps.elie.ucl.ac.be/CCI/viewer/download.php). Left aligned numbers and land cover types are main categories, and right aligned numbers and land cover types are sub-categories.</w:t>
      </w:r>
    </w:p>
    <w:p w14:paraId="61FFA322" w14:textId="77777777" w:rsidR="00426D3D" w:rsidRPr="00A150BC" w:rsidRDefault="00426D3D" w:rsidP="00426D3D">
      <w:pPr>
        <w:rPr>
          <w:rFonts w:cs="Times New Roman"/>
        </w:rPr>
      </w:pPr>
      <w:r w:rsidRPr="00A150BC">
        <w:rPr>
          <w:rFonts w:cs="Times New Roman"/>
          <w:noProof/>
          <w:lang w:val="bg-BG" w:eastAsia="bg-BG"/>
        </w:rPr>
        <w:drawing>
          <wp:inline distT="0" distB="0" distL="0" distR="0" wp14:anchorId="30FF8C3A" wp14:editId="56B359B9">
            <wp:extent cx="5092995" cy="5456555"/>
            <wp:effectExtent l="0" t="0" r="0" b="0"/>
            <wp:docPr id="14" name="Picture 4" descr="Table&#10;&#10;Description automatically generated">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C30B6FB-E675-4FB2-9A69-B47F796B55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Table&#10;&#10;Description automatically generated">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C30B6FB-E675-4FB2-9A69-B47F796B5511}"/>
                        </a:ext>
                      </a:extLst>
                    </pic:cNvPr>
                    <pic:cNvPicPr>
                      <a:picLocks noChangeAspect="1"/>
                    </pic:cNvPicPr>
                  </pic:nvPicPr>
                  <pic:blipFill rotWithShape="1">
                    <a:blip r:embed="rId5">
                      <a:extLst>
                        <a:ext uri="{28A0092B-C50C-407E-A947-70E740481C1C}">
                          <a14:useLocalDpi xmlns:a14="http://schemas.microsoft.com/office/drawing/2010/main" val="0"/>
                        </a:ext>
                      </a:extLst>
                    </a:blip>
                    <a:srcRect r="11141"/>
                    <a:stretch/>
                  </pic:blipFill>
                  <pic:spPr bwMode="auto">
                    <a:xfrm>
                      <a:off x="0" y="0"/>
                      <a:ext cx="5092995" cy="5456555"/>
                    </a:xfrm>
                    <a:prstGeom prst="rect">
                      <a:avLst/>
                    </a:prstGeom>
                    <a:ln>
                      <a:noFill/>
                    </a:ln>
                    <a:extLst>
                      <a:ext uri="{53640926-AAD7-44D8-BBD7-CCE9431645EC}">
                        <a14:shadowObscured xmlns:a14="http://schemas.microsoft.com/office/drawing/2010/main"/>
                      </a:ext>
                    </a:extLst>
                  </pic:spPr>
                </pic:pic>
              </a:graphicData>
            </a:graphic>
          </wp:inline>
        </w:drawing>
      </w:r>
    </w:p>
    <w:p w14:paraId="272240DF" w14:textId="77777777" w:rsidR="00426D3D" w:rsidRPr="00A150BC" w:rsidRDefault="00426D3D" w:rsidP="00426D3D">
      <w:pPr>
        <w:spacing w:after="240"/>
        <w:rPr>
          <w:rFonts w:cs="Times New Roman"/>
          <w:b/>
          <w:bCs/>
          <w:iCs/>
          <w:sz w:val="20"/>
          <w:szCs w:val="18"/>
        </w:rPr>
      </w:pPr>
      <w:r w:rsidRPr="00A150BC">
        <w:rPr>
          <w:rFonts w:cs="Times New Roman"/>
          <w:b/>
          <w:bCs/>
          <w:iCs/>
          <w:sz w:val="20"/>
          <w:szCs w:val="18"/>
        </w:rPr>
        <w:br w:type="page"/>
      </w:r>
    </w:p>
    <w:p w14:paraId="681F659B" w14:textId="07663C1B" w:rsidR="00426D3D" w:rsidRPr="00A150BC" w:rsidRDefault="00426D3D" w:rsidP="00426D3D">
      <w:pPr>
        <w:spacing w:after="0"/>
        <w:rPr>
          <w:rFonts w:cs="Times New Roman"/>
          <w:iCs/>
          <w:sz w:val="20"/>
          <w:szCs w:val="18"/>
        </w:rPr>
      </w:pPr>
      <w:r w:rsidRPr="00A150BC">
        <w:rPr>
          <w:rFonts w:cs="Times New Roman"/>
          <w:b/>
          <w:bCs/>
          <w:iCs/>
          <w:sz w:val="20"/>
          <w:szCs w:val="18"/>
        </w:rPr>
        <w:lastRenderedPageBreak/>
        <w:t>Supplementary 4</w:t>
      </w:r>
      <w:r w:rsidRPr="00A150BC">
        <w:rPr>
          <w:rFonts w:cs="Times New Roman"/>
          <w:iCs/>
          <w:sz w:val="20"/>
          <w:szCs w:val="18"/>
        </w:rPr>
        <w:t xml:space="preserve"> Decision tree used for </w:t>
      </w:r>
      <w:r w:rsidR="00D5593E" w:rsidRPr="00A150BC">
        <w:rPr>
          <w:rFonts w:cs="Times New Roman"/>
          <w:iCs/>
          <w:sz w:val="20"/>
          <w:szCs w:val="18"/>
        </w:rPr>
        <w:t>categorising species as per the</w:t>
      </w:r>
      <w:r w:rsidR="00766844" w:rsidRPr="00A150BC">
        <w:rPr>
          <w:rFonts w:cs="Times New Roman"/>
          <w:iCs/>
          <w:sz w:val="20"/>
          <w:szCs w:val="18"/>
        </w:rPr>
        <w:t xml:space="preserve"> </w:t>
      </w:r>
      <w:r w:rsidR="00445142" w:rsidRPr="00A150BC">
        <w:rPr>
          <w:rFonts w:cs="Times New Roman"/>
          <w:iCs/>
          <w:sz w:val="20"/>
          <w:szCs w:val="18"/>
        </w:rPr>
        <w:t xml:space="preserve">level of risk </w:t>
      </w:r>
      <w:r w:rsidR="00D5593E" w:rsidRPr="00A150BC">
        <w:rPr>
          <w:rFonts w:cs="Times New Roman"/>
          <w:iCs/>
          <w:sz w:val="20"/>
          <w:szCs w:val="18"/>
        </w:rPr>
        <w:t xml:space="preserve">posed </w:t>
      </w:r>
      <w:r w:rsidR="00F846C2" w:rsidRPr="00A150BC">
        <w:rPr>
          <w:rFonts w:cs="Times New Roman"/>
          <w:iCs/>
          <w:sz w:val="20"/>
          <w:szCs w:val="18"/>
        </w:rPr>
        <w:t>in countries where they are traded</w:t>
      </w:r>
      <w:r w:rsidRPr="00A150BC">
        <w:rPr>
          <w:rFonts w:cs="Times New Roman"/>
          <w:iCs/>
          <w:sz w:val="20"/>
          <w:szCs w:val="18"/>
        </w:rPr>
        <w:t xml:space="preserve">. All species are present in the trading countries considered and all are invasive somewhere in the world – hence ‘yes’ is the only possible response for the first two questions of the decision tree. </w:t>
      </w:r>
    </w:p>
    <w:p w14:paraId="1789C6CD" w14:textId="289C7AB5" w:rsidR="00426D3D" w:rsidRPr="00A150BC" w:rsidRDefault="006267DF" w:rsidP="00426D3D">
      <w:pPr>
        <w:spacing w:after="240"/>
        <w:rPr>
          <w:rFonts w:eastAsia="Calibri" w:cs="Times New Roman"/>
          <w:szCs w:val="24"/>
        </w:rPr>
      </w:pPr>
      <w:r w:rsidRPr="00A150BC">
        <w:rPr>
          <w:rFonts w:eastAsia="Calibri" w:cs="Times New Roman"/>
          <w:noProof/>
          <w:szCs w:val="24"/>
          <w:lang w:val="bg-BG" w:eastAsia="bg-BG"/>
        </w:rPr>
        <w:drawing>
          <wp:inline distT="0" distB="0" distL="0" distR="0" wp14:anchorId="161C2DED" wp14:editId="3A4E09F1">
            <wp:extent cx="5731510" cy="2046605"/>
            <wp:effectExtent l="0" t="0" r="2540" b="0"/>
            <wp:docPr id="143925285" name="Picture 2"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25285" name="Picture 2" descr="A black background with white text&#10;&#10;Description automatically generated with low confidence"/>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2046605"/>
                    </a:xfrm>
                    <a:prstGeom prst="rect">
                      <a:avLst/>
                    </a:prstGeom>
                  </pic:spPr>
                </pic:pic>
              </a:graphicData>
            </a:graphic>
          </wp:inline>
        </w:drawing>
      </w:r>
    </w:p>
    <w:p w14:paraId="1B9C51A2" w14:textId="77777777" w:rsidR="00426D3D" w:rsidRPr="00A150BC" w:rsidRDefault="00426D3D" w:rsidP="00426D3D">
      <w:pPr>
        <w:rPr>
          <w:rFonts w:cs="Times New Roman"/>
        </w:rPr>
      </w:pPr>
    </w:p>
    <w:p w14:paraId="56F47F4E" w14:textId="582F69BA" w:rsidR="00426D3D" w:rsidRPr="00A150BC" w:rsidRDefault="00426D3D" w:rsidP="00426D3D">
      <w:pPr>
        <w:rPr>
          <w:rFonts w:cs="Times New Roman"/>
        </w:rPr>
        <w:sectPr w:rsidR="00426D3D" w:rsidRPr="00A150BC" w:rsidSect="00CE1689">
          <w:pgSz w:w="11906" w:h="16838"/>
          <w:pgMar w:top="1440" w:right="1440" w:bottom="1440" w:left="1440" w:header="708" w:footer="708" w:gutter="0"/>
          <w:lnNumType w:countBy="1" w:restart="continuous"/>
          <w:cols w:space="708"/>
          <w:docGrid w:linePitch="360"/>
        </w:sectPr>
      </w:pPr>
    </w:p>
    <w:p w14:paraId="7CC4A9CD" w14:textId="77777777" w:rsidR="00426D3D" w:rsidRPr="00A150BC" w:rsidRDefault="00426D3D" w:rsidP="00426D3D">
      <w:pPr>
        <w:pStyle w:val="Caption"/>
        <w:rPr>
          <w:rFonts w:cs="Times New Roman"/>
        </w:rPr>
      </w:pPr>
      <w:r w:rsidRPr="00A150BC">
        <w:rPr>
          <w:rFonts w:cs="Times New Roman"/>
          <w:b/>
          <w:bCs/>
        </w:rPr>
        <w:lastRenderedPageBreak/>
        <w:t>Supplementary 5</w:t>
      </w:r>
      <w:r w:rsidRPr="00A150BC">
        <w:rPr>
          <w:rFonts w:cs="Times New Roman"/>
        </w:rPr>
        <w:t xml:space="preserve"> </w:t>
      </w:r>
      <w:bookmarkStart w:id="3" w:name="_Hlk120107970"/>
      <w:r w:rsidRPr="00A150BC">
        <w:rPr>
          <w:rFonts w:cs="Times New Roman"/>
        </w:rPr>
        <w:t xml:space="preserve">Response curves for the SDMs for each study species. Curves show how each environmental variable affects the Maxent prediction and how the predicted probability of presence changes </w:t>
      </w:r>
      <w:bookmarkEnd w:id="3"/>
      <w:r w:rsidRPr="00A150BC">
        <w:rPr>
          <w:rFonts w:cs="Times New Roman"/>
        </w:rPr>
        <w:t>as each environmental variable is varied, keeping all other environmental variables at their average sample value.</w:t>
      </w:r>
    </w:p>
    <w:bookmarkEnd w:id="0"/>
    <w:p w14:paraId="1FB30ED7" w14:textId="77777777" w:rsidR="00426D3D" w:rsidRPr="005F62BA" w:rsidRDefault="00426D3D" w:rsidP="00426D3D">
      <w:pPr>
        <w:spacing w:after="160" w:line="259" w:lineRule="auto"/>
        <w:rPr>
          <w:rFonts w:cs="Times New Roman"/>
        </w:rPr>
        <w:sectPr w:rsidR="00426D3D" w:rsidRPr="005F62BA" w:rsidSect="00CE1689">
          <w:pgSz w:w="16838" w:h="11906" w:orient="landscape"/>
          <w:pgMar w:top="1440" w:right="1440" w:bottom="1440" w:left="1440" w:header="708" w:footer="708" w:gutter="0"/>
          <w:lnNumType w:countBy="1" w:restart="continuous"/>
          <w:cols w:space="708"/>
          <w:docGrid w:linePitch="360"/>
        </w:sectPr>
      </w:pPr>
      <w:r w:rsidRPr="00A150BC">
        <w:rPr>
          <w:rFonts w:cs="Times New Roman"/>
          <w:noProof/>
          <w:lang w:val="bg-BG" w:eastAsia="bg-BG"/>
        </w:rPr>
        <w:drawing>
          <wp:inline distT="0" distB="0" distL="0" distR="0" wp14:anchorId="29A82277" wp14:editId="323F00FA">
            <wp:extent cx="7981950" cy="52818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6948" cy="5298387"/>
                    </a:xfrm>
                    <a:prstGeom prst="rect">
                      <a:avLst/>
                    </a:prstGeom>
                    <a:noFill/>
                  </pic:spPr>
                </pic:pic>
              </a:graphicData>
            </a:graphic>
          </wp:inline>
        </w:drawing>
      </w:r>
    </w:p>
    <w:p w14:paraId="2E951BF0" w14:textId="50CD76F2" w:rsidR="00AF2008" w:rsidRDefault="00C727C9" w:rsidP="0082283B">
      <w:pPr>
        <w:rPr>
          <w:rFonts w:cs="Times New Roman"/>
          <w:b/>
          <w:bCs/>
        </w:rPr>
      </w:pPr>
      <w:r w:rsidRPr="00A150BC">
        <w:rPr>
          <w:rFonts w:cs="Times New Roman"/>
          <w:b/>
          <w:bCs/>
        </w:rPr>
        <w:lastRenderedPageBreak/>
        <w:t xml:space="preserve">Supplementary </w:t>
      </w:r>
      <w:r>
        <w:rPr>
          <w:rFonts w:cs="Times New Roman"/>
          <w:b/>
          <w:bCs/>
        </w:rPr>
        <w:t>References</w:t>
      </w:r>
    </w:p>
    <w:p w14:paraId="788F3D21" w14:textId="77777777" w:rsidR="00D45222" w:rsidRDefault="00D45222" w:rsidP="00A3274B">
      <w:pPr>
        <w:pBdr>
          <w:top w:val="nil"/>
          <w:left w:val="nil"/>
          <w:bottom w:val="nil"/>
          <w:right w:val="nil"/>
          <w:between w:val="nil"/>
        </w:pBdr>
        <w:spacing w:before="40" w:after="80"/>
        <w:ind w:left="720" w:hanging="720"/>
        <w:rPr>
          <w:color w:val="0000FF"/>
          <w:u w:val="single"/>
        </w:rPr>
      </w:pPr>
      <w:r>
        <w:rPr>
          <w:color w:val="000000"/>
        </w:rPr>
        <w:t xml:space="preserve">Austin M (2007) Species distribution models and ecological theory: A critical assessment and some possible new approaches. Ecological Modelling 200:1–19. </w:t>
      </w:r>
      <w:hyperlink r:id="rId8">
        <w:r>
          <w:rPr>
            <w:color w:val="0000FF"/>
            <w:u w:val="single"/>
          </w:rPr>
          <w:t>https://doi.org/10.1016/j.ecolmodel.2006.07.005</w:t>
        </w:r>
      </w:hyperlink>
    </w:p>
    <w:p w14:paraId="1B38C166" w14:textId="77777777" w:rsidR="00D07B9F" w:rsidRDefault="00D07B9F" w:rsidP="00A3274B">
      <w:pPr>
        <w:pBdr>
          <w:top w:val="nil"/>
          <w:left w:val="nil"/>
          <w:bottom w:val="nil"/>
          <w:right w:val="nil"/>
          <w:between w:val="nil"/>
        </w:pBdr>
        <w:spacing w:before="40" w:after="80"/>
        <w:ind w:left="720" w:hanging="720"/>
        <w:rPr>
          <w:color w:val="0000FF"/>
          <w:u w:val="single"/>
        </w:rPr>
      </w:pPr>
      <w:r>
        <w:rPr>
          <w:color w:val="000000"/>
        </w:rPr>
        <w:t xml:space="preserve">Barbet-Massin M, Rome Q, </w:t>
      </w:r>
      <w:proofErr w:type="spellStart"/>
      <w:r>
        <w:rPr>
          <w:color w:val="000000"/>
        </w:rPr>
        <w:t>Villemant</w:t>
      </w:r>
      <w:proofErr w:type="spellEnd"/>
      <w:r>
        <w:rPr>
          <w:color w:val="000000"/>
        </w:rPr>
        <w:t xml:space="preserve"> C, </w:t>
      </w:r>
      <w:proofErr w:type="spellStart"/>
      <w:r>
        <w:rPr>
          <w:color w:val="000000"/>
        </w:rPr>
        <w:t>Courchamp</w:t>
      </w:r>
      <w:proofErr w:type="spellEnd"/>
      <w:r>
        <w:rPr>
          <w:color w:val="000000"/>
        </w:rPr>
        <w:t xml:space="preserve"> F (2018) Can species distribution models really predict the expansion of invasive species? </w:t>
      </w:r>
      <w:proofErr w:type="spellStart"/>
      <w:r>
        <w:rPr>
          <w:color w:val="000000"/>
        </w:rPr>
        <w:t>PLoS</w:t>
      </w:r>
      <w:proofErr w:type="spellEnd"/>
      <w:r>
        <w:rPr>
          <w:color w:val="000000"/>
        </w:rPr>
        <w:t xml:space="preserve"> One 13(3):e0193085. </w:t>
      </w:r>
      <w:hyperlink r:id="rId9">
        <w:r>
          <w:rPr>
            <w:color w:val="0000FF"/>
            <w:u w:val="single"/>
          </w:rPr>
          <w:t>https://doi.org/10.1371/journal.pone.0193085</w:t>
        </w:r>
      </w:hyperlink>
    </w:p>
    <w:p w14:paraId="47A443BC" w14:textId="77777777" w:rsidR="00CC46F5" w:rsidRDefault="00CC46F5" w:rsidP="00A3274B">
      <w:pPr>
        <w:pBdr>
          <w:top w:val="nil"/>
          <w:left w:val="nil"/>
          <w:bottom w:val="nil"/>
          <w:right w:val="nil"/>
          <w:between w:val="nil"/>
        </w:pBdr>
        <w:spacing w:before="40" w:after="80"/>
        <w:ind w:left="720" w:hanging="720"/>
        <w:rPr>
          <w:color w:val="000000"/>
        </w:rPr>
      </w:pPr>
      <w:r>
        <w:rPr>
          <w:color w:val="000000"/>
        </w:rPr>
        <w:t xml:space="preserve">Boyce MS, Vernier PR, Nielsen SE, Schmiegelow FKA (2002) Evaluating resource selection functions. Ecological Modelling 157:281–300. </w:t>
      </w:r>
      <w:r>
        <w:rPr>
          <w:color w:val="0000FF"/>
          <w:u w:val="single"/>
        </w:rPr>
        <w:t>https://doi.org/10.1016/S0304-3800(02)00200-4</w:t>
      </w:r>
    </w:p>
    <w:p w14:paraId="3A3023F1" w14:textId="2092382C" w:rsidR="005F3278" w:rsidRDefault="005F3278" w:rsidP="00A3274B">
      <w:pPr>
        <w:pBdr>
          <w:top w:val="nil"/>
          <w:left w:val="nil"/>
          <w:bottom w:val="nil"/>
          <w:right w:val="nil"/>
          <w:between w:val="nil"/>
        </w:pBdr>
        <w:spacing w:before="40" w:after="80"/>
        <w:ind w:left="720" w:hanging="720"/>
        <w:rPr>
          <w:color w:val="0000FF"/>
          <w:u w:val="single"/>
        </w:rPr>
      </w:pPr>
      <w:proofErr w:type="spellStart"/>
      <w:r>
        <w:rPr>
          <w:color w:val="000000"/>
        </w:rPr>
        <w:t>Braunisch</w:t>
      </w:r>
      <w:proofErr w:type="spellEnd"/>
      <w:r>
        <w:rPr>
          <w:color w:val="000000"/>
        </w:rPr>
        <w:t xml:space="preserve"> V, </w:t>
      </w:r>
      <w:proofErr w:type="spellStart"/>
      <w:r>
        <w:rPr>
          <w:color w:val="000000"/>
        </w:rPr>
        <w:t>Coppes</w:t>
      </w:r>
      <w:proofErr w:type="spellEnd"/>
      <w:r>
        <w:rPr>
          <w:color w:val="000000"/>
        </w:rPr>
        <w:t xml:space="preserve"> J, </w:t>
      </w:r>
      <w:proofErr w:type="spellStart"/>
      <w:r>
        <w:rPr>
          <w:color w:val="000000"/>
        </w:rPr>
        <w:t>Arlettaz</w:t>
      </w:r>
      <w:proofErr w:type="spellEnd"/>
      <w:r>
        <w:rPr>
          <w:color w:val="000000"/>
        </w:rPr>
        <w:t xml:space="preserve"> R, </w:t>
      </w:r>
      <w:proofErr w:type="spellStart"/>
      <w:r>
        <w:rPr>
          <w:color w:val="000000"/>
        </w:rPr>
        <w:t>Suchant</w:t>
      </w:r>
      <w:proofErr w:type="spellEnd"/>
      <w:r>
        <w:rPr>
          <w:color w:val="000000"/>
        </w:rPr>
        <w:t xml:space="preserve"> R, Schmid H, Bollman K (2013) Selecting from correlated climate variables: A major source of uncertainty for predicting species distributions under climate change. </w:t>
      </w:r>
      <w:proofErr w:type="spellStart"/>
      <w:r>
        <w:rPr>
          <w:color w:val="000000"/>
        </w:rPr>
        <w:t>Ecography</w:t>
      </w:r>
      <w:proofErr w:type="spellEnd"/>
      <w:r>
        <w:rPr>
          <w:color w:val="000000"/>
        </w:rPr>
        <w:t xml:space="preserve"> 36:971–983. </w:t>
      </w:r>
      <w:hyperlink r:id="rId10" w:history="1">
        <w:r w:rsidR="00E93C52" w:rsidRPr="002727C5">
          <w:rPr>
            <w:rStyle w:val="Hyperlink"/>
          </w:rPr>
          <w:t>https://doi.org/10.1111/j.1600-0587.2013.00138.x</w:t>
        </w:r>
      </w:hyperlink>
    </w:p>
    <w:p w14:paraId="6EA78C7A" w14:textId="77777777" w:rsidR="00E93C52" w:rsidRDefault="00E93C52" w:rsidP="00A3274B">
      <w:pPr>
        <w:pBdr>
          <w:top w:val="nil"/>
          <w:left w:val="nil"/>
          <w:bottom w:val="nil"/>
          <w:right w:val="nil"/>
          <w:between w:val="nil"/>
        </w:pBdr>
        <w:spacing w:before="40" w:after="80"/>
        <w:ind w:left="720" w:hanging="720"/>
        <w:rPr>
          <w:color w:val="0000FF"/>
          <w:u w:val="single"/>
        </w:rPr>
      </w:pPr>
      <w:r>
        <w:rPr>
          <w:color w:val="000000"/>
        </w:rPr>
        <w:t xml:space="preserve">Chapman D, </w:t>
      </w:r>
      <w:proofErr w:type="spellStart"/>
      <w:r>
        <w:rPr>
          <w:color w:val="000000"/>
        </w:rPr>
        <w:t>Pescott</w:t>
      </w:r>
      <w:proofErr w:type="spellEnd"/>
      <w:r>
        <w:rPr>
          <w:color w:val="000000"/>
        </w:rPr>
        <w:t xml:space="preserve"> OL, Roy HE, Tanner R (2019) Improving species distribution models for invasive non-native species with biologically informed pseudo-absence selection. Journal of Biogeography 46:1029–1040. </w:t>
      </w:r>
      <w:hyperlink r:id="rId11">
        <w:r>
          <w:rPr>
            <w:color w:val="0000FF"/>
            <w:u w:val="single"/>
          </w:rPr>
          <w:t>https://doi.org/10.1111/jbi.13555</w:t>
        </w:r>
      </w:hyperlink>
    </w:p>
    <w:p w14:paraId="5DC5CD8D" w14:textId="77777777" w:rsidR="00276A67" w:rsidRDefault="00276A67" w:rsidP="00A3274B">
      <w:pPr>
        <w:pBdr>
          <w:top w:val="nil"/>
          <w:left w:val="nil"/>
          <w:bottom w:val="nil"/>
          <w:right w:val="nil"/>
          <w:between w:val="nil"/>
        </w:pBdr>
        <w:spacing w:before="40" w:after="80"/>
        <w:ind w:left="720" w:hanging="720"/>
        <w:rPr>
          <w:color w:val="000000"/>
        </w:rPr>
      </w:pPr>
      <w:proofErr w:type="spellStart"/>
      <w:r>
        <w:rPr>
          <w:color w:val="000000"/>
        </w:rPr>
        <w:t>Dormann</w:t>
      </w:r>
      <w:proofErr w:type="spellEnd"/>
      <w:r>
        <w:rPr>
          <w:color w:val="000000"/>
        </w:rPr>
        <w:t xml:space="preserve"> CF, </w:t>
      </w:r>
      <w:proofErr w:type="spellStart"/>
      <w:r>
        <w:rPr>
          <w:color w:val="000000"/>
        </w:rPr>
        <w:t>Purschke</w:t>
      </w:r>
      <w:proofErr w:type="spellEnd"/>
      <w:r>
        <w:rPr>
          <w:color w:val="000000"/>
        </w:rPr>
        <w:t xml:space="preserve"> O, </w:t>
      </w:r>
      <w:proofErr w:type="spellStart"/>
      <w:r>
        <w:rPr>
          <w:color w:val="000000"/>
        </w:rPr>
        <w:t>Márquez</w:t>
      </w:r>
      <w:proofErr w:type="spellEnd"/>
      <w:r>
        <w:rPr>
          <w:color w:val="000000"/>
        </w:rPr>
        <w:t xml:space="preserve"> JRG, </w:t>
      </w:r>
      <w:r w:rsidRPr="004B5398">
        <w:rPr>
          <w:color w:val="000000"/>
        </w:rPr>
        <w:t>Lautenbach</w:t>
      </w:r>
      <w:r>
        <w:rPr>
          <w:color w:val="000000"/>
        </w:rPr>
        <w:t xml:space="preserve"> S</w:t>
      </w:r>
      <w:r w:rsidRPr="004B5398">
        <w:rPr>
          <w:color w:val="000000"/>
        </w:rPr>
        <w:t>, Schröder</w:t>
      </w:r>
      <w:r>
        <w:rPr>
          <w:color w:val="000000"/>
        </w:rPr>
        <w:t xml:space="preserve"> B</w:t>
      </w:r>
      <w:r w:rsidRPr="004B5398">
        <w:rPr>
          <w:color w:val="000000"/>
        </w:rPr>
        <w:t xml:space="preserve"> </w:t>
      </w:r>
      <w:r>
        <w:rPr>
          <w:color w:val="000000"/>
        </w:rPr>
        <w:t xml:space="preserve">(2008) Components of uncertainty in species distribution analysis: A case study of the great grey shrike. Ecology 89:3371–3386. </w:t>
      </w:r>
      <w:r>
        <w:rPr>
          <w:color w:val="0000FF"/>
          <w:u w:val="single"/>
        </w:rPr>
        <w:t>https://doi.org/10.1890/07-1772.1</w:t>
      </w:r>
    </w:p>
    <w:p w14:paraId="7EE9015D" w14:textId="20C2BA01" w:rsidR="00AF284E" w:rsidRDefault="00AF284E" w:rsidP="00A3274B">
      <w:pPr>
        <w:pBdr>
          <w:top w:val="nil"/>
          <w:left w:val="nil"/>
          <w:bottom w:val="nil"/>
          <w:right w:val="nil"/>
          <w:between w:val="nil"/>
        </w:pBdr>
        <w:spacing w:before="40" w:after="80"/>
        <w:ind w:left="720" w:hanging="720"/>
        <w:rPr>
          <w:color w:val="0000FF"/>
          <w:u w:val="single"/>
        </w:rPr>
      </w:pPr>
      <w:r>
        <w:rPr>
          <w:color w:val="000000"/>
        </w:rPr>
        <w:t xml:space="preserve">Dormann CF, </w:t>
      </w:r>
      <w:proofErr w:type="spellStart"/>
      <w:r>
        <w:rPr>
          <w:color w:val="000000"/>
        </w:rPr>
        <w:t>Elith</w:t>
      </w:r>
      <w:proofErr w:type="spellEnd"/>
      <w:r>
        <w:rPr>
          <w:color w:val="000000"/>
        </w:rPr>
        <w:t xml:space="preserve"> J, </w:t>
      </w:r>
      <w:proofErr w:type="spellStart"/>
      <w:r>
        <w:rPr>
          <w:color w:val="000000"/>
        </w:rPr>
        <w:t>Bacher</w:t>
      </w:r>
      <w:proofErr w:type="spellEnd"/>
      <w:r>
        <w:rPr>
          <w:color w:val="000000"/>
        </w:rPr>
        <w:t xml:space="preserve"> S, </w:t>
      </w:r>
      <w:proofErr w:type="spellStart"/>
      <w:r w:rsidRPr="004B5398">
        <w:rPr>
          <w:color w:val="000000"/>
        </w:rPr>
        <w:t>Buchmann</w:t>
      </w:r>
      <w:proofErr w:type="spellEnd"/>
      <w:r>
        <w:rPr>
          <w:color w:val="000000"/>
        </w:rPr>
        <w:t xml:space="preserve"> C</w:t>
      </w:r>
      <w:r w:rsidRPr="004B5398">
        <w:rPr>
          <w:color w:val="000000"/>
        </w:rPr>
        <w:t>, Carl</w:t>
      </w:r>
      <w:r>
        <w:rPr>
          <w:color w:val="000000"/>
        </w:rPr>
        <w:t xml:space="preserve"> G</w:t>
      </w:r>
      <w:r w:rsidRPr="004B5398">
        <w:rPr>
          <w:color w:val="000000"/>
        </w:rPr>
        <w:t xml:space="preserve">, </w:t>
      </w:r>
      <w:proofErr w:type="spellStart"/>
      <w:r w:rsidRPr="004B5398">
        <w:rPr>
          <w:color w:val="000000"/>
        </w:rPr>
        <w:t>Carré</w:t>
      </w:r>
      <w:proofErr w:type="spellEnd"/>
      <w:r>
        <w:rPr>
          <w:color w:val="000000"/>
        </w:rPr>
        <w:t xml:space="preserve"> G</w:t>
      </w:r>
      <w:r w:rsidRPr="004B5398">
        <w:rPr>
          <w:color w:val="000000"/>
        </w:rPr>
        <w:t xml:space="preserve">, </w:t>
      </w:r>
      <w:proofErr w:type="spellStart"/>
      <w:r w:rsidRPr="004B5398">
        <w:rPr>
          <w:color w:val="000000"/>
        </w:rPr>
        <w:t>García</w:t>
      </w:r>
      <w:proofErr w:type="spellEnd"/>
      <w:r w:rsidRPr="004B5398">
        <w:rPr>
          <w:color w:val="000000"/>
        </w:rPr>
        <w:t xml:space="preserve"> </w:t>
      </w:r>
      <w:proofErr w:type="spellStart"/>
      <w:r w:rsidRPr="004B5398">
        <w:rPr>
          <w:color w:val="000000"/>
        </w:rPr>
        <w:t>Marquéz</w:t>
      </w:r>
      <w:proofErr w:type="spellEnd"/>
      <w:r>
        <w:rPr>
          <w:color w:val="000000"/>
        </w:rPr>
        <w:t xml:space="preserve"> JR</w:t>
      </w:r>
      <w:r w:rsidRPr="004B5398">
        <w:rPr>
          <w:color w:val="000000"/>
        </w:rPr>
        <w:t>, Gruber</w:t>
      </w:r>
      <w:r>
        <w:rPr>
          <w:color w:val="000000"/>
        </w:rPr>
        <w:t xml:space="preserve"> B</w:t>
      </w:r>
      <w:r w:rsidRPr="004B5398">
        <w:rPr>
          <w:color w:val="000000"/>
        </w:rPr>
        <w:t xml:space="preserve">, </w:t>
      </w:r>
      <w:proofErr w:type="spellStart"/>
      <w:r w:rsidRPr="004B5398">
        <w:rPr>
          <w:color w:val="000000"/>
        </w:rPr>
        <w:t>Lafourcade</w:t>
      </w:r>
      <w:proofErr w:type="spellEnd"/>
      <w:r>
        <w:rPr>
          <w:color w:val="000000"/>
        </w:rPr>
        <w:t xml:space="preserve"> B</w:t>
      </w:r>
      <w:r w:rsidRPr="004B5398">
        <w:rPr>
          <w:color w:val="000000"/>
        </w:rPr>
        <w:t xml:space="preserve">, </w:t>
      </w:r>
      <w:proofErr w:type="spellStart"/>
      <w:r w:rsidRPr="004B5398">
        <w:rPr>
          <w:color w:val="000000"/>
        </w:rPr>
        <w:t>Leitão</w:t>
      </w:r>
      <w:proofErr w:type="spellEnd"/>
      <w:r>
        <w:rPr>
          <w:color w:val="000000"/>
        </w:rPr>
        <w:t xml:space="preserve"> PJ</w:t>
      </w:r>
      <w:r w:rsidRPr="004B5398">
        <w:rPr>
          <w:color w:val="000000"/>
        </w:rPr>
        <w:t xml:space="preserve">, </w:t>
      </w:r>
      <w:proofErr w:type="spellStart"/>
      <w:r w:rsidRPr="004B5398">
        <w:rPr>
          <w:color w:val="000000"/>
        </w:rPr>
        <w:t>Münkemüller</w:t>
      </w:r>
      <w:proofErr w:type="spellEnd"/>
      <w:r>
        <w:rPr>
          <w:color w:val="000000"/>
        </w:rPr>
        <w:t xml:space="preserve"> T</w:t>
      </w:r>
      <w:r w:rsidRPr="004B5398">
        <w:rPr>
          <w:color w:val="000000"/>
        </w:rPr>
        <w:t>, McClean</w:t>
      </w:r>
      <w:r>
        <w:rPr>
          <w:color w:val="000000"/>
        </w:rPr>
        <w:t xml:space="preserve"> C</w:t>
      </w:r>
      <w:r w:rsidRPr="004B5398">
        <w:rPr>
          <w:color w:val="000000"/>
        </w:rPr>
        <w:t>, Osborne</w:t>
      </w:r>
      <w:r>
        <w:rPr>
          <w:color w:val="000000"/>
        </w:rPr>
        <w:t xml:space="preserve"> PE</w:t>
      </w:r>
      <w:r w:rsidRPr="004B5398">
        <w:rPr>
          <w:color w:val="000000"/>
        </w:rPr>
        <w:t>, Reineking</w:t>
      </w:r>
      <w:r>
        <w:rPr>
          <w:color w:val="000000"/>
        </w:rPr>
        <w:t xml:space="preserve"> B</w:t>
      </w:r>
      <w:r w:rsidRPr="004B5398">
        <w:rPr>
          <w:color w:val="000000"/>
        </w:rPr>
        <w:t>, Schröder</w:t>
      </w:r>
      <w:r>
        <w:rPr>
          <w:color w:val="000000"/>
        </w:rPr>
        <w:t xml:space="preserve"> B</w:t>
      </w:r>
      <w:r w:rsidRPr="004B5398">
        <w:rPr>
          <w:color w:val="000000"/>
        </w:rPr>
        <w:t>, Skidmore</w:t>
      </w:r>
      <w:r>
        <w:rPr>
          <w:color w:val="000000"/>
        </w:rPr>
        <w:t xml:space="preserve"> AK</w:t>
      </w:r>
      <w:r w:rsidRPr="004B5398">
        <w:rPr>
          <w:color w:val="000000"/>
        </w:rPr>
        <w:t xml:space="preserve">, </w:t>
      </w:r>
      <w:proofErr w:type="spellStart"/>
      <w:r w:rsidRPr="004B5398">
        <w:rPr>
          <w:color w:val="000000"/>
        </w:rPr>
        <w:t>Zurell</w:t>
      </w:r>
      <w:proofErr w:type="spellEnd"/>
      <w:r>
        <w:rPr>
          <w:color w:val="000000"/>
        </w:rPr>
        <w:t xml:space="preserve"> D</w:t>
      </w:r>
      <w:r w:rsidRPr="004B5398">
        <w:rPr>
          <w:color w:val="000000"/>
        </w:rPr>
        <w:t xml:space="preserve">, </w:t>
      </w:r>
      <w:proofErr w:type="spellStart"/>
      <w:r w:rsidRPr="004B5398">
        <w:rPr>
          <w:color w:val="000000"/>
        </w:rPr>
        <w:t>Lautenbach</w:t>
      </w:r>
      <w:proofErr w:type="spellEnd"/>
      <w:r w:rsidRPr="004B5398">
        <w:rPr>
          <w:color w:val="000000"/>
        </w:rPr>
        <w:t xml:space="preserve"> </w:t>
      </w:r>
      <w:r>
        <w:rPr>
          <w:color w:val="000000"/>
        </w:rPr>
        <w:t>S</w:t>
      </w:r>
      <w:r w:rsidRPr="004B5398">
        <w:rPr>
          <w:color w:val="000000"/>
        </w:rPr>
        <w:t xml:space="preserve"> </w:t>
      </w:r>
      <w:r>
        <w:rPr>
          <w:color w:val="000000"/>
        </w:rPr>
        <w:t xml:space="preserve">(2013) Collinearity: A review of methods to deal with it and a simulation study evaluating their performance. </w:t>
      </w:r>
      <w:proofErr w:type="spellStart"/>
      <w:r>
        <w:rPr>
          <w:color w:val="000000"/>
        </w:rPr>
        <w:t>Ecography</w:t>
      </w:r>
      <w:proofErr w:type="spellEnd"/>
      <w:r>
        <w:rPr>
          <w:color w:val="000000"/>
        </w:rPr>
        <w:t xml:space="preserve"> 36:27–46. </w:t>
      </w:r>
      <w:hyperlink r:id="rId12" w:history="1">
        <w:r w:rsidR="00E10EEE" w:rsidRPr="002727C5">
          <w:rPr>
            <w:rStyle w:val="Hyperlink"/>
          </w:rPr>
          <w:t>https://doi.org/10.1111/j.1600-0587.2012.07348.x</w:t>
        </w:r>
      </w:hyperlink>
    </w:p>
    <w:p w14:paraId="2A74D9DC" w14:textId="77777777" w:rsidR="00347484" w:rsidRDefault="00347484" w:rsidP="00A3274B">
      <w:pPr>
        <w:pBdr>
          <w:top w:val="nil"/>
          <w:left w:val="nil"/>
          <w:bottom w:val="nil"/>
          <w:right w:val="nil"/>
          <w:between w:val="nil"/>
        </w:pBdr>
        <w:spacing w:before="40" w:after="80"/>
        <w:ind w:left="720" w:hanging="720"/>
        <w:rPr>
          <w:color w:val="000000"/>
        </w:rPr>
      </w:pPr>
      <w:r>
        <w:rPr>
          <w:color w:val="000000"/>
        </w:rPr>
        <w:t>Elith J (2013) Predicting distributions of invasive species. In: Robinson AP, Walshe T, Burgman MA, Nunn M (eds) Invasive species: risk analyses and management. Cambridge University Press, Cambridge, UK, pp 93–129</w:t>
      </w:r>
    </w:p>
    <w:p w14:paraId="08924FFD" w14:textId="61933F98" w:rsidR="00E10EEE" w:rsidRDefault="00E10EEE" w:rsidP="00A3274B">
      <w:pPr>
        <w:pBdr>
          <w:top w:val="nil"/>
          <w:left w:val="nil"/>
          <w:bottom w:val="nil"/>
          <w:right w:val="nil"/>
          <w:between w:val="nil"/>
        </w:pBdr>
        <w:spacing w:before="40" w:after="80"/>
        <w:ind w:left="720" w:hanging="720"/>
        <w:rPr>
          <w:color w:val="000000"/>
        </w:rPr>
      </w:pPr>
      <w:r>
        <w:rPr>
          <w:color w:val="000000"/>
        </w:rPr>
        <w:t xml:space="preserve">Elith J, Kearney M, Phillips S (2010) The art of modelling range-shifting species. Methods </w:t>
      </w:r>
      <w:proofErr w:type="spellStart"/>
      <w:r>
        <w:rPr>
          <w:color w:val="000000"/>
        </w:rPr>
        <w:t>Ecol</w:t>
      </w:r>
      <w:proofErr w:type="spellEnd"/>
      <w:r>
        <w:rPr>
          <w:color w:val="000000"/>
        </w:rPr>
        <w:t xml:space="preserve"> </w:t>
      </w:r>
      <w:proofErr w:type="spellStart"/>
      <w:r>
        <w:rPr>
          <w:color w:val="000000"/>
        </w:rPr>
        <w:t>Evol</w:t>
      </w:r>
      <w:proofErr w:type="spellEnd"/>
      <w:r>
        <w:rPr>
          <w:color w:val="000000"/>
        </w:rPr>
        <w:t xml:space="preserve"> 1:330–342. </w:t>
      </w:r>
      <w:hyperlink r:id="rId13" w:history="1">
        <w:r w:rsidRPr="00880AD3">
          <w:rPr>
            <w:rStyle w:val="Hyperlink"/>
          </w:rPr>
          <w:t>https://doi.org/10.1111/j.2041-210x.2010.00036.x</w:t>
        </w:r>
      </w:hyperlink>
    </w:p>
    <w:p w14:paraId="1C63E269" w14:textId="77777777" w:rsidR="00B850E4" w:rsidRDefault="00B850E4" w:rsidP="00A3274B">
      <w:pPr>
        <w:pBdr>
          <w:top w:val="nil"/>
          <w:left w:val="nil"/>
          <w:bottom w:val="nil"/>
          <w:right w:val="nil"/>
          <w:between w:val="nil"/>
        </w:pBdr>
        <w:spacing w:before="40" w:after="80"/>
        <w:ind w:left="720" w:hanging="720"/>
        <w:rPr>
          <w:color w:val="000000"/>
        </w:rPr>
      </w:pPr>
      <w:r>
        <w:rPr>
          <w:color w:val="000000"/>
        </w:rPr>
        <w:lastRenderedPageBreak/>
        <w:t xml:space="preserve">Hannemann H, Willis KJ, Macias-Fauria M (2016) The devil is in the detail: Unstable response functions in species distribution models challenge bulk ensemble modelling. Global Ecology and Biogeography 25:26–35. </w:t>
      </w:r>
      <w:hyperlink r:id="rId14">
        <w:r>
          <w:rPr>
            <w:color w:val="0000FF"/>
            <w:u w:val="single"/>
          </w:rPr>
          <w:t>https://doi.org/10.1111/geb.12381</w:t>
        </w:r>
      </w:hyperlink>
      <w:r>
        <w:rPr>
          <w:color w:val="000000"/>
        </w:rPr>
        <w:t xml:space="preserve"> </w:t>
      </w:r>
    </w:p>
    <w:p w14:paraId="199BDD58" w14:textId="29B11A2A" w:rsidR="008241B4" w:rsidRDefault="008241B4" w:rsidP="00A3274B">
      <w:pPr>
        <w:pBdr>
          <w:top w:val="nil"/>
          <w:left w:val="nil"/>
          <w:bottom w:val="nil"/>
          <w:right w:val="nil"/>
          <w:between w:val="nil"/>
        </w:pBdr>
        <w:spacing w:before="40" w:after="80"/>
        <w:ind w:left="720" w:hanging="720"/>
        <w:rPr>
          <w:color w:val="0000FF"/>
          <w:u w:val="single"/>
        </w:rPr>
      </w:pPr>
      <w:r>
        <w:rPr>
          <w:color w:val="000000"/>
        </w:rPr>
        <w:t xml:space="preserve">Hirzel AH, Le Lay G, Helfer V, </w:t>
      </w:r>
      <w:proofErr w:type="spellStart"/>
      <w:r w:rsidR="008D3C5C">
        <w:rPr>
          <w:color w:val="000000"/>
        </w:rPr>
        <w:t>Randin</w:t>
      </w:r>
      <w:proofErr w:type="spellEnd"/>
      <w:r w:rsidR="008D3C5C">
        <w:rPr>
          <w:color w:val="000000"/>
        </w:rPr>
        <w:t xml:space="preserve"> C,</w:t>
      </w:r>
      <w:r w:rsidR="004358E1">
        <w:rPr>
          <w:color w:val="000000"/>
        </w:rPr>
        <w:t xml:space="preserve"> </w:t>
      </w:r>
      <w:proofErr w:type="spellStart"/>
      <w:r w:rsidR="004358E1">
        <w:rPr>
          <w:color w:val="000000"/>
        </w:rPr>
        <w:t>Guisan</w:t>
      </w:r>
      <w:proofErr w:type="spellEnd"/>
      <w:r w:rsidR="004358E1">
        <w:rPr>
          <w:color w:val="000000"/>
        </w:rPr>
        <w:t xml:space="preserve"> A</w:t>
      </w:r>
      <w:r>
        <w:rPr>
          <w:color w:val="000000"/>
        </w:rPr>
        <w:t xml:space="preserve"> (2006) Evaluating the ability of habitat suitability models to predict species presences. Ecological Modelling 199:142–152. </w:t>
      </w:r>
      <w:r>
        <w:rPr>
          <w:color w:val="0000FF"/>
          <w:u w:val="single"/>
        </w:rPr>
        <w:t>https://doi.org/10.1016/j.ecolmodel.2006.05.017</w:t>
      </w:r>
    </w:p>
    <w:p w14:paraId="32C575E7" w14:textId="77777777" w:rsidR="00D363DC" w:rsidRDefault="00D363DC" w:rsidP="00A3274B">
      <w:pPr>
        <w:pBdr>
          <w:top w:val="nil"/>
          <w:left w:val="nil"/>
          <w:bottom w:val="nil"/>
          <w:right w:val="nil"/>
          <w:between w:val="nil"/>
        </w:pBdr>
        <w:spacing w:before="40" w:after="80"/>
        <w:ind w:left="720" w:hanging="720"/>
        <w:rPr>
          <w:color w:val="0000FF"/>
          <w:u w:val="single"/>
        </w:rPr>
      </w:pPr>
      <w:r>
        <w:rPr>
          <w:color w:val="000000"/>
        </w:rPr>
        <w:t xml:space="preserve">Jiménez-Valverde A, Peterson AT, </w:t>
      </w:r>
      <w:proofErr w:type="spellStart"/>
      <w:r>
        <w:rPr>
          <w:color w:val="000000"/>
        </w:rPr>
        <w:t>Soberón</w:t>
      </w:r>
      <w:proofErr w:type="spellEnd"/>
      <w:r>
        <w:rPr>
          <w:color w:val="000000"/>
        </w:rPr>
        <w:t xml:space="preserve"> J, et al (2011) Use of niche models in invasive species risk assessments. Biological Invasions 13:2785–2797. </w:t>
      </w:r>
      <w:hyperlink r:id="rId15" w:history="1">
        <w:r w:rsidRPr="002727C5">
          <w:rPr>
            <w:rStyle w:val="Hyperlink"/>
          </w:rPr>
          <w:t>https://doi.org/10.1007/s10530-011-9963-4</w:t>
        </w:r>
      </w:hyperlink>
    </w:p>
    <w:p w14:paraId="6ADAD6A9" w14:textId="77777777" w:rsidR="002A0E60" w:rsidRDefault="002A0E60" w:rsidP="00A3274B">
      <w:pPr>
        <w:pBdr>
          <w:top w:val="nil"/>
          <w:left w:val="nil"/>
          <w:bottom w:val="nil"/>
          <w:right w:val="nil"/>
          <w:between w:val="nil"/>
        </w:pBdr>
        <w:spacing w:before="40" w:after="80"/>
        <w:ind w:left="720" w:hanging="720"/>
        <w:rPr>
          <w:color w:val="0000FF"/>
          <w:u w:val="single"/>
        </w:rPr>
      </w:pPr>
      <w:r>
        <w:rPr>
          <w:color w:val="000000"/>
        </w:rPr>
        <w:t xml:space="preserve">Kong WY, Li XH, Zou HF (2019) Optimizing MaxEnt model in the prediction of species distribution. China Journal of Applied Ecology 30:2116–2128. </w:t>
      </w:r>
      <w:r>
        <w:rPr>
          <w:color w:val="0000FF"/>
          <w:u w:val="single"/>
        </w:rPr>
        <w:t>https://doi.org/10.13287/j.1001-9332.201906.029</w:t>
      </w:r>
    </w:p>
    <w:p w14:paraId="3DE8B0F4" w14:textId="128E234B" w:rsidR="008220EF" w:rsidRPr="00A3274B" w:rsidRDefault="008220EF" w:rsidP="00A3274B">
      <w:pPr>
        <w:pBdr>
          <w:top w:val="nil"/>
          <w:left w:val="nil"/>
          <w:bottom w:val="nil"/>
          <w:right w:val="nil"/>
          <w:between w:val="nil"/>
        </w:pBdr>
        <w:spacing w:before="40" w:after="80"/>
        <w:ind w:left="720" w:hanging="720"/>
        <w:rPr>
          <w:color w:val="000000"/>
        </w:rPr>
      </w:pPr>
      <w:r>
        <w:rPr>
          <w:color w:val="000000"/>
        </w:rPr>
        <w:t xml:space="preserve">Kottek M, Grieser J, Beck C, Rudolf B, Rubel F (2006) World map of the </w:t>
      </w:r>
      <w:proofErr w:type="spellStart"/>
      <w:r>
        <w:rPr>
          <w:color w:val="000000"/>
        </w:rPr>
        <w:t>Köppen</w:t>
      </w:r>
      <w:proofErr w:type="spellEnd"/>
      <w:r>
        <w:rPr>
          <w:color w:val="000000"/>
        </w:rPr>
        <w:t xml:space="preserve">-Geiger climate classification updated. </w:t>
      </w:r>
      <w:proofErr w:type="spellStart"/>
      <w:r w:rsidRPr="004E7B8D">
        <w:rPr>
          <w:color w:val="000000"/>
        </w:rPr>
        <w:t>Meteorologische</w:t>
      </w:r>
      <w:proofErr w:type="spellEnd"/>
      <w:r w:rsidRPr="004E7B8D">
        <w:rPr>
          <w:color w:val="000000"/>
        </w:rPr>
        <w:t xml:space="preserve"> </w:t>
      </w:r>
      <w:proofErr w:type="spellStart"/>
      <w:r w:rsidRPr="004E7B8D">
        <w:rPr>
          <w:color w:val="000000"/>
        </w:rPr>
        <w:t>Zeitschrift</w:t>
      </w:r>
      <w:proofErr w:type="spellEnd"/>
      <w:r>
        <w:rPr>
          <w:color w:val="000000"/>
        </w:rPr>
        <w:t xml:space="preserve"> 15:259–263. </w:t>
      </w:r>
      <w:r>
        <w:rPr>
          <w:color w:val="0000FF"/>
          <w:u w:val="single"/>
        </w:rPr>
        <w:t>https://doi.org/10.1127/0941-2948/2006/0130</w:t>
      </w:r>
    </w:p>
    <w:p w14:paraId="1E58DC94" w14:textId="77777777" w:rsidR="00D363DC" w:rsidRDefault="00D363DC" w:rsidP="00A3274B">
      <w:pPr>
        <w:pBdr>
          <w:top w:val="nil"/>
          <w:left w:val="nil"/>
          <w:bottom w:val="nil"/>
          <w:right w:val="nil"/>
          <w:between w:val="nil"/>
        </w:pBdr>
        <w:spacing w:before="40" w:after="80"/>
        <w:ind w:left="720" w:hanging="720"/>
        <w:rPr>
          <w:color w:val="0000FF"/>
          <w:u w:val="single"/>
        </w:rPr>
      </w:pPr>
      <w:r>
        <w:rPr>
          <w:color w:val="000000"/>
        </w:rPr>
        <w:t>Lobo JM, Jiménez-</w:t>
      </w:r>
      <w:proofErr w:type="spellStart"/>
      <w:r>
        <w:rPr>
          <w:color w:val="000000"/>
        </w:rPr>
        <w:t>Valverde</w:t>
      </w:r>
      <w:proofErr w:type="spellEnd"/>
      <w:r>
        <w:rPr>
          <w:color w:val="000000"/>
        </w:rPr>
        <w:t xml:space="preserve"> A, </w:t>
      </w:r>
      <w:proofErr w:type="spellStart"/>
      <w:r>
        <w:rPr>
          <w:color w:val="000000"/>
        </w:rPr>
        <w:t>Hortal</w:t>
      </w:r>
      <w:proofErr w:type="spellEnd"/>
      <w:r>
        <w:rPr>
          <w:color w:val="000000"/>
        </w:rPr>
        <w:t xml:space="preserve"> J (2010) The uncertain nature of absences and their importance in species distribution modelling. </w:t>
      </w:r>
      <w:proofErr w:type="spellStart"/>
      <w:r>
        <w:rPr>
          <w:color w:val="000000"/>
        </w:rPr>
        <w:t>Ecography</w:t>
      </w:r>
      <w:proofErr w:type="spellEnd"/>
      <w:r>
        <w:rPr>
          <w:color w:val="000000"/>
        </w:rPr>
        <w:t xml:space="preserve"> 3:103–114. </w:t>
      </w:r>
      <w:r>
        <w:rPr>
          <w:color w:val="0000FF"/>
          <w:u w:val="single"/>
        </w:rPr>
        <w:t>https://doi.org/10.1111/j.1600-0587.2009.06039.x</w:t>
      </w:r>
    </w:p>
    <w:p w14:paraId="3F05CF12" w14:textId="77777777" w:rsidR="00D363DC" w:rsidRDefault="00D363DC" w:rsidP="00A3274B">
      <w:pPr>
        <w:pBdr>
          <w:top w:val="nil"/>
          <w:left w:val="nil"/>
          <w:bottom w:val="nil"/>
          <w:right w:val="nil"/>
          <w:between w:val="nil"/>
        </w:pBdr>
        <w:spacing w:before="40" w:after="80"/>
        <w:ind w:left="720" w:hanging="720"/>
        <w:rPr>
          <w:color w:val="0000FF"/>
          <w:u w:val="single"/>
        </w:rPr>
      </w:pPr>
      <w:r>
        <w:rPr>
          <w:color w:val="000000"/>
        </w:rPr>
        <w:t xml:space="preserve">Mainali KP, Warren DL, Dhileepan K, </w:t>
      </w:r>
      <w:proofErr w:type="spellStart"/>
      <w:r w:rsidRPr="006B3245">
        <w:rPr>
          <w:color w:val="000000"/>
        </w:rPr>
        <w:t>McConnachie</w:t>
      </w:r>
      <w:proofErr w:type="spellEnd"/>
      <w:r>
        <w:rPr>
          <w:color w:val="000000"/>
        </w:rPr>
        <w:t xml:space="preserve"> A</w:t>
      </w:r>
      <w:r w:rsidRPr="006B3245">
        <w:rPr>
          <w:color w:val="000000"/>
        </w:rPr>
        <w:t xml:space="preserve">, </w:t>
      </w:r>
      <w:proofErr w:type="spellStart"/>
      <w:r w:rsidRPr="006B3245">
        <w:rPr>
          <w:color w:val="000000"/>
        </w:rPr>
        <w:t>Strathie</w:t>
      </w:r>
      <w:proofErr w:type="spellEnd"/>
      <w:r>
        <w:rPr>
          <w:color w:val="000000"/>
        </w:rPr>
        <w:t xml:space="preserve"> L</w:t>
      </w:r>
      <w:r w:rsidRPr="006B3245">
        <w:rPr>
          <w:color w:val="000000"/>
        </w:rPr>
        <w:t>, Hassan</w:t>
      </w:r>
      <w:r>
        <w:rPr>
          <w:color w:val="000000"/>
        </w:rPr>
        <w:t xml:space="preserve"> G</w:t>
      </w:r>
      <w:r w:rsidRPr="006B3245">
        <w:rPr>
          <w:color w:val="000000"/>
        </w:rPr>
        <w:t>, Karki</w:t>
      </w:r>
      <w:r>
        <w:rPr>
          <w:color w:val="000000"/>
        </w:rPr>
        <w:t xml:space="preserve"> G</w:t>
      </w:r>
      <w:r w:rsidRPr="006B3245">
        <w:rPr>
          <w:color w:val="000000"/>
        </w:rPr>
        <w:t>, Shrestha</w:t>
      </w:r>
      <w:r>
        <w:rPr>
          <w:color w:val="000000"/>
        </w:rPr>
        <w:t xml:space="preserve"> BB</w:t>
      </w:r>
      <w:r w:rsidRPr="006B3245">
        <w:rPr>
          <w:color w:val="000000"/>
        </w:rPr>
        <w:t>, Parmesan</w:t>
      </w:r>
      <w:r>
        <w:rPr>
          <w:color w:val="000000"/>
        </w:rPr>
        <w:t xml:space="preserve"> C</w:t>
      </w:r>
      <w:r w:rsidRPr="006B3245">
        <w:rPr>
          <w:color w:val="000000"/>
        </w:rPr>
        <w:t xml:space="preserve"> </w:t>
      </w:r>
      <w:r>
        <w:rPr>
          <w:color w:val="000000"/>
        </w:rPr>
        <w:t xml:space="preserve">(2015) Projecting future expansion of invasive species: Comparing and improving methodologies for species distribution </w:t>
      </w:r>
      <w:proofErr w:type="spellStart"/>
      <w:r>
        <w:rPr>
          <w:color w:val="000000"/>
        </w:rPr>
        <w:t>modeling</w:t>
      </w:r>
      <w:proofErr w:type="spellEnd"/>
      <w:r>
        <w:rPr>
          <w:color w:val="000000"/>
        </w:rPr>
        <w:t xml:space="preserve">. Global Change Biology 21:4464–4480. </w:t>
      </w:r>
      <w:hyperlink r:id="rId16" w:history="1">
        <w:r w:rsidRPr="002727C5">
          <w:rPr>
            <w:rStyle w:val="Hyperlink"/>
          </w:rPr>
          <w:t>https://doi.org/10.1111/gcb.13038</w:t>
        </w:r>
      </w:hyperlink>
    </w:p>
    <w:p w14:paraId="0B8597DD" w14:textId="77777777" w:rsidR="00872E87" w:rsidRDefault="00872E87" w:rsidP="00A3274B">
      <w:pPr>
        <w:pBdr>
          <w:top w:val="nil"/>
          <w:left w:val="nil"/>
          <w:bottom w:val="nil"/>
          <w:right w:val="nil"/>
          <w:between w:val="nil"/>
        </w:pBdr>
        <w:spacing w:before="40" w:after="80"/>
        <w:ind w:left="720" w:hanging="720"/>
        <w:rPr>
          <w:color w:val="000000"/>
        </w:rPr>
      </w:pPr>
      <w:r>
        <w:rPr>
          <w:color w:val="000000"/>
        </w:rPr>
        <w:t xml:space="preserve">Manzoor SA, Griffiths G, Lukac M (2018) Species distribution model transferability and model grain size-finer may not always be better. Scientific Reports 8:1–9. </w:t>
      </w:r>
      <w:r>
        <w:rPr>
          <w:color w:val="0000FF"/>
          <w:u w:val="single"/>
        </w:rPr>
        <w:t>https://doi.org/10.1038/s41598-018-25437-1</w:t>
      </w:r>
    </w:p>
    <w:p w14:paraId="0B587632" w14:textId="77777777" w:rsidR="009D5D43" w:rsidRDefault="009D5D43" w:rsidP="00A3274B">
      <w:pPr>
        <w:pBdr>
          <w:top w:val="nil"/>
          <w:left w:val="nil"/>
          <w:bottom w:val="nil"/>
          <w:right w:val="nil"/>
          <w:between w:val="nil"/>
        </w:pBdr>
        <w:spacing w:before="40" w:after="80"/>
        <w:ind w:left="720" w:hanging="720"/>
        <w:rPr>
          <w:color w:val="000000"/>
        </w:rPr>
      </w:pPr>
      <w:r>
        <w:rPr>
          <w:color w:val="000000"/>
        </w:rPr>
        <w:t xml:space="preserve">Merow C, Smith MJ, Silander JA (2013) A practical guide to </w:t>
      </w:r>
      <w:proofErr w:type="spellStart"/>
      <w:r>
        <w:rPr>
          <w:color w:val="000000"/>
        </w:rPr>
        <w:t>MaxEnt</w:t>
      </w:r>
      <w:proofErr w:type="spellEnd"/>
      <w:r>
        <w:rPr>
          <w:color w:val="000000"/>
        </w:rPr>
        <w:t xml:space="preserve"> for </w:t>
      </w:r>
      <w:proofErr w:type="spellStart"/>
      <w:r>
        <w:rPr>
          <w:color w:val="000000"/>
        </w:rPr>
        <w:t>modeling</w:t>
      </w:r>
      <w:proofErr w:type="spellEnd"/>
      <w:r>
        <w:rPr>
          <w:color w:val="000000"/>
        </w:rPr>
        <w:t xml:space="preserve"> species’ distributions: What it does, and why inputs and settings matter. </w:t>
      </w:r>
      <w:proofErr w:type="spellStart"/>
      <w:r>
        <w:rPr>
          <w:color w:val="000000"/>
        </w:rPr>
        <w:t>Ecography</w:t>
      </w:r>
      <w:proofErr w:type="spellEnd"/>
      <w:r>
        <w:rPr>
          <w:color w:val="000000"/>
        </w:rPr>
        <w:t xml:space="preserve"> 6:1058–1069. </w:t>
      </w:r>
      <w:hyperlink r:id="rId17">
        <w:r>
          <w:rPr>
            <w:color w:val="0000FF"/>
            <w:u w:val="single"/>
          </w:rPr>
          <w:t>https://doi.org/10.1111/j.1600-0587.2013.07872.x</w:t>
        </w:r>
      </w:hyperlink>
    </w:p>
    <w:p w14:paraId="01279E76" w14:textId="173633BC" w:rsidR="0023411C" w:rsidRDefault="0023411C" w:rsidP="00A3274B">
      <w:pPr>
        <w:pBdr>
          <w:top w:val="nil"/>
          <w:left w:val="nil"/>
          <w:bottom w:val="nil"/>
          <w:right w:val="nil"/>
          <w:between w:val="nil"/>
        </w:pBdr>
        <w:spacing w:before="40" w:after="80"/>
        <w:ind w:left="720" w:hanging="720"/>
        <w:rPr>
          <w:color w:val="0000FF"/>
          <w:u w:val="single"/>
        </w:rPr>
      </w:pPr>
      <w:r>
        <w:rPr>
          <w:color w:val="000000"/>
        </w:rPr>
        <w:t xml:space="preserve">Peck JH, Peck CJ, Farrar DR (1990) influences of life history attributes on formation of local and distant fern populations. American Fern Journal 80:126. </w:t>
      </w:r>
      <w:hyperlink r:id="rId18" w:history="1">
        <w:r w:rsidR="002F1A3F" w:rsidRPr="002727C5">
          <w:rPr>
            <w:rStyle w:val="Hyperlink"/>
          </w:rPr>
          <w:t>https://doi.org/10.2307/1547200</w:t>
        </w:r>
      </w:hyperlink>
    </w:p>
    <w:p w14:paraId="2D473CE2" w14:textId="3CE71628" w:rsidR="002F1A3F" w:rsidRPr="00A3274B" w:rsidRDefault="002F1A3F" w:rsidP="00A3274B">
      <w:pPr>
        <w:pBdr>
          <w:top w:val="nil"/>
          <w:left w:val="nil"/>
          <w:bottom w:val="nil"/>
          <w:right w:val="nil"/>
          <w:between w:val="nil"/>
        </w:pBdr>
        <w:spacing w:before="40" w:after="80"/>
        <w:ind w:left="720" w:hanging="720"/>
        <w:rPr>
          <w:color w:val="000000"/>
        </w:rPr>
      </w:pPr>
      <w:r>
        <w:rPr>
          <w:color w:val="000000"/>
        </w:rPr>
        <w:lastRenderedPageBreak/>
        <w:t xml:space="preserve">Peterson AT, </w:t>
      </w:r>
      <w:proofErr w:type="spellStart"/>
      <w:r>
        <w:rPr>
          <w:color w:val="000000"/>
        </w:rPr>
        <w:t>Soberón</w:t>
      </w:r>
      <w:proofErr w:type="spellEnd"/>
      <w:r>
        <w:rPr>
          <w:color w:val="000000"/>
        </w:rPr>
        <w:t xml:space="preserve"> J, Pearson RG, Anderson RP, </w:t>
      </w:r>
      <w:r w:rsidRPr="00C7261E">
        <w:rPr>
          <w:color w:val="000000"/>
        </w:rPr>
        <w:t>Martínez-Meyer</w:t>
      </w:r>
      <w:r>
        <w:rPr>
          <w:color w:val="000000"/>
        </w:rPr>
        <w:t xml:space="preserve"> E, Nakamura M, </w:t>
      </w:r>
      <w:r w:rsidRPr="00C7261E">
        <w:rPr>
          <w:color w:val="000000"/>
        </w:rPr>
        <w:t>Araújo</w:t>
      </w:r>
      <w:r>
        <w:rPr>
          <w:color w:val="000000"/>
        </w:rPr>
        <w:t xml:space="preserve"> MB</w:t>
      </w:r>
      <w:r w:rsidRPr="00C7261E">
        <w:rPr>
          <w:color w:val="000000"/>
        </w:rPr>
        <w:t xml:space="preserve"> </w:t>
      </w:r>
      <w:r>
        <w:rPr>
          <w:color w:val="000000"/>
        </w:rPr>
        <w:t>(2011) Ecological niches and geographic distributions. Princeton University Press, Oxford, England, 328 pp.</w:t>
      </w:r>
    </w:p>
    <w:p w14:paraId="2E08D9EC" w14:textId="5F63F500" w:rsidR="00DC54CF" w:rsidRDefault="00DC54CF" w:rsidP="00A3274B">
      <w:pPr>
        <w:pBdr>
          <w:top w:val="nil"/>
          <w:left w:val="nil"/>
          <w:bottom w:val="nil"/>
          <w:right w:val="nil"/>
          <w:between w:val="nil"/>
        </w:pBdr>
        <w:spacing w:before="40" w:after="80"/>
        <w:ind w:left="720" w:hanging="720"/>
        <w:rPr>
          <w:color w:val="0000FF"/>
          <w:u w:val="single"/>
        </w:rPr>
      </w:pPr>
      <w:proofErr w:type="spellStart"/>
      <w:r>
        <w:rPr>
          <w:color w:val="000000"/>
        </w:rPr>
        <w:t>Petitpierre</w:t>
      </w:r>
      <w:proofErr w:type="spellEnd"/>
      <w:r>
        <w:rPr>
          <w:color w:val="000000"/>
        </w:rPr>
        <w:t xml:space="preserve"> B, </w:t>
      </w:r>
      <w:proofErr w:type="spellStart"/>
      <w:r>
        <w:rPr>
          <w:color w:val="000000"/>
        </w:rPr>
        <w:t>Broennimann</w:t>
      </w:r>
      <w:proofErr w:type="spellEnd"/>
      <w:r>
        <w:rPr>
          <w:color w:val="000000"/>
        </w:rPr>
        <w:t xml:space="preserve"> O, Kueffer C, Daehler C, </w:t>
      </w:r>
      <w:proofErr w:type="spellStart"/>
      <w:r>
        <w:rPr>
          <w:color w:val="000000"/>
        </w:rPr>
        <w:t>Guisan</w:t>
      </w:r>
      <w:proofErr w:type="spellEnd"/>
      <w:r>
        <w:rPr>
          <w:color w:val="000000"/>
        </w:rPr>
        <w:t xml:space="preserve"> A (2017) Selecting predictors to maximize the transferability of species distribution models: lessons from cross-continental plant invasions. Global Ecology and Biogeography 26:275–287. </w:t>
      </w:r>
      <w:hyperlink r:id="rId19" w:history="1">
        <w:r w:rsidR="001D341D" w:rsidRPr="002727C5">
          <w:rPr>
            <w:rStyle w:val="Hyperlink"/>
          </w:rPr>
          <w:t>https://doi.org/10.1111/geb.12530</w:t>
        </w:r>
      </w:hyperlink>
    </w:p>
    <w:p w14:paraId="081C3E0B" w14:textId="77777777" w:rsidR="00A3274B" w:rsidRDefault="00A3274B" w:rsidP="00A3274B">
      <w:pPr>
        <w:pBdr>
          <w:top w:val="nil"/>
          <w:left w:val="nil"/>
          <w:bottom w:val="nil"/>
          <w:right w:val="nil"/>
          <w:between w:val="nil"/>
        </w:pBdr>
        <w:spacing w:before="40" w:after="80"/>
        <w:ind w:left="720" w:hanging="720"/>
        <w:rPr>
          <w:color w:val="000000"/>
        </w:rPr>
      </w:pPr>
      <w:r>
        <w:rPr>
          <w:color w:val="000000"/>
        </w:rPr>
        <w:t xml:space="preserve">Phillips SJ, </w:t>
      </w:r>
      <w:proofErr w:type="spellStart"/>
      <w:r>
        <w:rPr>
          <w:color w:val="000000"/>
        </w:rPr>
        <w:t>Dudík</w:t>
      </w:r>
      <w:proofErr w:type="spellEnd"/>
      <w:r>
        <w:rPr>
          <w:color w:val="000000"/>
        </w:rPr>
        <w:t xml:space="preserve"> M, </w:t>
      </w:r>
      <w:proofErr w:type="spellStart"/>
      <w:r>
        <w:rPr>
          <w:color w:val="000000"/>
        </w:rPr>
        <w:t>Schapire</w:t>
      </w:r>
      <w:proofErr w:type="spellEnd"/>
      <w:r>
        <w:rPr>
          <w:color w:val="000000"/>
        </w:rPr>
        <w:t xml:space="preserve"> RE (2004) A maximum entropy approach to species distribution </w:t>
      </w:r>
      <w:proofErr w:type="spellStart"/>
      <w:r>
        <w:rPr>
          <w:color w:val="000000"/>
        </w:rPr>
        <w:t>modeling</w:t>
      </w:r>
      <w:proofErr w:type="spellEnd"/>
      <w:r>
        <w:rPr>
          <w:color w:val="000000"/>
        </w:rPr>
        <w:t>. In: Proceedings, Twenty-First International Conference on Machine Learning, ACM Press, New York, USA, 655–662</w:t>
      </w:r>
    </w:p>
    <w:p w14:paraId="2858DA36" w14:textId="77777777" w:rsidR="002F6F58" w:rsidRDefault="002F6F58" w:rsidP="00A3274B">
      <w:pPr>
        <w:pBdr>
          <w:top w:val="nil"/>
          <w:left w:val="nil"/>
          <w:bottom w:val="nil"/>
          <w:right w:val="nil"/>
          <w:between w:val="nil"/>
        </w:pBdr>
        <w:spacing w:before="40" w:after="80"/>
        <w:ind w:left="720" w:hanging="720"/>
        <w:rPr>
          <w:color w:val="000000"/>
        </w:rPr>
      </w:pPr>
      <w:r>
        <w:rPr>
          <w:color w:val="000000"/>
        </w:rPr>
        <w:t xml:space="preserve">Phillips SB, Anderson RP, </w:t>
      </w:r>
      <w:proofErr w:type="spellStart"/>
      <w:r>
        <w:rPr>
          <w:color w:val="000000"/>
        </w:rPr>
        <w:t>Schapire</w:t>
      </w:r>
      <w:proofErr w:type="spellEnd"/>
      <w:r>
        <w:rPr>
          <w:color w:val="000000"/>
        </w:rPr>
        <w:t xml:space="preserve"> RE (2006) Maximum entropy </w:t>
      </w:r>
      <w:proofErr w:type="spellStart"/>
      <w:r>
        <w:rPr>
          <w:color w:val="000000"/>
        </w:rPr>
        <w:t>modeling</w:t>
      </w:r>
      <w:proofErr w:type="spellEnd"/>
      <w:r>
        <w:rPr>
          <w:color w:val="000000"/>
        </w:rPr>
        <w:t xml:space="preserve"> of species geographic distributions. Ecological Modelling. 190:231-259 </w:t>
      </w:r>
      <w:hyperlink r:id="rId20" w:history="1">
        <w:r w:rsidRPr="009C313F">
          <w:rPr>
            <w:rStyle w:val="Hyperlink"/>
          </w:rPr>
          <w:t>https://doi.org/10.1016/j.ecolmodel.2005.03.026</w:t>
        </w:r>
      </w:hyperlink>
      <w:r>
        <w:rPr>
          <w:color w:val="000000"/>
        </w:rPr>
        <w:t xml:space="preserve"> </w:t>
      </w:r>
    </w:p>
    <w:p w14:paraId="703A9114" w14:textId="08CB3004" w:rsidR="00E83F16" w:rsidRDefault="00E83F16" w:rsidP="00A3274B">
      <w:pPr>
        <w:pBdr>
          <w:top w:val="nil"/>
          <w:left w:val="nil"/>
          <w:bottom w:val="nil"/>
          <w:right w:val="nil"/>
          <w:between w:val="nil"/>
        </w:pBdr>
        <w:spacing w:before="40" w:after="80"/>
        <w:ind w:left="720" w:hanging="720"/>
        <w:rPr>
          <w:color w:val="0000FF"/>
          <w:u w:val="single"/>
        </w:rPr>
      </w:pPr>
      <w:r>
        <w:rPr>
          <w:color w:val="000000"/>
        </w:rPr>
        <w:t xml:space="preserve">Phillips SJ, </w:t>
      </w:r>
      <w:proofErr w:type="spellStart"/>
      <w:r>
        <w:rPr>
          <w:color w:val="000000"/>
        </w:rPr>
        <w:t>Dudík</w:t>
      </w:r>
      <w:proofErr w:type="spellEnd"/>
      <w:r>
        <w:rPr>
          <w:color w:val="000000"/>
        </w:rPr>
        <w:t xml:space="preserve"> M (2008) </w:t>
      </w:r>
      <w:proofErr w:type="spellStart"/>
      <w:r>
        <w:rPr>
          <w:color w:val="000000"/>
        </w:rPr>
        <w:t>Modeling</w:t>
      </w:r>
      <w:proofErr w:type="spellEnd"/>
      <w:r>
        <w:rPr>
          <w:color w:val="000000"/>
        </w:rPr>
        <w:t xml:space="preserve"> of species distributions with Maxent: New extensions and a comprehensive evaluation. </w:t>
      </w:r>
      <w:proofErr w:type="spellStart"/>
      <w:r>
        <w:rPr>
          <w:color w:val="000000"/>
        </w:rPr>
        <w:t>Ecography</w:t>
      </w:r>
      <w:proofErr w:type="spellEnd"/>
      <w:r>
        <w:rPr>
          <w:color w:val="000000"/>
        </w:rPr>
        <w:t xml:space="preserve"> 31:161–175. </w:t>
      </w:r>
      <w:hyperlink r:id="rId21" w:history="1">
        <w:r w:rsidR="00FF20F5" w:rsidRPr="002727C5">
          <w:rPr>
            <w:rStyle w:val="Hyperlink"/>
          </w:rPr>
          <w:t>https://doi.org/10.1111/j.0906-7590.2008.5203.x</w:t>
        </w:r>
      </w:hyperlink>
    </w:p>
    <w:p w14:paraId="1FCA2B32" w14:textId="77777777" w:rsidR="00FF20F5" w:rsidRDefault="00FF20F5" w:rsidP="00A3274B">
      <w:pPr>
        <w:pBdr>
          <w:top w:val="nil"/>
          <w:left w:val="nil"/>
          <w:bottom w:val="nil"/>
          <w:right w:val="nil"/>
          <w:between w:val="nil"/>
        </w:pBdr>
        <w:spacing w:before="40" w:after="80"/>
        <w:ind w:left="720" w:hanging="720"/>
        <w:rPr>
          <w:color w:val="0000FF"/>
          <w:u w:val="single"/>
        </w:rPr>
      </w:pPr>
      <w:r>
        <w:rPr>
          <w:color w:val="000000"/>
        </w:rPr>
        <w:t xml:space="preserve">Phillips SJ, </w:t>
      </w:r>
      <w:proofErr w:type="spellStart"/>
      <w:r>
        <w:rPr>
          <w:color w:val="000000"/>
        </w:rPr>
        <w:t>Dudík</w:t>
      </w:r>
      <w:proofErr w:type="spellEnd"/>
      <w:r>
        <w:rPr>
          <w:color w:val="000000"/>
        </w:rPr>
        <w:t xml:space="preserve"> M, </w:t>
      </w:r>
      <w:proofErr w:type="spellStart"/>
      <w:r>
        <w:rPr>
          <w:color w:val="000000"/>
        </w:rPr>
        <w:t>Elith</w:t>
      </w:r>
      <w:proofErr w:type="spellEnd"/>
      <w:r>
        <w:rPr>
          <w:color w:val="000000"/>
        </w:rPr>
        <w:t xml:space="preserve"> J, Graham CH, Lehmann A, </w:t>
      </w:r>
      <w:proofErr w:type="spellStart"/>
      <w:r>
        <w:rPr>
          <w:color w:val="000000"/>
        </w:rPr>
        <w:t>Leathwick</w:t>
      </w:r>
      <w:proofErr w:type="spellEnd"/>
      <w:r>
        <w:rPr>
          <w:color w:val="000000"/>
        </w:rPr>
        <w:t xml:space="preserve"> J, Ferrier S (2009) Sample selection bias and presence-only distribution models: Implications for background and pseudo-absence data. Ecological Applications 19:181–197. </w:t>
      </w:r>
      <w:r>
        <w:rPr>
          <w:color w:val="0000FF"/>
          <w:u w:val="single"/>
        </w:rPr>
        <w:t>https://doi.org/10.1890/07-2153.1</w:t>
      </w:r>
    </w:p>
    <w:p w14:paraId="6E5D4714" w14:textId="77777777" w:rsidR="00396A3D" w:rsidRDefault="00396A3D" w:rsidP="00A3274B">
      <w:pPr>
        <w:pBdr>
          <w:top w:val="nil"/>
          <w:left w:val="nil"/>
          <w:bottom w:val="nil"/>
          <w:right w:val="nil"/>
          <w:between w:val="nil"/>
        </w:pBdr>
        <w:spacing w:before="40" w:after="80"/>
        <w:ind w:left="720" w:hanging="720"/>
        <w:rPr>
          <w:color w:val="0000FF"/>
          <w:u w:val="single"/>
        </w:rPr>
      </w:pPr>
      <w:r>
        <w:rPr>
          <w:color w:val="000000"/>
        </w:rPr>
        <w:t xml:space="preserve">Radosavljevic A, Anderson RP (2014) Making better Maxent models of species distributions: Complexity, overfitting and evaluation. Journal of Biogeography 41:629–643. </w:t>
      </w:r>
      <w:r>
        <w:rPr>
          <w:color w:val="0000FF"/>
          <w:u w:val="single"/>
        </w:rPr>
        <w:t>https://doi.org/10.1111/jbi.12227</w:t>
      </w:r>
    </w:p>
    <w:p w14:paraId="350BF700" w14:textId="77777777" w:rsidR="00D642CC" w:rsidRDefault="00D642CC" w:rsidP="00A3274B">
      <w:pPr>
        <w:pBdr>
          <w:top w:val="nil"/>
          <w:left w:val="nil"/>
          <w:bottom w:val="nil"/>
          <w:right w:val="nil"/>
          <w:between w:val="nil"/>
        </w:pBdr>
        <w:spacing w:before="40" w:after="80"/>
        <w:ind w:left="720" w:hanging="720"/>
        <w:rPr>
          <w:color w:val="0000FF"/>
          <w:u w:val="single"/>
        </w:rPr>
      </w:pPr>
      <w:r>
        <w:rPr>
          <w:color w:val="000000"/>
        </w:rPr>
        <w:t xml:space="preserve">Robertson MP, Visser V, Hui C (2016) </w:t>
      </w:r>
      <w:proofErr w:type="spellStart"/>
      <w:r>
        <w:rPr>
          <w:color w:val="000000"/>
        </w:rPr>
        <w:t>Biogeo</w:t>
      </w:r>
      <w:proofErr w:type="spellEnd"/>
      <w:r>
        <w:rPr>
          <w:color w:val="000000"/>
        </w:rPr>
        <w:t xml:space="preserve">: An R package for assessing and improving data quality of occurrence record datasets. </w:t>
      </w:r>
      <w:proofErr w:type="spellStart"/>
      <w:r>
        <w:rPr>
          <w:color w:val="000000"/>
        </w:rPr>
        <w:t>Ecography</w:t>
      </w:r>
      <w:proofErr w:type="spellEnd"/>
      <w:r>
        <w:rPr>
          <w:color w:val="000000"/>
        </w:rPr>
        <w:t xml:space="preserve"> 39:394–401. </w:t>
      </w:r>
      <w:r>
        <w:rPr>
          <w:color w:val="0000FF"/>
          <w:u w:val="single"/>
        </w:rPr>
        <w:t>https://doi.org/10.1111/ecog.02118</w:t>
      </w:r>
    </w:p>
    <w:p w14:paraId="54F0EABD" w14:textId="77777777" w:rsidR="00243E5D" w:rsidRDefault="00243E5D" w:rsidP="00A3274B">
      <w:pPr>
        <w:pBdr>
          <w:top w:val="nil"/>
          <w:left w:val="nil"/>
          <w:bottom w:val="nil"/>
          <w:right w:val="nil"/>
          <w:between w:val="nil"/>
        </w:pBdr>
        <w:spacing w:before="40" w:after="80"/>
        <w:ind w:left="720" w:hanging="720"/>
        <w:rPr>
          <w:color w:val="0000FF"/>
          <w:u w:val="single"/>
        </w:rPr>
      </w:pPr>
      <w:r>
        <w:rPr>
          <w:color w:val="000000"/>
        </w:rPr>
        <w:t xml:space="preserve">Rose JP, Dassler CL (2017) Spore Production and Dispersal in Two Temperate Fern Species, With an Overview of the Evolution of Spore Production in Ferns. American Fern Journal </w:t>
      </w:r>
      <w:r w:rsidRPr="00CA002C">
        <w:rPr>
          <w:color w:val="000000"/>
        </w:rPr>
        <w:t>107(3):136-155</w:t>
      </w:r>
      <w:r>
        <w:rPr>
          <w:color w:val="000000"/>
        </w:rPr>
        <w:t xml:space="preserve"> </w:t>
      </w:r>
      <w:r w:rsidRPr="00CA002C">
        <w:rPr>
          <w:color w:val="0000FF"/>
          <w:u w:val="single"/>
        </w:rPr>
        <w:t>https://doi.org/10.1640/0002-8444-107.3.136</w:t>
      </w:r>
    </w:p>
    <w:p w14:paraId="52D8FFB0" w14:textId="44378402" w:rsidR="001D341D" w:rsidRDefault="001D341D" w:rsidP="00A3274B">
      <w:pPr>
        <w:pBdr>
          <w:top w:val="nil"/>
          <w:left w:val="nil"/>
          <w:bottom w:val="nil"/>
          <w:right w:val="nil"/>
          <w:between w:val="nil"/>
        </w:pBdr>
        <w:spacing w:before="40" w:after="80"/>
        <w:ind w:left="720" w:hanging="720"/>
        <w:rPr>
          <w:color w:val="0000FF"/>
          <w:u w:val="single"/>
        </w:rPr>
      </w:pPr>
      <w:r>
        <w:rPr>
          <w:color w:val="000000"/>
        </w:rPr>
        <w:t xml:space="preserve">West AM, Kumar S, Brown </w:t>
      </w:r>
      <w:r w:rsidRPr="004720BA">
        <w:rPr>
          <w:color w:val="000000"/>
        </w:rPr>
        <w:t xml:space="preserve">CS, </w:t>
      </w:r>
      <w:proofErr w:type="spellStart"/>
      <w:r>
        <w:rPr>
          <w:color w:val="000000"/>
        </w:rPr>
        <w:t>Stohlgren</w:t>
      </w:r>
      <w:proofErr w:type="spellEnd"/>
      <w:r>
        <w:rPr>
          <w:color w:val="000000"/>
        </w:rPr>
        <w:t xml:space="preserve"> TJ, Bromberg J</w:t>
      </w:r>
      <w:r w:rsidRPr="004720BA">
        <w:rPr>
          <w:color w:val="000000"/>
        </w:rPr>
        <w:t xml:space="preserve"> (2016) Field validation of an invasive species Maxent model. Ecological Informatics 36:126–134</w:t>
      </w:r>
      <w:r>
        <w:rPr>
          <w:color w:val="000000"/>
        </w:rPr>
        <w:t xml:space="preserve">. </w:t>
      </w:r>
      <w:hyperlink r:id="rId22" w:history="1">
        <w:r w:rsidR="00F8600A" w:rsidRPr="002727C5">
          <w:rPr>
            <w:rStyle w:val="Hyperlink"/>
          </w:rPr>
          <w:t>https://doi.org/10.1016/j.ecoinf.2016.11.001</w:t>
        </w:r>
      </w:hyperlink>
    </w:p>
    <w:p w14:paraId="149DADD4" w14:textId="77777777" w:rsidR="00772350" w:rsidRDefault="00772350" w:rsidP="00A3274B">
      <w:pPr>
        <w:pBdr>
          <w:top w:val="nil"/>
          <w:left w:val="nil"/>
          <w:bottom w:val="nil"/>
          <w:right w:val="nil"/>
          <w:between w:val="nil"/>
        </w:pBdr>
        <w:spacing w:before="40" w:after="80"/>
        <w:ind w:left="720" w:hanging="720"/>
        <w:rPr>
          <w:color w:val="000000"/>
        </w:rPr>
      </w:pPr>
      <w:r>
        <w:rPr>
          <w:color w:val="000000"/>
        </w:rPr>
        <w:lastRenderedPageBreak/>
        <w:t xml:space="preserve">Zimmermann NE, </w:t>
      </w:r>
      <w:proofErr w:type="spellStart"/>
      <w:r>
        <w:rPr>
          <w:color w:val="000000"/>
        </w:rPr>
        <w:t>Yoccoz</w:t>
      </w:r>
      <w:proofErr w:type="spellEnd"/>
      <w:r>
        <w:rPr>
          <w:color w:val="000000"/>
        </w:rPr>
        <w:t xml:space="preserve"> NG, Edwards TC, Meier ES, </w:t>
      </w:r>
      <w:proofErr w:type="spellStart"/>
      <w:r>
        <w:rPr>
          <w:color w:val="000000"/>
        </w:rPr>
        <w:t>Thuiller</w:t>
      </w:r>
      <w:proofErr w:type="spellEnd"/>
      <w:r>
        <w:rPr>
          <w:color w:val="000000"/>
        </w:rPr>
        <w:t xml:space="preserve"> W, </w:t>
      </w:r>
      <w:proofErr w:type="spellStart"/>
      <w:r>
        <w:rPr>
          <w:color w:val="000000"/>
        </w:rPr>
        <w:t>Guisan</w:t>
      </w:r>
      <w:proofErr w:type="spellEnd"/>
      <w:r>
        <w:rPr>
          <w:color w:val="000000"/>
        </w:rPr>
        <w:t xml:space="preserve"> A, Schmatz DR, Pearman PB</w:t>
      </w:r>
      <w:r w:rsidRPr="00035EEF">
        <w:rPr>
          <w:color w:val="000000"/>
        </w:rPr>
        <w:t xml:space="preserve"> (2009)</w:t>
      </w:r>
      <w:r>
        <w:rPr>
          <w:color w:val="000000"/>
        </w:rPr>
        <w:t xml:space="preserve"> Climatic extremes improve predictions of spatial patterns of tree species. </w:t>
      </w:r>
      <w:r w:rsidRPr="004D1CDD">
        <w:rPr>
          <w:color w:val="000000"/>
        </w:rPr>
        <w:t xml:space="preserve">Proceedings of the National Academy of Sciences of the United States of America </w:t>
      </w:r>
      <w:r>
        <w:rPr>
          <w:color w:val="000000"/>
        </w:rPr>
        <w:t xml:space="preserve">106:19723–19728. </w:t>
      </w:r>
      <w:r>
        <w:rPr>
          <w:color w:val="0000FF"/>
          <w:u w:val="single"/>
        </w:rPr>
        <w:t>https://doi.org/10.1073/pnas.0901643106</w:t>
      </w:r>
    </w:p>
    <w:p w14:paraId="695B54D5" w14:textId="77777777" w:rsidR="00C21749" w:rsidRDefault="00C21749" w:rsidP="00A3274B">
      <w:pPr>
        <w:pBdr>
          <w:top w:val="nil"/>
          <w:left w:val="nil"/>
          <w:bottom w:val="nil"/>
          <w:right w:val="nil"/>
          <w:between w:val="nil"/>
        </w:pBdr>
        <w:spacing w:before="40" w:after="80"/>
        <w:ind w:left="720" w:hanging="720"/>
        <w:rPr>
          <w:color w:val="000000"/>
        </w:rPr>
      </w:pPr>
      <w:proofErr w:type="spellStart"/>
      <w:r>
        <w:rPr>
          <w:color w:val="000000"/>
        </w:rPr>
        <w:t>Zizka</w:t>
      </w:r>
      <w:proofErr w:type="spellEnd"/>
      <w:r>
        <w:rPr>
          <w:color w:val="000000"/>
        </w:rPr>
        <w:t xml:space="preserve"> A, Silvestro D, </w:t>
      </w:r>
      <w:r w:rsidRPr="00B1733F">
        <w:rPr>
          <w:color w:val="000000"/>
        </w:rPr>
        <w:t>Andermann T, Azevedo</w:t>
      </w:r>
      <w:r>
        <w:rPr>
          <w:color w:val="000000"/>
        </w:rPr>
        <w:t xml:space="preserve"> J</w:t>
      </w:r>
      <w:r w:rsidRPr="00B1733F">
        <w:rPr>
          <w:color w:val="000000"/>
        </w:rPr>
        <w:t>, Duarte Ritter</w:t>
      </w:r>
      <w:r>
        <w:rPr>
          <w:color w:val="000000"/>
        </w:rPr>
        <w:t xml:space="preserve"> C</w:t>
      </w:r>
      <w:r w:rsidRPr="00B1733F">
        <w:rPr>
          <w:color w:val="000000"/>
        </w:rPr>
        <w:t>, Edler</w:t>
      </w:r>
      <w:r>
        <w:rPr>
          <w:color w:val="000000"/>
        </w:rPr>
        <w:t xml:space="preserve"> D</w:t>
      </w:r>
      <w:r w:rsidRPr="00B1733F">
        <w:rPr>
          <w:color w:val="000000"/>
        </w:rPr>
        <w:t>, Farooq</w:t>
      </w:r>
      <w:r>
        <w:rPr>
          <w:color w:val="000000"/>
        </w:rPr>
        <w:t xml:space="preserve"> H</w:t>
      </w:r>
      <w:r w:rsidRPr="00B1733F">
        <w:rPr>
          <w:color w:val="000000"/>
        </w:rPr>
        <w:t xml:space="preserve">, </w:t>
      </w:r>
      <w:proofErr w:type="spellStart"/>
      <w:r w:rsidRPr="00B1733F">
        <w:rPr>
          <w:color w:val="000000"/>
        </w:rPr>
        <w:t>Herdean</w:t>
      </w:r>
      <w:proofErr w:type="spellEnd"/>
      <w:r>
        <w:rPr>
          <w:color w:val="000000"/>
        </w:rPr>
        <w:t xml:space="preserve"> A</w:t>
      </w:r>
      <w:r w:rsidRPr="00B1733F">
        <w:rPr>
          <w:color w:val="000000"/>
        </w:rPr>
        <w:t xml:space="preserve">, </w:t>
      </w:r>
      <w:proofErr w:type="spellStart"/>
      <w:r w:rsidRPr="00B1733F">
        <w:rPr>
          <w:color w:val="000000"/>
        </w:rPr>
        <w:t>Ariza</w:t>
      </w:r>
      <w:proofErr w:type="spellEnd"/>
      <w:r>
        <w:rPr>
          <w:color w:val="000000"/>
        </w:rPr>
        <w:t xml:space="preserve"> M</w:t>
      </w:r>
      <w:r w:rsidRPr="00B1733F">
        <w:rPr>
          <w:color w:val="000000"/>
        </w:rPr>
        <w:t>, Scharn</w:t>
      </w:r>
      <w:r>
        <w:rPr>
          <w:color w:val="000000"/>
        </w:rPr>
        <w:t xml:space="preserve"> R</w:t>
      </w:r>
      <w:r w:rsidRPr="00B1733F">
        <w:rPr>
          <w:color w:val="000000"/>
        </w:rPr>
        <w:t xml:space="preserve">, </w:t>
      </w:r>
      <w:proofErr w:type="spellStart"/>
      <w:r w:rsidRPr="00B1733F">
        <w:rPr>
          <w:color w:val="000000"/>
        </w:rPr>
        <w:t>Svantesson</w:t>
      </w:r>
      <w:proofErr w:type="spellEnd"/>
      <w:r>
        <w:rPr>
          <w:color w:val="000000"/>
        </w:rPr>
        <w:t xml:space="preserve"> S</w:t>
      </w:r>
      <w:r w:rsidRPr="00B1733F">
        <w:rPr>
          <w:color w:val="000000"/>
        </w:rPr>
        <w:t xml:space="preserve">, </w:t>
      </w:r>
      <w:proofErr w:type="spellStart"/>
      <w:r w:rsidRPr="00B1733F">
        <w:rPr>
          <w:color w:val="000000"/>
        </w:rPr>
        <w:t>Wengström</w:t>
      </w:r>
      <w:proofErr w:type="spellEnd"/>
      <w:r>
        <w:rPr>
          <w:color w:val="000000"/>
        </w:rPr>
        <w:t xml:space="preserve"> N</w:t>
      </w:r>
      <w:r w:rsidRPr="00B1733F">
        <w:rPr>
          <w:color w:val="000000"/>
        </w:rPr>
        <w:t xml:space="preserve">, </w:t>
      </w:r>
      <w:proofErr w:type="spellStart"/>
      <w:r w:rsidRPr="00B1733F">
        <w:rPr>
          <w:color w:val="000000"/>
        </w:rPr>
        <w:t>Zizka</w:t>
      </w:r>
      <w:proofErr w:type="spellEnd"/>
      <w:r>
        <w:rPr>
          <w:color w:val="000000"/>
        </w:rPr>
        <w:t xml:space="preserve"> V</w:t>
      </w:r>
      <w:r w:rsidRPr="00B1733F">
        <w:rPr>
          <w:color w:val="000000"/>
        </w:rPr>
        <w:t xml:space="preserve">, </w:t>
      </w:r>
      <w:proofErr w:type="spellStart"/>
      <w:r w:rsidRPr="00B1733F">
        <w:rPr>
          <w:color w:val="000000"/>
        </w:rPr>
        <w:t>Antonelli</w:t>
      </w:r>
      <w:proofErr w:type="spellEnd"/>
      <w:r w:rsidRPr="00B1733F">
        <w:rPr>
          <w:color w:val="000000"/>
        </w:rPr>
        <w:t xml:space="preserve"> </w:t>
      </w:r>
      <w:r>
        <w:rPr>
          <w:color w:val="000000"/>
        </w:rPr>
        <w:t xml:space="preserve">A </w:t>
      </w:r>
      <w:r w:rsidRPr="00B1733F">
        <w:rPr>
          <w:color w:val="000000"/>
        </w:rPr>
        <w:t xml:space="preserve">(2019) </w:t>
      </w:r>
      <w:proofErr w:type="spellStart"/>
      <w:r w:rsidRPr="00B1733F">
        <w:rPr>
          <w:color w:val="000000"/>
        </w:rPr>
        <w:t>CoordinateCleaner</w:t>
      </w:r>
      <w:proofErr w:type="spellEnd"/>
      <w:r>
        <w:rPr>
          <w:color w:val="000000"/>
        </w:rPr>
        <w:t xml:space="preserve">: Standardized cleaning of occurrence records from biological collection databases. </w:t>
      </w:r>
      <w:r w:rsidRPr="004D1CDD">
        <w:rPr>
          <w:color w:val="000000"/>
        </w:rPr>
        <w:t xml:space="preserve">Methods in Ecology and Evolution </w:t>
      </w:r>
      <w:r>
        <w:rPr>
          <w:color w:val="000000"/>
        </w:rPr>
        <w:t xml:space="preserve">10:744–751. </w:t>
      </w:r>
      <w:hyperlink r:id="rId23">
        <w:r>
          <w:rPr>
            <w:color w:val="0000FF"/>
            <w:u w:val="single"/>
          </w:rPr>
          <w:t>https://doi.org/10.1111/2041-210X.13152</w:t>
        </w:r>
      </w:hyperlink>
    </w:p>
    <w:p w14:paraId="17F8C5FB" w14:textId="77777777" w:rsidR="00C21749" w:rsidRDefault="00C21749" w:rsidP="00A3274B">
      <w:pPr>
        <w:pBdr>
          <w:top w:val="nil"/>
          <w:left w:val="nil"/>
          <w:bottom w:val="nil"/>
          <w:right w:val="nil"/>
          <w:between w:val="nil"/>
        </w:pBdr>
        <w:spacing w:before="40" w:after="80"/>
        <w:ind w:left="720" w:hanging="720"/>
        <w:rPr>
          <w:color w:val="0000FF"/>
          <w:u w:val="single"/>
        </w:rPr>
      </w:pPr>
    </w:p>
    <w:p w14:paraId="10AC6864" w14:textId="77777777" w:rsidR="00DB374E" w:rsidRDefault="00DB374E" w:rsidP="00A3274B">
      <w:pPr>
        <w:pBdr>
          <w:top w:val="nil"/>
          <w:left w:val="nil"/>
          <w:bottom w:val="nil"/>
          <w:right w:val="nil"/>
          <w:between w:val="nil"/>
        </w:pBdr>
        <w:spacing w:before="40" w:after="80"/>
        <w:ind w:left="720" w:hanging="720"/>
        <w:rPr>
          <w:color w:val="0000FF"/>
          <w:u w:val="single"/>
        </w:rPr>
      </w:pPr>
    </w:p>
    <w:p w14:paraId="48E9E492" w14:textId="77777777" w:rsidR="00D9069F" w:rsidRDefault="00D9069F" w:rsidP="00A3274B">
      <w:pPr>
        <w:pBdr>
          <w:top w:val="nil"/>
          <w:left w:val="nil"/>
          <w:bottom w:val="nil"/>
          <w:right w:val="nil"/>
          <w:between w:val="nil"/>
        </w:pBdr>
        <w:spacing w:before="40" w:after="80"/>
        <w:ind w:left="720" w:hanging="720"/>
        <w:rPr>
          <w:color w:val="0000FF"/>
          <w:u w:val="single"/>
        </w:rPr>
      </w:pPr>
    </w:p>
    <w:p w14:paraId="261B03ED" w14:textId="77777777" w:rsidR="00F8600A" w:rsidRDefault="00F8600A" w:rsidP="00A3274B">
      <w:pPr>
        <w:pBdr>
          <w:top w:val="nil"/>
          <w:left w:val="nil"/>
          <w:bottom w:val="nil"/>
          <w:right w:val="nil"/>
          <w:between w:val="nil"/>
        </w:pBdr>
        <w:spacing w:before="40" w:after="80"/>
        <w:ind w:left="720" w:hanging="720"/>
        <w:rPr>
          <w:color w:val="000000"/>
        </w:rPr>
      </w:pPr>
    </w:p>
    <w:p w14:paraId="328D8411" w14:textId="77777777" w:rsidR="001D341D" w:rsidRDefault="001D341D" w:rsidP="00A3274B">
      <w:pPr>
        <w:pBdr>
          <w:top w:val="nil"/>
          <w:left w:val="nil"/>
          <w:bottom w:val="nil"/>
          <w:right w:val="nil"/>
          <w:between w:val="nil"/>
        </w:pBdr>
        <w:spacing w:before="40" w:after="80"/>
        <w:ind w:left="720" w:hanging="720"/>
        <w:rPr>
          <w:color w:val="000000"/>
        </w:rPr>
      </w:pPr>
    </w:p>
    <w:p w14:paraId="62F82213" w14:textId="77777777" w:rsidR="00C727C9" w:rsidRPr="005F62BA" w:rsidRDefault="00C727C9" w:rsidP="0082283B">
      <w:pPr>
        <w:rPr>
          <w:rFonts w:cs="Times New Roman"/>
        </w:rPr>
      </w:pPr>
    </w:p>
    <w:sectPr w:rsidR="00C727C9" w:rsidRPr="005F62BA" w:rsidSect="00B373C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2AFF" w:usb1="4000ACFF"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trackRevisions/>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3D"/>
    <w:rsid w:val="0004654E"/>
    <w:rsid w:val="00062DA5"/>
    <w:rsid w:val="00066285"/>
    <w:rsid w:val="0006693C"/>
    <w:rsid w:val="000A1C03"/>
    <w:rsid w:val="000B6408"/>
    <w:rsid w:val="0018171A"/>
    <w:rsid w:val="001B456B"/>
    <w:rsid w:val="001C3F43"/>
    <w:rsid w:val="001D341D"/>
    <w:rsid w:val="0023411C"/>
    <w:rsid w:val="00243E5D"/>
    <w:rsid w:val="00276A67"/>
    <w:rsid w:val="002A0E60"/>
    <w:rsid w:val="002A725B"/>
    <w:rsid w:val="002C72F4"/>
    <w:rsid w:val="002F1A3F"/>
    <w:rsid w:val="002F6F58"/>
    <w:rsid w:val="0034736A"/>
    <w:rsid w:val="00347484"/>
    <w:rsid w:val="00396A3D"/>
    <w:rsid w:val="003D030B"/>
    <w:rsid w:val="00417914"/>
    <w:rsid w:val="00426D3D"/>
    <w:rsid w:val="00430A06"/>
    <w:rsid w:val="004358E1"/>
    <w:rsid w:val="00445142"/>
    <w:rsid w:val="004C6C9F"/>
    <w:rsid w:val="0052195E"/>
    <w:rsid w:val="0052605A"/>
    <w:rsid w:val="005C6490"/>
    <w:rsid w:val="005D1FE0"/>
    <w:rsid w:val="005D3E34"/>
    <w:rsid w:val="005F3278"/>
    <w:rsid w:val="005F62BA"/>
    <w:rsid w:val="006267DF"/>
    <w:rsid w:val="0070060F"/>
    <w:rsid w:val="00766844"/>
    <w:rsid w:val="00772350"/>
    <w:rsid w:val="00797DE7"/>
    <w:rsid w:val="007E3D79"/>
    <w:rsid w:val="008220EF"/>
    <w:rsid w:val="0082283B"/>
    <w:rsid w:val="008241B4"/>
    <w:rsid w:val="008276D0"/>
    <w:rsid w:val="00841625"/>
    <w:rsid w:val="00872E87"/>
    <w:rsid w:val="008D3C5C"/>
    <w:rsid w:val="00930029"/>
    <w:rsid w:val="0097564F"/>
    <w:rsid w:val="009D5D43"/>
    <w:rsid w:val="00A150BC"/>
    <w:rsid w:val="00A3274B"/>
    <w:rsid w:val="00A8440D"/>
    <w:rsid w:val="00AF2008"/>
    <w:rsid w:val="00AF284E"/>
    <w:rsid w:val="00AF56AE"/>
    <w:rsid w:val="00B055E5"/>
    <w:rsid w:val="00B23081"/>
    <w:rsid w:val="00B850E4"/>
    <w:rsid w:val="00B86C8B"/>
    <w:rsid w:val="00BB025C"/>
    <w:rsid w:val="00BB7097"/>
    <w:rsid w:val="00BC6B6E"/>
    <w:rsid w:val="00C03A84"/>
    <w:rsid w:val="00C120F4"/>
    <w:rsid w:val="00C21749"/>
    <w:rsid w:val="00C60CEF"/>
    <w:rsid w:val="00C727C9"/>
    <w:rsid w:val="00CC46F5"/>
    <w:rsid w:val="00D07B9F"/>
    <w:rsid w:val="00D363DC"/>
    <w:rsid w:val="00D45222"/>
    <w:rsid w:val="00D5593E"/>
    <w:rsid w:val="00D642CC"/>
    <w:rsid w:val="00D81C20"/>
    <w:rsid w:val="00D9069F"/>
    <w:rsid w:val="00DB374E"/>
    <w:rsid w:val="00DB5CBB"/>
    <w:rsid w:val="00DC54CF"/>
    <w:rsid w:val="00E021F5"/>
    <w:rsid w:val="00E10EEE"/>
    <w:rsid w:val="00E631E5"/>
    <w:rsid w:val="00E64217"/>
    <w:rsid w:val="00E801D8"/>
    <w:rsid w:val="00E83F16"/>
    <w:rsid w:val="00E93C52"/>
    <w:rsid w:val="00ED0EA7"/>
    <w:rsid w:val="00ED6C4C"/>
    <w:rsid w:val="00F53AA4"/>
    <w:rsid w:val="00F54632"/>
    <w:rsid w:val="00F846C2"/>
    <w:rsid w:val="00F8600A"/>
    <w:rsid w:val="00FD23F0"/>
    <w:rsid w:val="00FF20F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836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D3D"/>
    <w:pPr>
      <w:spacing w:after="120" w:line="360" w:lineRule="auto"/>
    </w:pPr>
    <w:rPr>
      <w:rFonts w:ascii="Times New Roman" w:hAnsi="Times New Roman"/>
      <w:sz w:val="24"/>
    </w:rPr>
  </w:style>
  <w:style w:type="paragraph" w:styleId="Heading2">
    <w:name w:val="heading 2"/>
    <w:aliases w:val="Head2"/>
    <w:basedOn w:val="Normal"/>
    <w:next w:val="Normal"/>
    <w:link w:val="Heading2Char"/>
    <w:uiPriority w:val="9"/>
    <w:unhideWhenUsed/>
    <w:qFormat/>
    <w:rsid w:val="00426D3D"/>
    <w:pPr>
      <w:keepNext/>
      <w:keepLines/>
      <w:spacing w:before="240" w:after="40"/>
      <w:outlineLvl w:val="1"/>
    </w:pPr>
    <w:rPr>
      <w:rFonts w:eastAsiaTheme="majorEastAsia" w:cstheme="majorBidi"/>
      <w:b/>
      <w:color w:val="000000" w:themeColor="text1"/>
      <w:sz w:val="3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ead2 Char"/>
    <w:basedOn w:val="DefaultParagraphFont"/>
    <w:link w:val="Heading2"/>
    <w:uiPriority w:val="9"/>
    <w:qFormat/>
    <w:rsid w:val="00426D3D"/>
    <w:rPr>
      <w:rFonts w:ascii="Times New Roman" w:eastAsiaTheme="majorEastAsia" w:hAnsi="Times New Roman" w:cstheme="majorBidi"/>
      <w:b/>
      <w:color w:val="000000" w:themeColor="text1"/>
      <w:sz w:val="32"/>
      <w:szCs w:val="26"/>
    </w:rPr>
  </w:style>
  <w:style w:type="paragraph" w:styleId="Caption">
    <w:name w:val="caption"/>
    <w:basedOn w:val="Normal"/>
    <w:next w:val="Normal"/>
    <w:uiPriority w:val="35"/>
    <w:unhideWhenUsed/>
    <w:qFormat/>
    <w:rsid w:val="00426D3D"/>
    <w:pPr>
      <w:spacing w:before="160" w:after="160" w:line="240" w:lineRule="auto"/>
    </w:pPr>
    <w:rPr>
      <w:iCs/>
      <w:sz w:val="20"/>
      <w:szCs w:val="18"/>
    </w:rPr>
  </w:style>
  <w:style w:type="character" w:styleId="LineNumber">
    <w:name w:val="line number"/>
    <w:basedOn w:val="DefaultParagraphFont"/>
    <w:uiPriority w:val="99"/>
    <w:semiHidden/>
    <w:unhideWhenUsed/>
    <w:rsid w:val="00426D3D"/>
  </w:style>
  <w:style w:type="paragraph" w:styleId="Revision">
    <w:name w:val="Revision"/>
    <w:hidden/>
    <w:uiPriority w:val="99"/>
    <w:semiHidden/>
    <w:rsid w:val="00766844"/>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qFormat/>
    <w:rsid w:val="00445142"/>
    <w:rPr>
      <w:sz w:val="16"/>
      <w:szCs w:val="16"/>
    </w:rPr>
  </w:style>
  <w:style w:type="paragraph" w:styleId="CommentText">
    <w:name w:val="annotation text"/>
    <w:basedOn w:val="Normal"/>
    <w:link w:val="CommentTextChar"/>
    <w:uiPriority w:val="99"/>
    <w:unhideWhenUsed/>
    <w:qFormat/>
    <w:rsid w:val="00445142"/>
    <w:pPr>
      <w:spacing w:line="240" w:lineRule="auto"/>
    </w:pPr>
    <w:rPr>
      <w:sz w:val="20"/>
      <w:szCs w:val="20"/>
    </w:rPr>
  </w:style>
  <w:style w:type="character" w:customStyle="1" w:styleId="CommentTextChar">
    <w:name w:val="Comment Text Char"/>
    <w:basedOn w:val="DefaultParagraphFont"/>
    <w:link w:val="CommentText"/>
    <w:uiPriority w:val="99"/>
    <w:qFormat/>
    <w:rsid w:val="00445142"/>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445142"/>
    <w:rPr>
      <w:b/>
      <w:bCs/>
    </w:rPr>
  </w:style>
  <w:style w:type="character" w:customStyle="1" w:styleId="CommentSubjectChar">
    <w:name w:val="Comment Subject Char"/>
    <w:basedOn w:val="CommentTextChar"/>
    <w:link w:val="CommentSubject"/>
    <w:uiPriority w:val="99"/>
    <w:semiHidden/>
    <w:rsid w:val="00445142"/>
    <w:rPr>
      <w:rFonts w:ascii="Times New Roman" w:hAnsi="Times New Roman"/>
      <w:b/>
      <w:bCs/>
      <w:sz w:val="20"/>
      <w:szCs w:val="20"/>
    </w:rPr>
  </w:style>
  <w:style w:type="character" w:styleId="Hyperlink">
    <w:name w:val="Hyperlink"/>
    <w:basedOn w:val="DefaultParagraphFont"/>
    <w:uiPriority w:val="99"/>
    <w:unhideWhenUsed/>
    <w:rsid w:val="001D341D"/>
    <w:rPr>
      <w:color w:val="0563C1" w:themeColor="hyperlink"/>
      <w:u w:val="single"/>
    </w:rPr>
  </w:style>
  <w:style w:type="character" w:customStyle="1" w:styleId="UnresolvedMention">
    <w:name w:val="Unresolved Mention"/>
    <w:basedOn w:val="DefaultParagraphFont"/>
    <w:uiPriority w:val="99"/>
    <w:semiHidden/>
    <w:unhideWhenUsed/>
    <w:rsid w:val="001D341D"/>
    <w:rPr>
      <w:color w:val="605E5C"/>
      <w:shd w:val="clear" w:color="auto" w:fill="E1DFDD"/>
    </w:rPr>
  </w:style>
  <w:style w:type="paragraph" w:styleId="BalloonText">
    <w:name w:val="Balloon Text"/>
    <w:basedOn w:val="Normal"/>
    <w:link w:val="BalloonTextChar"/>
    <w:uiPriority w:val="99"/>
    <w:semiHidden/>
    <w:unhideWhenUsed/>
    <w:rsid w:val="00062D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2DA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D3D"/>
    <w:pPr>
      <w:spacing w:after="120" w:line="360" w:lineRule="auto"/>
    </w:pPr>
    <w:rPr>
      <w:rFonts w:ascii="Times New Roman" w:hAnsi="Times New Roman"/>
      <w:sz w:val="24"/>
    </w:rPr>
  </w:style>
  <w:style w:type="paragraph" w:styleId="Heading2">
    <w:name w:val="heading 2"/>
    <w:aliases w:val="Head2"/>
    <w:basedOn w:val="Normal"/>
    <w:next w:val="Normal"/>
    <w:link w:val="Heading2Char"/>
    <w:uiPriority w:val="9"/>
    <w:unhideWhenUsed/>
    <w:qFormat/>
    <w:rsid w:val="00426D3D"/>
    <w:pPr>
      <w:keepNext/>
      <w:keepLines/>
      <w:spacing w:before="240" w:after="40"/>
      <w:outlineLvl w:val="1"/>
    </w:pPr>
    <w:rPr>
      <w:rFonts w:eastAsiaTheme="majorEastAsia" w:cstheme="majorBidi"/>
      <w:b/>
      <w:color w:val="000000" w:themeColor="text1"/>
      <w:sz w:val="3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ead2 Char"/>
    <w:basedOn w:val="DefaultParagraphFont"/>
    <w:link w:val="Heading2"/>
    <w:uiPriority w:val="9"/>
    <w:qFormat/>
    <w:rsid w:val="00426D3D"/>
    <w:rPr>
      <w:rFonts w:ascii="Times New Roman" w:eastAsiaTheme="majorEastAsia" w:hAnsi="Times New Roman" w:cstheme="majorBidi"/>
      <w:b/>
      <w:color w:val="000000" w:themeColor="text1"/>
      <w:sz w:val="32"/>
      <w:szCs w:val="26"/>
    </w:rPr>
  </w:style>
  <w:style w:type="paragraph" w:styleId="Caption">
    <w:name w:val="caption"/>
    <w:basedOn w:val="Normal"/>
    <w:next w:val="Normal"/>
    <w:uiPriority w:val="35"/>
    <w:unhideWhenUsed/>
    <w:qFormat/>
    <w:rsid w:val="00426D3D"/>
    <w:pPr>
      <w:spacing w:before="160" w:after="160" w:line="240" w:lineRule="auto"/>
    </w:pPr>
    <w:rPr>
      <w:iCs/>
      <w:sz w:val="20"/>
      <w:szCs w:val="18"/>
    </w:rPr>
  </w:style>
  <w:style w:type="character" w:styleId="LineNumber">
    <w:name w:val="line number"/>
    <w:basedOn w:val="DefaultParagraphFont"/>
    <w:uiPriority w:val="99"/>
    <w:semiHidden/>
    <w:unhideWhenUsed/>
    <w:rsid w:val="00426D3D"/>
  </w:style>
  <w:style w:type="paragraph" w:styleId="Revision">
    <w:name w:val="Revision"/>
    <w:hidden/>
    <w:uiPriority w:val="99"/>
    <w:semiHidden/>
    <w:rsid w:val="00766844"/>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qFormat/>
    <w:rsid w:val="00445142"/>
    <w:rPr>
      <w:sz w:val="16"/>
      <w:szCs w:val="16"/>
    </w:rPr>
  </w:style>
  <w:style w:type="paragraph" w:styleId="CommentText">
    <w:name w:val="annotation text"/>
    <w:basedOn w:val="Normal"/>
    <w:link w:val="CommentTextChar"/>
    <w:uiPriority w:val="99"/>
    <w:unhideWhenUsed/>
    <w:qFormat/>
    <w:rsid w:val="00445142"/>
    <w:pPr>
      <w:spacing w:line="240" w:lineRule="auto"/>
    </w:pPr>
    <w:rPr>
      <w:sz w:val="20"/>
      <w:szCs w:val="20"/>
    </w:rPr>
  </w:style>
  <w:style w:type="character" w:customStyle="1" w:styleId="CommentTextChar">
    <w:name w:val="Comment Text Char"/>
    <w:basedOn w:val="DefaultParagraphFont"/>
    <w:link w:val="CommentText"/>
    <w:uiPriority w:val="99"/>
    <w:qFormat/>
    <w:rsid w:val="00445142"/>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445142"/>
    <w:rPr>
      <w:b/>
      <w:bCs/>
    </w:rPr>
  </w:style>
  <w:style w:type="character" w:customStyle="1" w:styleId="CommentSubjectChar">
    <w:name w:val="Comment Subject Char"/>
    <w:basedOn w:val="CommentTextChar"/>
    <w:link w:val="CommentSubject"/>
    <w:uiPriority w:val="99"/>
    <w:semiHidden/>
    <w:rsid w:val="00445142"/>
    <w:rPr>
      <w:rFonts w:ascii="Times New Roman" w:hAnsi="Times New Roman"/>
      <w:b/>
      <w:bCs/>
      <w:sz w:val="20"/>
      <w:szCs w:val="20"/>
    </w:rPr>
  </w:style>
  <w:style w:type="character" w:styleId="Hyperlink">
    <w:name w:val="Hyperlink"/>
    <w:basedOn w:val="DefaultParagraphFont"/>
    <w:uiPriority w:val="99"/>
    <w:unhideWhenUsed/>
    <w:rsid w:val="001D341D"/>
    <w:rPr>
      <w:color w:val="0563C1" w:themeColor="hyperlink"/>
      <w:u w:val="single"/>
    </w:rPr>
  </w:style>
  <w:style w:type="character" w:customStyle="1" w:styleId="UnresolvedMention">
    <w:name w:val="Unresolved Mention"/>
    <w:basedOn w:val="DefaultParagraphFont"/>
    <w:uiPriority w:val="99"/>
    <w:semiHidden/>
    <w:unhideWhenUsed/>
    <w:rsid w:val="001D341D"/>
    <w:rPr>
      <w:color w:val="605E5C"/>
      <w:shd w:val="clear" w:color="auto" w:fill="E1DFDD"/>
    </w:rPr>
  </w:style>
  <w:style w:type="paragraph" w:styleId="BalloonText">
    <w:name w:val="Balloon Text"/>
    <w:basedOn w:val="Normal"/>
    <w:link w:val="BalloonTextChar"/>
    <w:uiPriority w:val="99"/>
    <w:semiHidden/>
    <w:unhideWhenUsed/>
    <w:rsid w:val="00062D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2DA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ecolmodel.2006.07.005" TargetMode="External"/><Relationship Id="rId13" Type="http://schemas.openxmlformats.org/officeDocument/2006/relationships/hyperlink" Target="https://doi.org/10.1111/j.2041-210x.2010.00036.x" TargetMode="External"/><Relationship Id="rId18" Type="http://schemas.openxmlformats.org/officeDocument/2006/relationships/hyperlink" Target="https://doi.org/10.2307/1547200" TargetMode="External"/><Relationship Id="rId3" Type="http://schemas.openxmlformats.org/officeDocument/2006/relationships/settings" Target="settings.xml"/><Relationship Id="rId21" Type="http://schemas.openxmlformats.org/officeDocument/2006/relationships/hyperlink" Target="https://doi.org/10.1111/j.0906-7590.2008.5203.x" TargetMode="External"/><Relationship Id="rId7" Type="http://schemas.openxmlformats.org/officeDocument/2006/relationships/image" Target="media/image3.png"/><Relationship Id="rId12" Type="http://schemas.openxmlformats.org/officeDocument/2006/relationships/hyperlink" Target="https://doi.org/10.1111/j.1600-0587.2012.07348.x" TargetMode="External"/><Relationship Id="rId17" Type="http://schemas.openxmlformats.org/officeDocument/2006/relationships/hyperlink" Target="https://doi.org/10.1111/j.1600-0587.2013.07872.x" TargetMode="External"/><Relationship Id="rId25"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hyperlink" Target="https://doi.org/10.1111/gcb.13038" TargetMode="External"/><Relationship Id="rId20" Type="http://schemas.openxmlformats.org/officeDocument/2006/relationships/hyperlink" Target="https://doi.org/10.1016/j.ecolmodel.2005.03.026" TargetMode="Externa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hyperlink" Target="https://doi.org/10.1111/jbi.13555" TargetMode="External"/><Relationship Id="rId24"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s://doi.org/10.1007/s10530-011-9963-4" TargetMode="External"/><Relationship Id="rId23" Type="http://schemas.openxmlformats.org/officeDocument/2006/relationships/hyperlink" Target="https://doi.org/10.1111/2041-210X.13152" TargetMode="External"/><Relationship Id="rId10" Type="http://schemas.openxmlformats.org/officeDocument/2006/relationships/hyperlink" Target="https://doi.org/10.1111/j.1600-0587.2013.00138.x" TargetMode="External"/><Relationship Id="rId19" Type="http://schemas.openxmlformats.org/officeDocument/2006/relationships/hyperlink" Target="https://doi.org/10.1111/geb.12530" TargetMode="External"/><Relationship Id="rId4" Type="http://schemas.openxmlformats.org/officeDocument/2006/relationships/webSettings" Target="webSettings.xml"/><Relationship Id="rId9" Type="http://schemas.openxmlformats.org/officeDocument/2006/relationships/hyperlink" Target="https://doi.org/10.1371/journal.pone.0193085" TargetMode="External"/><Relationship Id="rId14" Type="http://schemas.openxmlformats.org/officeDocument/2006/relationships/hyperlink" Target="https://doi.org/10.1111/geb.12381" TargetMode="External"/><Relationship Id="rId22" Type="http://schemas.openxmlformats.org/officeDocument/2006/relationships/hyperlink" Target="https://doi.org/10.1016/j.ecoinf.2016.11.0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2962</Words>
  <Characters>16888</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Mcculloch-Jones, EJ, Dr [emcjones@sun.ac.za]</dc:creator>
  <cp:lastModifiedBy>Deyan Petrov</cp:lastModifiedBy>
  <cp:revision>2</cp:revision>
  <dcterms:created xsi:type="dcterms:W3CDTF">2023-08-07T12:15:00Z</dcterms:created>
  <dcterms:modified xsi:type="dcterms:W3CDTF">2023-08-07T12:15:00Z</dcterms:modified>
</cp:coreProperties>
</file>