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DFC8E7" w14:textId="27D2C5AD" w:rsidR="00FB6954" w:rsidRPr="00FB6954" w:rsidRDefault="00FB6954" w:rsidP="00FB6954">
      <w:pPr>
        <w:spacing w:line="240" w:lineRule="auto"/>
        <w:rPr>
          <w:rFonts w:eastAsia="Times New Roman"/>
          <w:b/>
          <w:bCs/>
          <w:lang w:val="en-ZA" w:eastAsia="en-GB"/>
        </w:rPr>
      </w:pPr>
      <w:r w:rsidRPr="00FB6954">
        <w:rPr>
          <w:rFonts w:eastAsia="Times New Roman"/>
          <w:b/>
          <w:bCs/>
          <w:lang w:val="en-ZA" w:eastAsia="en-GB"/>
        </w:rPr>
        <w:t xml:space="preserve">Supplementary Table </w:t>
      </w:r>
      <w:r w:rsidR="00763C80">
        <w:rPr>
          <w:rFonts w:eastAsia="Times New Roman"/>
          <w:b/>
          <w:bCs/>
          <w:lang w:val="en-ZA" w:eastAsia="en-GB"/>
        </w:rPr>
        <w:t>4</w:t>
      </w:r>
      <w:r w:rsidRPr="00FB6954">
        <w:rPr>
          <w:rFonts w:eastAsia="Times New Roman"/>
          <w:b/>
          <w:bCs/>
          <w:lang w:val="en-ZA" w:eastAsia="en-GB"/>
        </w:rPr>
        <w:t>: Schedule of evaluation for participants in the safety and immunogenicity sub-study (approximately N=200)</w:t>
      </w:r>
    </w:p>
    <w:p w14:paraId="2C2B17E4" w14:textId="77777777" w:rsidR="00FB6954" w:rsidRPr="00FB6954" w:rsidRDefault="00FB6954" w:rsidP="00FB6954">
      <w:pPr>
        <w:widowControl w:val="0"/>
        <w:autoSpaceDE w:val="0"/>
        <w:autoSpaceDN w:val="0"/>
        <w:spacing w:line="240" w:lineRule="auto"/>
        <w:ind w:right="21"/>
        <w:rPr>
          <w:rFonts w:ascii="Times New Roman" w:hAnsi="Times New Roman" w:cs="Times New Roman"/>
          <w:sz w:val="24"/>
          <w:szCs w:val="24"/>
          <w:lang w:val="en-ZA" w:eastAsia="en-ZA" w:bidi="en-ZA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880"/>
        <w:gridCol w:w="1077"/>
        <w:gridCol w:w="1069"/>
        <w:gridCol w:w="960"/>
        <w:gridCol w:w="960"/>
      </w:tblGrid>
      <w:tr w:rsidR="00FB6954" w:rsidRPr="00FB6954" w14:paraId="5A97F456" w14:textId="77777777" w:rsidTr="00E177C3">
        <w:trPr>
          <w:trHeight w:val="280"/>
          <w:jc w:val="center"/>
        </w:trPr>
        <w:tc>
          <w:tcPr>
            <w:tcW w:w="6026" w:type="dxa"/>
            <w:gridSpan w:val="3"/>
            <w:noWrap/>
            <w:hideMark/>
          </w:tcPr>
          <w:p w14:paraId="0C4054BB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Safety and Immunogenicity Sub-study</w:t>
            </w:r>
          </w:p>
        </w:tc>
        <w:tc>
          <w:tcPr>
            <w:tcW w:w="960" w:type="dxa"/>
            <w:noWrap/>
            <w:hideMark/>
          </w:tcPr>
          <w:p w14:paraId="1AFF47AD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 </w:t>
            </w:r>
          </w:p>
        </w:tc>
        <w:tc>
          <w:tcPr>
            <w:tcW w:w="960" w:type="dxa"/>
          </w:tcPr>
          <w:p w14:paraId="4E6D8519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5E9EB580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1285626F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Visit Number</w:t>
            </w:r>
          </w:p>
        </w:tc>
        <w:tc>
          <w:tcPr>
            <w:tcW w:w="1077" w:type="dxa"/>
            <w:hideMark/>
          </w:tcPr>
          <w:p w14:paraId="221DF1FA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1</w:t>
            </w:r>
          </w:p>
        </w:tc>
        <w:tc>
          <w:tcPr>
            <w:tcW w:w="1069" w:type="dxa"/>
            <w:hideMark/>
          </w:tcPr>
          <w:p w14:paraId="71D8B964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2</w:t>
            </w:r>
          </w:p>
        </w:tc>
        <w:tc>
          <w:tcPr>
            <w:tcW w:w="960" w:type="dxa"/>
            <w:hideMark/>
          </w:tcPr>
          <w:p w14:paraId="224D2CAA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3</w:t>
            </w:r>
          </w:p>
        </w:tc>
        <w:tc>
          <w:tcPr>
            <w:tcW w:w="960" w:type="dxa"/>
          </w:tcPr>
          <w:p w14:paraId="05B728A3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4</w:t>
            </w:r>
          </w:p>
        </w:tc>
      </w:tr>
      <w:tr w:rsidR="00FB6954" w:rsidRPr="00FB6954" w14:paraId="3932ABF2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09A5E9DD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Study Week</w:t>
            </w:r>
          </w:p>
        </w:tc>
        <w:tc>
          <w:tcPr>
            <w:tcW w:w="1077" w:type="dxa"/>
            <w:hideMark/>
          </w:tcPr>
          <w:p w14:paraId="3D09682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1069" w:type="dxa"/>
            <w:hideMark/>
          </w:tcPr>
          <w:p w14:paraId="2CED61BB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0</w:t>
            </w:r>
          </w:p>
        </w:tc>
        <w:tc>
          <w:tcPr>
            <w:tcW w:w="960" w:type="dxa"/>
            <w:hideMark/>
          </w:tcPr>
          <w:p w14:paraId="29CB1A4D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4</w:t>
            </w:r>
          </w:p>
        </w:tc>
        <w:tc>
          <w:tcPr>
            <w:tcW w:w="960" w:type="dxa"/>
          </w:tcPr>
          <w:p w14:paraId="6FBCCDDE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24</w:t>
            </w:r>
          </w:p>
        </w:tc>
      </w:tr>
      <w:tr w:rsidR="00FB6954" w:rsidRPr="00FB6954" w14:paraId="6DEB4D9E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67FB24C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Study Day</w:t>
            </w:r>
          </w:p>
        </w:tc>
        <w:tc>
          <w:tcPr>
            <w:tcW w:w="1077" w:type="dxa"/>
            <w:hideMark/>
          </w:tcPr>
          <w:p w14:paraId="28BEB32C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-56 to 1</w:t>
            </w:r>
          </w:p>
        </w:tc>
        <w:tc>
          <w:tcPr>
            <w:tcW w:w="1069" w:type="dxa"/>
            <w:hideMark/>
          </w:tcPr>
          <w:p w14:paraId="36EC606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1</w:t>
            </w:r>
          </w:p>
        </w:tc>
        <w:tc>
          <w:tcPr>
            <w:tcW w:w="960" w:type="dxa"/>
            <w:hideMark/>
          </w:tcPr>
          <w:p w14:paraId="253AF27D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29</w:t>
            </w:r>
          </w:p>
        </w:tc>
        <w:tc>
          <w:tcPr>
            <w:tcW w:w="960" w:type="dxa"/>
          </w:tcPr>
          <w:p w14:paraId="6175592F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169</w:t>
            </w:r>
          </w:p>
        </w:tc>
      </w:tr>
      <w:tr w:rsidR="00FB6954" w:rsidRPr="00FB6954" w14:paraId="6172488B" w14:textId="77777777" w:rsidTr="00E177C3">
        <w:trPr>
          <w:gridAfter w:val="2"/>
          <w:wAfter w:w="1920" w:type="dxa"/>
          <w:trHeight w:val="280"/>
          <w:jc w:val="center"/>
        </w:trPr>
        <w:tc>
          <w:tcPr>
            <w:tcW w:w="3880" w:type="dxa"/>
            <w:hideMark/>
          </w:tcPr>
          <w:p w14:paraId="770D95AA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Procedure</w:t>
            </w:r>
          </w:p>
        </w:tc>
        <w:tc>
          <w:tcPr>
            <w:tcW w:w="1077" w:type="dxa"/>
            <w:hideMark/>
          </w:tcPr>
          <w:p w14:paraId="5F3390EB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Screen</w:t>
            </w:r>
          </w:p>
        </w:tc>
        <w:tc>
          <w:tcPr>
            <w:tcW w:w="1069" w:type="dxa"/>
            <w:hideMark/>
          </w:tcPr>
          <w:p w14:paraId="584B7271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Vaccine</w:t>
            </w:r>
          </w:p>
        </w:tc>
      </w:tr>
      <w:tr w:rsidR="00FB6954" w:rsidRPr="00FB6954" w14:paraId="12CCCD8F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7855E11F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Study procedures</w:t>
            </w:r>
          </w:p>
        </w:tc>
        <w:tc>
          <w:tcPr>
            <w:tcW w:w="1077" w:type="dxa"/>
            <w:hideMark/>
          </w:tcPr>
          <w:p w14:paraId="11AA604B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1069" w:type="dxa"/>
            <w:hideMark/>
          </w:tcPr>
          <w:p w14:paraId="503CE4CD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  <w:hideMark/>
          </w:tcPr>
          <w:p w14:paraId="4B227838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046ADDD4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23D19050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55F69B9F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Assessment of Understanding</w:t>
            </w:r>
          </w:p>
        </w:tc>
        <w:tc>
          <w:tcPr>
            <w:tcW w:w="1077" w:type="dxa"/>
            <w:hideMark/>
          </w:tcPr>
          <w:p w14:paraId="70BD1733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1069" w:type="dxa"/>
            <w:hideMark/>
          </w:tcPr>
          <w:p w14:paraId="212FE3B5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  <w:hideMark/>
          </w:tcPr>
          <w:p w14:paraId="453F6B0C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2CFA927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03EE66FC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3999FF91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Informed consent</w:t>
            </w:r>
          </w:p>
        </w:tc>
        <w:tc>
          <w:tcPr>
            <w:tcW w:w="1077" w:type="dxa"/>
            <w:hideMark/>
          </w:tcPr>
          <w:p w14:paraId="63EE217C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1069" w:type="dxa"/>
            <w:hideMark/>
          </w:tcPr>
          <w:p w14:paraId="41877AA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  <w:hideMark/>
          </w:tcPr>
          <w:p w14:paraId="0578FBAA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0D5B5591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48BE7460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6BF173B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Medical history</w:t>
            </w:r>
          </w:p>
        </w:tc>
        <w:tc>
          <w:tcPr>
            <w:tcW w:w="1077" w:type="dxa"/>
            <w:hideMark/>
          </w:tcPr>
          <w:p w14:paraId="28F106BA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1069" w:type="dxa"/>
            <w:hideMark/>
          </w:tcPr>
          <w:p w14:paraId="419BDFEB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  <w:hideMark/>
          </w:tcPr>
          <w:p w14:paraId="13EA05C1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13EB6640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280BCB68" w14:textId="77777777" w:rsidTr="00E177C3">
        <w:trPr>
          <w:trHeight w:val="280"/>
          <w:jc w:val="center"/>
        </w:trPr>
        <w:tc>
          <w:tcPr>
            <w:tcW w:w="3880" w:type="dxa"/>
          </w:tcPr>
          <w:p w14:paraId="4D835985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Gynaecological and obstetric history*</w:t>
            </w:r>
          </w:p>
        </w:tc>
        <w:tc>
          <w:tcPr>
            <w:tcW w:w="1077" w:type="dxa"/>
          </w:tcPr>
          <w:p w14:paraId="430E2A91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(√)</w:t>
            </w:r>
          </w:p>
        </w:tc>
        <w:tc>
          <w:tcPr>
            <w:tcW w:w="1069" w:type="dxa"/>
          </w:tcPr>
          <w:p w14:paraId="1183E20F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0B8403B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628F21AD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13C17458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67871B49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Vaccination history</w:t>
            </w:r>
          </w:p>
        </w:tc>
        <w:tc>
          <w:tcPr>
            <w:tcW w:w="1077" w:type="dxa"/>
            <w:hideMark/>
          </w:tcPr>
          <w:p w14:paraId="452EBCCD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1069" w:type="dxa"/>
            <w:hideMark/>
          </w:tcPr>
          <w:p w14:paraId="2D0DD2ED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  <w:hideMark/>
          </w:tcPr>
          <w:p w14:paraId="06618865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66BA4A4E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3F6AB0E3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7F991DEB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Physical exam</w:t>
            </w:r>
          </w:p>
        </w:tc>
        <w:tc>
          <w:tcPr>
            <w:tcW w:w="1077" w:type="dxa"/>
            <w:hideMark/>
          </w:tcPr>
          <w:p w14:paraId="301DCB4A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1069" w:type="dxa"/>
            <w:hideMark/>
          </w:tcPr>
          <w:p w14:paraId="020CA6BC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  <w:hideMark/>
          </w:tcPr>
          <w:p w14:paraId="3A652D6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568B7740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0D7FE095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7B10B7BF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Obtain demographics</w:t>
            </w:r>
          </w:p>
        </w:tc>
        <w:tc>
          <w:tcPr>
            <w:tcW w:w="1077" w:type="dxa"/>
            <w:hideMark/>
          </w:tcPr>
          <w:p w14:paraId="4B661EEF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1069" w:type="dxa"/>
            <w:hideMark/>
          </w:tcPr>
          <w:p w14:paraId="27BD9D1A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  <w:hideMark/>
          </w:tcPr>
          <w:p w14:paraId="3040C5F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3FF74E33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74E7959A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7DD776BD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Concomitant medications</w:t>
            </w:r>
          </w:p>
        </w:tc>
        <w:tc>
          <w:tcPr>
            <w:tcW w:w="1077" w:type="dxa"/>
            <w:hideMark/>
          </w:tcPr>
          <w:p w14:paraId="4DF31CDB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1069" w:type="dxa"/>
            <w:hideMark/>
          </w:tcPr>
          <w:p w14:paraId="02A6E27E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  <w:hideMark/>
          </w:tcPr>
          <w:p w14:paraId="574BA29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0BA931C9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72DEB633" w14:textId="77777777" w:rsidTr="00E177C3">
        <w:trPr>
          <w:trHeight w:val="330"/>
          <w:jc w:val="center"/>
        </w:trPr>
        <w:tc>
          <w:tcPr>
            <w:tcW w:w="3880" w:type="dxa"/>
            <w:hideMark/>
          </w:tcPr>
          <w:p w14:paraId="73632DE0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Vaccination</w:t>
            </w:r>
          </w:p>
        </w:tc>
        <w:tc>
          <w:tcPr>
            <w:tcW w:w="1077" w:type="dxa"/>
            <w:hideMark/>
          </w:tcPr>
          <w:p w14:paraId="3EE3F12C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1069" w:type="dxa"/>
            <w:hideMark/>
          </w:tcPr>
          <w:p w14:paraId="49A7F622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960" w:type="dxa"/>
            <w:hideMark/>
          </w:tcPr>
          <w:p w14:paraId="4B9A4553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78626C39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37CC39ED" w14:textId="77777777" w:rsidTr="00E177C3">
        <w:trPr>
          <w:trHeight w:val="330"/>
          <w:jc w:val="center"/>
        </w:trPr>
        <w:tc>
          <w:tcPr>
            <w:tcW w:w="3880" w:type="dxa"/>
            <w:hideMark/>
          </w:tcPr>
          <w:p w14:paraId="6500A727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SAEs, AESIs assessment</w:t>
            </w:r>
          </w:p>
        </w:tc>
        <w:tc>
          <w:tcPr>
            <w:tcW w:w="1077" w:type="dxa"/>
            <w:hideMark/>
          </w:tcPr>
          <w:p w14:paraId="65198145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1069" w:type="dxa"/>
            <w:hideMark/>
          </w:tcPr>
          <w:p w14:paraId="1E8128CF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960" w:type="dxa"/>
            <w:hideMark/>
          </w:tcPr>
          <w:p w14:paraId="5C07408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960" w:type="dxa"/>
          </w:tcPr>
          <w:p w14:paraId="1D433EC8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</w:tr>
      <w:tr w:rsidR="00FB6954" w:rsidRPr="00FB6954" w14:paraId="2B979DA2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30D70693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Early reactogenicity assessment</w:t>
            </w:r>
          </w:p>
        </w:tc>
        <w:tc>
          <w:tcPr>
            <w:tcW w:w="1077" w:type="dxa"/>
            <w:hideMark/>
          </w:tcPr>
          <w:p w14:paraId="44240833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1069" w:type="dxa"/>
            <w:hideMark/>
          </w:tcPr>
          <w:p w14:paraId="355B5B5A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960" w:type="dxa"/>
            <w:hideMark/>
          </w:tcPr>
          <w:p w14:paraId="0CCC68D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18DE84C1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072706E5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72870832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AEs for 28 days post vaccination</w:t>
            </w:r>
          </w:p>
        </w:tc>
        <w:tc>
          <w:tcPr>
            <w:tcW w:w="1077" w:type="dxa"/>
            <w:hideMark/>
          </w:tcPr>
          <w:p w14:paraId="415256C8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1069" w:type="dxa"/>
            <w:hideMark/>
          </w:tcPr>
          <w:p w14:paraId="0ED810CC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960" w:type="dxa"/>
            <w:hideMark/>
          </w:tcPr>
          <w:p w14:paraId="1209294B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960" w:type="dxa"/>
          </w:tcPr>
          <w:p w14:paraId="0481EB28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29269CFF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7F403CDB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b/>
                <w:bCs/>
                <w:sz w:val="20"/>
                <w:szCs w:val="20"/>
                <w:lang w:val="en-ZA" w:eastAsia="en-ZA" w:bidi="en-ZA"/>
              </w:rPr>
            </w:pPr>
            <w:r w:rsidRPr="00FB6954">
              <w:rPr>
                <w:b/>
                <w:bCs/>
                <w:sz w:val="20"/>
                <w:szCs w:val="20"/>
                <w:lang w:val="en-ZA" w:eastAsia="en-ZA" w:bidi="en-ZA"/>
              </w:rPr>
              <w:t>Specimen Collections</w:t>
            </w:r>
          </w:p>
        </w:tc>
        <w:tc>
          <w:tcPr>
            <w:tcW w:w="1077" w:type="dxa"/>
            <w:hideMark/>
          </w:tcPr>
          <w:p w14:paraId="5E6B8A34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1069" w:type="dxa"/>
            <w:hideMark/>
          </w:tcPr>
          <w:p w14:paraId="5EA1D56A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  <w:hideMark/>
          </w:tcPr>
          <w:p w14:paraId="01852C43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6CFFB744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2C3132C2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4961BA3A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Pregnancy test</w:t>
            </w:r>
            <w:r w:rsidRPr="00FB6954">
              <w:rPr>
                <w:sz w:val="20"/>
                <w:szCs w:val="20"/>
                <w:vertAlign w:val="superscript"/>
                <w:lang w:val="en-ZA" w:eastAsia="en-ZA" w:bidi="en-ZA"/>
              </w:rPr>
              <w:t xml:space="preserve"> #</w:t>
            </w:r>
          </w:p>
        </w:tc>
        <w:tc>
          <w:tcPr>
            <w:tcW w:w="1077" w:type="dxa"/>
            <w:hideMark/>
          </w:tcPr>
          <w:p w14:paraId="453229DF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1069" w:type="dxa"/>
            <w:hideMark/>
          </w:tcPr>
          <w:p w14:paraId="307D31F2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  <w:hideMark/>
          </w:tcPr>
          <w:p w14:paraId="4DF1D3E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960" w:type="dxa"/>
          </w:tcPr>
          <w:p w14:paraId="515B073B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</w:tr>
      <w:tr w:rsidR="00FB6954" w:rsidRPr="00FB6954" w14:paraId="10BB701E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76750B8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 xml:space="preserve">Blood plasma (approx. 8 </w:t>
            </w:r>
            <w:proofErr w:type="spellStart"/>
            <w:r w:rsidRPr="00FB6954">
              <w:rPr>
                <w:sz w:val="20"/>
                <w:szCs w:val="20"/>
                <w:lang w:val="en-ZA" w:eastAsia="en-ZA" w:bidi="en-ZA"/>
              </w:rPr>
              <w:t>mls</w:t>
            </w:r>
            <w:proofErr w:type="spellEnd"/>
            <w:r w:rsidRPr="00FB6954">
              <w:rPr>
                <w:sz w:val="20"/>
                <w:szCs w:val="20"/>
                <w:lang w:val="en-ZA" w:eastAsia="en-ZA" w:bidi="en-ZA"/>
              </w:rPr>
              <w:t>)</w:t>
            </w:r>
          </w:p>
        </w:tc>
        <w:tc>
          <w:tcPr>
            <w:tcW w:w="1077" w:type="dxa"/>
            <w:hideMark/>
          </w:tcPr>
          <w:p w14:paraId="034805B9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1069" w:type="dxa"/>
            <w:hideMark/>
          </w:tcPr>
          <w:p w14:paraId="7D104F5D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960" w:type="dxa"/>
            <w:hideMark/>
          </w:tcPr>
          <w:p w14:paraId="75C195B9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960" w:type="dxa"/>
          </w:tcPr>
          <w:p w14:paraId="1E99E38E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</w:tr>
      <w:tr w:rsidR="00FB6954" w:rsidRPr="00FB6954" w14:paraId="5B73A439" w14:textId="77777777" w:rsidTr="00E177C3">
        <w:trPr>
          <w:trHeight w:val="280"/>
          <w:jc w:val="center"/>
        </w:trPr>
        <w:tc>
          <w:tcPr>
            <w:tcW w:w="3880" w:type="dxa"/>
          </w:tcPr>
          <w:p w14:paraId="01C8E4DA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 xml:space="preserve">Blood PBMC (approx. 42 </w:t>
            </w:r>
            <w:proofErr w:type="spellStart"/>
            <w:proofErr w:type="gramStart"/>
            <w:r w:rsidRPr="00FB6954">
              <w:rPr>
                <w:sz w:val="20"/>
                <w:szCs w:val="20"/>
                <w:lang w:val="en-ZA" w:eastAsia="en-ZA" w:bidi="en-ZA"/>
              </w:rPr>
              <w:t>mls</w:t>
            </w:r>
            <w:proofErr w:type="spellEnd"/>
            <w:r w:rsidRPr="00FB6954">
              <w:rPr>
                <w:sz w:val="20"/>
                <w:szCs w:val="20"/>
                <w:lang w:val="en-ZA" w:eastAsia="en-ZA" w:bidi="en-ZA"/>
              </w:rPr>
              <w:t>)</w:t>
            </w:r>
            <w:r w:rsidRPr="00FB6954">
              <w:rPr>
                <w:sz w:val="20"/>
                <w:szCs w:val="20"/>
                <w:vertAlign w:val="superscript"/>
                <w:lang w:val="en-ZA" w:eastAsia="en-ZA" w:bidi="en-ZA"/>
              </w:rPr>
              <w:t>+</w:t>
            </w:r>
            <w:proofErr w:type="gramEnd"/>
          </w:p>
        </w:tc>
        <w:tc>
          <w:tcPr>
            <w:tcW w:w="1077" w:type="dxa"/>
          </w:tcPr>
          <w:p w14:paraId="13002A48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1069" w:type="dxa"/>
          </w:tcPr>
          <w:p w14:paraId="0862D0A6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rFonts w:eastAsia="Times New Roman"/>
                <w:sz w:val="20"/>
                <w:szCs w:val="20"/>
                <w:lang w:val="en-ZA" w:eastAsia="en-GB"/>
              </w:rPr>
              <w:t>√</w:t>
            </w:r>
          </w:p>
        </w:tc>
        <w:tc>
          <w:tcPr>
            <w:tcW w:w="960" w:type="dxa"/>
          </w:tcPr>
          <w:p w14:paraId="51EB152B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rFonts w:eastAsia="Times New Roman"/>
                <w:sz w:val="20"/>
                <w:szCs w:val="20"/>
                <w:lang w:val="en-ZA" w:eastAsia="en-GB"/>
              </w:rPr>
              <w:t>√</w:t>
            </w:r>
          </w:p>
        </w:tc>
        <w:tc>
          <w:tcPr>
            <w:tcW w:w="960" w:type="dxa"/>
          </w:tcPr>
          <w:p w14:paraId="4297FA8C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rFonts w:eastAsia="Times New Roman"/>
                <w:sz w:val="20"/>
                <w:szCs w:val="20"/>
                <w:lang w:val="en-ZA" w:eastAsia="en-GB"/>
              </w:rPr>
              <w:t>√</w:t>
            </w:r>
          </w:p>
        </w:tc>
      </w:tr>
      <w:tr w:rsidR="00FB6954" w:rsidRPr="00FB6954" w14:paraId="72E1FAB3" w14:textId="77777777" w:rsidTr="00E177C3">
        <w:trPr>
          <w:trHeight w:val="280"/>
          <w:jc w:val="center"/>
        </w:trPr>
        <w:tc>
          <w:tcPr>
            <w:tcW w:w="3880" w:type="dxa"/>
            <w:hideMark/>
          </w:tcPr>
          <w:p w14:paraId="7E7016F7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bookmarkStart w:id="0" w:name="_Hlk94606317"/>
            <w:r w:rsidRPr="00FB6954">
              <w:rPr>
                <w:sz w:val="20"/>
                <w:szCs w:val="20"/>
                <w:lang w:val="en-ZA" w:eastAsia="en-ZA" w:bidi="en-ZA"/>
              </w:rPr>
              <w:t>Nasal swab for COVID PCR</w:t>
            </w:r>
          </w:p>
        </w:tc>
        <w:tc>
          <w:tcPr>
            <w:tcW w:w="1077" w:type="dxa"/>
            <w:hideMark/>
          </w:tcPr>
          <w:p w14:paraId="2D2DF007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1069" w:type="dxa"/>
            <w:hideMark/>
          </w:tcPr>
          <w:p w14:paraId="565DFE67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960" w:type="dxa"/>
            <w:hideMark/>
          </w:tcPr>
          <w:p w14:paraId="6EF5A8A8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  <w:tc>
          <w:tcPr>
            <w:tcW w:w="960" w:type="dxa"/>
          </w:tcPr>
          <w:p w14:paraId="61541CCE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√</w:t>
            </w:r>
          </w:p>
        </w:tc>
      </w:tr>
      <w:bookmarkEnd w:id="0"/>
      <w:tr w:rsidR="00FB6954" w:rsidRPr="00FB6954" w14:paraId="4DF44E34" w14:textId="77777777" w:rsidTr="00E177C3">
        <w:trPr>
          <w:trHeight w:val="280"/>
          <w:jc w:val="center"/>
        </w:trPr>
        <w:tc>
          <w:tcPr>
            <w:tcW w:w="3880" w:type="dxa"/>
          </w:tcPr>
          <w:p w14:paraId="625BAC7F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sz w:val="20"/>
                <w:szCs w:val="20"/>
                <w:lang w:val="en-ZA" w:eastAsia="en-ZA" w:bidi="en-ZA"/>
              </w:rPr>
              <w:t>Breastmilk^ for immune responses</w:t>
            </w:r>
          </w:p>
        </w:tc>
        <w:tc>
          <w:tcPr>
            <w:tcW w:w="1077" w:type="dxa"/>
          </w:tcPr>
          <w:p w14:paraId="71F56D8F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</w:p>
        </w:tc>
        <w:tc>
          <w:tcPr>
            <w:tcW w:w="1069" w:type="dxa"/>
          </w:tcPr>
          <w:p w14:paraId="6F78F697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rFonts w:eastAsia="Times New Roman"/>
                <w:sz w:val="20"/>
                <w:szCs w:val="20"/>
                <w:lang w:val="en-ZA" w:eastAsia="en-GB"/>
              </w:rPr>
              <w:t>(√)</w:t>
            </w:r>
          </w:p>
        </w:tc>
        <w:tc>
          <w:tcPr>
            <w:tcW w:w="960" w:type="dxa"/>
          </w:tcPr>
          <w:p w14:paraId="0E98F193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rFonts w:eastAsia="Times New Roman"/>
                <w:sz w:val="20"/>
                <w:szCs w:val="20"/>
                <w:lang w:val="en-ZA" w:eastAsia="en-GB"/>
              </w:rPr>
              <w:t>(√)</w:t>
            </w:r>
          </w:p>
        </w:tc>
        <w:tc>
          <w:tcPr>
            <w:tcW w:w="960" w:type="dxa"/>
          </w:tcPr>
          <w:p w14:paraId="1C784B7A" w14:textId="77777777" w:rsidR="00FB6954" w:rsidRPr="00FB6954" w:rsidRDefault="00FB6954" w:rsidP="00FB6954">
            <w:pPr>
              <w:widowControl w:val="0"/>
              <w:autoSpaceDE w:val="0"/>
              <w:autoSpaceDN w:val="0"/>
              <w:spacing w:line="240" w:lineRule="auto"/>
              <w:ind w:right="21"/>
              <w:jc w:val="center"/>
              <w:rPr>
                <w:sz w:val="20"/>
                <w:szCs w:val="20"/>
                <w:lang w:val="en-ZA" w:eastAsia="en-ZA" w:bidi="en-ZA"/>
              </w:rPr>
            </w:pPr>
            <w:r w:rsidRPr="00FB6954">
              <w:rPr>
                <w:rFonts w:eastAsia="Times New Roman"/>
                <w:sz w:val="20"/>
                <w:szCs w:val="20"/>
                <w:lang w:val="en-ZA" w:eastAsia="en-GB"/>
              </w:rPr>
              <w:t>(√)</w:t>
            </w:r>
          </w:p>
        </w:tc>
      </w:tr>
    </w:tbl>
    <w:p w14:paraId="3068F449" w14:textId="67828F25" w:rsidR="00FB6954" w:rsidRPr="00FB6954" w:rsidRDefault="00FB6954" w:rsidP="00FB6954">
      <w:pPr>
        <w:widowControl w:val="0"/>
        <w:autoSpaceDE w:val="0"/>
        <w:autoSpaceDN w:val="0"/>
        <w:spacing w:line="240" w:lineRule="auto"/>
        <w:ind w:left="567" w:right="567"/>
        <w:rPr>
          <w:sz w:val="18"/>
          <w:szCs w:val="18"/>
          <w:lang w:val="en-ZA" w:eastAsia="en-ZA" w:bidi="en-ZA"/>
        </w:rPr>
      </w:pPr>
      <w:r w:rsidRPr="62A52C35">
        <w:rPr>
          <w:sz w:val="18"/>
          <w:szCs w:val="18"/>
          <w:vertAlign w:val="superscript"/>
          <w:lang w:val="en-ZA" w:eastAsia="en-ZA" w:bidi="en-ZA"/>
        </w:rPr>
        <w:t>#</w:t>
      </w:r>
      <w:r w:rsidRPr="62A52C35">
        <w:rPr>
          <w:sz w:val="18"/>
          <w:szCs w:val="18"/>
          <w:lang w:val="en-ZA" w:eastAsia="en-ZA" w:bidi="en-ZA"/>
        </w:rPr>
        <w:t xml:space="preserve">female participants only, *pregnant and breastfeeding participants only, ^optional procedure for breastfeeding women, </w:t>
      </w:r>
      <w:r w:rsidRPr="62A52C35">
        <w:rPr>
          <w:sz w:val="18"/>
          <w:szCs w:val="18"/>
          <w:vertAlign w:val="superscript"/>
          <w:lang w:val="en-ZA" w:eastAsia="en-ZA" w:bidi="en-ZA"/>
        </w:rPr>
        <w:t>+</w:t>
      </w:r>
      <w:r w:rsidRPr="62A52C35">
        <w:rPr>
          <w:sz w:val="18"/>
          <w:szCs w:val="18"/>
          <w:lang w:val="en-ZA" w:eastAsia="en-ZA" w:bidi="en-ZA"/>
        </w:rPr>
        <w:t xml:space="preserve">no </w:t>
      </w:r>
      <w:r w:rsidR="00657AD2" w:rsidRPr="00657AD2">
        <w:rPr>
          <w:sz w:val="18"/>
          <w:szCs w:val="18"/>
          <w:lang w:val="en-ZA" w:eastAsia="en-ZA" w:bidi="en-ZA"/>
        </w:rPr>
        <w:t xml:space="preserve">peripheral blood mononuclear cells </w:t>
      </w:r>
      <w:r w:rsidR="00657AD2">
        <w:rPr>
          <w:sz w:val="18"/>
          <w:szCs w:val="18"/>
          <w:lang w:val="en-ZA" w:eastAsia="en-ZA" w:bidi="en-ZA"/>
        </w:rPr>
        <w:t>(</w:t>
      </w:r>
      <w:r w:rsidRPr="62A52C35">
        <w:rPr>
          <w:sz w:val="18"/>
          <w:szCs w:val="18"/>
          <w:lang w:val="en-ZA" w:eastAsia="en-ZA" w:bidi="en-ZA"/>
        </w:rPr>
        <w:t>PBMC</w:t>
      </w:r>
      <w:r w:rsidR="00657AD2">
        <w:rPr>
          <w:sz w:val="18"/>
          <w:szCs w:val="18"/>
          <w:lang w:val="en-ZA" w:eastAsia="en-ZA" w:bidi="en-ZA"/>
        </w:rPr>
        <w:t>)</w:t>
      </w:r>
      <w:r w:rsidRPr="62A52C35">
        <w:rPr>
          <w:sz w:val="18"/>
          <w:szCs w:val="18"/>
          <w:lang w:val="en-ZA" w:eastAsia="en-ZA" w:bidi="en-ZA"/>
        </w:rPr>
        <w:t xml:space="preserve"> samples </w:t>
      </w:r>
      <w:r w:rsidR="00657AD2">
        <w:rPr>
          <w:sz w:val="18"/>
          <w:szCs w:val="18"/>
          <w:lang w:val="en-ZA" w:eastAsia="en-ZA" w:bidi="en-ZA"/>
        </w:rPr>
        <w:t>were</w:t>
      </w:r>
      <w:r w:rsidRPr="62A52C35">
        <w:rPr>
          <w:sz w:val="18"/>
          <w:szCs w:val="18"/>
          <w:lang w:val="en-ZA" w:eastAsia="en-ZA" w:bidi="en-ZA"/>
        </w:rPr>
        <w:t xml:space="preserve"> collected from pregnant women</w:t>
      </w:r>
    </w:p>
    <w:p w14:paraId="457074BA" w14:textId="77777777" w:rsidR="00FB6954" w:rsidRDefault="00FB6954" w:rsidP="00F874E9">
      <w:pPr>
        <w:autoSpaceDE w:val="0"/>
        <w:autoSpaceDN w:val="0"/>
        <w:adjustRightInd w:val="0"/>
        <w:spacing w:line="360" w:lineRule="auto"/>
        <w:contextualSpacing/>
        <w:rPr>
          <w:rFonts w:eastAsiaTheme="minorEastAsia"/>
          <w:lang w:val="en-ZA"/>
        </w:rPr>
      </w:pPr>
    </w:p>
    <w:p w14:paraId="0E89AF9A" w14:textId="77777777" w:rsidR="00B7776D" w:rsidRDefault="00B7776D" w:rsidP="00F874E9">
      <w:pPr>
        <w:autoSpaceDE w:val="0"/>
        <w:autoSpaceDN w:val="0"/>
        <w:adjustRightInd w:val="0"/>
        <w:spacing w:line="360" w:lineRule="auto"/>
        <w:contextualSpacing/>
        <w:rPr>
          <w:rFonts w:eastAsiaTheme="minorEastAsia"/>
          <w:lang w:val="en-ZA"/>
        </w:rPr>
      </w:pPr>
    </w:p>
    <w:p w14:paraId="44010388" w14:textId="77777777" w:rsidR="008D5F7C" w:rsidRDefault="008D5F7C" w:rsidP="0050188B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p w14:paraId="46EA012E" w14:textId="77777777" w:rsidR="008D5F7C" w:rsidRDefault="008D5F7C" w:rsidP="0050188B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p w14:paraId="291EBA79" w14:textId="77777777" w:rsidR="00BD40AF" w:rsidRPr="000E3C01" w:rsidRDefault="00BD40AF" w:rsidP="000E3C01">
      <w:pPr>
        <w:jc w:val="both"/>
      </w:pPr>
    </w:p>
    <w:sectPr w:rsidR="00BD40AF" w:rsidRPr="000E3C01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D1A20"/>
    <w:rsid w:val="003E1237"/>
    <w:rsid w:val="003F1BB9"/>
    <w:rsid w:val="00415935"/>
    <w:rsid w:val="004505BE"/>
    <w:rsid w:val="00450616"/>
    <w:rsid w:val="0045619C"/>
    <w:rsid w:val="00456920"/>
    <w:rsid w:val="00493883"/>
    <w:rsid w:val="004A5005"/>
    <w:rsid w:val="004C4240"/>
    <w:rsid w:val="00500AA3"/>
    <w:rsid w:val="0050188B"/>
    <w:rsid w:val="005251EE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125E6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1F00"/>
    <w:rsid w:val="00D033FD"/>
    <w:rsid w:val="00D11A3C"/>
    <w:rsid w:val="00D11FB1"/>
    <w:rsid w:val="00D24E35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80FD2"/>
    <w:rsid w:val="00E86FDF"/>
    <w:rsid w:val="00E93660"/>
    <w:rsid w:val="00EA0F97"/>
    <w:rsid w:val="00EB51F0"/>
    <w:rsid w:val="00EC42D6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Props1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3</cp:revision>
  <dcterms:created xsi:type="dcterms:W3CDTF">2024-11-11T06:35:00Z</dcterms:created>
  <dcterms:modified xsi:type="dcterms:W3CDTF">2024-11-11T06:36:00Z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