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112F" w:rsidRPr="00416428" w:rsidRDefault="00AB112F" w:rsidP="00AB112F">
      <w:pPr>
        <w:pStyle w:val="Body"/>
        <w:spacing w:after="0" w:line="240" w:lineRule="auto"/>
        <w:rPr>
          <w:rFonts w:asciiTheme="minorHAnsi" w:hAnsiTheme="minorHAnsi"/>
          <w:sz w:val="20"/>
          <w:szCs w:val="20"/>
        </w:rPr>
      </w:pPr>
      <w:r w:rsidRPr="00416428">
        <w:rPr>
          <w:rFonts w:asciiTheme="minorHAnsi" w:hAnsiTheme="minorHAnsi"/>
          <w:b/>
          <w:sz w:val="20"/>
          <w:szCs w:val="20"/>
        </w:rPr>
        <w:t xml:space="preserve">Supplemental Table 4 </w:t>
      </w:r>
      <w:r w:rsidRPr="00416428">
        <w:rPr>
          <w:rFonts w:asciiTheme="minorHAnsi" w:hAnsiTheme="minorHAnsi"/>
          <w:sz w:val="20"/>
          <w:szCs w:val="20"/>
        </w:rPr>
        <w:t xml:space="preserve">Mean </w:t>
      </w:r>
      <w:proofErr w:type="spellStart"/>
      <w:r w:rsidRPr="00416428">
        <w:rPr>
          <w:rFonts w:asciiTheme="minorHAnsi" w:hAnsiTheme="minorHAnsi"/>
          <w:sz w:val="20"/>
          <w:szCs w:val="20"/>
        </w:rPr>
        <w:t>TAb</w:t>
      </w:r>
      <w:proofErr w:type="spellEnd"/>
      <w:r w:rsidRPr="00416428">
        <w:rPr>
          <w:rFonts w:asciiTheme="minorHAnsi" w:hAnsiTheme="minorHAnsi"/>
          <w:sz w:val="20"/>
          <w:szCs w:val="20"/>
        </w:rPr>
        <w:t xml:space="preserve"> titer and </w:t>
      </w:r>
      <w:proofErr w:type="spellStart"/>
      <w:r w:rsidRPr="00416428">
        <w:rPr>
          <w:rFonts w:asciiTheme="minorHAnsi" w:hAnsiTheme="minorHAnsi"/>
          <w:sz w:val="20"/>
          <w:szCs w:val="20"/>
        </w:rPr>
        <w:t>NAb</w:t>
      </w:r>
      <w:proofErr w:type="spellEnd"/>
      <w:r w:rsidRPr="00416428">
        <w:rPr>
          <w:rFonts w:asciiTheme="minorHAnsi" w:hAnsiTheme="minorHAnsi"/>
          <w:sz w:val="20"/>
          <w:szCs w:val="20"/>
        </w:rPr>
        <w:t xml:space="preserve"> responses by hypersensitivity AE severity in </w:t>
      </w:r>
      <w:proofErr w:type="spellStart"/>
      <w:r w:rsidRPr="00416428">
        <w:rPr>
          <w:rFonts w:asciiTheme="minorHAnsi" w:hAnsiTheme="minorHAnsi"/>
          <w:sz w:val="20"/>
          <w:szCs w:val="20"/>
        </w:rPr>
        <w:t>IgE</w:t>
      </w:r>
      <w:proofErr w:type="spellEnd"/>
      <w:r w:rsidRPr="00416428">
        <w:rPr>
          <w:rFonts w:asciiTheme="minorHAnsi" w:hAnsiTheme="minorHAnsi"/>
          <w:sz w:val="20"/>
          <w:szCs w:val="20"/>
        </w:rPr>
        <w:t>-negative patients (safety population).</w:t>
      </w:r>
    </w:p>
    <w:p w:rsidR="00AB112F" w:rsidRPr="00416428" w:rsidRDefault="00AB112F" w:rsidP="00AB112F">
      <w:pPr>
        <w:pStyle w:val="Body"/>
        <w:spacing w:after="0" w:line="240" w:lineRule="auto"/>
        <w:rPr>
          <w:rFonts w:asciiTheme="minorHAnsi" w:hAnsiTheme="minorHAnsi"/>
          <w:sz w:val="20"/>
          <w:szCs w:val="20"/>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ook w:val="04A0" w:firstRow="1" w:lastRow="0" w:firstColumn="1" w:lastColumn="0" w:noHBand="0" w:noVBand="1"/>
      </w:tblPr>
      <w:tblGrid>
        <w:gridCol w:w="3419"/>
        <w:gridCol w:w="2343"/>
        <w:gridCol w:w="1706"/>
        <w:gridCol w:w="2180"/>
      </w:tblGrid>
      <w:tr w:rsidR="00AB112F" w:rsidRPr="00416428" w:rsidTr="00AB112F">
        <w:trPr>
          <w:trHeight w:val="1065"/>
        </w:trPr>
        <w:tc>
          <w:tcPr>
            <w:tcW w:w="1772" w:type="pct"/>
            <w:tcBorders>
              <w:top w:val="single" w:sz="12" w:space="0" w:color="000000"/>
              <w:left w:val="nil"/>
              <w:bottom w:val="single" w:sz="4" w:space="0" w:color="000000"/>
              <w:right w:val="nil"/>
            </w:tcBorders>
            <w:shd w:val="clear" w:color="auto" w:fill="auto"/>
            <w:tcMar>
              <w:top w:w="80" w:type="dxa"/>
              <w:left w:w="80" w:type="dxa"/>
              <w:bottom w:w="80" w:type="dxa"/>
              <w:right w:w="80" w:type="dxa"/>
            </w:tcMar>
            <w:vAlign w:val="center"/>
          </w:tcPr>
          <w:p w:rsidR="00AB112F" w:rsidRPr="00416428" w:rsidRDefault="00AB112F" w:rsidP="00716B5E">
            <w:pPr>
              <w:pStyle w:val="Body"/>
              <w:keepNext/>
              <w:keepLines/>
              <w:rPr>
                <w:rFonts w:asciiTheme="minorHAnsi" w:hAnsiTheme="minorHAnsi"/>
                <w:b/>
                <w:sz w:val="20"/>
                <w:szCs w:val="20"/>
              </w:rPr>
            </w:pPr>
            <w:r w:rsidRPr="00416428">
              <w:rPr>
                <w:rFonts w:asciiTheme="minorHAnsi" w:hAnsiTheme="minorHAnsi"/>
                <w:b/>
                <w:sz w:val="20"/>
                <w:szCs w:val="20"/>
              </w:rPr>
              <w:t>Statistic</w:t>
            </w:r>
          </w:p>
          <w:p w:rsidR="00AB112F" w:rsidRPr="00416428" w:rsidRDefault="00AB112F" w:rsidP="00716B5E">
            <w:pPr>
              <w:pStyle w:val="Body"/>
              <w:keepNext/>
              <w:keepLines/>
              <w:spacing w:line="240" w:lineRule="auto"/>
              <w:ind w:left="288"/>
              <w:rPr>
                <w:rFonts w:asciiTheme="minorHAnsi" w:hAnsiTheme="minorHAnsi"/>
                <w:sz w:val="20"/>
                <w:szCs w:val="20"/>
              </w:rPr>
            </w:pPr>
            <w:r w:rsidRPr="00416428">
              <w:rPr>
                <w:rFonts w:asciiTheme="minorHAnsi" w:hAnsiTheme="minorHAnsi"/>
                <w:b/>
                <w:sz w:val="20"/>
                <w:szCs w:val="20"/>
              </w:rPr>
              <w:t>AE severity</w:t>
            </w:r>
          </w:p>
        </w:tc>
        <w:tc>
          <w:tcPr>
            <w:tcW w:w="1214" w:type="pct"/>
            <w:tcBorders>
              <w:top w:val="single" w:sz="12" w:space="0" w:color="000000"/>
              <w:left w:val="nil"/>
              <w:bottom w:val="single" w:sz="4" w:space="0" w:color="000000"/>
              <w:right w:val="nil"/>
            </w:tcBorders>
            <w:shd w:val="clear" w:color="auto" w:fill="auto"/>
            <w:tcMar>
              <w:top w:w="80" w:type="dxa"/>
              <w:left w:w="80" w:type="dxa"/>
              <w:bottom w:w="80" w:type="dxa"/>
              <w:right w:w="80" w:type="dxa"/>
            </w:tcMar>
            <w:vAlign w:val="bottom"/>
          </w:tcPr>
          <w:p w:rsidR="00AB112F" w:rsidRPr="00416428" w:rsidRDefault="00AB112F" w:rsidP="00AB112F">
            <w:pPr>
              <w:pStyle w:val="Body"/>
              <w:keepNext/>
              <w:keepLines/>
              <w:spacing w:line="240" w:lineRule="auto"/>
              <w:jc w:val="center"/>
              <w:rPr>
                <w:rFonts w:asciiTheme="minorHAnsi" w:hAnsiTheme="minorHAnsi"/>
                <w:b/>
                <w:sz w:val="20"/>
                <w:szCs w:val="20"/>
              </w:rPr>
            </w:pPr>
            <w:r w:rsidRPr="00416428">
              <w:rPr>
                <w:rFonts w:asciiTheme="minorHAnsi" w:hAnsiTheme="minorHAnsi"/>
                <w:b/>
                <w:sz w:val="20"/>
                <w:szCs w:val="20"/>
              </w:rPr>
              <w:t>MOR-002</w:t>
            </w:r>
            <w:r w:rsidRPr="00416428">
              <w:rPr>
                <w:rFonts w:asciiTheme="minorHAnsi" w:hAnsiTheme="minorHAnsi"/>
                <w:b/>
                <w:sz w:val="20"/>
                <w:szCs w:val="20"/>
              </w:rPr>
              <w:br/>
              <w:t>(n = 20)</w:t>
            </w:r>
          </w:p>
        </w:tc>
        <w:tc>
          <w:tcPr>
            <w:tcW w:w="884" w:type="pct"/>
            <w:tcBorders>
              <w:top w:val="single" w:sz="12" w:space="0" w:color="000000"/>
              <w:left w:val="nil"/>
              <w:bottom w:val="single" w:sz="4" w:space="0" w:color="000000"/>
              <w:right w:val="nil"/>
            </w:tcBorders>
            <w:shd w:val="clear" w:color="auto" w:fill="auto"/>
            <w:tcMar>
              <w:top w:w="80" w:type="dxa"/>
              <w:left w:w="80" w:type="dxa"/>
              <w:bottom w:w="80" w:type="dxa"/>
              <w:right w:w="80" w:type="dxa"/>
            </w:tcMar>
            <w:vAlign w:val="bottom"/>
          </w:tcPr>
          <w:p w:rsidR="00AB112F" w:rsidRPr="00416428" w:rsidRDefault="00AB112F" w:rsidP="00AB112F">
            <w:pPr>
              <w:pStyle w:val="Body"/>
              <w:keepNext/>
              <w:keepLines/>
              <w:spacing w:line="240" w:lineRule="auto"/>
              <w:jc w:val="center"/>
              <w:rPr>
                <w:rFonts w:asciiTheme="minorHAnsi" w:hAnsiTheme="minorHAnsi"/>
                <w:b/>
                <w:sz w:val="20"/>
                <w:szCs w:val="20"/>
              </w:rPr>
            </w:pPr>
            <w:r w:rsidRPr="00416428">
              <w:rPr>
                <w:rFonts w:asciiTheme="minorHAnsi" w:hAnsiTheme="minorHAnsi"/>
                <w:b/>
                <w:sz w:val="20"/>
                <w:szCs w:val="20"/>
              </w:rPr>
              <w:t>MOR-100</w:t>
            </w:r>
            <w:r w:rsidRPr="00416428">
              <w:rPr>
                <w:rFonts w:asciiTheme="minorHAnsi" w:hAnsiTheme="minorHAnsi"/>
                <w:b/>
                <w:sz w:val="20"/>
                <w:szCs w:val="20"/>
              </w:rPr>
              <w:br/>
              <w:t>(n = 17)</w:t>
            </w:r>
          </w:p>
        </w:tc>
        <w:tc>
          <w:tcPr>
            <w:tcW w:w="1130" w:type="pct"/>
            <w:tcBorders>
              <w:top w:val="single" w:sz="12" w:space="0" w:color="000000"/>
              <w:left w:val="nil"/>
              <w:bottom w:val="single" w:sz="4" w:space="0" w:color="000000"/>
              <w:right w:val="nil"/>
            </w:tcBorders>
            <w:shd w:val="clear" w:color="auto" w:fill="auto"/>
            <w:tcMar>
              <w:top w:w="80" w:type="dxa"/>
              <w:left w:w="80" w:type="dxa"/>
              <w:bottom w:w="80" w:type="dxa"/>
              <w:right w:w="80" w:type="dxa"/>
            </w:tcMar>
            <w:vAlign w:val="bottom"/>
          </w:tcPr>
          <w:p w:rsidR="00AB112F" w:rsidRPr="00416428" w:rsidRDefault="00AB112F" w:rsidP="00AB112F">
            <w:pPr>
              <w:pStyle w:val="Body"/>
              <w:keepNext/>
              <w:keepLines/>
              <w:spacing w:line="240" w:lineRule="auto"/>
              <w:jc w:val="center"/>
              <w:rPr>
                <w:rFonts w:asciiTheme="minorHAnsi" w:hAnsiTheme="minorHAnsi"/>
                <w:b/>
                <w:sz w:val="20"/>
                <w:szCs w:val="20"/>
              </w:rPr>
            </w:pPr>
            <w:r w:rsidRPr="00416428">
              <w:rPr>
                <w:rFonts w:asciiTheme="minorHAnsi" w:hAnsiTheme="minorHAnsi"/>
                <w:b/>
                <w:sz w:val="20"/>
                <w:szCs w:val="20"/>
              </w:rPr>
              <w:t>MOR-002/MOR-100</w:t>
            </w:r>
            <w:r w:rsidRPr="00416428">
              <w:rPr>
                <w:rFonts w:asciiTheme="minorHAnsi" w:hAnsiTheme="minorHAnsi"/>
                <w:b/>
                <w:sz w:val="20"/>
                <w:szCs w:val="20"/>
              </w:rPr>
              <w:br/>
              <w:t>(n = 17)</w:t>
            </w:r>
          </w:p>
        </w:tc>
      </w:tr>
      <w:tr w:rsidR="00AB112F" w:rsidRPr="00416428" w:rsidTr="00AB112F">
        <w:trPr>
          <w:trHeight w:val="189"/>
        </w:trPr>
        <w:tc>
          <w:tcPr>
            <w:tcW w:w="1772" w:type="pct"/>
            <w:tcBorders>
              <w:top w:val="single" w:sz="4" w:space="0" w:color="000000"/>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rPr>
                <w:rFonts w:asciiTheme="minorHAnsi" w:hAnsiTheme="minorHAnsi"/>
                <w:sz w:val="20"/>
                <w:szCs w:val="20"/>
              </w:rPr>
            </w:pPr>
            <w:r w:rsidRPr="00416428">
              <w:rPr>
                <w:rFonts w:asciiTheme="minorHAnsi" w:hAnsiTheme="minorHAnsi"/>
                <w:sz w:val="20"/>
                <w:szCs w:val="20"/>
              </w:rPr>
              <w:t xml:space="preserve">No. of </w:t>
            </w:r>
            <w:proofErr w:type="spellStart"/>
            <w:r w:rsidRPr="00416428">
              <w:rPr>
                <w:rFonts w:asciiTheme="minorHAnsi" w:hAnsiTheme="minorHAnsi"/>
                <w:sz w:val="20"/>
                <w:szCs w:val="20"/>
              </w:rPr>
              <w:t>IgE</w:t>
            </w:r>
            <w:proofErr w:type="spellEnd"/>
            <w:r w:rsidRPr="00416428">
              <w:rPr>
                <w:rFonts w:asciiTheme="minorHAnsi" w:hAnsiTheme="minorHAnsi"/>
                <w:sz w:val="20"/>
                <w:szCs w:val="20"/>
              </w:rPr>
              <w:t>-negative patients</w:t>
            </w:r>
          </w:p>
        </w:tc>
        <w:tc>
          <w:tcPr>
            <w:tcW w:w="1214" w:type="pct"/>
            <w:tcBorders>
              <w:top w:val="single" w:sz="4" w:space="0" w:color="000000"/>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18</w:t>
            </w:r>
          </w:p>
        </w:tc>
        <w:tc>
          <w:tcPr>
            <w:tcW w:w="884" w:type="pct"/>
            <w:tcBorders>
              <w:top w:val="single" w:sz="4" w:space="0" w:color="000000"/>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14</w:t>
            </w:r>
          </w:p>
        </w:tc>
        <w:tc>
          <w:tcPr>
            <w:tcW w:w="1130" w:type="pct"/>
            <w:tcBorders>
              <w:top w:val="single" w:sz="4" w:space="0" w:color="000000"/>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14</w:t>
            </w:r>
          </w:p>
        </w:tc>
      </w:tr>
      <w:tr w:rsidR="00AB112F" w:rsidRPr="00416428" w:rsidTr="00AB112F">
        <w:trPr>
          <w:trHeight w:val="325"/>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rPr>
                <w:rFonts w:asciiTheme="minorHAnsi" w:hAnsiTheme="minorHAnsi"/>
                <w:sz w:val="20"/>
                <w:szCs w:val="20"/>
              </w:rPr>
            </w:pPr>
            <w:r w:rsidRPr="00416428">
              <w:rPr>
                <w:rFonts w:asciiTheme="minorHAnsi" w:hAnsiTheme="minorHAnsi"/>
                <w:sz w:val="20"/>
                <w:szCs w:val="20"/>
              </w:rPr>
              <w:t>Hypersensitivity AE incidence, n (%)</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None</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15 (83.3)</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 (35.7)</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4 (28.6)</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1</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3 (16.7)</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6 (42.9)</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7 (50.0)</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2</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0</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3 (21.4)</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3 (21.4)</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rPr>
                <w:rFonts w:asciiTheme="minorHAnsi" w:hAnsiTheme="minorHAnsi"/>
                <w:sz w:val="20"/>
                <w:szCs w:val="20"/>
              </w:rPr>
            </w:pPr>
            <w:r w:rsidRPr="00416428">
              <w:rPr>
                <w:rFonts w:asciiTheme="minorHAnsi" w:hAnsiTheme="minorHAnsi"/>
                <w:sz w:val="20"/>
                <w:szCs w:val="20"/>
              </w:rPr>
              <w:t>Mean no. of event</w:t>
            </w:r>
            <w:r w:rsidR="00DD65BC">
              <w:rPr>
                <w:rFonts w:asciiTheme="minorHAnsi" w:hAnsiTheme="minorHAnsi"/>
                <w:sz w:val="20"/>
                <w:szCs w:val="20"/>
              </w:rPr>
              <w:t>s</w:t>
            </w:r>
            <w:bookmarkStart w:id="0" w:name="_GoBack"/>
            <w:bookmarkEnd w:id="0"/>
            <w:r w:rsidRPr="00416428">
              <w:rPr>
                <w:rFonts w:asciiTheme="minorHAnsi" w:hAnsiTheme="minorHAnsi"/>
                <w:sz w:val="20"/>
                <w:szCs w:val="20"/>
              </w:rPr>
              <w:t xml:space="preserve"> per patient</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1</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5/0.28</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40/2.86</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45/3.21</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2</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0</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27/1.93</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27/1.93</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rPr>
                <w:rFonts w:asciiTheme="minorHAnsi" w:hAnsiTheme="minorHAnsi"/>
                <w:sz w:val="20"/>
                <w:szCs w:val="20"/>
              </w:rPr>
            </w:pPr>
            <w:r w:rsidRPr="00416428">
              <w:rPr>
                <w:rFonts w:asciiTheme="minorHAnsi" w:hAnsiTheme="minorHAnsi"/>
                <w:sz w:val="20"/>
                <w:szCs w:val="20"/>
              </w:rPr>
              <w:t xml:space="preserve">Mean </w:t>
            </w:r>
            <w:proofErr w:type="spellStart"/>
            <w:r w:rsidRPr="00416428">
              <w:rPr>
                <w:rFonts w:asciiTheme="minorHAnsi" w:hAnsiTheme="minorHAnsi"/>
                <w:sz w:val="20"/>
                <w:szCs w:val="20"/>
              </w:rPr>
              <w:t>TAb</w:t>
            </w:r>
            <w:proofErr w:type="spellEnd"/>
            <w:r w:rsidRPr="00416428">
              <w:rPr>
                <w:rFonts w:asciiTheme="minorHAnsi" w:hAnsiTheme="minorHAnsi"/>
                <w:sz w:val="20"/>
                <w:szCs w:val="20"/>
              </w:rPr>
              <w:t xml:space="preserve"> </w:t>
            </w:r>
            <w:proofErr w:type="spellStart"/>
            <w:r w:rsidRPr="00416428">
              <w:rPr>
                <w:rFonts w:asciiTheme="minorHAnsi" w:hAnsiTheme="minorHAnsi"/>
                <w:sz w:val="20"/>
                <w:szCs w:val="20"/>
              </w:rPr>
              <w:t>titer</w:t>
            </w:r>
            <w:r w:rsidRPr="00416428">
              <w:rPr>
                <w:rFonts w:asciiTheme="minorHAnsi" w:hAnsiTheme="minorHAnsi"/>
                <w:sz w:val="20"/>
                <w:szCs w:val="20"/>
                <w:vertAlign w:val="superscript"/>
              </w:rPr>
              <w:t>a</w:t>
            </w:r>
            <w:proofErr w:type="spellEnd"/>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None</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56,543</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2,923,302</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952,198</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1</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123,406</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379,395</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841,215</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2</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0</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270,710</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177,272</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rPr>
                <w:rFonts w:asciiTheme="minorHAnsi" w:hAnsiTheme="minorHAnsi"/>
                <w:sz w:val="20"/>
                <w:szCs w:val="20"/>
              </w:rPr>
            </w:pPr>
            <w:r w:rsidRPr="00416428">
              <w:rPr>
                <w:rFonts w:asciiTheme="minorHAnsi" w:hAnsiTheme="minorHAnsi"/>
                <w:sz w:val="20"/>
                <w:szCs w:val="20"/>
              </w:rPr>
              <w:t xml:space="preserve">Mean </w:t>
            </w:r>
            <w:proofErr w:type="spellStart"/>
            <w:r w:rsidRPr="00416428">
              <w:rPr>
                <w:rFonts w:asciiTheme="minorHAnsi" w:hAnsiTheme="minorHAnsi"/>
                <w:sz w:val="20"/>
                <w:szCs w:val="20"/>
              </w:rPr>
              <w:t>NAb</w:t>
            </w:r>
            <w:proofErr w:type="spellEnd"/>
            <w:r w:rsidRPr="00416428">
              <w:rPr>
                <w:rFonts w:asciiTheme="minorHAnsi" w:hAnsiTheme="minorHAnsi"/>
                <w:sz w:val="20"/>
                <w:szCs w:val="20"/>
              </w:rPr>
              <w:t xml:space="preserve"> rate positivity (%)</w:t>
            </w:r>
            <w:r w:rsidRPr="00416428">
              <w:rPr>
                <w:rFonts w:asciiTheme="minorHAnsi" w:hAnsiTheme="minorHAnsi"/>
                <w:sz w:val="20"/>
                <w:szCs w:val="20"/>
                <w:vertAlign w:val="superscript"/>
              </w:rPr>
              <w:t>b</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rPr>
                <w:rFonts w:asciiTheme="minorHAnsi" w:hAnsiTheme="minorHAnsi"/>
                <w:sz w:val="20"/>
                <w:szCs w:val="20"/>
              </w:rPr>
            </w:pP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None</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85</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51</w:t>
            </w:r>
          </w:p>
        </w:tc>
      </w:tr>
      <w:tr w:rsidR="00AB112F" w:rsidRPr="00416428" w:rsidTr="00AB112F">
        <w:trPr>
          <w:trHeight w:val="308"/>
        </w:trPr>
        <w:tc>
          <w:tcPr>
            <w:tcW w:w="1772"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1</w:t>
            </w:r>
          </w:p>
        </w:tc>
        <w:tc>
          <w:tcPr>
            <w:tcW w:w="121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52</w:t>
            </w:r>
          </w:p>
        </w:tc>
        <w:tc>
          <w:tcPr>
            <w:tcW w:w="884"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88</w:t>
            </w:r>
          </w:p>
        </w:tc>
        <w:tc>
          <w:tcPr>
            <w:tcW w:w="1130" w:type="pct"/>
            <w:tcBorders>
              <w:top w:val="nil"/>
              <w:left w:val="nil"/>
              <w:bottom w:val="nil"/>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69</w:t>
            </w:r>
          </w:p>
        </w:tc>
      </w:tr>
      <w:tr w:rsidR="00AB112F" w:rsidRPr="00416428" w:rsidTr="00AB112F">
        <w:trPr>
          <w:trHeight w:val="313"/>
        </w:trPr>
        <w:tc>
          <w:tcPr>
            <w:tcW w:w="1772" w:type="pct"/>
            <w:tcBorders>
              <w:top w:val="nil"/>
              <w:left w:val="nil"/>
              <w:bottom w:val="single" w:sz="12" w:space="0" w:color="000000"/>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ind w:firstLine="240"/>
              <w:rPr>
                <w:rFonts w:asciiTheme="minorHAnsi" w:hAnsiTheme="minorHAnsi"/>
                <w:sz w:val="20"/>
                <w:szCs w:val="20"/>
              </w:rPr>
            </w:pPr>
            <w:r w:rsidRPr="00416428">
              <w:rPr>
                <w:rFonts w:asciiTheme="minorHAnsi" w:hAnsiTheme="minorHAnsi"/>
                <w:sz w:val="20"/>
                <w:szCs w:val="20"/>
              </w:rPr>
              <w:t>Grade 2</w:t>
            </w:r>
          </w:p>
        </w:tc>
        <w:tc>
          <w:tcPr>
            <w:tcW w:w="1214" w:type="pct"/>
            <w:tcBorders>
              <w:top w:val="nil"/>
              <w:left w:val="nil"/>
              <w:bottom w:val="single" w:sz="12" w:space="0" w:color="000000"/>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0</w:t>
            </w:r>
          </w:p>
        </w:tc>
        <w:tc>
          <w:tcPr>
            <w:tcW w:w="884" w:type="pct"/>
            <w:tcBorders>
              <w:top w:val="nil"/>
              <w:left w:val="nil"/>
              <w:bottom w:val="single" w:sz="12" w:space="0" w:color="000000"/>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82</w:t>
            </w:r>
          </w:p>
        </w:tc>
        <w:tc>
          <w:tcPr>
            <w:tcW w:w="1130" w:type="pct"/>
            <w:tcBorders>
              <w:top w:val="nil"/>
              <w:left w:val="nil"/>
              <w:bottom w:val="single" w:sz="12" w:space="0" w:color="000000"/>
              <w:right w:val="nil"/>
            </w:tcBorders>
            <w:shd w:val="clear" w:color="auto" w:fill="auto"/>
            <w:tcMar>
              <w:top w:w="80" w:type="dxa"/>
              <w:left w:w="80" w:type="dxa"/>
              <w:bottom w:w="80" w:type="dxa"/>
              <w:right w:w="80" w:type="dxa"/>
            </w:tcMar>
            <w:vAlign w:val="center"/>
          </w:tcPr>
          <w:p w:rsidR="00AB112F" w:rsidRPr="00416428" w:rsidRDefault="00AB112F" w:rsidP="00AB112F">
            <w:pPr>
              <w:pStyle w:val="Body"/>
              <w:keepNext/>
              <w:keepLines/>
              <w:spacing w:after="0" w:line="240" w:lineRule="auto"/>
              <w:jc w:val="center"/>
              <w:rPr>
                <w:rFonts w:asciiTheme="minorHAnsi" w:hAnsiTheme="minorHAnsi"/>
                <w:sz w:val="20"/>
                <w:szCs w:val="20"/>
              </w:rPr>
            </w:pPr>
            <w:r w:rsidRPr="00416428">
              <w:rPr>
                <w:rFonts w:asciiTheme="minorHAnsi" w:hAnsiTheme="minorHAnsi"/>
                <w:sz w:val="20"/>
                <w:szCs w:val="20"/>
              </w:rPr>
              <w:t>60</w:t>
            </w:r>
          </w:p>
        </w:tc>
      </w:tr>
    </w:tbl>
    <w:p w:rsidR="00AB112F" w:rsidRPr="003D1731" w:rsidRDefault="00AB112F" w:rsidP="00AB112F">
      <w:pPr>
        <w:pStyle w:val="Body"/>
        <w:widowControl w:val="0"/>
        <w:spacing w:after="0" w:line="240" w:lineRule="auto"/>
        <w:rPr>
          <w:rFonts w:asciiTheme="minorHAnsi" w:hAnsiTheme="minorHAnsi"/>
        </w:rPr>
      </w:pPr>
    </w:p>
    <w:p w:rsidR="00AB112F" w:rsidRPr="00416428" w:rsidRDefault="00AB112F" w:rsidP="00AB112F">
      <w:pPr>
        <w:pStyle w:val="Body"/>
        <w:spacing w:after="0" w:line="240" w:lineRule="auto"/>
        <w:rPr>
          <w:rFonts w:asciiTheme="minorHAnsi" w:hAnsiTheme="minorHAnsi"/>
          <w:sz w:val="18"/>
        </w:rPr>
      </w:pPr>
      <w:r w:rsidRPr="00416428">
        <w:rPr>
          <w:rFonts w:asciiTheme="minorHAnsi" w:hAnsiTheme="minorHAnsi"/>
          <w:sz w:val="18"/>
        </w:rPr>
        <w:t xml:space="preserve">AE, adverse event; </w:t>
      </w:r>
      <w:proofErr w:type="spellStart"/>
      <w:r w:rsidRPr="00416428">
        <w:rPr>
          <w:rFonts w:asciiTheme="minorHAnsi" w:hAnsiTheme="minorHAnsi"/>
          <w:sz w:val="18"/>
        </w:rPr>
        <w:t>IgE</w:t>
      </w:r>
      <w:proofErr w:type="spellEnd"/>
      <w:r w:rsidRPr="00416428">
        <w:rPr>
          <w:rFonts w:asciiTheme="minorHAnsi" w:hAnsiTheme="minorHAnsi"/>
          <w:sz w:val="18"/>
        </w:rPr>
        <w:t xml:space="preserve">, immunoglobulin E; </w:t>
      </w:r>
      <w:proofErr w:type="spellStart"/>
      <w:r w:rsidRPr="00416428">
        <w:rPr>
          <w:rFonts w:asciiTheme="minorHAnsi" w:hAnsiTheme="minorHAnsi"/>
          <w:sz w:val="18"/>
        </w:rPr>
        <w:t>MedDRA</w:t>
      </w:r>
      <w:proofErr w:type="spellEnd"/>
      <w:r w:rsidRPr="00416428">
        <w:rPr>
          <w:rFonts w:asciiTheme="minorHAnsi" w:hAnsiTheme="minorHAnsi"/>
          <w:sz w:val="18"/>
        </w:rPr>
        <w:t xml:space="preserve">, Medical Dictionary for Regulatory Activities; </w:t>
      </w:r>
      <w:proofErr w:type="spellStart"/>
      <w:r w:rsidRPr="00416428">
        <w:rPr>
          <w:rFonts w:asciiTheme="minorHAnsi" w:hAnsiTheme="minorHAnsi"/>
          <w:sz w:val="18"/>
        </w:rPr>
        <w:t>NAb</w:t>
      </w:r>
      <w:proofErr w:type="spellEnd"/>
      <w:r w:rsidRPr="00416428">
        <w:rPr>
          <w:rFonts w:asciiTheme="minorHAnsi" w:hAnsiTheme="minorHAnsi"/>
          <w:sz w:val="18"/>
        </w:rPr>
        <w:t xml:space="preserve">, neutralizing antibodies; SMQ, standardized </w:t>
      </w:r>
      <w:proofErr w:type="spellStart"/>
      <w:r w:rsidRPr="00416428">
        <w:rPr>
          <w:rFonts w:asciiTheme="minorHAnsi" w:hAnsiTheme="minorHAnsi"/>
          <w:sz w:val="18"/>
        </w:rPr>
        <w:t>MedDRA</w:t>
      </w:r>
      <w:proofErr w:type="spellEnd"/>
      <w:r w:rsidRPr="00416428">
        <w:rPr>
          <w:rFonts w:asciiTheme="minorHAnsi" w:hAnsiTheme="minorHAnsi"/>
          <w:sz w:val="18"/>
        </w:rPr>
        <w:t xml:space="preserve"> query; </w:t>
      </w:r>
      <w:proofErr w:type="spellStart"/>
      <w:r w:rsidRPr="00416428">
        <w:rPr>
          <w:rFonts w:asciiTheme="minorHAnsi" w:hAnsiTheme="minorHAnsi"/>
          <w:sz w:val="18"/>
        </w:rPr>
        <w:t>TAb</w:t>
      </w:r>
      <w:proofErr w:type="spellEnd"/>
      <w:r w:rsidRPr="00416428">
        <w:rPr>
          <w:rFonts w:asciiTheme="minorHAnsi" w:hAnsiTheme="minorHAnsi"/>
          <w:sz w:val="18"/>
        </w:rPr>
        <w:t>, total antibodies.</w:t>
      </w:r>
    </w:p>
    <w:p w:rsidR="00AB112F" w:rsidRPr="00416428" w:rsidRDefault="00AB112F" w:rsidP="00AB112F">
      <w:pPr>
        <w:pStyle w:val="Body"/>
        <w:spacing w:after="0" w:line="240" w:lineRule="auto"/>
        <w:rPr>
          <w:rFonts w:asciiTheme="minorHAnsi" w:hAnsiTheme="minorHAnsi"/>
          <w:sz w:val="18"/>
        </w:rPr>
      </w:pPr>
      <w:r w:rsidRPr="00416428">
        <w:rPr>
          <w:rFonts w:asciiTheme="minorHAnsi" w:hAnsiTheme="minorHAnsi"/>
          <w:sz w:val="18"/>
        </w:rPr>
        <w:t>Potential hypersensitivity AEs were identified by using the broad anaphylactic reaction algorithm SMQ and the broad angioedema SMQ. Patients with multiple AEs are assigned the severity of the most severe AE.</w:t>
      </w:r>
    </w:p>
    <w:p w:rsidR="00AB112F" w:rsidRPr="00416428" w:rsidRDefault="00AB112F" w:rsidP="00AB112F">
      <w:pPr>
        <w:pStyle w:val="Body"/>
        <w:spacing w:after="0" w:line="240" w:lineRule="auto"/>
        <w:rPr>
          <w:rFonts w:asciiTheme="minorHAnsi" w:hAnsiTheme="minorHAnsi"/>
          <w:sz w:val="18"/>
        </w:rPr>
      </w:pPr>
      <w:proofErr w:type="gramStart"/>
      <w:r w:rsidRPr="00416428">
        <w:rPr>
          <w:rFonts w:asciiTheme="minorHAnsi" w:hAnsiTheme="minorHAnsi"/>
          <w:sz w:val="18"/>
          <w:vertAlign w:val="superscript"/>
        </w:rPr>
        <w:t>a</w:t>
      </w:r>
      <w:proofErr w:type="gramEnd"/>
      <w:r w:rsidRPr="00416428">
        <w:rPr>
          <w:rFonts w:asciiTheme="minorHAnsi" w:hAnsiTheme="minorHAnsi"/>
          <w:sz w:val="18"/>
          <w:vertAlign w:val="subscript"/>
        </w:rPr>
        <w:t xml:space="preserve"> </w:t>
      </w:r>
      <w:r w:rsidRPr="00416428">
        <w:rPr>
          <w:rFonts w:asciiTheme="minorHAnsi" w:hAnsiTheme="minorHAnsi"/>
          <w:sz w:val="18"/>
        </w:rPr>
        <w:t xml:space="preserve">Based on </w:t>
      </w:r>
      <w:proofErr w:type="spellStart"/>
      <w:r w:rsidRPr="00416428">
        <w:rPr>
          <w:rFonts w:asciiTheme="minorHAnsi" w:hAnsiTheme="minorHAnsi"/>
          <w:sz w:val="18"/>
        </w:rPr>
        <w:t>postbaseline</w:t>
      </w:r>
      <w:proofErr w:type="spellEnd"/>
      <w:r w:rsidRPr="00416428">
        <w:rPr>
          <w:rFonts w:asciiTheme="minorHAnsi" w:hAnsiTheme="minorHAnsi"/>
          <w:sz w:val="18"/>
        </w:rPr>
        <w:t xml:space="preserve"> assessments. Negative screen and titers were assigned a value of 0 and those less than the minimum requiring dilution were assigned a value of 5. Mean </w:t>
      </w:r>
      <w:proofErr w:type="spellStart"/>
      <w:r w:rsidRPr="00416428">
        <w:rPr>
          <w:rFonts w:asciiTheme="minorHAnsi" w:hAnsiTheme="minorHAnsi"/>
          <w:sz w:val="18"/>
        </w:rPr>
        <w:t>TAb</w:t>
      </w:r>
      <w:proofErr w:type="spellEnd"/>
      <w:r w:rsidRPr="00416428">
        <w:rPr>
          <w:rFonts w:asciiTheme="minorHAnsi" w:hAnsiTheme="minorHAnsi"/>
          <w:sz w:val="18"/>
        </w:rPr>
        <w:t xml:space="preserve"> titer was calculated from </w:t>
      </w:r>
      <w:proofErr w:type="spellStart"/>
      <w:r w:rsidRPr="00416428">
        <w:rPr>
          <w:rFonts w:asciiTheme="minorHAnsi" w:hAnsiTheme="minorHAnsi"/>
          <w:sz w:val="18"/>
        </w:rPr>
        <w:t>IgE</w:t>
      </w:r>
      <w:proofErr w:type="spellEnd"/>
      <w:r w:rsidRPr="00416428">
        <w:rPr>
          <w:rFonts w:asciiTheme="minorHAnsi" w:hAnsiTheme="minorHAnsi"/>
          <w:sz w:val="18"/>
        </w:rPr>
        <w:t>-negative patients.</w:t>
      </w:r>
    </w:p>
    <w:p w:rsidR="00AB112F" w:rsidRPr="00416428" w:rsidRDefault="00AB112F" w:rsidP="00AB112F">
      <w:pPr>
        <w:pStyle w:val="Body"/>
        <w:spacing w:after="0" w:line="240" w:lineRule="auto"/>
        <w:rPr>
          <w:rFonts w:asciiTheme="minorHAnsi" w:hAnsiTheme="minorHAnsi"/>
          <w:sz w:val="18"/>
        </w:rPr>
      </w:pPr>
      <w:proofErr w:type="gramStart"/>
      <w:r w:rsidRPr="00416428">
        <w:rPr>
          <w:rFonts w:asciiTheme="minorHAnsi" w:hAnsiTheme="minorHAnsi"/>
          <w:sz w:val="18"/>
          <w:vertAlign w:val="superscript"/>
        </w:rPr>
        <w:t>b</w:t>
      </w:r>
      <w:proofErr w:type="gramEnd"/>
      <w:r w:rsidRPr="00416428">
        <w:rPr>
          <w:rFonts w:asciiTheme="minorHAnsi" w:hAnsiTheme="minorHAnsi"/>
          <w:sz w:val="18"/>
        </w:rPr>
        <w:t xml:space="preserve"> Based on </w:t>
      </w:r>
      <w:proofErr w:type="spellStart"/>
      <w:r w:rsidRPr="00416428">
        <w:rPr>
          <w:rFonts w:asciiTheme="minorHAnsi" w:hAnsiTheme="minorHAnsi"/>
          <w:sz w:val="18"/>
        </w:rPr>
        <w:t>postbaseline</w:t>
      </w:r>
      <w:proofErr w:type="spellEnd"/>
      <w:r w:rsidRPr="00416428">
        <w:rPr>
          <w:rFonts w:asciiTheme="minorHAnsi" w:hAnsiTheme="minorHAnsi"/>
          <w:sz w:val="18"/>
        </w:rPr>
        <w:t xml:space="preserve"> assessments.</w:t>
      </w:r>
    </w:p>
    <w:p w:rsidR="00AB112F" w:rsidRPr="00416428" w:rsidRDefault="00AB112F" w:rsidP="00AB112F">
      <w:pPr>
        <w:pStyle w:val="Body"/>
        <w:spacing w:after="0" w:line="480" w:lineRule="auto"/>
        <w:rPr>
          <w:rFonts w:asciiTheme="minorHAnsi" w:hAnsiTheme="minorHAnsi"/>
          <w:sz w:val="20"/>
        </w:rPr>
      </w:pPr>
    </w:p>
    <w:p w:rsidR="00AB112F" w:rsidRPr="003D1731" w:rsidRDefault="00AB112F" w:rsidP="00AB112F">
      <w:pPr>
        <w:rPr>
          <w:rFonts w:asciiTheme="minorHAnsi" w:hAnsiTheme="minorHAnsi"/>
          <w:sz w:val="22"/>
          <w:szCs w:val="22"/>
        </w:rPr>
      </w:pPr>
    </w:p>
    <w:p w:rsidR="00AB112F" w:rsidRPr="003D1731" w:rsidRDefault="00AB112F" w:rsidP="00AB112F">
      <w:pPr>
        <w:rPr>
          <w:rFonts w:asciiTheme="minorHAnsi" w:hAnsiTheme="minorHAnsi"/>
          <w:sz w:val="22"/>
          <w:szCs w:val="22"/>
        </w:rPr>
      </w:pPr>
    </w:p>
    <w:p w:rsidR="00AB112F" w:rsidRDefault="00AB112F" w:rsidP="00AB112F"/>
    <w:p w:rsidR="00785AE9" w:rsidRDefault="00785AE9"/>
    <w:sectPr w:rsidR="00785AE9" w:rsidSect="003D1731">
      <w:pgSz w:w="12240" w:h="15840"/>
      <w:pgMar w:top="1296" w:right="1296" w:bottom="1296" w:left="129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2F"/>
    <w:rsid w:val="00416428"/>
    <w:rsid w:val="00785AE9"/>
    <w:rsid w:val="00AB112F"/>
    <w:rsid w:val="00DD65BC"/>
    <w:rsid w:val="00E25B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C55565-4919-4A84-B2E9-FD0973A4D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B112F"/>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rsid w:val="00AB112F"/>
    <w:rPr>
      <w:rFonts w:ascii="Tahoma" w:hAnsi="Tahoma" w:cs="Tahoma"/>
      <w:sz w:val="16"/>
      <w:szCs w:val="16"/>
    </w:rPr>
  </w:style>
  <w:style w:type="paragraph" w:styleId="BalloonText">
    <w:name w:val="Balloon Text"/>
    <w:basedOn w:val="Normal"/>
    <w:link w:val="BalloonTextChar"/>
    <w:uiPriority w:val="99"/>
    <w:semiHidden/>
    <w:unhideWhenUsed/>
    <w:rsid w:val="00AB112F"/>
    <w:pPr>
      <w:pBdr>
        <w:top w:val="none" w:sz="0" w:space="0" w:color="auto"/>
        <w:left w:val="none" w:sz="0" w:space="0" w:color="auto"/>
        <w:bottom w:val="none" w:sz="0" w:space="0" w:color="auto"/>
        <w:right w:val="none" w:sz="0" w:space="0" w:color="auto"/>
        <w:between w:val="none" w:sz="0" w:space="0" w:color="auto"/>
        <w:bar w:val="none" w:sz="0" w:color="auto"/>
      </w:pBdr>
    </w:pPr>
    <w:rPr>
      <w:rFonts w:ascii="Tahoma" w:eastAsiaTheme="minorHAnsi" w:hAnsi="Tahoma" w:cs="Tahoma"/>
      <w:sz w:val="16"/>
      <w:szCs w:val="16"/>
      <w:bdr w:val="none" w:sz="0" w:space="0" w:color="auto"/>
    </w:rPr>
  </w:style>
  <w:style w:type="character" w:customStyle="1" w:styleId="BalloonTextChar1">
    <w:name w:val="Balloon Text Char1"/>
    <w:basedOn w:val="DefaultParagraphFont"/>
    <w:uiPriority w:val="99"/>
    <w:semiHidden/>
    <w:rsid w:val="00AB112F"/>
    <w:rPr>
      <w:rFonts w:ascii="Segoe UI" w:eastAsia="Arial Unicode MS" w:hAnsi="Segoe UI" w:cs="Segoe UI"/>
      <w:sz w:val="18"/>
      <w:szCs w:val="18"/>
      <w:bdr w:val="nil"/>
    </w:rPr>
  </w:style>
  <w:style w:type="character" w:customStyle="1" w:styleId="BodyTextChar">
    <w:name w:val="Body Text Char"/>
    <w:basedOn w:val="DefaultParagraphFont"/>
    <w:link w:val="BodyText"/>
    <w:rsid w:val="00AB112F"/>
    <w:rPr>
      <w:rFonts w:ascii="Times New Roman" w:eastAsia="Arial Unicode MS" w:hAnsi="Times New Roman" w:cs="Arial Unicode MS"/>
      <w:color w:val="000000"/>
      <w:u w:color="000000"/>
      <w:bdr w:val="nil"/>
      <w:lang w:eastAsia="en-GB"/>
    </w:rPr>
  </w:style>
  <w:style w:type="paragraph" w:styleId="BodyText">
    <w:name w:val="Body Text"/>
    <w:link w:val="BodyTextChar"/>
    <w:rsid w:val="00AB112F"/>
    <w:pPr>
      <w:pBdr>
        <w:top w:val="nil"/>
        <w:left w:val="nil"/>
        <w:bottom w:val="nil"/>
        <w:right w:val="nil"/>
        <w:between w:val="nil"/>
        <w:bar w:val="nil"/>
      </w:pBdr>
      <w:spacing w:after="120"/>
    </w:pPr>
    <w:rPr>
      <w:rFonts w:ascii="Times New Roman" w:eastAsia="Arial Unicode MS" w:hAnsi="Times New Roman" w:cs="Arial Unicode MS"/>
      <w:color w:val="000000"/>
      <w:u w:color="000000"/>
      <w:bdr w:val="nil"/>
      <w:lang w:eastAsia="en-GB"/>
    </w:rPr>
  </w:style>
  <w:style w:type="character" w:customStyle="1" w:styleId="BodyTextChar1">
    <w:name w:val="Body Text Char1"/>
    <w:basedOn w:val="DefaultParagraphFont"/>
    <w:uiPriority w:val="99"/>
    <w:semiHidden/>
    <w:rsid w:val="00AB112F"/>
    <w:rPr>
      <w:rFonts w:ascii="Times New Roman" w:eastAsia="Arial Unicode MS" w:hAnsi="Times New Roman" w:cs="Times New Roman"/>
      <w:sz w:val="24"/>
      <w:szCs w:val="24"/>
      <w:bdr w:val="nil"/>
    </w:rPr>
  </w:style>
  <w:style w:type="paragraph" w:customStyle="1" w:styleId="Body">
    <w:name w:val="Body"/>
    <w:rsid w:val="00AB112F"/>
    <w:pPr>
      <w:pBdr>
        <w:top w:val="nil"/>
        <w:left w:val="nil"/>
        <w:bottom w:val="nil"/>
        <w:right w:val="nil"/>
        <w:between w:val="nil"/>
        <w:bar w:val="nil"/>
      </w:pBdr>
    </w:pPr>
    <w:rPr>
      <w:rFonts w:ascii="Times New Roman" w:eastAsia="Arial Unicode MS" w:hAnsi="Times New Roman" w:cs="Arial Unicode MS"/>
      <w:color w:val="000000"/>
      <w:u w:color="000000"/>
      <w:bdr w:val="nil"/>
      <w:lang w:eastAsia="en-GB"/>
    </w:rPr>
  </w:style>
  <w:style w:type="paragraph" w:customStyle="1" w:styleId="TableParagraph">
    <w:name w:val="Table Paragraph"/>
    <w:rsid w:val="00AB112F"/>
    <w:pPr>
      <w:pBdr>
        <w:top w:val="nil"/>
        <w:left w:val="nil"/>
        <w:bottom w:val="nil"/>
        <w:right w:val="nil"/>
        <w:between w:val="nil"/>
        <w:bar w:val="nil"/>
      </w:pBdr>
      <w:spacing w:before="13" w:after="0" w:line="240" w:lineRule="auto"/>
      <w:ind w:left="399"/>
      <w:jc w:val="center"/>
    </w:pPr>
    <w:rPr>
      <w:rFonts w:ascii="Times New Roman" w:eastAsia="Arial Unicode MS" w:hAnsi="Times New Roman" w:cs="Arial Unicode MS"/>
      <w:color w:val="000000"/>
      <w:sz w:val="24"/>
      <w:szCs w:val="24"/>
      <w:u w:color="000000"/>
      <w:bdr w:val="ni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200</Words>
  <Characters>1142</Characters>
  <Application>Microsoft Office Word</Application>
  <DocSecurity>0</DocSecurity>
  <Lines>9</Lines>
  <Paragraphs>2</Paragraphs>
  <ScaleCrop>false</ScaleCrop>
  <Company>BioMarin Pharmaceutical Inc.</Company>
  <LinksUpToDate>false</LinksUpToDate>
  <CharactersWithSpaces>1340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Clague</dc:creator>
  <cp:keywords/>
  <dc:description/>
  <cp:lastModifiedBy>Gillian Clague</cp:lastModifiedBy>
  <cp:revision>4</cp:revision>
  <dcterms:created xsi:type="dcterms:W3CDTF">2018-02-22T18:31:00Z</dcterms:created>
  <dcterms:modified xsi:type="dcterms:W3CDTF">2018-02-22T18:53:00Z</dcterms:modified>
</cp:coreProperties>
</file>