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tiff" ContentType="image/tiff"/>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366" w:rsidRPr="0007145E" w:rsidRDefault="00586366" w:rsidP="00586366">
      <w:pPr>
        <w:spacing w:line="276" w:lineRule="auto"/>
        <w:rPr>
          <w:b/>
          <w:caps/>
          <w:sz w:val="22"/>
          <w:szCs w:val="22"/>
        </w:rPr>
      </w:pPr>
      <w:r w:rsidRPr="0007145E">
        <w:rPr>
          <w:b/>
          <w:caps/>
          <w:sz w:val="22"/>
          <w:szCs w:val="22"/>
        </w:rPr>
        <w:t>Supplementary materials</w:t>
      </w:r>
    </w:p>
    <w:p w:rsidR="00586366" w:rsidRPr="0007145E" w:rsidRDefault="00586366" w:rsidP="00586366">
      <w:pPr>
        <w:spacing w:line="276" w:lineRule="auto"/>
        <w:rPr>
          <w:b/>
          <w:sz w:val="22"/>
          <w:szCs w:val="22"/>
        </w:rPr>
      </w:pPr>
    </w:p>
    <w:p w:rsidR="00586366" w:rsidRPr="0007145E" w:rsidRDefault="00586366" w:rsidP="00586366">
      <w:pPr>
        <w:spacing w:line="276" w:lineRule="auto"/>
        <w:rPr>
          <w:b/>
          <w:sz w:val="22"/>
          <w:szCs w:val="22"/>
        </w:rPr>
      </w:pPr>
      <w:r w:rsidRPr="0007145E">
        <w:rPr>
          <w:b/>
          <w:sz w:val="22"/>
          <w:szCs w:val="22"/>
        </w:rPr>
        <w:t>Supplementary Figures</w:t>
      </w:r>
    </w:p>
    <w:p w:rsidR="00586366" w:rsidRPr="0007145E" w:rsidRDefault="00586366" w:rsidP="00586366">
      <w:pPr>
        <w:spacing w:line="276" w:lineRule="auto"/>
        <w:rPr>
          <w:b/>
        </w:rPr>
      </w:pPr>
    </w:p>
    <w:p w:rsidR="00586366" w:rsidRPr="0007145E" w:rsidRDefault="00586366" w:rsidP="00586366">
      <w:pPr>
        <w:spacing w:line="276" w:lineRule="auto"/>
        <w:rPr>
          <w:b/>
        </w:rPr>
      </w:pPr>
      <w:r w:rsidRPr="0007145E">
        <w:rPr>
          <w:b/>
          <w:noProof/>
          <w:lang w:eastAsia="en-GB"/>
        </w:rPr>
        <w:drawing>
          <wp:anchor distT="0" distB="0" distL="114300" distR="114300" simplePos="0" relativeHeight="251662336" behindDoc="0" locked="0" layoutInCell="1" allowOverlap="1" wp14:anchorId="2CA2CDBC" wp14:editId="7CBB72D8">
            <wp:simplePos x="0" y="0"/>
            <wp:positionH relativeFrom="margin">
              <wp:align>center</wp:align>
            </wp:positionH>
            <wp:positionV relativeFrom="paragraph">
              <wp:posOffset>23495</wp:posOffset>
            </wp:positionV>
            <wp:extent cx="5111750" cy="6143625"/>
            <wp:effectExtent l="19050" t="19050" r="12700" b="28575"/>
            <wp:wrapSquare wrapText="bothSides"/>
            <wp:docPr id="9" name="Picture 9" descr="C:\Users\Riaan\Desktop\BRG GM Science Advances Revised 14 02 2019\Supplementary 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aan\Desktop\BRG GM Science Advances Revised 14 02 2019\Supplementary Figure 1.tif"/>
                    <pic:cNvPicPr>
                      <a:picLocks noChangeAspect="1" noChangeArrowheads="1"/>
                    </pic:cNvPicPr>
                  </pic:nvPicPr>
                  <pic:blipFill>
                    <a:blip r:embed="rId5" cstate="print">
                      <a:extLst>
                        <a:ext uri="{BEBA8EAE-BF5A-486C-A8C5-ECC9F3942E4B}">
                          <a14:imgProps xmlns:a14="http://schemas.microsoft.com/office/drawing/2010/main">
                            <a14:imgLayer r:embed="rId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111750" cy="61436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pPr>
      <w:r w:rsidRPr="0007145E">
        <w:rPr>
          <w:b/>
        </w:rPr>
        <w:t xml:space="preserve">Fig. S1. </w:t>
      </w:r>
      <w:r w:rsidRPr="0007145E">
        <w:t>The provenience of the BRS palaeo-faecal specimen. The location of Bushman Rock Shelter (BRS) in Limpopo Province, South Africa (</w:t>
      </w:r>
      <w:r w:rsidRPr="0007145E">
        <w:rPr>
          <w:b/>
        </w:rPr>
        <w:t>A</w:t>
      </w:r>
      <w:r w:rsidRPr="0007145E">
        <w:t>), stratigraphic proﬁle of the Iron Age occupation level from which the specimen derives and which comprise the upper layer of the rock-shelter (Layer 1) situated in excavation ‘Block A’ and designated ‘Angel’ (</w:t>
      </w:r>
      <w:r w:rsidRPr="0007145E">
        <w:rPr>
          <w:b/>
        </w:rPr>
        <w:t>B</w:t>
      </w:r>
      <w:r w:rsidRPr="0007145E">
        <w:t xml:space="preserve">) and the palaeo-faecal specimen </w:t>
      </w:r>
      <w:r w:rsidRPr="0007145E">
        <w:rPr>
          <w:i/>
        </w:rPr>
        <w:t>in situ</w:t>
      </w:r>
      <w:r w:rsidRPr="0007145E">
        <w:t xml:space="preserve"> in the exposed (excavated) section prior to removal from the deposit (</w:t>
      </w:r>
      <w:r w:rsidRPr="0007145E">
        <w:rPr>
          <w:b/>
        </w:rPr>
        <w:t>C</w:t>
      </w:r>
      <w:r w:rsidRPr="0007145E">
        <w:t>).</w:t>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r w:rsidRPr="0007145E">
        <w:rPr>
          <w:b/>
          <w:noProof/>
          <w:lang w:eastAsia="en-GB"/>
        </w:rPr>
        <w:lastRenderedPageBreak/>
        <w:drawing>
          <wp:anchor distT="0" distB="0" distL="114300" distR="114300" simplePos="0" relativeHeight="251663360" behindDoc="0" locked="0" layoutInCell="1" allowOverlap="1" wp14:anchorId="3E31C899" wp14:editId="16E9604A">
            <wp:simplePos x="0" y="0"/>
            <wp:positionH relativeFrom="margin">
              <wp:posOffset>375920</wp:posOffset>
            </wp:positionH>
            <wp:positionV relativeFrom="paragraph">
              <wp:posOffset>-3175</wp:posOffset>
            </wp:positionV>
            <wp:extent cx="5399405" cy="4120515"/>
            <wp:effectExtent l="19050" t="19050" r="10795" b="13335"/>
            <wp:wrapSquare wrapText="bothSides"/>
            <wp:docPr id="10" name="Picture 10" descr="C:\Users\Riaan\Desktop\BRG GM Science Advances Revised 14 02 2019\Supplementary 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iaan\Desktop\BRG GM Science Advances Revised 14 02 2019\Supplementary Figure 2.tif"/>
                    <pic:cNvPicPr>
                      <a:picLocks noChangeAspect="1" noChangeArrowheads="1"/>
                    </pic:cNvPicPr>
                  </pic:nvPicPr>
                  <pic:blipFill>
                    <a:blip r:embed="rId7" cstate="print">
                      <a:extLst>
                        <a:ext uri="{BEBA8EAE-BF5A-486C-A8C5-ECC9F3942E4B}">
                          <a14:imgProps xmlns:a14="http://schemas.microsoft.com/office/drawing/2010/main">
                            <a14:imgLayer r:embed="rId8">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399405" cy="412051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pPr>
      <w:r w:rsidRPr="0007145E">
        <w:rPr>
          <w:b/>
        </w:rPr>
        <w:t xml:space="preserve">Fig. S2. </w:t>
      </w:r>
      <w:r w:rsidRPr="0007145E">
        <w:t>Processing (sub-sampling and aDNA extraction) protocol applied to the BRS palaeo-faecal specimen. The frozen specimen was first removed from the sealed packaging (</w:t>
      </w:r>
      <w:r w:rsidRPr="0007145E">
        <w:rPr>
          <w:b/>
        </w:rPr>
        <w:t>A</w:t>
      </w:r>
      <w:r w:rsidRPr="0007145E">
        <w:t>), after which the outer surface or cortex (~5mm) was removed with a scalpel (</w:t>
      </w:r>
      <w:r w:rsidRPr="0007145E">
        <w:rPr>
          <w:b/>
        </w:rPr>
        <w:t>B</w:t>
      </w:r>
      <w:r w:rsidRPr="0007145E">
        <w:t>) and subsequently sub-sampled for radiocarbon (14C) dating and isotopic and microscopic intestinal parasitic analyses, preserving one-sixth of the specimen (at -20°C) as a voucher sample (</w:t>
      </w:r>
      <w:r w:rsidRPr="0007145E">
        <w:rPr>
          <w:b/>
        </w:rPr>
        <w:t>C</w:t>
      </w:r>
      <w:r w:rsidRPr="0007145E">
        <w:t>). Sub-sampling and aDNA extraction and library preparation was performed in the ‘clean’ ancient DNA laboratories at the Centre for GeoGenetics, University of Copenhagen (Denmark) (</w:t>
      </w:r>
      <w:r w:rsidRPr="0007145E">
        <w:rPr>
          <w:b/>
        </w:rPr>
        <w:t>D</w:t>
      </w:r>
      <w:r w:rsidRPr="0007145E">
        <w:t>).</w:t>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r w:rsidRPr="0007145E">
        <w:rPr>
          <w:b/>
          <w:noProof/>
          <w:lang w:eastAsia="en-GB"/>
        </w:rPr>
        <w:drawing>
          <wp:anchor distT="0" distB="0" distL="114300" distR="114300" simplePos="0" relativeHeight="251664384" behindDoc="0" locked="0" layoutInCell="1" allowOverlap="1" wp14:anchorId="121FAE08" wp14:editId="646436C1">
            <wp:simplePos x="0" y="0"/>
            <wp:positionH relativeFrom="column">
              <wp:posOffset>514985</wp:posOffset>
            </wp:positionH>
            <wp:positionV relativeFrom="paragraph">
              <wp:posOffset>-22225</wp:posOffset>
            </wp:positionV>
            <wp:extent cx="5039995" cy="7124700"/>
            <wp:effectExtent l="19050" t="19050" r="27305" b="19050"/>
            <wp:wrapSquare wrapText="bothSides"/>
            <wp:docPr id="5" name="Picture 5" descr="C:\Users\Riaan\Desktop\BRS GM Science Advances Revised 14 02 2019\Supplementary 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aan\Desktop\BRS GM Science Advances Revised 14 02 2019\Supplementary Figure 3.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039995" cy="71247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pPr>
      <w:r w:rsidRPr="0007145E">
        <w:rPr>
          <w:b/>
        </w:rPr>
        <w:t>Fig. S3.</w:t>
      </w:r>
      <w:r w:rsidRPr="0007145E">
        <w:t xml:space="preserve"> Dot-plot based on the alignment of high-quality DNA sequence reads indicating the occurrence of statistically-significant C-T </w:t>
      </w:r>
      <w:r w:rsidRPr="0007145E">
        <w:rPr>
          <w:i/>
        </w:rPr>
        <w:t>p</w:t>
      </w:r>
      <w:r w:rsidRPr="0007145E">
        <w:t xml:space="preserve">-values calculated for commensal and pathogenic taxa detected in the BRS specimen (BRS2, BRS3 and BRS4) and the sedimentary controls (BRS1 or ‘SC1’ and BRS5 or ‘SC2’). Circle sizes and colours represent mapped read counts and </w:t>
      </w:r>
      <w:r w:rsidRPr="0007145E">
        <w:rPr>
          <w:i/>
        </w:rPr>
        <w:t>p</w:t>
      </w:r>
      <w:r w:rsidRPr="0007145E">
        <w:t>-value significance, respectively (see legend and scale).</w:t>
      </w: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r w:rsidRPr="0007145E">
        <w:rPr>
          <w:noProof/>
          <w:lang w:eastAsia="en-GB"/>
        </w:rPr>
        <w:drawing>
          <wp:anchor distT="0" distB="0" distL="114300" distR="114300" simplePos="0" relativeHeight="251665408" behindDoc="0" locked="0" layoutInCell="1" allowOverlap="1" wp14:anchorId="73957FBF" wp14:editId="4952C955">
            <wp:simplePos x="0" y="0"/>
            <wp:positionH relativeFrom="column">
              <wp:posOffset>373380</wp:posOffset>
            </wp:positionH>
            <wp:positionV relativeFrom="paragraph">
              <wp:posOffset>0</wp:posOffset>
            </wp:positionV>
            <wp:extent cx="4968000" cy="2664000"/>
            <wp:effectExtent l="0" t="0" r="23495" b="22225"/>
            <wp:wrapSquare wrapText="bothSides"/>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r w:rsidRPr="0007145E">
        <w:rPr>
          <w:b/>
        </w:rPr>
        <w:t>Fig. S4.</w:t>
      </w:r>
      <w:r w:rsidRPr="0007145E">
        <w:t xml:space="preserve"> Biplot of δ</w:t>
      </w:r>
      <w:r w:rsidRPr="0007145E">
        <w:rPr>
          <w:vertAlign w:val="superscript"/>
        </w:rPr>
        <w:t>13</w:t>
      </w:r>
      <w:r w:rsidRPr="0007145E">
        <w:t>C and δ</w:t>
      </w:r>
      <w:r w:rsidRPr="0007145E">
        <w:rPr>
          <w:vertAlign w:val="superscript"/>
        </w:rPr>
        <w:t>15</w:t>
      </w:r>
      <w:r w:rsidRPr="0007145E">
        <w:t>N stable isotope ratios obtained for the BRS specimen. The various pre-treatments (</w:t>
      </w:r>
      <w:r w:rsidRPr="0007145E">
        <w:rPr>
          <w:i/>
        </w:rPr>
        <w:t>i.e.</w:t>
      </w:r>
      <w:r w:rsidRPr="0007145E">
        <w:t>, the acid wash and lipid extraction) had some effect on both δ</w:t>
      </w:r>
      <w:r w:rsidRPr="0007145E">
        <w:rPr>
          <w:vertAlign w:val="superscript"/>
        </w:rPr>
        <w:t>13</w:t>
      </w:r>
      <w:r w:rsidRPr="0007145E">
        <w:t>C and δ</w:t>
      </w:r>
      <w:r w:rsidRPr="0007145E">
        <w:rPr>
          <w:vertAlign w:val="superscript"/>
        </w:rPr>
        <w:t>15</w:t>
      </w:r>
      <w:r w:rsidRPr="0007145E">
        <w:t xml:space="preserve">N values. The lipid extraction (2:1 chloroform/ethanol) removed traces of lipids with carbon isotope values becoming less negative, but nevertheless suggesting a mixed C4- (mostly) and C3-based meal. The results for the solvent residue reflect a geological signal most likely from the shelter’s sediments. Average values for ‘untreated’, ‘lipid extracted’ and ‘acid washed’ are indicated in corresponding black markers. </w:t>
      </w: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rPr>
          <w:b/>
        </w:rPr>
      </w:pPr>
    </w:p>
    <w:p w:rsidR="00586366" w:rsidRPr="0007145E" w:rsidRDefault="00586366" w:rsidP="00586366">
      <w:pPr>
        <w:spacing w:line="276" w:lineRule="auto"/>
      </w:pPr>
      <w:r w:rsidRPr="0007145E">
        <w:rPr>
          <w:b/>
          <w:noProof/>
          <w:lang w:eastAsia="en-GB"/>
        </w:rPr>
        <w:drawing>
          <wp:anchor distT="0" distB="0" distL="114300" distR="114300" simplePos="0" relativeHeight="251659264" behindDoc="1" locked="0" layoutInCell="1" allowOverlap="1" wp14:anchorId="0802A0F7" wp14:editId="67E5EA76">
            <wp:simplePos x="0" y="0"/>
            <wp:positionH relativeFrom="margin">
              <wp:align>center</wp:align>
            </wp:positionH>
            <wp:positionV relativeFrom="paragraph">
              <wp:posOffset>20955</wp:posOffset>
            </wp:positionV>
            <wp:extent cx="4680000" cy="5308561"/>
            <wp:effectExtent l="19050" t="19050" r="25400" b="26035"/>
            <wp:wrapTight wrapText="bothSides">
              <wp:wrapPolygon edited="0">
                <wp:start x="-88" y="-78"/>
                <wp:lineTo x="-88" y="21628"/>
                <wp:lineTo x="21629" y="21628"/>
                <wp:lineTo x="21629" y="-78"/>
                <wp:lineTo x="-88" y="-78"/>
              </wp:wrapPolygon>
            </wp:wrapTight>
            <wp:docPr id="7" name="Picture 7" descr="C:\Users\Riaan\Desktop\BRS IM Figures Tables NEE 10 12 2018\Supplementary 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iaan\Desktop\BRS IM Figures Tables NEE 10 12 2018\Supplementary Figure 2.tif"/>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680000" cy="5308561"/>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sz w:val="16"/>
          <w:szCs w:val="16"/>
        </w:rPr>
      </w:pPr>
    </w:p>
    <w:p w:rsidR="00586366" w:rsidRPr="0007145E" w:rsidRDefault="00586366" w:rsidP="00586366">
      <w:pPr>
        <w:spacing w:line="276" w:lineRule="auto"/>
      </w:pPr>
      <w:r w:rsidRPr="0007145E">
        <w:rPr>
          <w:b/>
        </w:rPr>
        <w:t xml:space="preserve">Fig. S5. </w:t>
      </w:r>
      <w:r w:rsidRPr="0007145E">
        <w:t>Scanning electron microscopy (SEM) analyses resulted in the detection of desiccated bacterial cells (</w:t>
      </w:r>
      <w:r w:rsidRPr="0007145E">
        <w:rPr>
          <w:b/>
        </w:rPr>
        <w:t xml:space="preserve">A </w:t>
      </w:r>
      <w:r w:rsidRPr="0007145E">
        <w:t xml:space="preserve">and </w:t>
      </w:r>
      <w:r w:rsidRPr="0007145E">
        <w:rPr>
          <w:b/>
        </w:rPr>
        <w:t>B</w:t>
      </w:r>
      <w:r w:rsidRPr="0007145E">
        <w:t>), degraded plant fragments (</w:t>
      </w:r>
      <w:r w:rsidRPr="0007145E">
        <w:rPr>
          <w:b/>
        </w:rPr>
        <w:t>C</w:t>
      </w:r>
      <w:r w:rsidRPr="0007145E">
        <w:t xml:space="preserve">, </w:t>
      </w:r>
      <w:r w:rsidRPr="0007145E">
        <w:rPr>
          <w:b/>
        </w:rPr>
        <w:t>D</w:t>
      </w:r>
      <w:r w:rsidRPr="0007145E">
        <w:t xml:space="preserve"> and </w:t>
      </w:r>
      <w:r w:rsidRPr="0007145E">
        <w:rPr>
          <w:b/>
        </w:rPr>
        <w:t>E</w:t>
      </w:r>
      <w:r w:rsidRPr="0007145E">
        <w:t xml:space="preserve">) and unidentified </w:t>
      </w:r>
      <w:r w:rsidR="00FE3981" w:rsidRPr="00FE3981">
        <w:t xml:space="preserve">plant stellate hair </w:t>
      </w:r>
      <w:r w:rsidRPr="0007145E">
        <w:t>(</w:t>
      </w:r>
      <w:r w:rsidRPr="0007145E">
        <w:rPr>
          <w:b/>
        </w:rPr>
        <w:t>F</w:t>
      </w:r>
      <w:r w:rsidRPr="0007145E">
        <w:t>).</w:t>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r w:rsidRPr="0007145E">
        <w:rPr>
          <w:b/>
          <w:noProof/>
          <w:lang w:eastAsia="en-GB"/>
        </w:rPr>
        <w:drawing>
          <wp:anchor distT="0" distB="0" distL="114300" distR="114300" simplePos="0" relativeHeight="251661312" behindDoc="1" locked="0" layoutInCell="1" allowOverlap="1" wp14:anchorId="7A609CB0" wp14:editId="6767F463">
            <wp:simplePos x="0" y="0"/>
            <wp:positionH relativeFrom="margin">
              <wp:align>center</wp:align>
            </wp:positionH>
            <wp:positionV relativeFrom="paragraph">
              <wp:posOffset>33655</wp:posOffset>
            </wp:positionV>
            <wp:extent cx="4679950" cy="5497195"/>
            <wp:effectExtent l="19050" t="19050" r="25400" b="27305"/>
            <wp:wrapTight wrapText="bothSides">
              <wp:wrapPolygon edited="0">
                <wp:start x="-88" y="-75"/>
                <wp:lineTo x="-88" y="21632"/>
                <wp:lineTo x="21629" y="21632"/>
                <wp:lineTo x="21629" y="-75"/>
                <wp:lineTo x="-88" y="-75"/>
              </wp:wrapPolygon>
            </wp:wrapTight>
            <wp:docPr id="8" name="Picture 8" descr="C:\Users\Riaan\Desktop\BRS IM Figures Tables NEE 10 12 2018\Supplementary Figure 3 Tax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iaan\Desktop\BRS IM Figures Tables NEE 10 12 2018\Supplementary Figure 3 Taxa.tif"/>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679950" cy="54971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pPr>
      <w:r w:rsidRPr="0007145E">
        <w:rPr>
          <w:b/>
        </w:rPr>
        <w:t xml:space="preserve">Fig. S6. </w:t>
      </w:r>
      <w:r w:rsidRPr="0007145E">
        <w:t xml:space="preserve">Heat-map comparing differences in taxonomic community structure for BRS (1, 2, 3, 4 and 5) with the modern (Italian), ethnographic (Hadza and Malawian) and ancient (Ötzi) IM datasets. Hierarchical clustering using complete linkage based on </w:t>
      </w:r>
      <w:r w:rsidRPr="00823C26">
        <w:t>Spearman's correlation</w:t>
      </w:r>
      <w:r w:rsidRPr="0007145E">
        <w:t>, produced a clear separation between ancient (BRS and Ötzi) and modern (Italian, Hadza and Malawian) populations. ANOSIM analysis revealed significant differences between the ancient and modern IM samples (</w:t>
      </w:r>
      <w:r w:rsidRPr="0007145E">
        <w:rPr>
          <w:i/>
        </w:rPr>
        <w:t>R</w:t>
      </w:r>
      <w:r w:rsidRPr="0007145E">
        <w:t xml:space="preserve"> ꞊ 0.6111; </w:t>
      </w:r>
      <w:r w:rsidRPr="0007145E">
        <w:rPr>
          <w:i/>
        </w:rPr>
        <w:t>p</w:t>
      </w:r>
      <w:r w:rsidRPr="0007145E">
        <w:t xml:space="preserve"> ꞊ &lt; 0.05) in the taxonomic categories of 731 taxa. Taxa were filtered for occurrence of &gt;3 in at least 20% of the samples.</w:t>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r>
        <w:rPr>
          <w:b/>
          <w:noProof/>
          <w:lang w:eastAsia="en-GB"/>
        </w:rPr>
        <w:drawing>
          <wp:anchor distT="0" distB="0" distL="114300" distR="114300" simplePos="0" relativeHeight="251667456" behindDoc="0" locked="0" layoutInCell="1" allowOverlap="1" wp14:anchorId="1A175BC0" wp14:editId="0D2789CD">
            <wp:simplePos x="829945" y="914400"/>
            <wp:positionH relativeFrom="margin">
              <wp:align>center</wp:align>
            </wp:positionH>
            <wp:positionV relativeFrom="margin">
              <wp:align>top</wp:align>
            </wp:positionV>
            <wp:extent cx="5112000" cy="7087424"/>
            <wp:effectExtent l="19050" t="19050" r="12700" b="18415"/>
            <wp:wrapSquare wrapText="bothSides"/>
            <wp:docPr id="16" name="Picture 16" descr="C:\Users\Riaan\Desktop\Figure S7 Ne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iaan\Desktop\Figure S7 New.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12000" cy="7087424"/>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Pr="0007145E" w:rsidRDefault="00586366" w:rsidP="00586366">
      <w:pPr>
        <w:spacing w:line="276" w:lineRule="auto"/>
      </w:pPr>
      <w:r w:rsidRPr="0007145E">
        <w:rPr>
          <w:b/>
        </w:rPr>
        <w:t>Fig. S7.</w:t>
      </w:r>
      <w:r w:rsidRPr="0007145E">
        <w:t xml:space="preserve"> Weighted (</w:t>
      </w:r>
      <w:r w:rsidRPr="0007145E">
        <w:rPr>
          <w:b/>
        </w:rPr>
        <w:t>A</w:t>
      </w:r>
      <w:r w:rsidRPr="0007145E">
        <w:t>) and un-weighted (</w:t>
      </w:r>
      <w:r w:rsidRPr="0007145E">
        <w:rPr>
          <w:b/>
        </w:rPr>
        <w:t>B</w:t>
      </w:r>
      <w:r w:rsidRPr="0007145E">
        <w:t xml:space="preserve">) Bray-Curtis non-metric multi-dimensional scaling (NMDS) plots comparing the use of ‘relative abundance’ </w:t>
      </w:r>
      <w:r>
        <w:t xml:space="preserve">(indicated in </w:t>
      </w:r>
      <w:r w:rsidRPr="00673D66">
        <w:rPr>
          <w:b/>
        </w:rPr>
        <w:t>A</w:t>
      </w:r>
      <w:r>
        <w:t xml:space="preserve">) </w:t>
      </w:r>
      <w:r w:rsidRPr="0007145E">
        <w:t xml:space="preserve">and ‘presence-absence’ data </w:t>
      </w:r>
      <w:r>
        <w:t xml:space="preserve">(indicated in </w:t>
      </w:r>
      <w:r w:rsidRPr="00673D66">
        <w:rPr>
          <w:b/>
        </w:rPr>
        <w:t>B</w:t>
      </w:r>
      <w:r>
        <w:t xml:space="preserve">) </w:t>
      </w:r>
      <w:r w:rsidRPr="0007145E">
        <w:t>as measures of taxonomic representation in the BRS specimen and in the modern (Italian), ethnographic (Hadza and Malawian) and ancient (Ötzi) IM datasets. Weighted (</w:t>
      </w:r>
      <w:r w:rsidRPr="0007145E">
        <w:rPr>
          <w:b/>
        </w:rPr>
        <w:t>A</w:t>
      </w:r>
      <w:r w:rsidRPr="0007145E">
        <w:t xml:space="preserve">) (as shown Fig. 1C and based on the ‘relative abundance’ of </w:t>
      </w:r>
      <w:r>
        <w:t xml:space="preserve">identified IM </w:t>
      </w:r>
      <w:r w:rsidRPr="0007145E">
        <w:t xml:space="preserve">taxa) (ANOSIM </w:t>
      </w:r>
      <w:r w:rsidRPr="0007145E">
        <w:rPr>
          <w:i/>
        </w:rPr>
        <w:t>R</w:t>
      </w:r>
      <w:r w:rsidRPr="0007145E">
        <w:t xml:space="preserve"> ꞊ 0.6111; </w:t>
      </w:r>
      <w:r w:rsidRPr="0007145E">
        <w:rPr>
          <w:i/>
        </w:rPr>
        <w:t>p</w:t>
      </w:r>
      <w:r w:rsidRPr="0007145E">
        <w:t xml:space="preserve"> ꞊ &lt;0.001) and un-weighted (</w:t>
      </w:r>
      <w:r w:rsidRPr="0007145E">
        <w:rPr>
          <w:b/>
        </w:rPr>
        <w:t>B</w:t>
      </w:r>
      <w:r w:rsidRPr="0007145E">
        <w:t xml:space="preserve">) Bray-Curtis analysis (based on ‘presence-absence’ of identified IM taxa) exhibit corresponding differences between the ancient and modern IM cohorts (ANOSIM </w:t>
      </w:r>
      <w:r w:rsidRPr="0007145E">
        <w:rPr>
          <w:i/>
        </w:rPr>
        <w:t>R</w:t>
      </w:r>
      <w:r w:rsidRPr="0007145E">
        <w:t xml:space="preserve"> ꞊ 0.8166; </w:t>
      </w:r>
      <w:r w:rsidRPr="0007145E">
        <w:rPr>
          <w:i/>
        </w:rPr>
        <w:t>p</w:t>
      </w:r>
      <w:r w:rsidRPr="0007145E">
        <w:t xml:space="preserve"> ꞊ &lt;0.001). </w:t>
      </w:r>
    </w:p>
    <w:p w:rsidR="00586366" w:rsidRPr="0007145E" w:rsidRDefault="00586366" w:rsidP="00586366">
      <w:pPr>
        <w:spacing w:line="276" w:lineRule="auto"/>
      </w:pPr>
    </w:p>
    <w:p w:rsidR="00586366" w:rsidRPr="0007145E" w:rsidRDefault="00586366" w:rsidP="00586366">
      <w:pPr>
        <w:spacing w:line="276" w:lineRule="auto"/>
      </w:pPr>
      <w:r>
        <w:t xml:space="preserve"> </w:t>
      </w:r>
    </w:p>
    <w:p w:rsidR="00586366" w:rsidRPr="0007145E" w:rsidRDefault="00586366" w:rsidP="00586366">
      <w:pPr>
        <w:spacing w:line="276" w:lineRule="auto"/>
      </w:pPr>
    </w:p>
    <w:p w:rsidR="00586366" w:rsidRPr="0007145E" w:rsidRDefault="00586366" w:rsidP="00586366">
      <w:pPr>
        <w:spacing w:line="276" w:lineRule="auto"/>
      </w:pPr>
    </w:p>
    <w:p w:rsidR="00586366" w:rsidRPr="0007145E" w:rsidRDefault="00586366" w:rsidP="00586366">
      <w:pPr>
        <w:spacing w:line="276" w:lineRule="auto"/>
      </w:pPr>
    </w:p>
    <w:p w:rsidR="00586366" w:rsidRDefault="00586366" w:rsidP="00586366">
      <w:pPr>
        <w:spacing w:line="276" w:lineRule="auto"/>
      </w:pPr>
    </w:p>
    <w:p w:rsidR="00586366" w:rsidRPr="0007145E" w:rsidRDefault="00586366" w:rsidP="00586366">
      <w:pPr>
        <w:spacing w:line="276" w:lineRule="auto"/>
      </w:pPr>
      <w:r>
        <w:rPr>
          <w:noProof/>
          <w:lang w:eastAsia="en-GB"/>
        </w:rPr>
        <w:drawing>
          <wp:anchor distT="0" distB="0" distL="114300" distR="114300" simplePos="0" relativeHeight="251666432" behindDoc="0" locked="0" layoutInCell="1" allowOverlap="1" wp14:anchorId="40DE4807" wp14:editId="2A7E041E">
            <wp:simplePos x="0" y="0"/>
            <wp:positionH relativeFrom="margin">
              <wp:posOffset>407670</wp:posOffset>
            </wp:positionH>
            <wp:positionV relativeFrom="margin">
              <wp:posOffset>34925</wp:posOffset>
            </wp:positionV>
            <wp:extent cx="5363845" cy="3183890"/>
            <wp:effectExtent l="0" t="0" r="27305" b="16510"/>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anchor>
        </w:drawing>
      </w: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bookmarkStart w:id="0" w:name="_GoBack"/>
      <w:bookmarkEnd w:id="0"/>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Default="00586366" w:rsidP="00586366">
      <w:pPr>
        <w:spacing w:line="276" w:lineRule="auto"/>
        <w:rPr>
          <w:b/>
        </w:rPr>
      </w:pPr>
    </w:p>
    <w:p w:rsidR="00586366" w:rsidRPr="00F333FB" w:rsidRDefault="00586366" w:rsidP="00586366">
      <w:pPr>
        <w:spacing w:line="276" w:lineRule="auto"/>
      </w:pPr>
      <w:r w:rsidRPr="00F333FB">
        <w:rPr>
          <w:b/>
        </w:rPr>
        <w:t>Fig. S8.</w:t>
      </w:r>
      <w:r w:rsidRPr="00F333FB">
        <w:t xml:space="preserve"> Bar-plot indicating that the surrounding sedimentary matrix (</w:t>
      </w:r>
      <w:r w:rsidRPr="00083AD7">
        <w:rPr>
          <w:i/>
        </w:rPr>
        <w:t>i.e.</w:t>
      </w:r>
      <w:r>
        <w:t xml:space="preserve">, samples </w:t>
      </w:r>
      <w:r w:rsidRPr="00F333FB">
        <w:t>BRS1 ‘SC1’ and BRS5 ‘SC2’) and the DNA extraction (</w:t>
      </w:r>
      <w:r w:rsidRPr="00F333FB">
        <w:rPr>
          <w:i/>
        </w:rPr>
        <w:t>n</w:t>
      </w:r>
      <w:r w:rsidRPr="00F333FB">
        <w:t xml:space="preserve"> = 1) and library preparation (</w:t>
      </w:r>
      <w:r w:rsidRPr="00F333FB">
        <w:rPr>
          <w:i/>
        </w:rPr>
        <w:t>n</w:t>
      </w:r>
      <w:r w:rsidRPr="00F333FB">
        <w:t xml:space="preserve"> = 1) negative controls (</w:t>
      </w:r>
      <w:r>
        <w:t>‘</w:t>
      </w:r>
      <w:r w:rsidRPr="00F333FB">
        <w:t>E-LPCs</w:t>
      </w:r>
      <w:r>
        <w:t>’</w:t>
      </w:r>
      <w:r w:rsidRPr="00F333FB">
        <w:t xml:space="preserve">) are not noteworthy sources of </w:t>
      </w:r>
      <w:r>
        <w:t xml:space="preserve">the twenty-four authenticated ancient </w:t>
      </w:r>
      <w:r w:rsidRPr="00F333FB">
        <w:t>microbial taxa identified in the palaeo-faecal specimen (</w:t>
      </w:r>
      <w:r w:rsidRPr="00083AD7">
        <w:rPr>
          <w:i/>
        </w:rPr>
        <w:t>i.e.</w:t>
      </w:r>
      <w:r>
        <w:t xml:space="preserve">, </w:t>
      </w:r>
      <w:r w:rsidRPr="00F333FB">
        <w:t xml:space="preserve">BRS2, BRS3 and BRS4). Reverse contamination, </w:t>
      </w:r>
      <w:r w:rsidRPr="00F333FB">
        <w:rPr>
          <w:i/>
        </w:rPr>
        <w:t>i.e.</w:t>
      </w:r>
      <w:r w:rsidRPr="00F333FB">
        <w:t xml:space="preserve">, from the palaeo-faecal specimen into the surrounding sediment, is most likely responsible for the incidence of low numbers of reads for IM-specific taxa in the surrounding sedimentary matrix (BRS1 and BRS5).  </w:t>
      </w:r>
    </w:p>
    <w:p w:rsidR="00586366" w:rsidRPr="00F333FB" w:rsidRDefault="00586366" w:rsidP="00586366">
      <w:pPr>
        <w:spacing w:line="276" w:lineRule="auto"/>
      </w:pPr>
    </w:p>
    <w:p w:rsidR="00586366" w:rsidRPr="00F333FB" w:rsidRDefault="00586366" w:rsidP="00586366">
      <w:pPr>
        <w:spacing w:line="276" w:lineRule="auto"/>
      </w:pPr>
    </w:p>
    <w:p w:rsidR="00586366" w:rsidRPr="00F333FB" w:rsidRDefault="00586366" w:rsidP="00586366">
      <w:pPr>
        <w:spacing w:line="276" w:lineRule="auto"/>
      </w:pPr>
    </w:p>
    <w:p w:rsidR="00586366" w:rsidRPr="00F333FB" w:rsidRDefault="00586366" w:rsidP="00586366">
      <w:pPr>
        <w:spacing w:line="276" w:lineRule="auto"/>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Default="00586366" w:rsidP="00586366">
      <w:pPr>
        <w:spacing w:line="276" w:lineRule="auto"/>
        <w:rPr>
          <w:color w:val="FF0000"/>
        </w:rPr>
      </w:pPr>
    </w:p>
    <w:p w:rsidR="00586366" w:rsidRPr="0007145E" w:rsidRDefault="00586366" w:rsidP="00586366">
      <w:pPr>
        <w:spacing w:line="276" w:lineRule="auto"/>
        <w:rPr>
          <w:b/>
        </w:rPr>
      </w:pPr>
      <w:r w:rsidRPr="0007145E">
        <w:rPr>
          <w:b/>
          <w:noProof/>
          <w:lang w:eastAsia="en-GB"/>
        </w:rPr>
        <w:drawing>
          <wp:anchor distT="0" distB="0" distL="114300" distR="114300" simplePos="0" relativeHeight="251660288" behindDoc="1" locked="0" layoutInCell="1" allowOverlap="1" wp14:anchorId="3F70C8FE" wp14:editId="64DB86CC">
            <wp:simplePos x="0" y="0"/>
            <wp:positionH relativeFrom="margin">
              <wp:align>center</wp:align>
            </wp:positionH>
            <wp:positionV relativeFrom="paragraph">
              <wp:posOffset>20955</wp:posOffset>
            </wp:positionV>
            <wp:extent cx="2879725" cy="4420870"/>
            <wp:effectExtent l="19050" t="19050" r="15875" b="17780"/>
            <wp:wrapTight wrapText="bothSides">
              <wp:wrapPolygon edited="0">
                <wp:start x="-143" y="-93"/>
                <wp:lineTo x="-143" y="21594"/>
                <wp:lineTo x="21576" y="21594"/>
                <wp:lineTo x="21576" y="-93"/>
                <wp:lineTo x="-143" y="-93"/>
              </wp:wrapPolygon>
            </wp:wrapTight>
            <wp:docPr id="11" name="Picture 11" descr="C:\Users\Riaan\Desktop\BRS IM Figures Tables NEE 10 12 2018\Supplementary 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iaan\Desktop\BRS IM Figures Tables NEE 10 12 2018\Supplementary Figure 4.tif"/>
                    <pic:cNvPicPr>
                      <a:picLocks noChangeAspect="1" noChangeArrowheads="1"/>
                    </pic:cNvPicPr>
                  </pic:nvPicPr>
                  <pic:blipFill>
                    <a:blip r:embed="rId18" cstate="print">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879725" cy="442087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r w:rsidRPr="0007145E">
        <w:rPr>
          <w:b/>
        </w:rPr>
        <w:t>Fig. S</w:t>
      </w:r>
      <w:r>
        <w:rPr>
          <w:b/>
        </w:rPr>
        <w:t>9</w:t>
      </w:r>
      <w:r w:rsidRPr="0007145E">
        <w:rPr>
          <w:b/>
        </w:rPr>
        <w:t>.</w:t>
      </w:r>
      <w:r w:rsidRPr="0007145E">
        <w:t xml:space="preserve"> Heat-map indicating the presence of fifteen functional ARGs identified in the analysed datasets, four of which occurs in the BRS IM, including the prokaryotic protein synthesis elongation factor Tu (EF-Tu) (</w:t>
      </w:r>
      <w:r w:rsidRPr="0007145E">
        <w:rPr>
          <w:i/>
        </w:rPr>
        <w:t>tufA</w:t>
      </w:r>
      <w:r w:rsidRPr="0007145E">
        <w:t xml:space="preserve"> and </w:t>
      </w:r>
      <w:r w:rsidRPr="0007145E">
        <w:rPr>
          <w:i/>
        </w:rPr>
        <w:t>tufB</w:t>
      </w:r>
      <w:r w:rsidRPr="0007145E">
        <w:t>), flouro-quinolene-resistant DNA topoisomerase (</w:t>
      </w:r>
      <w:r w:rsidRPr="0007145E">
        <w:rPr>
          <w:i/>
        </w:rPr>
        <w:t>parE</w:t>
      </w:r>
      <w:r w:rsidRPr="0007145E">
        <w:rPr>
          <w:iCs/>
        </w:rPr>
        <w:t>)</w:t>
      </w:r>
      <w:r w:rsidRPr="0007145E">
        <w:rPr>
          <w:i/>
        </w:rPr>
        <w:t xml:space="preserve"> </w:t>
      </w:r>
      <w:r w:rsidRPr="0007145E">
        <w:t xml:space="preserve">and daptomycin-resistant </w:t>
      </w:r>
      <w:r w:rsidRPr="0007145E">
        <w:rPr>
          <w:i/>
        </w:rPr>
        <w:t>rpoB</w:t>
      </w:r>
      <w:r w:rsidRPr="0007145E">
        <w:t>. ARG categories were filtered for occurrence of &gt;5 in at least 20% of samples.</w:t>
      </w: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07145E" w:rsidRDefault="00586366" w:rsidP="00586366">
      <w:pPr>
        <w:spacing w:line="276" w:lineRule="auto"/>
        <w:rPr>
          <w:b/>
        </w:rPr>
      </w:pPr>
    </w:p>
    <w:p w:rsidR="00586366" w:rsidRPr="009227DA" w:rsidRDefault="00586366" w:rsidP="00586366">
      <w:pPr>
        <w:spacing w:line="276" w:lineRule="auto"/>
        <w:rPr>
          <w:b/>
          <w:color w:val="000000" w:themeColor="text1"/>
          <w:sz w:val="22"/>
          <w:szCs w:val="22"/>
        </w:rPr>
      </w:pPr>
      <w:r w:rsidRPr="009227DA">
        <w:rPr>
          <w:b/>
          <w:color w:val="000000" w:themeColor="text1"/>
          <w:sz w:val="22"/>
          <w:szCs w:val="22"/>
        </w:rPr>
        <w:t>Supplementary Tables</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 xml:space="preserve">Table S1. </w:t>
      </w:r>
      <w:r w:rsidRPr="009227DA">
        <w:rPr>
          <w:color w:val="000000" w:themeColor="text1"/>
        </w:rPr>
        <w:t>Mapped DNA sequence reads for environmental- and subsistence-related taxa detected in this study. Statistically-significant (</w:t>
      </w:r>
      <w:r w:rsidRPr="009227DA">
        <w:rPr>
          <w:i/>
          <w:color w:val="000000" w:themeColor="text1"/>
        </w:rPr>
        <w:t>i.e.</w:t>
      </w:r>
      <w:r w:rsidRPr="009227DA">
        <w:rPr>
          <w:color w:val="000000" w:themeColor="text1"/>
        </w:rPr>
        <w:t xml:space="preserve">, verified ancient) C-T </w:t>
      </w:r>
      <w:r w:rsidRPr="009227DA">
        <w:rPr>
          <w:i/>
          <w:color w:val="000000" w:themeColor="text1"/>
        </w:rPr>
        <w:t>p</w:t>
      </w:r>
      <w:r w:rsidRPr="009227DA">
        <w:rPr>
          <w:color w:val="000000" w:themeColor="text1"/>
        </w:rPr>
        <w:t xml:space="preserve">-values are indicated in bold text. Analyses were performed using high-quality filtered read alignments against NCBI reference genomes. DNA damage estimation analyses was performed using PMDtools (‘C-T </w:t>
      </w:r>
      <w:r w:rsidRPr="009227DA">
        <w:rPr>
          <w:i/>
          <w:color w:val="000000" w:themeColor="text1"/>
        </w:rPr>
        <w:t>p</w:t>
      </w:r>
      <w:r w:rsidRPr="009227DA">
        <w:rPr>
          <w:color w:val="000000" w:themeColor="text1"/>
        </w:rPr>
        <w:t>-values’).</w:t>
      </w:r>
      <w:r w:rsidRPr="009227DA">
        <w:rPr>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r w:rsidRPr="009227DA">
        <w:rPr>
          <w:b/>
          <w:color w:val="000000" w:themeColor="text1"/>
        </w:rPr>
        <w:tab/>
      </w:r>
    </w:p>
    <w:p w:rsidR="00586366" w:rsidRPr="009227DA" w:rsidRDefault="00586366" w:rsidP="00586366">
      <w:pPr>
        <w:spacing w:line="276" w:lineRule="auto"/>
        <w:rPr>
          <w:b/>
          <w:color w:val="000000" w:themeColor="text1"/>
        </w:rPr>
      </w:pPr>
      <w:r w:rsidRPr="009227DA">
        <w:rPr>
          <w:b/>
          <w:color w:val="000000" w:themeColor="text1"/>
        </w:rPr>
        <w:t xml:space="preserve">Table S2. </w:t>
      </w:r>
      <w:r w:rsidRPr="009227DA">
        <w:rPr>
          <w:color w:val="000000" w:themeColor="text1"/>
        </w:rPr>
        <w:t xml:space="preserve">Information concerning </w:t>
      </w:r>
      <w:proofErr w:type="gramStart"/>
      <w:r w:rsidRPr="009227DA">
        <w:rPr>
          <w:color w:val="000000" w:themeColor="text1"/>
        </w:rPr>
        <w:t>the two direct radiocarbon (</w:t>
      </w:r>
      <w:r w:rsidRPr="009227DA">
        <w:rPr>
          <w:color w:val="000000" w:themeColor="text1"/>
          <w:vertAlign w:val="superscript"/>
        </w:rPr>
        <w:t>14</w:t>
      </w:r>
      <w:r w:rsidRPr="009227DA">
        <w:rPr>
          <w:color w:val="000000" w:themeColor="text1"/>
        </w:rPr>
        <w:t>C)</w:t>
      </w:r>
      <w:proofErr w:type="gramEnd"/>
      <w:r w:rsidRPr="009227DA">
        <w:rPr>
          <w:color w:val="000000" w:themeColor="text1"/>
        </w:rPr>
        <w:t xml:space="preserve"> Accelerator Mass Spectrometry (AMS) dates generated from two sub-samples taken from within the BRS palaeo-faecal specimen.</w:t>
      </w:r>
      <w:r w:rsidRPr="009227DA">
        <w:rPr>
          <w:b/>
          <w:color w:val="000000" w:themeColor="text1"/>
        </w:rPr>
        <w:t xml:space="preserve">  </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 xml:space="preserve">Table S3a. </w:t>
      </w:r>
      <w:r w:rsidRPr="009227DA">
        <w:rPr>
          <w:color w:val="000000" w:themeColor="text1"/>
        </w:rPr>
        <w:t>Processing protocol and results for isotope analyses of samples derived from the BRS specimen indicating the relative proportions of C3 and C4 dietary contributions.</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 xml:space="preserve">Table S3b. </w:t>
      </w:r>
      <w:r w:rsidRPr="009227DA">
        <w:rPr>
          <w:color w:val="000000" w:themeColor="text1"/>
        </w:rPr>
        <w:t>Results for isotope analyses (Merck standard) of samples derived from the BRS specimen indicating the relative proportions of C3 and C4 dietary contributions.</w:t>
      </w:r>
      <w:r w:rsidRPr="009227DA">
        <w:rPr>
          <w:b/>
          <w:color w:val="000000" w:themeColor="text1"/>
        </w:rPr>
        <w:t xml:space="preserve"> </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 xml:space="preserve">Table S3c. </w:t>
      </w:r>
      <w:r w:rsidRPr="009227DA">
        <w:rPr>
          <w:color w:val="000000" w:themeColor="text1"/>
        </w:rPr>
        <w:t>Results for isotope analyses (DL-Valine standard) of samples derived from the BRS specimen indicating the relative proportions of C3 and C4 dietary contributions.</w:t>
      </w:r>
      <w:r w:rsidRPr="009227DA">
        <w:rPr>
          <w:b/>
          <w:color w:val="000000" w:themeColor="text1"/>
        </w:rPr>
        <w:t xml:space="preserve"> </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color w:val="000000" w:themeColor="text1"/>
        </w:rPr>
      </w:pPr>
      <w:r w:rsidRPr="009227DA">
        <w:rPr>
          <w:b/>
          <w:color w:val="000000" w:themeColor="text1"/>
        </w:rPr>
        <w:t xml:space="preserve">Table S4. </w:t>
      </w:r>
      <w:r w:rsidRPr="009227DA">
        <w:rPr>
          <w:color w:val="000000" w:themeColor="text1"/>
        </w:rPr>
        <w:t xml:space="preserve">Assignment of abundance of bacterial taxonomic categories to the BRS and ancient (Ötzi) and modern (Italian, Hadza and Malawian) comparative samples based on </w:t>
      </w:r>
      <w:r w:rsidRPr="009227DA">
        <w:rPr>
          <w:i/>
          <w:color w:val="000000" w:themeColor="text1"/>
        </w:rPr>
        <w:t>p</w:t>
      </w:r>
      <w:r w:rsidRPr="009227DA">
        <w:rPr>
          <w:color w:val="000000" w:themeColor="text1"/>
        </w:rPr>
        <w:t>-value (</w:t>
      </w:r>
      <w:r w:rsidRPr="009227DA">
        <w:rPr>
          <w:i/>
          <w:color w:val="000000" w:themeColor="text1"/>
        </w:rPr>
        <w:t>p</w:t>
      </w:r>
      <w:r w:rsidRPr="009227DA">
        <w:rPr>
          <w:color w:val="000000" w:themeColor="text1"/>
        </w:rPr>
        <w:t xml:space="preserve"> ꞊ &lt;0.05) designation.</w:t>
      </w:r>
      <w:r w:rsidRPr="009227DA">
        <w:rPr>
          <w:b/>
          <w:color w:val="000000" w:themeColor="text1"/>
        </w:rPr>
        <w:t xml:space="preserve"> </w:t>
      </w:r>
      <w:r w:rsidRPr="009227DA">
        <w:rPr>
          <w:color w:val="000000" w:themeColor="text1"/>
        </w:rPr>
        <w:t>Group significance assignments were obtained via Qiime v1.9.1.</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 xml:space="preserve">Table S5. </w:t>
      </w:r>
      <w:r w:rsidRPr="009227DA">
        <w:rPr>
          <w:color w:val="000000" w:themeColor="text1"/>
        </w:rPr>
        <w:t xml:space="preserve">Information concerning DNA sequence read-length distribution for taxa identified in this study. Read-length distributions were calculated from BWA alignments and BAM files.  </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Table S</w:t>
      </w:r>
      <w:r>
        <w:rPr>
          <w:b/>
          <w:color w:val="000000" w:themeColor="text1"/>
        </w:rPr>
        <w:t>6</w:t>
      </w:r>
      <w:r w:rsidRPr="009227DA">
        <w:rPr>
          <w:b/>
          <w:color w:val="000000" w:themeColor="text1"/>
        </w:rPr>
        <w:t xml:space="preserve">. </w:t>
      </w:r>
      <w:r w:rsidRPr="009227DA">
        <w:rPr>
          <w:color w:val="000000" w:themeColor="text1"/>
        </w:rPr>
        <w:t>Relative abundance of eighteen significant KEGG pathways detected in BRS and the ancient (Ötzi) and modern (Italian, Hadza and Malawian) comparative IM cohorts</w:t>
      </w:r>
      <w:r w:rsidRPr="009227DA">
        <w:rPr>
          <w:b/>
          <w:color w:val="000000" w:themeColor="text1"/>
        </w:rPr>
        <w:t>.</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Table S</w:t>
      </w:r>
      <w:r>
        <w:rPr>
          <w:b/>
          <w:color w:val="000000" w:themeColor="text1"/>
        </w:rPr>
        <w:t>7</w:t>
      </w:r>
      <w:r w:rsidRPr="009227DA">
        <w:rPr>
          <w:b/>
          <w:color w:val="000000" w:themeColor="text1"/>
        </w:rPr>
        <w:t xml:space="preserve">. </w:t>
      </w:r>
      <w:r w:rsidRPr="009227DA">
        <w:rPr>
          <w:color w:val="000000" w:themeColor="text1"/>
        </w:rPr>
        <w:t xml:space="preserve">Enrichment and depletion of KO metabolic gene categories in the BRS and ancient (Ötzi) and modern (Italian, Hadza and Malawian) comparative IM sample cohorts based on </w:t>
      </w:r>
      <w:r w:rsidRPr="009227DA">
        <w:rPr>
          <w:i/>
          <w:color w:val="000000" w:themeColor="text1"/>
        </w:rPr>
        <w:t>p</w:t>
      </w:r>
      <w:r w:rsidRPr="009227DA">
        <w:rPr>
          <w:color w:val="000000" w:themeColor="text1"/>
        </w:rPr>
        <w:t>-value (</w:t>
      </w:r>
      <w:r w:rsidRPr="009227DA">
        <w:rPr>
          <w:i/>
          <w:color w:val="000000" w:themeColor="text1"/>
        </w:rPr>
        <w:t>p</w:t>
      </w:r>
      <w:r w:rsidRPr="009227DA">
        <w:rPr>
          <w:color w:val="000000" w:themeColor="text1"/>
        </w:rPr>
        <w:t xml:space="preserve"> ꞊ &lt;0.05) designation. Group significance analyses were performed using Qiime v1.9.1.</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b/>
          <w:color w:val="000000" w:themeColor="text1"/>
        </w:rPr>
      </w:pPr>
      <w:r w:rsidRPr="009227DA">
        <w:rPr>
          <w:b/>
          <w:color w:val="000000" w:themeColor="text1"/>
        </w:rPr>
        <w:t>Table S</w:t>
      </w:r>
      <w:r>
        <w:rPr>
          <w:b/>
          <w:color w:val="000000" w:themeColor="text1"/>
        </w:rPr>
        <w:t>8</w:t>
      </w:r>
      <w:r w:rsidRPr="009227DA">
        <w:rPr>
          <w:b/>
          <w:color w:val="000000" w:themeColor="text1"/>
        </w:rPr>
        <w:t xml:space="preserve">. </w:t>
      </w:r>
      <w:r w:rsidRPr="009227DA">
        <w:rPr>
          <w:color w:val="000000" w:themeColor="text1"/>
        </w:rPr>
        <w:t xml:space="preserve">Enrichment and depletion of KO metabolic gene categories in the ancient (BRS and Ötzi) and modern (Italian, Hadza and Malawian) comparative IM sample cohorts based on false discovery rate (FDR) corrected </w:t>
      </w:r>
      <w:r w:rsidRPr="009227DA">
        <w:rPr>
          <w:i/>
          <w:color w:val="000000" w:themeColor="text1"/>
        </w:rPr>
        <w:t>p</w:t>
      </w:r>
      <w:r w:rsidRPr="009227DA">
        <w:rPr>
          <w:color w:val="000000" w:themeColor="text1"/>
        </w:rPr>
        <w:t>-values (</w:t>
      </w:r>
      <w:r w:rsidRPr="009227DA">
        <w:rPr>
          <w:i/>
          <w:color w:val="000000" w:themeColor="text1"/>
        </w:rPr>
        <w:t>q</w:t>
      </w:r>
      <w:r w:rsidRPr="009227DA">
        <w:rPr>
          <w:color w:val="000000" w:themeColor="text1"/>
        </w:rPr>
        <w:t xml:space="preserve"> ꞊ &lt;0.05).</w:t>
      </w:r>
    </w:p>
    <w:p w:rsidR="00586366" w:rsidRPr="009227DA" w:rsidRDefault="00586366" w:rsidP="00586366">
      <w:pPr>
        <w:spacing w:line="276" w:lineRule="auto"/>
        <w:rPr>
          <w:b/>
          <w:color w:val="000000" w:themeColor="text1"/>
        </w:rPr>
      </w:pPr>
    </w:p>
    <w:p w:rsidR="00586366" w:rsidRPr="009227DA" w:rsidRDefault="00586366" w:rsidP="00586366">
      <w:pPr>
        <w:spacing w:line="276" w:lineRule="auto"/>
        <w:rPr>
          <w:color w:val="000000" w:themeColor="text1"/>
        </w:rPr>
      </w:pPr>
      <w:r w:rsidRPr="009227DA">
        <w:rPr>
          <w:b/>
          <w:color w:val="000000" w:themeColor="text1"/>
        </w:rPr>
        <w:t>Table S</w:t>
      </w:r>
      <w:r>
        <w:rPr>
          <w:b/>
          <w:color w:val="000000" w:themeColor="text1"/>
        </w:rPr>
        <w:t>9</w:t>
      </w:r>
      <w:r w:rsidRPr="009227DA">
        <w:rPr>
          <w:b/>
          <w:color w:val="000000" w:themeColor="text1"/>
        </w:rPr>
        <w:t>.</w:t>
      </w:r>
      <w:r w:rsidRPr="009227DA">
        <w:rPr>
          <w:color w:val="000000" w:themeColor="text1"/>
        </w:rPr>
        <w:t xml:space="preserve"> </w:t>
      </w:r>
      <w:r w:rsidRPr="00213743">
        <w:rPr>
          <w:color w:val="000000" w:themeColor="text1"/>
        </w:rPr>
        <w:t>Enrichment and depletion of KO metabolic gene categories in the ancient and modern comparative IM sample cohort as calculated for the twenty-four authenticated ancient IM taxa.</w:t>
      </w:r>
      <w:r w:rsidRPr="009227DA">
        <w:rPr>
          <w:color w:val="000000" w:themeColor="text1"/>
        </w:rPr>
        <w:tab/>
      </w:r>
    </w:p>
    <w:p w:rsidR="00586366" w:rsidRPr="009227DA" w:rsidRDefault="00586366" w:rsidP="00586366">
      <w:pPr>
        <w:spacing w:line="276" w:lineRule="auto"/>
        <w:rPr>
          <w:color w:val="000000" w:themeColor="text1"/>
        </w:rPr>
      </w:pPr>
      <w:r w:rsidRPr="009227DA">
        <w:rPr>
          <w:color w:val="000000" w:themeColor="text1"/>
        </w:rPr>
        <w:tab/>
      </w:r>
      <w:r w:rsidRPr="009227DA">
        <w:rPr>
          <w:color w:val="000000" w:themeColor="text1"/>
        </w:rPr>
        <w:tab/>
      </w:r>
      <w:r w:rsidRPr="009227DA">
        <w:rPr>
          <w:color w:val="000000" w:themeColor="text1"/>
        </w:rPr>
        <w:tab/>
      </w:r>
      <w:r w:rsidRPr="009227DA">
        <w:rPr>
          <w:color w:val="000000" w:themeColor="text1"/>
        </w:rPr>
        <w:tab/>
      </w:r>
      <w:r w:rsidRPr="009227DA">
        <w:rPr>
          <w:color w:val="000000" w:themeColor="text1"/>
        </w:rPr>
        <w:tab/>
      </w:r>
    </w:p>
    <w:p w:rsidR="00586366" w:rsidRPr="009227DA" w:rsidRDefault="00586366" w:rsidP="00586366">
      <w:pPr>
        <w:spacing w:line="276" w:lineRule="auto"/>
        <w:rPr>
          <w:color w:val="000000" w:themeColor="text1"/>
        </w:rPr>
      </w:pPr>
      <w:r w:rsidRPr="009227DA">
        <w:rPr>
          <w:b/>
          <w:color w:val="000000" w:themeColor="text1"/>
        </w:rPr>
        <w:t>Table S1</w:t>
      </w:r>
      <w:r>
        <w:rPr>
          <w:b/>
          <w:color w:val="000000" w:themeColor="text1"/>
        </w:rPr>
        <w:t>0</w:t>
      </w:r>
      <w:r w:rsidRPr="009227DA">
        <w:rPr>
          <w:b/>
          <w:color w:val="000000" w:themeColor="text1"/>
        </w:rPr>
        <w:t>.</w:t>
      </w:r>
      <w:r w:rsidRPr="009227DA">
        <w:rPr>
          <w:color w:val="000000" w:themeColor="text1"/>
        </w:rPr>
        <w:t xml:space="preserve"> Comparison of relative abundance of antibiotic resistance genes in the BRS and the ancient (Ötzi) and modern (Italian, Hadza and Malawian) comparative IM cohorts. </w:t>
      </w:r>
      <w:r w:rsidRPr="009227DA">
        <w:rPr>
          <w:color w:val="000000" w:themeColor="text1"/>
        </w:rPr>
        <w:tab/>
      </w:r>
    </w:p>
    <w:p w:rsidR="00586366" w:rsidRPr="009227DA" w:rsidRDefault="00586366" w:rsidP="00586366">
      <w:pPr>
        <w:spacing w:line="276" w:lineRule="auto"/>
        <w:rPr>
          <w:color w:val="000000" w:themeColor="text1"/>
        </w:rPr>
      </w:pPr>
    </w:p>
    <w:p w:rsidR="00586366" w:rsidRDefault="00586366" w:rsidP="00586366">
      <w:pPr>
        <w:spacing w:line="276" w:lineRule="auto"/>
        <w:rPr>
          <w:color w:val="000000" w:themeColor="text1"/>
        </w:rPr>
      </w:pPr>
      <w:r w:rsidRPr="009227DA">
        <w:rPr>
          <w:b/>
          <w:color w:val="000000" w:themeColor="text1"/>
        </w:rPr>
        <w:t>Table S1</w:t>
      </w:r>
      <w:r>
        <w:rPr>
          <w:b/>
          <w:color w:val="000000" w:themeColor="text1"/>
        </w:rPr>
        <w:t>1</w:t>
      </w:r>
      <w:r w:rsidRPr="009227DA">
        <w:rPr>
          <w:b/>
          <w:color w:val="000000" w:themeColor="text1"/>
        </w:rPr>
        <w:t>.</w:t>
      </w:r>
      <w:r w:rsidRPr="009227DA">
        <w:rPr>
          <w:color w:val="000000" w:themeColor="text1"/>
        </w:rPr>
        <w:t xml:space="preserve"> Raw and filtered high-quality sequence read counts as related to the BRS and the ancient (Ötzi) and modern (Italian, Hadza and Malawian) comparative IM datasets.</w:t>
      </w:r>
    </w:p>
    <w:p w:rsidR="00586366" w:rsidRPr="009227DA" w:rsidRDefault="00586366" w:rsidP="00586366">
      <w:pPr>
        <w:spacing w:line="276" w:lineRule="auto"/>
        <w:rPr>
          <w:color w:val="000000" w:themeColor="text1"/>
        </w:rPr>
      </w:pPr>
    </w:p>
    <w:p w:rsidR="00586366" w:rsidRPr="00D209E8" w:rsidRDefault="00586366" w:rsidP="00586366">
      <w:pPr>
        <w:spacing w:line="276" w:lineRule="auto"/>
        <w:rPr>
          <w:color w:val="0070C0"/>
        </w:rPr>
      </w:pPr>
      <w:r w:rsidRPr="009227DA">
        <w:rPr>
          <w:b/>
          <w:color w:val="000000" w:themeColor="text1"/>
        </w:rPr>
        <w:t>Table S1</w:t>
      </w:r>
      <w:r>
        <w:rPr>
          <w:b/>
          <w:color w:val="000000" w:themeColor="text1"/>
        </w:rPr>
        <w:t>2</w:t>
      </w:r>
      <w:r w:rsidRPr="009227DA">
        <w:rPr>
          <w:b/>
          <w:color w:val="000000" w:themeColor="text1"/>
        </w:rPr>
        <w:t>.</w:t>
      </w:r>
      <w:r w:rsidRPr="009227DA">
        <w:rPr>
          <w:color w:val="000000" w:themeColor="text1"/>
        </w:rPr>
        <w:t xml:space="preserve"> Information concerning the comparative NCBI genomes used during this study.</w:t>
      </w:r>
      <w:r w:rsidRPr="009227DA">
        <w:rPr>
          <w:color w:val="0070C0"/>
        </w:rPr>
        <w:tab/>
      </w:r>
      <w:r w:rsidRPr="009227DA">
        <w:rPr>
          <w:color w:val="0070C0"/>
        </w:rPr>
        <w:tab/>
      </w:r>
    </w:p>
    <w:p w:rsidR="002424CD" w:rsidRDefault="002424CD"/>
    <w:sectPr w:rsidR="002424CD" w:rsidSect="008F005B">
      <w:pgSz w:w="11906" w:h="16838" w:code="9"/>
      <w:pgMar w:top="1440" w:right="1304" w:bottom="1440" w:left="130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366"/>
    <w:rsid w:val="002424CD"/>
    <w:rsid w:val="00586366"/>
    <w:rsid w:val="008F005B"/>
    <w:rsid w:val="00FE39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636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5863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636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5863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2.wdp"/><Relationship Id="rId13" Type="http://schemas.microsoft.com/office/2007/relationships/hdphoto" Target="media/hdphoto4.wdp"/><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4.png"/><Relationship Id="rId17" Type="http://schemas.openxmlformats.org/officeDocument/2006/relationships/chart" Target="charts/chart2.xml"/><Relationship Id="rId2" Type="http://schemas.microsoft.com/office/2007/relationships/stylesWithEffects" Target="stylesWithEffects.xml"/><Relationship Id="rId16" Type="http://schemas.openxmlformats.org/officeDocument/2006/relationships/image" Target="media/image6.tiff"/><Relationship Id="rId20" Type="http://schemas.openxmlformats.org/officeDocument/2006/relationships/fontTable" Target="fontTable.xml"/><Relationship Id="rId1" Type="http://schemas.openxmlformats.org/officeDocument/2006/relationships/styles" Target="styles.xml"/><Relationship Id="rId6" Type="http://schemas.microsoft.com/office/2007/relationships/hdphoto" Target="media/hdphoto1.wdp"/><Relationship Id="rId11" Type="http://schemas.openxmlformats.org/officeDocument/2006/relationships/chart" Target="charts/chart1.xml"/><Relationship Id="rId5" Type="http://schemas.openxmlformats.org/officeDocument/2006/relationships/image" Target="media/image1.png"/><Relationship Id="rId15" Type="http://schemas.microsoft.com/office/2007/relationships/hdphoto" Target="media/hdphoto5.wdp"/><Relationship Id="rId10" Type="http://schemas.microsoft.com/office/2007/relationships/hdphoto" Target="media/hdphoto3.wdp"/><Relationship Id="rId19" Type="http://schemas.microsoft.com/office/2007/relationships/hdphoto" Target="media/hdphoto6.wdp"/><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iaan\Desktop\REVISED%20BRS%20coprolite%20data%20and%20graph..xls"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163549638105285"/>
          <c:y val="6.2058881495593743E-2"/>
          <c:w val="0.86176094611445286"/>
          <c:h val="0.78782672640057938"/>
        </c:manualLayout>
      </c:layout>
      <c:scatterChart>
        <c:scatterStyle val="lineMarker"/>
        <c:varyColors val="0"/>
        <c:ser>
          <c:idx val="0"/>
          <c:order val="0"/>
          <c:tx>
            <c:v>Untreated</c:v>
          </c:tx>
          <c:spPr>
            <a:ln w="28575">
              <a:noFill/>
            </a:ln>
          </c:spPr>
          <c:marker>
            <c:symbol val="diamond"/>
            <c:size val="10"/>
          </c:marker>
          <c:xVal>
            <c:numRef>
              <c:f>'[REVISED BRS coprolite data and graph..xls]21 Nov 2017'!$G$2:$G$4</c:f>
              <c:numCache>
                <c:formatCode>0.00</c:formatCode>
                <c:ptCount val="3"/>
                <c:pt idx="0">
                  <c:v>-17.927050000000001</c:v>
                </c:pt>
                <c:pt idx="1">
                  <c:v>-17.18431428571429</c:v>
                </c:pt>
                <c:pt idx="2">
                  <c:v>-17.654578571428576</c:v>
                </c:pt>
              </c:numCache>
            </c:numRef>
          </c:xVal>
          <c:yVal>
            <c:numRef>
              <c:f>'[REVISED BRS coprolite data and graph..xls]21 Nov 2017'!$D$2:$D$4</c:f>
              <c:numCache>
                <c:formatCode>0.00</c:formatCode>
                <c:ptCount val="3"/>
                <c:pt idx="0">
                  <c:v>11.279075776776343</c:v>
                </c:pt>
                <c:pt idx="1">
                  <c:v>11.218632910309053</c:v>
                </c:pt>
                <c:pt idx="2">
                  <c:v>11.450012393309859</c:v>
                </c:pt>
              </c:numCache>
            </c:numRef>
          </c:yVal>
          <c:smooth val="0"/>
        </c:ser>
        <c:ser>
          <c:idx val="1"/>
          <c:order val="1"/>
          <c:tx>
            <c:v>Lipid extracted</c:v>
          </c:tx>
          <c:spPr>
            <a:ln w="28575">
              <a:noFill/>
            </a:ln>
          </c:spPr>
          <c:marker>
            <c:symbol val="square"/>
            <c:size val="8"/>
          </c:marker>
          <c:xVal>
            <c:numRef>
              <c:f>'[REVISED BRS coprolite data and graph..xls]21 Nov 2017'!$G$5:$G$7</c:f>
              <c:numCache>
                <c:formatCode>0.00</c:formatCode>
                <c:ptCount val="3"/>
                <c:pt idx="0">
                  <c:v>-17.008842857142859</c:v>
                </c:pt>
                <c:pt idx="1">
                  <c:v>-16.976107142857146</c:v>
                </c:pt>
                <c:pt idx="2">
                  <c:v>-17.269371428571429</c:v>
                </c:pt>
              </c:numCache>
            </c:numRef>
          </c:xVal>
          <c:yVal>
            <c:numRef>
              <c:f>'[REVISED BRS coprolite data and graph..xls]21 Nov 2017'!$D$5:$D$7</c:f>
              <c:numCache>
                <c:formatCode>0.00</c:formatCode>
                <c:ptCount val="3"/>
                <c:pt idx="0">
                  <c:v>10.865791666225126</c:v>
                </c:pt>
                <c:pt idx="1">
                  <c:v>10.984966113863273</c:v>
                </c:pt>
                <c:pt idx="2">
                  <c:v>11.17773285963888</c:v>
                </c:pt>
              </c:numCache>
            </c:numRef>
          </c:yVal>
          <c:smooth val="0"/>
        </c:ser>
        <c:ser>
          <c:idx val="2"/>
          <c:order val="2"/>
          <c:tx>
            <c:v>Acid washed</c:v>
          </c:tx>
          <c:spPr>
            <a:ln w="28575">
              <a:noFill/>
            </a:ln>
          </c:spPr>
          <c:marker>
            <c:symbol val="triangle"/>
            <c:size val="10"/>
          </c:marker>
          <c:xVal>
            <c:numRef>
              <c:f>'[REVISED BRS coprolite data and graph..xls]21 Nov 2017'!$G$8:$G$10</c:f>
              <c:numCache>
                <c:formatCode>0.00</c:formatCode>
                <c:ptCount val="3"/>
                <c:pt idx="0">
                  <c:v>-16.337428571428575</c:v>
                </c:pt>
                <c:pt idx="1">
                  <c:v>-17.634692857142859</c:v>
                </c:pt>
                <c:pt idx="2">
                  <c:v>-16.395957142857146</c:v>
                </c:pt>
              </c:numCache>
            </c:numRef>
          </c:xVal>
          <c:yVal>
            <c:numRef>
              <c:f>'[REVISED BRS coprolite data and graph..xls]21 Nov 2017'!$D$8:$D$10</c:f>
              <c:numCache>
                <c:formatCode>0.00</c:formatCode>
                <c:ptCount val="3"/>
                <c:pt idx="0">
                  <c:v>10.933676034122714</c:v>
                </c:pt>
                <c:pt idx="1">
                  <c:v>10.833257790291681</c:v>
                </c:pt>
                <c:pt idx="2">
                  <c:v>10.919651264318658</c:v>
                </c:pt>
              </c:numCache>
            </c:numRef>
          </c:yVal>
          <c:smooth val="0"/>
        </c:ser>
        <c:ser>
          <c:idx val="3"/>
          <c:order val="3"/>
          <c:tx>
            <c:v>Bulk mean</c:v>
          </c:tx>
          <c:spPr>
            <a:ln w="28575">
              <a:noFill/>
            </a:ln>
          </c:spPr>
          <c:marker>
            <c:symbol val="diamond"/>
            <c:size val="10"/>
            <c:spPr>
              <a:solidFill>
                <a:schemeClr val="tx1"/>
              </a:solidFill>
              <a:ln>
                <a:solidFill>
                  <a:schemeClr val="tx1"/>
                </a:solidFill>
              </a:ln>
            </c:spPr>
          </c:marker>
          <c:xVal>
            <c:numRef>
              <c:f>'[REVISED BRS coprolite data and graph..xls]21 Nov 2017'!$C$16</c:f>
              <c:numCache>
                <c:formatCode>0.00</c:formatCode>
                <c:ptCount val="1"/>
                <c:pt idx="0">
                  <c:v>-17.58864761904762</c:v>
                </c:pt>
              </c:numCache>
            </c:numRef>
          </c:xVal>
          <c:yVal>
            <c:numRef>
              <c:f>'[REVISED BRS coprolite data and graph..xls]21 Nov 2017'!$B$16</c:f>
              <c:numCache>
                <c:formatCode>0.00</c:formatCode>
                <c:ptCount val="1"/>
                <c:pt idx="0">
                  <c:v>11.315907026798419</c:v>
                </c:pt>
              </c:numCache>
            </c:numRef>
          </c:yVal>
          <c:smooth val="0"/>
        </c:ser>
        <c:ser>
          <c:idx val="4"/>
          <c:order val="4"/>
          <c:tx>
            <c:v>Lipid mean</c:v>
          </c:tx>
          <c:spPr>
            <a:ln w="28575">
              <a:noFill/>
            </a:ln>
          </c:spPr>
          <c:marker>
            <c:symbol val="square"/>
            <c:size val="10"/>
            <c:spPr>
              <a:solidFill>
                <a:schemeClr val="tx1"/>
              </a:solidFill>
              <a:ln>
                <a:solidFill>
                  <a:schemeClr val="tx1"/>
                </a:solidFill>
              </a:ln>
            </c:spPr>
          </c:marker>
          <c:xVal>
            <c:numRef>
              <c:f>'[REVISED BRS coprolite data and graph..xls]21 Nov 2017'!$C$17</c:f>
              <c:numCache>
                <c:formatCode>0.00</c:formatCode>
                <c:ptCount val="1"/>
                <c:pt idx="0">
                  <c:v>-17.08477380952381</c:v>
                </c:pt>
              </c:numCache>
            </c:numRef>
          </c:xVal>
          <c:yVal>
            <c:numRef>
              <c:f>'[REVISED BRS coprolite data and graph..xls]21 Nov 2017'!$B$17</c:f>
              <c:numCache>
                <c:formatCode>0.00</c:formatCode>
                <c:ptCount val="1"/>
                <c:pt idx="0">
                  <c:v>11.009496879909094</c:v>
                </c:pt>
              </c:numCache>
            </c:numRef>
          </c:yVal>
          <c:smooth val="0"/>
        </c:ser>
        <c:ser>
          <c:idx val="5"/>
          <c:order val="5"/>
          <c:tx>
            <c:v>Acid mean</c:v>
          </c:tx>
          <c:spPr>
            <a:ln w="28575">
              <a:noFill/>
            </a:ln>
          </c:spPr>
          <c:marker>
            <c:symbol val="triangle"/>
            <c:size val="10"/>
            <c:spPr>
              <a:solidFill>
                <a:schemeClr val="tx1"/>
              </a:solidFill>
              <a:ln>
                <a:solidFill>
                  <a:schemeClr val="tx1"/>
                </a:solidFill>
              </a:ln>
            </c:spPr>
          </c:marker>
          <c:xVal>
            <c:numRef>
              <c:f>'[REVISED BRS coprolite data and graph..xls]21 Nov 2017'!$C$18</c:f>
              <c:numCache>
                <c:formatCode>0.00</c:formatCode>
                <c:ptCount val="1"/>
                <c:pt idx="0">
                  <c:v>-16.789359523809527</c:v>
                </c:pt>
              </c:numCache>
            </c:numRef>
          </c:xVal>
          <c:yVal>
            <c:numRef>
              <c:f>'[REVISED BRS coprolite data and graph..xls]21 Nov 2017'!$B$18</c:f>
              <c:numCache>
                <c:formatCode>0.00</c:formatCode>
                <c:ptCount val="1"/>
                <c:pt idx="0">
                  <c:v>10.895528362911017</c:v>
                </c:pt>
              </c:numCache>
            </c:numRef>
          </c:yVal>
          <c:smooth val="0"/>
        </c:ser>
        <c:dLbls>
          <c:showLegendKey val="0"/>
          <c:showVal val="0"/>
          <c:showCatName val="0"/>
          <c:showSerName val="0"/>
          <c:showPercent val="0"/>
          <c:showBubbleSize val="0"/>
        </c:dLbls>
        <c:axId val="241118592"/>
        <c:axId val="242624384"/>
      </c:scatterChart>
      <c:valAx>
        <c:axId val="241118592"/>
        <c:scaling>
          <c:orientation val="minMax"/>
          <c:max val="-16"/>
        </c:scaling>
        <c:delete val="0"/>
        <c:axPos val="b"/>
        <c:title>
          <c:tx>
            <c:rich>
              <a:bodyPr/>
              <a:lstStyle/>
              <a:p>
                <a:pPr>
                  <a:defRPr/>
                </a:pPr>
                <a:r>
                  <a:rPr lang="el-GR"/>
                  <a:t>δ</a:t>
                </a:r>
                <a:r>
                  <a:rPr lang="el-GR" baseline="30000"/>
                  <a:t>13</a:t>
                </a:r>
                <a:r>
                  <a:rPr lang="en-US"/>
                  <a:t>C</a:t>
                </a:r>
                <a:r>
                  <a:rPr lang="en-US" baseline="-25000"/>
                  <a:t>VPDB</a:t>
                </a:r>
                <a:r>
                  <a:rPr lang="en-US"/>
                  <a:t> (‰)</a:t>
                </a:r>
              </a:p>
            </c:rich>
          </c:tx>
          <c:overlay val="0"/>
        </c:title>
        <c:numFmt formatCode="0.0" sourceLinked="0"/>
        <c:majorTickMark val="out"/>
        <c:min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242624384"/>
        <c:crosses val="autoZero"/>
        <c:crossBetween val="midCat"/>
      </c:valAx>
      <c:valAx>
        <c:axId val="242624384"/>
        <c:scaling>
          <c:orientation val="minMax"/>
        </c:scaling>
        <c:delete val="0"/>
        <c:axPos val="l"/>
        <c:title>
          <c:tx>
            <c:rich>
              <a:bodyPr/>
              <a:lstStyle/>
              <a:p>
                <a:pPr>
                  <a:defRPr/>
                </a:pPr>
                <a:r>
                  <a:rPr lang="el-GR"/>
                  <a:t>δ</a:t>
                </a:r>
                <a:r>
                  <a:rPr lang="el-GR" baseline="30000"/>
                  <a:t>15</a:t>
                </a:r>
                <a:r>
                  <a:rPr lang="en-US"/>
                  <a:t>N</a:t>
                </a:r>
                <a:r>
                  <a:rPr lang="en-US" baseline="-25000"/>
                  <a:t>AIR </a:t>
                </a:r>
                <a:r>
                  <a:rPr lang="en-US"/>
                  <a:t>(‰)</a:t>
                </a:r>
              </a:p>
            </c:rich>
          </c:tx>
          <c:layout>
            <c:manualLayout>
              <c:xMode val="edge"/>
              <c:yMode val="edge"/>
              <c:x val="3.894276253758201E-3"/>
              <c:y val="0.33488916967206944"/>
            </c:manualLayout>
          </c:layout>
          <c:overlay val="0"/>
        </c:title>
        <c:numFmt formatCode="0.0" sourceLinked="0"/>
        <c:majorTickMark val="out"/>
        <c:minorTickMark val="none"/>
        <c:tickLblPos val="nextTo"/>
        <c:txPr>
          <a:bodyPr/>
          <a:lstStyle/>
          <a:p>
            <a:pPr>
              <a:defRPr sz="800"/>
            </a:pPr>
            <a:endParaRPr lang="en-US"/>
          </a:p>
        </c:txPr>
        <c:crossAx val="241118592"/>
        <c:crossesAt val="-25"/>
        <c:crossBetween val="midCat"/>
      </c:valAx>
    </c:plotArea>
    <c:legend>
      <c:legendPos val="r"/>
      <c:legendEntry>
        <c:idx val="3"/>
        <c:delete val="1"/>
      </c:legendEntry>
      <c:legendEntry>
        <c:idx val="4"/>
        <c:delete val="1"/>
      </c:legendEntry>
      <c:legendEntry>
        <c:idx val="5"/>
        <c:delete val="1"/>
      </c:legendEntry>
      <c:layout>
        <c:manualLayout>
          <c:xMode val="edge"/>
          <c:yMode val="edge"/>
          <c:x val="0.80500487273851817"/>
          <c:y val="0.31272243466909888"/>
          <c:w val="0.17465720458010731"/>
          <c:h val="0.23046847428484454"/>
        </c:manualLayout>
      </c:layout>
      <c:overlay val="0"/>
      <c:txPr>
        <a:bodyPr/>
        <a:lstStyle/>
        <a:p>
          <a:pPr>
            <a:defRPr sz="800" i="1"/>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49363096808353"/>
          <c:y val="4.3843516620364731E-2"/>
          <c:w val="0.85135912948844461"/>
          <c:h val="0.66497538079039442"/>
        </c:manualLayout>
      </c:layout>
      <c:barChart>
        <c:barDir val="col"/>
        <c:grouping val="clustered"/>
        <c:varyColors val="0"/>
        <c:ser>
          <c:idx val="0"/>
          <c:order val="0"/>
          <c:tx>
            <c:strRef>
              <c:f>Sheet1!$A$2</c:f>
              <c:strCache>
                <c:ptCount val="1"/>
                <c:pt idx="0">
                  <c:v>Methanobrevibacter</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Sheet1!$B$2:$G$2</c:f>
              <c:numCache>
                <c:formatCode>General</c:formatCode>
                <c:ptCount val="6"/>
                <c:pt idx="0">
                  <c:v>19</c:v>
                </c:pt>
                <c:pt idx="1">
                  <c:v>7</c:v>
                </c:pt>
                <c:pt idx="2">
                  <c:v>1952</c:v>
                </c:pt>
                <c:pt idx="3">
                  <c:v>1109</c:v>
                </c:pt>
                <c:pt idx="4">
                  <c:v>29147</c:v>
                </c:pt>
                <c:pt idx="5">
                  <c:v>69</c:v>
                </c:pt>
              </c:numCache>
            </c:numRef>
          </c:val>
        </c:ser>
        <c:ser>
          <c:idx val="1"/>
          <c:order val="1"/>
          <c:tx>
            <c:strRef>
              <c:f>Sheet1!$A$3</c:f>
              <c:strCache>
                <c:ptCount val="1"/>
                <c:pt idx="0">
                  <c:v>Cellulomonas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Sheet1!$B$3:$G$3</c:f>
              <c:numCache>
                <c:formatCode>General</c:formatCode>
                <c:ptCount val="6"/>
                <c:pt idx="0">
                  <c:v>0</c:v>
                </c:pt>
                <c:pt idx="1">
                  <c:v>65</c:v>
                </c:pt>
                <c:pt idx="2">
                  <c:v>3445</c:v>
                </c:pt>
                <c:pt idx="3">
                  <c:v>1626</c:v>
                </c:pt>
                <c:pt idx="4">
                  <c:v>54666</c:v>
                </c:pt>
                <c:pt idx="5">
                  <c:v>143</c:v>
                </c:pt>
              </c:numCache>
            </c:numRef>
          </c:val>
        </c:ser>
        <c:ser>
          <c:idx val="2"/>
          <c:order val="2"/>
          <c:tx>
            <c:strRef>
              <c:f>Sheet1!$A$4</c:f>
              <c:strCache>
                <c:ptCount val="1"/>
                <c:pt idx="0">
                  <c:v>Slackia</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Sheet1!$B$4:$G$4</c:f>
              <c:numCache>
                <c:formatCode>General</c:formatCode>
                <c:ptCount val="6"/>
                <c:pt idx="0">
                  <c:v>0</c:v>
                </c:pt>
                <c:pt idx="1">
                  <c:v>5</c:v>
                </c:pt>
                <c:pt idx="2">
                  <c:v>89</c:v>
                </c:pt>
                <c:pt idx="3">
                  <c:v>29</c:v>
                </c:pt>
                <c:pt idx="4">
                  <c:v>1343</c:v>
                </c:pt>
                <c:pt idx="5">
                  <c:v>8</c:v>
                </c:pt>
              </c:numCache>
            </c:numRef>
          </c:val>
        </c:ser>
        <c:ser>
          <c:idx val="3"/>
          <c:order val="3"/>
          <c:tx>
            <c:strRef>
              <c:f>Sheet1!$A$5</c:f>
              <c:strCache>
                <c:ptCount val="1"/>
                <c:pt idx="0">
                  <c:v>Alistipes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Sheet1!$B$5:$G$5</c:f>
              <c:numCache>
                <c:formatCode>General</c:formatCode>
                <c:ptCount val="6"/>
                <c:pt idx="0">
                  <c:v>2</c:v>
                </c:pt>
                <c:pt idx="1">
                  <c:v>4</c:v>
                </c:pt>
                <c:pt idx="2">
                  <c:v>139</c:v>
                </c:pt>
                <c:pt idx="3">
                  <c:v>46</c:v>
                </c:pt>
                <c:pt idx="4">
                  <c:v>1069</c:v>
                </c:pt>
                <c:pt idx="5">
                  <c:v>15</c:v>
                </c:pt>
              </c:numCache>
            </c:numRef>
          </c:val>
        </c:ser>
        <c:ser>
          <c:idx val="4"/>
          <c:order val="4"/>
          <c:tx>
            <c:strRef>
              <c:f>Sheet1!$A$6</c:f>
              <c:strCache>
                <c:ptCount val="1"/>
                <c:pt idx="0">
                  <c:v>Bacteroides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Sheet1!$B$6:$G$6</c:f>
              <c:numCache>
                <c:formatCode>General</c:formatCode>
                <c:ptCount val="6"/>
                <c:pt idx="0">
                  <c:v>5</c:v>
                </c:pt>
                <c:pt idx="1">
                  <c:v>114</c:v>
                </c:pt>
                <c:pt idx="2">
                  <c:v>28316</c:v>
                </c:pt>
                <c:pt idx="3">
                  <c:v>10115</c:v>
                </c:pt>
                <c:pt idx="4">
                  <c:v>115446</c:v>
                </c:pt>
                <c:pt idx="5">
                  <c:v>162</c:v>
                </c:pt>
              </c:numCache>
            </c:numRef>
          </c:val>
        </c:ser>
        <c:ser>
          <c:idx val="5"/>
          <c:order val="5"/>
          <c:tx>
            <c:strRef>
              <c:f>Sheet1!$A$7</c:f>
              <c:strCache>
                <c:ptCount val="1"/>
                <c:pt idx="0">
                  <c:v>Flavobacterium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Sheet1!$B$7:$G$7</c:f>
              <c:numCache>
                <c:formatCode>General</c:formatCode>
                <c:ptCount val="6"/>
                <c:pt idx="0">
                  <c:v>32</c:v>
                </c:pt>
                <c:pt idx="1">
                  <c:v>58</c:v>
                </c:pt>
                <c:pt idx="2">
                  <c:v>6986</c:v>
                </c:pt>
                <c:pt idx="3">
                  <c:v>3125</c:v>
                </c:pt>
                <c:pt idx="4">
                  <c:v>33452</c:v>
                </c:pt>
                <c:pt idx="5">
                  <c:v>72</c:v>
                </c:pt>
              </c:numCache>
            </c:numRef>
          </c:val>
        </c:ser>
        <c:ser>
          <c:idx val="6"/>
          <c:order val="6"/>
          <c:tx>
            <c:strRef>
              <c:f>Sheet1!$A$8</c:f>
              <c:strCache>
                <c:ptCount val="1"/>
                <c:pt idx="0">
                  <c:v>Pedobacter</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Sheet1!$B$8:$G$8</c:f>
              <c:numCache>
                <c:formatCode>General</c:formatCode>
                <c:ptCount val="6"/>
                <c:pt idx="0">
                  <c:v>1</c:v>
                </c:pt>
                <c:pt idx="1">
                  <c:v>23</c:v>
                </c:pt>
                <c:pt idx="2">
                  <c:v>1656</c:v>
                </c:pt>
                <c:pt idx="3">
                  <c:v>715</c:v>
                </c:pt>
                <c:pt idx="4">
                  <c:v>9663</c:v>
                </c:pt>
                <c:pt idx="5">
                  <c:v>19</c:v>
                </c:pt>
              </c:numCache>
            </c:numRef>
          </c:val>
        </c:ser>
        <c:ser>
          <c:idx val="7"/>
          <c:order val="7"/>
          <c:tx>
            <c:strRef>
              <c:f>Sheet1!$A$9</c:f>
              <c:strCache>
                <c:ptCount val="1"/>
                <c:pt idx="0">
                  <c:v>Prevotella</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Sheet1!$B$9:$G$9</c:f>
              <c:numCache>
                <c:formatCode>General</c:formatCode>
                <c:ptCount val="6"/>
                <c:pt idx="0">
                  <c:v>17</c:v>
                </c:pt>
                <c:pt idx="1">
                  <c:v>48</c:v>
                </c:pt>
                <c:pt idx="2">
                  <c:v>418</c:v>
                </c:pt>
                <c:pt idx="3">
                  <c:v>184</c:v>
                </c:pt>
                <c:pt idx="4">
                  <c:v>3712</c:v>
                </c:pt>
                <c:pt idx="5">
                  <c:v>43</c:v>
                </c:pt>
              </c:numCache>
            </c:numRef>
          </c:val>
        </c:ser>
        <c:ser>
          <c:idx val="8"/>
          <c:order val="8"/>
          <c:tx>
            <c:strRef>
              <c:f>Sheet1!$A$10</c:f>
              <c:strCache>
                <c:ptCount val="1"/>
                <c:pt idx="0">
                  <c:v>Blautia</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Sheet1!$B$10:$G$10</c:f>
              <c:numCache>
                <c:formatCode>General</c:formatCode>
                <c:ptCount val="6"/>
                <c:pt idx="0">
                  <c:v>15</c:v>
                </c:pt>
                <c:pt idx="1">
                  <c:v>72</c:v>
                </c:pt>
                <c:pt idx="2">
                  <c:v>276</c:v>
                </c:pt>
                <c:pt idx="3">
                  <c:v>124</c:v>
                </c:pt>
                <c:pt idx="4">
                  <c:v>3640</c:v>
                </c:pt>
                <c:pt idx="5">
                  <c:v>111</c:v>
                </c:pt>
              </c:numCache>
            </c:numRef>
          </c:val>
        </c:ser>
        <c:ser>
          <c:idx val="9"/>
          <c:order val="9"/>
          <c:tx>
            <c:strRef>
              <c:f>Sheet1!$A$11</c:f>
              <c:strCache>
                <c:ptCount val="1"/>
                <c:pt idx="0">
                  <c:v>Butyrivibrio</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Sheet1!$B$11:$G$11</c:f>
              <c:numCache>
                <c:formatCode>General</c:formatCode>
                <c:ptCount val="6"/>
                <c:pt idx="0">
                  <c:v>0</c:v>
                </c:pt>
                <c:pt idx="1">
                  <c:v>8</c:v>
                </c:pt>
                <c:pt idx="2">
                  <c:v>325</c:v>
                </c:pt>
                <c:pt idx="3">
                  <c:v>127</c:v>
                </c:pt>
                <c:pt idx="4">
                  <c:v>3082</c:v>
                </c:pt>
                <c:pt idx="5">
                  <c:v>6</c:v>
                </c:pt>
              </c:numCache>
            </c:numRef>
          </c:val>
        </c:ser>
        <c:ser>
          <c:idx val="10"/>
          <c:order val="10"/>
          <c:tx>
            <c:strRef>
              <c:f>Sheet1!$A$12</c:f>
              <c:strCache>
                <c:ptCount val="1"/>
                <c:pt idx="0">
                  <c:v>Clostridium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Sheet1!$B$12:$G$12</c:f>
              <c:numCache>
                <c:formatCode>General</c:formatCode>
                <c:ptCount val="6"/>
                <c:pt idx="0">
                  <c:v>4</c:v>
                </c:pt>
                <c:pt idx="1">
                  <c:v>148</c:v>
                </c:pt>
                <c:pt idx="2">
                  <c:v>2671</c:v>
                </c:pt>
                <c:pt idx="3">
                  <c:v>1304</c:v>
                </c:pt>
                <c:pt idx="4">
                  <c:v>29948</c:v>
                </c:pt>
                <c:pt idx="5">
                  <c:v>135</c:v>
                </c:pt>
              </c:numCache>
            </c:numRef>
          </c:val>
        </c:ser>
        <c:ser>
          <c:idx val="11"/>
          <c:order val="11"/>
          <c:tx>
            <c:strRef>
              <c:f>Sheet1!$A$13</c:f>
              <c:strCache>
                <c:ptCount val="1"/>
                <c:pt idx="0">
                  <c:v>Enterococcus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Sheet1!$B$13:$G$13</c:f>
              <c:numCache>
                <c:formatCode>General</c:formatCode>
                <c:ptCount val="6"/>
                <c:pt idx="0">
                  <c:v>1</c:v>
                </c:pt>
                <c:pt idx="1">
                  <c:v>156</c:v>
                </c:pt>
                <c:pt idx="2">
                  <c:v>553</c:v>
                </c:pt>
                <c:pt idx="3">
                  <c:v>298</c:v>
                </c:pt>
                <c:pt idx="4">
                  <c:v>7427</c:v>
                </c:pt>
                <c:pt idx="5">
                  <c:v>20</c:v>
                </c:pt>
              </c:numCache>
            </c:numRef>
          </c:val>
        </c:ser>
        <c:ser>
          <c:idx val="12"/>
          <c:order val="12"/>
          <c:tx>
            <c:strRef>
              <c:f>Sheet1!$A$14</c:f>
              <c:strCache>
                <c:ptCount val="1"/>
                <c:pt idx="0">
                  <c:v>Eubacterium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Sheet1!$B$14:$G$14</c:f>
              <c:numCache>
                <c:formatCode>General</c:formatCode>
                <c:ptCount val="6"/>
                <c:pt idx="0">
                  <c:v>0</c:v>
                </c:pt>
                <c:pt idx="1">
                  <c:v>40</c:v>
                </c:pt>
                <c:pt idx="2">
                  <c:v>697</c:v>
                </c:pt>
                <c:pt idx="3">
                  <c:v>296</c:v>
                </c:pt>
                <c:pt idx="4">
                  <c:v>9029</c:v>
                </c:pt>
                <c:pt idx="5">
                  <c:v>51</c:v>
                </c:pt>
              </c:numCache>
            </c:numRef>
          </c:val>
        </c:ser>
        <c:ser>
          <c:idx val="13"/>
          <c:order val="13"/>
          <c:tx>
            <c:strRef>
              <c:f>Sheet1!$A$15</c:f>
              <c:strCache>
                <c:ptCount val="1"/>
                <c:pt idx="0">
                  <c:v>Lactobacillus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Sheet1!$B$15:$G$15</c:f>
              <c:numCache>
                <c:formatCode>General</c:formatCode>
                <c:ptCount val="6"/>
                <c:pt idx="0">
                  <c:v>0</c:v>
                </c:pt>
                <c:pt idx="1">
                  <c:v>143</c:v>
                </c:pt>
                <c:pt idx="2">
                  <c:v>0</c:v>
                </c:pt>
                <c:pt idx="3">
                  <c:v>259</c:v>
                </c:pt>
                <c:pt idx="4">
                  <c:v>6728</c:v>
                </c:pt>
                <c:pt idx="5">
                  <c:v>14</c:v>
                </c:pt>
              </c:numCache>
            </c:numRef>
          </c:val>
        </c:ser>
        <c:ser>
          <c:idx val="14"/>
          <c:order val="14"/>
          <c:tx>
            <c:strRef>
              <c:f>Sheet1!$A$16</c:f>
              <c:strCache>
                <c:ptCount val="1"/>
                <c:pt idx="0">
                  <c:v>Lactococcus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Sheet1!$B$16:$G$16</c:f>
              <c:numCache>
                <c:formatCode>General</c:formatCode>
                <c:ptCount val="6"/>
                <c:pt idx="0">
                  <c:v>12</c:v>
                </c:pt>
                <c:pt idx="1">
                  <c:v>118</c:v>
                </c:pt>
                <c:pt idx="2">
                  <c:v>595</c:v>
                </c:pt>
                <c:pt idx="3">
                  <c:v>361</c:v>
                </c:pt>
                <c:pt idx="4">
                  <c:v>6219</c:v>
                </c:pt>
                <c:pt idx="5">
                  <c:v>14</c:v>
                </c:pt>
              </c:numCache>
            </c:numRef>
          </c:val>
        </c:ser>
        <c:ser>
          <c:idx val="15"/>
          <c:order val="15"/>
          <c:tx>
            <c:strRef>
              <c:f>Sheet1!$A$17</c:f>
              <c:strCache>
                <c:ptCount val="1"/>
                <c:pt idx="0">
                  <c:v>Mogibacterium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Sheet1!$B$17:$G$17</c:f>
              <c:numCache>
                <c:formatCode>General</c:formatCode>
                <c:ptCount val="6"/>
                <c:pt idx="0">
                  <c:v>0</c:v>
                </c:pt>
                <c:pt idx="1">
                  <c:v>7</c:v>
                </c:pt>
                <c:pt idx="2">
                  <c:v>176</c:v>
                </c:pt>
                <c:pt idx="3">
                  <c:v>76</c:v>
                </c:pt>
                <c:pt idx="4">
                  <c:v>2116</c:v>
                </c:pt>
                <c:pt idx="5">
                  <c:v>5</c:v>
                </c:pt>
              </c:numCache>
            </c:numRef>
          </c:val>
        </c:ser>
        <c:ser>
          <c:idx val="16"/>
          <c:order val="16"/>
          <c:tx>
            <c:strRef>
              <c:f>Sheet1!$A$18</c:f>
              <c:strCache>
                <c:ptCount val="1"/>
                <c:pt idx="0">
                  <c:v>Oribacterium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Sheet1!$B$18:$G$18</c:f>
              <c:numCache>
                <c:formatCode>General</c:formatCode>
                <c:ptCount val="6"/>
                <c:pt idx="0">
                  <c:v>1</c:v>
                </c:pt>
                <c:pt idx="1">
                  <c:v>12</c:v>
                </c:pt>
                <c:pt idx="2">
                  <c:v>170</c:v>
                </c:pt>
                <c:pt idx="3">
                  <c:v>72</c:v>
                </c:pt>
                <c:pt idx="4">
                  <c:v>2018</c:v>
                </c:pt>
                <c:pt idx="5">
                  <c:v>2</c:v>
                </c:pt>
              </c:numCache>
            </c:numRef>
          </c:val>
        </c:ser>
        <c:ser>
          <c:idx val="17"/>
          <c:order val="17"/>
          <c:tx>
            <c:strRef>
              <c:f>Sheet1!$A$19</c:f>
              <c:strCache>
                <c:ptCount val="1"/>
                <c:pt idx="0">
                  <c:v>Oscillibacter</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Sheet1!$B$19:$G$19</c:f>
              <c:numCache>
                <c:formatCode>General</c:formatCode>
                <c:ptCount val="6"/>
                <c:pt idx="0">
                  <c:v>0</c:v>
                </c:pt>
                <c:pt idx="1">
                  <c:v>7</c:v>
                </c:pt>
                <c:pt idx="2">
                  <c:v>165</c:v>
                </c:pt>
                <c:pt idx="3">
                  <c:v>91</c:v>
                </c:pt>
                <c:pt idx="4">
                  <c:v>1787</c:v>
                </c:pt>
                <c:pt idx="5">
                  <c:v>12</c:v>
                </c:pt>
              </c:numCache>
            </c:numRef>
          </c:val>
        </c:ser>
        <c:ser>
          <c:idx val="18"/>
          <c:order val="18"/>
          <c:tx>
            <c:strRef>
              <c:f>Sheet1!$A$20</c:f>
              <c:strCache>
                <c:ptCount val="1"/>
                <c:pt idx="0">
                  <c:v>Ruminococcus</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Sheet1!$B$20:$G$20</c:f>
              <c:numCache>
                <c:formatCode>General</c:formatCode>
                <c:ptCount val="6"/>
                <c:pt idx="0">
                  <c:v>18</c:v>
                </c:pt>
                <c:pt idx="1">
                  <c:v>42</c:v>
                </c:pt>
                <c:pt idx="2">
                  <c:v>1119</c:v>
                </c:pt>
                <c:pt idx="3">
                  <c:v>464</c:v>
                </c:pt>
                <c:pt idx="4">
                  <c:v>9229</c:v>
                </c:pt>
                <c:pt idx="5">
                  <c:v>100</c:v>
                </c:pt>
              </c:numCache>
            </c:numRef>
          </c:val>
        </c:ser>
        <c:ser>
          <c:idx val="19"/>
          <c:order val="19"/>
          <c:tx>
            <c:strRef>
              <c:f>Sheet1!$A$21</c:f>
              <c:strCache>
                <c:ptCount val="1"/>
                <c:pt idx="0">
                  <c:v>Sarcina</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Sheet1!$B$21:$G$21</c:f>
              <c:numCache>
                <c:formatCode>General</c:formatCode>
                <c:ptCount val="6"/>
                <c:pt idx="0">
                  <c:v>0</c:v>
                </c:pt>
                <c:pt idx="1">
                  <c:v>3</c:v>
                </c:pt>
                <c:pt idx="2">
                  <c:v>508</c:v>
                </c:pt>
                <c:pt idx="3">
                  <c:v>202</c:v>
                </c:pt>
                <c:pt idx="4">
                  <c:v>327</c:v>
                </c:pt>
                <c:pt idx="5">
                  <c:v>2</c:v>
                </c:pt>
              </c:numCache>
            </c:numRef>
          </c:val>
        </c:ser>
        <c:ser>
          <c:idx val="20"/>
          <c:order val="20"/>
          <c:tx>
            <c:strRef>
              <c:f>Sheet1!$A$22</c:f>
              <c:strCache>
                <c:ptCount val="1"/>
                <c:pt idx="0">
                  <c:v>Enterobacter</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Sheet1!$B$22:$G$22</c:f>
              <c:numCache>
                <c:formatCode>General</c:formatCode>
                <c:ptCount val="6"/>
                <c:pt idx="0">
                  <c:v>0</c:v>
                </c:pt>
                <c:pt idx="1">
                  <c:v>145</c:v>
                </c:pt>
                <c:pt idx="2">
                  <c:v>41220</c:v>
                </c:pt>
                <c:pt idx="3">
                  <c:v>14798</c:v>
                </c:pt>
                <c:pt idx="4">
                  <c:v>181051</c:v>
                </c:pt>
                <c:pt idx="5">
                  <c:v>205</c:v>
                </c:pt>
              </c:numCache>
            </c:numRef>
          </c:val>
        </c:ser>
        <c:ser>
          <c:idx val="21"/>
          <c:order val="21"/>
          <c:tx>
            <c:strRef>
              <c:f>Sheet1!$A$23</c:f>
              <c:strCache>
                <c:ptCount val="1"/>
                <c:pt idx="0">
                  <c:v>Klebsiella</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Sheet1!$B$23:$G$23</c:f>
              <c:numCache>
                <c:formatCode>General</c:formatCode>
                <c:ptCount val="6"/>
                <c:pt idx="0">
                  <c:v>14</c:v>
                </c:pt>
                <c:pt idx="1">
                  <c:v>21</c:v>
                </c:pt>
                <c:pt idx="2">
                  <c:v>3485</c:v>
                </c:pt>
                <c:pt idx="3">
                  <c:v>1217</c:v>
                </c:pt>
                <c:pt idx="4">
                  <c:v>15633</c:v>
                </c:pt>
                <c:pt idx="5">
                  <c:v>72</c:v>
                </c:pt>
              </c:numCache>
            </c:numRef>
          </c:val>
        </c:ser>
        <c:ser>
          <c:idx val="22"/>
          <c:order val="22"/>
          <c:tx>
            <c:strRef>
              <c:f>Sheet1!$A$24</c:f>
              <c:strCache>
                <c:ptCount val="1"/>
                <c:pt idx="0">
                  <c:v>Sphingobium</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Sheet1!$B$24:$G$24</c:f>
              <c:numCache>
                <c:formatCode>General</c:formatCode>
                <c:ptCount val="6"/>
                <c:pt idx="0">
                  <c:v>0</c:v>
                </c:pt>
                <c:pt idx="1">
                  <c:v>36</c:v>
                </c:pt>
                <c:pt idx="2">
                  <c:v>1023</c:v>
                </c:pt>
                <c:pt idx="3">
                  <c:v>458</c:v>
                </c:pt>
                <c:pt idx="4">
                  <c:v>8330</c:v>
                </c:pt>
                <c:pt idx="5">
                  <c:v>84</c:v>
                </c:pt>
              </c:numCache>
            </c:numRef>
          </c:val>
        </c:ser>
        <c:ser>
          <c:idx val="23"/>
          <c:order val="23"/>
          <c:tx>
            <c:strRef>
              <c:f>Sheet1!$A$25</c:f>
              <c:strCache>
                <c:ptCount val="1"/>
                <c:pt idx="0">
                  <c:v>Variovorax</c:v>
                </c:pt>
              </c:strCache>
            </c:strRef>
          </c:tx>
          <c:invertIfNegative val="0"/>
          <c:cat>
            <c:strRef>
              <c:f>Sheet1!$B$1:$G$1</c:f>
              <c:strCache>
                <c:ptCount val="6"/>
                <c:pt idx="0">
                  <c:v>E-LPC</c:v>
                </c:pt>
                <c:pt idx="1">
                  <c:v>BRS1</c:v>
                </c:pt>
                <c:pt idx="2">
                  <c:v>BRS2</c:v>
                </c:pt>
                <c:pt idx="3">
                  <c:v>BRS3</c:v>
                </c:pt>
                <c:pt idx="4">
                  <c:v>BRS4</c:v>
                </c:pt>
                <c:pt idx="5">
                  <c:v>BRS5</c:v>
                </c:pt>
              </c:strCache>
            </c:strRef>
          </c:cat>
          <c:val>
            <c:numRef>
              <c:f>Sheet1!$B$25:$G$25</c:f>
              <c:numCache>
                <c:formatCode>General</c:formatCode>
                <c:ptCount val="6"/>
                <c:pt idx="0">
                  <c:v>0</c:v>
                </c:pt>
                <c:pt idx="1">
                  <c:v>112</c:v>
                </c:pt>
                <c:pt idx="2">
                  <c:v>2099</c:v>
                </c:pt>
                <c:pt idx="3">
                  <c:v>878</c:v>
                </c:pt>
                <c:pt idx="4">
                  <c:v>16970</c:v>
                </c:pt>
                <c:pt idx="5">
                  <c:v>315</c:v>
                </c:pt>
              </c:numCache>
            </c:numRef>
          </c:val>
        </c:ser>
        <c:dLbls>
          <c:showLegendKey val="0"/>
          <c:showVal val="0"/>
          <c:showCatName val="0"/>
          <c:showSerName val="0"/>
          <c:showPercent val="0"/>
          <c:showBubbleSize val="0"/>
        </c:dLbls>
        <c:gapWidth val="180"/>
        <c:overlap val="-20"/>
        <c:axId val="258385792"/>
        <c:axId val="258387328"/>
      </c:barChart>
      <c:catAx>
        <c:axId val="258385792"/>
        <c:scaling>
          <c:orientation val="minMax"/>
        </c:scaling>
        <c:delete val="0"/>
        <c:axPos val="b"/>
        <c:majorGridlines>
          <c:spPr>
            <a:ln>
              <a:solidFill>
                <a:schemeClr val="tx1"/>
              </a:solidFill>
            </a:ln>
          </c:spPr>
        </c:majorGridlines>
        <c:majorTickMark val="out"/>
        <c:minorTickMark val="none"/>
        <c:tickLblPos val="nextTo"/>
        <c:txPr>
          <a:bodyPr/>
          <a:lstStyle/>
          <a:p>
            <a:pPr>
              <a:defRPr b="1"/>
            </a:pPr>
            <a:endParaRPr lang="en-US"/>
          </a:p>
        </c:txPr>
        <c:crossAx val="258387328"/>
        <c:crosses val="autoZero"/>
        <c:auto val="1"/>
        <c:lblAlgn val="ctr"/>
        <c:lblOffset val="100"/>
        <c:noMultiLvlLbl val="0"/>
      </c:catAx>
      <c:valAx>
        <c:axId val="258387328"/>
        <c:scaling>
          <c:orientation val="minMax"/>
        </c:scaling>
        <c:delete val="0"/>
        <c:axPos val="l"/>
        <c:majorGridlines/>
        <c:title>
          <c:tx>
            <c:rich>
              <a:bodyPr rot="-5400000" vert="horz"/>
              <a:lstStyle/>
              <a:p>
                <a:pPr>
                  <a:defRPr/>
                </a:pPr>
                <a:r>
                  <a:rPr lang="en-GB"/>
                  <a:t>Number of DNA sequence reads</a:t>
                </a:r>
              </a:p>
            </c:rich>
          </c:tx>
          <c:layout>
            <c:manualLayout>
              <c:xMode val="edge"/>
              <c:yMode val="edge"/>
              <c:x val="1.1162375547852521E-2"/>
              <c:y val="0.15268680764724912"/>
            </c:manualLayout>
          </c:layout>
          <c:overlay val="0"/>
        </c:title>
        <c:numFmt formatCode="General" sourceLinked="1"/>
        <c:majorTickMark val="out"/>
        <c:minorTickMark val="none"/>
        <c:tickLblPos val="nextTo"/>
        <c:crossAx val="258385792"/>
        <c:crosses val="autoZero"/>
        <c:crossBetween val="between"/>
      </c:valAx>
    </c:plotArea>
    <c:legend>
      <c:legendPos val="b"/>
      <c:layout>
        <c:manualLayout>
          <c:xMode val="edge"/>
          <c:yMode val="edge"/>
          <c:x val="6.0329630173598804E-2"/>
          <c:y val="0.80108313817330223"/>
          <c:w val="0.92541403301710479"/>
          <c:h val="0.18338288441089939"/>
        </c:manualLayout>
      </c:layout>
      <c:overlay val="0"/>
      <c:txPr>
        <a:bodyPr/>
        <a:lstStyle/>
        <a:p>
          <a:pPr>
            <a:defRPr sz="600" i="1"/>
          </a:pPr>
          <a:endParaRPr lang="en-US"/>
        </a:p>
      </c:txPr>
    </c:legend>
    <c:plotVisOnly val="1"/>
    <c:dispBlanksAs val="gap"/>
    <c:showDLblsOverMax val="0"/>
  </c:chart>
  <c:txPr>
    <a:bodyPr/>
    <a:lstStyle/>
    <a:p>
      <a:pPr>
        <a:defRPr sz="800"/>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10</Pages>
  <Words>1192</Words>
  <Characters>6800</Characters>
  <Application>Microsoft Office Word</Application>
  <DocSecurity>0</DocSecurity>
  <Lines>56</Lines>
  <Paragraphs>15</Paragraphs>
  <ScaleCrop>false</ScaleCrop>
  <Company/>
  <LinksUpToDate>false</LinksUpToDate>
  <CharactersWithSpaces>7977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Riaan</dc:creator>
  <cp:lastModifiedBy>Riaan</cp:lastModifiedBy>
  <cp:revision>3</cp:revision>
  <dcterms:created xsi:type="dcterms:W3CDTF">2019-11-21T07:17:00Z</dcterms:created>
  <dcterms:modified xsi:type="dcterms:W3CDTF">2020-01-08T09:54:00Z</dcterms:modified>
</cp:coreProperties>
</file>