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DBD07E" w14:textId="6AE41415" w:rsidR="00C22CC4" w:rsidRPr="0053762A" w:rsidRDefault="00C22CC4" w:rsidP="00C22CC4">
      <w:pPr>
        <w:jc w:val="center"/>
        <w:rPr>
          <w:rFonts w:cs="Times New Roman"/>
          <w:b/>
          <w:bCs/>
          <w:color w:val="222222"/>
          <w:sz w:val="28"/>
          <w:szCs w:val="24"/>
          <w:shd w:val="clear" w:color="auto" w:fill="FFFFFF"/>
        </w:rPr>
      </w:pPr>
      <w:bookmarkStart w:id="0" w:name="_GoBack"/>
      <w:bookmarkEnd w:id="0"/>
      <w:r w:rsidRPr="0053762A">
        <w:rPr>
          <w:rFonts w:cs="Times New Roman"/>
          <w:b/>
          <w:bCs/>
          <w:color w:val="222222"/>
          <w:sz w:val="28"/>
          <w:szCs w:val="24"/>
          <w:shd w:val="clear" w:color="auto" w:fill="FFFFFF"/>
        </w:rPr>
        <w:t>Iron and zinc and other mineral bioaccessibility improvement in African cereal-based porridges by food-to-food fortification</w:t>
      </w:r>
    </w:p>
    <w:p w14:paraId="72A58808" w14:textId="77777777" w:rsidR="009531F3" w:rsidRDefault="009531F3" w:rsidP="00C22CC4">
      <w:pPr>
        <w:tabs>
          <w:tab w:val="left" w:pos="2700"/>
        </w:tabs>
        <w:jc w:val="center"/>
        <w:rPr>
          <w:rFonts w:cs="Times New Roman"/>
          <w:b/>
          <w:bCs/>
          <w:color w:val="222222"/>
          <w:szCs w:val="24"/>
          <w:shd w:val="clear" w:color="auto" w:fill="FFFFFF"/>
          <w:lang w:val="en-ZA"/>
        </w:rPr>
      </w:pPr>
    </w:p>
    <w:p w14:paraId="4C99F8B3" w14:textId="4C0839FD" w:rsidR="00C22CC4" w:rsidRPr="00C22CC4" w:rsidRDefault="00C22CC4" w:rsidP="00C22CC4">
      <w:pPr>
        <w:tabs>
          <w:tab w:val="left" w:pos="2700"/>
        </w:tabs>
        <w:jc w:val="center"/>
        <w:rPr>
          <w:rFonts w:cs="Times New Roman"/>
          <w:b/>
          <w:bCs/>
          <w:color w:val="222222"/>
          <w:szCs w:val="24"/>
          <w:shd w:val="clear" w:color="auto" w:fill="FFFFFF"/>
          <w:lang w:val="en-ZA"/>
        </w:rPr>
      </w:pPr>
      <w:r w:rsidRPr="00C22CC4">
        <w:rPr>
          <w:rFonts w:cs="Times New Roman"/>
          <w:b/>
          <w:bCs/>
          <w:color w:val="222222"/>
          <w:szCs w:val="24"/>
          <w:shd w:val="clear" w:color="auto" w:fill="FFFFFF"/>
          <w:lang w:val="en-ZA"/>
        </w:rPr>
        <w:t>By</w:t>
      </w:r>
    </w:p>
    <w:p w14:paraId="49E6BD86" w14:textId="38581E7F" w:rsidR="00C22CC4" w:rsidRDefault="00C22CC4" w:rsidP="00C22CC4">
      <w:pPr>
        <w:tabs>
          <w:tab w:val="left" w:pos="2700"/>
        </w:tabs>
        <w:jc w:val="center"/>
        <w:rPr>
          <w:rFonts w:cs="Times New Roman"/>
          <w:b/>
          <w:bCs/>
          <w:color w:val="222222"/>
          <w:szCs w:val="24"/>
          <w:shd w:val="clear" w:color="auto" w:fill="FFFFFF"/>
          <w:lang w:val="en-ZA"/>
        </w:rPr>
      </w:pPr>
      <w:r>
        <w:rPr>
          <w:rFonts w:cs="Times New Roman"/>
          <w:b/>
          <w:bCs/>
          <w:color w:val="222222"/>
          <w:szCs w:val="24"/>
          <w:shd w:val="clear" w:color="auto" w:fill="FFFFFF"/>
          <w:lang w:val="en-ZA"/>
        </w:rPr>
        <w:t>Oluyimika Yanmife Adetola</w:t>
      </w:r>
    </w:p>
    <w:p w14:paraId="2796D2D8" w14:textId="77777777" w:rsidR="00C22CC4" w:rsidRPr="00C22CC4" w:rsidRDefault="00C22CC4" w:rsidP="00C22CC4">
      <w:pPr>
        <w:tabs>
          <w:tab w:val="left" w:pos="2700"/>
        </w:tabs>
        <w:jc w:val="center"/>
        <w:rPr>
          <w:rFonts w:cs="Times New Roman"/>
          <w:b/>
          <w:bCs/>
          <w:color w:val="222222"/>
          <w:szCs w:val="24"/>
          <w:shd w:val="clear" w:color="auto" w:fill="FFFFFF"/>
          <w:lang w:val="en-ZA"/>
        </w:rPr>
      </w:pPr>
    </w:p>
    <w:p w14:paraId="340196FF" w14:textId="10FD8057" w:rsidR="00C22CC4" w:rsidRDefault="00C22CC4" w:rsidP="00C22CC4">
      <w:pPr>
        <w:tabs>
          <w:tab w:val="left" w:pos="2700"/>
        </w:tabs>
        <w:jc w:val="center"/>
        <w:rPr>
          <w:rFonts w:cs="Times New Roman"/>
          <w:b/>
          <w:bCs/>
          <w:color w:val="222222"/>
          <w:szCs w:val="24"/>
          <w:shd w:val="clear" w:color="auto" w:fill="FFFFFF"/>
          <w:lang w:val="en-ZA"/>
        </w:rPr>
      </w:pPr>
      <w:r w:rsidRPr="00C22CC4">
        <w:rPr>
          <w:rFonts w:cs="Times New Roman"/>
          <w:b/>
          <w:bCs/>
          <w:color w:val="222222"/>
          <w:szCs w:val="24"/>
          <w:shd w:val="clear" w:color="auto" w:fill="FFFFFF"/>
          <w:lang w:val="en-ZA"/>
        </w:rPr>
        <w:t>Submitted in fulfilment of the requirements for the degree</w:t>
      </w:r>
    </w:p>
    <w:p w14:paraId="4A3D244E" w14:textId="77777777" w:rsidR="00C22CC4" w:rsidRPr="00C22CC4" w:rsidRDefault="00C22CC4" w:rsidP="00C22CC4">
      <w:pPr>
        <w:tabs>
          <w:tab w:val="left" w:pos="2700"/>
        </w:tabs>
        <w:jc w:val="center"/>
        <w:rPr>
          <w:rFonts w:cs="Times New Roman"/>
          <w:b/>
          <w:bCs/>
          <w:color w:val="222222"/>
          <w:szCs w:val="24"/>
          <w:shd w:val="clear" w:color="auto" w:fill="FFFFFF"/>
          <w:lang w:val="en-ZA"/>
        </w:rPr>
      </w:pPr>
    </w:p>
    <w:p w14:paraId="3C0A7BE5" w14:textId="602360BD" w:rsidR="00C22CC4" w:rsidRDefault="00C22CC4" w:rsidP="00C22CC4">
      <w:pPr>
        <w:tabs>
          <w:tab w:val="left" w:pos="2700"/>
        </w:tabs>
        <w:jc w:val="center"/>
        <w:rPr>
          <w:rFonts w:cs="Times New Roman"/>
          <w:b/>
          <w:bCs/>
          <w:color w:val="222222"/>
          <w:szCs w:val="24"/>
          <w:shd w:val="clear" w:color="auto" w:fill="FFFFFF"/>
          <w:lang w:val="en-ZA"/>
        </w:rPr>
      </w:pPr>
      <w:r w:rsidRPr="00C22CC4">
        <w:rPr>
          <w:rFonts w:cs="Times New Roman"/>
          <w:b/>
          <w:bCs/>
          <w:color w:val="222222"/>
          <w:szCs w:val="24"/>
          <w:shd w:val="clear" w:color="auto" w:fill="FFFFFF"/>
          <w:lang w:val="en-ZA"/>
        </w:rPr>
        <w:t xml:space="preserve">PhD </w:t>
      </w:r>
      <w:r>
        <w:rPr>
          <w:rFonts w:cs="Times New Roman"/>
          <w:b/>
          <w:bCs/>
          <w:color w:val="222222"/>
          <w:szCs w:val="24"/>
          <w:shd w:val="clear" w:color="auto" w:fill="FFFFFF"/>
          <w:lang w:val="en-ZA"/>
        </w:rPr>
        <w:t>Nutrition</w:t>
      </w:r>
    </w:p>
    <w:p w14:paraId="48431C4F" w14:textId="77777777" w:rsidR="00C22CC4" w:rsidRPr="00C22CC4" w:rsidRDefault="00C22CC4" w:rsidP="00C22CC4">
      <w:pPr>
        <w:tabs>
          <w:tab w:val="left" w:pos="2700"/>
        </w:tabs>
        <w:jc w:val="center"/>
        <w:rPr>
          <w:rFonts w:cs="Times New Roman"/>
          <w:b/>
          <w:bCs/>
          <w:color w:val="222222"/>
          <w:szCs w:val="24"/>
          <w:shd w:val="clear" w:color="auto" w:fill="FFFFFF"/>
          <w:lang w:val="en-ZA"/>
        </w:rPr>
      </w:pPr>
    </w:p>
    <w:p w14:paraId="793FD010" w14:textId="5276463C" w:rsidR="00C22CC4" w:rsidRPr="00C22CC4" w:rsidRDefault="00C22CC4" w:rsidP="00C22CC4">
      <w:pPr>
        <w:tabs>
          <w:tab w:val="left" w:pos="2700"/>
        </w:tabs>
        <w:jc w:val="center"/>
        <w:rPr>
          <w:rFonts w:cs="Times New Roman"/>
          <w:b/>
          <w:bCs/>
          <w:color w:val="222222"/>
          <w:szCs w:val="24"/>
          <w:shd w:val="clear" w:color="auto" w:fill="FFFFFF"/>
          <w:lang w:val="en-ZA"/>
        </w:rPr>
      </w:pPr>
      <w:r w:rsidRPr="00C22CC4">
        <w:rPr>
          <w:rFonts w:cs="Times New Roman"/>
          <w:b/>
          <w:bCs/>
          <w:color w:val="222222"/>
          <w:szCs w:val="24"/>
          <w:shd w:val="clear" w:color="auto" w:fill="FFFFFF"/>
          <w:lang w:val="en-ZA"/>
        </w:rPr>
        <w:t>In the Department of Consumer and Food Sciences</w:t>
      </w:r>
    </w:p>
    <w:p w14:paraId="201DE7C8" w14:textId="1E715C45" w:rsidR="00C22CC4" w:rsidRPr="00C22CC4" w:rsidRDefault="00C22CC4" w:rsidP="00C22CC4">
      <w:pPr>
        <w:tabs>
          <w:tab w:val="left" w:pos="2700"/>
        </w:tabs>
        <w:jc w:val="center"/>
        <w:rPr>
          <w:rFonts w:cs="Times New Roman"/>
          <w:b/>
          <w:bCs/>
          <w:color w:val="222222"/>
          <w:szCs w:val="24"/>
          <w:shd w:val="clear" w:color="auto" w:fill="FFFFFF"/>
          <w:lang w:val="en-ZA"/>
        </w:rPr>
      </w:pPr>
      <w:r w:rsidRPr="00C22CC4">
        <w:rPr>
          <w:rFonts w:cs="Times New Roman"/>
          <w:b/>
          <w:bCs/>
          <w:color w:val="222222"/>
          <w:szCs w:val="24"/>
          <w:shd w:val="clear" w:color="auto" w:fill="FFFFFF"/>
          <w:lang w:val="en-ZA"/>
        </w:rPr>
        <w:t>Faculty of Natural and Agricultural Sciences</w:t>
      </w:r>
    </w:p>
    <w:p w14:paraId="3651A1C6" w14:textId="7DED7FD4" w:rsidR="00C22CC4" w:rsidRPr="00C22CC4" w:rsidRDefault="00C22CC4" w:rsidP="00C22CC4">
      <w:pPr>
        <w:tabs>
          <w:tab w:val="left" w:pos="2700"/>
        </w:tabs>
        <w:jc w:val="center"/>
        <w:rPr>
          <w:rFonts w:cs="Times New Roman"/>
          <w:b/>
          <w:bCs/>
          <w:color w:val="222222"/>
          <w:szCs w:val="24"/>
          <w:shd w:val="clear" w:color="auto" w:fill="FFFFFF"/>
          <w:lang w:val="en-ZA"/>
        </w:rPr>
      </w:pPr>
      <w:r w:rsidRPr="00C22CC4">
        <w:rPr>
          <w:rFonts w:cs="Times New Roman"/>
          <w:b/>
          <w:bCs/>
          <w:color w:val="222222"/>
          <w:szCs w:val="24"/>
          <w:shd w:val="clear" w:color="auto" w:fill="FFFFFF"/>
          <w:lang w:val="en-ZA"/>
        </w:rPr>
        <w:t>University of Pretoria</w:t>
      </w:r>
    </w:p>
    <w:p w14:paraId="2521A157" w14:textId="2996D296" w:rsidR="00C22CC4" w:rsidRPr="00C22CC4" w:rsidRDefault="009531F3" w:rsidP="00C22CC4">
      <w:pPr>
        <w:tabs>
          <w:tab w:val="left" w:pos="2700"/>
        </w:tabs>
        <w:jc w:val="center"/>
        <w:rPr>
          <w:rFonts w:cs="Times New Roman"/>
          <w:b/>
          <w:bCs/>
          <w:color w:val="222222"/>
          <w:szCs w:val="24"/>
          <w:shd w:val="clear" w:color="auto" w:fill="FFFFFF"/>
          <w:lang w:val="en-ZA"/>
        </w:rPr>
      </w:pPr>
      <w:r>
        <w:rPr>
          <w:rFonts w:cs="Times New Roman"/>
          <w:b/>
          <w:bCs/>
          <w:color w:val="222222"/>
          <w:szCs w:val="24"/>
          <w:shd w:val="clear" w:color="auto" w:fill="FFFFFF"/>
          <w:lang w:val="en-ZA"/>
        </w:rPr>
        <w:t>Pretoria</w:t>
      </w:r>
    </w:p>
    <w:p w14:paraId="55DB65D8" w14:textId="24893575" w:rsidR="007669B6" w:rsidRDefault="009531F3" w:rsidP="00C22CC4">
      <w:pPr>
        <w:tabs>
          <w:tab w:val="left" w:pos="2700"/>
        </w:tabs>
        <w:jc w:val="center"/>
        <w:rPr>
          <w:rFonts w:cs="Times New Roman"/>
          <w:b/>
          <w:bCs/>
          <w:color w:val="222222"/>
          <w:szCs w:val="24"/>
          <w:shd w:val="clear" w:color="auto" w:fill="FFFFFF"/>
          <w:lang w:val="en-ZA"/>
        </w:rPr>
        <w:sectPr w:rsidR="007669B6" w:rsidSect="00C10C62">
          <w:footerReference w:type="default" r:id="rId9"/>
          <w:pgSz w:w="11907" w:h="16839" w:code="9"/>
          <w:pgMar w:top="1440" w:right="1440" w:bottom="1440" w:left="1440" w:header="720" w:footer="720" w:gutter="0"/>
          <w:cols w:space="720"/>
          <w:titlePg/>
          <w:docGrid w:linePitch="360"/>
        </w:sectPr>
      </w:pPr>
      <w:r>
        <w:rPr>
          <w:rFonts w:cs="Times New Roman"/>
          <w:b/>
          <w:bCs/>
          <w:color w:val="222222"/>
          <w:szCs w:val="24"/>
          <w:shd w:val="clear" w:color="auto" w:fill="FFFFFF"/>
          <w:lang w:val="en-ZA"/>
        </w:rPr>
        <w:t>2</w:t>
      </w:r>
      <w:r w:rsidR="00083218">
        <w:rPr>
          <w:rFonts w:cs="Times New Roman"/>
          <w:b/>
          <w:bCs/>
          <w:color w:val="222222"/>
          <w:szCs w:val="24"/>
          <w:shd w:val="clear" w:color="auto" w:fill="FFFFFF"/>
          <w:lang w:val="en-ZA"/>
        </w:rPr>
        <w:t>7</w:t>
      </w:r>
      <w:r>
        <w:rPr>
          <w:rFonts w:cs="Times New Roman"/>
          <w:b/>
          <w:bCs/>
          <w:color w:val="222222"/>
          <w:szCs w:val="24"/>
          <w:shd w:val="clear" w:color="auto" w:fill="FFFFFF"/>
          <w:lang w:val="en-ZA"/>
        </w:rPr>
        <w:t xml:space="preserve"> </w:t>
      </w:r>
      <w:r w:rsidR="00083218">
        <w:rPr>
          <w:rFonts w:cs="Times New Roman"/>
          <w:b/>
          <w:bCs/>
          <w:color w:val="222222"/>
          <w:szCs w:val="24"/>
          <w:shd w:val="clear" w:color="auto" w:fill="FFFFFF"/>
          <w:lang w:val="en-ZA"/>
        </w:rPr>
        <w:t>November</w:t>
      </w:r>
      <w:r w:rsidR="00C22CC4">
        <w:rPr>
          <w:rFonts w:cs="Times New Roman"/>
          <w:b/>
          <w:bCs/>
          <w:color w:val="222222"/>
          <w:szCs w:val="24"/>
          <w:shd w:val="clear" w:color="auto" w:fill="FFFFFF"/>
          <w:lang w:val="en-ZA"/>
        </w:rPr>
        <w:t xml:space="preserve"> 2020</w:t>
      </w:r>
    </w:p>
    <w:p w14:paraId="2C652915" w14:textId="77777777" w:rsidR="007669B6" w:rsidRPr="001D66A6" w:rsidRDefault="007669B6" w:rsidP="001D66A6">
      <w:pPr>
        <w:pStyle w:val="Heading1"/>
      </w:pPr>
      <w:bookmarkStart w:id="1" w:name="_Toc65253533"/>
      <w:r w:rsidRPr="001D66A6">
        <w:lastRenderedPageBreak/>
        <w:t>DECLARATION</w:t>
      </w:r>
      <w:bookmarkEnd w:id="1"/>
      <w:r w:rsidRPr="001D66A6">
        <w:t xml:space="preserve"> </w:t>
      </w:r>
    </w:p>
    <w:p w14:paraId="3FE5C765" w14:textId="3380D2A2" w:rsidR="007669B6" w:rsidRPr="00CA5BC9" w:rsidRDefault="007669B6" w:rsidP="007669B6">
      <w:pPr>
        <w:tabs>
          <w:tab w:val="left" w:pos="2700"/>
        </w:tabs>
        <w:rPr>
          <w:rFonts w:cs="Times New Roman"/>
          <w:color w:val="222222"/>
          <w:szCs w:val="24"/>
          <w:shd w:val="clear" w:color="auto" w:fill="FFFFFF"/>
          <w:lang w:val="en-ZA"/>
        </w:rPr>
      </w:pPr>
      <w:r w:rsidRPr="00CA5BC9">
        <w:rPr>
          <w:rFonts w:cs="Times New Roman"/>
          <w:color w:val="222222"/>
          <w:szCs w:val="24"/>
          <w:shd w:val="clear" w:color="auto" w:fill="FFFFFF"/>
          <w:lang w:val="en-ZA"/>
        </w:rPr>
        <w:t>I</w:t>
      </w:r>
      <w:r w:rsidR="009531F3">
        <w:rPr>
          <w:rFonts w:cs="Times New Roman"/>
          <w:color w:val="222222"/>
          <w:szCs w:val="24"/>
          <w:shd w:val="clear" w:color="auto" w:fill="FFFFFF"/>
          <w:lang w:val="en-ZA"/>
        </w:rPr>
        <w:t>, Oluyimika Yanmife Adetola</w:t>
      </w:r>
      <w:r w:rsidRPr="00CA5BC9">
        <w:rPr>
          <w:rFonts w:cs="Times New Roman"/>
          <w:color w:val="222222"/>
          <w:szCs w:val="24"/>
          <w:shd w:val="clear" w:color="auto" w:fill="FFFFFF"/>
          <w:lang w:val="en-ZA"/>
        </w:rPr>
        <w:t xml:space="preserve"> declare that </w:t>
      </w:r>
      <w:r w:rsidR="009531F3">
        <w:rPr>
          <w:rFonts w:cs="Times New Roman"/>
          <w:color w:val="222222"/>
          <w:szCs w:val="24"/>
          <w:shd w:val="clear" w:color="auto" w:fill="FFFFFF"/>
          <w:lang w:val="en-ZA"/>
        </w:rPr>
        <w:t>the</w:t>
      </w:r>
      <w:r w:rsidRPr="00CA5BC9">
        <w:rPr>
          <w:rFonts w:cs="Times New Roman"/>
          <w:color w:val="222222"/>
          <w:szCs w:val="24"/>
          <w:shd w:val="clear" w:color="auto" w:fill="FFFFFF"/>
          <w:lang w:val="en-ZA"/>
        </w:rPr>
        <w:t xml:space="preserve"> thesis</w:t>
      </w:r>
      <w:r w:rsidR="009531F3">
        <w:rPr>
          <w:rFonts w:cs="Times New Roman"/>
          <w:color w:val="222222"/>
          <w:szCs w:val="24"/>
          <w:shd w:val="clear" w:color="auto" w:fill="FFFFFF"/>
          <w:lang w:val="en-ZA"/>
        </w:rPr>
        <w:t>, which I hereby</w:t>
      </w:r>
      <w:r w:rsidRPr="00CA5BC9">
        <w:rPr>
          <w:rFonts w:cs="Times New Roman"/>
          <w:color w:val="222222"/>
          <w:szCs w:val="24"/>
          <w:shd w:val="clear" w:color="auto" w:fill="FFFFFF"/>
          <w:lang w:val="en-ZA"/>
        </w:rPr>
        <w:t xml:space="preserve"> submit </w:t>
      </w:r>
      <w:r w:rsidR="009531F3">
        <w:rPr>
          <w:rFonts w:cs="Times New Roman"/>
          <w:color w:val="222222"/>
          <w:szCs w:val="24"/>
          <w:shd w:val="clear" w:color="auto" w:fill="FFFFFF"/>
          <w:lang w:val="en-ZA"/>
        </w:rPr>
        <w:t xml:space="preserve">for the degree PhD Nutrition </w:t>
      </w:r>
      <w:r w:rsidRPr="00CA5BC9">
        <w:rPr>
          <w:rFonts w:cs="Times New Roman"/>
          <w:color w:val="222222"/>
          <w:szCs w:val="24"/>
          <w:shd w:val="clear" w:color="auto" w:fill="FFFFFF"/>
          <w:lang w:val="en-ZA"/>
        </w:rPr>
        <w:t>at the University of Pretoria</w:t>
      </w:r>
      <w:r w:rsidR="009531F3">
        <w:rPr>
          <w:rFonts w:cs="Times New Roman"/>
          <w:color w:val="222222"/>
          <w:szCs w:val="24"/>
          <w:shd w:val="clear" w:color="auto" w:fill="FFFFFF"/>
          <w:lang w:val="en-ZA"/>
        </w:rPr>
        <w:t>,</w:t>
      </w:r>
      <w:r w:rsidRPr="00CA5BC9">
        <w:rPr>
          <w:rFonts w:cs="Times New Roman"/>
          <w:color w:val="222222"/>
          <w:szCs w:val="24"/>
          <w:shd w:val="clear" w:color="auto" w:fill="FFFFFF"/>
          <w:lang w:val="en-ZA"/>
        </w:rPr>
        <w:t xml:space="preserve"> is my </w:t>
      </w:r>
      <w:r w:rsidR="009531F3">
        <w:rPr>
          <w:rFonts w:cs="Times New Roman"/>
          <w:color w:val="222222"/>
          <w:szCs w:val="24"/>
          <w:shd w:val="clear" w:color="auto" w:fill="FFFFFF"/>
          <w:lang w:val="en-ZA"/>
        </w:rPr>
        <w:t xml:space="preserve">own </w:t>
      </w:r>
      <w:r w:rsidRPr="00CA5BC9">
        <w:rPr>
          <w:rFonts w:cs="Times New Roman"/>
          <w:color w:val="222222"/>
          <w:szCs w:val="24"/>
          <w:shd w:val="clear" w:color="auto" w:fill="FFFFFF"/>
          <w:lang w:val="en-ZA"/>
        </w:rPr>
        <w:t xml:space="preserve">work and has not </w:t>
      </w:r>
      <w:r w:rsidR="009531F3">
        <w:rPr>
          <w:rFonts w:cs="Times New Roman"/>
          <w:color w:val="222222"/>
          <w:szCs w:val="24"/>
          <w:shd w:val="clear" w:color="auto" w:fill="FFFFFF"/>
          <w:lang w:val="en-ZA"/>
        </w:rPr>
        <w:t xml:space="preserve">previously </w:t>
      </w:r>
      <w:r w:rsidRPr="00CA5BC9">
        <w:rPr>
          <w:rFonts w:cs="Times New Roman"/>
          <w:color w:val="222222"/>
          <w:szCs w:val="24"/>
          <w:shd w:val="clear" w:color="auto" w:fill="FFFFFF"/>
          <w:lang w:val="en-ZA"/>
        </w:rPr>
        <w:t xml:space="preserve">been submitted by me for a degree at </w:t>
      </w:r>
      <w:r w:rsidR="009531F3">
        <w:rPr>
          <w:rFonts w:cs="Times New Roman"/>
          <w:color w:val="222222"/>
          <w:szCs w:val="24"/>
          <w:shd w:val="clear" w:color="auto" w:fill="FFFFFF"/>
          <w:lang w:val="en-ZA"/>
        </w:rPr>
        <w:t xml:space="preserve">this or </w:t>
      </w:r>
      <w:r w:rsidRPr="00CA5BC9">
        <w:rPr>
          <w:rFonts w:cs="Times New Roman"/>
          <w:color w:val="222222"/>
          <w:szCs w:val="24"/>
          <w:shd w:val="clear" w:color="auto" w:fill="FFFFFF"/>
          <w:lang w:val="en-ZA"/>
        </w:rPr>
        <w:t xml:space="preserve">any other </w:t>
      </w:r>
      <w:r w:rsidR="009531F3">
        <w:rPr>
          <w:rFonts w:cs="Times New Roman"/>
          <w:color w:val="222222"/>
          <w:szCs w:val="24"/>
          <w:shd w:val="clear" w:color="auto" w:fill="FFFFFF"/>
          <w:lang w:val="en-ZA"/>
        </w:rPr>
        <w:t>tertiary institution.</w:t>
      </w:r>
      <w:r w:rsidRPr="00CA5BC9">
        <w:rPr>
          <w:rFonts w:cs="Times New Roman"/>
          <w:color w:val="222222"/>
          <w:szCs w:val="24"/>
          <w:shd w:val="clear" w:color="auto" w:fill="FFFFFF"/>
          <w:lang w:val="en-ZA"/>
        </w:rPr>
        <w:t xml:space="preserve"> </w:t>
      </w:r>
    </w:p>
    <w:p w14:paraId="606C6B24" w14:textId="0C2110A1" w:rsidR="007669B6" w:rsidRPr="00CA5BC9" w:rsidRDefault="009531F3" w:rsidP="007669B6">
      <w:pPr>
        <w:tabs>
          <w:tab w:val="left" w:pos="2700"/>
        </w:tabs>
        <w:rPr>
          <w:rFonts w:cs="Times New Roman"/>
          <w:color w:val="222222"/>
          <w:szCs w:val="24"/>
          <w:shd w:val="clear" w:color="auto" w:fill="FFFFFF"/>
          <w:lang w:val="en-ZA"/>
        </w:rPr>
      </w:pPr>
      <w:r>
        <w:rPr>
          <w:rFonts w:cs="Times New Roman"/>
          <w:color w:val="222222"/>
          <w:szCs w:val="24"/>
          <w:shd w:val="clear" w:color="auto" w:fill="FFFFFF"/>
          <w:lang w:val="en-ZA"/>
        </w:rPr>
        <w:t xml:space="preserve">SIGNATURE:  </w:t>
      </w:r>
      <w:r w:rsidRPr="009531F3">
        <w:rPr>
          <w:rFonts w:cs="Times New Roman"/>
          <w:noProof/>
          <w:color w:val="222222"/>
          <w:szCs w:val="24"/>
          <w:shd w:val="clear" w:color="auto" w:fill="FFFFFF"/>
          <w:lang w:val="en-ZA" w:eastAsia="en-ZA"/>
        </w:rPr>
        <w:drawing>
          <wp:inline distT="0" distB="0" distL="0" distR="0" wp14:anchorId="1226EE67" wp14:editId="55CE3889">
            <wp:extent cx="723900" cy="418334"/>
            <wp:effectExtent l="0" t="0" r="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38859" cy="426978"/>
                    </a:xfrm>
                    <a:prstGeom prst="rect">
                      <a:avLst/>
                    </a:prstGeom>
                    <a:noFill/>
                    <a:ln>
                      <a:noFill/>
                    </a:ln>
                  </pic:spPr>
                </pic:pic>
              </a:graphicData>
            </a:graphic>
          </wp:inline>
        </w:drawing>
      </w:r>
    </w:p>
    <w:p w14:paraId="4A1AA4DA" w14:textId="2989307C" w:rsidR="00B774A1" w:rsidRDefault="009531F3" w:rsidP="00B774A1">
      <w:pPr>
        <w:tabs>
          <w:tab w:val="left" w:pos="2700"/>
        </w:tabs>
        <w:rPr>
          <w:rFonts w:cs="Times New Roman"/>
          <w:color w:val="222222"/>
          <w:szCs w:val="24"/>
          <w:shd w:val="clear" w:color="auto" w:fill="FFFFFF"/>
          <w:lang w:val="en-ZA"/>
        </w:rPr>
      </w:pPr>
      <w:r>
        <w:rPr>
          <w:rFonts w:cs="Times New Roman"/>
          <w:color w:val="222222"/>
          <w:szCs w:val="24"/>
          <w:shd w:val="clear" w:color="auto" w:fill="FFFFFF"/>
          <w:lang w:val="en-ZA"/>
        </w:rPr>
        <w:t>DATE:  2</w:t>
      </w:r>
      <w:r w:rsidR="00083218">
        <w:rPr>
          <w:rFonts w:cs="Times New Roman"/>
          <w:color w:val="222222"/>
          <w:szCs w:val="24"/>
          <w:shd w:val="clear" w:color="auto" w:fill="FFFFFF"/>
          <w:lang w:val="en-ZA"/>
        </w:rPr>
        <w:t>7</w:t>
      </w:r>
      <w:r w:rsidR="00220A2D">
        <w:rPr>
          <w:rFonts w:cs="Times New Roman"/>
          <w:color w:val="222222"/>
          <w:szCs w:val="24"/>
          <w:shd w:val="clear" w:color="auto" w:fill="FFFFFF"/>
          <w:lang w:val="en-ZA"/>
        </w:rPr>
        <w:t xml:space="preserve"> </w:t>
      </w:r>
      <w:r w:rsidR="00083218">
        <w:rPr>
          <w:rFonts w:cs="Times New Roman"/>
          <w:color w:val="222222"/>
          <w:szCs w:val="24"/>
          <w:shd w:val="clear" w:color="auto" w:fill="FFFFFF"/>
          <w:lang w:val="en-ZA"/>
        </w:rPr>
        <w:t>November</w:t>
      </w:r>
      <w:r>
        <w:rPr>
          <w:rFonts w:cs="Times New Roman"/>
          <w:color w:val="222222"/>
          <w:szCs w:val="24"/>
          <w:shd w:val="clear" w:color="auto" w:fill="FFFFFF"/>
          <w:lang w:val="en-ZA"/>
        </w:rPr>
        <w:t xml:space="preserve"> 2020</w:t>
      </w:r>
    </w:p>
    <w:p w14:paraId="71C76647" w14:textId="77777777" w:rsidR="00B774A1" w:rsidRDefault="00B774A1" w:rsidP="00B774A1">
      <w:pPr>
        <w:tabs>
          <w:tab w:val="left" w:pos="2700"/>
        </w:tabs>
        <w:rPr>
          <w:rFonts w:cs="Times New Roman"/>
          <w:color w:val="222222"/>
          <w:szCs w:val="24"/>
          <w:shd w:val="clear" w:color="auto" w:fill="FFFFFF"/>
          <w:lang w:val="en-ZA"/>
        </w:rPr>
      </w:pPr>
    </w:p>
    <w:p w14:paraId="168E46CA" w14:textId="77777777" w:rsidR="00B774A1" w:rsidRDefault="00B774A1" w:rsidP="00B774A1">
      <w:pPr>
        <w:tabs>
          <w:tab w:val="left" w:pos="2700"/>
        </w:tabs>
        <w:rPr>
          <w:rFonts w:cs="Times New Roman"/>
          <w:color w:val="222222"/>
          <w:szCs w:val="24"/>
          <w:shd w:val="clear" w:color="auto" w:fill="FFFFFF"/>
          <w:lang w:val="en-ZA"/>
        </w:rPr>
      </w:pPr>
    </w:p>
    <w:p w14:paraId="552AAA03" w14:textId="77777777" w:rsidR="00B774A1" w:rsidRDefault="00B774A1" w:rsidP="00B774A1">
      <w:pPr>
        <w:tabs>
          <w:tab w:val="left" w:pos="2700"/>
        </w:tabs>
        <w:rPr>
          <w:rFonts w:cs="Times New Roman"/>
          <w:color w:val="222222"/>
          <w:szCs w:val="24"/>
          <w:shd w:val="clear" w:color="auto" w:fill="FFFFFF"/>
          <w:lang w:val="en-ZA"/>
        </w:rPr>
      </w:pPr>
    </w:p>
    <w:p w14:paraId="2064E30F" w14:textId="77777777" w:rsidR="00B774A1" w:rsidRDefault="00B774A1" w:rsidP="00B774A1">
      <w:pPr>
        <w:tabs>
          <w:tab w:val="left" w:pos="2700"/>
        </w:tabs>
        <w:rPr>
          <w:rFonts w:cs="Times New Roman"/>
          <w:color w:val="222222"/>
          <w:szCs w:val="24"/>
          <w:shd w:val="clear" w:color="auto" w:fill="FFFFFF"/>
          <w:lang w:val="en-ZA"/>
        </w:rPr>
      </w:pPr>
    </w:p>
    <w:p w14:paraId="7470800D" w14:textId="77777777" w:rsidR="00B774A1" w:rsidRDefault="00B774A1" w:rsidP="00B774A1">
      <w:pPr>
        <w:tabs>
          <w:tab w:val="left" w:pos="2700"/>
        </w:tabs>
        <w:rPr>
          <w:rFonts w:cs="Times New Roman"/>
          <w:color w:val="222222"/>
          <w:szCs w:val="24"/>
          <w:shd w:val="clear" w:color="auto" w:fill="FFFFFF"/>
          <w:lang w:val="en-ZA"/>
        </w:rPr>
      </w:pPr>
    </w:p>
    <w:p w14:paraId="23A0B15D" w14:textId="77777777" w:rsidR="00B774A1" w:rsidRDefault="00B774A1" w:rsidP="00B774A1">
      <w:pPr>
        <w:tabs>
          <w:tab w:val="left" w:pos="2700"/>
        </w:tabs>
        <w:rPr>
          <w:rFonts w:cs="Times New Roman"/>
          <w:color w:val="222222"/>
          <w:szCs w:val="24"/>
          <w:shd w:val="clear" w:color="auto" w:fill="FFFFFF"/>
          <w:lang w:val="en-ZA"/>
        </w:rPr>
      </w:pPr>
    </w:p>
    <w:p w14:paraId="139A22D5" w14:textId="77777777" w:rsidR="00B774A1" w:rsidRDefault="00B774A1" w:rsidP="00B774A1">
      <w:pPr>
        <w:tabs>
          <w:tab w:val="left" w:pos="2700"/>
        </w:tabs>
        <w:rPr>
          <w:rFonts w:cs="Times New Roman"/>
          <w:color w:val="222222"/>
          <w:szCs w:val="24"/>
          <w:shd w:val="clear" w:color="auto" w:fill="FFFFFF"/>
          <w:lang w:val="en-ZA"/>
        </w:rPr>
      </w:pPr>
    </w:p>
    <w:p w14:paraId="2909834F" w14:textId="77777777" w:rsidR="00B774A1" w:rsidRDefault="00B774A1" w:rsidP="00B774A1">
      <w:pPr>
        <w:tabs>
          <w:tab w:val="left" w:pos="2700"/>
        </w:tabs>
        <w:rPr>
          <w:rFonts w:cs="Times New Roman"/>
          <w:color w:val="222222"/>
          <w:szCs w:val="24"/>
          <w:shd w:val="clear" w:color="auto" w:fill="FFFFFF"/>
          <w:lang w:val="en-ZA"/>
        </w:rPr>
      </w:pPr>
    </w:p>
    <w:p w14:paraId="13522564" w14:textId="77777777" w:rsidR="00B774A1" w:rsidRDefault="00B774A1" w:rsidP="00B774A1">
      <w:pPr>
        <w:tabs>
          <w:tab w:val="left" w:pos="2700"/>
        </w:tabs>
        <w:rPr>
          <w:rFonts w:cs="Times New Roman"/>
          <w:color w:val="222222"/>
          <w:szCs w:val="24"/>
          <w:shd w:val="clear" w:color="auto" w:fill="FFFFFF"/>
          <w:lang w:val="en-ZA"/>
        </w:rPr>
      </w:pPr>
    </w:p>
    <w:p w14:paraId="7FC4654F" w14:textId="77777777" w:rsidR="00B774A1" w:rsidRDefault="00B774A1" w:rsidP="00B774A1">
      <w:pPr>
        <w:tabs>
          <w:tab w:val="left" w:pos="2700"/>
        </w:tabs>
        <w:rPr>
          <w:rFonts w:cs="Times New Roman"/>
          <w:color w:val="222222"/>
          <w:szCs w:val="24"/>
          <w:shd w:val="clear" w:color="auto" w:fill="FFFFFF"/>
          <w:lang w:val="en-ZA"/>
        </w:rPr>
      </w:pPr>
    </w:p>
    <w:p w14:paraId="4E5E736C" w14:textId="77777777" w:rsidR="00B774A1" w:rsidRDefault="00B774A1" w:rsidP="00B774A1">
      <w:pPr>
        <w:tabs>
          <w:tab w:val="left" w:pos="2700"/>
        </w:tabs>
        <w:rPr>
          <w:rFonts w:cs="Times New Roman"/>
          <w:color w:val="222222"/>
          <w:szCs w:val="24"/>
          <w:shd w:val="clear" w:color="auto" w:fill="FFFFFF"/>
          <w:lang w:val="en-ZA"/>
        </w:rPr>
      </w:pPr>
    </w:p>
    <w:p w14:paraId="54E4505B" w14:textId="77777777" w:rsidR="00B774A1" w:rsidRDefault="00B774A1" w:rsidP="00B774A1">
      <w:pPr>
        <w:tabs>
          <w:tab w:val="left" w:pos="2700"/>
        </w:tabs>
        <w:rPr>
          <w:rFonts w:cs="Times New Roman"/>
          <w:color w:val="222222"/>
          <w:szCs w:val="24"/>
          <w:shd w:val="clear" w:color="auto" w:fill="FFFFFF"/>
          <w:lang w:val="en-ZA"/>
        </w:rPr>
      </w:pPr>
    </w:p>
    <w:p w14:paraId="4B6BE3FD" w14:textId="77777777" w:rsidR="00B774A1" w:rsidRDefault="00B774A1" w:rsidP="00B774A1">
      <w:pPr>
        <w:tabs>
          <w:tab w:val="left" w:pos="2700"/>
        </w:tabs>
        <w:rPr>
          <w:rFonts w:cs="Times New Roman"/>
          <w:color w:val="222222"/>
          <w:szCs w:val="24"/>
          <w:shd w:val="clear" w:color="auto" w:fill="FFFFFF"/>
          <w:lang w:val="en-ZA"/>
        </w:rPr>
      </w:pPr>
    </w:p>
    <w:p w14:paraId="43093034" w14:textId="77777777" w:rsidR="00B774A1" w:rsidRDefault="00B774A1" w:rsidP="00B774A1">
      <w:pPr>
        <w:tabs>
          <w:tab w:val="left" w:pos="2700"/>
        </w:tabs>
        <w:rPr>
          <w:rFonts w:cs="Times New Roman"/>
          <w:color w:val="222222"/>
          <w:szCs w:val="24"/>
          <w:shd w:val="clear" w:color="auto" w:fill="FFFFFF"/>
          <w:lang w:val="en-ZA"/>
        </w:rPr>
      </w:pPr>
    </w:p>
    <w:p w14:paraId="3CE378E4" w14:textId="77777777" w:rsidR="00B774A1" w:rsidRDefault="00B774A1" w:rsidP="00B774A1">
      <w:pPr>
        <w:tabs>
          <w:tab w:val="left" w:pos="2700"/>
        </w:tabs>
        <w:rPr>
          <w:rFonts w:cs="Times New Roman"/>
          <w:color w:val="222222"/>
          <w:szCs w:val="24"/>
          <w:shd w:val="clear" w:color="auto" w:fill="FFFFFF"/>
          <w:lang w:val="en-ZA"/>
        </w:rPr>
      </w:pPr>
    </w:p>
    <w:p w14:paraId="3A7A4F83" w14:textId="77777777" w:rsidR="00B774A1" w:rsidRDefault="00B774A1" w:rsidP="00B774A1">
      <w:pPr>
        <w:tabs>
          <w:tab w:val="left" w:pos="2700"/>
        </w:tabs>
        <w:rPr>
          <w:rFonts w:cs="Times New Roman"/>
          <w:color w:val="222222"/>
          <w:szCs w:val="24"/>
          <w:shd w:val="clear" w:color="auto" w:fill="FFFFFF"/>
          <w:lang w:val="en-ZA"/>
        </w:rPr>
      </w:pPr>
    </w:p>
    <w:p w14:paraId="4F79C252" w14:textId="7DA19266" w:rsidR="00FD6DAA" w:rsidRPr="001D66A6" w:rsidRDefault="00FD6DAA" w:rsidP="001D66A6">
      <w:pPr>
        <w:pStyle w:val="Heading1"/>
      </w:pPr>
      <w:bookmarkStart w:id="2" w:name="_Toc65253534"/>
      <w:r w:rsidRPr="001D66A6">
        <w:lastRenderedPageBreak/>
        <w:t>DEDICATION</w:t>
      </w:r>
      <w:bookmarkEnd w:id="2"/>
      <w:r w:rsidRPr="001D66A6">
        <w:t xml:space="preserve"> </w:t>
      </w:r>
    </w:p>
    <w:p w14:paraId="3194AE4A" w14:textId="12D896B1" w:rsidR="00055E87" w:rsidRDefault="00FD6DAA" w:rsidP="00B774A1">
      <w:pPr>
        <w:tabs>
          <w:tab w:val="left" w:pos="2700"/>
        </w:tabs>
        <w:rPr>
          <w:rFonts w:cs="Times New Roman"/>
          <w:color w:val="222222"/>
          <w:szCs w:val="24"/>
          <w:shd w:val="clear" w:color="auto" w:fill="FFFFFF"/>
          <w:lang w:val="en-ZA"/>
        </w:rPr>
      </w:pPr>
      <w:r w:rsidRPr="00CA5BC9">
        <w:rPr>
          <w:rFonts w:cs="Times New Roman"/>
          <w:color w:val="222222"/>
          <w:szCs w:val="24"/>
          <w:shd w:val="clear" w:color="auto" w:fill="FFFFFF"/>
          <w:lang w:val="en-ZA"/>
        </w:rPr>
        <w:t xml:space="preserve">This thesis is dedicated to my loving and caring parents, </w:t>
      </w:r>
      <w:r w:rsidR="00A625D7">
        <w:rPr>
          <w:rFonts w:cs="Times New Roman"/>
          <w:color w:val="222222"/>
          <w:szCs w:val="24"/>
          <w:shd w:val="clear" w:color="auto" w:fill="FFFFFF"/>
          <w:lang w:val="en-ZA"/>
        </w:rPr>
        <w:t>Rev.</w:t>
      </w:r>
      <w:r w:rsidRPr="00CA5BC9">
        <w:rPr>
          <w:rFonts w:cs="Times New Roman"/>
          <w:color w:val="222222"/>
          <w:szCs w:val="24"/>
          <w:shd w:val="clear" w:color="auto" w:fill="FFFFFF"/>
          <w:lang w:val="en-ZA"/>
        </w:rPr>
        <w:t xml:space="preserve"> and </w:t>
      </w:r>
      <w:r w:rsidR="00A625D7">
        <w:rPr>
          <w:rFonts w:cs="Times New Roman"/>
          <w:color w:val="222222"/>
          <w:szCs w:val="24"/>
          <w:shd w:val="clear" w:color="auto" w:fill="FFFFFF"/>
          <w:lang w:val="en-ZA"/>
        </w:rPr>
        <w:t xml:space="preserve">Pastor </w:t>
      </w:r>
      <w:r w:rsidR="004C5207">
        <w:rPr>
          <w:rFonts w:cs="Times New Roman"/>
          <w:color w:val="222222"/>
          <w:szCs w:val="24"/>
          <w:shd w:val="clear" w:color="auto" w:fill="FFFFFF"/>
          <w:lang w:val="en-ZA"/>
        </w:rPr>
        <w:t>(</w:t>
      </w:r>
      <w:r w:rsidRPr="00CA5BC9">
        <w:rPr>
          <w:rFonts w:cs="Times New Roman"/>
          <w:color w:val="222222"/>
          <w:szCs w:val="24"/>
          <w:shd w:val="clear" w:color="auto" w:fill="FFFFFF"/>
          <w:lang w:val="en-ZA"/>
        </w:rPr>
        <w:t>Mrs</w:t>
      </w:r>
      <w:r w:rsidR="004C5207">
        <w:rPr>
          <w:rFonts w:cs="Times New Roman"/>
          <w:color w:val="222222"/>
          <w:szCs w:val="24"/>
          <w:shd w:val="clear" w:color="auto" w:fill="FFFFFF"/>
          <w:lang w:val="en-ZA"/>
        </w:rPr>
        <w:t>)</w:t>
      </w:r>
      <w:r w:rsidRPr="00CA5BC9">
        <w:rPr>
          <w:rFonts w:cs="Times New Roman"/>
          <w:color w:val="222222"/>
          <w:szCs w:val="24"/>
          <w:shd w:val="clear" w:color="auto" w:fill="FFFFFF"/>
          <w:lang w:val="en-ZA"/>
        </w:rPr>
        <w:t xml:space="preserve"> Rasaq Olusegun Adetola, my </w:t>
      </w:r>
      <w:r w:rsidR="00A625D7">
        <w:rPr>
          <w:rFonts w:cs="Times New Roman"/>
          <w:color w:val="222222"/>
          <w:szCs w:val="24"/>
          <w:shd w:val="clear" w:color="auto" w:fill="FFFFFF"/>
          <w:lang w:val="en-ZA"/>
        </w:rPr>
        <w:t xml:space="preserve">Darling </w:t>
      </w:r>
      <w:r w:rsidRPr="00CA5BC9">
        <w:rPr>
          <w:rFonts w:cs="Times New Roman"/>
          <w:color w:val="222222"/>
          <w:szCs w:val="24"/>
          <w:shd w:val="clear" w:color="auto" w:fill="FFFFFF"/>
          <w:lang w:val="en-ZA"/>
        </w:rPr>
        <w:t xml:space="preserve">husband Dr Ibukun Michael </w:t>
      </w:r>
      <w:r w:rsidR="00A625D7" w:rsidRPr="00CA5BC9">
        <w:rPr>
          <w:rFonts w:cs="Times New Roman"/>
          <w:color w:val="222222"/>
          <w:szCs w:val="24"/>
          <w:shd w:val="clear" w:color="auto" w:fill="FFFFFF"/>
          <w:lang w:val="en-ZA"/>
        </w:rPr>
        <w:t xml:space="preserve">Famuyide </w:t>
      </w:r>
      <w:r w:rsidRPr="00CA5BC9">
        <w:rPr>
          <w:rFonts w:cs="Times New Roman"/>
          <w:color w:val="222222"/>
          <w:szCs w:val="24"/>
          <w:shd w:val="clear" w:color="auto" w:fill="FFFFFF"/>
          <w:lang w:val="en-ZA"/>
        </w:rPr>
        <w:t>and my daughter, Shalom Ikeoluwa</w:t>
      </w:r>
      <w:r w:rsidR="00FC07DB">
        <w:rPr>
          <w:rFonts w:cs="Times New Roman"/>
          <w:color w:val="222222"/>
          <w:szCs w:val="24"/>
          <w:shd w:val="clear" w:color="auto" w:fill="FFFFFF"/>
          <w:lang w:val="en-ZA"/>
        </w:rPr>
        <w:t xml:space="preserve"> I.</w:t>
      </w:r>
      <w:r w:rsidR="003E2CFD">
        <w:rPr>
          <w:rFonts w:cs="Times New Roman"/>
          <w:color w:val="222222"/>
          <w:szCs w:val="24"/>
          <w:shd w:val="clear" w:color="auto" w:fill="FFFFFF"/>
          <w:lang w:val="en-ZA"/>
        </w:rPr>
        <w:t xml:space="preserve"> Famuyide</w:t>
      </w:r>
      <w:r w:rsidRPr="00CA5BC9">
        <w:rPr>
          <w:rFonts w:cs="Times New Roman"/>
          <w:color w:val="222222"/>
          <w:szCs w:val="24"/>
          <w:shd w:val="clear" w:color="auto" w:fill="FFFFFF"/>
          <w:lang w:val="en-ZA"/>
        </w:rPr>
        <w:t xml:space="preserve">. They were sources of inspiration, </w:t>
      </w:r>
      <w:r w:rsidR="00864F47">
        <w:rPr>
          <w:rFonts w:cs="Times New Roman"/>
          <w:color w:val="222222"/>
          <w:szCs w:val="24"/>
          <w:shd w:val="clear" w:color="auto" w:fill="FFFFFF"/>
          <w:lang w:val="en-ZA"/>
        </w:rPr>
        <w:t xml:space="preserve">love, </w:t>
      </w:r>
      <w:r w:rsidR="00864F47" w:rsidRPr="00CA5BC9">
        <w:rPr>
          <w:rFonts w:cs="Times New Roman"/>
          <w:color w:val="222222"/>
          <w:szCs w:val="24"/>
          <w:shd w:val="clear" w:color="auto" w:fill="FFFFFF"/>
          <w:lang w:val="en-ZA"/>
        </w:rPr>
        <w:t>care</w:t>
      </w:r>
      <w:r w:rsidR="00864F47">
        <w:rPr>
          <w:rFonts w:cs="Times New Roman"/>
          <w:color w:val="222222"/>
          <w:szCs w:val="24"/>
          <w:shd w:val="clear" w:color="auto" w:fill="FFFFFF"/>
          <w:lang w:val="en-ZA"/>
        </w:rPr>
        <w:t>,</w:t>
      </w:r>
      <w:r w:rsidR="00864F47" w:rsidRPr="00CA5BC9">
        <w:rPr>
          <w:rFonts w:cs="Times New Roman"/>
          <w:color w:val="222222"/>
          <w:szCs w:val="24"/>
          <w:shd w:val="clear" w:color="auto" w:fill="FFFFFF"/>
          <w:lang w:val="en-ZA"/>
        </w:rPr>
        <w:t xml:space="preserve"> </w:t>
      </w:r>
      <w:r w:rsidRPr="00CA5BC9">
        <w:rPr>
          <w:rFonts w:cs="Times New Roman"/>
          <w:color w:val="222222"/>
          <w:szCs w:val="24"/>
          <w:shd w:val="clear" w:color="auto" w:fill="FFFFFF"/>
          <w:lang w:val="en-ZA"/>
        </w:rPr>
        <w:t xml:space="preserve">and immense </w:t>
      </w:r>
      <w:r w:rsidR="00864F47" w:rsidRPr="00CA5BC9">
        <w:rPr>
          <w:rFonts w:cs="Times New Roman"/>
          <w:color w:val="222222"/>
          <w:szCs w:val="24"/>
          <w:shd w:val="clear" w:color="auto" w:fill="FFFFFF"/>
          <w:lang w:val="en-ZA"/>
        </w:rPr>
        <w:t>support</w:t>
      </w:r>
      <w:r w:rsidRPr="00CA5BC9">
        <w:rPr>
          <w:rFonts w:cs="Times New Roman"/>
          <w:color w:val="222222"/>
          <w:szCs w:val="24"/>
          <w:shd w:val="clear" w:color="auto" w:fill="FFFFFF"/>
          <w:lang w:val="en-ZA"/>
        </w:rPr>
        <w:t xml:space="preserve"> towards the achievement of this work</w:t>
      </w:r>
      <w:r w:rsidR="00CA5BC9">
        <w:rPr>
          <w:rFonts w:cs="Times New Roman"/>
          <w:color w:val="222222"/>
          <w:szCs w:val="24"/>
          <w:shd w:val="clear" w:color="auto" w:fill="FFFFFF"/>
          <w:lang w:val="en-ZA"/>
        </w:rPr>
        <w:t>.</w:t>
      </w:r>
    </w:p>
    <w:p w14:paraId="3B2D50F6" w14:textId="15DA07C8" w:rsidR="00B774A1" w:rsidRDefault="00B774A1" w:rsidP="00B774A1">
      <w:pPr>
        <w:tabs>
          <w:tab w:val="left" w:pos="2700"/>
        </w:tabs>
        <w:rPr>
          <w:rFonts w:cs="Times New Roman"/>
          <w:color w:val="222222"/>
          <w:szCs w:val="24"/>
          <w:shd w:val="clear" w:color="auto" w:fill="FFFFFF"/>
          <w:lang w:val="en-ZA"/>
        </w:rPr>
      </w:pPr>
    </w:p>
    <w:p w14:paraId="76B8BC05" w14:textId="77777777" w:rsidR="00B774A1" w:rsidRDefault="00B774A1" w:rsidP="00B774A1">
      <w:pPr>
        <w:tabs>
          <w:tab w:val="left" w:pos="2700"/>
        </w:tabs>
        <w:rPr>
          <w:rFonts w:cs="Times New Roman"/>
          <w:color w:val="222222"/>
          <w:szCs w:val="24"/>
          <w:shd w:val="clear" w:color="auto" w:fill="FFFFFF"/>
          <w:lang w:val="en-ZA"/>
        </w:rPr>
      </w:pPr>
    </w:p>
    <w:p w14:paraId="55A66188" w14:textId="77777777" w:rsidR="00B774A1" w:rsidRDefault="00B774A1" w:rsidP="00B774A1">
      <w:pPr>
        <w:tabs>
          <w:tab w:val="left" w:pos="2700"/>
        </w:tabs>
        <w:rPr>
          <w:rFonts w:cs="Times New Roman"/>
          <w:color w:val="222222"/>
          <w:szCs w:val="24"/>
          <w:shd w:val="clear" w:color="auto" w:fill="FFFFFF"/>
          <w:lang w:val="en-ZA"/>
        </w:rPr>
      </w:pPr>
    </w:p>
    <w:p w14:paraId="5CD5D044" w14:textId="77777777" w:rsidR="00B774A1" w:rsidRDefault="00B774A1" w:rsidP="00B774A1">
      <w:pPr>
        <w:tabs>
          <w:tab w:val="left" w:pos="2700"/>
        </w:tabs>
        <w:rPr>
          <w:rFonts w:cs="Times New Roman"/>
          <w:color w:val="222222"/>
          <w:szCs w:val="24"/>
          <w:shd w:val="clear" w:color="auto" w:fill="FFFFFF"/>
          <w:lang w:val="en-ZA"/>
        </w:rPr>
      </w:pPr>
    </w:p>
    <w:p w14:paraId="51631F01" w14:textId="77777777" w:rsidR="00B774A1" w:rsidRDefault="00B774A1" w:rsidP="00B774A1">
      <w:pPr>
        <w:tabs>
          <w:tab w:val="left" w:pos="2700"/>
        </w:tabs>
        <w:rPr>
          <w:rFonts w:cs="Times New Roman"/>
          <w:color w:val="222222"/>
          <w:szCs w:val="24"/>
          <w:shd w:val="clear" w:color="auto" w:fill="FFFFFF"/>
          <w:lang w:val="en-ZA"/>
        </w:rPr>
      </w:pPr>
    </w:p>
    <w:p w14:paraId="156F51F1" w14:textId="77777777" w:rsidR="00B774A1" w:rsidRDefault="00B774A1" w:rsidP="00B774A1">
      <w:pPr>
        <w:tabs>
          <w:tab w:val="left" w:pos="2700"/>
        </w:tabs>
        <w:rPr>
          <w:rFonts w:cs="Times New Roman"/>
          <w:color w:val="222222"/>
          <w:szCs w:val="24"/>
          <w:shd w:val="clear" w:color="auto" w:fill="FFFFFF"/>
          <w:lang w:val="en-ZA"/>
        </w:rPr>
      </w:pPr>
    </w:p>
    <w:p w14:paraId="2D59A056" w14:textId="77777777" w:rsidR="00B774A1" w:rsidRDefault="00B774A1" w:rsidP="00B774A1">
      <w:pPr>
        <w:tabs>
          <w:tab w:val="left" w:pos="2700"/>
        </w:tabs>
        <w:rPr>
          <w:rFonts w:cs="Times New Roman"/>
          <w:color w:val="222222"/>
          <w:szCs w:val="24"/>
          <w:shd w:val="clear" w:color="auto" w:fill="FFFFFF"/>
          <w:lang w:val="en-ZA"/>
        </w:rPr>
      </w:pPr>
    </w:p>
    <w:p w14:paraId="6A9D4FD1" w14:textId="77777777" w:rsidR="00B774A1" w:rsidRDefault="00B774A1" w:rsidP="00B774A1">
      <w:pPr>
        <w:tabs>
          <w:tab w:val="left" w:pos="2700"/>
        </w:tabs>
        <w:rPr>
          <w:rFonts w:cs="Times New Roman"/>
          <w:color w:val="222222"/>
          <w:szCs w:val="24"/>
          <w:shd w:val="clear" w:color="auto" w:fill="FFFFFF"/>
          <w:lang w:val="en-ZA"/>
        </w:rPr>
      </w:pPr>
    </w:p>
    <w:p w14:paraId="577B5CAD" w14:textId="77777777" w:rsidR="00B774A1" w:rsidRDefault="00B774A1" w:rsidP="00B774A1">
      <w:pPr>
        <w:tabs>
          <w:tab w:val="left" w:pos="2700"/>
        </w:tabs>
        <w:rPr>
          <w:rFonts w:cs="Times New Roman"/>
          <w:color w:val="222222"/>
          <w:szCs w:val="24"/>
          <w:shd w:val="clear" w:color="auto" w:fill="FFFFFF"/>
          <w:lang w:val="en-ZA"/>
        </w:rPr>
      </w:pPr>
    </w:p>
    <w:p w14:paraId="2422B0AD" w14:textId="77777777" w:rsidR="00B774A1" w:rsidRDefault="00B774A1" w:rsidP="00B774A1">
      <w:pPr>
        <w:tabs>
          <w:tab w:val="left" w:pos="2700"/>
        </w:tabs>
        <w:rPr>
          <w:rFonts w:cs="Times New Roman"/>
          <w:color w:val="222222"/>
          <w:szCs w:val="24"/>
          <w:shd w:val="clear" w:color="auto" w:fill="FFFFFF"/>
          <w:lang w:val="en-ZA"/>
        </w:rPr>
      </w:pPr>
    </w:p>
    <w:p w14:paraId="00EABC5C" w14:textId="77777777" w:rsidR="00B774A1" w:rsidRDefault="00B774A1" w:rsidP="00B774A1">
      <w:pPr>
        <w:tabs>
          <w:tab w:val="left" w:pos="2700"/>
        </w:tabs>
        <w:rPr>
          <w:rFonts w:cs="Times New Roman"/>
          <w:color w:val="222222"/>
          <w:szCs w:val="24"/>
          <w:shd w:val="clear" w:color="auto" w:fill="FFFFFF"/>
          <w:lang w:val="en-ZA"/>
        </w:rPr>
      </w:pPr>
    </w:p>
    <w:p w14:paraId="2C35E6E2" w14:textId="77777777" w:rsidR="00B774A1" w:rsidRDefault="00B774A1" w:rsidP="00B774A1">
      <w:pPr>
        <w:tabs>
          <w:tab w:val="left" w:pos="2700"/>
        </w:tabs>
        <w:rPr>
          <w:rFonts w:cs="Times New Roman"/>
          <w:color w:val="222222"/>
          <w:szCs w:val="24"/>
          <w:shd w:val="clear" w:color="auto" w:fill="FFFFFF"/>
          <w:lang w:val="en-ZA"/>
        </w:rPr>
      </w:pPr>
    </w:p>
    <w:p w14:paraId="03AFB488" w14:textId="77777777" w:rsidR="00B774A1" w:rsidRDefault="00B774A1" w:rsidP="00B774A1">
      <w:pPr>
        <w:tabs>
          <w:tab w:val="left" w:pos="2700"/>
        </w:tabs>
        <w:rPr>
          <w:rFonts w:cs="Times New Roman"/>
          <w:color w:val="222222"/>
          <w:szCs w:val="24"/>
          <w:shd w:val="clear" w:color="auto" w:fill="FFFFFF"/>
          <w:lang w:val="en-ZA"/>
        </w:rPr>
      </w:pPr>
    </w:p>
    <w:p w14:paraId="472BB179" w14:textId="77777777" w:rsidR="00B774A1" w:rsidRDefault="00B774A1" w:rsidP="00B774A1">
      <w:pPr>
        <w:tabs>
          <w:tab w:val="left" w:pos="2700"/>
        </w:tabs>
        <w:rPr>
          <w:rFonts w:cs="Times New Roman"/>
          <w:color w:val="222222"/>
          <w:szCs w:val="24"/>
          <w:shd w:val="clear" w:color="auto" w:fill="FFFFFF"/>
          <w:lang w:val="en-ZA"/>
        </w:rPr>
      </w:pPr>
    </w:p>
    <w:p w14:paraId="40EBA8CF" w14:textId="77777777" w:rsidR="00B774A1" w:rsidRDefault="00B774A1" w:rsidP="00B774A1">
      <w:pPr>
        <w:tabs>
          <w:tab w:val="left" w:pos="2700"/>
        </w:tabs>
        <w:rPr>
          <w:rFonts w:cs="Times New Roman"/>
          <w:color w:val="222222"/>
          <w:szCs w:val="24"/>
          <w:shd w:val="clear" w:color="auto" w:fill="FFFFFF"/>
          <w:lang w:val="en-ZA"/>
        </w:rPr>
      </w:pPr>
    </w:p>
    <w:p w14:paraId="46641C1E" w14:textId="77777777" w:rsidR="00B774A1" w:rsidRDefault="00B774A1" w:rsidP="00B774A1">
      <w:pPr>
        <w:tabs>
          <w:tab w:val="left" w:pos="2700"/>
        </w:tabs>
        <w:rPr>
          <w:rFonts w:cs="Times New Roman"/>
          <w:color w:val="222222"/>
          <w:szCs w:val="24"/>
          <w:shd w:val="clear" w:color="auto" w:fill="FFFFFF"/>
          <w:lang w:val="en-ZA"/>
        </w:rPr>
      </w:pPr>
    </w:p>
    <w:p w14:paraId="172D7CEB" w14:textId="77777777" w:rsidR="00B774A1" w:rsidRDefault="00B774A1" w:rsidP="00B774A1">
      <w:pPr>
        <w:tabs>
          <w:tab w:val="left" w:pos="2700"/>
        </w:tabs>
        <w:rPr>
          <w:rFonts w:cs="Times New Roman"/>
          <w:color w:val="222222"/>
          <w:szCs w:val="24"/>
          <w:shd w:val="clear" w:color="auto" w:fill="FFFFFF"/>
          <w:lang w:val="en-ZA"/>
        </w:rPr>
      </w:pPr>
    </w:p>
    <w:p w14:paraId="64CFE647" w14:textId="77777777" w:rsidR="00B774A1" w:rsidRDefault="00B774A1" w:rsidP="00B774A1">
      <w:pPr>
        <w:tabs>
          <w:tab w:val="left" w:pos="2700"/>
        </w:tabs>
        <w:rPr>
          <w:rFonts w:cs="Times New Roman"/>
          <w:color w:val="222222"/>
          <w:szCs w:val="24"/>
          <w:shd w:val="clear" w:color="auto" w:fill="FFFFFF"/>
          <w:lang w:val="en-ZA"/>
        </w:rPr>
      </w:pPr>
    </w:p>
    <w:p w14:paraId="2E420C25" w14:textId="77777777" w:rsidR="00B774A1" w:rsidRDefault="00B774A1" w:rsidP="00B774A1">
      <w:pPr>
        <w:tabs>
          <w:tab w:val="left" w:pos="2700"/>
        </w:tabs>
        <w:rPr>
          <w:rFonts w:cs="Times New Roman"/>
          <w:color w:val="222222"/>
          <w:szCs w:val="24"/>
          <w:shd w:val="clear" w:color="auto" w:fill="FFFFFF"/>
          <w:lang w:val="en-ZA"/>
        </w:rPr>
      </w:pPr>
    </w:p>
    <w:p w14:paraId="627A5417" w14:textId="283D4F28" w:rsidR="00CA5BC9" w:rsidRPr="00CA5BC9" w:rsidRDefault="00CA5BC9" w:rsidP="001D66A6">
      <w:pPr>
        <w:pStyle w:val="Heading1"/>
        <w:rPr>
          <w:shd w:val="clear" w:color="auto" w:fill="FFFFFF"/>
          <w:lang w:val="en-ZA"/>
        </w:rPr>
      </w:pPr>
      <w:bookmarkStart w:id="3" w:name="_Toc65253535"/>
      <w:r w:rsidRPr="00CA5BC9">
        <w:rPr>
          <w:shd w:val="clear" w:color="auto" w:fill="FFFFFF"/>
          <w:lang w:val="en-ZA"/>
        </w:rPr>
        <w:lastRenderedPageBreak/>
        <w:t>A</w:t>
      </w:r>
      <w:r w:rsidR="001B4BED">
        <w:rPr>
          <w:shd w:val="clear" w:color="auto" w:fill="FFFFFF"/>
          <w:lang w:val="en-ZA"/>
        </w:rPr>
        <w:t>C</w:t>
      </w:r>
      <w:r w:rsidRPr="00CA5BC9">
        <w:rPr>
          <w:shd w:val="clear" w:color="auto" w:fill="FFFFFF"/>
          <w:lang w:val="en-ZA"/>
        </w:rPr>
        <w:t>KNOWLEDGEMENTS</w:t>
      </w:r>
      <w:bookmarkEnd w:id="3"/>
      <w:r w:rsidRPr="00CA5BC9">
        <w:rPr>
          <w:shd w:val="clear" w:color="auto" w:fill="FFFFFF"/>
          <w:lang w:val="en-ZA"/>
        </w:rPr>
        <w:t xml:space="preserve"> </w:t>
      </w:r>
    </w:p>
    <w:p w14:paraId="09F8DD50" w14:textId="09B7ABDD" w:rsidR="00CA5BC9" w:rsidRPr="00BE2B1D" w:rsidRDefault="00CA5BC9" w:rsidP="00DF307B">
      <w:pPr>
        <w:tabs>
          <w:tab w:val="left" w:pos="2700"/>
        </w:tabs>
        <w:rPr>
          <w:rFonts w:cs="Times New Roman"/>
          <w:color w:val="222222"/>
          <w:szCs w:val="24"/>
          <w:shd w:val="clear" w:color="auto" w:fill="FFFFFF"/>
          <w:lang w:val="en-ZA"/>
        </w:rPr>
      </w:pPr>
      <w:r w:rsidRPr="00BE2B1D">
        <w:rPr>
          <w:rFonts w:cs="Times New Roman"/>
          <w:color w:val="222222"/>
          <w:szCs w:val="24"/>
          <w:shd w:val="clear" w:color="auto" w:fill="FFFFFF"/>
          <w:lang w:val="en-ZA"/>
        </w:rPr>
        <w:t xml:space="preserve">My profound appreciation goes to the following people </w:t>
      </w:r>
      <w:r w:rsidR="005303BF">
        <w:rPr>
          <w:rFonts w:cs="Times New Roman"/>
          <w:color w:val="222222"/>
          <w:szCs w:val="24"/>
          <w:shd w:val="clear" w:color="auto" w:fill="FFFFFF"/>
          <w:lang w:val="en-ZA"/>
        </w:rPr>
        <w:t xml:space="preserve">and institutions </w:t>
      </w:r>
      <w:r w:rsidR="005303BF" w:rsidRPr="00BE2B1D">
        <w:rPr>
          <w:rFonts w:cs="Times New Roman"/>
          <w:color w:val="222222"/>
          <w:szCs w:val="24"/>
          <w:shd w:val="clear" w:color="auto" w:fill="FFFFFF"/>
          <w:lang w:val="en-ZA"/>
        </w:rPr>
        <w:t>for their valuable contribution to the success of this research:</w:t>
      </w:r>
    </w:p>
    <w:p w14:paraId="4279D413" w14:textId="152C812D" w:rsidR="00CA5BC9" w:rsidRPr="00BE2B1D" w:rsidRDefault="00CA5BC9" w:rsidP="00DF307B">
      <w:pPr>
        <w:tabs>
          <w:tab w:val="left" w:pos="2700"/>
        </w:tabs>
        <w:rPr>
          <w:rFonts w:cs="Times New Roman"/>
          <w:color w:val="222222"/>
          <w:szCs w:val="24"/>
          <w:shd w:val="clear" w:color="auto" w:fill="FFFFFF"/>
          <w:lang w:val="en-ZA"/>
        </w:rPr>
      </w:pPr>
      <w:r w:rsidRPr="00BE2B1D">
        <w:rPr>
          <w:rFonts w:cs="Times New Roman"/>
          <w:color w:val="222222"/>
          <w:szCs w:val="24"/>
          <w:shd w:val="clear" w:color="auto" w:fill="FFFFFF"/>
          <w:lang w:val="en-ZA"/>
        </w:rPr>
        <w:t>My supervisor, Prof. J</w:t>
      </w:r>
      <w:r w:rsidR="004C5207" w:rsidRPr="00BE2B1D">
        <w:rPr>
          <w:rFonts w:cs="Times New Roman"/>
          <w:color w:val="222222"/>
          <w:szCs w:val="24"/>
          <w:shd w:val="clear" w:color="auto" w:fill="FFFFFF"/>
          <w:lang w:val="en-ZA"/>
        </w:rPr>
        <w:t xml:space="preserve">ohn </w:t>
      </w:r>
      <w:r w:rsidRPr="00BE2B1D">
        <w:rPr>
          <w:rFonts w:cs="Times New Roman"/>
          <w:color w:val="222222"/>
          <w:szCs w:val="24"/>
          <w:shd w:val="clear" w:color="auto" w:fill="FFFFFF"/>
          <w:lang w:val="en-ZA"/>
        </w:rPr>
        <w:t xml:space="preserve">R.N. Taylor for his </w:t>
      </w:r>
      <w:r w:rsidR="004C5207" w:rsidRPr="00BE2B1D">
        <w:rPr>
          <w:rFonts w:cs="Times New Roman"/>
          <w:color w:val="222222"/>
          <w:szCs w:val="24"/>
          <w:shd w:val="clear" w:color="auto" w:fill="FFFFFF"/>
          <w:lang w:val="en-ZA"/>
        </w:rPr>
        <w:t>unwavering support, patience</w:t>
      </w:r>
      <w:r w:rsidR="00864F47" w:rsidRPr="00BE2B1D">
        <w:rPr>
          <w:rFonts w:cs="Times New Roman"/>
          <w:color w:val="222222"/>
          <w:szCs w:val="24"/>
          <w:shd w:val="clear" w:color="auto" w:fill="FFFFFF"/>
          <w:lang w:val="en-ZA"/>
        </w:rPr>
        <w:t xml:space="preserve"> and great</w:t>
      </w:r>
      <w:r w:rsidRPr="00BE2B1D">
        <w:rPr>
          <w:rFonts w:cs="Times New Roman"/>
          <w:color w:val="222222"/>
          <w:szCs w:val="24"/>
          <w:shd w:val="clear" w:color="auto" w:fill="FFFFFF"/>
          <w:lang w:val="en-ZA"/>
        </w:rPr>
        <w:t xml:space="preserve"> contribution to this study</w:t>
      </w:r>
      <w:r w:rsidR="00864F47" w:rsidRPr="00BE2B1D">
        <w:rPr>
          <w:rFonts w:cs="Times New Roman"/>
          <w:color w:val="222222"/>
          <w:szCs w:val="24"/>
          <w:shd w:val="clear" w:color="auto" w:fill="FFFFFF"/>
          <w:lang w:val="en-ZA"/>
        </w:rPr>
        <w:t xml:space="preserve"> and for</w:t>
      </w:r>
      <w:r w:rsidRPr="00BE2B1D">
        <w:rPr>
          <w:rFonts w:cs="Times New Roman"/>
          <w:color w:val="222222"/>
          <w:szCs w:val="24"/>
          <w:shd w:val="clear" w:color="auto" w:fill="FFFFFF"/>
          <w:lang w:val="en-ZA"/>
        </w:rPr>
        <w:t xml:space="preserve"> </w:t>
      </w:r>
      <w:r w:rsidR="00864F47" w:rsidRPr="00BE2B1D">
        <w:rPr>
          <w:rFonts w:cs="Times New Roman"/>
          <w:color w:val="222222"/>
          <w:szCs w:val="24"/>
          <w:shd w:val="clear" w:color="auto" w:fill="FFFFFF"/>
          <w:lang w:val="en-ZA"/>
        </w:rPr>
        <w:t xml:space="preserve">timely </w:t>
      </w:r>
      <w:r w:rsidR="004C5207" w:rsidRPr="00BE2B1D">
        <w:rPr>
          <w:rFonts w:cs="Times New Roman"/>
          <w:color w:val="222222"/>
          <w:szCs w:val="24"/>
          <w:shd w:val="clear" w:color="auto" w:fill="FFFFFF"/>
          <w:lang w:val="en-ZA"/>
        </w:rPr>
        <w:t>in</w:t>
      </w:r>
      <w:r w:rsidRPr="00BE2B1D">
        <w:rPr>
          <w:rFonts w:cs="Times New Roman"/>
          <w:color w:val="222222"/>
          <w:szCs w:val="24"/>
          <w:shd w:val="clear" w:color="auto" w:fill="FFFFFF"/>
          <w:lang w:val="en-ZA"/>
        </w:rPr>
        <w:t xml:space="preserve">valuable advice, suggestions and constructive criticism, which </w:t>
      </w:r>
      <w:r w:rsidR="00864F47" w:rsidRPr="00BE2B1D">
        <w:rPr>
          <w:rFonts w:cs="Times New Roman"/>
          <w:color w:val="222222"/>
          <w:szCs w:val="24"/>
          <w:shd w:val="clear" w:color="auto" w:fill="FFFFFF"/>
          <w:lang w:val="en-ZA"/>
        </w:rPr>
        <w:t>brough</w:t>
      </w:r>
      <w:r w:rsidR="004D4ADB">
        <w:rPr>
          <w:rFonts w:cs="Times New Roman"/>
          <w:color w:val="222222"/>
          <w:szCs w:val="24"/>
          <w:shd w:val="clear" w:color="auto" w:fill="FFFFFF"/>
          <w:lang w:val="en-ZA"/>
        </w:rPr>
        <w:t>t</w:t>
      </w:r>
      <w:r w:rsidR="00864F47" w:rsidRPr="00BE2B1D">
        <w:rPr>
          <w:rFonts w:cs="Times New Roman"/>
          <w:color w:val="222222"/>
          <w:szCs w:val="24"/>
          <w:shd w:val="clear" w:color="auto" w:fill="FFFFFF"/>
          <w:lang w:val="en-ZA"/>
        </w:rPr>
        <w:t xml:space="preserve"> out the best from me throughout</w:t>
      </w:r>
      <w:r w:rsidR="00DF307B" w:rsidRPr="00BE2B1D">
        <w:rPr>
          <w:rFonts w:cs="Times New Roman"/>
          <w:color w:val="222222"/>
          <w:szCs w:val="24"/>
          <w:shd w:val="clear" w:color="auto" w:fill="FFFFFF"/>
          <w:lang w:val="en-ZA"/>
        </w:rPr>
        <w:t xml:space="preserve"> </w:t>
      </w:r>
      <w:r w:rsidRPr="00BE2B1D">
        <w:rPr>
          <w:rFonts w:cs="Times New Roman"/>
          <w:color w:val="222222"/>
          <w:szCs w:val="24"/>
          <w:shd w:val="clear" w:color="auto" w:fill="FFFFFF"/>
          <w:lang w:val="en-ZA"/>
        </w:rPr>
        <w:t xml:space="preserve">this study. </w:t>
      </w:r>
      <w:r w:rsidR="00864F47" w:rsidRPr="00BE2B1D">
        <w:rPr>
          <w:rFonts w:cs="Times New Roman"/>
          <w:color w:val="222222"/>
          <w:szCs w:val="24"/>
          <w:shd w:val="clear" w:color="auto" w:fill="FFFFFF"/>
          <w:lang w:val="en-ZA"/>
        </w:rPr>
        <w:t xml:space="preserve">I am also immensely thankful for his understanding and care that he showed towards me throughout the study. </w:t>
      </w:r>
    </w:p>
    <w:p w14:paraId="32E05AC0" w14:textId="63072615" w:rsidR="00C22CC4" w:rsidRPr="00BE2B1D" w:rsidRDefault="00CA5BC9" w:rsidP="00DF307B">
      <w:pPr>
        <w:tabs>
          <w:tab w:val="left" w:pos="2700"/>
        </w:tabs>
        <w:rPr>
          <w:rFonts w:cs="Times New Roman"/>
          <w:color w:val="222222"/>
          <w:szCs w:val="24"/>
          <w:shd w:val="clear" w:color="auto" w:fill="FFFFFF"/>
          <w:lang w:val="en-ZA"/>
        </w:rPr>
      </w:pPr>
      <w:r w:rsidRPr="00BE2B1D">
        <w:rPr>
          <w:rFonts w:cs="Times New Roman"/>
          <w:color w:val="222222"/>
          <w:szCs w:val="24"/>
          <w:shd w:val="clear" w:color="auto" w:fill="FFFFFF"/>
          <w:lang w:val="en-ZA"/>
        </w:rPr>
        <w:t>My co-supervisors</w:t>
      </w:r>
      <w:r w:rsidR="004C5207" w:rsidRPr="00BE2B1D">
        <w:rPr>
          <w:rFonts w:cs="Times New Roman"/>
          <w:color w:val="222222"/>
          <w:szCs w:val="24"/>
          <w:shd w:val="clear" w:color="auto" w:fill="FFFFFF"/>
          <w:lang w:val="en-ZA"/>
        </w:rPr>
        <w:t>,</w:t>
      </w:r>
      <w:r w:rsidRPr="00BE2B1D">
        <w:rPr>
          <w:rFonts w:cs="Times New Roman"/>
          <w:color w:val="222222"/>
          <w:szCs w:val="24"/>
          <w:shd w:val="clear" w:color="auto" w:fill="FFFFFF"/>
          <w:lang w:val="en-ZA"/>
        </w:rPr>
        <w:t xml:space="preserve"> Dr Johanita Kruger for her immense contribution towards the success of this work and Dr Zelda White for her </w:t>
      </w:r>
      <w:r w:rsidR="004D4ADB">
        <w:rPr>
          <w:rFonts w:cs="Times New Roman"/>
          <w:color w:val="222222"/>
          <w:szCs w:val="24"/>
          <w:shd w:val="clear" w:color="auto" w:fill="FFFFFF"/>
          <w:lang w:val="en-ZA"/>
        </w:rPr>
        <w:t xml:space="preserve">timely </w:t>
      </w:r>
      <w:r w:rsidR="004C5207" w:rsidRPr="00BE2B1D">
        <w:rPr>
          <w:rFonts w:cs="Times New Roman"/>
          <w:color w:val="222222"/>
          <w:szCs w:val="24"/>
          <w:shd w:val="clear" w:color="auto" w:fill="FFFFFF"/>
          <w:lang w:val="en-ZA"/>
        </w:rPr>
        <w:t xml:space="preserve">guidance, </w:t>
      </w:r>
      <w:r w:rsidR="004D4ADB">
        <w:rPr>
          <w:rFonts w:cs="Times New Roman"/>
          <w:color w:val="222222"/>
          <w:szCs w:val="24"/>
          <w:shd w:val="clear" w:color="auto" w:fill="FFFFFF"/>
          <w:lang w:val="en-ZA"/>
        </w:rPr>
        <w:t xml:space="preserve">invaluable </w:t>
      </w:r>
      <w:r w:rsidR="004C5207" w:rsidRPr="00BE2B1D">
        <w:rPr>
          <w:rFonts w:cs="Times New Roman"/>
          <w:color w:val="222222"/>
          <w:szCs w:val="24"/>
          <w:shd w:val="clear" w:color="auto" w:fill="FFFFFF"/>
          <w:lang w:val="en-ZA"/>
        </w:rPr>
        <w:t xml:space="preserve">contributions and </w:t>
      </w:r>
      <w:r w:rsidRPr="00BE2B1D">
        <w:rPr>
          <w:rFonts w:cs="Times New Roman"/>
          <w:color w:val="222222"/>
          <w:szCs w:val="24"/>
          <w:shd w:val="clear" w:color="auto" w:fill="FFFFFF"/>
          <w:lang w:val="en-ZA"/>
        </w:rPr>
        <w:t>support</w:t>
      </w:r>
      <w:r w:rsidR="004C5207" w:rsidRPr="00BE2B1D">
        <w:rPr>
          <w:rFonts w:cs="Times New Roman"/>
          <w:color w:val="222222"/>
          <w:szCs w:val="24"/>
          <w:shd w:val="clear" w:color="auto" w:fill="FFFFFF"/>
          <w:lang w:val="en-ZA"/>
        </w:rPr>
        <w:t>.</w:t>
      </w:r>
    </w:p>
    <w:p w14:paraId="11ED0510" w14:textId="341971A4" w:rsidR="00CA5BC9" w:rsidRPr="00BE2B1D" w:rsidRDefault="00CA5BC9" w:rsidP="00DF307B">
      <w:pPr>
        <w:tabs>
          <w:tab w:val="left" w:pos="2700"/>
        </w:tabs>
        <w:rPr>
          <w:rFonts w:cs="Times New Roman"/>
          <w:color w:val="222222"/>
          <w:szCs w:val="24"/>
          <w:shd w:val="clear" w:color="auto" w:fill="FFFFFF"/>
          <w:lang w:val="en-ZA"/>
        </w:rPr>
      </w:pPr>
      <w:r w:rsidRPr="00BE2B1D">
        <w:rPr>
          <w:rFonts w:cs="Times New Roman"/>
          <w:color w:val="222222"/>
          <w:szCs w:val="24"/>
          <w:shd w:val="clear" w:color="auto" w:fill="FFFFFF"/>
          <w:lang w:val="en-ZA"/>
        </w:rPr>
        <w:t xml:space="preserve">Prof. K.G. Duodu was </w:t>
      </w:r>
      <w:r w:rsidR="00CC031A">
        <w:rPr>
          <w:rFonts w:cs="Times New Roman"/>
          <w:color w:val="222222"/>
          <w:szCs w:val="24"/>
          <w:shd w:val="clear" w:color="auto" w:fill="FFFFFF"/>
          <w:lang w:val="en-ZA"/>
        </w:rPr>
        <w:t xml:space="preserve">most </w:t>
      </w:r>
      <w:r w:rsidRPr="00BE2B1D">
        <w:rPr>
          <w:rFonts w:cs="Times New Roman"/>
          <w:color w:val="222222"/>
          <w:szCs w:val="24"/>
          <w:shd w:val="clear" w:color="auto" w:fill="FFFFFF"/>
          <w:lang w:val="en-ZA"/>
        </w:rPr>
        <w:t>helpful in some aspects of the work especially in the chemistry aspects. He also encouraged me towards the successful completion of this research</w:t>
      </w:r>
      <w:r w:rsidR="004C5207" w:rsidRPr="00BE2B1D">
        <w:rPr>
          <w:rFonts w:cs="Times New Roman"/>
          <w:color w:val="222222"/>
          <w:szCs w:val="24"/>
          <w:shd w:val="clear" w:color="auto" w:fill="FFFFFF"/>
          <w:lang w:val="en-ZA"/>
        </w:rPr>
        <w:t>.</w:t>
      </w:r>
    </w:p>
    <w:p w14:paraId="713B3C7F" w14:textId="0A7F267F" w:rsidR="00CA5BC9" w:rsidRPr="00BE2B1D" w:rsidRDefault="00CA5BC9" w:rsidP="00DF307B">
      <w:pPr>
        <w:tabs>
          <w:tab w:val="left" w:pos="2700"/>
        </w:tabs>
        <w:rPr>
          <w:rFonts w:cs="Times New Roman"/>
          <w:color w:val="222222"/>
          <w:szCs w:val="24"/>
          <w:shd w:val="clear" w:color="auto" w:fill="FFFFFF"/>
          <w:lang w:val="en-ZA"/>
        </w:rPr>
      </w:pPr>
      <w:r w:rsidRPr="00BE2B1D">
        <w:rPr>
          <w:rFonts w:cs="Times New Roman"/>
          <w:color w:val="222222"/>
          <w:szCs w:val="24"/>
          <w:shd w:val="clear" w:color="auto" w:fill="FFFFFF"/>
          <w:lang w:val="en-ZA"/>
        </w:rPr>
        <w:t xml:space="preserve">The United States Agency for International Development (USAID) </w:t>
      </w:r>
      <w:r w:rsidR="00CC031A" w:rsidRPr="00CC031A">
        <w:rPr>
          <w:rFonts w:cs="Times New Roman"/>
          <w:color w:val="222222"/>
          <w:szCs w:val="24"/>
          <w:shd w:val="clear" w:color="auto" w:fill="FFFFFF"/>
          <w:lang w:val="en-ZA"/>
        </w:rPr>
        <w:t xml:space="preserve">Bureau for Food Security under Agreement # AID-OAA-L-12-00003 as part of </w:t>
      </w:r>
      <w:r w:rsidR="00CC031A">
        <w:rPr>
          <w:rFonts w:cs="Times New Roman"/>
          <w:color w:val="222222"/>
          <w:szCs w:val="24"/>
          <w:shd w:val="clear" w:color="auto" w:fill="FFFFFF"/>
          <w:lang w:val="en-ZA"/>
        </w:rPr>
        <w:t xml:space="preserve">the </w:t>
      </w:r>
      <w:r w:rsidR="00CC031A" w:rsidRPr="00CC031A">
        <w:rPr>
          <w:rFonts w:cs="Times New Roman"/>
          <w:color w:val="222222"/>
          <w:szCs w:val="24"/>
          <w:shd w:val="clear" w:color="auto" w:fill="FFFFFF"/>
          <w:lang w:val="en-ZA"/>
        </w:rPr>
        <w:t>Feed the Future Innovation Lab for Food Processing and Post-harvest Handling</w:t>
      </w:r>
      <w:r w:rsidR="00CC031A">
        <w:rPr>
          <w:rFonts w:cs="Times New Roman"/>
          <w:color w:val="222222"/>
          <w:szCs w:val="24"/>
          <w:shd w:val="clear" w:color="auto" w:fill="FFFFFF"/>
          <w:lang w:val="en-ZA"/>
        </w:rPr>
        <w:t xml:space="preserve"> for </w:t>
      </w:r>
      <w:r w:rsidRPr="00BE2B1D">
        <w:rPr>
          <w:rFonts w:cs="Times New Roman"/>
          <w:color w:val="222222"/>
          <w:szCs w:val="24"/>
          <w:shd w:val="clear" w:color="auto" w:fill="FFFFFF"/>
          <w:lang w:val="en-ZA"/>
        </w:rPr>
        <w:t>fund</w:t>
      </w:r>
      <w:r w:rsidR="00CC031A">
        <w:rPr>
          <w:rFonts w:cs="Times New Roman"/>
          <w:color w:val="222222"/>
          <w:szCs w:val="24"/>
          <w:shd w:val="clear" w:color="auto" w:fill="FFFFFF"/>
          <w:lang w:val="en-ZA"/>
        </w:rPr>
        <w:t>ing</w:t>
      </w:r>
      <w:r w:rsidRPr="00BE2B1D">
        <w:rPr>
          <w:rFonts w:cs="Times New Roman"/>
          <w:color w:val="222222"/>
          <w:szCs w:val="24"/>
          <w:shd w:val="clear" w:color="auto" w:fill="FFFFFF"/>
          <w:lang w:val="en-ZA"/>
        </w:rPr>
        <w:t xml:space="preserve"> this </w:t>
      </w:r>
      <w:r w:rsidR="00864F47" w:rsidRPr="00BE2B1D">
        <w:rPr>
          <w:rFonts w:cs="Times New Roman"/>
          <w:color w:val="222222"/>
          <w:szCs w:val="24"/>
          <w:shd w:val="clear" w:color="auto" w:fill="FFFFFF"/>
          <w:lang w:val="en-ZA"/>
        </w:rPr>
        <w:t xml:space="preserve">PhD </w:t>
      </w:r>
      <w:r w:rsidRPr="00BE2B1D">
        <w:rPr>
          <w:rFonts w:cs="Times New Roman"/>
          <w:color w:val="222222"/>
          <w:szCs w:val="24"/>
          <w:shd w:val="clear" w:color="auto" w:fill="FFFFFF"/>
          <w:lang w:val="en-ZA"/>
        </w:rPr>
        <w:t xml:space="preserve">research </w:t>
      </w:r>
      <w:r w:rsidR="00CC031A">
        <w:rPr>
          <w:rFonts w:cs="Times New Roman"/>
          <w:color w:val="222222"/>
          <w:szCs w:val="24"/>
          <w:shd w:val="clear" w:color="auto" w:fill="FFFFFF"/>
          <w:lang w:val="en-ZA"/>
        </w:rPr>
        <w:t xml:space="preserve">work </w:t>
      </w:r>
      <w:r w:rsidR="00864F47" w:rsidRPr="00BE2B1D">
        <w:rPr>
          <w:rFonts w:cs="Times New Roman"/>
          <w:color w:val="222222"/>
          <w:szCs w:val="24"/>
          <w:shd w:val="clear" w:color="auto" w:fill="FFFFFF"/>
          <w:lang w:val="en-ZA"/>
        </w:rPr>
        <w:t>and provid</w:t>
      </w:r>
      <w:r w:rsidR="00CC031A">
        <w:rPr>
          <w:rFonts w:cs="Times New Roman"/>
          <w:color w:val="222222"/>
          <w:szCs w:val="24"/>
          <w:shd w:val="clear" w:color="auto" w:fill="FFFFFF"/>
          <w:lang w:val="en-ZA"/>
        </w:rPr>
        <w:t>ing a part</w:t>
      </w:r>
      <w:r w:rsidR="00864F47" w:rsidRPr="00BE2B1D">
        <w:rPr>
          <w:rFonts w:cs="Times New Roman"/>
          <w:color w:val="222222"/>
          <w:szCs w:val="24"/>
          <w:shd w:val="clear" w:color="auto" w:fill="FFFFFF"/>
          <w:lang w:val="en-ZA"/>
        </w:rPr>
        <w:t xml:space="preserve"> bursary</w:t>
      </w:r>
      <w:r w:rsidR="00BE2B1D" w:rsidRPr="00BE2B1D">
        <w:rPr>
          <w:rFonts w:cs="Times New Roman"/>
          <w:color w:val="222222"/>
          <w:szCs w:val="24"/>
          <w:shd w:val="clear" w:color="auto" w:fill="FFFFFF"/>
          <w:lang w:val="en-ZA"/>
        </w:rPr>
        <w:t>.</w:t>
      </w:r>
      <w:r w:rsidRPr="00BE2B1D">
        <w:rPr>
          <w:rFonts w:cs="Times New Roman"/>
          <w:color w:val="222222"/>
          <w:szCs w:val="24"/>
          <w:shd w:val="clear" w:color="auto" w:fill="FFFFFF"/>
          <w:lang w:val="en-ZA"/>
        </w:rPr>
        <w:t xml:space="preserve"> </w:t>
      </w:r>
      <w:r w:rsidR="00CC031A">
        <w:rPr>
          <w:rFonts w:cs="Times New Roman"/>
          <w:color w:val="222222"/>
          <w:szCs w:val="24"/>
          <w:shd w:val="clear" w:color="auto" w:fill="FFFFFF"/>
          <w:lang w:val="en-ZA"/>
        </w:rPr>
        <w:t>T</w:t>
      </w:r>
      <w:r w:rsidR="004C5207" w:rsidRPr="00BE2B1D">
        <w:rPr>
          <w:rFonts w:cs="Times New Roman"/>
          <w:color w:val="222222"/>
          <w:szCs w:val="24"/>
          <w:shd w:val="clear" w:color="auto" w:fill="FFFFFF"/>
          <w:lang w:val="en-ZA"/>
        </w:rPr>
        <w:t xml:space="preserve">he South African National Research Foundation (NRF) and </w:t>
      </w:r>
      <w:r w:rsidRPr="00BE2B1D">
        <w:rPr>
          <w:rFonts w:cs="Times New Roman"/>
          <w:color w:val="222222"/>
          <w:szCs w:val="24"/>
          <w:shd w:val="clear" w:color="auto" w:fill="FFFFFF"/>
          <w:lang w:val="en-ZA"/>
        </w:rPr>
        <w:t>The World Academy of Science (TWAS)</w:t>
      </w:r>
      <w:r w:rsidR="00CC031A">
        <w:rPr>
          <w:rFonts w:cs="Times New Roman"/>
          <w:color w:val="222222"/>
          <w:szCs w:val="24"/>
          <w:shd w:val="clear" w:color="auto" w:fill="FFFFFF"/>
          <w:lang w:val="en-ZA"/>
        </w:rPr>
        <w:t xml:space="preserve"> for providing funding for my personal upkeep for the duration of this study</w:t>
      </w:r>
      <w:r w:rsidRPr="00BE2B1D">
        <w:rPr>
          <w:rFonts w:cs="Times New Roman"/>
          <w:color w:val="222222"/>
          <w:szCs w:val="24"/>
          <w:shd w:val="clear" w:color="auto" w:fill="FFFFFF"/>
          <w:lang w:val="en-ZA"/>
        </w:rPr>
        <w:t xml:space="preserve">. The University of Pretoria </w:t>
      </w:r>
      <w:r w:rsidR="004356EA">
        <w:rPr>
          <w:rFonts w:cs="Times New Roman"/>
          <w:color w:val="222222"/>
          <w:szCs w:val="24"/>
          <w:shd w:val="clear" w:color="auto" w:fill="FFFFFF"/>
          <w:lang w:val="en-ZA"/>
        </w:rPr>
        <w:t xml:space="preserve">for </w:t>
      </w:r>
      <w:r w:rsidRPr="00BE2B1D">
        <w:rPr>
          <w:rFonts w:cs="Times New Roman"/>
          <w:color w:val="222222"/>
          <w:szCs w:val="24"/>
          <w:shd w:val="clear" w:color="auto" w:fill="FFFFFF"/>
          <w:lang w:val="en-ZA"/>
        </w:rPr>
        <w:t>provi</w:t>
      </w:r>
      <w:r w:rsidR="004356EA">
        <w:rPr>
          <w:rFonts w:cs="Times New Roman"/>
          <w:color w:val="222222"/>
          <w:szCs w:val="24"/>
          <w:shd w:val="clear" w:color="auto" w:fill="FFFFFF"/>
          <w:lang w:val="en-ZA"/>
        </w:rPr>
        <w:t>sion of</w:t>
      </w:r>
      <w:r w:rsidRPr="00BE2B1D">
        <w:rPr>
          <w:rFonts w:cs="Times New Roman"/>
          <w:color w:val="222222"/>
          <w:szCs w:val="24"/>
          <w:shd w:val="clear" w:color="auto" w:fill="FFFFFF"/>
          <w:lang w:val="en-ZA"/>
        </w:rPr>
        <w:t xml:space="preserve"> </w:t>
      </w:r>
      <w:r w:rsidR="004356EA">
        <w:rPr>
          <w:rFonts w:cs="Times New Roman"/>
          <w:color w:val="222222"/>
          <w:szCs w:val="24"/>
          <w:shd w:val="clear" w:color="auto" w:fill="FFFFFF"/>
          <w:lang w:val="en-ZA"/>
        </w:rPr>
        <w:t>a</w:t>
      </w:r>
      <w:r w:rsidR="00BE2B1D" w:rsidRPr="00BE2B1D">
        <w:rPr>
          <w:rFonts w:cs="Times New Roman"/>
          <w:color w:val="222222"/>
          <w:szCs w:val="24"/>
          <w:shd w:val="clear" w:color="auto" w:fill="FFFFFF"/>
          <w:lang w:val="en-ZA"/>
        </w:rPr>
        <w:t xml:space="preserve"> </w:t>
      </w:r>
      <w:r w:rsidR="005E5D9C">
        <w:rPr>
          <w:rFonts w:cs="Times New Roman"/>
          <w:color w:val="222222"/>
          <w:szCs w:val="24"/>
          <w:shd w:val="clear" w:color="auto" w:fill="FFFFFF"/>
          <w:lang w:val="en-ZA"/>
        </w:rPr>
        <w:t xml:space="preserve">Doctoral </w:t>
      </w:r>
      <w:r w:rsidRPr="00BE2B1D">
        <w:rPr>
          <w:rFonts w:cs="Times New Roman"/>
          <w:color w:val="222222"/>
          <w:szCs w:val="24"/>
          <w:shd w:val="clear" w:color="auto" w:fill="FFFFFF"/>
          <w:lang w:val="en-ZA"/>
        </w:rPr>
        <w:t xml:space="preserve">Postgraduate bursary. </w:t>
      </w:r>
    </w:p>
    <w:p w14:paraId="088CBE50" w14:textId="2FCF5566" w:rsidR="00CA5BC9" w:rsidRPr="00BE2B1D" w:rsidRDefault="00CA5BC9" w:rsidP="00DF307B">
      <w:pPr>
        <w:tabs>
          <w:tab w:val="left" w:pos="2700"/>
        </w:tabs>
        <w:rPr>
          <w:rFonts w:cs="Times New Roman"/>
          <w:color w:val="222222"/>
          <w:szCs w:val="24"/>
          <w:shd w:val="clear" w:color="auto" w:fill="FFFFFF"/>
          <w:lang w:val="en-ZA"/>
        </w:rPr>
      </w:pPr>
      <w:r w:rsidRPr="00BE2B1D">
        <w:rPr>
          <w:rFonts w:cs="Times New Roman"/>
          <w:color w:val="222222"/>
          <w:szCs w:val="24"/>
          <w:shd w:val="clear" w:color="auto" w:fill="FFFFFF"/>
          <w:lang w:val="en-ZA"/>
        </w:rPr>
        <w:t xml:space="preserve">Academic staff, </w:t>
      </w:r>
      <w:r w:rsidR="00BE2B1D" w:rsidRPr="00BE2B1D">
        <w:rPr>
          <w:rFonts w:cs="Times New Roman"/>
          <w:color w:val="222222"/>
          <w:szCs w:val="24"/>
          <w:shd w:val="clear" w:color="auto" w:fill="FFFFFF"/>
          <w:lang w:val="en-ZA"/>
        </w:rPr>
        <w:t>support</w:t>
      </w:r>
      <w:r w:rsidR="00DF307B" w:rsidRPr="00BE2B1D">
        <w:rPr>
          <w:rFonts w:cs="Times New Roman"/>
          <w:color w:val="222222"/>
          <w:szCs w:val="24"/>
          <w:shd w:val="clear" w:color="auto" w:fill="FFFFFF"/>
          <w:lang w:val="en-ZA"/>
        </w:rPr>
        <w:t xml:space="preserve"> staff </w:t>
      </w:r>
      <w:r w:rsidRPr="00BE2B1D">
        <w:rPr>
          <w:rFonts w:cs="Times New Roman"/>
          <w:color w:val="222222"/>
          <w:szCs w:val="24"/>
          <w:shd w:val="clear" w:color="auto" w:fill="FFFFFF"/>
          <w:lang w:val="en-ZA"/>
        </w:rPr>
        <w:t xml:space="preserve">and </w:t>
      </w:r>
      <w:r w:rsidR="00BE2B1D" w:rsidRPr="00BE2B1D">
        <w:rPr>
          <w:rFonts w:cs="Times New Roman"/>
          <w:color w:val="222222"/>
          <w:szCs w:val="24"/>
          <w:shd w:val="clear" w:color="auto" w:fill="FFFFFF"/>
          <w:lang w:val="en-ZA"/>
        </w:rPr>
        <w:t xml:space="preserve">fellow </w:t>
      </w:r>
      <w:r w:rsidRPr="00BE2B1D">
        <w:rPr>
          <w:rFonts w:cs="Times New Roman"/>
          <w:color w:val="222222"/>
          <w:szCs w:val="24"/>
          <w:shd w:val="clear" w:color="auto" w:fill="FFFFFF"/>
          <w:lang w:val="en-ZA"/>
        </w:rPr>
        <w:t xml:space="preserve">post graduate </w:t>
      </w:r>
      <w:r w:rsidR="00BE2B1D" w:rsidRPr="00BE2B1D">
        <w:rPr>
          <w:rFonts w:cs="Times New Roman"/>
          <w:color w:val="222222"/>
          <w:szCs w:val="24"/>
          <w:shd w:val="clear" w:color="auto" w:fill="FFFFFF"/>
          <w:lang w:val="en-ZA"/>
        </w:rPr>
        <w:t>students</w:t>
      </w:r>
      <w:r w:rsidRPr="00BE2B1D">
        <w:rPr>
          <w:rFonts w:cs="Times New Roman"/>
          <w:color w:val="222222"/>
          <w:szCs w:val="24"/>
          <w:shd w:val="clear" w:color="auto" w:fill="FFFFFF"/>
          <w:lang w:val="en-ZA"/>
        </w:rPr>
        <w:t xml:space="preserve"> at the Department of Consumer and Food Sciences, University of Pretoria for your </w:t>
      </w:r>
      <w:r w:rsidR="00DF307B" w:rsidRPr="00BE2B1D">
        <w:rPr>
          <w:rFonts w:cs="Times New Roman"/>
          <w:color w:val="222222"/>
          <w:szCs w:val="24"/>
          <w:shd w:val="clear" w:color="auto" w:fill="FFFFFF"/>
          <w:lang w:val="en-ZA"/>
        </w:rPr>
        <w:t xml:space="preserve">support and </w:t>
      </w:r>
      <w:r w:rsidRPr="00BE2B1D">
        <w:rPr>
          <w:rFonts w:cs="Times New Roman"/>
          <w:color w:val="222222"/>
          <w:szCs w:val="24"/>
          <w:shd w:val="clear" w:color="auto" w:fill="FFFFFF"/>
          <w:lang w:val="en-ZA"/>
        </w:rPr>
        <w:t xml:space="preserve">assistance. </w:t>
      </w:r>
      <w:r w:rsidR="009245F7">
        <w:rPr>
          <w:rFonts w:cs="Times New Roman"/>
          <w:color w:val="222222"/>
          <w:szCs w:val="24"/>
          <w:shd w:val="clear" w:color="auto" w:fill="FFFFFF"/>
          <w:lang w:val="en-ZA"/>
        </w:rPr>
        <w:t xml:space="preserve">Emma Stacy and Jenna Toye for their </w:t>
      </w:r>
      <w:r w:rsidR="005E5D9C">
        <w:rPr>
          <w:rFonts w:cs="Times New Roman"/>
          <w:color w:val="222222"/>
          <w:szCs w:val="24"/>
          <w:shd w:val="clear" w:color="auto" w:fill="FFFFFF"/>
          <w:lang w:val="en-ZA"/>
        </w:rPr>
        <w:t xml:space="preserve">timely </w:t>
      </w:r>
      <w:r w:rsidR="009245F7">
        <w:rPr>
          <w:rFonts w:cs="Times New Roman"/>
          <w:color w:val="222222"/>
          <w:szCs w:val="24"/>
          <w:shd w:val="clear" w:color="auto" w:fill="FFFFFF"/>
          <w:lang w:val="en-ZA"/>
        </w:rPr>
        <w:t>helpful contributions towards the completion of this work.</w:t>
      </w:r>
    </w:p>
    <w:p w14:paraId="12CA9AF0" w14:textId="16BD6830" w:rsidR="00CA5BC9" w:rsidRPr="00BE2B1D" w:rsidRDefault="00CA5BC9" w:rsidP="00DF307B">
      <w:pPr>
        <w:tabs>
          <w:tab w:val="left" w:pos="2700"/>
        </w:tabs>
        <w:rPr>
          <w:rFonts w:cs="Times New Roman"/>
          <w:color w:val="222222"/>
          <w:szCs w:val="24"/>
          <w:shd w:val="clear" w:color="auto" w:fill="FFFFFF"/>
          <w:lang w:val="en-ZA"/>
        </w:rPr>
      </w:pPr>
      <w:r w:rsidRPr="00BE2B1D">
        <w:rPr>
          <w:rFonts w:cs="Times New Roman"/>
          <w:color w:val="222222"/>
          <w:szCs w:val="24"/>
          <w:shd w:val="clear" w:color="auto" w:fill="FFFFFF"/>
          <w:lang w:val="en-ZA"/>
        </w:rPr>
        <w:t xml:space="preserve">My parents </w:t>
      </w:r>
      <w:r w:rsidR="004C5207" w:rsidRPr="00BE2B1D">
        <w:rPr>
          <w:rFonts w:cs="Times New Roman"/>
          <w:color w:val="222222"/>
          <w:szCs w:val="24"/>
          <w:shd w:val="clear" w:color="auto" w:fill="FFFFFF"/>
          <w:lang w:val="en-ZA"/>
        </w:rPr>
        <w:t>Rev.</w:t>
      </w:r>
      <w:r w:rsidRPr="00BE2B1D">
        <w:rPr>
          <w:rFonts w:cs="Times New Roman"/>
          <w:color w:val="222222"/>
          <w:szCs w:val="24"/>
          <w:shd w:val="clear" w:color="auto" w:fill="FFFFFF"/>
          <w:lang w:val="en-ZA"/>
        </w:rPr>
        <w:t xml:space="preserve"> and Pastor (Mrs) Adetola </w:t>
      </w:r>
      <w:r w:rsidR="004C5207" w:rsidRPr="00BE2B1D">
        <w:rPr>
          <w:rFonts w:cs="Times New Roman"/>
          <w:color w:val="222222"/>
          <w:szCs w:val="24"/>
          <w:shd w:val="clear" w:color="auto" w:fill="FFFFFF"/>
          <w:lang w:val="en-ZA"/>
        </w:rPr>
        <w:t>and my parent</w:t>
      </w:r>
      <w:r w:rsidR="0080574E" w:rsidRPr="00BE2B1D">
        <w:rPr>
          <w:rFonts w:cs="Times New Roman"/>
          <w:color w:val="222222"/>
          <w:szCs w:val="24"/>
          <w:shd w:val="clear" w:color="auto" w:fill="FFFFFF"/>
          <w:lang w:val="en-ZA"/>
        </w:rPr>
        <w:t>-</w:t>
      </w:r>
      <w:r w:rsidR="004C5207" w:rsidRPr="00BE2B1D">
        <w:rPr>
          <w:rFonts w:cs="Times New Roman"/>
          <w:color w:val="222222"/>
          <w:szCs w:val="24"/>
          <w:shd w:val="clear" w:color="auto" w:fill="FFFFFF"/>
          <w:lang w:val="en-ZA"/>
        </w:rPr>
        <w:t xml:space="preserve">in-law Pastor and Mrs Emmanuel Famuyide </w:t>
      </w:r>
      <w:r w:rsidRPr="00BE2B1D">
        <w:rPr>
          <w:rFonts w:cs="Times New Roman"/>
          <w:color w:val="222222"/>
          <w:szCs w:val="24"/>
          <w:shd w:val="clear" w:color="auto" w:fill="FFFFFF"/>
          <w:lang w:val="en-ZA"/>
        </w:rPr>
        <w:t>were strong pillars of support. My siblings, Tomi, Temi and Oyinlol</w:t>
      </w:r>
      <w:r w:rsidR="0043041D">
        <w:rPr>
          <w:rFonts w:cs="Times New Roman"/>
          <w:color w:val="222222"/>
          <w:szCs w:val="24"/>
          <w:shd w:val="clear" w:color="auto" w:fill="FFFFFF"/>
          <w:lang w:val="en-ZA"/>
        </w:rPr>
        <w:t>uwa</w:t>
      </w:r>
      <w:r w:rsidRPr="00BE2B1D">
        <w:rPr>
          <w:rFonts w:cs="Times New Roman"/>
          <w:color w:val="222222"/>
          <w:szCs w:val="24"/>
          <w:shd w:val="clear" w:color="auto" w:fill="FFFFFF"/>
          <w:lang w:val="en-ZA"/>
        </w:rPr>
        <w:t xml:space="preserve"> were sources of inspiration and support.</w:t>
      </w:r>
    </w:p>
    <w:p w14:paraId="5C9B3615" w14:textId="018A5F21" w:rsidR="00CA5BC9" w:rsidRPr="00BE2B1D" w:rsidRDefault="00CA5BC9" w:rsidP="00DF307B">
      <w:pPr>
        <w:tabs>
          <w:tab w:val="left" w:pos="2700"/>
        </w:tabs>
        <w:rPr>
          <w:rFonts w:cs="Times New Roman"/>
          <w:color w:val="222222"/>
          <w:szCs w:val="24"/>
          <w:shd w:val="clear" w:color="auto" w:fill="FFFFFF"/>
          <w:lang w:val="en-ZA"/>
        </w:rPr>
      </w:pPr>
      <w:r w:rsidRPr="00BE2B1D">
        <w:rPr>
          <w:rFonts w:cs="Times New Roman"/>
          <w:color w:val="222222"/>
          <w:szCs w:val="24"/>
          <w:shd w:val="clear" w:color="auto" w:fill="FFFFFF"/>
          <w:lang w:val="en-ZA"/>
        </w:rPr>
        <w:t>My lovely husband, Dr Ibukun Famuyide</w:t>
      </w:r>
      <w:r w:rsidR="0043041D">
        <w:rPr>
          <w:rFonts w:cs="Times New Roman"/>
          <w:color w:val="222222"/>
          <w:szCs w:val="24"/>
          <w:shd w:val="clear" w:color="auto" w:fill="FFFFFF"/>
          <w:lang w:val="en-ZA"/>
        </w:rPr>
        <w:t xml:space="preserve"> was a</w:t>
      </w:r>
      <w:r w:rsidR="00BE2B1D" w:rsidRPr="00BE2B1D">
        <w:rPr>
          <w:rFonts w:cs="Times New Roman"/>
          <w:color w:val="222222"/>
          <w:szCs w:val="24"/>
          <w:shd w:val="clear" w:color="auto" w:fill="FFFFFF"/>
          <w:lang w:val="en-ZA"/>
        </w:rPr>
        <w:t xml:space="preserve"> </w:t>
      </w:r>
      <w:r w:rsidRPr="00BE2B1D">
        <w:rPr>
          <w:rFonts w:cs="Times New Roman"/>
          <w:color w:val="222222"/>
          <w:szCs w:val="24"/>
          <w:shd w:val="clear" w:color="auto" w:fill="FFFFFF"/>
          <w:lang w:val="en-ZA"/>
        </w:rPr>
        <w:t xml:space="preserve">constant source of strength, </w:t>
      </w:r>
      <w:r w:rsidR="004C5207" w:rsidRPr="00BE2B1D">
        <w:rPr>
          <w:rFonts w:cs="Times New Roman"/>
          <w:color w:val="222222"/>
          <w:szCs w:val="24"/>
          <w:shd w:val="clear" w:color="auto" w:fill="FFFFFF"/>
          <w:lang w:val="en-ZA"/>
        </w:rPr>
        <w:t>help</w:t>
      </w:r>
      <w:r w:rsidR="003E2CFD">
        <w:rPr>
          <w:rFonts w:cs="Times New Roman"/>
          <w:color w:val="222222"/>
          <w:szCs w:val="24"/>
          <w:shd w:val="clear" w:color="auto" w:fill="FFFFFF"/>
          <w:lang w:val="en-ZA"/>
        </w:rPr>
        <w:t xml:space="preserve"> and</w:t>
      </w:r>
      <w:r w:rsidR="004C5207" w:rsidRPr="00BE2B1D">
        <w:rPr>
          <w:rFonts w:cs="Times New Roman"/>
          <w:color w:val="222222"/>
          <w:szCs w:val="24"/>
          <w:shd w:val="clear" w:color="auto" w:fill="FFFFFF"/>
          <w:lang w:val="en-ZA"/>
        </w:rPr>
        <w:t xml:space="preserve"> </w:t>
      </w:r>
      <w:r w:rsidRPr="00BE2B1D">
        <w:rPr>
          <w:rFonts w:cs="Times New Roman"/>
          <w:color w:val="222222"/>
          <w:szCs w:val="24"/>
          <w:shd w:val="clear" w:color="auto" w:fill="FFFFFF"/>
          <w:lang w:val="en-ZA"/>
        </w:rPr>
        <w:t>support</w:t>
      </w:r>
      <w:r w:rsidR="0043041D">
        <w:rPr>
          <w:rFonts w:cs="Times New Roman"/>
          <w:color w:val="222222"/>
          <w:szCs w:val="24"/>
          <w:shd w:val="clear" w:color="auto" w:fill="FFFFFF"/>
          <w:lang w:val="en-ZA"/>
        </w:rPr>
        <w:t>. I am very grateful for his</w:t>
      </w:r>
      <w:r w:rsidRPr="00BE2B1D">
        <w:rPr>
          <w:rFonts w:cs="Times New Roman"/>
          <w:color w:val="222222"/>
          <w:szCs w:val="24"/>
          <w:shd w:val="clear" w:color="auto" w:fill="FFFFFF"/>
          <w:lang w:val="en-ZA"/>
        </w:rPr>
        <w:t xml:space="preserve"> love, patience and understanding throughout the course of this study. </w:t>
      </w:r>
      <w:r w:rsidR="00103DD1">
        <w:rPr>
          <w:rFonts w:cs="Times New Roman"/>
          <w:color w:val="222222"/>
          <w:szCs w:val="24"/>
          <w:shd w:val="clear" w:color="auto" w:fill="FFFFFF"/>
          <w:lang w:val="en-ZA"/>
        </w:rPr>
        <w:t xml:space="preserve">Without his selfless support, this work would not have been possible. </w:t>
      </w:r>
      <w:r w:rsidRPr="00BE2B1D">
        <w:rPr>
          <w:rFonts w:cs="Times New Roman"/>
          <w:color w:val="222222"/>
          <w:szCs w:val="24"/>
          <w:shd w:val="clear" w:color="auto" w:fill="FFFFFF"/>
          <w:lang w:val="en-ZA"/>
        </w:rPr>
        <w:t xml:space="preserve">Also, I appreciate the support of my beloved daughter, Shalom, who was born during this study. </w:t>
      </w:r>
    </w:p>
    <w:p w14:paraId="0DA97BFA" w14:textId="47F993B1" w:rsidR="00B774A1" w:rsidRDefault="00BE2B1D" w:rsidP="00DF307B">
      <w:pPr>
        <w:tabs>
          <w:tab w:val="left" w:pos="2700"/>
        </w:tabs>
        <w:rPr>
          <w:rFonts w:cs="Times New Roman"/>
          <w:color w:val="222222"/>
          <w:szCs w:val="24"/>
          <w:shd w:val="clear" w:color="auto" w:fill="FFFFFF"/>
          <w:lang w:val="en-ZA"/>
        </w:rPr>
      </w:pPr>
      <w:r w:rsidRPr="00BE2B1D">
        <w:rPr>
          <w:rFonts w:cs="Times New Roman"/>
          <w:color w:val="222222"/>
          <w:szCs w:val="24"/>
          <w:shd w:val="clear" w:color="auto" w:fill="FFFFFF"/>
          <w:lang w:val="en-ZA"/>
        </w:rPr>
        <w:lastRenderedPageBreak/>
        <w:t>Above all</w:t>
      </w:r>
      <w:r w:rsidR="00CA5BC9" w:rsidRPr="00BE2B1D">
        <w:rPr>
          <w:rFonts w:cs="Times New Roman"/>
          <w:color w:val="222222"/>
          <w:szCs w:val="24"/>
          <w:shd w:val="clear" w:color="auto" w:fill="FFFFFF"/>
          <w:lang w:val="en-ZA"/>
        </w:rPr>
        <w:t xml:space="preserve">, I give all the glory to </w:t>
      </w:r>
      <w:r w:rsidR="004C5207" w:rsidRPr="00BE2B1D">
        <w:rPr>
          <w:rFonts w:cs="Times New Roman"/>
          <w:color w:val="222222"/>
          <w:szCs w:val="24"/>
          <w:shd w:val="clear" w:color="auto" w:fill="FFFFFF"/>
          <w:lang w:val="en-ZA"/>
        </w:rPr>
        <w:t xml:space="preserve">the </w:t>
      </w:r>
      <w:r w:rsidR="00CA5BC9" w:rsidRPr="00BE2B1D">
        <w:rPr>
          <w:rFonts w:cs="Times New Roman"/>
          <w:color w:val="222222"/>
          <w:szCs w:val="24"/>
          <w:shd w:val="clear" w:color="auto" w:fill="FFFFFF"/>
          <w:lang w:val="en-ZA"/>
        </w:rPr>
        <w:t>Almighty God</w:t>
      </w:r>
      <w:r w:rsidRPr="00BE2B1D">
        <w:rPr>
          <w:rFonts w:cs="Times New Roman"/>
          <w:color w:val="222222"/>
          <w:szCs w:val="24"/>
          <w:shd w:val="clear" w:color="auto" w:fill="FFFFFF"/>
          <w:lang w:val="en-ZA"/>
        </w:rPr>
        <w:t>, my Lord Jesus Christ</w:t>
      </w:r>
      <w:r w:rsidR="00CA5BC9" w:rsidRPr="00BE2B1D">
        <w:rPr>
          <w:rFonts w:cs="Times New Roman"/>
          <w:color w:val="222222"/>
          <w:szCs w:val="24"/>
          <w:shd w:val="clear" w:color="auto" w:fill="FFFFFF"/>
          <w:lang w:val="en-ZA"/>
        </w:rPr>
        <w:t xml:space="preserve">, who sustained </w:t>
      </w:r>
      <w:r w:rsidR="004C5207" w:rsidRPr="00BE2B1D">
        <w:rPr>
          <w:rFonts w:cs="Times New Roman"/>
          <w:color w:val="222222"/>
          <w:szCs w:val="24"/>
          <w:shd w:val="clear" w:color="auto" w:fill="FFFFFF"/>
          <w:lang w:val="en-ZA"/>
        </w:rPr>
        <w:t xml:space="preserve">and upheld </w:t>
      </w:r>
      <w:r w:rsidR="00CA5BC9" w:rsidRPr="00BE2B1D">
        <w:rPr>
          <w:rFonts w:cs="Times New Roman"/>
          <w:color w:val="222222"/>
          <w:szCs w:val="24"/>
          <w:shd w:val="clear" w:color="auto" w:fill="FFFFFF"/>
          <w:lang w:val="en-ZA"/>
        </w:rPr>
        <w:t>me throughout this study.</w:t>
      </w:r>
    </w:p>
    <w:p w14:paraId="3C9765D1" w14:textId="5D779581" w:rsidR="002B5038" w:rsidRDefault="002B5038" w:rsidP="00B774A1">
      <w:pPr>
        <w:pStyle w:val="Heading1"/>
        <w:rPr>
          <w:shd w:val="clear" w:color="auto" w:fill="FFFFFF"/>
        </w:rPr>
      </w:pPr>
      <w:bookmarkStart w:id="4" w:name="_Toc65253536"/>
      <w:r>
        <w:rPr>
          <w:shd w:val="clear" w:color="auto" w:fill="FFFFFF"/>
        </w:rPr>
        <w:t>ABSTRACT</w:t>
      </w:r>
      <w:bookmarkEnd w:id="4"/>
    </w:p>
    <w:p w14:paraId="1729E4DC" w14:textId="77777777" w:rsidR="002B5038" w:rsidRDefault="002B5038" w:rsidP="002B5038">
      <w:pPr>
        <w:jc w:val="center"/>
        <w:rPr>
          <w:rFonts w:cs="Times New Roman"/>
          <w:b/>
          <w:bCs/>
          <w:color w:val="222222"/>
          <w:szCs w:val="24"/>
          <w:shd w:val="clear" w:color="auto" w:fill="FFFFFF"/>
        </w:rPr>
      </w:pPr>
      <w:r w:rsidRPr="00D85A28">
        <w:rPr>
          <w:rFonts w:cs="Times New Roman"/>
          <w:b/>
          <w:bCs/>
          <w:color w:val="222222"/>
          <w:szCs w:val="24"/>
          <w:shd w:val="clear" w:color="auto" w:fill="FFFFFF"/>
        </w:rPr>
        <w:t>Iron and zinc and other mineral bioaccessibility improvement in African cereal-based porridges by food-to-food fortification</w:t>
      </w:r>
    </w:p>
    <w:p w14:paraId="3D3D8EE9" w14:textId="77777777" w:rsidR="002B5038" w:rsidRDefault="002B5038" w:rsidP="002B5038">
      <w:pPr>
        <w:jc w:val="center"/>
        <w:rPr>
          <w:rFonts w:cs="Times New Roman"/>
          <w:b/>
          <w:bCs/>
          <w:color w:val="222222"/>
          <w:szCs w:val="24"/>
          <w:shd w:val="clear" w:color="auto" w:fill="FFFFFF"/>
        </w:rPr>
      </w:pPr>
      <w:r>
        <w:rPr>
          <w:rFonts w:cs="Times New Roman"/>
          <w:b/>
          <w:bCs/>
          <w:color w:val="222222"/>
          <w:szCs w:val="24"/>
          <w:shd w:val="clear" w:color="auto" w:fill="FFFFFF"/>
        </w:rPr>
        <w:t>By</w:t>
      </w:r>
    </w:p>
    <w:p w14:paraId="7DA042F4" w14:textId="77777777" w:rsidR="002B5038" w:rsidRDefault="002B5038" w:rsidP="002B5038">
      <w:pPr>
        <w:jc w:val="center"/>
        <w:rPr>
          <w:rFonts w:cs="Times New Roman"/>
          <w:b/>
          <w:bCs/>
          <w:color w:val="222222"/>
          <w:szCs w:val="24"/>
          <w:shd w:val="clear" w:color="auto" w:fill="FFFFFF"/>
        </w:rPr>
      </w:pPr>
      <w:r>
        <w:rPr>
          <w:rFonts w:cs="Times New Roman"/>
          <w:b/>
          <w:bCs/>
          <w:color w:val="222222"/>
          <w:szCs w:val="24"/>
          <w:shd w:val="clear" w:color="auto" w:fill="FFFFFF"/>
        </w:rPr>
        <w:t>Oluyimika Yanmife Adetola</w:t>
      </w:r>
    </w:p>
    <w:p w14:paraId="08358155" w14:textId="77777777" w:rsidR="002B5038" w:rsidRDefault="002B5038" w:rsidP="002B5038">
      <w:pPr>
        <w:jc w:val="center"/>
        <w:rPr>
          <w:rFonts w:cs="Times New Roman"/>
          <w:b/>
          <w:bCs/>
          <w:color w:val="222222"/>
          <w:szCs w:val="24"/>
          <w:shd w:val="clear" w:color="auto" w:fill="FFFFFF"/>
        </w:rPr>
      </w:pPr>
    </w:p>
    <w:p w14:paraId="48EC553E" w14:textId="614C63C9" w:rsidR="002B5038" w:rsidRPr="00F94C6A" w:rsidRDefault="002B5038" w:rsidP="002B5038">
      <w:pPr>
        <w:jc w:val="center"/>
        <w:rPr>
          <w:rFonts w:cs="Times New Roman"/>
          <w:color w:val="222222"/>
          <w:szCs w:val="24"/>
          <w:shd w:val="clear" w:color="auto" w:fill="FFFFFF"/>
        </w:rPr>
      </w:pPr>
      <w:r w:rsidRPr="00F94C6A">
        <w:rPr>
          <w:rFonts w:cs="Times New Roman"/>
          <w:color w:val="222222"/>
          <w:szCs w:val="24"/>
          <w:shd w:val="clear" w:color="auto" w:fill="FFFFFF"/>
        </w:rPr>
        <w:t>Degree: (PhD Nutrition)</w:t>
      </w:r>
    </w:p>
    <w:p w14:paraId="07AF4292" w14:textId="3FD77D3D" w:rsidR="002B5038" w:rsidRPr="00F94C6A" w:rsidRDefault="002B5038" w:rsidP="002B5038">
      <w:pPr>
        <w:jc w:val="center"/>
        <w:rPr>
          <w:rFonts w:cs="Times New Roman"/>
          <w:color w:val="222222"/>
          <w:szCs w:val="24"/>
          <w:shd w:val="clear" w:color="auto" w:fill="FFFFFF"/>
        </w:rPr>
      </w:pPr>
      <w:r w:rsidRPr="00F94C6A">
        <w:rPr>
          <w:rFonts w:cs="Times New Roman"/>
          <w:color w:val="222222"/>
          <w:szCs w:val="24"/>
          <w:shd w:val="clear" w:color="auto" w:fill="FFFFFF"/>
        </w:rPr>
        <w:t>Supervisor: Prof. John R.N. Taylor</w:t>
      </w:r>
    </w:p>
    <w:p w14:paraId="6999805A" w14:textId="77777777" w:rsidR="002B5038" w:rsidRPr="00F94C6A" w:rsidRDefault="002B5038" w:rsidP="002B5038">
      <w:pPr>
        <w:jc w:val="center"/>
        <w:rPr>
          <w:rFonts w:cs="Times New Roman"/>
          <w:color w:val="222222"/>
          <w:szCs w:val="24"/>
          <w:shd w:val="clear" w:color="auto" w:fill="FFFFFF"/>
        </w:rPr>
      </w:pPr>
      <w:r w:rsidRPr="00F94C6A">
        <w:rPr>
          <w:rFonts w:cs="Times New Roman"/>
          <w:color w:val="222222"/>
          <w:szCs w:val="24"/>
          <w:shd w:val="clear" w:color="auto" w:fill="FFFFFF"/>
        </w:rPr>
        <w:t>Co-Supervisors: Dr. Johanita Kruger; Dr. Zelda White</w:t>
      </w:r>
    </w:p>
    <w:p w14:paraId="40DDE811" w14:textId="77777777" w:rsidR="002B5038" w:rsidRPr="00F94C6A" w:rsidRDefault="002B5038" w:rsidP="002B5038">
      <w:pPr>
        <w:jc w:val="center"/>
        <w:rPr>
          <w:rFonts w:cs="Times New Roman"/>
          <w:color w:val="222222"/>
          <w:szCs w:val="24"/>
          <w:shd w:val="clear" w:color="auto" w:fill="FFFFFF"/>
        </w:rPr>
      </w:pPr>
    </w:p>
    <w:p w14:paraId="14F8EDDC" w14:textId="77777777" w:rsidR="002B5038" w:rsidRDefault="002B5038" w:rsidP="002B5038">
      <w:pPr>
        <w:spacing w:before="240"/>
        <w:rPr>
          <w:rFonts w:cs="Times New Roman"/>
          <w:szCs w:val="24"/>
        </w:rPr>
      </w:pPr>
      <w:r w:rsidRPr="00A550CC">
        <w:rPr>
          <w:rFonts w:cs="Times New Roman"/>
          <w:szCs w:val="24"/>
          <w:shd w:val="clear" w:color="auto" w:fill="FFFFFF"/>
        </w:rPr>
        <w:t xml:space="preserve">Essential mineral deficiencies, notably iron and zinc are prevalent in Africa, especially among children and women of childbearing age, </w:t>
      </w:r>
      <w:r w:rsidRPr="00A550CC">
        <w:rPr>
          <w:rFonts w:cs="Times New Roman"/>
          <w:szCs w:val="24"/>
        </w:rPr>
        <w:t xml:space="preserve">often </w:t>
      </w:r>
      <w:r>
        <w:rPr>
          <w:rFonts w:cs="Times New Roman"/>
          <w:szCs w:val="24"/>
        </w:rPr>
        <w:t>resulting from</w:t>
      </w:r>
      <w:r w:rsidRPr="00A550CC">
        <w:rPr>
          <w:rFonts w:cs="Times New Roman"/>
          <w:szCs w:val="24"/>
        </w:rPr>
        <w:t xml:space="preserve"> monotonous cereal-based diets low in bioavailable minerals.</w:t>
      </w:r>
    </w:p>
    <w:p w14:paraId="2CC9C3BA" w14:textId="77777777" w:rsidR="002B5038" w:rsidRDefault="002B5038" w:rsidP="002B5038">
      <w:pPr>
        <w:spacing w:before="240"/>
        <w:rPr>
          <w:rFonts w:cs="Times New Roman"/>
          <w:szCs w:val="24"/>
        </w:rPr>
      </w:pPr>
      <w:r>
        <w:rPr>
          <w:rFonts w:cs="Times New Roman"/>
          <w:szCs w:val="24"/>
        </w:rPr>
        <w:t xml:space="preserve">This study investigated the effects of food-to-food fortification of African-type wholegrain pearl millet and maize porridges with locally available plant foodstuffs rich in minerals (moringa leaves and hibiscus calyxes) and their bioavailability enhancers, organic acids (baobab fruit) and β-carotene (carrot and mango), at 5–15 g/100 g porridge (dry basis), on iron, zinc and other mineral bioaccessibilities, as measured by dialysability assay. </w:t>
      </w:r>
    </w:p>
    <w:p w14:paraId="53666FE4" w14:textId="1D6A263C" w:rsidR="002B5038" w:rsidRDefault="002B5038" w:rsidP="002B5038">
      <w:pPr>
        <w:spacing w:before="240"/>
        <w:rPr>
          <w:rFonts w:cs="Times New Roman"/>
          <w:szCs w:val="24"/>
        </w:rPr>
      </w:pPr>
      <w:r>
        <w:rPr>
          <w:rFonts w:cs="Times New Roman"/>
          <w:szCs w:val="24"/>
        </w:rPr>
        <w:t xml:space="preserve">Notwithstanding baobab’s high tannin and </w:t>
      </w:r>
      <w:r w:rsidR="003C4AF8">
        <w:rPr>
          <w:rFonts w:cs="Times New Roman"/>
          <w:szCs w:val="24"/>
        </w:rPr>
        <w:t>total phenolic</w:t>
      </w:r>
      <w:r>
        <w:rPr>
          <w:rFonts w:cs="Times New Roman"/>
          <w:szCs w:val="24"/>
        </w:rPr>
        <w:t xml:space="preserve"> contents, its fortification of pearl millet and maize porridges generally increased both the percentage and amount of bioaccessible iron.  Baobab was nearly as effective as citric and ascorbic acid inclusion</w:t>
      </w:r>
      <w:r w:rsidR="00E254E7" w:rsidRPr="00E254E7">
        <w:t xml:space="preserve"> </w:t>
      </w:r>
      <w:r w:rsidR="00E254E7">
        <w:t>and was more effective than just ascorbic acid inclusion</w:t>
      </w:r>
      <w:r>
        <w:rPr>
          <w:rFonts w:cs="Times New Roman"/>
          <w:szCs w:val="24"/>
        </w:rPr>
        <w:t xml:space="preserve">, </w:t>
      </w:r>
      <w:r w:rsidR="003C4AF8">
        <w:rPr>
          <w:rFonts w:cs="Times New Roman"/>
          <w:szCs w:val="24"/>
        </w:rPr>
        <w:t xml:space="preserve">a </w:t>
      </w:r>
      <w:r w:rsidRPr="00AA7A5A">
        <w:rPr>
          <w:rFonts w:cs="Times New Roman"/>
          <w:szCs w:val="24"/>
        </w:rPr>
        <w:t>known enhancer of iron absorption</w:t>
      </w:r>
      <w:r>
        <w:rPr>
          <w:rFonts w:cs="Times New Roman"/>
          <w:szCs w:val="24"/>
        </w:rPr>
        <w:t xml:space="preserve">. Hence, the positive effect of baobab was </w:t>
      </w:r>
      <w:r w:rsidR="00223834">
        <w:rPr>
          <w:rFonts w:cs="Times New Roman"/>
          <w:szCs w:val="24"/>
        </w:rPr>
        <w:t>very likely</w:t>
      </w:r>
      <w:r>
        <w:rPr>
          <w:rFonts w:cs="Times New Roman"/>
          <w:szCs w:val="24"/>
        </w:rPr>
        <w:t xml:space="preserve"> due it being high in citric and ascorbic acids. This positive effect was greatly enhanced (approximately 2-fold) when maize porridge was additionally conventionally fortified with iron as FeSO</w:t>
      </w:r>
      <w:r w:rsidRPr="00C63311">
        <w:rPr>
          <w:rFonts w:cs="Times New Roman"/>
          <w:szCs w:val="24"/>
          <w:vertAlign w:val="subscript"/>
        </w:rPr>
        <w:t>4</w:t>
      </w:r>
      <w:r>
        <w:rPr>
          <w:rFonts w:cs="Times New Roman"/>
          <w:szCs w:val="24"/>
        </w:rPr>
        <w:t xml:space="preserve">. Baobab’s organic acids </w:t>
      </w:r>
      <w:r w:rsidR="00223834">
        <w:rPr>
          <w:rFonts w:cs="Times New Roman"/>
          <w:szCs w:val="24"/>
        </w:rPr>
        <w:t xml:space="preserve">most </w:t>
      </w:r>
      <w:r w:rsidR="00223834">
        <w:rPr>
          <w:rFonts w:cs="Times New Roman"/>
          <w:szCs w:val="24"/>
        </w:rPr>
        <w:lastRenderedPageBreak/>
        <w:t>likely</w:t>
      </w:r>
      <w:r>
        <w:rPr>
          <w:rFonts w:cs="Times New Roman"/>
          <w:szCs w:val="24"/>
        </w:rPr>
        <w:t xml:space="preserve"> enhanced the solubility of the iron in the porridges, thereby alleviating its chelation by phytate and phenolics. </w:t>
      </w:r>
      <w:r w:rsidR="00B66798">
        <w:t>The baobab’s ascorbic acid enhanced the solubility of the porridges’ iron (Fe</w:t>
      </w:r>
      <w:r w:rsidR="00B66798" w:rsidRPr="003E4BC1">
        <w:rPr>
          <w:vertAlign w:val="superscript"/>
        </w:rPr>
        <w:t>3+</w:t>
      </w:r>
      <w:r w:rsidR="00B66798">
        <w:t>) primarily by reducing it to the soluble Fe</w:t>
      </w:r>
      <w:r w:rsidR="00B66798" w:rsidRPr="003E4BC1">
        <w:rPr>
          <w:vertAlign w:val="superscript"/>
        </w:rPr>
        <w:t>2+</w:t>
      </w:r>
      <w:r w:rsidR="00B66798" w:rsidRPr="0065037B">
        <w:t xml:space="preserve"> form</w:t>
      </w:r>
      <w:r w:rsidR="00B66798">
        <w:rPr>
          <w:rFonts w:cs="Times New Roman"/>
          <w:szCs w:val="24"/>
        </w:rPr>
        <w:t xml:space="preserve">. </w:t>
      </w:r>
      <w:r>
        <w:rPr>
          <w:rFonts w:cs="Times New Roman"/>
          <w:szCs w:val="24"/>
        </w:rPr>
        <w:t>However, zinc bioaccessibility was generally not improved by baobab fortification</w:t>
      </w:r>
      <w:r w:rsidRPr="00BA6825">
        <w:rPr>
          <w:rFonts w:cs="Times New Roman"/>
          <w:szCs w:val="24"/>
        </w:rPr>
        <w:t xml:space="preserve"> </w:t>
      </w:r>
      <w:r>
        <w:rPr>
          <w:rFonts w:cs="Times New Roman"/>
          <w:szCs w:val="24"/>
        </w:rPr>
        <w:t xml:space="preserve">alone, </w:t>
      </w:r>
      <w:r w:rsidR="009E7815">
        <w:rPr>
          <w:rFonts w:cs="Times New Roman"/>
          <w:szCs w:val="24"/>
        </w:rPr>
        <w:t>likely</w:t>
      </w:r>
      <w:r>
        <w:rPr>
          <w:rFonts w:cs="Times New Roman"/>
          <w:szCs w:val="24"/>
        </w:rPr>
        <w:t xml:space="preserve"> due to baobab’s high polyphenol content.</w:t>
      </w:r>
    </w:p>
    <w:p w14:paraId="1BDF55F2" w14:textId="20F81B4F" w:rsidR="002B5038" w:rsidRDefault="002B5038" w:rsidP="002B5038">
      <w:pPr>
        <w:spacing w:before="240"/>
        <w:rPr>
          <w:rFonts w:cs="Times New Roman"/>
          <w:szCs w:val="24"/>
          <w:lang w:val="en-ZA"/>
        </w:rPr>
      </w:pPr>
      <w:r>
        <w:rPr>
          <w:rFonts w:cs="Times New Roman"/>
          <w:szCs w:val="24"/>
        </w:rPr>
        <w:t xml:space="preserve">Moringa fortification of the porridges generally substantially decreased percentage and amount of bioaccessible iron and zinc. This was </w:t>
      </w:r>
      <w:r w:rsidR="00223834">
        <w:rPr>
          <w:rFonts w:cs="Times New Roman"/>
          <w:szCs w:val="24"/>
          <w:lang w:val="en-ZA"/>
        </w:rPr>
        <w:t>highly likely</w:t>
      </w:r>
      <w:r>
        <w:rPr>
          <w:rFonts w:cs="Times New Roman"/>
          <w:szCs w:val="24"/>
          <w:lang w:val="en-ZA"/>
        </w:rPr>
        <w:t xml:space="preserve"> due to its high calcium and phytate contents, which would likely reduce iron and zinc solubility by forming insoluble calcium-phytate-iron/zinc complexes.</w:t>
      </w:r>
    </w:p>
    <w:p w14:paraId="61F0EFC4" w14:textId="5A2BC3E6" w:rsidR="002B5038" w:rsidRDefault="002B5038" w:rsidP="002B5038">
      <w:pPr>
        <w:spacing w:before="240"/>
        <w:rPr>
          <w:rFonts w:cs="Times New Roman"/>
          <w:szCs w:val="24"/>
        </w:rPr>
      </w:pPr>
      <w:r>
        <w:rPr>
          <w:rFonts w:cs="Times New Roman"/>
          <w:szCs w:val="24"/>
          <w:lang w:val="en-ZA"/>
        </w:rPr>
        <w:t xml:space="preserve">Carrot plus mango fortification of maize porridge moderately increased iron and zinc bioaccessibility, in terms of percentage and amount when in combination with baobab. The high β-carotene content of carrot and mango </w:t>
      </w:r>
      <w:r w:rsidR="00223834">
        <w:rPr>
          <w:rFonts w:cs="Times New Roman"/>
          <w:szCs w:val="24"/>
          <w:lang w:val="en-ZA"/>
        </w:rPr>
        <w:t xml:space="preserve">most likely </w:t>
      </w:r>
      <w:r>
        <w:rPr>
          <w:rFonts w:cs="Times New Roman"/>
          <w:szCs w:val="24"/>
          <w:lang w:val="en-ZA"/>
        </w:rPr>
        <w:t xml:space="preserve">contributed to this enhancement. </w:t>
      </w:r>
      <w:r>
        <w:rPr>
          <w:rFonts w:cs="Times New Roman"/>
          <w:szCs w:val="24"/>
        </w:rPr>
        <w:t>Beta-carotene can enhance mineral bioavailability by forming s</w:t>
      </w:r>
      <w:r w:rsidRPr="00A967D7">
        <w:rPr>
          <w:rFonts w:cs="Times New Roman"/>
          <w:szCs w:val="24"/>
        </w:rPr>
        <w:t>oluble complex</w:t>
      </w:r>
      <w:r>
        <w:rPr>
          <w:rFonts w:cs="Times New Roman"/>
          <w:szCs w:val="24"/>
        </w:rPr>
        <w:t>es</w:t>
      </w:r>
      <w:r w:rsidRPr="00A967D7">
        <w:rPr>
          <w:rFonts w:cs="Times New Roman"/>
          <w:szCs w:val="24"/>
        </w:rPr>
        <w:t xml:space="preserve"> with </w:t>
      </w:r>
      <w:r>
        <w:rPr>
          <w:rFonts w:cs="Times New Roman"/>
          <w:szCs w:val="24"/>
        </w:rPr>
        <w:t xml:space="preserve">them. </w:t>
      </w:r>
    </w:p>
    <w:p w14:paraId="732B1DA6" w14:textId="6A937628" w:rsidR="002B5038" w:rsidRDefault="002B5038" w:rsidP="002B5038">
      <w:pPr>
        <w:spacing w:before="240"/>
        <w:rPr>
          <w:rFonts w:cs="Times New Roman"/>
          <w:szCs w:val="24"/>
          <w:lang w:val="en-ZA"/>
        </w:rPr>
      </w:pPr>
      <w:r>
        <w:rPr>
          <w:rFonts w:cs="Times New Roman"/>
          <w:szCs w:val="24"/>
        </w:rPr>
        <w:t xml:space="preserve">Food-to-food fortification with combinations of </w:t>
      </w:r>
      <w:r>
        <w:rPr>
          <w:rFonts w:cs="Times New Roman"/>
          <w:szCs w:val="24"/>
          <w:lang w:val="en-ZA"/>
        </w:rPr>
        <w:t xml:space="preserve">carrot, mango, papaya, baobab, hibiscus calyxes and </w:t>
      </w:r>
      <w:r w:rsidR="001A1EE2">
        <w:rPr>
          <w:rFonts w:cs="Times New Roman"/>
          <w:szCs w:val="24"/>
          <w:lang w:val="en-ZA"/>
        </w:rPr>
        <w:t xml:space="preserve">small proportion of </w:t>
      </w:r>
      <w:r>
        <w:rPr>
          <w:rFonts w:cs="Times New Roman"/>
          <w:szCs w:val="24"/>
          <w:lang w:val="en-ZA"/>
        </w:rPr>
        <w:t>moringa</w:t>
      </w:r>
      <w:r w:rsidR="001A1EE2">
        <w:rPr>
          <w:rFonts w:cs="Times New Roman"/>
          <w:szCs w:val="24"/>
          <w:lang w:val="en-ZA"/>
        </w:rPr>
        <w:t xml:space="preserve"> (2.5 g/100 g porridge)</w:t>
      </w:r>
      <w:r>
        <w:rPr>
          <w:rFonts w:cs="Times New Roman"/>
          <w:szCs w:val="24"/>
          <w:lang w:val="en-ZA"/>
        </w:rPr>
        <w:t xml:space="preserve"> or together with a commercial micronutrient premix (iron, zinc and vitamin A) generally increased mineral bioaccessibility in extrusion-cooked fortified-pearl millet-based porridges, both in term of percentage and amount by </w:t>
      </w:r>
      <w:r>
        <w:rPr>
          <w:rFonts w:cs="Times New Roman"/>
          <w:szCs w:val="24"/>
        </w:rPr>
        <w:t xml:space="preserve">up to </w:t>
      </w:r>
      <w:r>
        <w:rPr>
          <w:rFonts w:cs="Times New Roman"/>
          <w:szCs w:val="24"/>
          <w:lang w:val="en-ZA"/>
        </w:rPr>
        <w:t xml:space="preserve">22-fold for iron </w:t>
      </w:r>
      <w:r>
        <w:rPr>
          <w:rFonts w:cs="Times New Roman"/>
          <w:szCs w:val="24"/>
        </w:rPr>
        <w:t xml:space="preserve">and </w:t>
      </w:r>
      <w:r>
        <w:rPr>
          <w:rFonts w:cs="Times New Roman"/>
          <w:szCs w:val="24"/>
          <w:lang w:val="en-ZA"/>
        </w:rPr>
        <w:t>4-fold for zinc</w:t>
      </w:r>
      <w:r>
        <w:rPr>
          <w:rFonts w:cs="Times New Roman"/>
          <w:szCs w:val="24"/>
        </w:rPr>
        <w:t xml:space="preserve">. However, the extruded products were notably high in iron, resulting from contamination during processing. The enhancement in iron and zinc bioaccessibility was </w:t>
      </w:r>
      <w:r w:rsidR="009E7815">
        <w:rPr>
          <w:rFonts w:cs="Times New Roman"/>
          <w:szCs w:val="24"/>
        </w:rPr>
        <w:t>very likely</w:t>
      </w:r>
      <w:r>
        <w:rPr>
          <w:rFonts w:cs="Times New Roman"/>
          <w:szCs w:val="24"/>
        </w:rPr>
        <w:t xml:space="preserve"> primarily because the organic acids and </w:t>
      </w:r>
      <w:r>
        <w:rPr>
          <w:rFonts w:cs="Times New Roman"/>
          <w:szCs w:val="24"/>
          <w:lang w:val="en-ZA"/>
        </w:rPr>
        <w:t>β-carotene</w:t>
      </w:r>
      <w:r>
        <w:rPr>
          <w:rFonts w:cs="Times New Roman"/>
          <w:szCs w:val="24"/>
        </w:rPr>
        <w:t xml:space="preserve"> in the food fortificants improved the solubility of the contaminating iron plus the iron and zinc in the porridges. </w:t>
      </w:r>
    </w:p>
    <w:p w14:paraId="581D5546" w14:textId="02A6B8BC" w:rsidR="002B5038" w:rsidRDefault="002B5038" w:rsidP="002B5038">
      <w:pPr>
        <w:spacing w:before="240"/>
        <w:rPr>
          <w:rFonts w:cs="Times New Roman"/>
          <w:szCs w:val="24"/>
          <w:lang w:val="en-ZA"/>
        </w:rPr>
      </w:pPr>
      <w:r>
        <w:rPr>
          <w:rFonts w:cs="Times New Roman"/>
          <w:szCs w:val="24"/>
          <w:lang w:val="en-ZA"/>
        </w:rPr>
        <w:t>Percentage calcium bioaccessibility was generally decreased by the food fortificants</w:t>
      </w:r>
      <w:r w:rsidR="009F3FE5">
        <w:rPr>
          <w:rFonts w:cs="Times New Roman"/>
          <w:szCs w:val="24"/>
          <w:lang w:val="en-ZA"/>
        </w:rPr>
        <w:t>,</w:t>
      </w:r>
      <w:r>
        <w:rPr>
          <w:rFonts w:cs="Times New Roman"/>
          <w:szCs w:val="24"/>
          <w:lang w:val="en-ZA"/>
        </w:rPr>
        <w:t xml:space="preserve"> </w:t>
      </w:r>
      <w:r w:rsidR="009E7815">
        <w:rPr>
          <w:rFonts w:cs="Times New Roman"/>
          <w:szCs w:val="24"/>
          <w:lang w:val="en-ZA"/>
        </w:rPr>
        <w:t>likely</w:t>
      </w:r>
      <w:r>
        <w:rPr>
          <w:rFonts w:cs="Times New Roman"/>
          <w:szCs w:val="24"/>
          <w:lang w:val="en-ZA"/>
        </w:rPr>
        <w:t xml:space="preserve"> because of their high contents of phenolics. However, percentage magnesium bioaccessibility were generally moderately increased with baobab and</w:t>
      </w:r>
      <w:r w:rsidR="001A1EE2">
        <w:rPr>
          <w:rFonts w:cs="Times New Roman"/>
          <w:szCs w:val="24"/>
          <w:lang w:val="en-ZA"/>
        </w:rPr>
        <w:t>/or</w:t>
      </w:r>
      <w:r>
        <w:rPr>
          <w:rFonts w:cs="Times New Roman"/>
          <w:szCs w:val="24"/>
          <w:lang w:val="en-ZA"/>
        </w:rPr>
        <w:t xml:space="preserve"> carrot plus mango fortification of the porridges. Only moringa decreased the percentage magnesium bioaccessibility, presumably due to its high contents of calcium and phenolics. Amounts of bioaccessible calcium and magnesium were generally substantially increased by the plant food fortificants with moringa fortified-cereal porridges being by far the highest in bioaccessible calcium and magnesium. This is because moringa is very high in calcium and high in magnesium.</w:t>
      </w:r>
    </w:p>
    <w:p w14:paraId="4D893764" w14:textId="64129736" w:rsidR="00B774A1" w:rsidRDefault="002B5038" w:rsidP="00B774A1">
      <w:pPr>
        <w:rPr>
          <w:rFonts w:cs="Times New Roman"/>
          <w:szCs w:val="24"/>
        </w:rPr>
      </w:pPr>
      <w:r>
        <w:rPr>
          <w:rFonts w:cs="Times New Roman"/>
          <w:szCs w:val="24"/>
        </w:rPr>
        <w:lastRenderedPageBreak/>
        <w:t>Thus, a hybrid food-based strategy, such as food-to-food fortification of wholegrain cereal foods with baobab fruit, mango and carrot in combination with conventional iron and zinc fortification may be a viable strategy to improve bioavailable iron and zinc in the diets of at-risk populations in tropical Africa and also substantially increase their intake of provitamin A.</w:t>
      </w:r>
    </w:p>
    <w:p w14:paraId="76E3C5F1" w14:textId="7F8B40C4" w:rsidR="005A3CF7" w:rsidRDefault="002F1B22" w:rsidP="00B774A1">
      <w:pPr>
        <w:pStyle w:val="Heading1"/>
      </w:pPr>
      <w:bookmarkStart w:id="5" w:name="_Toc65253537"/>
      <w:r>
        <w:t>TABLE OF CONTENTS</w:t>
      </w:r>
      <w:bookmarkEnd w:id="5"/>
    </w:p>
    <w:sdt>
      <w:sdtPr>
        <w:rPr>
          <w:rFonts w:ascii="Times New Roman" w:eastAsiaTheme="minorHAnsi" w:hAnsi="Times New Roman" w:cs="Arial"/>
          <w:color w:val="auto"/>
          <w:sz w:val="24"/>
          <w:szCs w:val="22"/>
          <w:lang w:val="en-GB"/>
        </w:rPr>
        <w:id w:val="563766068"/>
        <w:docPartObj>
          <w:docPartGallery w:val="Table of Contents"/>
          <w:docPartUnique/>
        </w:docPartObj>
      </w:sdtPr>
      <w:sdtEndPr>
        <w:rPr>
          <w:b/>
          <w:bCs/>
          <w:noProof/>
        </w:rPr>
      </w:sdtEndPr>
      <w:sdtContent>
        <w:p w14:paraId="461A1048" w14:textId="3F70155D" w:rsidR="00E96EEB" w:rsidRDefault="00E96EEB">
          <w:pPr>
            <w:pStyle w:val="TOCHeading"/>
          </w:pPr>
        </w:p>
        <w:p w14:paraId="0A1C0ED5" w14:textId="7DA6EAF1" w:rsidR="00BF2155" w:rsidRDefault="00235B5D">
          <w:pPr>
            <w:pStyle w:val="TOC1"/>
            <w:tabs>
              <w:tab w:val="right" w:leader="dot" w:pos="9017"/>
            </w:tabs>
            <w:rPr>
              <w:rFonts w:asciiTheme="minorHAnsi" w:eastAsiaTheme="minorEastAsia" w:hAnsiTheme="minorHAnsi" w:cstheme="minorBidi"/>
              <w:noProof/>
              <w:sz w:val="22"/>
              <w:lang w:val="en-ZA" w:eastAsia="en-ZA"/>
            </w:rPr>
          </w:pPr>
          <w:r>
            <w:fldChar w:fldCharType="begin"/>
          </w:r>
          <w:r>
            <w:instrText xml:space="preserve"> TOC \o "1-4" \h \z \u </w:instrText>
          </w:r>
          <w:r>
            <w:fldChar w:fldCharType="separate"/>
          </w:r>
          <w:hyperlink w:anchor="_Toc65253533" w:history="1">
            <w:r w:rsidR="00BF2155" w:rsidRPr="00AE5F31">
              <w:rPr>
                <w:rStyle w:val="Hyperlink"/>
                <w:noProof/>
              </w:rPr>
              <w:t>DECLARATION</w:t>
            </w:r>
            <w:r w:rsidR="00BF2155">
              <w:rPr>
                <w:noProof/>
                <w:webHidden/>
              </w:rPr>
              <w:tab/>
            </w:r>
            <w:r w:rsidR="00BF2155">
              <w:rPr>
                <w:noProof/>
                <w:webHidden/>
              </w:rPr>
              <w:fldChar w:fldCharType="begin"/>
            </w:r>
            <w:r w:rsidR="00BF2155">
              <w:rPr>
                <w:noProof/>
                <w:webHidden/>
              </w:rPr>
              <w:instrText xml:space="preserve"> PAGEREF _Toc65253533 \h </w:instrText>
            </w:r>
            <w:r w:rsidR="00BF2155">
              <w:rPr>
                <w:noProof/>
                <w:webHidden/>
              </w:rPr>
            </w:r>
            <w:r w:rsidR="00BF2155">
              <w:rPr>
                <w:noProof/>
                <w:webHidden/>
              </w:rPr>
              <w:fldChar w:fldCharType="separate"/>
            </w:r>
            <w:r w:rsidR="00BF2155">
              <w:rPr>
                <w:noProof/>
                <w:webHidden/>
              </w:rPr>
              <w:t>ii</w:t>
            </w:r>
            <w:r w:rsidR="00BF2155">
              <w:rPr>
                <w:noProof/>
                <w:webHidden/>
              </w:rPr>
              <w:fldChar w:fldCharType="end"/>
            </w:r>
          </w:hyperlink>
        </w:p>
        <w:p w14:paraId="7171BC45" w14:textId="38997DB2" w:rsidR="00BF2155" w:rsidRDefault="0038137E">
          <w:pPr>
            <w:pStyle w:val="TOC1"/>
            <w:tabs>
              <w:tab w:val="right" w:leader="dot" w:pos="9017"/>
            </w:tabs>
            <w:rPr>
              <w:rFonts w:asciiTheme="minorHAnsi" w:eastAsiaTheme="minorEastAsia" w:hAnsiTheme="minorHAnsi" w:cstheme="minorBidi"/>
              <w:noProof/>
              <w:sz w:val="22"/>
              <w:lang w:val="en-ZA" w:eastAsia="en-ZA"/>
            </w:rPr>
          </w:pPr>
          <w:hyperlink w:anchor="_Toc65253534" w:history="1">
            <w:r w:rsidR="00BF2155" w:rsidRPr="00AE5F31">
              <w:rPr>
                <w:rStyle w:val="Hyperlink"/>
                <w:noProof/>
              </w:rPr>
              <w:t>DEDICATION</w:t>
            </w:r>
            <w:r w:rsidR="00BF2155">
              <w:rPr>
                <w:noProof/>
                <w:webHidden/>
              </w:rPr>
              <w:tab/>
            </w:r>
            <w:r w:rsidR="00BF2155">
              <w:rPr>
                <w:noProof/>
                <w:webHidden/>
              </w:rPr>
              <w:fldChar w:fldCharType="begin"/>
            </w:r>
            <w:r w:rsidR="00BF2155">
              <w:rPr>
                <w:noProof/>
                <w:webHidden/>
              </w:rPr>
              <w:instrText xml:space="preserve"> PAGEREF _Toc65253534 \h </w:instrText>
            </w:r>
            <w:r w:rsidR="00BF2155">
              <w:rPr>
                <w:noProof/>
                <w:webHidden/>
              </w:rPr>
            </w:r>
            <w:r w:rsidR="00BF2155">
              <w:rPr>
                <w:noProof/>
                <w:webHidden/>
              </w:rPr>
              <w:fldChar w:fldCharType="separate"/>
            </w:r>
            <w:r w:rsidR="00BF2155">
              <w:rPr>
                <w:noProof/>
                <w:webHidden/>
              </w:rPr>
              <w:t>iii</w:t>
            </w:r>
            <w:r w:rsidR="00BF2155">
              <w:rPr>
                <w:noProof/>
                <w:webHidden/>
              </w:rPr>
              <w:fldChar w:fldCharType="end"/>
            </w:r>
          </w:hyperlink>
        </w:p>
        <w:p w14:paraId="33509A6E" w14:textId="039CF286" w:rsidR="00BF2155" w:rsidRDefault="0038137E">
          <w:pPr>
            <w:pStyle w:val="TOC1"/>
            <w:tabs>
              <w:tab w:val="right" w:leader="dot" w:pos="9017"/>
            </w:tabs>
            <w:rPr>
              <w:rFonts w:asciiTheme="minorHAnsi" w:eastAsiaTheme="minorEastAsia" w:hAnsiTheme="minorHAnsi" w:cstheme="minorBidi"/>
              <w:noProof/>
              <w:sz w:val="22"/>
              <w:lang w:val="en-ZA" w:eastAsia="en-ZA"/>
            </w:rPr>
          </w:pPr>
          <w:hyperlink w:anchor="_Toc65253535" w:history="1">
            <w:r w:rsidR="00BF2155" w:rsidRPr="00AE5F31">
              <w:rPr>
                <w:rStyle w:val="Hyperlink"/>
                <w:noProof/>
                <w:shd w:val="clear" w:color="auto" w:fill="FFFFFF"/>
                <w:lang w:val="en-ZA"/>
              </w:rPr>
              <w:t>ACKNOWLEDGEMENTS</w:t>
            </w:r>
            <w:r w:rsidR="00BF2155">
              <w:rPr>
                <w:noProof/>
                <w:webHidden/>
              </w:rPr>
              <w:tab/>
            </w:r>
            <w:r w:rsidR="00BF2155">
              <w:rPr>
                <w:noProof/>
                <w:webHidden/>
              </w:rPr>
              <w:fldChar w:fldCharType="begin"/>
            </w:r>
            <w:r w:rsidR="00BF2155">
              <w:rPr>
                <w:noProof/>
                <w:webHidden/>
              </w:rPr>
              <w:instrText xml:space="preserve"> PAGEREF _Toc65253535 \h </w:instrText>
            </w:r>
            <w:r w:rsidR="00BF2155">
              <w:rPr>
                <w:noProof/>
                <w:webHidden/>
              </w:rPr>
            </w:r>
            <w:r w:rsidR="00BF2155">
              <w:rPr>
                <w:noProof/>
                <w:webHidden/>
              </w:rPr>
              <w:fldChar w:fldCharType="separate"/>
            </w:r>
            <w:r w:rsidR="00BF2155">
              <w:rPr>
                <w:noProof/>
                <w:webHidden/>
              </w:rPr>
              <w:t>iv</w:t>
            </w:r>
            <w:r w:rsidR="00BF2155">
              <w:rPr>
                <w:noProof/>
                <w:webHidden/>
              </w:rPr>
              <w:fldChar w:fldCharType="end"/>
            </w:r>
          </w:hyperlink>
        </w:p>
        <w:p w14:paraId="36412F13" w14:textId="6D264799" w:rsidR="00BF2155" w:rsidRDefault="0038137E">
          <w:pPr>
            <w:pStyle w:val="TOC1"/>
            <w:tabs>
              <w:tab w:val="right" w:leader="dot" w:pos="9017"/>
            </w:tabs>
            <w:rPr>
              <w:rFonts w:asciiTheme="minorHAnsi" w:eastAsiaTheme="minorEastAsia" w:hAnsiTheme="minorHAnsi" w:cstheme="minorBidi"/>
              <w:noProof/>
              <w:sz w:val="22"/>
              <w:lang w:val="en-ZA" w:eastAsia="en-ZA"/>
            </w:rPr>
          </w:pPr>
          <w:hyperlink w:anchor="_Toc65253536" w:history="1">
            <w:r w:rsidR="00BF2155" w:rsidRPr="00AE5F31">
              <w:rPr>
                <w:rStyle w:val="Hyperlink"/>
                <w:noProof/>
                <w:shd w:val="clear" w:color="auto" w:fill="FFFFFF"/>
              </w:rPr>
              <w:t>ABSTRACT</w:t>
            </w:r>
            <w:r w:rsidR="00BF2155">
              <w:rPr>
                <w:noProof/>
                <w:webHidden/>
              </w:rPr>
              <w:tab/>
            </w:r>
            <w:r w:rsidR="00BF2155">
              <w:rPr>
                <w:noProof/>
                <w:webHidden/>
              </w:rPr>
              <w:fldChar w:fldCharType="begin"/>
            </w:r>
            <w:r w:rsidR="00BF2155">
              <w:rPr>
                <w:noProof/>
                <w:webHidden/>
              </w:rPr>
              <w:instrText xml:space="preserve"> PAGEREF _Toc65253536 \h </w:instrText>
            </w:r>
            <w:r w:rsidR="00BF2155">
              <w:rPr>
                <w:noProof/>
                <w:webHidden/>
              </w:rPr>
            </w:r>
            <w:r w:rsidR="00BF2155">
              <w:rPr>
                <w:noProof/>
                <w:webHidden/>
              </w:rPr>
              <w:fldChar w:fldCharType="separate"/>
            </w:r>
            <w:r w:rsidR="00BF2155">
              <w:rPr>
                <w:noProof/>
                <w:webHidden/>
              </w:rPr>
              <w:t>v</w:t>
            </w:r>
            <w:r w:rsidR="00BF2155">
              <w:rPr>
                <w:noProof/>
                <w:webHidden/>
              </w:rPr>
              <w:fldChar w:fldCharType="end"/>
            </w:r>
          </w:hyperlink>
        </w:p>
        <w:p w14:paraId="7DB7BFD2" w14:textId="42E632A1" w:rsidR="00BF2155" w:rsidRDefault="0038137E">
          <w:pPr>
            <w:pStyle w:val="TOC1"/>
            <w:tabs>
              <w:tab w:val="right" w:leader="dot" w:pos="9017"/>
            </w:tabs>
            <w:rPr>
              <w:rFonts w:asciiTheme="minorHAnsi" w:eastAsiaTheme="minorEastAsia" w:hAnsiTheme="minorHAnsi" w:cstheme="minorBidi"/>
              <w:noProof/>
              <w:sz w:val="22"/>
              <w:lang w:val="en-ZA" w:eastAsia="en-ZA"/>
            </w:rPr>
          </w:pPr>
          <w:hyperlink w:anchor="_Toc65253537" w:history="1">
            <w:r w:rsidR="00BF2155" w:rsidRPr="00AE5F31">
              <w:rPr>
                <w:rStyle w:val="Hyperlink"/>
                <w:noProof/>
              </w:rPr>
              <w:t>TABLE OF CONTENTS</w:t>
            </w:r>
            <w:r w:rsidR="00BF2155">
              <w:rPr>
                <w:noProof/>
                <w:webHidden/>
              </w:rPr>
              <w:tab/>
            </w:r>
            <w:r w:rsidR="00BF2155">
              <w:rPr>
                <w:noProof/>
                <w:webHidden/>
              </w:rPr>
              <w:fldChar w:fldCharType="begin"/>
            </w:r>
            <w:r w:rsidR="00BF2155">
              <w:rPr>
                <w:noProof/>
                <w:webHidden/>
              </w:rPr>
              <w:instrText xml:space="preserve"> PAGEREF _Toc65253537 \h </w:instrText>
            </w:r>
            <w:r w:rsidR="00BF2155">
              <w:rPr>
                <w:noProof/>
                <w:webHidden/>
              </w:rPr>
            </w:r>
            <w:r w:rsidR="00BF2155">
              <w:rPr>
                <w:noProof/>
                <w:webHidden/>
              </w:rPr>
              <w:fldChar w:fldCharType="separate"/>
            </w:r>
            <w:r w:rsidR="00BF2155">
              <w:rPr>
                <w:noProof/>
                <w:webHidden/>
              </w:rPr>
              <w:t>vii</w:t>
            </w:r>
            <w:r w:rsidR="00BF2155">
              <w:rPr>
                <w:noProof/>
                <w:webHidden/>
              </w:rPr>
              <w:fldChar w:fldCharType="end"/>
            </w:r>
          </w:hyperlink>
        </w:p>
        <w:p w14:paraId="0D46C5EA" w14:textId="15F1CA97" w:rsidR="00BF2155" w:rsidRDefault="0038137E">
          <w:pPr>
            <w:pStyle w:val="TOC1"/>
            <w:tabs>
              <w:tab w:val="right" w:leader="dot" w:pos="9017"/>
            </w:tabs>
            <w:rPr>
              <w:rFonts w:asciiTheme="minorHAnsi" w:eastAsiaTheme="minorEastAsia" w:hAnsiTheme="minorHAnsi" w:cstheme="minorBidi"/>
              <w:noProof/>
              <w:sz w:val="22"/>
              <w:lang w:val="en-ZA" w:eastAsia="en-ZA"/>
            </w:rPr>
          </w:pPr>
          <w:hyperlink w:anchor="_Toc65253538" w:history="1">
            <w:r w:rsidR="00BF2155" w:rsidRPr="00AE5F31">
              <w:rPr>
                <w:rStyle w:val="Hyperlink"/>
                <w:noProof/>
              </w:rPr>
              <w:t>LIST OF TABLES</w:t>
            </w:r>
            <w:r w:rsidR="00BF2155">
              <w:rPr>
                <w:noProof/>
                <w:webHidden/>
              </w:rPr>
              <w:tab/>
            </w:r>
            <w:r w:rsidR="00BF2155">
              <w:rPr>
                <w:noProof/>
                <w:webHidden/>
              </w:rPr>
              <w:fldChar w:fldCharType="begin"/>
            </w:r>
            <w:r w:rsidR="00BF2155">
              <w:rPr>
                <w:noProof/>
                <w:webHidden/>
              </w:rPr>
              <w:instrText xml:space="preserve"> PAGEREF _Toc65253538 \h </w:instrText>
            </w:r>
            <w:r w:rsidR="00BF2155">
              <w:rPr>
                <w:noProof/>
                <w:webHidden/>
              </w:rPr>
            </w:r>
            <w:r w:rsidR="00BF2155">
              <w:rPr>
                <w:noProof/>
                <w:webHidden/>
              </w:rPr>
              <w:fldChar w:fldCharType="separate"/>
            </w:r>
            <w:r w:rsidR="00BF2155">
              <w:rPr>
                <w:noProof/>
                <w:webHidden/>
              </w:rPr>
              <w:t>xi</w:t>
            </w:r>
            <w:r w:rsidR="00BF2155">
              <w:rPr>
                <w:noProof/>
                <w:webHidden/>
              </w:rPr>
              <w:fldChar w:fldCharType="end"/>
            </w:r>
          </w:hyperlink>
        </w:p>
        <w:p w14:paraId="6F2367C3" w14:textId="25114E93" w:rsidR="00BF2155" w:rsidRDefault="0038137E">
          <w:pPr>
            <w:pStyle w:val="TOC1"/>
            <w:tabs>
              <w:tab w:val="right" w:leader="dot" w:pos="9017"/>
            </w:tabs>
            <w:rPr>
              <w:rFonts w:asciiTheme="minorHAnsi" w:eastAsiaTheme="minorEastAsia" w:hAnsiTheme="minorHAnsi" w:cstheme="minorBidi"/>
              <w:noProof/>
              <w:sz w:val="22"/>
              <w:lang w:val="en-ZA" w:eastAsia="en-ZA"/>
            </w:rPr>
          </w:pPr>
          <w:hyperlink w:anchor="_Toc65253539" w:history="1">
            <w:r w:rsidR="00BF2155" w:rsidRPr="00AE5F31">
              <w:rPr>
                <w:rStyle w:val="Hyperlink"/>
                <w:noProof/>
              </w:rPr>
              <w:t>LIST OF FIGURES</w:t>
            </w:r>
            <w:r w:rsidR="00BF2155">
              <w:rPr>
                <w:noProof/>
                <w:webHidden/>
              </w:rPr>
              <w:tab/>
            </w:r>
            <w:r w:rsidR="00BF2155">
              <w:rPr>
                <w:noProof/>
                <w:webHidden/>
              </w:rPr>
              <w:fldChar w:fldCharType="begin"/>
            </w:r>
            <w:r w:rsidR="00BF2155">
              <w:rPr>
                <w:noProof/>
                <w:webHidden/>
              </w:rPr>
              <w:instrText xml:space="preserve"> PAGEREF _Toc65253539 \h </w:instrText>
            </w:r>
            <w:r w:rsidR="00BF2155">
              <w:rPr>
                <w:noProof/>
                <w:webHidden/>
              </w:rPr>
            </w:r>
            <w:r w:rsidR="00BF2155">
              <w:rPr>
                <w:noProof/>
                <w:webHidden/>
              </w:rPr>
              <w:fldChar w:fldCharType="separate"/>
            </w:r>
            <w:r w:rsidR="00BF2155">
              <w:rPr>
                <w:noProof/>
                <w:webHidden/>
              </w:rPr>
              <w:t>xiv</w:t>
            </w:r>
            <w:r w:rsidR="00BF2155">
              <w:rPr>
                <w:noProof/>
                <w:webHidden/>
              </w:rPr>
              <w:fldChar w:fldCharType="end"/>
            </w:r>
          </w:hyperlink>
        </w:p>
        <w:p w14:paraId="3C50A82A" w14:textId="50F0D23C" w:rsidR="00BF2155" w:rsidRDefault="0038137E">
          <w:pPr>
            <w:pStyle w:val="TOC1"/>
            <w:tabs>
              <w:tab w:val="left" w:pos="480"/>
              <w:tab w:val="right" w:leader="dot" w:pos="9017"/>
            </w:tabs>
            <w:rPr>
              <w:rFonts w:asciiTheme="minorHAnsi" w:eastAsiaTheme="minorEastAsia" w:hAnsiTheme="minorHAnsi" w:cstheme="minorBidi"/>
              <w:noProof/>
              <w:sz w:val="22"/>
              <w:lang w:val="en-ZA" w:eastAsia="en-ZA"/>
            </w:rPr>
          </w:pPr>
          <w:hyperlink w:anchor="_Toc65253540" w:history="1">
            <w:r w:rsidR="00BF2155" w:rsidRPr="00AE5F31">
              <w:rPr>
                <w:rStyle w:val="Hyperlink"/>
                <w:noProof/>
              </w:rPr>
              <w:t>1.</w:t>
            </w:r>
            <w:r w:rsidR="00BF2155">
              <w:rPr>
                <w:rFonts w:asciiTheme="minorHAnsi" w:eastAsiaTheme="minorEastAsia" w:hAnsiTheme="minorHAnsi" w:cstheme="minorBidi"/>
                <w:noProof/>
                <w:sz w:val="22"/>
                <w:lang w:val="en-ZA" w:eastAsia="en-ZA"/>
              </w:rPr>
              <w:tab/>
            </w:r>
            <w:r w:rsidR="00BF2155" w:rsidRPr="00AE5F31">
              <w:rPr>
                <w:rStyle w:val="Hyperlink"/>
                <w:noProof/>
              </w:rPr>
              <w:t>INTRODUCTION</w:t>
            </w:r>
            <w:r w:rsidR="00BF2155">
              <w:rPr>
                <w:noProof/>
                <w:webHidden/>
              </w:rPr>
              <w:tab/>
            </w:r>
            <w:r w:rsidR="00BF2155">
              <w:rPr>
                <w:noProof/>
                <w:webHidden/>
              </w:rPr>
              <w:fldChar w:fldCharType="begin"/>
            </w:r>
            <w:r w:rsidR="00BF2155">
              <w:rPr>
                <w:noProof/>
                <w:webHidden/>
              </w:rPr>
              <w:instrText xml:space="preserve"> PAGEREF _Toc65253540 \h </w:instrText>
            </w:r>
            <w:r w:rsidR="00BF2155">
              <w:rPr>
                <w:noProof/>
                <w:webHidden/>
              </w:rPr>
            </w:r>
            <w:r w:rsidR="00BF2155">
              <w:rPr>
                <w:noProof/>
                <w:webHidden/>
              </w:rPr>
              <w:fldChar w:fldCharType="separate"/>
            </w:r>
            <w:r w:rsidR="00BF2155">
              <w:rPr>
                <w:noProof/>
                <w:webHidden/>
              </w:rPr>
              <w:t>1</w:t>
            </w:r>
            <w:r w:rsidR="00BF2155">
              <w:rPr>
                <w:noProof/>
                <w:webHidden/>
              </w:rPr>
              <w:fldChar w:fldCharType="end"/>
            </w:r>
          </w:hyperlink>
        </w:p>
        <w:p w14:paraId="7D5024B4" w14:textId="7AE228EA" w:rsidR="00BF2155" w:rsidRDefault="0038137E">
          <w:pPr>
            <w:pStyle w:val="TOC1"/>
            <w:tabs>
              <w:tab w:val="left" w:pos="480"/>
              <w:tab w:val="right" w:leader="dot" w:pos="9017"/>
            </w:tabs>
            <w:rPr>
              <w:rFonts w:asciiTheme="minorHAnsi" w:eastAsiaTheme="minorEastAsia" w:hAnsiTheme="minorHAnsi" w:cstheme="minorBidi"/>
              <w:noProof/>
              <w:sz w:val="22"/>
              <w:lang w:val="en-ZA" w:eastAsia="en-ZA"/>
            </w:rPr>
          </w:pPr>
          <w:hyperlink w:anchor="_Toc65253541" w:history="1">
            <w:r w:rsidR="00BF2155" w:rsidRPr="00AE5F31">
              <w:rPr>
                <w:rStyle w:val="Hyperlink"/>
                <w:noProof/>
                <w:lang w:val="en-ZA"/>
              </w:rPr>
              <w:t>2.</w:t>
            </w:r>
            <w:r w:rsidR="00BF2155">
              <w:rPr>
                <w:rFonts w:asciiTheme="minorHAnsi" w:eastAsiaTheme="minorEastAsia" w:hAnsiTheme="minorHAnsi" w:cstheme="minorBidi"/>
                <w:noProof/>
                <w:sz w:val="22"/>
                <w:lang w:val="en-ZA" w:eastAsia="en-ZA"/>
              </w:rPr>
              <w:tab/>
            </w:r>
            <w:r w:rsidR="00BF2155" w:rsidRPr="00AE5F31">
              <w:rPr>
                <w:rStyle w:val="Hyperlink"/>
                <w:noProof/>
                <w:lang w:val="en-ZA"/>
              </w:rPr>
              <w:t>LITERATURE REVIEW</w:t>
            </w:r>
            <w:r w:rsidR="00BF2155">
              <w:rPr>
                <w:noProof/>
                <w:webHidden/>
              </w:rPr>
              <w:tab/>
            </w:r>
            <w:r w:rsidR="00BF2155">
              <w:rPr>
                <w:noProof/>
                <w:webHidden/>
              </w:rPr>
              <w:fldChar w:fldCharType="begin"/>
            </w:r>
            <w:r w:rsidR="00BF2155">
              <w:rPr>
                <w:noProof/>
                <w:webHidden/>
              </w:rPr>
              <w:instrText xml:space="preserve"> PAGEREF _Toc65253541 \h </w:instrText>
            </w:r>
            <w:r w:rsidR="00BF2155">
              <w:rPr>
                <w:noProof/>
                <w:webHidden/>
              </w:rPr>
            </w:r>
            <w:r w:rsidR="00BF2155">
              <w:rPr>
                <w:noProof/>
                <w:webHidden/>
              </w:rPr>
              <w:fldChar w:fldCharType="separate"/>
            </w:r>
            <w:r w:rsidR="00BF2155">
              <w:rPr>
                <w:noProof/>
                <w:webHidden/>
              </w:rPr>
              <w:t>3</w:t>
            </w:r>
            <w:r w:rsidR="00BF2155">
              <w:rPr>
                <w:noProof/>
                <w:webHidden/>
              </w:rPr>
              <w:fldChar w:fldCharType="end"/>
            </w:r>
          </w:hyperlink>
        </w:p>
        <w:p w14:paraId="069CF83E" w14:textId="4D2BFE43" w:rsidR="00BF2155" w:rsidRDefault="0038137E">
          <w:pPr>
            <w:pStyle w:val="TOC2"/>
            <w:tabs>
              <w:tab w:val="left" w:pos="880"/>
              <w:tab w:val="right" w:leader="dot" w:pos="9017"/>
            </w:tabs>
            <w:rPr>
              <w:rFonts w:asciiTheme="minorHAnsi" w:eastAsiaTheme="minorEastAsia" w:hAnsiTheme="minorHAnsi" w:cstheme="minorBidi"/>
              <w:noProof/>
              <w:sz w:val="22"/>
              <w:lang w:val="en-ZA" w:eastAsia="en-ZA"/>
            </w:rPr>
          </w:pPr>
          <w:hyperlink w:anchor="_Toc65253542" w:history="1">
            <w:r w:rsidR="00BF2155" w:rsidRPr="00AE5F31">
              <w:rPr>
                <w:rStyle w:val="Hyperlink"/>
                <w:noProof/>
                <w:lang w:val="en-ZA"/>
              </w:rPr>
              <w:t>2.1</w:t>
            </w:r>
            <w:r w:rsidR="00BF2155">
              <w:rPr>
                <w:rFonts w:asciiTheme="minorHAnsi" w:eastAsiaTheme="minorEastAsia" w:hAnsiTheme="minorHAnsi" w:cstheme="minorBidi"/>
                <w:noProof/>
                <w:sz w:val="22"/>
                <w:lang w:val="en-ZA" w:eastAsia="en-ZA"/>
              </w:rPr>
              <w:tab/>
            </w:r>
            <w:r w:rsidR="00BF2155" w:rsidRPr="00AE5F31">
              <w:rPr>
                <w:rStyle w:val="Hyperlink"/>
                <w:noProof/>
                <w:lang w:val="en-ZA"/>
              </w:rPr>
              <w:t>Overview</w:t>
            </w:r>
            <w:r w:rsidR="00BF2155">
              <w:rPr>
                <w:noProof/>
                <w:webHidden/>
              </w:rPr>
              <w:tab/>
            </w:r>
            <w:r w:rsidR="00BF2155">
              <w:rPr>
                <w:noProof/>
                <w:webHidden/>
              </w:rPr>
              <w:fldChar w:fldCharType="begin"/>
            </w:r>
            <w:r w:rsidR="00BF2155">
              <w:rPr>
                <w:noProof/>
                <w:webHidden/>
              </w:rPr>
              <w:instrText xml:space="preserve"> PAGEREF _Toc65253542 \h </w:instrText>
            </w:r>
            <w:r w:rsidR="00BF2155">
              <w:rPr>
                <w:noProof/>
                <w:webHidden/>
              </w:rPr>
            </w:r>
            <w:r w:rsidR="00BF2155">
              <w:rPr>
                <w:noProof/>
                <w:webHidden/>
              </w:rPr>
              <w:fldChar w:fldCharType="separate"/>
            </w:r>
            <w:r w:rsidR="00BF2155">
              <w:rPr>
                <w:noProof/>
                <w:webHidden/>
              </w:rPr>
              <w:t>3</w:t>
            </w:r>
            <w:r w:rsidR="00BF2155">
              <w:rPr>
                <w:noProof/>
                <w:webHidden/>
              </w:rPr>
              <w:fldChar w:fldCharType="end"/>
            </w:r>
          </w:hyperlink>
        </w:p>
        <w:p w14:paraId="4EEC16E6" w14:textId="6C2C6102" w:rsidR="00BF2155" w:rsidRDefault="0038137E">
          <w:pPr>
            <w:pStyle w:val="TOC2"/>
            <w:tabs>
              <w:tab w:val="left" w:pos="880"/>
              <w:tab w:val="right" w:leader="dot" w:pos="9017"/>
            </w:tabs>
            <w:rPr>
              <w:rFonts w:asciiTheme="minorHAnsi" w:eastAsiaTheme="minorEastAsia" w:hAnsiTheme="minorHAnsi" w:cstheme="minorBidi"/>
              <w:noProof/>
              <w:sz w:val="22"/>
              <w:lang w:val="en-ZA" w:eastAsia="en-ZA"/>
            </w:rPr>
          </w:pPr>
          <w:hyperlink w:anchor="_Toc65253543" w:history="1">
            <w:r w:rsidR="00BF2155" w:rsidRPr="00AE5F31">
              <w:rPr>
                <w:rStyle w:val="Hyperlink"/>
                <w:noProof/>
              </w:rPr>
              <w:t>2.2</w:t>
            </w:r>
            <w:r w:rsidR="00BF2155">
              <w:rPr>
                <w:rFonts w:asciiTheme="minorHAnsi" w:eastAsiaTheme="minorEastAsia" w:hAnsiTheme="minorHAnsi" w:cstheme="minorBidi"/>
                <w:noProof/>
                <w:sz w:val="22"/>
                <w:lang w:val="en-ZA" w:eastAsia="en-ZA"/>
              </w:rPr>
              <w:tab/>
            </w:r>
            <w:r w:rsidR="00BF2155" w:rsidRPr="00AE5F31">
              <w:rPr>
                <w:rStyle w:val="Hyperlink"/>
                <w:noProof/>
              </w:rPr>
              <w:t>Iron and zinc functions in the body, their absorption from dietary sources, and their deficiencies – focus on African issues</w:t>
            </w:r>
            <w:r w:rsidR="00BF2155">
              <w:rPr>
                <w:noProof/>
                <w:webHidden/>
              </w:rPr>
              <w:tab/>
            </w:r>
            <w:r w:rsidR="00BF2155">
              <w:rPr>
                <w:noProof/>
                <w:webHidden/>
              </w:rPr>
              <w:fldChar w:fldCharType="begin"/>
            </w:r>
            <w:r w:rsidR="00BF2155">
              <w:rPr>
                <w:noProof/>
                <w:webHidden/>
              </w:rPr>
              <w:instrText xml:space="preserve"> PAGEREF _Toc65253543 \h </w:instrText>
            </w:r>
            <w:r w:rsidR="00BF2155">
              <w:rPr>
                <w:noProof/>
                <w:webHidden/>
              </w:rPr>
            </w:r>
            <w:r w:rsidR="00BF2155">
              <w:rPr>
                <w:noProof/>
                <w:webHidden/>
              </w:rPr>
              <w:fldChar w:fldCharType="separate"/>
            </w:r>
            <w:r w:rsidR="00BF2155">
              <w:rPr>
                <w:noProof/>
                <w:webHidden/>
              </w:rPr>
              <w:t>3</w:t>
            </w:r>
            <w:r w:rsidR="00BF2155">
              <w:rPr>
                <w:noProof/>
                <w:webHidden/>
              </w:rPr>
              <w:fldChar w:fldCharType="end"/>
            </w:r>
          </w:hyperlink>
        </w:p>
        <w:p w14:paraId="52374E1F" w14:textId="5085013D"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44" w:history="1">
            <w:r w:rsidR="00BF2155" w:rsidRPr="00AE5F31">
              <w:rPr>
                <w:rStyle w:val="Hyperlink"/>
                <w:noProof/>
              </w:rPr>
              <w:t>2.2.1</w:t>
            </w:r>
            <w:r w:rsidR="00BF2155">
              <w:rPr>
                <w:rFonts w:asciiTheme="minorHAnsi" w:eastAsiaTheme="minorEastAsia" w:hAnsiTheme="minorHAnsi" w:cstheme="minorBidi"/>
                <w:noProof/>
                <w:sz w:val="22"/>
                <w:lang w:val="en-ZA" w:eastAsia="en-ZA"/>
              </w:rPr>
              <w:tab/>
            </w:r>
            <w:r w:rsidR="00BF2155" w:rsidRPr="00AE5F31">
              <w:rPr>
                <w:rStyle w:val="Hyperlink"/>
                <w:noProof/>
              </w:rPr>
              <w:t xml:space="preserve"> Iron</w:t>
            </w:r>
            <w:r w:rsidR="00BF2155">
              <w:rPr>
                <w:noProof/>
                <w:webHidden/>
              </w:rPr>
              <w:tab/>
            </w:r>
            <w:r w:rsidR="00BF2155">
              <w:rPr>
                <w:noProof/>
                <w:webHidden/>
              </w:rPr>
              <w:fldChar w:fldCharType="begin"/>
            </w:r>
            <w:r w:rsidR="00BF2155">
              <w:rPr>
                <w:noProof/>
                <w:webHidden/>
              </w:rPr>
              <w:instrText xml:space="preserve"> PAGEREF _Toc65253544 \h </w:instrText>
            </w:r>
            <w:r w:rsidR="00BF2155">
              <w:rPr>
                <w:noProof/>
                <w:webHidden/>
              </w:rPr>
            </w:r>
            <w:r w:rsidR="00BF2155">
              <w:rPr>
                <w:noProof/>
                <w:webHidden/>
              </w:rPr>
              <w:fldChar w:fldCharType="separate"/>
            </w:r>
            <w:r w:rsidR="00BF2155">
              <w:rPr>
                <w:noProof/>
                <w:webHidden/>
              </w:rPr>
              <w:t>3</w:t>
            </w:r>
            <w:r w:rsidR="00BF2155">
              <w:rPr>
                <w:noProof/>
                <w:webHidden/>
              </w:rPr>
              <w:fldChar w:fldCharType="end"/>
            </w:r>
          </w:hyperlink>
        </w:p>
        <w:p w14:paraId="2EBCC990" w14:textId="02503FF8"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45" w:history="1">
            <w:r w:rsidR="00BF2155" w:rsidRPr="00AE5F31">
              <w:rPr>
                <w:rStyle w:val="Hyperlink"/>
                <w:noProof/>
              </w:rPr>
              <w:t>2.2.2</w:t>
            </w:r>
            <w:r w:rsidR="00BF2155">
              <w:rPr>
                <w:rFonts w:asciiTheme="minorHAnsi" w:eastAsiaTheme="minorEastAsia" w:hAnsiTheme="minorHAnsi" w:cstheme="minorBidi"/>
                <w:noProof/>
                <w:sz w:val="22"/>
                <w:lang w:val="en-ZA" w:eastAsia="en-ZA"/>
              </w:rPr>
              <w:tab/>
            </w:r>
            <w:r w:rsidR="00BF2155" w:rsidRPr="00AE5F31">
              <w:rPr>
                <w:rStyle w:val="Hyperlink"/>
                <w:noProof/>
              </w:rPr>
              <w:t>Zinc</w:t>
            </w:r>
            <w:r w:rsidR="00BF2155">
              <w:rPr>
                <w:noProof/>
                <w:webHidden/>
              </w:rPr>
              <w:tab/>
            </w:r>
            <w:r w:rsidR="00BF2155">
              <w:rPr>
                <w:noProof/>
                <w:webHidden/>
              </w:rPr>
              <w:fldChar w:fldCharType="begin"/>
            </w:r>
            <w:r w:rsidR="00BF2155">
              <w:rPr>
                <w:noProof/>
                <w:webHidden/>
              </w:rPr>
              <w:instrText xml:space="preserve"> PAGEREF _Toc65253545 \h </w:instrText>
            </w:r>
            <w:r w:rsidR="00BF2155">
              <w:rPr>
                <w:noProof/>
                <w:webHidden/>
              </w:rPr>
            </w:r>
            <w:r w:rsidR="00BF2155">
              <w:rPr>
                <w:noProof/>
                <w:webHidden/>
              </w:rPr>
              <w:fldChar w:fldCharType="separate"/>
            </w:r>
            <w:r w:rsidR="00BF2155">
              <w:rPr>
                <w:noProof/>
                <w:webHidden/>
              </w:rPr>
              <w:t>6</w:t>
            </w:r>
            <w:r w:rsidR="00BF2155">
              <w:rPr>
                <w:noProof/>
                <w:webHidden/>
              </w:rPr>
              <w:fldChar w:fldCharType="end"/>
            </w:r>
          </w:hyperlink>
        </w:p>
        <w:p w14:paraId="1B8D6C09" w14:textId="71C8EF18"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46" w:history="1">
            <w:r w:rsidR="00BF2155" w:rsidRPr="00AE5F31">
              <w:rPr>
                <w:rStyle w:val="Hyperlink"/>
                <w:noProof/>
              </w:rPr>
              <w:t>2.2.3</w:t>
            </w:r>
            <w:r w:rsidR="00BF2155">
              <w:rPr>
                <w:rFonts w:asciiTheme="minorHAnsi" w:eastAsiaTheme="minorEastAsia" w:hAnsiTheme="minorHAnsi" w:cstheme="minorBidi"/>
                <w:noProof/>
                <w:sz w:val="22"/>
                <w:lang w:val="en-ZA" w:eastAsia="en-ZA"/>
              </w:rPr>
              <w:tab/>
            </w:r>
            <w:r w:rsidR="00BF2155" w:rsidRPr="00AE5F31">
              <w:rPr>
                <w:rStyle w:val="Hyperlink"/>
                <w:noProof/>
              </w:rPr>
              <w:t>Other important minerals</w:t>
            </w:r>
            <w:r w:rsidR="00BF2155">
              <w:rPr>
                <w:noProof/>
                <w:webHidden/>
              </w:rPr>
              <w:tab/>
            </w:r>
            <w:r w:rsidR="00BF2155">
              <w:rPr>
                <w:noProof/>
                <w:webHidden/>
              </w:rPr>
              <w:fldChar w:fldCharType="begin"/>
            </w:r>
            <w:r w:rsidR="00BF2155">
              <w:rPr>
                <w:noProof/>
                <w:webHidden/>
              </w:rPr>
              <w:instrText xml:space="preserve"> PAGEREF _Toc65253546 \h </w:instrText>
            </w:r>
            <w:r w:rsidR="00BF2155">
              <w:rPr>
                <w:noProof/>
                <w:webHidden/>
              </w:rPr>
            </w:r>
            <w:r w:rsidR="00BF2155">
              <w:rPr>
                <w:noProof/>
                <w:webHidden/>
              </w:rPr>
              <w:fldChar w:fldCharType="separate"/>
            </w:r>
            <w:r w:rsidR="00BF2155">
              <w:rPr>
                <w:noProof/>
                <w:webHidden/>
              </w:rPr>
              <w:t>9</w:t>
            </w:r>
            <w:r w:rsidR="00BF2155">
              <w:rPr>
                <w:noProof/>
                <w:webHidden/>
              </w:rPr>
              <w:fldChar w:fldCharType="end"/>
            </w:r>
          </w:hyperlink>
        </w:p>
        <w:p w14:paraId="1B765D21" w14:textId="1EFDFE5B"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47" w:history="1">
            <w:r w:rsidR="00BF2155" w:rsidRPr="00AE5F31">
              <w:rPr>
                <w:rStyle w:val="Hyperlink"/>
                <w:noProof/>
              </w:rPr>
              <w:t>2.2.4</w:t>
            </w:r>
            <w:r w:rsidR="00BF2155">
              <w:rPr>
                <w:rFonts w:asciiTheme="minorHAnsi" w:eastAsiaTheme="minorEastAsia" w:hAnsiTheme="minorHAnsi" w:cstheme="minorBidi"/>
                <w:noProof/>
                <w:sz w:val="22"/>
                <w:lang w:val="en-ZA" w:eastAsia="en-ZA"/>
              </w:rPr>
              <w:tab/>
            </w:r>
            <w:r w:rsidR="00BF2155" w:rsidRPr="00AE5F31">
              <w:rPr>
                <w:rStyle w:val="Hyperlink"/>
                <w:noProof/>
              </w:rPr>
              <w:t>Incidence/Prevalence and dietary causes of ID among school-age children and childbearing age women in Africa</w:t>
            </w:r>
            <w:r w:rsidR="00BF2155">
              <w:rPr>
                <w:noProof/>
                <w:webHidden/>
              </w:rPr>
              <w:tab/>
            </w:r>
            <w:r w:rsidR="00BF2155">
              <w:rPr>
                <w:noProof/>
                <w:webHidden/>
              </w:rPr>
              <w:fldChar w:fldCharType="begin"/>
            </w:r>
            <w:r w:rsidR="00BF2155">
              <w:rPr>
                <w:noProof/>
                <w:webHidden/>
              </w:rPr>
              <w:instrText xml:space="preserve"> PAGEREF _Toc65253547 \h </w:instrText>
            </w:r>
            <w:r w:rsidR="00BF2155">
              <w:rPr>
                <w:noProof/>
                <w:webHidden/>
              </w:rPr>
            </w:r>
            <w:r w:rsidR="00BF2155">
              <w:rPr>
                <w:noProof/>
                <w:webHidden/>
              </w:rPr>
              <w:fldChar w:fldCharType="separate"/>
            </w:r>
            <w:r w:rsidR="00BF2155">
              <w:rPr>
                <w:noProof/>
                <w:webHidden/>
              </w:rPr>
              <w:t>10</w:t>
            </w:r>
            <w:r w:rsidR="00BF2155">
              <w:rPr>
                <w:noProof/>
                <w:webHidden/>
              </w:rPr>
              <w:fldChar w:fldCharType="end"/>
            </w:r>
          </w:hyperlink>
        </w:p>
        <w:p w14:paraId="26DF75E2" w14:textId="3B89880D"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48" w:history="1">
            <w:r w:rsidR="00BF2155" w:rsidRPr="00AE5F31">
              <w:rPr>
                <w:rStyle w:val="Hyperlink"/>
                <w:noProof/>
              </w:rPr>
              <w:t>2.2.5</w:t>
            </w:r>
            <w:r w:rsidR="00BF2155">
              <w:rPr>
                <w:rFonts w:asciiTheme="minorHAnsi" w:eastAsiaTheme="minorEastAsia" w:hAnsiTheme="minorHAnsi" w:cstheme="minorBidi"/>
                <w:noProof/>
                <w:sz w:val="22"/>
                <w:lang w:val="en-ZA" w:eastAsia="en-ZA"/>
              </w:rPr>
              <w:tab/>
            </w:r>
            <w:r w:rsidR="00BF2155" w:rsidRPr="00AE5F31">
              <w:rPr>
                <w:rStyle w:val="Hyperlink"/>
                <w:noProof/>
              </w:rPr>
              <w:t>Incidence/Prevalence and dietary causes of zinc deficiency among school-age children and childbearing age women in Africa</w:t>
            </w:r>
            <w:r w:rsidR="00BF2155">
              <w:rPr>
                <w:noProof/>
                <w:webHidden/>
              </w:rPr>
              <w:tab/>
            </w:r>
            <w:r w:rsidR="00BF2155">
              <w:rPr>
                <w:noProof/>
                <w:webHidden/>
              </w:rPr>
              <w:fldChar w:fldCharType="begin"/>
            </w:r>
            <w:r w:rsidR="00BF2155">
              <w:rPr>
                <w:noProof/>
                <w:webHidden/>
              </w:rPr>
              <w:instrText xml:space="preserve"> PAGEREF _Toc65253548 \h </w:instrText>
            </w:r>
            <w:r w:rsidR="00BF2155">
              <w:rPr>
                <w:noProof/>
                <w:webHidden/>
              </w:rPr>
            </w:r>
            <w:r w:rsidR="00BF2155">
              <w:rPr>
                <w:noProof/>
                <w:webHidden/>
              </w:rPr>
              <w:fldChar w:fldCharType="separate"/>
            </w:r>
            <w:r w:rsidR="00BF2155">
              <w:rPr>
                <w:noProof/>
                <w:webHidden/>
              </w:rPr>
              <w:t>11</w:t>
            </w:r>
            <w:r w:rsidR="00BF2155">
              <w:rPr>
                <w:noProof/>
                <w:webHidden/>
              </w:rPr>
              <w:fldChar w:fldCharType="end"/>
            </w:r>
          </w:hyperlink>
        </w:p>
        <w:p w14:paraId="65BA3019" w14:textId="4C534968" w:rsidR="00BF2155" w:rsidRDefault="0038137E">
          <w:pPr>
            <w:pStyle w:val="TOC2"/>
            <w:tabs>
              <w:tab w:val="left" w:pos="880"/>
              <w:tab w:val="right" w:leader="dot" w:pos="9017"/>
            </w:tabs>
            <w:rPr>
              <w:rFonts w:asciiTheme="minorHAnsi" w:eastAsiaTheme="minorEastAsia" w:hAnsiTheme="minorHAnsi" w:cstheme="minorBidi"/>
              <w:noProof/>
              <w:sz w:val="22"/>
              <w:lang w:val="en-ZA" w:eastAsia="en-ZA"/>
            </w:rPr>
          </w:pPr>
          <w:hyperlink w:anchor="_Toc65253549" w:history="1">
            <w:r w:rsidR="00BF2155" w:rsidRPr="00AE5F31">
              <w:rPr>
                <w:rStyle w:val="Hyperlink"/>
                <w:noProof/>
              </w:rPr>
              <w:t xml:space="preserve">2.3 </w:t>
            </w:r>
            <w:r w:rsidR="00BF2155">
              <w:rPr>
                <w:rFonts w:asciiTheme="minorHAnsi" w:eastAsiaTheme="minorEastAsia" w:hAnsiTheme="minorHAnsi" w:cstheme="minorBidi"/>
                <w:noProof/>
                <w:sz w:val="22"/>
                <w:lang w:val="en-ZA" w:eastAsia="en-ZA"/>
              </w:rPr>
              <w:tab/>
            </w:r>
            <w:r w:rsidR="00BF2155" w:rsidRPr="00AE5F31">
              <w:rPr>
                <w:rStyle w:val="Hyperlink"/>
                <w:noProof/>
              </w:rPr>
              <w:t>Nutritional intervention strategies to combat mineral deficiencies</w:t>
            </w:r>
            <w:r w:rsidR="00BF2155">
              <w:rPr>
                <w:noProof/>
                <w:webHidden/>
              </w:rPr>
              <w:tab/>
            </w:r>
            <w:r w:rsidR="00BF2155">
              <w:rPr>
                <w:noProof/>
                <w:webHidden/>
              </w:rPr>
              <w:fldChar w:fldCharType="begin"/>
            </w:r>
            <w:r w:rsidR="00BF2155">
              <w:rPr>
                <w:noProof/>
                <w:webHidden/>
              </w:rPr>
              <w:instrText xml:space="preserve"> PAGEREF _Toc65253549 \h </w:instrText>
            </w:r>
            <w:r w:rsidR="00BF2155">
              <w:rPr>
                <w:noProof/>
                <w:webHidden/>
              </w:rPr>
            </w:r>
            <w:r w:rsidR="00BF2155">
              <w:rPr>
                <w:noProof/>
                <w:webHidden/>
              </w:rPr>
              <w:fldChar w:fldCharType="separate"/>
            </w:r>
            <w:r w:rsidR="00BF2155">
              <w:rPr>
                <w:noProof/>
                <w:webHidden/>
              </w:rPr>
              <w:t>15</w:t>
            </w:r>
            <w:r w:rsidR="00BF2155">
              <w:rPr>
                <w:noProof/>
                <w:webHidden/>
              </w:rPr>
              <w:fldChar w:fldCharType="end"/>
            </w:r>
          </w:hyperlink>
        </w:p>
        <w:p w14:paraId="32D4167C" w14:textId="0071B07C"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50" w:history="1">
            <w:r w:rsidR="00BF2155" w:rsidRPr="00AE5F31">
              <w:rPr>
                <w:rStyle w:val="Hyperlink"/>
                <w:noProof/>
              </w:rPr>
              <w:t>2.3.1</w:t>
            </w:r>
            <w:r w:rsidR="00BF2155">
              <w:rPr>
                <w:rFonts w:asciiTheme="minorHAnsi" w:eastAsiaTheme="minorEastAsia" w:hAnsiTheme="minorHAnsi" w:cstheme="minorBidi"/>
                <w:noProof/>
                <w:sz w:val="22"/>
                <w:lang w:val="en-ZA" w:eastAsia="en-ZA"/>
              </w:rPr>
              <w:tab/>
            </w:r>
            <w:r w:rsidR="00BF2155" w:rsidRPr="00AE5F31">
              <w:rPr>
                <w:rStyle w:val="Hyperlink"/>
                <w:noProof/>
              </w:rPr>
              <w:t>Mineral supplementation</w:t>
            </w:r>
            <w:r w:rsidR="00BF2155">
              <w:rPr>
                <w:noProof/>
                <w:webHidden/>
              </w:rPr>
              <w:tab/>
            </w:r>
            <w:r w:rsidR="00BF2155">
              <w:rPr>
                <w:noProof/>
                <w:webHidden/>
              </w:rPr>
              <w:fldChar w:fldCharType="begin"/>
            </w:r>
            <w:r w:rsidR="00BF2155">
              <w:rPr>
                <w:noProof/>
                <w:webHidden/>
              </w:rPr>
              <w:instrText xml:space="preserve"> PAGEREF _Toc65253550 \h </w:instrText>
            </w:r>
            <w:r w:rsidR="00BF2155">
              <w:rPr>
                <w:noProof/>
                <w:webHidden/>
              </w:rPr>
            </w:r>
            <w:r w:rsidR="00BF2155">
              <w:rPr>
                <w:noProof/>
                <w:webHidden/>
              </w:rPr>
              <w:fldChar w:fldCharType="separate"/>
            </w:r>
            <w:r w:rsidR="00BF2155">
              <w:rPr>
                <w:noProof/>
                <w:webHidden/>
              </w:rPr>
              <w:t>15</w:t>
            </w:r>
            <w:r w:rsidR="00BF2155">
              <w:rPr>
                <w:noProof/>
                <w:webHidden/>
              </w:rPr>
              <w:fldChar w:fldCharType="end"/>
            </w:r>
          </w:hyperlink>
        </w:p>
        <w:p w14:paraId="0D6F6000" w14:textId="7C876A6F"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51" w:history="1">
            <w:r w:rsidR="00BF2155" w:rsidRPr="00AE5F31">
              <w:rPr>
                <w:rStyle w:val="Hyperlink"/>
                <w:noProof/>
              </w:rPr>
              <w:t>2.3.2</w:t>
            </w:r>
            <w:r w:rsidR="00BF2155">
              <w:rPr>
                <w:rFonts w:asciiTheme="minorHAnsi" w:eastAsiaTheme="minorEastAsia" w:hAnsiTheme="minorHAnsi" w:cstheme="minorBidi"/>
                <w:noProof/>
                <w:sz w:val="22"/>
                <w:lang w:val="en-ZA" w:eastAsia="en-ZA"/>
              </w:rPr>
              <w:tab/>
            </w:r>
            <w:r w:rsidR="00BF2155" w:rsidRPr="00AE5F31">
              <w:rPr>
                <w:rStyle w:val="Hyperlink"/>
                <w:noProof/>
              </w:rPr>
              <w:t>Food fortification</w:t>
            </w:r>
            <w:r w:rsidR="00BF2155">
              <w:rPr>
                <w:noProof/>
                <w:webHidden/>
              </w:rPr>
              <w:tab/>
            </w:r>
            <w:r w:rsidR="00BF2155">
              <w:rPr>
                <w:noProof/>
                <w:webHidden/>
              </w:rPr>
              <w:fldChar w:fldCharType="begin"/>
            </w:r>
            <w:r w:rsidR="00BF2155">
              <w:rPr>
                <w:noProof/>
                <w:webHidden/>
              </w:rPr>
              <w:instrText xml:space="preserve"> PAGEREF _Toc65253551 \h </w:instrText>
            </w:r>
            <w:r w:rsidR="00BF2155">
              <w:rPr>
                <w:noProof/>
                <w:webHidden/>
              </w:rPr>
            </w:r>
            <w:r w:rsidR="00BF2155">
              <w:rPr>
                <w:noProof/>
                <w:webHidden/>
              </w:rPr>
              <w:fldChar w:fldCharType="separate"/>
            </w:r>
            <w:r w:rsidR="00BF2155">
              <w:rPr>
                <w:noProof/>
                <w:webHidden/>
              </w:rPr>
              <w:t>17</w:t>
            </w:r>
            <w:r w:rsidR="00BF2155">
              <w:rPr>
                <w:noProof/>
                <w:webHidden/>
              </w:rPr>
              <w:fldChar w:fldCharType="end"/>
            </w:r>
          </w:hyperlink>
        </w:p>
        <w:p w14:paraId="04C2A862" w14:textId="610694B5"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52" w:history="1">
            <w:r w:rsidR="00BF2155" w:rsidRPr="00AE5F31">
              <w:rPr>
                <w:rStyle w:val="Hyperlink"/>
                <w:noProof/>
              </w:rPr>
              <w:t>2.3.3</w:t>
            </w:r>
            <w:r w:rsidR="00BF2155">
              <w:rPr>
                <w:rFonts w:asciiTheme="minorHAnsi" w:eastAsiaTheme="minorEastAsia" w:hAnsiTheme="minorHAnsi" w:cstheme="minorBidi"/>
                <w:noProof/>
                <w:sz w:val="22"/>
                <w:lang w:val="en-ZA" w:eastAsia="en-ZA"/>
              </w:rPr>
              <w:tab/>
            </w:r>
            <w:r w:rsidR="00BF2155" w:rsidRPr="00AE5F31">
              <w:rPr>
                <w:rStyle w:val="Hyperlink"/>
                <w:noProof/>
              </w:rPr>
              <w:t>Food biofortification</w:t>
            </w:r>
            <w:r w:rsidR="00BF2155">
              <w:rPr>
                <w:noProof/>
                <w:webHidden/>
              </w:rPr>
              <w:tab/>
            </w:r>
            <w:r w:rsidR="00BF2155">
              <w:rPr>
                <w:noProof/>
                <w:webHidden/>
              </w:rPr>
              <w:fldChar w:fldCharType="begin"/>
            </w:r>
            <w:r w:rsidR="00BF2155">
              <w:rPr>
                <w:noProof/>
                <w:webHidden/>
              </w:rPr>
              <w:instrText xml:space="preserve"> PAGEREF _Toc65253552 \h </w:instrText>
            </w:r>
            <w:r w:rsidR="00BF2155">
              <w:rPr>
                <w:noProof/>
                <w:webHidden/>
              </w:rPr>
            </w:r>
            <w:r w:rsidR="00BF2155">
              <w:rPr>
                <w:noProof/>
                <w:webHidden/>
              </w:rPr>
              <w:fldChar w:fldCharType="separate"/>
            </w:r>
            <w:r w:rsidR="00BF2155">
              <w:rPr>
                <w:noProof/>
                <w:webHidden/>
              </w:rPr>
              <w:t>20</w:t>
            </w:r>
            <w:r w:rsidR="00BF2155">
              <w:rPr>
                <w:noProof/>
                <w:webHidden/>
              </w:rPr>
              <w:fldChar w:fldCharType="end"/>
            </w:r>
          </w:hyperlink>
        </w:p>
        <w:p w14:paraId="3AC27CE9" w14:textId="7EF19A43"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53" w:history="1">
            <w:r w:rsidR="00BF2155" w:rsidRPr="00AE5F31">
              <w:rPr>
                <w:rStyle w:val="Hyperlink"/>
                <w:noProof/>
              </w:rPr>
              <w:t>2.3.4</w:t>
            </w:r>
            <w:r w:rsidR="00BF2155">
              <w:rPr>
                <w:rFonts w:asciiTheme="minorHAnsi" w:eastAsiaTheme="minorEastAsia" w:hAnsiTheme="minorHAnsi" w:cstheme="minorBidi"/>
                <w:noProof/>
                <w:sz w:val="22"/>
                <w:lang w:val="en-ZA" w:eastAsia="en-ZA"/>
              </w:rPr>
              <w:tab/>
            </w:r>
            <w:r w:rsidR="00BF2155" w:rsidRPr="00AE5F31">
              <w:rPr>
                <w:rStyle w:val="Hyperlink"/>
                <w:noProof/>
              </w:rPr>
              <w:t>Dietary diversification and modification</w:t>
            </w:r>
            <w:r w:rsidR="00BF2155">
              <w:rPr>
                <w:noProof/>
                <w:webHidden/>
              </w:rPr>
              <w:tab/>
            </w:r>
            <w:r w:rsidR="00BF2155">
              <w:rPr>
                <w:noProof/>
                <w:webHidden/>
              </w:rPr>
              <w:fldChar w:fldCharType="begin"/>
            </w:r>
            <w:r w:rsidR="00BF2155">
              <w:rPr>
                <w:noProof/>
                <w:webHidden/>
              </w:rPr>
              <w:instrText xml:space="preserve"> PAGEREF _Toc65253553 \h </w:instrText>
            </w:r>
            <w:r w:rsidR="00BF2155">
              <w:rPr>
                <w:noProof/>
                <w:webHidden/>
              </w:rPr>
            </w:r>
            <w:r w:rsidR="00BF2155">
              <w:rPr>
                <w:noProof/>
                <w:webHidden/>
              </w:rPr>
              <w:fldChar w:fldCharType="separate"/>
            </w:r>
            <w:r w:rsidR="00BF2155">
              <w:rPr>
                <w:noProof/>
                <w:webHidden/>
              </w:rPr>
              <w:t>22</w:t>
            </w:r>
            <w:r w:rsidR="00BF2155">
              <w:rPr>
                <w:noProof/>
                <w:webHidden/>
              </w:rPr>
              <w:fldChar w:fldCharType="end"/>
            </w:r>
          </w:hyperlink>
        </w:p>
        <w:p w14:paraId="523ED128" w14:textId="62F51ED5"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54" w:history="1">
            <w:r w:rsidR="00BF2155" w:rsidRPr="00AE5F31">
              <w:rPr>
                <w:rStyle w:val="Hyperlink"/>
                <w:noProof/>
              </w:rPr>
              <w:t>2.3.5</w:t>
            </w:r>
            <w:r w:rsidR="00BF2155">
              <w:rPr>
                <w:rFonts w:asciiTheme="minorHAnsi" w:eastAsiaTheme="minorEastAsia" w:hAnsiTheme="minorHAnsi" w:cstheme="minorBidi"/>
                <w:noProof/>
                <w:sz w:val="22"/>
                <w:lang w:val="en-ZA" w:eastAsia="en-ZA"/>
              </w:rPr>
              <w:tab/>
            </w:r>
            <w:r w:rsidR="00BF2155" w:rsidRPr="00AE5F31">
              <w:rPr>
                <w:rStyle w:val="Hyperlink"/>
                <w:noProof/>
              </w:rPr>
              <w:t>Food-to-food fortification</w:t>
            </w:r>
            <w:r w:rsidR="00BF2155">
              <w:rPr>
                <w:noProof/>
                <w:webHidden/>
              </w:rPr>
              <w:tab/>
            </w:r>
            <w:r w:rsidR="00BF2155">
              <w:rPr>
                <w:noProof/>
                <w:webHidden/>
              </w:rPr>
              <w:fldChar w:fldCharType="begin"/>
            </w:r>
            <w:r w:rsidR="00BF2155">
              <w:rPr>
                <w:noProof/>
                <w:webHidden/>
              </w:rPr>
              <w:instrText xml:space="preserve"> PAGEREF _Toc65253554 \h </w:instrText>
            </w:r>
            <w:r w:rsidR="00BF2155">
              <w:rPr>
                <w:noProof/>
                <w:webHidden/>
              </w:rPr>
            </w:r>
            <w:r w:rsidR="00BF2155">
              <w:rPr>
                <w:noProof/>
                <w:webHidden/>
              </w:rPr>
              <w:fldChar w:fldCharType="separate"/>
            </w:r>
            <w:r w:rsidR="00BF2155">
              <w:rPr>
                <w:noProof/>
                <w:webHidden/>
              </w:rPr>
              <w:t>24</w:t>
            </w:r>
            <w:r w:rsidR="00BF2155">
              <w:rPr>
                <w:noProof/>
                <w:webHidden/>
              </w:rPr>
              <w:fldChar w:fldCharType="end"/>
            </w:r>
          </w:hyperlink>
        </w:p>
        <w:p w14:paraId="4EEAD58E" w14:textId="114BEA55" w:rsidR="00BF2155" w:rsidRDefault="0038137E">
          <w:pPr>
            <w:pStyle w:val="TOC2"/>
            <w:tabs>
              <w:tab w:val="left" w:pos="880"/>
              <w:tab w:val="right" w:leader="dot" w:pos="9017"/>
            </w:tabs>
            <w:rPr>
              <w:rFonts w:asciiTheme="minorHAnsi" w:eastAsiaTheme="minorEastAsia" w:hAnsiTheme="minorHAnsi" w:cstheme="minorBidi"/>
              <w:noProof/>
              <w:sz w:val="22"/>
              <w:lang w:val="en-ZA" w:eastAsia="en-ZA"/>
            </w:rPr>
          </w:pPr>
          <w:hyperlink w:anchor="_Toc65253555" w:history="1">
            <w:r w:rsidR="00BF2155" w:rsidRPr="00AE5F31">
              <w:rPr>
                <w:rStyle w:val="Hyperlink"/>
                <w:noProof/>
              </w:rPr>
              <w:t>2.4</w:t>
            </w:r>
            <w:r w:rsidR="00BF2155">
              <w:rPr>
                <w:rFonts w:asciiTheme="minorHAnsi" w:eastAsiaTheme="minorEastAsia" w:hAnsiTheme="minorHAnsi" w:cstheme="minorBidi"/>
                <w:noProof/>
                <w:sz w:val="22"/>
                <w:lang w:val="en-ZA" w:eastAsia="en-ZA"/>
              </w:rPr>
              <w:tab/>
            </w:r>
            <w:r w:rsidR="00BF2155" w:rsidRPr="00AE5F31">
              <w:rPr>
                <w:rStyle w:val="Hyperlink"/>
                <w:noProof/>
              </w:rPr>
              <w:t>Cereals as dietary sources of essential minerals in Africa</w:t>
            </w:r>
            <w:r w:rsidR="00BF2155">
              <w:rPr>
                <w:noProof/>
                <w:webHidden/>
              </w:rPr>
              <w:tab/>
            </w:r>
            <w:r w:rsidR="00BF2155">
              <w:rPr>
                <w:noProof/>
                <w:webHidden/>
              </w:rPr>
              <w:fldChar w:fldCharType="begin"/>
            </w:r>
            <w:r w:rsidR="00BF2155">
              <w:rPr>
                <w:noProof/>
                <w:webHidden/>
              </w:rPr>
              <w:instrText xml:space="preserve"> PAGEREF _Toc65253555 \h </w:instrText>
            </w:r>
            <w:r w:rsidR="00BF2155">
              <w:rPr>
                <w:noProof/>
                <w:webHidden/>
              </w:rPr>
            </w:r>
            <w:r w:rsidR="00BF2155">
              <w:rPr>
                <w:noProof/>
                <w:webHidden/>
              </w:rPr>
              <w:fldChar w:fldCharType="separate"/>
            </w:r>
            <w:r w:rsidR="00BF2155">
              <w:rPr>
                <w:noProof/>
                <w:webHidden/>
              </w:rPr>
              <w:t>27</w:t>
            </w:r>
            <w:r w:rsidR="00BF2155">
              <w:rPr>
                <w:noProof/>
                <w:webHidden/>
              </w:rPr>
              <w:fldChar w:fldCharType="end"/>
            </w:r>
          </w:hyperlink>
        </w:p>
        <w:p w14:paraId="220F8340" w14:textId="03C061A8"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56" w:history="1">
            <w:r w:rsidR="00BF2155" w:rsidRPr="00AE5F31">
              <w:rPr>
                <w:rStyle w:val="Hyperlink"/>
                <w:noProof/>
              </w:rPr>
              <w:t>2.4.1</w:t>
            </w:r>
            <w:r w:rsidR="00BF2155">
              <w:rPr>
                <w:rFonts w:asciiTheme="minorHAnsi" w:eastAsiaTheme="minorEastAsia" w:hAnsiTheme="minorHAnsi" w:cstheme="minorBidi"/>
                <w:noProof/>
                <w:sz w:val="22"/>
                <w:lang w:val="en-ZA" w:eastAsia="en-ZA"/>
              </w:rPr>
              <w:tab/>
            </w:r>
            <w:r w:rsidR="00BF2155" w:rsidRPr="00AE5F31">
              <w:rPr>
                <w:rStyle w:val="Hyperlink"/>
                <w:noProof/>
              </w:rPr>
              <w:t>Essential mineral contents of commonly consumed cereals and their percentage contribution to the recommended nutrient intake (RNI)</w:t>
            </w:r>
            <w:r w:rsidR="00BF2155">
              <w:rPr>
                <w:noProof/>
                <w:webHidden/>
              </w:rPr>
              <w:tab/>
            </w:r>
            <w:r w:rsidR="00BF2155">
              <w:rPr>
                <w:noProof/>
                <w:webHidden/>
              </w:rPr>
              <w:fldChar w:fldCharType="begin"/>
            </w:r>
            <w:r w:rsidR="00BF2155">
              <w:rPr>
                <w:noProof/>
                <w:webHidden/>
              </w:rPr>
              <w:instrText xml:space="preserve"> PAGEREF _Toc65253556 \h </w:instrText>
            </w:r>
            <w:r w:rsidR="00BF2155">
              <w:rPr>
                <w:noProof/>
                <w:webHidden/>
              </w:rPr>
            </w:r>
            <w:r w:rsidR="00BF2155">
              <w:rPr>
                <w:noProof/>
                <w:webHidden/>
              </w:rPr>
              <w:fldChar w:fldCharType="separate"/>
            </w:r>
            <w:r w:rsidR="00BF2155">
              <w:rPr>
                <w:noProof/>
                <w:webHidden/>
              </w:rPr>
              <w:t>27</w:t>
            </w:r>
            <w:r w:rsidR="00BF2155">
              <w:rPr>
                <w:noProof/>
                <w:webHidden/>
              </w:rPr>
              <w:fldChar w:fldCharType="end"/>
            </w:r>
          </w:hyperlink>
        </w:p>
        <w:p w14:paraId="482AFFD9" w14:textId="446F4270"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57" w:history="1">
            <w:r w:rsidR="00BF2155" w:rsidRPr="00AE5F31">
              <w:rPr>
                <w:rStyle w:val="Hyperlink"/>
                <w:noProof/>
              </w:rPr>
              <w:t>2.4.2</w:t>
            </w:r>
            <w:r w:rsidR="00BF2155">
              <w:rPr>
                <w:rFonts w:asciiTheme="minorHAnsi" w:eastAsiaTheme="minorEastAsia" w:hAnsiTheme="minorHAnsi" w:cstheme="minorBidi"/>
                <w:noProof/>
                <w:sz w:val="22"/>
                <w:lang w:val="en-ZA" w:eastAsia="en-ZA"/>
              </w:rPr>
              <w:tab/>
            </w:r>
            <w:r w:rsidR="00BF2155" w:rsidRPr="00AE5F31">
              <w:rPr>
                <w:rStyle w:val="Hyperlink"/>
                <w:noProof/>
              </w:rPr>
              <w:t>Antinutritional factors in cereals</w:t>
            </w:r>
            <w:r w:rsidR="00BF2155">
              <w:rPr>
                <w:noProof/>
                <w:webHidden/>
              </w:rPr>
              <w:tab/>
            </w:r>
            <w:r w:rsidR="00BF2155">
              <w:rPr>
                <w:noProof/>
                <w:webHidden/>
              </w:rPr>
              <w:fldChar w:fldCharType="begin"/>
            </w:r>
            <w:r w:rsidR="00BF2155">
              <w:rPr>
                <w:noProof/>
                <w:webHidden/>
              </w:rPr>
              <w:instrText xml:space="preserve"> PAGEREF _Toc65253557 \h </w:instrText>
            </w:r>
            <w:r w:rsidR="00BF2155">
              <w:rPr>
                <w:noProof/>
                <w:webHidden/>
              </w:rPr>
            </w:r>
            <w:r w:rsidR="00BF2155">
              <w:rPr>
                <w:noProof/>
                <w:webHidden/>
              </w:rPr>
              <w:fldChar w:fldCharType="separate"/>
            </w:r>
            <w:r w:rsidR="00BF2155">
              <w:rPr>
                <w:noProof/>
                <w:webHidden/>
              </w:rPr>
              <w:t>30</w:t>
            </w:r>
            <w:r w:rsidR="00BF2155">
              <w:rPr>
                <w:noProof/>
                <w:webHidden/>
              </w:rPr>
              <w:fldChar w:fldCharType="end"/>
            </w:r>
          </w:hyperlink>
        </w:p>
        <w:p w14:paraId="34A5FA41" w14:textId="66CA2620"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558" w:history="1">
            <w:r w:rsidR="00BF2155" w:rsidRPr="00AE5F31">
              <w:rPr>
                <w:rStyle w:val="Hyperlink"/>
                <w:noProof/>
              </w:rPr>
              <w:t>2.4.2.1</w:t>
            </w:r>
            <w:r w:rsidR="00BF2155">
              <w:rPr>
                <w:rFonts w:asciiTheme="minorHAnsi" w:eastAsiaTheme="minorEastAsia" w:hAnsiTheme="minorHAnsi" w:cstheme="minorBidi"/>
                <w:noProof/>
                <w:sz w:val="22"/>
                <w:lang w:val="en-ZA" w:eastAsia="en-ZA"/>
              </w:rPr>
              <w:tab/>
            </w:r>
            <w:r w:rsidR="00BF2155" w:rsidRPr="00AE5F31">
              <w:rPr>
                <w:rStyle w:val="Hyperlink"/>
                <w:noProof/>
              </w:rPr>
              <w:t>Phytate</w:t>
            </w:r>
            <w:r w:rsidR="00BF2155">
              <w:rPr>
                <w:noProof/>
                <w:webHidden/>
              </w:rPr>
              <w:tab/>
            </w:r>
            <w:r w:rsidR="00BF2155">
              <w:rPr>
                <w:noProof/>
                <w:webHidden/>
              </w:rPr>
              <w:fldChar w:fldCharType="begin"/>
            </w:r>
            <w:r w:rsidR="00BF2155">
              <w:rPr>
                <w:noProof/>
                <w:webHidden/>
              </w:rPr>
              <w:instrText xml:space="preserve"> PAGEREF _Toc65253558 \h </w:instrText>
            </w:r>
            <w:r w:rsidR="00BF2155">
              <w:rPr>
                <w:noProof/>
                <w:webHidden/>
              </w:rPr>
            </w:r>
            <w:r w:rsidR="00BF2155">
              <w:rPr>
                <w:noProof/>
                <w:webHidden/>
              </w:rPr>
              <w:fldChar w:fldCharType="separate"/>
            </w:r>
            <w:r w:rsidR="00BF2155">
              <w:rPr>
                <w:noProof/>
                <w:webHidden/>
              </w:rPr>
              <w:t>30</w:t>
            </w:r>
            <w:r w:rsidR="00BF2155">
              <w:rPr>
                <w:noProof/>
                <w:webHidden/>
              </w:rPr>
              <w:fldChar w:fldCharType="end"/>
            </w:r>
          </w:hyperlink>
        </w:p>
        <w:p w14:paraId="5E7E61F5" w14:textId="136991FF"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559" w:history="1">
            <w:r w:rsidR="00BF2155" w:rsidRPr="00AE5F31">
              <w:rPr>
                <w:rStyle w:val="Hyperlink"/>
                <w:noProof/>
              </w:rPr>
              <w:t>2.4.2.2</w:t>
            </w:r>
            <w:r w:rsidR="00BF2155">
              <w:rPr>
                <w:rFonts w:asciiTheme="minorHAnsi" w:eastAsiaTheme="minorEastAsia" w:hAnsiTheme="minorHAnsi" w:cstheme="minorBidi"/>
                <w:noProof/>
                <w:sz w:val="22"/>
                <w:lang w:val="en-ZA" w:eastAsia="en-ZA"/>
              </w:rPr>
              <w:tab/>
            </w:r>
            <w:r w:rsidR="00BF2155" w:rsidRPr="00AE5F31">
              <w:rPr>
                <w:rStyle w:val="Hyperlink"/>
                <w:noProof/>
              </w:rPr>
              <w:t>Polyphenols</w:t>
            </w:r>
            <w:r w:rsidR="00BF2155">
              <w:rPr>
                <w:noProof/>
                <w:webHidden/>
              </w:rPr>
              <w:tab/>
            </w:r>
            <w:r w:rsidR="00BF2155">
              <w:rPr>
                <w:noProof/>
                <w:webHidden/>
              </w:rPr>
              <w:fldChar w:fldCharType="begin"/>
            </w:r>
            <w:r w:rsidR="00BF2155">
              <w:rPr>
                <w:noProof/>
                <w:webHidden/>
              </w:rPr>
              <w:instrText xml:space="preserve"> PAGEREF _Toc65253559 \h </w:instrText>
            </w:r>
            <w:r w:rsidR="00BF2155">
              <w:rPr>
                <w:noProof/>
                <w:webHidden/>
              </w:rPr>
            </w:r>
            <w:r w:rsidR="00BF2155">
              <w:rPr>
                <w:noProof/>
                <w:webHidden/>
              </w:rPr>
              <w:fldChar w:fldCharType="separate"/>
            </w:r>
            <w:r w:rsidR="00BF2155">
              <w:rPr>
                <w:noProof/>
                <w:webHidden/>
              </w:rPr>
              <w:t>32</w:t>
            </w:r>
            <w:r w:rsidR="00BF2155">
              <w:rPr>
                <w:noProof/>
                <w:webHidden/>
              </w:rPr>
              <w:fldChar w:fldCharType="end"/>
            </w:r>
          </w:hyperlink>
        </w:p>
        <w:p w14:paraId="3180E5BF" w14:textId="79F9C3EC"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560" w:history="1">
            <w:r w:rsidR="00BF2155" w:rsidRPr="00AE5F31">
              <w:rPr>
                <w:rStyle w:val="Hyperlink"/>
                <w:noProof/>
              </w:rPr>
              <w:t>2.4.2.3</w:t>
            </w:r>
            <w:r w:rsidR="00BF2155">
              <w:rPr>
                <w:rFonts w:asciiTheme="minorHAnsi" w:eastAsiaTheme="minorEastAsia" w:hAnsiTheme="minorHAnsi" w:cstheme="minorBidi"/>
                <w:noProof/>
                <w:sz w:val="22"/>
                <w:lang w:val="en-ZA" w:eastAsia="en-ZA"/>
              </w:rPr>
              <w:tab/>
            </w:r>
            <w:r w:rsidR="00BF2155" w:rsidRPr="00AE5F31">
              <w:rPr>
                <w:rStyle w:val="Hyperlink"/>
                <w:noProof/>
              </w:rPr>
              <w:t>Dietary fibre</w:t>
            </w:r>
            <w:r w:rsidR="00BF2155">
              <w:rPr>
                <w:noProof/>
                <w:webHidden/>
              </w:rPr>
              <w:tab/>
            </w:r>
            <w:r w:rsidR="00BF2155">
              <w:rPr>
                <w:noProof/>
                <w:webHidden/>
              </w:rPr>
              <w:fldChar w:fldCharType="begin"/>
            </w:r>
            <w:r w:rsidR="00BF2155">
              <w:rPr>
                <w:noProof/>
                <w:webHidden/>
              </w:rPr>
              <w:instrText xml:space="preserve"> PAGEREF _Toc65253560 \h </w:instrText>
            </w:r>
            <w:r w:rsidR="00BF2155">
              <w:rPr>
                <w:noProof/>
                <w:webHidden/>
              </w:rPr>
            </w:r>
            <w:r w:rsidR="00BF2155">
              <w:rPr>
                <w:noProof/>
                <w:webHidden/>
              </w:rPr>
              <w:fldChar w:fldCharType="separate"/>
            </w:r>
            <w:r w:rsidR="00BF2155">
              <w:rPr>
                <w:noProof/>
                <w:webHidden/>
              </w:rPr>
              <w:t>33</w:t>
            </w:r>
            <w:r w:rsidR="00BF2155">
              <w:rPr>
                <w:noProof/>
                <w:webHidden/>
              </w:rPr>
              <w:fldChar w:fldCharType="end"/>
            </w:r>
          </w:hyperlink>
        </w:p>
        <w:p w14:paraId="38FA9FE3" w14:textId="0212B84E"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561" w:history="1">
            <w:r w:rsidR="00BF2155" w:rsidRPr="00AE5F31">
              <w:rPr>
                <w:rStyle w:val="Hyperlink"/>
                <w:noProof/>
              </w:rPr>
              <w:t>2.4.2.4</w:t>
            </w:r>
            <w:r w:rsidR="00BF2155">
              <w:rPr>
                <w:rFonts w:asciiTheme="minorHAnsi" w:eastAsiaTheme="minorEastAsia" w:hAnsiTheme="minorHAnsi" w:cstheme="minorBidi"/>
                <w:noProof/>
                <w:sz w:val="22"/>
                <w:lang w:val="en-ZA" w:eastAsia="en-ZA"/>
              </w:rPr>
              <w:tab/>
            </w:r>
            <w:r w:rsidR="00BF2155" w:rsidRPr="00AE5F31">
              <w:rPr>
                <w:rStyle w:val="Hyperlink"/>
                <w:noProof/>
              </w:rPr>
              <w:t>Mineral-mineral interactions</w:t>
            </w:r>
            <w:r w:rsidR="00BF2155">
              <w:rPr>
                <w:noProof/>
                <w:webHidden/>
              </w:rPr>
              <w:tab/>
            </w:r>
            <w:r w:rsidR="00BF2155">
              <w:rPr>
                <w:noProof/>
                <w:webHidden/>
              </w:rPr>
              <w:fldChar w:fldCharType="begin"/>
            </w:r>
            <w:r w:rsidR="00BF2155">
              <w:rPr>
                <w:noProof/>
                <w:webHidden/>
              </w:rPr>
              <w:instrText xml:space="preserve"> PAGEREF _Toc65253561 \h </w:instrText>
            </w:r>
            <w:r w:rsidR="00BF2155">
              <w:rPr>
                <w:noProof/>
                <w:webHidden/>
              </w:rPr>
            </w:r>
            <w:r w:rsidR="00BF2155">
              <w:rPr>
                <w:noProof/>
                <w:webHidden/>
              </w:rPr>
              <w:fldChar w:fldCharType="separate"/>
            </w:r>
            <w:r w:rsidR="00BF2155">
              <w:rPr>
                <w:noProof/>
                <w:webHidden/>
              </w:rPr>
              <w:t>33</w:t>
            </w:r>
            <w:r w:rsidR="00BF2155">
              <w:rPr>
                <w:noProof/>
                <w:webHidden/>
              </w:rPr>
              <w:fldChar w:fldCharType="end"/>
            </w:r>
          </w:hyperlink>
        </w:p>
        <w:p w14:paraId="01D49698" w14:textId="70ECA74F" w:rsidR="00BF2155" w:rsidRDefault="0038137E">
          <w:pPr>
            <w:pStyle w:val="TOC2"/>
            <w:tabs>
              <w:tab w:val="left" w:pos="880"/>
              <w:tab w:val="right" w:leader="dot" w:pos="9017"/>
            </w:tabs>
            <w:rPr>
              <w:rFonts w:asciiTheme="minorHAnsi" w:eastAsiaTheme="minorEastAsia" w:hAnsiTheme="minorHAnsi" w:cstheme="minorBidi"/>
              <w:noProof/>
              <w:sz w:val="22"/>
              <w:lang w:val="en-ZA" w:eastAsia="en-ZA"/>
            </w:rPr>
          </w:pPr>
          <w:hyperlink w:anchor="_Toc65253562" w:history="1">
            <w:r w:rsidR="00BF2155" w:rsidRPr="00AE5F31">
              <w:rPr>
                <w:rStyle w:val="Hyperlink"/>
                <w:noProof/>
              </w:rPr>
              <w:t>2.5</w:t>
            </w:r>
            <w:r w:rsidR="00BF2155">
              <w:rPr>
                <w:rFonts w:asciiTheme="minorHAnsi" w:eastAsiaTheme="minorEastAsia" w:hAnsiTheme="minorHAnsi" w:cstheme="minorBidi"/>
                <w:noProof/>
                <w:sz w:val="22"/>
                <w:lang w:val="en-ZA" w:eastAsia="en-ZA"/>
              </w:rPr>
              <w:tab/>
            </w:r>
            <w:r w:rsidR="00BF2155" w:rsidRPr="00AE5F31">
              <w:rPr>
                <w:rStyle w:val="Hyperlink"/>
                <w:noProof/>
              </w:rPr>
              <w:t>Improving iron and zinc contents and bioavailability in plant-based foods</w:t>
            </w:r>
            <w:r w:rsidR="00BF2155">
              <w:rPr>
                <w:noProof/>
                <w:webHidden/>
              </w:rPr>
              <w:tab/>
            </w:r>
            <w:r w:rsidR="00BF2155">
              <w:rPr>
                <w:noProof/>
                <w:webHidden/>
              </w:rPr>
              <w:fldChar w:fldCharType="begin"/>
            </w:r>
            <w:r w:rsidR="00BF2155">
              <w:rPr>
                <w:noProof/>
                <w:webHidden/>
              </w:rPr>
              <w:instrText xml:space="preserve"> PAGEREF _Toc65253562 \h </w:instrText>
            </w:r>
            <w:r w:rsidR="00BF2155">
              <w:rPr>
                <w:noProof/>
                <w:webHidden/>
              </w:rPr>
            </w:r>
            <w:r w:rsidR="00BF2155">
              <w:rPr>
                <w:noProof/>
                <w:webHidden/>
              </w:rPr>
              <w:fldChar w:fldCharType="separate"/>
            </w:r>
            <w:r w:rsidR="00BF2155">
              <w:rPr>
                <w:noProof/>
                <w:webHidden/>
              </w:rPr>
              <w:t>34</w:t>
            </w:r>
            <w:r w:rsidR="00BF2155">
              <w:rPr>
                <w:noProof/>
                <w:webHidden/>
              </w:rPr>
              <w:fldChar w:fldCharType="end"/>
            </w:r>
          </w:hyperlink>
        </w:p>
        <w:p w14:paraId="53A1F180" w14:textId="66D0D583"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63" w:history="1">
            <w:r w:rsidR="00BF2155" w:rsidRPr="00AE5F31">
              <w:rPr>
                <w:rStyle w:val="Hyperlink"/>
                <w:noProof/>
              </w:rPr>
              <w:t>2.5.1</w:t>
            </w:r>
            <w:r w:rsidR="00BF2155">
              <w:rPr>
                <w:rFonts w:asciiTheme="minorHAnsi" w:eastAsiaTheme="minorEastAsia" w:hAnsiTheme="minorHAnsi" w:cstheme="minorBidi"/>
                <w:noProof/>
                <w:sz w:val="22"/>
                <w:lang w:val="en-ZA" w:eastAsia="en-ZA"/>
              </w:rPr>
              <w:tab/>
            </w:r>
            <w:r w:rsidR="00BF2155" w:rsidRPr="00AE5F31">
              <w:rPr>
                <w:rStyle w:val="Hyperlink"/>
                <w:noProof/>
              </w:rPr>
              <w:t>Enhancers of mineral bioavailability</w:t>
            </w:r>
            <w:r w:rsidR="00BF2155">
              <w:rPr>
                <w:noProof/>
                <w:webHidden/>
              </w:rPr>
              <w:tab/>
            </w:r>
            <w:r w:rsidR="00BF2155">
              <w:rPr>
                <w:noProof/>
                <w:webHidden/>
              </w:rPr>
              <w:fldChar w:fldCharType="begin"/>
            </w:r>
            <w:r w:rsidR="00BF2155">
              <w:rPr>
                <w:noProof/>
                <w:webHidden/>
              </w:rPr>
              <w:instrText xml:space="preserve"> PAGEREF _Toc65253563 \h </w:instrText>
            </w:r>
            <w:r w:rsidR="00BF2155">
              <w:rPr>
                <w:noProof/>
                <w:webHidden/>
              </w:rPr>
            </w:r>
            <w:r w:rsidR="00BF2155">
              <w:rPr>
                <w:noProof/>
                <w:webHidden/>
              </w:rPr>
              <w:fldChar w:fldCharType="separate"/>
            </w:r>
            <w:r w:rsidR="00BF2155">
              <w:rPr>
                <w:noProof/>
                <w:webHidden/>
              </w:rPr>
              <w:t>35</w:t>
            </w:r>
            <w:r w:rsidR="00BF2155">
              <w:rPr>
                <w:noProof/>
                <w:webHidden/>
              </w:rPr>
              <w:fldChar w:fldCharType="end"/>
            </w:r>
          </w:hyperlink>
        </w:p>
        <w:p w14:paraId="06BAA2C2" w14:textId="09C2917D"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564" w:history="1">
            <w:r w:rsidR="00BF2155" w:rsidRPr="00AE5F31">
              <w:rPr>
                <w:rStyle w:val="Hyperlink"/>
                <w:noProof/>
              </w:rPr>
              <w:t>2.5.1.1</w:t>
            </w:r>
            <w:r w:rsidR="00BF2155">
              <w:rPr>
                <w:rFonts w:asciiTheme="minorHAnsi" w:eastAsiaTheme="minorEastAsia" w:hAnsiTheme="minorHAnsi" w:cstheme="minorBidi"/>
                <w:noProof/>
                <w:sz w:val="22"/>
                <w:lang w:val="en-ZA" w:eastAsia="en-ZA"/>
              </w:rPr>
              <w:tab/>
            </w:r>
            <w:r w:rsidR="00BF2155" w:rsidRPr="00AE5F31">
              <w:rPr>
                <w:rStyle w:val="Hyperlink"/>
                <w:noProof/>
              </w:rPr>
              <w:t>Organic acids (Ascorbic acid; Citric acid)</w:t>
            </w:r>
            <w:r w:rsidR="00BF2155">
              <w:rPr>
                <w:noProof/>
                <w:webHidden/>
              </w:rPr>
              <w:tab/>
            </w:r>
            <w:r w:rsidR="00BF2155">
              <w:rPr>
                <w:noProof/>
                <w:webHidden/>
              </w:rPr>
              <w:fldChar w:fldCharType="begin"/>
            </w:r>
            <w:r w:rsidR="00BF2155">
              <w:rPr>
                <w:noProof/>
                <w:webHidden/>
              </w:rPr>
              <w:instrText xml:space="preserve"> PAGEREF _Toc65253564 \h </w:instrText>
            </w:r>
            <w:r w:rsidR="00BF2155">
              <w:rPr>
                <w:noProof/>
                <w:webHidden/>
              </w:rPr>
            </w:r>
            <w:r w:rsidR="00BF2155">
              <w:rPr>
                <w:noProof/>
                <w:webHidden/>
              </w:rPr>
              <w:fldChar w:fldCharType="separate"/>
            </w:r>
            <w:r w:rsidR="00BF2155">
              <w:rPr>
                <w:noProof/>
                <w:webHidden/>
              </w:rPr>
              <w:t>35</w:t>
            </w:r>
            <w:r w:rsidR="00BF2155">
              <w:rPr>
                <w:noProof/>
                <w:webHidden/>
              </w:rPr>
              <w:fldChar w:fldCharType="end"/>
            </w:r>
          </w:hyperlink>
        </w:p>
        <w:p w14:paraId="41029C22" w14:textId="61334322"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565" w:history="1">
            <w:r w:rsidR="00BF2155" w:rsidRPr="00AE5F31">
              <w:rPr>
                <w:rStyle w:val="Hyperlink"/>
                <w:noProof/>
              </w:rPr>
              <w:t>2.5.1.2</w:t>
            </w:r>
            <w:r w:rsidR="00BF2155">
              <w:rPr>
                <w:rFonts w:asciiTheme="minorHAnsi" w:eastAsiaTheme="minorEastAsia" w:hAnsiTheme="minorHAnsi" w:cstheme="minorBidi"/>
                <w:noProof/>
                <w:sz w:val="22"/>
                <w:lang w:val="en-ZA" w:eastAsia="en-ZA"/>
              </w:rPr>
              <w:tab/>
            </w:r>
            <w:r w:rsidR="00BF2155" w:rsidRPr="00AE5F31">
              <w:rPr>
                <w:rStyle w:val="Hyperlink"/>
                <w:bCs/>
                <w:noProof/>
              </w:rPr>
              <w:t>Beta-carotene (</w:t>
            </w:r>
            <w:r w:rsidR="00BF2155" w:rsidRPr="00AE5F31">
              <w:rPr>
                <w:rStyle w:val="Hyperlink"/>
                <w:noProof/>
              </w:rPr>
              <w:t>Provitamin A)</w:t>
            </w:r>
            <w:r w:rsidR="00BF2155">
              <w:rPr>
                <w:noProof/>
                <w:webHidden/>
              </w:rPr>
              <w:tab/>
            </w:r>
            <w:r w:rsidR="00BF2155">
              <w:rPr>
                <w:noProof/>
                <w:webHidden/>
              </w:rPr>
              <w:fldChar w:fldCharType="begin"/>
            </w:r>
            <w:r w:rsidR="00BF2155">
              <w:rPr>
                <w:noProof/>
                <w:webHidden/>
              </w:rPr>
              <w:instrText xml:space="preserve"> PAGEREF _Toc65253565 \h </w:instrText>
            </w:r>
            <w:r w:rsidR="00BF2155">
              <w:rPr>
                <w:noProof/>
                <w:webHidden/>
              </w:rPr>
            </w:r>
            <w:r w:rsidR="00BF2155">
              <w:rPr>
                <w:noProof/>
                <w:webHidden/>
              </w:rPr>
              <w:fldChar w:fldCharType="separate"/>
            </w:r>
            <w:r w:rsidR="00BF2155">
              <w:rPr>
                <w:noProof/>
                <w:webHidden/>
              </w:rPr>
              <w:t>37</w:t>
            </w:r>
            <w:r w:rsidR="00BF2155">
              <w:rPr>
                <w:noProof/>
                <w:webHidden/>
              </w:rPr>
              <w:fldChar w:fldCharType="end"/>
            </w:r>
          </w:hyperlink>
        </w:p>
        <w:p w14:paraId="1C2C8BE9" w14:textId="7F340801"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566" w:history="1">
            <w:r w:rsidR="00BF2155" w:rsidRPr="00AE5F31">
              <w:rPr>
                <w:rStyle w:val="Hyperlink"/>
                <w:noProof/>
              </w:rPr>
              <w:t>2.5.1.3</w:t>
            </w:r>
            <w:r w:rsidR="00BF2155">
              <w:rPr>
                <w:rFonts w:asciiTheme="minorHAnsi" w:eastAsiaTheme="minorEastAsia" w:hAnsiTheme="minorHAnsi" w:cstheme="minorBidi"/>
                <w:noProof/>
                <w:sz w:val="22"/>
                <w:lang w:val="en-ZA" w:eastAsia="en-ZA"/>
              </w:rPr>
              <w:tab/>
            </w:r>
            <w:r w:rsidR="00BF2155" w:rsidRPr="00AE5F31">
              <w:rPr>
                <w:rStyle w:val="Hyperlink"/>
                <w:noProof/>
              </w:rPr>
              <w:t>Amino acids and muscle proteins</w:t>
            </w:r>
            <w:r w:rsidR="00BF2155">
              <w:rPr>
                <w:noProof/>
                <w:webHidden/>
              </w:rPr>
              <w:tab/>
            </w:r>
            <w:r w:rsidR="00BF2155">
              <w:rPr>
                <w:noProof/>
                <w:webHidden/>
              </w:rPr>
              <w:fldChar w:fldCharType="begin"/>
            </w:r>
            <w:r w:rsidR="00BF2155">
              <w:rPr>
                <w:noProof/>
                <w:webHidden/>
              </w:rPr>
              <w:instrText xml:space="preserve"> PAGEREF _Toc65253566 \h </w:instrText>
            </w:r>
            <w:r w:rsidR="00BF2155">
              <w:rPr>
                <w:noProof/>
                <w:webHidden/>
              </w:rPr>
            </w:r>
            <w:r w:rsidR="00BF2155">
              <w:rPr>
                <w:noProof/>
                <w:webHidden/>
              </w:rPr>
              <w:fldChar w:fldCharType="separate"/>
            </w:r>
            <w:r w:rsidR="00BF2155">
              <w:rPr>
                <w:noProof/>
                <w:webHidden/>
              </w:rPr>
              <w:t>38</w:t>
            </w:r>
            <w:r w:rsidR="00BF2155">
              <w:rPr>
                <w:noProof/>
                <w:webHidden/>
              </w:rPr>
              <w:fldChar w:fldCharType="end"/>
            </w:r>
          </w:hyperlink>
        </w:p>
        <w:p w14:paraId="74002F06" w14:textId="2FB244DC"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67" w:history="1">
            <w:r w:rsidR="00BF2155" w:rsidRPr="00AE5F31">
              <w:rPr>
                <w:rStyle w:val="Hyperlink"/>
                <w:noProof/>
              </w:rPr>
              <w:t>2.5.2</w:t>
            </w:r>
            <w:r w:rsidR="00BF2155">
              <w:rPr>
                <w:rFonts w:asciiTheme="minorHAnsi" w:eastAsiaTheme="minorEastAsia" w:hAnsiTheme="minorHAnsi" w:cstheme="minorBidi"/>
                <w:noProof/>
                <w:sz w:val="22"/>
                <w:lang w:val="en-ZA" w:eastAsia="en-ZA"/>
              </w:rPr>
              <w:tab/>
            </w:r>
            <w:r w:rsidR="00BF2155" w:rsidRPr="00AE5F31">
              <w:rPr>
                <w:rStyle w:val="Hyperlink"/>
                <w:noProof/>
              </w:rPr>
              <w:t>Plant food sources of essential minerals</w:t>
            </w:r>
            <w:r w:rsidR="00BF2155">
              <w:rPr>
                <w:noProof/>
                <w:webHidden/>
              </w:rPr>
              <w:tab/>
            </w:r>
            <w:r w:rsidR="00BF2155">
              <w:rPr>
                <w:noProof/>
                <w:webHidden/>
              </w:rPr>
              <w:fldChar w:fldCharType="begin"/>
            </w:r>
            <w:r w:rsidR="00BF2155">
              <w:rPr>
                <w:noProof/>
                <w:webHidden/>
              </w:rPr>
              <w:instrText xml:space="preserve"> PAGEREF _Toc65253567 \h </w:instrText>
            </w:r>
            <w:r w:rsidR="00BF2155">
              <w:rPr>
                <w:noProof/>
                <w:webHidden/>
              </w:rPr>
            </w:r>
            <w:r w:rsidR="00BF2155">
              <w:rPr>
                <w:noProof/>
                <w:webHidden/>
              </w:rPr>
              <w:fldChar w:fldCharType="separate"/>
            </w:r>
            <w:r w:rsidR="00BF2155">
              <w:rPr>
                <w:noProof/>
                <w:webHidden/>
              </w:rPr>
              <w:t>39</w:t>
            </w:r>
            <w:r w:rsidR="00BF2155">
              <w:rPr>
                <w:noProof/>
                <w:webHidden/>
              </w:rPr>
              <w:fldChar w:fldCharType="end"/>
            </w:r>
          </w:hyperlink>
        </w:p>
        <w:p w14:paraId="46190106" w14:textId="7487DE3C" w:rsidR="00BF2155" w:rsidRDefault="0038137E">
          <w:pPr>
            <w:pStyle w:val="TOC2"/>
            <w:tabs>
              <w:tab w:val="left" w:pos="880"/>
              <w:tab w:val="right" w:leader="dot" w:pos="9017"/>
            </w:tabs>
            <w:rPr>
              <w:rFonts w:asciiTheme="minorHAnsi" w:eastAsiaTheme="minorEastAsia" w:hAnsiTheme="minorHAnsi" w:cstheme="minorBidi"/>
              <w:noProof/>
              <w:sz w:val="22"/>
              <w:lang w:val="en-ZA" w:eastAsia="en-ZA"/>
            </w:rPr>
          </w:pPr>
          <w:hyperlink w:anchor="_Toc65253568" w:history="1">
            <w:r w:rsidR="00BF2155" w:rsidRPr="00AE5F31">
              <w:rPr>
                <w:rStyle w:val="Hyperlink"/>
                <w:noProof/>
              </w:rPr>
              <w:t>2.6</w:t>
            </w:r>
            <w:r w:rsidR="00BF2155">
              <w:rPr>
                <w:rFonts w:asciiTheme="minorHAnsi" w:eastAsiaTheme="minorEastAsia" w:hAnsiTheme="minorHAnsi" w:cstheme="minorBidi"/>
                <w:noProof/>
                <w:sz w:val="22"/>
                <w:lang w:val="en-ZA" w:eastAsia="en-ZA"/>
              </w:rPr>
              <w:tab/>
            </w:r>
            <w:r w:rsidR="00BF2155" w:rsidRPr="00AE5F31">
              <w:rPr>
                <w:rStyle w:val="Hyperlink"/>
                <w:noProof/>
              </w:rPr>
              <w:t>Assessment of iron and zinc bioavailability</w:t>
            </w:r>
            <w:r w:rsidR="00BF2155">
              <w:rPr>
                <w:noProof/>
                <w:webHidden/>
              </w:rPr>
              <w:tab/>
            </w:r>
            <w:r w:rsidR="00BF2155">
              <w:rPr>
                <w:noProof/>
                <w:webHidden/>
              </w:rPr>
              <w:fldChar w:fldCharType="begin"/>
            </w:r>
            <w:r w:rsidR="00BF2155">
              <w:rPr>
                <w:noProof/>
                <w:webHidden/>
              </w:rPr>
              <w:instrText xml:space="preserve"> PAGEREF _Toc65253568 \h </w:instrText>
            </w:r>
            <w:r w:rsidR="00BF2155">
              <w:rPr>
                <w:noProof/>
                <w:webHidden/>
              </w:rPr>
            </w:r>
            <w:r w:rsidR="00BF2155">
              <w:rPr>
                <w:noProof/>
                <w:webHidden/>
              </w:rPr>
              <w:fldChar w:fldCharType="separate"/>
            </w:r>
            <w:r w:rsidR="00BF2155">
              <w:rPr>
                <w:noProof/>
                <w:webHidden/>
              </w:rPr>
              <w:t>40</w:t>
            </w:r>
            <w:r w:rsidR="00BF2155">
              <w:rPr>
                <w:noProof/>
                <w:webHidden/>
              </w:rPr>
              <w:fldChar w:fldCharType="end"/>
            </w:r>
          </w:hyperlink>
        </w:p>
        <w:p w14:paraId="48492928" w14:textId="44DE8DA3"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69" w:history="1">
            <w:r w:rsidR="00BF2155" w:rsidRPr="00AE5F31">
              <w:rPr>
                <w:rStyle w:val="Hyperlink"/>
                <w:noProof/>
              </w:rPr>
              <w:t>2.6.1</w:t>
            </w:r>
            <w:r w:rsidR="00BF2155">
              <w:rPr>
                <w:rFonts w:asciiTheme="minorHAnsi" w:eastAsiaTheme="minorEastAsia" w:hAnsiTheme="minorHAnsi" w:cstheme="minorBidi"/>
                <w:noProof/>
                <w:sz w:val="22"/>
                <w:lang w:val="en-ZA" w:eastAsia="en-ZA"/>
              </w:rPr>
              <w:tab/>
            </w:r>
            <w:r w:rsidR="00BF2155" w:rsidRPr="00AE5F31">
              <w:rPr>
                <w:rStyle w:val="Hyperlink"/>
                <w:i/>
                <w:iCs/>
                <w:noProof/>
              </w:rPr>
              <w:t>In vitro</w:t>
            </w:r>
            <w:r w:rsidR="00BF2155" w:rsidRPr="00AE5F31">
              <w:rPr>
                <w:rStyle w:val="Hyperlink"/>
                <w:noProof/>
              </w:rPr>
              <w:t xml:space="preserve"> dialysability assay</w:t>
            </w:r>
            <w:r w:rsidR="00BF2155">
              <w:rPr>
                <w:noProof/>
                <w:webHidden/>
              </w:rPr>
              <w:tab/>
            </w:r>
            <w:r w:rsidR="00BF2155">
              <w:rPr>
                <w:noProof/>
                <w:webHidden/>
              </w:rPr>
              <w:fldChar w:fldCharType="begin"/>
            </w:r>
            <w:r w:rsidR="00BF2155">
              <w:rPr>
                <w:noProof/>
                <w:webHidden/>
              </w:rPr>
              <w:instrText xml:space="preserve"> PAGEREF _Toc65253569 \h </w:instrText>
            </w:r>
            <w:r w:rsidR="00BF2155">
              <w:rPr>
                <w:noProof/>
                <w:webHidden/>
              </w:rPr>
            </w:r>
            <w:r w:rsidR="00BF2155">
              <w:rPr>
                <w:noProof/>
                <w:webHidden/>
              </w:rPr>
              <w:fldChar w:fldCharType="separate"/>
            </w:r>
            <w:r w:rsidR="00BF2155">
              <w:rPr>
                <w:noProof/>
                <w:webHidden/>
              </w:rPr>
              <w:t>41</w:t>
            </w:r>
            <w:r w:rsidR="00BF2155">
              <w:rPr>
                <w:noProof/>
                <w:webHidden/>
              </w:rPr>
              <w:fldChar w:fldCharType="end"/>
            </w:r>
          </w:hyperlink>
        </w:p>
        <w:p w14:paraId="39BCC58A" w14:textId="48E392C0"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70" w:history="1">
            <w:r w:rsidR="00BF2155" w:rsidRPr="00AE5F31">
              <w:rPr>
                <w:rStyle w:val="Hyperlink"/>
                <w:noProof/>
              </w:rPr>
              <w:t>2.6.2</w:t>
            </w:r>
            <w:r w:rsidR="00BF2155">
              <w:rPr>
                <w:rFonts w:asciiTheme="minorHAnsi" w:eastAsiaTheme="minorEastAsia" w:hAnsiTheme="minorHAnsi" w:cstheme="minorBidi"/>
                <w:noProof/>
                <w:sz w:val="22"/>
                <w:lang w:val="en-ZA" w:eastAsia="en-ZA"/>
              </w:rPr>
              <w:tab/>
            </w:r>
            <w:r w:rsidR="00BF2155" w:rsidRPr="00AE5F31">
              <w:rPr>
                <w:rStyle w:val="Hyperlink"/>
                <w:i/>
                <w:iCs/>
                <w:noProof/>
              </w:rPr>
              <w:t>In vitro</w:t>
            </w:r>
            <w:r w:rsidR="00BF2155" w:rsidRPr="00AE5F31">
              <w:rPr>
                <w:rStyle w:val="Hyperlink"/>
                <w:noProof/>
              </w:rPr>
              <w:t xml:space="preserve"> cell mineral uptake assay</w:t>
            </w:r>
            <w:r w:rsidR="00BF2155">
              <w:rPr>
                <w:noProof/>
                <w:webHidden/>
              </w:rPr>
              <w:tab/>
            </w:r>
            <w:r w:rsidR="00BF2155">
              <w:rPr>
                <w:noProof/>
                <w:webHidden/>
              </w:rPr>
              <w:fldChar w:fldCharType="begin"/>
            </w:r>
            <w:r w:rsidR="00BF2155">
              <w:rPr>
                <w:noProof/>
                <w:webHidden/>
              </w:rPr>
              <w:instrText xml:space="preserve"> PAGEREF _Toc65253570 \h </w:instrText>
            </w:r>
            <w:r w:rsidR="00BF2155">
              <w:rPr>
                <w:noProof/>
                <w:webHidden/>
              </w:rPr>
            </w:r>
            <w:r w:rsidR="00BF2155">
              <w:rPr>
                <w:noProof/>
                <w:webHidden/>
              </w:rPr>
              <w:fldChar w:fldCharType="separate"/>
            </w:r>
            <w:r w:rsidR="00BF2155">
              <w:rPr>
                <w:noProof/>
                <w:webHidden/>
              </w:rPr>
              <w:t>41</w:t>
            </w:r>
            <w:r w:rsidR="00BF2155">
              <w:rPr>
                <w:noProof/>
                <w:webHidden/>
              </w:rPr>
              <w:fldChar w:fldCharType="end"/>
            </w:r>
          </w:hyperlink>
        </w:p>
        <w:p w14:paraId="19F30917" w14:textId="480DE231"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71" w:history="1">
            <w:r w:rsidR="00BF2155" w:rsidRPr="00AE5F31">
              <w:rPr>
                <w:rStyle w:val="Hyperlink"/>
                <w:noProof/>
              </w:rPr>
              <w:t>2.6.3</w:t>
            </w:r>
            <w:r w:rsidR="00BF2155">
              <w:rPr>
                <w:rFonts w:asciiTheme="minorHAnsi" w:eastAsiaTheme="minorEastAsia" w:hAnsiTheme="minorHAnsi" w:cstheme="minorBidi"/>
                <w:noProof/>
                <w:sz w:val="22"/>
                <w:lang w:val="en-ZA" w:eastAsia="en-ZA"/>
              </w:rPr>
              <w:tab/>
            </w:r>
            <w:r w:rsidR="00BF2155" w:rsidRPr="00AE5F31">
              <w:rPr>
                <w:rStyle w:val="Hyperlink"/>
                <w:i/>
                <w:iCs/>
                <w:noProof/>
              </w:rPr>
              <w:t>In vivo</w:t>
            </w:r>
            <w:r w:rsidR="00BF2155" w:rsidRPr="00AE5F31">
              <w:rPr>
                <w:rStyle w:val="Hyperlink"/>
                <w:noProof/>
              </w:rPr>
              <w:t xml:space="preserve"> animal and human trials</w:t>
            </w:r>
            <w:r w:rsidR="00BF2155">
              <w:rPr>
                <w:noProof/>
                <w:webHidden/>
              </w:rPr>
              <w:tab/>
            </w:r>
            <w:r w:rsidR="00BF2155">
              <w:rPr>
                <w:noProof/>
                <w:webHidden/>
              </w:rPr>
              <w:fldChar w:fldCharType="begin"/>
            </w:r>
            <w:r w:rsidR="00BF2155">
              <w:rPr>
                <w:noProof/>
                <w:webHidden/>
              </w:rPr>
              <w:instrText xml:space="preserve"> PAGEREF _Toc65253571 \h </w:instrText>
            </w:r>
            <w:r w:rsidR="00BF2155">
              <w:rPr>
                <w:noProof/>
                <w:webHidden/>
              </w:rPr>
            </w:r>
            <w:r w:rsidR="00BF2155">
              <w:rPr>
                <w:noProof/>
                <w:webHidden/>
              </w:rPr>
              <w:fldChar w:fldCharType="separate"/>
            </w:r>
            <w:r w:rsidR="00BF2155">
              <w:rPr>
                <w:noProof/>
                <w:webHidden/>
              </w:rPr>
              <w:t>42</w:t>
            </w:r>
            <w:r w:rsidR="00BF2155">
              <w:rPr>
                <w:noProof/>
                <w:webHidden/>
              </w:rPr>
              <w:fldChar w:fldCharType="end"/>
            </w:r>
          </w:hyperlink>
        </w:p>
        <w:p w14:paraId="1BB0758C" w14:textId="7591F328" w:rsidR="00BF2155" w:rsidRDefault="0038137E">
          <w:pPr>
            <w:pStyle w:val="TOC2"/>
            <w:tabs>
              <w:tab w:val="left" w:pos="880"/>
              <w:tab w:val="right" w:leader="dot" w:pos="9017"/>
            </w:tabs>
            <w:rPr>
              <w:rFonts w:asciiTheme="minorHAnsi" w:eastAsiaTheme="minorEastAsia" w:hAnsiTheme="minorHAnsi" w:cstheme="minorBidi"/>
              <w:noProof/>
              <w:sz w:val="22"/>
              <w:lang w:val="en-ZA" w:eastAsia="en-ZA"/>
            </w:rPr>
          </w:pPr>
          <w:hyperlink w:anchor="_Toc65253572" w:history="1">
            <w:r w:rsidR="00BF2155" w:rsidRPr="00AE5F31">
              <w:rPr>
                <w:rStyle w:val="Hyperlink"/>
                <w:noProof/>
              </w:rPr>
              <w:t>2.7</w:t>
            </w:r>
            <w:r w:rsidR="00BF2155">
              <w:rPr>
                <w:rFonts w:asciiTheme="minorHAnsi" w:eastAsiaTheme="minorEastAsia" w:hAnsiTheme="minorHAnsi" w:cstheme="minorBidi"/>
                <w:noProof/>
                <w:sz w:val="22"/>
                <w:lang w:val="en-ZA" w:eastAsia="en-ZA"/>
              </w:rPr>
              <w:tab/>
            </w:r>
            <w:r w:rsidR="00BF2155" w:rsidRPr="00AE5F31">
              <w:rPr>
                <w:rStyle w:val="Hyperlink"/>
                <w:noProof/>
              </w:rPr>
              <w:t>Conclusions</w:t>
            </w:r>
            <w:r w:rsidR="00BF2155">
              <w:rPr>
                <w:noProof/>
                <w:webHidden/>
              </w:rPr>
              <w:tab/>
            </w:r>
            <w:r w:rsidR="00BF2155">
              <w:rPr>
                <w:noProof/>
                <w:webHidden/>
              </w:rPr>
              <w:fldChar w:fldCharType="begin"/>
            </w:r>
            <w:r w:rsidR="00BF2155">
              <w:rPr>
                <w:noProof/>
                <w:webHidden/>
              </w:rPr>
              <w:instrText xml:space="preserve"> PAGEREF _Toc65253572 \h </w:instrText>
            </w:r>
            <w:r w:rsidR="00BF2155">
              <w:rPr>
                <w:noProof/>
                <w:webHidden/>
              </w:rPr>
            </w:r>
            <w:r w:rsidR="00BF2155">
              <w:rPr>
                <w:noProof/>
                <w:webHidden/>
              </w:rPr>
              <w:fldChar w:fldCharType="separate"/>
            </w:r>
            <w:r w:rsidR="00BF2155">
              <w:rPr>
                <w:noProof/>
                <w:webHidden/>
              </w:rPr>
              <w:t>43</w:t>
            </w:r>
            <w:r w:rsidR="00BF2155">
              <w:rPr>
                <w:noProof/>
                <w:webHidden/>
              </w:rPr>
              <w:fldChar w:fldCharType="end"/>
            </w:r>
          </w:hyperlink>
        </w:p>
        <w:p w14:paraId="5B9A4C8E" w14:textId="7749187E" w:rsidR="00BF2155" w:rsidRDefault="0038137E">
          <w:pPr>
            <w:pStyle w:val="TOC1"/>
            <w:tabs>
              <w:tab w:val="left" w:pos="480"/>
              <w:tab w:val="right" w:leader="dot" w:pos="9017"/>
            </w:tabs>
            <w:rPr>
              <w:rFonts w:asciiTheme="minorHAnsi" w:eastAsiaTheme="minorEastAsia" w:hAnsiTheme="minorHAnsi" w:cstheme="minorBidi"/>
              <w:noProof/>
              <w:sz w:val="22"/>
              <w:lang w:val="en-ZA" w:eastAsia="en-ZA"/>
            </w:rPr>
          </w:pPr>
          <w:hyperlink w:anchor="_Toc65253573" w:history="1">
            <w:r w:rsidR="00BF2155" w:rsidRPr="00AE5F31">
              <w:rPr>
                <w:rStyle w:val="Hyperlink"/>
                <w:noProof/>
              </w:rPr>
              <w:t>3.</w:t>
            </w:r>
            <w:r w:rsidR="00BF2155">
              <w:rPr>
                <w:rFonts w:asciiTheme="minorHAnsi" w:eastAsiaTheme="minorEastAsia" w:hAnsiTheme="minorHAnsi" w:cstheme="minorBidi"/>
                <w:noProof/>
                <w:sz w:val="22"/>
                <w:lang w:val="en-ZA" w:eastAsia="en-ZA"/>
              </w:rPr>
              <w:tab/>
            </w:r>
            <w:r w:rsidR="00BF2155" w:rsidRPr="00AE5F31">
              <w:rPr>
                <w:rStyle w:val="Hyperlink"/>
                <w:noProof/>
              </w:rPr>
              <w:t xml:space="preserve"> HYPOTHESES AND OBJECTIVES</w:t>
            </w:r>
            <w:r w:rsidR="00BF2155">
              <w:rPr>
                <w:noProof/>
                <w:webHidden/>
              </w:rPr>
              <w:tab/>
            </w:r>
            <w:r w:rsidR="00BF2155">
              <w:rPr>
                <w:noProof/>
                <w:webHidden/>
              </w:rPr>
              <w:fldChar w:fldCharType="begin"/>
            </w:r>
            <w:r w:rsidR="00BF2155">
              <w:rPr>
                <w:noProof/>
                <w:webHidden/>
              </w:rPr>
              <w:instrText xml:space="preserve"> PAGEREF _Toc65253573 \h </w:instrText>
            </w:r>
            <w:r w:rsidR="00BF2155">
              <w:rPr>
                <w:noProof/>
                <w:webHidden/>
              </w:rPr>
            </w:r>
            <w:r w:rsidR="00BF2155">
              <w:rPr>
                <w:noProof/>
                <w:webHidden/>
              </w:rPr>
              <w:fldChar w:fldCharType="separate"/>
            </w:r>
            <w:r w:rsidR="00BF2155">
              <w:rPr>
                <w:noProof/>
                <w:webHidden/>
              </w:rPr>
              <w:t>44</w:t>
            </w:r>
            <w:r w:rsidR="00BF2155">
              <w:rPr>
                <w:noProof/>
                <w:webHidden/>
              </w:rPr>
              <w:fldChar w:fldCharType="end"/>
            </w:r>
          </w:hyperlink>
        </w:p>
        <w:p w14:paraId="4977D57A" w14:textId="2FAC7FD2" w:rsidR="00BF2155" w:rsidRDefault="0038137E">
          <w:pPr>
            <w:pStyle w:val="TOC2"/>
            <w:tabs>
              <w:tab w:val="left" w:pos="880"/>
              <w:tab w:val="right" w:leader="dot" w:pos="9017"/>
            </w:tabs>
            <w:rPr>
              <w:rFonts w:asciiTheme="minorHAnsi" w:eastAsiaTheme="minorEastAsia" w:hAnsiTheme="minorHAnsi" w:cstheme="minorBidi"/>
              <w:noProof/>
              <w:sz w:val="22"/>
              <w:lang w:val="en-ZA" w:eastAsia="en-ZA"/>
            </w:rPr>
          </w:pPr>
          <w:hyperlink w:anchor="_Toc65253574" w:history="1">
            <w:r w:rsidR="00BF2155" w:rsidRPr="00AE5F31">
              <w:rPr>
                <w:rStyle w:val="Hyperlink"/>
                <w:noProof/>
              </w:rPr>
              <w:t>3.1</w:t>
            </w:r>
            <w:r w:rsidR="00BF2155">
              <w:rPr>
                <w:rFonts w:asciiTheme="minorHAnsi" w:eastAsiaTheme="minorEastAsia" w:hAnsiTheme="minorHAnsi" w:cstheme="minorBidi"/>
                <w:noProof/>
                <w:sz w:val="22"/>
                <w:lang w:val="en-ZA" w:eastAsia="en-ZA"/>
              </w:rPr>
              <w:tab/>
            </w:r>
            <w:r w:rsidR="00BF2155" w:rsidRPr="00AE5F31">
              <w:rPr>
                <w:rStyle w:val="Hyperlink"/>
                <w:noProof/>
              </w:rPr>
              <w:t>Hypotheses</w:t>
            </w:r>
            <w:r w:rsidR="00BF2155">
              <w:rPr>
                <w:noProof/>
                <w:webHidden/>
              </w:rPr>
              <w:tab/>
            </w:r>
            <w:r w:rsidR="00BF2155">
              <w:rPr>
                <w:noProof/>
                <w:webHidden/>
              </w:rPr>
              <w:fldChar w:fldCharType="begin"/>
            </w:r>
            <w:r w:rsidR="00BF2155">
              <w:rPr>
                <w:noProof/>
                <w:webHidden/>
              </w:rPr>
              <w:instrText xml:space="preserve"> PAGEREF _Toc65253574 \h </w:instrText>
            </w:r>
            <w:r w:rsidR="00BF2155">
              <w:rPr>
                <w:noProof/>
                <w:webHidden/>
              </w:rPr>
            </w:r>
            <w:r w:rsidR="00BF2155">
              <w:rPr>
                <w:noProof/>
                <w:webHidden/>
              </w:rPr>
              <w:fldChar w:fldCharType="separate"/>
            </w:r>
            <w:r w:rsidR="00BF2155">
              <w:rPr>
                <w:noProof/>
                <w:webHidden/>
              </w:rPr>
              <w:t>44</w:t>
            </w:r>
            <w:r w:rsidR="00BF2155">
              <w:rPr>
                <w:noProof/>
                <w:webHidden/>
              </w:rPr>
              <w:fldChar w:fldCharType="end"/>
            </w:r>
          </w:hyperlink>
        </w:p>
        <w:p w14:paraId="154586C2" w14:textId="507538E3" w:rsidR="00BF2155" w:rsidRDefault="0038137E">
          <w:pPr>
            <w:pStyle w:val="TOC2"/>
            <w:tabs>
              <w:tab w:val="left" w:pos="880"/>
              <w:tab w:val="right" w:leader="dot" w:pos="9017"/>
            </w:tabs>
            <w:rPr>
              <w:rFonts w:asciiTheme="minorHAnsi" w:eastAsiaTheme="minorEastAsia" w:hAnsiTheme="minorHAnsi" w:cstheme="minorBidi"/>
              <w:noProof/>
              <w:sz w:val="22"/>
              <w:lang w:val="en-ZA" w:eastAsia="en-ZA"/>
            </w:rPr>
          </w:pPr>
          <w:hyperlink w:anchor="_Toc65253575" w:history="1">
            <w:r w:rsidR="00BF2155" w:rsidRPr="00AE5F31">
              <w:rPr>
                <w:rStyle w:val="Hyperlink"/>
                <w:noProof/>
              </w:rPr>
              <w:t>3.2</w:t>
            </w:r>
            <w:r w:rsidR="00BF2155">
              <w:rPr>
                <w:rFonts w:asciiTheme="minorHAnsi" w:eastAsiaTheme="minorEastAsia" w:hAnsiTheme="minorHAnsi" w:cstheme="minorBidi"/>
                <w:noProof/>
                <w:sz w:val="22"/>
                <w:lang w:val="en-ZA" w:eastAsia="en-ZA"/>
              </w:rPr>
              <w:tab/>
            </w:r>
            <w:r w:rsidR="00BF2155" w:rsidRPr="00AE5F31">
              <w:rPr>
                <w:rStyle w:val="Hyperlink"/>
                <w:noProof/>
              </w:rPr>
              <w:t>Objectives</w:t>
            </w:r>
            <w:r w:rsidR="00BF2155">
              <w:rPr>
                <w:noProof/>
                <w:webHidden/>
              </w:rPr>
              <w:tab/>
            </w:r>
            <w:r w:rsidR="00BF2155">
              <w:rPr>
                <w:noProof/>
                <w:webHidden/>
              </w:rPr>
              <w:fldChar w:fldCharType="begin"/>
            </w:r>
            <w:r w:rsidR="00BF2155">
              <w:rPr>
                <w:noProof/>
                <w:webHidden/>
              </w:rPr>
              <w:instrText xml:space="preserve"> PAGEREF _Toc65253575 \h </w:instrText>
            </w:r>
            <w:r w:rsidR="00BF2155">
              <w:rPr>
                <w:noProof/>
                <w:webHidden/>
              </w:rPr>
            </w:r>
            <w:r w:rsidR="00BF2155">
              <w:rPr>
                <w:noProof/>
                <w:webHidden/>
              </w:rPr>
              <w:fldChar w:fldCharType="separate"/>
            </w:r>
            <w:r w:rsidR="00BF2155">
              <w:rPr>
                <w:noProof/>
                <w:webHidden/>
              </w:rPr>
              <w:t>44</w:t>
            </w:r>
            <w:r w:rsidR="00BF2155">
              <w:rPr>
                <w:noProof/>
                <w:webHidden/>
              </w:rPr>
              <w:fldChar w:fldCharType="end"/>
            </w:r>
          </w:hyperlink>
        </w:p>
        <w:p w14:paraId="274F875C" w14:textId="4C67FAE7" w:rsidR="00BF2155" w:rsidRDefault="0038137E">
          <w:pPr>
            <w:pStyle w:val="TOC1"/>
            <w:tabs>
              <w:tab w:val="left" w:pos="480"/>
              <w:tab w:val="right" w:leader="dot" w:pos="9017"/>
            </w:tabs>
            <w:rPr>
              <w:rFonts w:asciiTheme="minorHAnsi" w:eastAsiaTheme="minorEastAsia" w:hAnsiTheme="minorHAnsi" w:cstheme="minorBidi"/>
              <w:noProof/>
              <w:sz w:val="22"/>
              <w:lang w:val="en-ZA" w:eastAsia="en-ZA"/>
            </w:rPr>
          </w:pPr>
          <w:hyperlink w:anchor="_Toc65253576" w:history="1">
            <w:r w:rsidR="00BF2155" w:rsidRPr="00AE5F31">
              <w:rPr>
                <w:rStyle w:val="Hyperlink"/>
                <w:noProof/>
              </w:rPr>
              <w:t>4.</w:t>
            </w:r>
            <w:r w:rsidR="00BF2155">
              <w:rPr>
                <w:rFonts w:asciiTheme="minorHAnsi" w:eastAsiaTheme="minorEastAsia" w:hAnsiTheme="minorHAnsi" w:cstheme="minorBidi"/>
                <w:noProof/>
                <w:sz w:val="22"/>
                <w:lang w:val="en-ZA" w:eastAsia="en-ZA"/>
              </w:rPr>
              <w:tab/>
            </w:r>
            <w:r w:rsidR="00BF2155" w:rsidRPr="00AE5F31">
              <w:rPr>
                <w:rStyle w:val="Hyperlink"/>
                <w:noProof/>
              </w:rPr>
              <w:t>RESEARCH</w:t>
            </w:r>
            <w:r w:rsidR="00BF2155">
              <w:rPr>
                <w:noProof/>
                <w:webHidden/>
              </w:rPr>
              <w:tab/>
            </w:r>
            <w:r w:rsidR="00BF2155">
              <w:rPr>
                <w:noProof/>
                <w:webHidden/>
              </w:rPr>
              <w:fldChar w:fldCharType="begin"/>
            </w:r>
            <w:r w:rsidR="00BF2155">
              <w:rPr>
                <w:noProof/>
                <w:webHidden/>
              </w:rPr>
              <w:instrText xml:space="preserve"> PAGEREF _Toc65253576 \h </w:instrText>
            </w:r>
            <w:r w:rsidR="00BF2155">
              <w:rPr>
                <w:noProof/>
                <w:webHidden/>
              </w:rPr>
            </w:r>
            <w:r w:rsidR="00BF2155">
              <w:rPr>
                <w:noProof/>
                <w:webHidden/>
              </w:rPr>
              <w:fldChar w:fldCharType="separate"/>
            </w:r>
            <w:r w:rsidR="00BF2155">
              <w:rPr>
                <w:noProof/>
                <w:webHidden/>
              </w:rPr>
              <w:t>47</w:t>
            </w:r>
            <w:r w:rsidR="00BF2155">
              <w:rPr>
                <w:noProof/>
                <w:webHidden/>
              </w:rPr>
              <w:fldChar w:fldCharType="end"/>
            </w:r>
          </w:hyperlink>
        </w:p>
        <w:p w14:paraId="3108A7D1" w14:textId="143453C4" w:rsidR="00BF2155" w:rsidRDefault="0038137E">
          <w:pPr>
            <w:pStyle w:val="TOC2"/>
            <w:tabs>
              <w:tab w:val="left" w:pos="880"/>
              <w:tab w:val="right" w:leader="dot" w:pos="9017"/>
            </w:tabs>
            <w:rPr>
              <w:rFonts w:asciiTheme="minorHAnsi" w:eastAsiaTheme="minorEastAsia" w:hAnsiTheme="minorHAnsi" w:cstheme="minorBidi"/>
              <w:noProof/>
              <w:sz w:val="22"/>
              <w:lang w:val="en-ZA" w:eastAsia="en-ZA"/>
            </w:rPr>
          </w:pPr>
          <w:hyperlink w:anchor="_Toc65253577" w:history="1">
            <w:r w:rsidR="00BF2155" w:rsidRPr="00AE5F31">
              <w:rPr>
                <w:rStyle w:val="Hyperlink"/>
                <w:noProof/>
              </w:rPr>
              <w:t>4.1</w:t>
            </w:r>
            <w:r w:rsidR="00BF2155">
              <w:rPr>
                <w:rFonts w:asciiTheme="minorHAnsi" w:eastAsiaTheme="minorEastAsia" w:hAnsiTheme="minorHAnsi" w:cstheme="minorBidi"/>
                <w:noProof/>
                <w:sz w:val="22"/>
                <w:lang w:val="en-ZA" w:eastAsia="en-ZA"/>
              </w:rPr>
              <w:tab/>
            </w:r>
            <w:r w:rsidR="00BF2155" w:rsidRPr="00AE5F31">
              <w:rPr>
                <w:rStyle w:val="Hyperlink"/>
                <w:noProof/>
              </w:rPr>
              <w:t>Com</w:t>
            </w:r>
            <w:r w:rsidR="00BF2155" w:rsidRPr="00AE5F31">
              <w:rPr>
                <w:rStyle w:val="Hyperlink"/>
                <w:rFonts w:cs="Times New Roman"/>
                <w:noProof/>
              </w:rPr>
              <w:t>p</w:t>
            </w:r>
            <w:r w:rsidR="00BF2155" w:rsidRPr="00AE5F31">
              <w:rPr>
                <w:rStyle w:val="Hyperlink"/>
                <w:noProof/>
              </w:rPr>
              <w:t>arison between Food-to-Food Fortification of Pearl Millet Porridge with Moringa Leaves and Baobab Fruit and with adding Ascorbic and Citric acid on Iron, Zinc and other Mineral Bioaccessibilities</w:t>
            </w:r>
            <w:r w:rsidR="00BF2155">
              <w:rPr>
                <w:noProof/>
                <w:webHidden/>
              </w:rPr>
              <w:tab/>
            </w:r>
            <w:r w:rsidR="00BF2155">
              <w:rPr>
                <w:noProof/>
                <w:webHidden/>
              </w:rPr>
              <w:fldChar w:fldCharType="begin"/>
            </w:r>
            <w:r w:rsidR="00BF2155">
              <w:rPr>
                <w:noProof/>
                <w:webHidden/>
              </w:rPr>
              <w:instrText xml:space="preserve"> PAGEREF _Toc65253577 \h </w:instrText>
            </w:r>
            <w:r w:rsidR="00BF2155">
              <w:rPr>
                <w:noProof/>
                <w:webHidden/>
              </w:rPr>
            </w:r>
            <w:r w:rsidR="00BF2155">
              <w:rPr>
                <w:noProof/>
                <w:webHidden/>
              </w:rPr>
              <w:fldChar w:fldCharType="separate"/>
            </w:r>
            <w:r w:rsidR="00BF2155">
              <w:rPr>
                <w:noProof/>
                <w:webHidden/>
              </w:rPr>
              <w:t>47</w:t>
            </w:r>
            <w:r w:rsidR="00BF2155">
              <w:rPr>
                <w:noProof/>
                <w:webHidden/>
              </w:rPr>
              <w:fldChar w:fldCharType="end"/>
            </w:r>
          </w:hyperlink>
        </w:p>
        <w:p w14:paraId="341ADD22" w14:textId="2888E347"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78" w:history="1">
            <w:r w:rsidR="00BF2155" w:rsidRPr="00AE5F31">
              <w:rPr>
                <w:rStyle w:val="Hyperlink"/>
                <w:noProof/>
              </w:rPr>
              <w:t>4.1.1</w:t>
            </w:r>
            <w:r w:rsidR="00BF2155">
              <w:rPr>
                <w:rFonts w:asciiTheme="minorHAnsi" w:eastAsiaTheme="minorEastAsia" w:hAnsiTheme="minorHAnsi" w:cstheme="minorBidi"/>
                <w:noProof/>
                <w:sz w:val="22"/>
                <w:lang w:val="en-ZA" w:eastAsia="en-ZA"/>
              </w:rPr>
              <w:tab/>
            </w:r>
            <w:r w:rsidR="00BF2155" w:rsidRPr="00AE5F31">
              <w:rPr>
                <w:rStyle w:val="Hyperlink"/>
                <w:noProof/>
              </w:rPr>
              <w:t>Abstract</w:t>
            </w:r>
            <w:r w:rsidR="00BF2155">
              <w:rPr>
                <w:noProof/>
                <w:webHidden/>
              </w:rPr>
              <w:tab/>
            </w:r>
            <w:r w:rsidR="00BF2155">
              <w:rPr>
                <w:noProof/>
                <w:webHidden/>
              </w:rPr>
              <w:fldChar w:fldCharType="begin"/>
            </w:r>
            <w:r w:rsidR="00BF2155">
              <w:rPr>
                <w:noProof/>
                <w:webHidden/>
              </w:rPr>
              <w:instrText xml:space="preserve"> PAGEREF _Toc65253578 \h </w:instrText>
            </w:r>
            <w:r w:rsidR="00BF2155">
              <w:rPr>
                <w:noProof/>
                <w:webHidden/>
              </w:rPr>
            </w:r>
            <w:r w:rsidR="00BF2155">
              <w:rPr>
                <w:noProof/>
                <w:webHidden/>
              </w:rPr>
              <w:fldChar w:fldCharType="separate"/>
            </w:r>
            <w:r w:rsidR="00BF2155">
              <w:rPr>
                <w:noProof/>
                <w:webHidden/>
              </w:rPr>
              <w:t>48</w:t>
            </w:r>
            <w:r w:rsidR="00BF2155">
              <w:rPr>
                <w:noProof/>
                <w:webHidden/>
              </w:rPr>
              <w:fldChar w:fldCharType="end"/>
            </w:r>
          </w:hyperlink>
        </w:p>
        <w:p w14:paraId="05A243E3" w14:textId="4FF9F6A7"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79" w:history="1">
            <w:r w:rsidR="00BF2155" w:rsidRPr="00AE5F31">
              <w:rPr>
                <w:rStyle w:val="Hyperlink"/>
                <w:noProof/>
              </w:rPr>
              <w:t>4.1.2</w:t>
            </w:r>
            <w:r w:rsidR="00BF2155">
              <w:rPr>
                <w:rFonts w:asciiTheme="minorHAnsi" w:eastAsiaTheme="minorEastAsia" w:hAnsiTheme="minorHAnsi" w:cstheme="minorBidi"/>
                <w:noProof/>
                <w:sz w:val="22"/>
                <w:lang w:val="en-ZA" w:eastAsia="en-ZA"/>
              </w:rPr>
              <w:tab/>
            </w:r>
            <w:r w:rsidR="00BF2155" w:rsidRPr="00AE5F31">
              <w:rPr>
                <w:rStyle w:val="Hyperlink"/>
                <w:noProof/>
              </w:rPr>
              <w:t>Introduction</w:t>
            </w:r>
            <w:r w:rsidR="00BF2155">
              <w:rPr>
                <w:noProof/>
                <w:webHidden/>
              </w:rPr>
              <w:tab/>
            </w:r>
            <w:r w:rsidR="00BF2155">
              <w:rPr>
                <w:noProof/>
                <w:webHidden/>
              </w:rPr>
              <w:fldChar w:fldCharType="begin"/>
            </w:r>
            <w:r w:rsidR="00BF2155">
              <w:rPr>
                <w:noProof/>
                <w:webHidden/>
              </w:rPr>
              <w:instrText xml:space="preserve"> PAGEREF _Toc65253579 \h </w:instrText>
            </w:r>
            <w:r w:rsidR="00BF2155">
              <w:rPr>
                <w:noProof/>
                <w:webHidden/>
              </w:rPr>
            </w:r>
            <w:r w:rsidR="00BF2155">
              <w:rPr>
                <w:noProof/>
                <w:webHidden/>
              </w:rPr>
              <w:fldChar w:fldCharType="separate"/>
            </w:r>
            <w:r w:rsidR="00BF2155">
              <w:rPr>
                <w:noProof/>
                <w:webHidden/>
              </w:rPr>
              <w:t>49</w:t>
            </w:r>
            <w:r w:rsidR="00BF2155">
              <w:rPr>
                <w:noProof/>
                <w:webHidden/>
              </w:rPr>
              <w:fldChar w:fldCharType="end"/>
            </w:r>
          </w:hyperlink>
        </w:p>
        <w:p w14:paraId="3D130979" w14:textId="1E50F65F"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80" w:history="1">
            <w:r w:rsidR="00BF2155" w:rsidRPr="00AE5F31">
              <w:rPr>
                <w:rStyle w:val="Hyperlink"/>
                <w:noProof/>
              </w:rPr>
              <w:t>4.1.3</w:t>
            </w:r>
            <w:r w:rsidR="00BF2155">
              <w:rPr>
                <w:rFonts w:asciiTheme="minorHAnsi" w:eastAsiaTheme="minorEastAsia" w:hAnsiTheme="minorHAnsi" w:cstheme="minorBidi"/>
                <w:noProof/>
                <w:sz w:val="22"/>
                <w:lang w:val="en-ZA" w:eastAsia="en-ZA"/>
              </w:rPr>
              <w:tab/>
            </w:r>
            <w:r w:rsidR="00BF2155" w:rsidRPr="00AE5F31">
              <w:rPr>
                <w:rStyle w:val="Hyperlink"/>
                <w:noProof/>
              </w:rPr>
              <w:t>Materials and methods</w:t>
            </w:r>
            <w:r w:rsidR="00BF2155">
              <w:rPr>
                <w:noProof/>
                <w:webHidden/>
              </w:rPr>
              <w:tab/>
            </w:r>
            <w:r w:rsidR="00BF2155">
              <w:rPr>
                <w:noProof/>
                <w:webHidden/>
              </w:rPr>
              <w:fldChar w:fldCharType="begin"/>
            </w:r>
            <w:r w:rsidR="00BF2155">
              <w:rPr>
                <w:noProof/>
                <w:webHidden/>
              </w:rPr>
              <w:instrText xml:space="preserve"> PAGEREF _Toc65253580 \h </w:instrText>
            </w:r>
            <w:r w:rsidR="00BF2155">
              <w:rPr>
                <w:noProof/>
                <w:webHidden/>
              </w:rPr>
            </w:r>
            <w:r w:rsidR="00BF2155">
              <w:rPr>
                <w:noProof/>
                <w:webHidden/>
              </w:rPr>
              <w:fldChar w:fldCharType="separate"/>
            </w:r>
            <w:r w:rsidR="00BF2155">
              <w:rPr>
                <w:noProof/>
                <w:webHidden/>
              </w:rPr>
              <w:t>50</w:t>
            </w:r>
            <w:r w:rsidR="00BF2155">
              <w:rPr>
                <w:noProof/>
                <w:webHidden/>
              </w:rPr>
              <w:fldChar w:fldCharType="end"/>
            </w:r>
          </w:hyperlink>
        </w:p>
        <w:p w14:paraId="1E5F2EAA" w14:textId="17126D00"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581" w:history="1">
            <w:r w:rsidR="00BF2155" w:rsidRPr="00AE5F31">
              <w:rPr>
                <w:rStyle w:val="Hyperlink"/>
                <w:noProof/>
              </w:rPr>
              <w:t>4.1.3.1</w:t>
            </w:r>
            <w:r w:rsidR="00BF2155">
              <w:rPr>
                <w:rFonts w:asciiTheme="minorHAnsi" w:eastAsiaTheme="minorEastAsia" w:hAnsiTheme="minorHAnsi" w:cstheme="minorBidi"/>
                <w:noProof/>
                <w:sz w:val="22"/>
                <w:lang w:val="en-ZA" w:eastAsia="en-ZA"/>
              </w:rPr>
              <w:tab/>
            </w:r>
            <w:r w:rsidR="00BF2155" w:rsidRPr="00AE5F31">
              <w:rPr>
                <w:rStyle w:val="Hyperlink"/>
                <w:noProof/>
              </w:rPr>
              <w:t>Raw materials and processing</w:t>
            </w:r>
            <w:r w:rsidR="00BF2155">
              <w:rPr>
                <w:noProof/>
                <w:webHidden/>
              </w:rPr>
              <w:tab/>
            </w:r>
            <w:r w:rsidR="00BF2155">
              <w:rPr>
                <w:noProof/>
                <w:webHidden/>
              </w:rPr>
              <w:fldChar w:fldCharType="begin"/>
            </w:r>
            <w:r w:rsidR="00BF2155">
              <w:rPr>
                <w:noProof/>
                <w:webHidden/>
              </w:rPr>
              <w:instrText xml:space="preserve"> PAGEREF _Toc65253581 \h </w:instrText>
            </w:r>
            <w:r w:rsidR="00BF2155">
              <w:rPr>
                <w:noProof/>
                <w:webHidden/>
              </w:rPr>
            </w:r>
            <w:r w:rsidR="00BF2155">
              <w:rPr>
                <w:noProof/>
                <w:webHidden/>
              </w:rPr>
              <w:fldChar w:fldCharType="separate"/>
            </w:r>
            <w:r w:rsidR="00BF2155">
              <w:rPr>
                <w:noProof/>
                <w:webHidden/>
              </w:rPr>
              <w:t>50</w:t>
            </w:r>
            <w:r w:rsidR="00BF2155">
              <w:rPr>
                <w:noProof/>
                <w:webHidden/>
              </w:rPr>
              <w:fldChar w:fldCharType="end"/>
            </w:r>
          </w:hyperlink>
        </w:p>
        <w:p w14:paraId="448E0314" w14:textId="4ACEDC1B"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582" w:history="1">
            <w:r w:rsidR="00BF2155" w:rsidRPr="00AE5F31">
              <w:rPr>
                <w:rStyle w:val="Hyperlink"/>
                <w:noProof/>
              </w:rPr>
              <w:t>4.1.3.2</w:t>
            </w:r>
            <w:r w:rsidR="00BF2155">
              <w:rPr>
                <w:rFonts w:asciiTheme="minorHAnsi" w:eastAsiaTheme="minorEastAsia" w:hAnsiTheme="minorHAnsi" w:cstheme="minorBidi"/>
                <w:noProof/>
                <w:sz w:val="22"/>
                <w:lang w:val="en-ZA" w:eastAsia="en-ZA"/>
              </w:rPr>
              <w:tab/>
            </w:r>
            <w:r w:rsidR="00BF2155" w:rsidRPr="00AE5F31">
              <w:rPr>
                <w:rStyle w:val="Hyperlink"/>
                <w:noProof/>
              </w:rPr>
              <w:t>Preparation of pearl millet porridge</w:t>
            </w:r>
            <w:r w:rsidR="00BF2155">
              <w:rPr>
                <w:noProof/>
                <w:webHidden/>
              </w:rPr>
              <w:tab/>
            </w:r>
            <w:r w:rsidR="00BF2155">
              <w:rPr>
                <w:noProof/>
                <w:webHidden/>
              </w:rPr>
              <w:fldChar w:fldCharType="begin"/>
            </w:r>
            <w:r w:rsidR="00BF2155">
              <w:rPr>
                <w:noProof/>
                <w:webHidden/>
              </w:rPr>
              <w:instrText xml:space="preserve"> PAGEREF _Toc65253582 \h </w:instrText>
            </w:r>
            <w:r w:rsidR="00BF2155">
              <w:rPr>
                <w:noProof/>
                <w:webHidden/>
              </w:rPr>
            </w:r>
            <w:r w:rsidR="00BF2155">
              <w:rPr>
                <w:noProof/>
                <w:webHidden/>
              </w:rPr>
              <w:fldChar w:fldCharType="separate"/>
            </w:r>
            <w:r w:rsidR="00BF2155">
              <w:rPr>
                <w:noProof/>
                <w:webHidden/>
              </w:rPr>
              <w:t>50</w:t>
            </w:r>
            <w:r w:rsidR="00BF2155">
              <w:rPr>
                <w:noProof/>
                <w:webHidden/>
              </w:rPr>
              <w:fldChar w:fldCharType="end"/>
            </w:r>
          </w:hyperlink>
        </w:p>
        <w:p w14:paraId="1718EF82" w14:textId="2CD8E163"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583" w:history="1">
            <w:r w:rsidR="00BF2155" w:rsidRPr="00AE5F31">
              <w:rPr>
                <w:rStyle w:val="Hyperlink"/>
                <w:noProof/>
              </w:rPr>
              <w:t>4.1.3.3</w:t>
            </w:r>
            <w:r w:rsidR="00BF2155">
              <w:rPr>
                <w:rFonts w:asciiTheme="minorHAnsi" w:eastAsiaTheme="minorEastAsia" w:hAnsiTheme="minorHAnsi" w:cstheme="minorBidi"/>
                <w:noProof/>
                <w:sz w:val="22"/>
                <w:lang w:val="en-ZA" w:eastAsia="en-ZA"/>
              </w:rPr>
              <w:tab/>
            </w:r>
            <w:r w:rsidR="00BF2155" w:rsidRPr="00AE5F31">
              <w:rPr>
                <w:rStyle w:val="Hyperlink"/>
                <w:noProof/>
              </w:rPr>
              <w:t>Porridge formulations</w:t>
            </w:r>
            <w:r w:rsidR="00BF2155">
              <w:rPr>
                <w:noProof/>
                <w:webHidden/>
              </w:rPr>
              <w:tab/>
            </w:r>
            <w:r w:rsidR="00BF2155">
              <w:rPr>
                <w:noProof/>
                <w:webHidden/>
              </w:rPr>
              <w:fldChar w:fldCharType="begin"/>
            </w:r>
            <w:r w:rsidR="00BF2155">
              <w:rPr>
                <w:noProof/>
                <w:webHidden/>
              </w:rPr>
              <w:instrText xml:space="preserve"> PAGEREF _Toc65253583 \h </w:instrText>
            </w:r>
            <w:r w:rsidR="00BF2155">
              <w:rPr>
                <w:noProof/>
                <w:webHidden/>
              </w:rPr>
            </w:r>
            <w:r w:rsidR="00BF2155">
              <w:rPr>
                <w:noProof/>
                <w:webHidden/>
              </w:rPr>
              <w:fldChar w:fldCharType="separate"/>
            </w:r>
            <w:r w:rsidR="00BF2155">
              <w:rPr>
                <w:noProof/>
                <w:webHidden/>
              </w:rPr>
              <w:t>50</w:t>
            </w:r>
            <w:r w:rsidR="00BF2155">
              <w:rPr>
                <w:noProof/>
                <w:webHidden/>
              </w:rPr>
              <w:fldChar w:fldCharType="end"/>
            </w:r>
          </w:hyperlink>
        </w:p>
        <w:p w14:paraId="32A90E84" w14:textId="467BCB4E"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584" w:history="1">
            <w:r w:rsidR="00BF2155" w:rsidRPr="00AE5F31">
              <w:rPr>
                <w:rStyle w:val="Hyperlink"/>
                <w:noProof/>
              </w:rPr>
              <w:t>4.1.3.4</w:t>
            </w:r>
            <w:r w:rsidR="00BF2155">
              <w:rPr>
                <w:rFonts w:asciiTheme="minorHAnsi" w:eastAsiaTheme="minorEastAsia" w:hAnsiTheme="minorHAnsi" w:cstheme="minorBidi"/>
                <w:noProof/>
                <w:sz w:val="22"/>
                <w:lang w:val="en-ZA" w:eastAsia="en-ZA"/>
              </w:rPr>
              <w:tab/>
            </w:r>
            <w:r w:rsidR="00BF2155" w:rsidRPr="00AE5F31">
              <w:rPr>
                <w:rStyle w:val="Hyperlink"/>
                <w:noProof/>
              </w:rPr>
              <w:t>Analyses</w:t>
            </w:r>
            <w:r w:rsidR="00BF2155">
              <w:rPr>
                <w:noProof/>
                <w:webHidden/>
              </w:rPr>
              <w:tab/>
            </w:r>
            <w:r w:rsidR="00BF2155">
              <w:rPr>
                <w:noProof/>
                <w:webHidden/>
              </w:rPr>
              <w:fldChar w:fldCharType="begin"/>
            </w:r>
            <w:r w:rsidR="00BF2155">
              <w:rPr>
                <w:noProof/>
                <w:webHidden/>
              </w:rPr>
              <w:instrText xml:space="preserve"> PAGEREF _Toc65253584 \h </w:instrText>
            </w:r>
            <w:r w:rsidR="00BF2155">
              <w:rPr>
                <w:noProof/>
                <w:webHidden/>
              </w:rPr>
            </w:r>
            <w:r w:rsidR="00BF2155">
              <w:rPr>
                <w:noProof/>
                <w:webHidden/>
              </w:rPr>
              <w:fldChar w:fldCharType="separate"/>
            </w:r>
            <w:r w:rsidR="00BF2155">
              <w:rPr>
                <w:noProof/>
                <w:webHidden/>
              </w:rPr>
              <w:t>51</w:t>
            </w:r>
            <w:r w:rsidR="00BF2155">
              <w:rPr>
                <w:noProof/>
                <w:webHidden/>
              </w:rPr>
              <w:fldChar w:fldCharType="end"/>
            </w:r>
          </w:hyperlink>
        </w:p>
        <w:p w14:paraId="1A9EB1F3" w14:textId="78A5FE10"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85" w:history="1">
            <w:r w:rsidR="00BF2155" w:rsidRPr="00AE5F31">
              <w:rPr>
                <w:rStyle w:val="Hyperlink"/>
                <w:noProof/>
              </w:rPr>
              <w:t>4.1.4</w:t>
            </w:r>
            <w:r w:rsidR="00BF2155">
              <w:rPr>
                <w:rFonts w:asciiTheme="minorHAnsi" w:eastAsiaTheme="minorEastAsia" w:hAnsiTheme="minorHAnsi" w:cstheme="minorBidi"/>
                <w:noProof/>
                <w:sz w:val="22"/>
                <w:lang w:val="en-ZA" w:eastAsia="en-ZA"/>
              </w:rPr>
              <w:tab/>
            </w:r>
            <w:r w:rsidR="00BF2155" w:rsidRPr="00AE5F31">
              <w:rPr>
                <w:rStyle w:val="Hyperlink"/>
                <w:noProof/>
              </w:rPr>
              <w:t>Results and discussion</w:t>
            </w:r>
            <w:r w:rsidR="00BF2155">
              <w:rPr>
                <w:noProof/>
                <w:webHidden/>
              </w:rPr>
              <w:tab/>
            </w:r>
            <w:r w:rsidR="00BF2155">
              <w:rPr>
                <w:noProof/>
                <w:webHidden/>
              </w:rPr>
              <w:fldChar w:fldCharType="begin"/>
            </w:r>
            <w:r w:rsidR="00BF2155">
              <w:rPr>
                <w:noProof/>
                <w:webHidden/>
              </w:rPr>
              <w:instrText xml:space="preserve"> PAGEREF _Toc65253585 \h </w:instrText>
            </w:r>
            <w:r w:rsidR="00BF2155">
              <w:rPr>
                <w:noProof/>
                <w:webHidden/>
              </w:rPr>
            </w:r>
            <w:r w:rsidR="00BF2155">
              <w:rPr>
                <w:noProof/>
                <w:webHidden/>
              </w:rPr>
              <w:fldChar w:fldCharType="separate"/>
            </w:r>
            <w:r w:rsidR="00BF2155">
              <w:rPr>
                <w:noProof/>
                <w:webHidden/>
              </w:rPr>
              <w:t>53</w:t>
            </w:r>
            <w:r w:rsidR="00BF2155">
              <w:rPr>
                <w:noProof/>
                <w:webHidden/>
              </w:rPr>
              <w:fldChar w:fldCharType="end"/>
            </w:r>
          </w:hyperlink>
        </w:p>
        <w:p w14:paraId="551D8281" w14:textId="357EFE6B"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586" w:history="1">
            <w:r w:rsidR="00BF2155" w:rsidRPr="00AE5F31">
              <w:rPr>
                <w:rStyle w:val="Hyperlink"/>
                <w:noProof/>
              </w:rPr>
              <w:t>4.1.4.1</w:t>
            </w:r>
            <w:r w:rsidR="00BF2155">
              <w:rPr>
                <w:rFonts w:asciiTheme="minorHAnsi" w:eastAsiaTheme="minorEastAsia" w:hAnsiTheme="minorHAnsi" w:cstheme="minorBidi"/>
                <w:noProof/>
                <w:sz w:val="22"/>
                <w:lang w:val="en-ZA" w:eastAsia="en-ZA"/>
              </w:rPr>
              <w:tab/>
            </w:r>
            <w:r w:rsidR="00BF2155" w:rsidRPr="00AE5F31">
              <w:rPr>
                <w:rStyle w:val="Hyperlink"/>
                <w:noProof/>
              </w:rPr>
              <w:t>Mineral contents</w:t>
            </w:r>
            <w:r w:rsidR="00BF2155">
              <w:rPr>
                <w:noProof/>
                <w:webHidden/>
              </w:rPr>
              <w:tab/>
            </w:r>
            <w:r w:rsidR="00BF2155">
              <w:rPr>
                <w:noProof/>
                <w:webHidden/>
              </w:rPr>
              <w:fldChar w:fldCharType="begin"/>
            </w:r>
            <w:r w:rsidR="00BF2155">
              <w:rPr>
                <w:noProof/>
                <w:webHidden/>
              </w:rPr>
              <w:instrText xml:space="preserve"> PAGEREF _Toc65253586 \h </w:instrText>
            </w:r>
            <w:r w:rsidR="00BF2155">
              <w:rPr>
                <w:noProof/>
                <w:webHidden/>
              </w:rPr>
            </w:r>
            <w:r w:rsidR="00BF2155">
              <w:rPr>
                <w:noProof/>
                <w:webHidden/>
              </w:rPr>
              <w:fldChar w:fldCharType="separate"/>
            </w:r>
            <w:r w:rsidR="00BF2155">
              <w:rPr>
                <w:noProof/>
                <w:webHidden/>
              </w:rPr>
              <w:t>53</w:t>
            </w:r>
            <w:r w:rsidR="00BF2155">
              <w:rPr>
                <w:noProof/>
                <w:webHidden/>
              </w:rPr>
              <w:fldChar w:fldCharType="end"/>
            </w:r>
          </w:hyperlink>
        </w:p>
        <w:p w14:paraId="682476C9" w14:textId="3D4FBBF5"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587" w:history="1">
            <w:r w:rsidR="00BF2155" w:rsidRPr="00AE5F31">
              <w:rPr>
                <w:rStyle w:val="Hyperlink"/>
                <w:noProof/>
              </w:rPr>
              <w:t>4.1.4.2</w:t>
            </w:r>
            <w:r w:rsidR="00BF2155">
              <w:rPr>
                <w:rFonts w:asciiTheme="minorHAnsi" w:eastAsiaTheme="minorEastAsia" w:hAnsiTheme="minorHAnsi" w:cstheme="minorBidi"/>
                <w:noProof/>
                <w:sz w:val="22"/>
                <w:lang w:val="en-ZA" w:eastAsia="en-ZA"/>
              </w:rPr>
              <w:tab/>
            </w:r>
            <w:r w:rsidR="00BF2155" w:rsidRPr="00AE5F31">
              <w:rPr>
                <w:rStyle w:val="Hyperlink"/>
                <w:noProof/>
              </w:rPr>
              <w:t>Inhibitors of mineral bioavailability</w:t>
            </w:r>
            <w:r w:rsidR="00BF2155">
              <w:rPr>
                <w:noProof/>
                <w:webHidden/>
              </w:rPr>
              <w:tab/>
            </w:r>
            <w:r w:rsidR="00BF2155">
              <w:rPr>
                <w:noProof/>
                <w:webHidden/>
              </w:rPr>
              <w:fldChar w:fldCharType="begin"/>
            </w:r>
            <w:r w:rsidR="00BF2155">
              <w:rPr>
                <w:noProof/>
                <w:webHidden/>
              </w:rPr>
              <w:instrText xml:space="preserve"> PAGEREF _Toc65253587 \h </w:instrText>
            </w:r>
            <w:r w:rsidR="00BF2155">
              <w:rPr>
                <w:noProof/>
                <w:webHidden/>
              </w:rPr>
            </w:r>
            <w:r w:rsidR="00BF2155">
              <w:rPr>
                <w:noProof/>
                <w:webHidden/>
              </w:rPr>
              <w:fldChar w:fldCharType="separate"/>
            </w:r>
            <w:r w:rsidR="00BF2155">
              <w:rPr>
                <w:noProof/>
                <w:webHidden/>
              </w:rPr>
              <w:t>56</w:t>
            </w:r>
            <w:r w:rsidR="00BF2155">
              <w:rPr>
                <w:noProof/>
                <w:webHidden/>
              </w:rPr>
              <w:fldChar w:fldCharType="end"/>
            </w:r>
          </w:hyperlink>
        </w:p>
        <w:p w14:paraId="59EDFABF" w14:textId="69B28916" w:rsidR="00BF2155" w:rsidRDefault="0038137E">
          <w:pPr>
            <w:pStyle w:val="TOC4"/>
            <w:tabs>
              <w:tab w:val="right" w:leader="dot" w:pos="9017"/>
            </w:tabs>
            <w:rPr>
              <w:rFonts w:asciiTheme="minorHAnsi" w:eastAsiaTheme="minorEastAsia" w:hAnsiTheme="minorHAnsi" w:cstheme="minorBidi"/>
              <w:noProof/>
              <w:sz w:val="22"/>
              <w:lang w:val="en-ZA" w:eastAsia="en-ZA"/>
            </w:rPr>
          </w:pPr>
          <w:hyperlink w:anchor="_Toc65253588" w:history="1">
            <w:r w:rsidR="00BF2155" w:rsidRPr="00AE5F31">
              <w:rPr>
                <w:rStyle w:val="Hyperlink"/>
                <w:noProof/>
              </w:rPr>
              <w:t>4.1.4.3 Enhancers of mineral bioavailability</w:t>
            </w:r>
            <w:r w:rsidR="00BF2155">
              <w:rPr>
                <w:noProof/>
                <w:webHidden/>
              </w:rPr>
              <w:tab/>
            </w:r>
            <w:r w:rsidR="00BF2155">
              <w:rPr>
                <w:noProof/>
                <w:webHidden/>
              </w:rPr>
              <w:fldChar w:fldCharType="begin"/>
            </w:r>
            <w:r w:rsidR="00BF2155">
              <w:rPr>
                <w:noProof/>
                <w:webHidden/>
              </w:rPr>
              <w:instrText xml:space="preserve"> PAGEREF _Toc65253588 \h </w:instrText>
            </w:r>
            <w:r w:rsidR="00BF2155">
              <w:rPr>
                <w:noProof/>
                <w:webHidden/>
              </w:rPr>
            </w:r>
            <w:r w:rsidR="00BF2155">
              <w:rPr>
                <w:noProof/>
                <w:webHidden/>
              </w:rPr>
              <w:fldChar w:fldCharType="separate"/>
            </w:r>
            <w:r w:rsidR="00BF2155">
              <w:rPr>
                <w:noProof/>
                <w:webHidden/>
              </w:rPr>
              <w:t>57</w:t>
            </w:r>
            <w:r w:rsidR="00BF2155">
              <w:rPr>
                <w:noProof/>
                <w:webHidden/>
              </w:rPr>
              <w:fldChar w:fldCharType="end"/>
            </w:r>
          </w:hyperlink>
        </w:p>
        <w:p w14:paraId="19B969A6" w14:textId="641A0CA7"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589" w:history="1">
            <w:r w:rsidR="00BF2155" w:rsidRPr="00AE5F31">
              <w:rPr>
                <w:rStyle w:val="Hyperlink"/>
                <w:rFonts w:eastAsia="Times New Roman"/>
                <w:noProof/>
              </w:rPr>
              <w:t>4.1.4.4</w:t>
            </w:r>
            <w:r w:rsidR="00BF2155">
              <w:rPr>
                <w:rFonts w:asciiTheme="minorHAnsi" w:eastAsiaTheme="minorEastAsia" w:hAnsiTheme="minorHAnsi" w:cstheme="minorBidi"/>
                <w:noProof/>
                <w:sz w:val="22"/>
                <w:lang w:val="en-ZA" w:eastAsia="en-ZA"/>
              </w:rPr>
              <w:tab/>
            </w:r>
            <w:r w:rsidR="00BF2155" w:rsidRPr="00AE5F31">
              <w:rPr>
                <w:rStyle w:val="Hyperlink"/>
                <w:rFonts w:eastAsia="Times New Roman"/>
                <w:noProof/>
              </w:rPr>
              <w:t>Mineral bioaccessibility</w:t>
            </w:r>
            <w:r w:rsidR="00BF2155">
              <w:rPr>
                <w:noProof/>
                <w:webHidden/>
              </w:rPr>
              <w:tab/>
            </w:r>
            <w:r w:rsidR="00BF2155">
              <w:rPr>
                <w:noProof/>
                <w:webHidden/>
              </w:rPr>
              <w:fldChar w:fldCharType="begin"/>
            </w:r>
            <w:r w:rsidR="00BF2155">
              <w:rPr>
                <w:noProof/>
                <w:webHidden/>
              </w:rPr>
              <w:instrText xml:space="preserve"> PAGEREF _Toc65253589 \h </w:instrText>
            </w:r>
            <w:r w:rsidR="00BF2155">
              <w:rPr>
                <w:noProof/>
                <w:webHidden/>
              </w:rPr>
            </w:r>
            <w:r w:rsidR="00BF2155">
              <w:rPr>
                <w:noProof/>
                <w:webHidden/>
              </w:rPr>
              <w:fldChar w:fldCharType="separate"/>
            </w:r>
            <w:r w:rsidR="00BF2155">
              <w:rPr>
                <w:noProof/>
                <w:webHidden/>
              </w:rPr>
              <w:t>59</w:t>
            </w:r>
            <w:r w:rsidR="00BF2155">
              <w:rPr>
                <w:noProof/>
                <w:webHidden/>
              </w:rPr>
              <w:fldChar w:fldCharType="end"/>
            </w:r>
          </w:hyperlink>
        </w:p>
        <w:p w14:paraId="7916CD3C" w14:textId="06E3A998"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90" w:history="1">
            <w:r w:rsidR="00BF2155" w:rsidRPr="00AE5F31">
              <w:rPr>
                <w:rStyle w:val="Hyperlink"/>
                <w:noProof/>
              </w:rPr>
              <w:t>4.1.5</w:t>
            </w:r>
            <w:r w:rsidR="00BF2155">
              <w:rPr>
                <w:rFonts w:asciiTheme="minorHAnsi" w:eastAsiaTheme="minorEastAsia" w:hAnsiTheme="minorHAnsi" w:cstheme="minorBidi"/>
                <w:noProof/>
                <w:sz w:val="22"/>
                <w:lang w:val="en-ZA" w:eastAsia="en-ZA"/>
              </w:rPr>
              <w:tab/>
            </w:r>
            <w:r w:rsidR="00BF2155" w:rsidRPr="00AE5F31">
              <w:rPr>
                <w:rStyle w:val="Hyperlink"/>
                <w:noProof/>
              </w:rPr>
              <w:t>Conclusions</w:t>
            </w:r>
            <w:r w:rsidR="00BF2155">
              <w:rPr>
                <w:noProof/>
                <w:webHidden/>
              </w:rPr>
              <w:tab/>
            </w:r>
            <w:r w:rsidR="00BF2155">
              <w:rPr>
                <w:noProof/>
                <w:webHidden/>
              </w:rPr>
              <w:fldChar w:fldCharType="begin"/>
            </w:r>
            <w:r w:rsidR="00BF2155">
              <w:rPr>
                <w:noProof/>
                <w:webHidden/>
              </w:rPr>
              <w:instrText xml:space="preserve"> PAGEREF _Toc65253590 \h </w:instrText>
            </w:r>
            <w:r w:rsidR="00BF2155">
              <w:rPr>
                <w:noProof/>
                <w:webHidden/>
              </w:rPr>
            </w:r>
            <w:r w:rsidR="00BF2155">
              <w:rPr>
                <w:noProof/>
                <w:webHidden/>
              </w:rPr>
              <w:fldChar w:fldCharType="separate"/>
            </w:r>
            <w:r w:rsidR="00BF2155">
              <w:rPr>
                <w:noProof/>
                <w:webHidden/>
              </w:rPr>
              <w:t>64</w:t>
            </w:r>
            <w:r w:rsidR="00BF2155">
              <w:rPr>
                <w:noProof/>
                <w:webHidden/>
              </w:rPr>
              <w:fldChar w:fldCharType="end"/>
            </w:r>
          </w:hyperlink>
        </w:p>
        <w:p w14:paraId="7ACC5F05" w14:textId="686B032B" w:rsidR="00BF2155" w:rsidRDefault="0038137E">
          <w:pPr>
            <w:pStyle w:val="TOC2"/>
            <w:tabs>
              <w:tab w:val="left" w:pos="880"/>
              <w:tab w:val="right" w:leader="dot" w:pos="9017"/>
            </w:tabs>
            <w:rPr>
              <w:rFonts w:asciiTheme="minorHAnsi" w:eastAsiaTheme="minorEastAsia" w:hAnsiTheme="minorHAnsi" w:cstheme="minorBidi"/>
              <w:noProof/>
              <w:sz w:val="22"/>
              <w:lang w:val="en-ZA" w:eastAsia="en-ZA"/>
            </w:rPr>
          </w:pPr>
          <w:hyperlink w:anchor="_Toc65253591" w:history="1">
            <w:r w:rsidR="00BF2155" w:rsidRPr="00AE5F31">
              <w:rPr>
                <w:rStyle w:val="Hyperlink"/>
                <w:noProof/>
              </w:rPr>
              <w:t>4.2</w:t>
            </w:r>
            <w:r w:rsidR="00BF2155">
              <w:rPr>
                <w:rFonts w:asciiTheme="minorHAnsi" w:eastAsiaTheme="minorEastAsia" w:hAnsiTheme="minorHAnsi" w:cstheme="minorBidi"/>
                <w:noProof/>
                <w:sz w:val="22"/>
                <w:lang w:val="en-ZA" w:eastAsia="en-ZA"/>
              </w:rPr>
              <w:tab/>
            </w:r>
            <w:r w:rsidR="00BF2155" w:rsidRPr="00AE5F31">
              <w:rPr>
                <w:rStyle w:val="Hyperlink"/>
                <w:noProof/>
              </w:rPr>
              <w:t>Potential of Baobab Fruit and Moringa Leaf Food-to-Food Fortification of Maize Porridge to improve Iron, Zinc and other Mineral Bioaccessibilities</w:t>
            </w:r>
            <w:r w:rsidR="00BF2155">
              <w:rPr>
                <w:noProof/>
                <w:webHidden/>
              </w:rPr>
              <w:tab/>
            </w:r>
            <w:r w:rsidR="00BF2155">
              <w:rPr>
                <w:noProof/>
                <w:webHidden/>
              </w:rPr>
              <w:fldChar w:fldCharType="begin"/>
            </w:r>
            <w:r w:rsidR="00BF2155">
              <w:rPr>
                <w:noProof/>
                <w:webHidden/>
              </w:rPr>
              <w:instrText xml:space="preserve"> PAGEREF _Toc65253591 \h </w:instrText>
            </w:r>
            <w:r w:rsidR="00BF2155">
              <w:rPr>
                <w:noProof/>
                <w:webHidden/>
              </w:rPr>
            </w:r>
            <w:r w:rsidR="00BF2155">
              <w:rPr>
                <w:noProof/>
                <w:webHidden/>
              </w:rPr>
              <w:fldChar w:fldCharType="separate"/>
            </w:r>
            <w:r w:rsidR="00BF2155">
              <w:rPr>
                <w:noProof/>
                <w:webHidden/>
              </w:rPr>
              <w:t>65</w:t>
            </w:r>
            <w:r w:rsidR="00BF2155">
              <w:rPr>
                <w:noProof/>
                <w:webHidden/>
              </w:rPr>
              <w:fldChar w:fldCharType="end"/>
            </w:r>
          </w:hyperlink>
        </w:p>
        <w:p w14:paraId="0D663622" w14:textId="2BDEDAAB"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92" w:history="1">
            <w:r w:rsidR="00BF2155" w:rsidRPr="00AE5F31">
              <w:rPr>
                <w:rStyle w:val="Hyperlink"/>
                <w:noProof/>
                <w:lang w:val="en-ZA"/>
              </w:rPr>
              <w:t>4.2.1</w:t>
            </w:r>
            <w:r w:rsidR="00BF2155">
              <w:rPr>
                <w:rFonts w:asciiTheme="minorHAnsi" w:eastAsiaTheme="minorEastAsia" w:hAnsiTheme="minorHAnsi" w:cstheme="minorBidi"/>
                <w:noProof/>
                <w:sz w:val="22"/>
                <w:lang w:val="en-ZA" w:eastAsia="en-ZA"/>
              </w:rPr>
              <w:tab/>
            </w:r>
            <w:r w:rsidR="00BF2155" w:rsidRPr="00AE5F31">
              <w:rPr>
                <w:rStyle w:val="Hyperlink"/>
                <w:noProof/>
                <w:lang w:val="en-ZA"/>
              </w:rPr>
              <w:t>Abstract</w:t>
            </w:r>
            <w:r w:rsidR="00BF2155">
              <w:rPr>
                <w:noProof/>
                <w:webHidden/>
              </w:rPr>
              <w:tab/>
            </w:r>
            <w:r w:rsidR="00BF2155">
              <w:rPr>
                <w:noProof/>
                <w:webHidden/>
              </w:rPr>
              <w:fldChar w:fldCharType="begin"/>
            </w:r>
            <w:r w:rsidR="00BF2155">
              <w:rPr>
                <w:noProof/>
                <w:webHidden/>
              </w:rPr>
              <w:instrText xml:space="preserve"> PAGEREF _Toc65253592 \h </w:instrText>
            </w:r>
            <w:r w:rsidR="00BF2155">
              <w:rPr>
                <w:noProof/>
                <w:webHidden/>
              </w:rPr>
            </w:r>
            <w:r w:rsidR="00BF2155">
              <w:rPr>
                <w:noProof/>
                <w:webHidden/>
              </w:rPr>
              <w:fldChar w:fldCharType="separate"/>
            </w:r>
            <w:r w:rsidR="00BF2155">
              <w:rPr>
                <w:noProof/>
                <w:webHidden/>
              </w:rPr>
              <w:t>65</w:t>
            </w:r>
            <w:r w:rsidR="00BF2155">
              <w:rPr>
                <w:noProof/>
                <w:webHidden/>
              </w:rPr>
              <w:fldChar w:fldCharType="end"/>
            </w:r>
          </w:hyperlink>
        </w:p>
        <w:p w14:paraId="25377ECF" w14:textId="5E81157B"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93" w:history="1">
            <w:r w:rsidR="00BF2155" w:rsidRPr="00AE5F31">
              <w:rPr>
                <w:rStyle w:val="Hyperlink"/>
                <w:noProof/>
              </w:rPr>
              <w:t>4.2.2</w:t>
            </w:r>
            <w:r w:rsidR="00BF2155">
              <w:rPr>
                <w:rFonts w:asciiTheme="minorHAnsi" w:eastAsiaTheme="minorEastAsia" w:hAnsiTheme="minorHAnsi" w:cstheme="minorBidi"/>
                <w:noProof/>
                <w:sz w:val="22"/>
                <w:lang w:val="en-ZA" w:eastAsia="en-ZA"/>
              </w:rPr>
              <w:tab/>
            </w:r>
            <w:r w:rsidR="00BF2155" w:rsidRPr="00AE5F31">
              <w:rPr>
                <w:rStyle w:val="Hyperlink"/>
                <w:noProof/>
              </w:rPr>
              <w:t>Introduction</w:t>
            </w:r>
            <w:r w:rsidR="00BF2155">
              <w:rPr>
                <w:noProof/>
                <w:webHidden/>
              </w:rPr>
              <w:tab/>
            </w:r>
            <w:r w:rsidR="00BF2155">
              <w:rPr>
                <w:noProof/>
                <w:webHidden/>
              </w:rPr>
              <w:fldChar w:fldCharType="begin"/>
            </w:r>
            <w:r w:rsidR="00BF2155">
              <w:rPr>
                <w:noProof/>
                <w:webHidden/>
              </w:rPr>
              <w:instrText xml:space="preserve"> PAGEREF _Toc65253593 \h </w:instrText>
            </w:r>
            <w:r w:rsidR="00BF2155">
              <w:rPr>
                <w:noProof/>
                <w:webHidden/>
              </w:rPr>
            </w:r>
            <w:r w:rsidR="00BF2155">
              <w:rPr>
                <w:noProof/>
                <w:webHidden/>
              </w:rPr>
              <w:fldChar w:fldCharType="separate"/>
            </w:r>
            <w:r w:rsidR="00BF2155">
              <w:rPr>
                <w:noProof/>
                <w:webHidden/>
              </w:rPr>
              <w:t>66</w:t>
            </w:r>
            <w:r w:rsidR="00BF2155">
              <w:rPr>
                <w:noProof/>
                <w:webHidden/>
              </w:rPr>
              <w:fldChar w:fldCharType="end"/>
            </w:r>
          </w:hyperlink>
        </w:p>
        <w:p w14:paraId="5D08977A" w14:textId="290962B2"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94" w:history="1">
            <w:r w:rsidR="00BF2155" w:rsidRPr="00AE5F31">
              <w:rPr>
                <w:rStyle w:val="Hyperlink"/>
                <w:noProof/>
                <w:lang w:val="en-ZA"/>
              </w:rPr>
              <w:t>4.2.3</w:t>
            </w:r>
            <w:r w:rsidR="00BF2155">
              <w:rPr>
                <w:rFonts w:asciiTheme="minorHAnsi" w:eastAsiaTheme="minorEastAsia" w:hAnsiTheme="minorHAnsi" w:cstheme="minorBidi"/>
                <w:noProof/>
                <w:sz w:val="22"/>
                <w:lang w:val="en-ZA" w:eastAsia="en-ZA"/>
              </w:rPr>
              <w:tab/>
            </w:r>
            <w:r w:rsidR="00BF2155" w:rsidRPr="00AE5F31">
              <w:rPr>
                <w:rStyle w:val="Hyperlink"/>
                <w:noProof/>
                <w:lang w:val="en-ZA"/>
              </w:rPr>
              <w:t>Materials and methods</w:t>
            </w:r>
            <w:r w:rsidR="00BF2155">
              <w:rPr>
                <w:noProof/>
                <w:webHidden/>
              </w:rPr>
              <w:tab/>
            </w:r>
            <w:r w:rsidR="00BF2155">
              <w:rPr>
                <w:noProof/>
                <w:webHidden/>
              </w:rPr>
              <w:fldChar w:fldCharType="begin"/>
            </w:r>
            <w:r w:rsidR="00BF2155">
              <w:rPr>
                <w:noProof/>
                <w:webHidden/>
              </w:rPr>
              <w:instrText xml:space="preserve"> PAGEREF _Toc65253594 \h </w:instrText>
            </w:r>
            <w:r w:rsidR="00BF2155">
              <w:rPr>
                <w:noProof/>
                <w:webHidden/>
              </w:rPr>
            </w:r>
            <w:r w:rsidR="00BF2155">
              <w:rPr>
                <w:noProof/>
                <w:webHidden/>
              </w:rPr>
              <w:fldChar w:fldCharType="separate"/>
            </w:r>
            <w:r w:rsidR="00BF2155">
              <w:rPr>
                <w:noProof/>
                <w:webHidden/>
              </w:rPr>
              <w:t>67</w:t>
            </w:r>
            <w:r w:rsidR="00BF2155">
              <w:rPr>
                <w:noProof/>
                <w:webHidden/>
              </w:rPr>
              <w:fldChar w:fldCharType="end"/>
            </w:r>
          </w:hyperlink>
        </w:p>
        <w:p w14:paraId="2DA7F9B7" w14:textId="21066946"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595" w:history="1">
            <w:r w:rsidR="00BF2155" w:rsidRPr="00AE5F31">
              <w:rPr>
                <w:rStyle w:val="Hyperlink"/>
                <w:noProof/>
                <w:lang w:val="en-ZA"/>
              </w:rPr>
              <w:t>4.2.3.1</w:t>
            </w:r>
            <w:r w:rsidR="00BF2155">
              <w:rPr>
                <w:rFonts w:asciiTheme="minorHAnsi" w:eastAsiaTheme="minorEastAsia" w:hAnsiTheme="minorHAnsi" w:cstheme="minorBidi"/>
                <w:noProof/>
                <w:sz w:val="22"/>
                <w:lang w:val="en-ZA" w:eastAsia="en-ZA"/>
              </w:rPr>
              <w:tab/>
            </w:r>
            <w:r w:rsidR="00BF2155" w:rsidRPr="00AE5F31">
              <w:rPr>
                <w:rStyle w:val="Hyperlink"/>
                <w:noProof/>
                <w:lang w:val="en-ZA"/>
              </w:rPr>
              <w:t>Raw materials</w:t>
            </w:r>
            <w:r w:rsidR="00BF2155">
              <w:rPr>
                <w:noProof/>
                <w:webHidden/>
              </w:rPr>
              <w:tab/>
            </w:r>
            <w:r w:rsidR="00BF2155">
              <w:rPr>
                <w:noProof/>
                <w:webHidden/>
              </w:rPr>
              <w:fldChar w:fldCharType="begin"/>
            </w:r>
            <w:r w:rsidR="00BF2155">
              <w:rPr>
                <w:noProof/>
                <w:webHidden/>
              </w:rPr>
              <w:instrText xml:space="preserve"> PAGEREF _Toc65253595 \h </w:instrText>
            </w:r>
            <w:r w:rsidR="00BF2155">
              <w:rPr>
                <w:noProof/>
                <w:webHidden/>
              </w:rPr>
            </w:r>
            <w:r w:rsidR="00BF2155">
              <w:rPr>
                <w:noProof/>
                <w:webHidden/>
              </w:rPr>
              <w:fldChar w:fldCharType="separate"/>
            </w:r>
            <w:r w:rsidR="00BF2155">
              <w:rPr>
                <w:noProof/>
                <w:webHidden/>
              </w:rPr>
              <w:t>67</w:t>
            </w:r>
            <w:r w:rsidR="00BF2155">
              <w:rPr>
                <w:noProof/>
                <w:webHidden/>
              </w:rPr>
              <w:fldChar w:fldCharType="end"/>
            </w:r>
          </w:hyperlink>
        </w:p>
        <w:p w14:paraId="2023A585" w14:textId="014AEDC0" w:rsidR="00BF2155" w:rsidRDefault="0038137E">
          <w:pPr>
            <w:pStyle w:val="TOC4"/>
            <w:tabs>
              <w:tab w:val="right" w:leader="dot" w:pos="9017"/>
            </w:tabs>
            <w:rPr>
              <w:rFonts w:asciiTheme="minorHAnsi" w:eastAsiaTheme="minorEastAsia" w:hAnsiTheme="minorHAnsi" w:cstheme="minorBidi"/>
              <w:noProof/>
              <w:sz w:val="22"/>
              <w:lang w:val="en-ZA" w:eastAsia="en-ZA"/>
            </w:rPr>
          </w:pPr>
          <w:hyperlink w:anchor="_Toc65253596" w:history="1">
            <w:r w:rsidR="00BF2155" w:rsidRPr="00AE5F31">
              <w:rPr>
                <w:rStyle w:val="Hyperlink"/>
                <w:noProof/>
              </w:rPr>
              <w:t>4.2.3.2 Porridge formulations and preparation</w:t>
            </w:r>
            <w:r w:rsidR="00BF2155">
              <w:rPr>
                <w:noProof/>
                <w:webHidden/>
              </w:rPr>
              <w:tab/>
            </w:r>
            <w:r w:rsidR="00BF2155">
              <w:rPr>
                <w:noProof/>
                <w:webHidden/>
              </w:rPr>
              <w:fldChar w:fldCharType="begin"/>
            </w:r>
            <w:r w:rsidR="00BF2155">
              <w:rPr>
                <w:noProof/>
                <w:webHidden/>
              </w:rPr>
              <w:instrText xml:space="preserve"> PAGEREF _Toc65253596 \h </w:instrText>
            </w:r>
            <w:r w:rsidR="00BF2155">
              <w:rPr>
                <w:noProof/>
                <w:webHidden/>
              </w:rPr>
            </w:r>
            <w:r w:rsidR="00BF2155">
              <w:rPr>
                <w:noProof/>
                <w:webHidden/>
              </w:rPr>
              <w:fldChar w:fldCharType="separate"/>
            </w:r>
            <w:r w:rsidR="00BF2155">
              <w:rPr>
                <w:noProof/>
                <w:webHidden/>
              </w:rPr>
              <w:t>68</w:t>
            </w:r>
            <w:r w:rsidR="00BF2155">
              <w:rPr>
                <w:noProof/>
                <w:webHidden/>
              </w:rPr>
              <w:fldChar w:fldCharType="end"/>
            </w:r>
          </w:hyperlink>
        </w:p>
        <w:p w14:paraId="12919019" w14:textId="3B6A75CC"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597" w:history="1">
            <w:r w:rsidR="00BF2155" w:rsidRPr="00AE5F31">
              <w:rPr>
                <w:rStyle w:val="Hyperlink"/>
                <w:noProof/>
              </w:rPr>
              <w:t>4.2.3.3</w:t>
            </w:r>
            <w:r w:rsidR="00BF2155">
              <w:rPr>
                <w:rFonts w:asciiTheme="minorHAnsi" w:eastAsiaTheme="minorEastAsia" w:hAnsiTheme="minorHAnsi" w:cstheme="minorBidi"/>
                <w:noProof/>
                <w:sz w:val="22"/>
                <w:lang w:val="en-ZA" w:eastAsia="en-ZA"/>
              </w:rPr>
              <w:tab/>
            </w:r>
            <w:r w:rsidR="00BF2155" w:rsidRPr="00AE5F31">
              <w:rPr>
                <w:rStyle w:val="Hyperlink"/>
                <w:noProof/>
              </w:rPr>
              <w:t>Analyses</w:t>
            </w:r>
            <w:r w:rsidR="00BF2155">
              <w:rPr>
                <w:noProof/>
                <w:webHidden/>
              </w:rPr>
              <w:tab/>
            </w:r>
            <w:r w:rsidR="00BF2155">
              <w:rPr>
                <w:noProof/>
                <w:webHidden/>
              </w:rPr>
              <w:fldChar w:fldCharType="begin"/>
            </w:r>
            <w:r w:rsidR="00BF2155">
              <w:rPr>
                <w:noProof/>
                <w:webHidden/>
              </w:rPr>
              <w:instrText xml:space="preserve"> PAGEREF _Toc65253597 \h </w:instrText>
            </w:r>
            <w:r w:rsidR="00BF2155">
              <w:rPr>
                <w:noProof/>
                <w:webHidden/>
              </w:rPr>
            </w:r>
            <w:r w:rsidR="00BF2155">
              <w:rPr>
                <w:noProof/>
                <w:webHidden/>
              </w:rPr>
              <w:fldChar w:fldCharType="separate"/>
            </w:r>
            <w:r w:rsidR="00BF2155">
              <w:rPr>
                <w:noProof/>
                <w:webHidden/>
              </w:rPr>
              <w:t>70</w:t>
            </w:r>
            <w:r w:rsidR="00BF2155">
              <w:rPr>
                <w:noProof/>
                <w:webHidden/>
              </w:rPr>
              <w:fldChar w:fldCharType="end"/>
            </w:r>
          </w:hyperlink>
        </w:p>
        <w:p w14:paraId="7551CC12" w14:textId="53CD493F"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598" w:history="1">
            <w:r w:rsidR="00BF2155" w:rsidRPr="00AE5F31">
              <w:rPr>
                <w:rStyle w:val="Hyperlink"/>
                <w:noProof/>
              </w:rPr>
              <w:t>4.2.4</w:t>
            </w:r>
            <w:r w:rsidR="00BF2155">
              <w:rPr>
                <w:rFonts w:asciiTheme="minorHAnsi" w:eastAsiaTheme="minorEastAsia" w:hAnsiTheme="minorHAnsi" w:cstheme="minorBidi"/>
                <w:noProof/>
                <w:sz w:val="22"/>
                <w:lang w:val="en-ZA" w:eastAsia="en-ZA"/>
              </w:rPr>
              <w:tab/>
            </w:r>
            <w:r w:rsidR="00BF2155" w:rsidRPr="00AE5F31">
              <w:rPr>
                <w:rStyle w:val="Hyperlink"/>
                <w:noProof/>
              </w:rPr>
              <w:t>Results and discussion</w:t>
            </w:r>
            <w:r w:rsidR="00BF2155">
              <w:rPr>
                <w:noProof/>
                <w:webHidden/>
              </w:rPr>
              <w:tab/>
            </w:r>
            <w:r w:rsidR="00BF2155">
              <w:rPr>
                <w:noProof/>
                <w:webHidden/>
              </w:rPr>
              <w:fldChar w:fldCharType="begin"/>
            </w:r>
            <w:r w:rsidR="00BF2155">
              <w:rPr>
                <w:noProof/>
                <w:webHidden/>
              </w:rPr>
              <w:instrText xml:space="preserve"> PAGEREF _Toc65253598 \h </w:instrText>
            </w:r>
            <w:r w:rsidR="00BF2155">
              <w:rPr>
                <w:noProof/>
                <w:webHidden/>
              </w:rPr>
            </w:r>
            <w:r w:rsidR="00BF2155">
              <w:rPr>
                <w:noProof/>
                <w:webHidden/>
              </w:rPr>
              <w:fldChar w:fldCharType="separate"/>
            </w:r>
            <w:r w:rsidR="00BF2155">
              <w:rPr>
                <w:noProof/>
                <w:webHidden/>
              </w:rPr>
              <w:t>73</w:t>
            </w:r>
            <w:r w:rsidR="00BF2155">
              <w:rPr>
                <w:noProof/>
                <w:webHidden/>
              </w:rPr>
              <w:fldChar w:fldCharType="end"/>
            </w:r>
          </w:hyperlink>
        </w:p>
        <w:p w14:paraId="5E0EC932" w14:textId="0736B315" w:rsidR="00BF2155" w:rsidRDefault="0038137E">
          <w:pPr>
            <w:pStyle w:val="TOC4"/>
            <w:tabs>
              <w:tab w:val="right" w:leader="dot" w:pos="9017"/>
            </w:tabs>
            <w:rPr>
              <w:rFonts w:asciiTheme="minorHAnsi" w:eastAsiaTheme="minorEastAsia" w:hAnsiTheme="minorHAnsi" w:cstheme="minorBidi"/>
              <w:noProof/>
              <w:sz w:val="22"/>
              <w:lang w:val="en-ZA" w:eastAsia="en-ZA"/>
            </w:rPr>
          </w:pPr>
          <w:hyperlink w:anchor="_Toc65253599" w:history="1">
            <w:r w:rsidR="00BF2155" w:rsidRPr="00AE5F31">
              <w:rPr>
                <w:rStyle w:val="Hyperlink"/>
                <w:noProof/>
              </w:rPr>
              <w:t>4.2.4.1 Mineral contents</w:t>
            </w:r>
            <w:r w:rsidR="00BF2155">
              <w:rPr>
                <w:noProof/>
                <w:webHidden/>
              </w:rPr>
              <w:tab/>
            </w:r>
            <w:r w:rsidR="00BF2155">
              <w:rPr>
                <w:noProof/>
                <w:webHidden/>
              </w:rPr>
              <w:fldChar w:fldCharType="begin"/>
            </w:r>
            <w:r w:rsidR="00BF2155">
              <w:rPr>
                <w:noProof/>
                <w:webHidden/>
              </w:rPr>
              <w:instrText xml:space="preserve"> PAGEREF _Toc65253599 \h </w:instrText>
            </w:r>
            <w:r w:rsidR="00BF2155">
              <w:rPr>
                <w:noProof/>
                <w:webHidden/>
              </w:rPr>
            </w:r>
            <w:r w:rsidR="00BF2155">
              <w:rPr>
                <w:noProof/>
                <w:webHidden/>
              </w:rPr>
              <w:fldChar w:fldCharType="separate"/>
            </w:r>
            <w:r w:rsidR="00BF2155">
              <w:rPr>
                <w:noProof/>
                <w:webHidden/>
              </w:rPr>
              <w:t>73</w:t>
            </w:r>
            <w:r w:rsidR="00BF2155">
              <w:rPr>
                <w:noProof/>
                <w:webHidden/>
              </w:rPr>
              <w:fldChar w:fldCharType="end"/>
            </w:r>
          </w:hyperlink>
        </w:p>
        <w:p w14:paraId="78496A56" w14:textId="0FCCE8AA"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600" w:history="1">
            <w:r w:rsidR="00BF2155" w:rsidRPr="00AE5F31">
              <w:rPr>
                <w:rStyle w:val="Hyperlink"/>
                <w:noProof/>
              </w:rPr>
              <w:t>4.2.4.2</w:t>
            </w:r>
            <w:r w:rsidR="00BF2155">
              <w:rPr>
                <w:rFonts w:asciiTheme="minorHAnsi" w:eastAsiaTheme="minorEastAsia" w:hAnsiTheme="minorHAnsi" w:cstheme="minorBidi"/>
                <w:noProof/>
                <w:sz w:val="22"/>
                <w:lang w:val="en-ZA" w:eastAsia="en-ZA"/>
              </w:rPr>
              <w:tab/>
            </w:r>
            <w:r w:rsidR="00BF2155" w:rsidRPr="00AE5F31">
              <w:rPr>
                <w:rStyle w:val="Hyperlink"/>
                <w:noProof/>
              </w:rPr>
              <w:t>Antinutrient contents</w:t>
            </w:r>
            <w:r w:rsidR="00BF2155">
              <w:rPr>
                <w:noProof/>
                <w:webHidden/>
              </w:rPr>
              <w:tab/>
            </w:r>
            <w:r w:rsidR="00BF2155">
              <w:rPr>
                <w:noProof/>
                <w:webHidden/>
              </w:rPr>
              <w:fldChar w:fldCharType="begin"/>
            </w:r>
            <w:r w:rsidR="00BF2155">
              <w:rPr>
                <w:noProof/>
                <w:webHidden/>
              </w:rPr>
              <w:instrText xml:space="preserve"> PAGEREF _Toc65253600 \h </w:instrText>
            </w:r>
            <w:r w:rsidR="00BF2155">
              <w:rPr>
                <w:noProof/>
                <w:webHidden/>
              </w:rPr>
            </w:r>
            <w:r w:rsidR="00BF2155">
              <w:rPr>
                <w:noProof/>
                <w:webHidden/>
              </w:rPr>
              <w:fldChar w:fldCharType="separate"/>
            </w:r>
            <w:r w:rsidR="00BF2155">
              <w:rPr>
                <w:noProof/>
                <w:webHidden/>
              </w:rPr>
              <w:t>77</w:t>
            </w:r>
            <w:r w:rsidR="00BF2155">
              <w:rPr>
                <w:noProof/>
                <w:webHidden/>
              </w:rPr>
              <w:fldChar w:fldCharType="end"/>
            </w:r>
          </w:hyperlink>
        </w:p>
        <w:p w14:paraId="33816A04" w14:textId="4572A690"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601" w:history="1">
            <w:r w:rsidR="00BF2155" w:rsidRPr="00AE5F31">
              <w:rPr>
                <w:rStyle w:val="Hyperlink"/>
                <w:noProof/>
              </w:rPr>
              <w:t>4.2.4.3</w:t>
            </w:r>
            <w:r w:rsidR="00BF2155">
              <w:rPr>
                <w:rFonts w:asciiTheme="minorHAnsi" w:eastAsiaTheme="minorEastAsia" w:hAnsiTheme="minorHAnsi" w:cstheme="minorBidi"/>
                <w:noProof/>
                <w:sz w:val="22"/>
                <w:lang w:val="en-ZA" w:eastAsia="en-ZA"/>
              </w:rPr>
              <w:tab/>
            </w:r>
            <w:r w:rsidR="00BF2155" w:rsidRPr="00AE5F31">
              <w:rPr>
                <w:rStyle w:val="Hyperlink"/>
                <w:noProof/>
              </w:rPr>
              <w:t>Organic acid contents</w:t>
            </w:r>
            <w:r w:rsidR="00BF2155">
              <w:rPr>
                <w:noProof/>
                <w:webHidden/>
              </w:rPr>
              <w:tab/>
            </w:r>
            <w:r w:rsidR="00BF2155">
              <w:rPr>
                <w:noProof/>
                <w:webHidden/>
              </w:rPr>
              <w:fldChar w:fldCharType="begin"/>
            </w:r>
            <w:r w:rsidR="00BF2155">
              <w:rPr>
                <w:noProof/>
                <w:webHidden/>
              </w:rPr>
              <w:instrText xml:space="preserve"> PAGEREF _Toc65253601 \h </w:instrText>
            </w:r>
            <w:r w:rsidR="00BF2155">
              <w:rPr>
                <w:noProof/>
                <w:webHidden/>
              </w:rPr>
            </w:r>
            <w:r w:rsidR="00BF2155">
              <w:rPr>
                <w:noProof/>
                <w:webHidden/>
              </w:rPr>
              <w:fldChar w:fldCharType="separate"/>
            </w:r>
            <w:r w:rsidR="00BF2155">
              <w:rPr>
                <w:noProof/>
                <w:webHidden/>
              </w:rPr>
              <w:t>80</w:t>
            </w:r>
            <w:r w:rsidR="00BF2155">
              <w:rPr>
                <w:noProof/>
                <w:webHidden/>
              </w:rPr>
              <w:fldChar w:fldCharType="end"/>
            </w:r>
          </w:hyperlink>
        </w:p>
        <w:p w14:paraId="06CCF033" w14:textId="7B91A083" w:rsidR="00BF2155" w:rsidRDefault="0038137E">
          <w:pPr>
            <w:pStyle w:val="TOC4"/>
            <w:tabs>
              <w:tab w:val="right" w:leader="dot" w:pos="9017"/>
            </w:tabs>
            <w:rPr>
              <w:rFonts w:asciiTheme="minorHAnsi" w:eastAsiaTheme="minorEastAsia" w:hAnsiTheme="minorHAnsi" w:cstheme="minorBidi"/>
              <w:noProof/>
              <w:sz w:val="22"/>
              <w:lang w:val="en-ZA" w:eastAsia="en-ZA"/>
            </w:rPr>
          </w:pPr>
          <w:hyperlink w:anchor="_Toc65253602" w:history="1">
            <w:r w:rsidR="00BF2155" w:rsidRPr="00AE5F31">
              <w:rPr>
                <w:rStyle w:val="Hyperlink"/>
                <w:noProof/>
              </w:rPr>
              <w:t>4.2.4.4 Mineral bioaccessibility</w:t>
            </w:r>
            <w:r w:rsidR="00BF2155">
              <w:rPr>
                <w:noProof/>
                <w:webHidden/>
              </w:rPr>
              <w:tab/>
            </w:r>
            <w:r w:rsidR="00BF2155">
              <w:rPr>
                <w:noProof/>
                <w:webHidden/>
              </w:rPr>
              <w:fldChar w:fldCharType="begin"/>
            </w:r>
            <w:r w:rsidR="00BF2155">
              <w:rPr>
                <w:noProof/>
                <w:webHidden/>
              </w:rPr>
              <w:instrText xml:space="preserve"> PAGEREF _Toc65253602 \h </w:instrText>
            </w:r>
            <w:r w:rsidR="00BF2155">
              <w:rPr>
                <w:noProof/>
                <w:webHidden/>
              </w:rPr>
            </w:r>
            <w:r w:rsidR="00BF2155">
              <w:rPr>
                <w:noProof/>
                <w:webHidden/>
              </w:rPr>
              <w:fldChar w:fldCharType="separate"/>
            </w:r>
            <w:r w:rsidR="00BF2155">
              <w:rPr>
                <w:noProof/>
                <w:webHidden/>
              </w:rPr>
              <w:t>81</w:t>
            </w:r>
            <w:r w:rsidR="00BF2155">
              <w:rPr>
                <w:noProof/>
                <w:webHidden/>
              </w:rPr>
              <w:fldChar w:fldCharType="end"/>
            </w:r>
          </w:hyperlink>
        </w:p>
        <w:p w14:paraId="7F2798B5" w14:textId="6D33C6C4"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603" w:history="1">
            <w:r w:rsidR="00BF2155" w:rsidRPr="00AE5F31">
              <w:rPr>
                <w:rStyle w:val="Hyperlink"/>
                <w:noProof/>
              </w:rPr>
              <w:t>4.2.5</w:t>
            </w:r>
            <w:r w:rsidR="00BF2155">
              <w:rPr>
                <w:rFonts w:asciiTheme="minorHAnsi" w:eastAsiaTheme="minorEastAsia" w:hAnsiTheme="minorHAnsi" w:cstheme="minorBidi"/>
                <w:noProof/>
                <w:sz w:val="22"/>
                <w:lang w:val="en-ZA" w:eastAsia="en-ZA"/>
              </w:rPr>
              <w:tab/>
            </w:r>
            <w:r w:rsidR="00BF2155" w:rsidRPr="00AE5F31">
              <w:rPr>
                <w:rStyle w:val="Hyperlink"/>
                <w:noProof/>
              </w:rPr>
              <w:t>Conclusions</w:t>
            </w:r>
            <w:r w:rsidR="00BF2155">
              <w:rPr>
                <w:noProof/>
                <w:webHidden/>
              </w:rPr>
              <w:tab/>
            </w:r>
            <w:r w:rsidR="00BF2155">
              <w:rPr>
                <w:noProof/>
                <w:webHidden/>
              </w:rPr>
              <w:fldChar w:fldCharType="begin"/>
            </w:r>
            <w:r w:rsidR="00BF2155">
              <w:rPr>
                <w:noProof/>
                <w:webHidden/>
              </w:rPr>
              <w:instrText xml:space="preserve"> PAGEREF _Toc65253603 \h </w:instrText>
            </w:r>
            <w:r w:rsidR="00BF2155">
              <w:rPr>
                <w:noProof/>
                <w:webHidden/>
              </w:rPr>
            </w:r>
            <w:r w:rsidR="00BF2155">
              <w:rPr>
                <w:noProof/>
                <w:webHidden/>
              </w:rPr>
              <w:fldChar w:fldCharType="separate"/>
            </w:r>
            <w:r w:rsidR="00BF2155">
              <w:rPr>
                <w:noProof/>
                <w:webHidden/>
              </w:rPr>
              <w:t>92</w:t>
            </w:r>
            <w:r w:rsidR="00BF2155">
              <w:rPr>
                <w:noProof/>
                <w:webHidden/>
              </w:rPr>
              <w:fldChar w:fldCharType="end"/>
            </w:r>
          </w:hyperlink>
        </w:p>
        <w:p w14:paraId="2D1A6332" w14:textId="198243A9" w:rsidR="00BF2155" w:rsidRDefault="0038137E">
          <w:pPr>
            <w:pStyle w:val="TOC2"/>
            <w:tabs>
              <w:tab w:val="left" w:pos="880"/>
              <w:tab w:val="right" w:leader="dot" w:pos="9017"/>
            </w:tabs>
            <w:rPr>
              <w:rFonts w:asciiTheme="minorHAnsi" w:eastAsiaTheme="minorEastAsia" w:hAnsiTheme="minorHAnsi" w:cstheme="minorBidi"/>
              <w:noProof/>
              <w:sz w:val="22"/>
              <w:lang w:val="en-ZA" w:eastAsia="en-ZA"/>
            </w:rPr>
          </w:pPr>
          <w:hyperlink w:anchor="_Toc65253604" w:history="1">
            <w:r w:rsidR="00BF2155" w:rsidRPr="00AE5F31">
              <w:rPr>
                <w:rStyle w:val="Hyperlink"/>
                <w:noProof/>
                <w:lang w:val="en-ZA"/>
              </w:rPr>
              <w:t>4.3</w:t>
            </w:r>
            <w:r w:rsidR="00BF2155">
              <w:rPr>
                <w:rFonts w:asciiTheme="minorHAnsi" w:eastAsiaTheme="minorEastAsia" w:hAnsiTheme="minorHAnsi" w:cstheme="minorBidi"/>
                <w:noProof/>
                <w:sz w:val="22"/>
                <w:lang w:val="en-ZA" w:eastAsia="en-ZA"/>
              </w:rPr>
              <w:tab/>
            </w:r>
            <w:r w:rsidR="00BF2155" w:rsidRPr="00AE5F31">
              <w:rPr>
                <w:rStyle w:val="Hyperlink"/>
                <w:noProof/>
                <w:lang w:val="en-ZA"/>
              </w:rPr>
              <w:t>Potentials of Food-to-Food Fortification with Provitamin A-rich and Organic Acid-rich Plant Foods or with Micronutrient Premix Fortification of Wholegrain Maize and Extrusion-Cooked Pearl Millet Porridges to improve Essential Mineral Bioaccessibility</w:t>
            </w:r>
            <w:r w:rsidR="00BF2155">
              <w:rPr>
                <w:noProof/>
                <w:webHidden/>
              </w:rPr>
              <w:tab/>
            </w:r>
            <w:r w:rsidR="00BF2155">
              <w:rPr>
                <w:noProof/>
                <w:webHidden/>
              </w:rPr>
              <w:fldChar w:fldCharType="begin"/>
            </w:r>
            <w:r w:rsidR="00BF2155">
              <w:rPr>
                <w:noProof/>
                <w:webHidden/>
              </w:rPr>
              <w:instrText xml:space="preserve"> PAGEREF _Toc65253604 \h </w:instrText>
            </w:r>
            <w:r w:rsidR="00BF2155">
              <w:rPr>
                <w:noProof/>
                <w:webHidden/>
              </w:rPr>
            </w:r>
            <w:r w:rsidR="00BF2155">
              <w:rPr>
                <w:noProof/>
                <w:webHidden/>
              </w:rPr>
              <w:fldChar w:fldCharType="separate"/>
            </w:r>
            <w:r w:rsidR="00BF2155">
              <w:rPr>
                <w:noProof/>
                <w:webHidden/>
              </w:rPr>
              <w:t>93</w:t>
            </w:r>
            <w:r w:rsidR="00BF2155">
              <w:rPr>
                <w:noProof/>
                <w:webHidden/>
              </w:rPr>
              <w:fldChar w:fldCharType="end"/>
            </w:r>
          </w:hyperlink>
        </w:p>
        <w:p w14:paraId="685C505A" w14:textId="005B8208"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605" w:history="1">
            <w:r w:rsidR="00BF2155" w:rsidRPr="00AE5F31">
              <w:rPr>
                <w:rStyle w:val="Hyperlink"/>
                <w:noProof/>
                <w:lang w:val="en-ZA"/>
              </w:rPr>
              <w:t>4.3.1</w:t>
            </w:r>
            <w:r w:rsidR="00BF2155">
              <w:rPr>
                <w:rFonts w:asciiTheme="minorHAnsi" w:eastAsiaTheme="minorEastAsia" w:hAnsiTheme="minorHAnsi" w:cstheme="minorBidi"/>
                <w:noProof/>
                <w:sz w:val="22"/>
                <w:lang w:val="en-ZA" w:eastAsia="en-ZA"/>
              </w:rPr>
              <w:tab/>
            </w:r>
            <w:r w:rsidR="00BF2155" w:rsidRPr="00AE5F31">
              <w:rPr>
                <w:rStyle w:val="Hyperlink"/>
                <w:noProof/>
                <w:lang w:val="en-ZA"/>
              </w:rPr>
              <w:t>Abstract</w:t>
            </w:r>
            <w:r w:rsidR="00BF2155">
              <w:rPr>
                <w:noProof/>
                <w:webHidden/>
              </w:rPr>
              <w:tab/>
            </w:r>
            <w:r w:rsidR="00BF2155">
              <w:rPr>
                <w:noProof/>
                <w:webHidden/>
              </w:rPr>
              <w:fldChar w:fldCharType="begin"/>
            </w:r>
            <w:r w:rsidR="00BF2155">
              <w:rPr>
                <w:noProof/>
                <w:webHidden/>
              </w:rPr>
              <w:instrText xml:space="preserve"> PAGEREF _Toc65253605 \h </w:instrText>
            </w:r>
            <w:r w:rsidR="00BF2155">
              <w:rPr>
                <w:noProof/>
                <w:webHidden/>
              </w:rPr>
            </w:r>
            <w:r w:rsidR="00BF2155">
              <w:rPr>
                <w:noProof/>
                <w:webHidden/>
              </w:rPr>
              <w:fldChar w:fldCharType="separate"/>
            </w:r>
            <w:r w:rsidR="00BF2155">
              <w:rPr>
                <w:noProof/>
                <w:webHidden/>
              </w:rPr>
              <w:t>93</w:t>
            </w:r>
            <w:r w:rsidR="00BF2155">
              <w:rPr>
                <w:noProof/>
                <w:webHidden/>
              </w:rPr>
              <w:fldChar w:fldCharType="end"/>
            </w:r>
          </w:hyperlink>
        </w:p>
        <w:p w14:paraId="388368B5" w14:textId="74989A61"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606" w:history="1">
            <w:r w:rsidR="00BF2155" w:rsidRPr="00AE5F31">
              <w:rPr>
                <w:rStyle w:val="Hyperlink"/>
                <w:noProof/>
                <w:lang w:val="en-ZA"/>
              </w:rPr>
              <w:t>4.3.2</w:t>
            </w:r>
            <w:r w:rsidR="00BF2155">
              <w:rPr>
                <w:rFonts w:asciiTheme="minorHAnsi" w:eastAsiaTheme="minorEastAsia" w:hAnsiTheme="minorHAnsi" w:cstheme="minorBidi"/>
                <w:noProof/>
                <w:sz w:val="22"/>
                <w:lang w:val="en-ZA" w:eastAsia="en-ZA"/>
              </w:rPr>
              <w:tab/>
            </w:r>
            <w:r w:rsidR="00BF2155" w:rsidRPr="00AE5F31">
              <w:rPr>
                <w:rStyle w:val="Hyperlink"/>
                <w:noProof/>
                <w:lang w:val="en-ZA"/>
              </w:rPr>
              <w:t>Introduction</w:t>
            </w:r>
            <w:r w:rsidR="00BF2155">
              <w:rPr>
                <w:noProof/>
                <w:webHidden/>
              </w:rPr>
              <w:tab/>
            </w:r>
            <w:r w:rsidR="00BF2155">
              <w:rPr>
                <w:noProof/>
                <w:webHidden/>
              </w:rPr>
              <w:fldChar w:fldCharType="begin"/>
            </w:r>
            <w:r w:rsidR="00BF2155">
              <w:rPr>
                <w:noProof/>
                <w:webHidden/>
              </w:rPr>
              <w:instrText xml:space="preserve"> PAGEREF _Toc65253606 \h </w:instrText>
            </w:r>
            <w:r w:rsidR="00BF2155">
              <w:rPr>
                <w:noProof/>
                <w:webHidden/>
              </w:rPr>
            </w:r>
            <w:r w:rsidR="00BF2155">
              <w:rPr>
                <w:noProof/>
                <w:webHidden/>
              </w:rPr>
              <w:fldChar w:fldCharType="separate"/>
            </w:r>
            <w:r w:rsidR="00BF2155">
              <w:rPr>
                <w:noProof/>
                <w:webHidden/>
              </w:rPr>
              <w:t>94</w:t>
            </w:r>
            <w:r w:rsidR="00BF2155">
              <w:rPr>
                <w:noProof/>
                <w:webHidden/>
              </w:rPr>
              <w:fldChar w:fldCharType="end"/>
            </w:r>
          </w:hyperlink>
        </w:p>
        <w:p w14:paraId="2454C3B1" w14:textId="302E0E55"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607" w:history="1">
            <w:r w:rsidR="00BF2155" w:rsidRPr="00AE5F31">
              <w:rPr>
                <w:rStyle w:val="Hyperlink"/>
                <w:noProof/>
                <w:lang w:val="en-ZA"/>
              </w:rPr>
              <w:t xml:space="preserve">4.3.3 </w:t>
            </w:r>
            <w:r w:rsidR="00BF2155">
              <w:rPr>
                <w:rFonts w:asciiTheme="minorHAnsi" w:eastAsiaTheme="minorEastAsia" w:hAnsiTheme="minorHAnsi" w:cstheme="minorBidi"/>
                <w:noProof/>
                <w:sz w:val="22"/>
                <w:lang w:val="en-ZA" w:eastAsia="en-ZA"/>
              </w:rPr>
              <w:tab/>
            </w:r>
            <w:r w:rsidR="00BF2155" w:rsidRPr="00AE5F31">
              <w:rPr>
                <w:rStyle w:val="Hyperlink"/>
                <w:noProof/>
                <w:lang w:val="en-ZA"/>
              </w:rPr>
              <w:t>Materials and methods</w:t>
            </w:r>
            <w:r w:rsidR="00BF2155">
              <w:rPr>
                <w:noProof/>
                <w:webHidden/>
              </w:rPr>
              <w:tab/>
            </w:r>
            <w:r w:rsidR="00BF2155">
              <w:rPr>
                <w:noProof/>
                <w:webHidden/>
              </w:rPr>
              <w:fldChar w:fldCharType="begin"/>
            </w:r>
            <w:r w:rsidR="00BF2155">
              <w:rPr>
                <w:noProof/>
                <w:webHidden/>
              </w:rPr>
              <w:instrText xml:space="preserve"> PAGEREF _Toc65253607 \h </w:instrText>
            </w:r>
            <w:r w:rsidR="00BF2155">
              <w:rPr>
                <w:noProof/>
                <w:webHidden/>
              </w:rPr>
            </w:r>
            <w:r w:rsidR="00BF2155">
              <w:rPr>
                <w:noProof/>
                <w:webHidden/>
              </w:rPr>
              <w:fldChar w:fldCharType="separate"/>
            </w:r>
            <w:r w:rsidR="00BF2155">
              <w:rPr>
                <w:noProof/>
                <w:webHidden/>
              </w:rPr>
              <w:t>95</w:t>
            </w:r>
            <w:r w:rsidR="00BF2155">
              <w:rPr>
                <w:noProof/>
                <w:webHidden/>
              </w:rPr>
              <w:fldChar w:fldCharType="end"/>
            </w:r>
          </w:hyperlink>
        </w:p>
        <w:p w14:paraId="62E43245" w14:textId="7EB63A3B"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608" w:history="1">
            <w:r w:rsidR="00BF2155" w:rsidRPr="00AE5F31">
              <w:rPr>
                <w:rStyle w:val="Hyperlink"/>
                <w:noProof/>
              </w:rPr>
              <w:t>4.3.3.1</w:t>
            </w:r>
            <w:r w:rsidR="00BF2155">
              <w:rPr>
                <w:rFonts w:asciiTheme="minorHAnsi" w:eastAsiaTheme="minorEastAsia" w:hAnsiTheme="minorHAnsi" w:cstheme="minorBidi"/>
                <w:noProof/>
                <w:sz w:val="22"/>
                <w:lang w:val="en-ZA" w:eastAsia="en-ZA"/>
              </w:rPr>
              <w:tab/>
            </w:r>
            <w:r w:rsidR="00BF2155" w:rsidRPr="00AE5F31">
              <w:rPr>
                <w:rStyle w:val="Hyperlink"/>
                <w:noProof/>
              </w:rPr>
              <w:t>Plant food materials</w:t>
            </w:r>
            <w:r w:rsidR="00BF2155">
              <w:rPr>
                <w:noProof/>
                <w:webHidden/>
              </w:rPr>
              <w:tab/>
            </w:r>
            <w:r w:rsidR="00BF2155">
              <w:rPr>
                <w:noProof/>
                <w:webHidden/>
              </w:rPr>
              <w:fldChar w:fldCharType="begin"/>
            </w:r>
            <w:r w:rsidR="00BF2155">
              <w:rPr>
                <w:noProof/>
                <w:webHidden/>
              </w:rPr>
              <w:instrText xml:space="preserve"> PAGEREF _Toc65253608 \h </w:instrText>
            </w:r>
            <w:r w:rsidR="00BF2155">
              <w:rPr>
                <w:noProof/>
                <w:webHidden/>
              </w:rPr>
            </w:r>
            <w:r w:rsidR="00BF2155">
              <w:rPr>
                <w:noProof/>
                <w:webHidden/>
              </w:rPr>
              <w:fldChar w:fldCharType="separate"/>
            </w:r>
            <w:r w:rsidR="00BF2155">
              <w:rPr>
                <w:noProof/>
                <w:webHidden/>
              </w:rPr>
              <w:t>95</w:t>
            </w:r>
            <w:r w:rsidR="00BF2155">
              <w:rPr>
                <w:noProof/>
                <w:webHidden/>
              </w:rPr>
              <w:fldChar w:fldCharType="end"/>
            </w:r>
          </w:hyperlink>
        </w:p>
        <w:p w14:paraId="67695A27" w14:textId="6F0AD4D1"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609" w:history="1">
            <w:r w:rsidR="00BF2155" w:rsidRPr="00AE5F31">
              <w:rPr>
                <w:rStyle w:val="Hyperlink"/>
                <w:noProof/>
              </w:rPr>
              <w:t>4.3.3.2</w:t>
            </w:r>
            <w:r w:rsidR="00BF2155">
              <w:rPr>
                <w:rFonts w:asciiTheme="minorHAnsi" w:eastAsiaTheme="minorEastAsia" w:hAnsiTheme="minorHAnsi" w:cstheme="minorBidi"/>
                <w:noProof/>
                <w:sz w:val="22"/>
                <w:lang w:val="en-ZA" w:eastAsia="en-ZA"/>
              </w:rPr>
              <w:tab/>
            </w:r>
            <w:r w:rsidR="00BF2155" w:rsidRPr="00AE5F31">
              <w:rPr>
                <w:rStyle w:val="Hyperlink"/>
                <w:noProof/>
              </w:rPr>
              <w:t>Cereal porridge formulations and preparation</w:t>
            </w:r>
            <w:r w:rsidR="00BF2155">
              <w:rPr>
                <w:noProof/>
                <w:webHidden/>
              </w:rPr>
              <w:tab/>
            </w:r>
            <w:r w:rsidR="00BF2155">
              <w:rPr>
                <w:noProof/>
                <w:webHidden/>
              </w:rPr>
              <w:fldChar w:fldCharType="begin"/>
            </w:r>
            <w:r w:rsidR="00BF2155">
              <w:rPr>
                <w:noProof/>
                <w:webHidden/>
              </w:rPr>
              <w:instrText xml:space="preserve"> PAGEREF _Toc65253609 \h </w:instrText>
            </w:r>
            <w:r w:rsidR="00BF2155">
              <w:rPr>
                <w:noProof/>
                <w:webHidden/>
              </w:rPr>
            </w:r>
            <w:r w:rsidR="00BF2155">
              <w:rPr>
                <w:noProof/>
                <w:webHidden/>
              </w:rPr>
              <w:fldChar w:fldCharType="separate"/>
            </w:r>
            <w:r w:rsidR="00BF2155">
              <w:rPr>
                <w:noProof/>
                <w:webHidden/>
              </w:rPr>
              <w:t>96</w:t>
            </w:r>
            <w:r w:rsidR="00BF2155">
              <w:rPr>
                <w:noProof/>
                <w:webHidden/>
              </w:rPr>
              <w:fldChar w:fldCharType="end"/>
            </w:r>
          </w:hyperlink>
        </w:p>
        <w:p w14:paraId="4FB4893F" w14:textId="284408D1"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610" w:history="1">
            <w:r w:rsidR="00BF2155" w:rsidRPr="00AE5F31">
              <w:rPr>
                <w:rStyle w:val="Hyperlink"/>
                <w:noProof/>
              </w:rPr>
              <w:t>4.3.3.3</w:t>
            </w:r>
            <w:r w:rsidR="00BF2155">
              <w:rPr>
                <w:rFonts w:asciiTheme="minorHAnsi" w:eastAsiaTheme="minorEastAsia" w:hAnsiTheme="minorHAnsi" w:cstheme="minorBidi"/>
                <w:noProof/>
                <w:sz w:val="22"/>
                <w:lang w:val="en-ZA" w:eastAsia="en-ZA"/>
              </w:rPr>
              <w:tab/>
            </w:r>
            <w:r w:rsidR="00BF2155" w:rsidRPr="00AE5F31">
              <w:rPr>
                <w:rStyle w:val="Hyperlink"/>
                <w:noProof/>
              </w:rPr>
              <w:t>Analyses</w:t>
            </w:r>
            <w:r w:rsidR="00BF2155">
              <w:rPr>
                <w:noProof/>
                <w:webHidden/>
              </w:rPr>
              <w:tab/>
            </w:r>
            <w:r w:rsidR="00BF2155">
              <w:rPr>
                <w:noProof/>
                <w:webHidden/>
              </w:rPr>
              <w:fldChar w:fldCharType="begin"/>
            </w:r>
            <w:r w:rsidR="00BF2155">
              <w:rPr>
                <w:noProof/>
                <w:webHidden/>
              </w:rPr>
              <w:instrText xml:space="preserve"> PAGEREF _Toc65253610 \h </w:instrText>
            </w:r>
            <w:r w:rsidR="00BF2155">
              <w:rPr>
                <w:noProof/>
                <w:webHidden/>
              </w:rPr>
            </w:r>
            <w:r w:rsidR="00BF2155">
              <w:rPr>
                <w:noProof/>
                <w:webHidden/>
              </w:rPr>
              <w:fldChar w:fldCharType="separate"/>
            </w:r>
            <w:r w:rsidR="00BF2155">
              <w:rPr>
                <w:noProof/>
                <w:webHidden/>
              </w:rPr>
              <w:t>98</w:t>
            </w:r>
            <w:r w:rsidR="00BF2155">
              <w:rPr>
                <w:noProof/>
                <w:webHidden/>
              </w:rPr>
              <w:fldChar w:fldCharType="end"/>
            </w:r>
          </w:hyperlink>
        </w:p>
        <w:p w14:paraId="5C02121F" w14:textId="2AC1314C"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611" w:history="1">
            <w:r w:rsidR="00BF2155" w:rsidRPr="00AE5F31">
              <w:rPr>
                <w:rStyle w:val="Hyperlink"/>
                <w:noProof/>
                <w:lang w:val="en-ZA"/>
              </w:rPr>
              <w:t>4.3.4</w:t>
            </w:r>
            <w:r w:rsidR="00BF2155">
              <w:rPr>
                <w:rFonts w:asciiTheme="minorHAnsi" w:eastAsiaTheme="minorEastAsia" w:hAnsiTheme="minorHAnsi" w:cstheme="minorBidi"/>
                <w:noProof/>
                <w:sz w:val="22"/>
                <w:lang w:val="en-ZA" w:eastAsia="en-ZA"/>
              </w:rPr>
              <w:tab/>
            </w:r>
            <w:r w:rsidR="00BF2155" w:rsidRPr="00AE5F31">
              <w:rPr>
                <w:rStyle w:val="Hyperlink"/>
                <w:noProof/>
                <w:lang w:val="en-ZA"/>
              </w:rPr>
              <w:t>Results and discussion</w:t>
            </w:r>
            <w:r w:rsidR="00BF2155">
              <w:rPr>
                <w:noProof/>
                <w:webHidden/>
              </w:rPr>
              <w:tab/>
            </w:r>
            <w:r w:rsidR="00BF2155">
              <w:rPr>
                <w:noProof/>
                <w:webHidden/>
              </w:rPr>
              <w:fldChar w:fldCharType="begin"/>
            </w:r>
            <w:r w:rsidR="00BF2155">
              <w:rPr>
                <w:noProof/>
                <w:webHidden/>
              </w:rPr>
              <w:instrText xml:space="preserve"> PAGEREF _Toc65253611 \h </w:instrText>
            </w:r>
            <w:r w:rsidR="00BF2155">
              <w:rPr>
                <w:noProof/>
                <w:webHidden/>
              </w:rPr>
            </w:r>
            <w:r w:rsidR="00BF2155">
              <w:rPr>
                <w:noProof/>
                <w:webHidden/>
              </w:rPr>
              <w:fldChar w:fldCharType="separate"/>
            </w:r>
            <w:r w:rsidR="00BF2155">
              <w:rPr>
                <w:noProof/>
                <w:webHidden/>
              </w:rPr>
              <w:t>100</w:t>
            </w:r>
            <w:r w:rsidR="00BF2155">
              <w:rPr>
                <w:noProof/>
                <w:webHidden/>
              </w:rPr>
              <w:fldChar w:fldCharType="end"/>
            </w:r>
          </w:hyperlink>
        </w:p>
        <w:p w14:paraId="567E201A" w14:textId="64DBA171"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612" w:history="1">
            <w:r w:rsidR="00BF2155" w:rsidRPr="00AE5F31">
              <w:rPr>
                <w:rStyle w:val="Hyperlink"/>
                <w:noProof/>
                <w:lang w:val="en-ZA"/>
              </w:rPr>
              <w:t>4.3.4.1</w:t>
            </w:r>
            <w:r w:rsidR="00BF2155">
              <w:rPr>
                <w:rFonts w:asciiTheme="minorHAnsi" w:eastAsiaTheme="minorEastAsia" w:hAnsiTheme="minorHAnsi" w:cstheme="minorBidi"/>
                <w:noProof/>
                <w:sz w:val="22"/>
                <w:lang w:val="en-ZA" w:eastAsia="en-ZA"/>
              </w:rPr>
              <w:tab/>
            </w:r>
            <w:r w:rsidR="00BF2155" w:rsidRPr="00AE5F31">
              <w:rPr>
                <w:rStyle w:val="Hyperlink"/>
                <w:noProof/>
                <w:lang w:val="en-ZA"/>
              </w:rPr>
              <w:t>Mineral contents</w:t>
            </w:r>
            <w:r w:rsidR="00BF2155">
              <w:rPr>
                <w:noProof/>
                <w:webHidden/>
              </w:rPr>
              <w:tab/>
            </w:r>
            <w:r w:rsidR="00BF2155">
              <w:rPr>
                <w:noProof/>
                <w:webHidden/>
              </w:rPr>
              <w:fldChar w:fldCharType="begin"/>
            </w:r>
            <w:r w:rsidR="00BF2155">
              <w:rPr>
                <w:noProof/>
                <w:webHidden/>
              </w:rPr>
              <w:instrText xml:space="preserve"> PAGEREF _Toc65253612 \h </w:instrText>
            </w:r>
            <w:r w:rsidR="00BF2155">
              <w:rPr>
                <w:noProof/>
                <w:webHidden/>
              </w:rPr>
            </w:r>
            <w:r w:rsidR="00BF2155">
              <w:rPr>
                <w:noProof/>
                <w:webHidden/>
              </w:rPr>
              <w:fldChar w:fldCharType="separate"/>
            </w:r>
            <w:r w:rsidR="00BF2155">
              <w:rPr>
                <w:noProof/>
                <w:webHidden/>
              </w:rPr>
              <w:t>100</w:t>
            </w:r>
            <w:r w:rsidR="00BF2155">
              <w:rPr>
                <w:noProof/>
                <w:webHidden/>
              </w:rPr>
              <w:fldChar w:fldCharType="end"/>
            </w:r>
          </w:hyperlink>
        </w:p>
        <w:p w14:paraId="3FA2746A" w14:textId="3DDDCA4E" w:rsidR="00BF2155" w:rsidRDefault="0038137E">
          <w:pPr>
            <w:pStyle w:val="TOC4"/>
            <w:tabs>
              <w:tab w:val="right" w:leader="dot" w:pos="9017"/>
            </w:tabs>
            <w:rPr>
              <w:rFonts w:asciiTheme="minorHAnsi" w:eastAsiaTheme="minorEastAsia" w:hAnsiTheme="minorHAnsi" w:cstheme="minorBidi"/>
              <w:noProof/>
              <w:sz w:val="22"/>
              <w:lang w:val="en-ZA" w:eastAsia="en-ZA"/>
            </w:rPr>
          </w:pPr>
          <w:hyperlink w:anchor="_Toc65253613" w:history="1">
            <w:r w:rsidR="00BF2155" w:rsidRPr="00AE5F31">
              <w:rPr>
                <w:rStyle w:val="Hyperlink"/>
                <w:noProof/>
              </w:rPr>
              <w:t>4.3.4.2 Beta-carotene content</w:t>
            </w:r>
            <w:r w:rsidR="00BF2155">
              <w:rPr>
                <w:noProof/>
                <w:webHidden/>
              </w:rPr>
              <w:tab/>
            </w:r>
            <w:r w:rsidR="00BF2155">
              <w:rPr>
                <w:noProof/>
                <w:webHidden/>
              </w:rPr>
              <w:fldChar w:fldCharType="begin"/>
            </w:r>
            <w:r w:rsidR="00BF2155">
              <w:rPr>
                <w:noProof/>
                <w:webHidden/>
              </w:rPr>
              <w:instrText xml:space="preserve"> PAGEREF _Toc65253613 \h </w:instrText>
            </w:r>
            <w:r w:rsidR="00BF2155">
              <w:rPr>
                <w:noProof/>
                <w:webHidden/>
              </w:rPr>
            </w:r>
            <w:r w:rsidR="00BF2155">
              <w:rPr>
                <w:noProof/>
                <w:webHidden/>
              </w:rPr>
              <w:fldChar w:fldCharType="separate"/>
            </w:r>
            <w:r w:rsidR="00BF2155">
              <w:rPr>
                <w:noProof/>
                <w:webHidden/>
              </w:rPr>
              <w:t>107</w:t>
            </w:r>
            <w:r w:rsidR="00BF2155">
              <w:rPr>
                <w:noProof/>
                <w:webHidden/>
              </w:rPr>
              <w:fldChar w:fldCharType="end"/>
            </w:r>
          </w:hyperlink>
        </w:p>
        <w:p w14:paraId="5658E0B8" w14:textId="37FA9680" w:rsidR="00BF2155" w:rsidRDefault="0038137E">
          <w:pPr>
            <w:pStyle w:val="TOC4"/>
            <w:tabs>
              <w:tab w:val="left" w:pos="1760"/>
              <w:tab w:val="right" w:leader="dot" w:pos="9017"/>
            </w:tabs>
            <w:rPr>
              <w:rFonts w:asciiTheme="minorHAnsi" w:eastAsiaTheme="minorEastAsia" w:hAnsiTheme="minorHAnsi" w:cstheme="minorBidi"/>
              <w:noProof/>
              <w:sz w:val="22"/>
              <w:lang w:val="en-ZA" w:eastAsia="en-ZA"/>
            </w:rPr>
          </w:pPr>
          <w:hyperlink w:anchor="_Toc65253614" w:history="1">
            <w:r w:rsidR="00BF2155" w:rsidRPr="00AE5F31">
              <w:rPr>
                <w:rStyle w:val="Hyperlink"/>
                <w:noProof/>
              </w:rPr>
              <w:t>4.3.4.3</w:t>
            </w:r>
            <w:r w:rsidR="00BF2155">
              <w:rPr>
                <w:rFonts w:asciiTheme="minorHAnsi" w:eastAsiaTheme="minorEastAsia" w:hAnsiTheme="minorHAnsi" w:cstheme="minorBidi"/>
                <w:noProof/>
                <w:sz w:val="22"/>
                <w:lang w:val="en-ZA" w:eastAsia="en-ZA"/>
              </w:rPr>
              <w:tab/>
            </w:r>
            <w:r w:rsidR="00BF2155" w:rsidRPr="00AE5F31">
              <w:rPr>
                <w:rStyle w:val="Hyperlink"/>
                <w:noProof/>
              </w:rPr>
              <w:t>Mineral bioaccessibility</w:t>
            </w:r>
            <w:r w:rsidR="00BF2155">
              <w:rPr>
                <w:noProof/>
                <w:webHidden/>
              </w:rPr>
              <w:tab/>
            </w:r>
            <w:r w:rsidR="00BF2155">
              <w:rPr>
                <w:noProof/>
                <w:webHidden/>
              </w:rPr>
              <w:fldChar w:fldCharType="begin"/>
            </w:r>
            <w:r w:rsidR="00BF2155">
              <w:rPr>
                <w:noProof/>
                <w:webHidden/>
              </w:rPr>
              <w:instrText xml:space="preserve"> PAGEREF _Toc65253614 \h </w:instrText>
            </w:r>
            <w:r w:rsidR="00BF2155">
              <w:rPr>
                <w:noProof/>
                <w:webHidden/>
              </w:rPr>
            </w:r>
            <w:r w:rsidR="00BF2155">
              <w:rPr>
                <w:noProof/>
                <w:webHidden/>
              </w:rPr>
              <w:fldChar w:fldCharType="separate"/>
            </w:r>
            <w:r w:rsidR="00BF2155">
              <w:rPr>
                <w:noProof/>
                <w:webHidden/>
              </w:rPr>
              <w:t>108</w:t>
            </w:r>
            <w:r w:rsidR="00BF2155">
              <w:rPr>
                <w:noProof/>
                <w:webHidden/>
              </w:rPr>
              <w:fldChar w:fldCharType="end"/>
            </w:r>
          </w:hyperlink>
        </w:p>
        <w:p w14:paraId="2AB1E75C" w14:textId="295305FF" w:rsidR="00BF2155" w:rsidRDefault="0038137E">
          <w:pPr>
            <w:pStyle w:val="TOC3"/>
            <w:tabs>
              <w:tab w:val="left" w:pos="1320"/>
              <w:tab w:val="right" w:leader="dot" w:pos="9017"/>
            </w:tabs>
            <w:rPr>
              <w:rFonts w:asciiTheme="minorHAnsi" w:eastAsiaTheme="minorEastAsia" w:hAnsiTheme="minorHAnsi" w:cstheme="minorBidi"/>
              <w:noProof/>
              <w:sz w:val="22"/>
              <w:lang w:val="en-ZA" w:eastAsia="en-ZA"/>
            </w:rPr>
          </w:pPr>
          <w:hyperlink w:anchor="_Toc65253615" w:history="1">
            <w:r w:rsidR="00BF2155" w:rsidRPr="00AE5F31">
              <w:rPr>
                <w:rStyle w:val="Hyperlink"/>
                <w:noProof/>
              </w:rPr>
              <w:t>4.3.5</w:t>
            </w:r>
            <w:r w:rsidR="00BF2155">
              <w:rPr>
                <w:rFonts w:asciiTheme="minorHAnsi" w:eastAsiaTheme="minorEastAsia" w:hAnsiTheme="minorHAnsi" w:cstheme="minorBidi"/>
                <w:noProof/>
                <w:sz w:val="22"/>
                <w:lang w:val="en-ZA" w:eastAsia="en-ZA"/>
              </w:rPr>
              <w:tab/>
            </w:r>
            <w:r w:rsidR="00BF2155" w:rsidRPr="00AE5F31">
              <w:rPr>
                <w:rStyle w:val="Hyperlink"/>
                <w:noProof/>
              </w:rPr>
              <w:t>Conclusions</w:t>
            </w:r>
            <w:r w:rsidR="00BF2155">
              <w:rPr>
                <w:noProof/>
                <w:webHidden/>
              </w:rPr>
              <w:tab/>
            </w:r>
            <w:r w:rsidR="00BF2155">
              <w:rPr>
                <w:noProof/>
                <w:webHidden/>
              </w:rPr>
              <w:fldChar w:fldCharType="begin"/>
            </w:r>
            <w:r w:rsidR="00BF2155">
              <w:rPr>
                <w:noProof/>
                <w:webHidden/>
              </w:rPr>
              <w:instrText xml:space="preserve"> PAGEREF _Toc65253615 \h </w:instrText>
            </w:r>
            <w:r w:rsidR="00BF2155">
              <w:rPr>
                <w:noProof/>
                <w:webHidden/>
              </w:rPr>
            </w:r>
            <w:r w:rsidR="00BF2155">
              <w:rPr>
                <w:noProof/>
                <w:webHidden/>
              </w:rPr>
              <w:fldChar w:fldCharType="separate"/>
            </w:r>
            <w:r w:rsidR="00BF2155">
              <w:rPr>
                <w:noProof/>
                <w:webHidden/>
              </w:rPr>
              <w:t>122</w:t>
            </w:r>
            <w:r w:rsidR="00BF2155">
              <w:rPr>
                <w:noProof/>
                <w:webHidden/>
              </w:rPr>
              <w:fldChar w:fldCharType="end"/>
            </w:r>
          </w:hyperlink>
        </w:p>
        <w:p w14:paraId="06057936" w14:textId="1FB622D1" w:rsidR="00BF2155" w:rsidRDefault="0038137E">
          <w:pPr>
            <w:pStyle w:val="TOC1"/>
            <w:tabs>
              <w:tab w:val="left" w:pos="480"/>
              <w:tab w:val="right" w:leader="dot" w:pos="9017"/>
            </w:tabs>
            <w:rPr>
              <w:rFonts w:asciiTheme="minorHAnsi" w:eastAsiaTheme="minorEastAsia" w:hAnsiTheme="minorHAnsi" w:cstheme="minorBidi"/>
              <w:noProof/>
              <w:sz w:val="22"/>
              <w:lang w:val="en-ZA" w:eastAsia="en-ZA"/>
            </w:rPr>
          </w:pPr>
          <w:hyperlink w:anchor="_Toc65253616" w:history="1">
            <w:r w:rsidR="00BF2155" w:rsidRPr="00AE5F31">
              <w:rPr>
                <w:rStyle w:val="Hyperlink"/>
                <w:noProof/>
                <w:lang w:val="en-ZA"/>
              </w:rPr>
              <w:t>5.</w:t>
            </w:r>
            <w:r w:rsidR="00BF2155">
              <w:rPr>
                <w:rFonts w:asciiTheme="minorHAnsi" w:eastAsiaTheme="minorEastAsia" w:hAnsiTheme="minorHAnsi" w:cstheme="minorBidi"/>
                <w:noProof/>
                <w:sz w:val="22"/>
                <w:lang w:val="en-ZA" w:eastAsia="en-ZA"/>
              </w:rPr>
              <w:tab/>
            </w:r>
            <w:r w:rsidR="00BF2155" w:rsidRPr="00AE5F31">
              <w:rPr>
                <w:rStyle w:val="Hyperlink"/>
                <w:noProof/>
                <w:lang w:val="en-ZA"/>
              </w:rPr>
              <w:t>GENERAL DISCUSSION</w:t>
            </w:r>
            <w:r w:rsidR="00BF2155">
              <w:rPr>
                <w:noProof/>
                <w:webHidden/>
              </w:rPr>
              <w:tab/>
            </w:r>
            <w:r w:rsidR="00BF2155">
              <w:rPr>
                <w:noProof/>
                <w:webHidden/>
              </w:rPr>
              <w:fldChar w:fldCharType="begin"/>
            </w:r>
            <w:r w:rsidR="00BF2155">
              <w:rPr>
                <w:noProof/>
                <w:webHidden/>
              </w:rPr>
              <w:instrText xml:space="preserve"> PAGEREF _Toc65253616 \h </w:instrText>
            </w:r>
            <w:r w:rsidR="00BF2155">
              <w:rPr>
                <w:noProof/>
                <w:webHidden/>
              </w:rPr>
            </w:r>
            <w:r w:rsidR="00BF2155">
              <w:rPr>
                <w:noProof/>
                <w:webHidden/>
              </w:rPr>
              <w:fldChar w:fldCharType="separate"/>
            </w:r>
            <w:r w:rsidR="00BF2155">
              <w:rPr>
                <w:noProof/>
                <w:webHidden/>
              </w:rPr>
              <w:t>123</w:t>
            </w:r>
            <w:r w:rsidR="00BF2155">
              <w:rPr>
                <w:noProof/>
                <w:webHidden/>
              </w:rPr>
              <w:fldChar w:fldCharType="end"/>
            </w:r>
          </w:hyperlink>
        </w:p>
        <w:p w14:paraId="1B07B65B" w14:textId="0CF3097B" w:rsidR="00BF2155" w:rsidRDefault="0038137E">
          <w:pPr>
            <w:pStyle w:val="TOC2"/>
            <w:tabs>
              <w:tab w:val="left" w:pos="880"/>
              <w:tab w:val="right" w:leader="dot" w:pos="9017"/>
            </w:tabs>
            <w:rPr>
              <w:rFonts w:asciiTheme="minorHAnsi" w:eastAsiaTheme="minorEastAsia" w:hAnsiTheme="minorHAnsi" w:cstheme="minorBidi"/>
              <w:noProof/>
              <w:sz w:val="22"/>
              <w:lang w:val="en-ZA" w:eastAsia="en-ZA"/>
            </w:rPr>
          </w:pPr>
          <w:hyperlink w:anchor="_Toc65253617" w:history="1">
            <w:r w:rsidR="00BF2155" w:rsidRPr="00AE5F31">
              <w:rPr>
                <w:rStyle w:val="Hyperlink"/>
                <w:noProof/>
                <w:lang w:val="en-ZA"/>
              </w:rPr>
              <w:t>5.1</w:t>
            </w:r>
            <w:r w:rsidR="00BF2155">
              <w:rPr>
                <w:rFonts w:asciiTheme="minorHAnsi" w:eastAsiaTheme="minorEastAsia" w:hAnsiTheme="minorHAnsi" w:cstheme="minorBidi"/>
                <w:noProof/>
                <w:sz w:val="22"/>
                <w:lang w:val="en-ZA" w:eastAsia="en-ZA"/>
              </w:rPr>
              <w:tab/>
            </w:r>
            <w:r w:rsidR="00BF2155" w:rsidRPr="00AE5F31">
              <w:rPr>
                <w:rStyle w:val="Hyperlink"/>
                <w:noProof/>
                <w:lang w:val="en-ZA"/>
              </w:rPr>
              <w:t>Methodological Considerations</w:t>
            </w:r>
            <w:r w:rsidR="00BF2155">
              <w:rPr>
                <w:noProof/>
                <w:webHidden/>
              </w:rPr>
              <w:tab/>
            </w:r>
            <w:r w:rsidR="00BF2155">
              <w:rPr>
                <w:noProof/>
                <w:webHidden/>
              </w:rPr>
              <w:fldChar w:fldCharType="begin"/>
            </w:r>
            <w:r w:rsidR="00BF2155">
              <w:rPr>
                <w:noProof/>
                <w:webHidden/>
              </w:rPr>
              <w:instrText xml:space="preserve"> PAGEREF _Toc65253617 \h </w:instrText>
            </w:r>
            <w:r w:rsidR="00BF2155">
              <w:rPr>
                <w:noProof/>
                <w:webHidden/>
              </w:rPr>
            </w:r>
            <w:r w:rsidR="00BF2155">
              <w:rPr>
                <w:noProof/>
                <w:webHidden/>
              </w:rPr>
              <w:fldChar w:fldCharType="separate"/>
            </w:r>
            <w:r w:rsidR="00BF2155">
              <w:rPr>
                <w:noProof/>
                <w:webHidden/>
              </w:rPr>
              <w:t>123</w:t>
            </w:r>
            <w:r w:rsidR="00BF2155">
              <w:rPr>
                <w:noProof/>
                <w:webHidden/>
              </w:rPr>
              <w:fldChar w:fldCharType="end"/>
            </w:r>
          </w:hyperlink>
        </w:p>
        <w:p w14:paraId="11EB7B35" w14:textId="3DBC838F" w:rsidR="00BF2155" w:rsidRDefault="0038137E">
          <w:pPr>
            <w:pStyle w:val="TOC2"/>
            <w:tabs>
              <w:tab w:val="left" w:pos="880"/>
              <w:tab w:val="right" w:leader="dot" w:pos="9017"/>
            </w:tabs>
            <w:rPr>
              <w:rFonts w:asciiTheme="minorHAnsi" w:eastAsiaTheme="minorEastAsia" w:hAnsiTheme="minorHAnsi" w:cstheme="minorBidi"/>
              <w:noProof/>
              <w:sz w:val="22"/>
              <w:lang w:val="en-ZA" w:eastAsia="en-ZA"/>
            </w:rPr>
          </w:pPr>
          <w:hyperlink w:anchor="_Toc65253618" w:history="1">
            <w:r w:rsidR="00BF2155" w:rsidRPr="00AE5F31">
              <w:rPr>
                <w:rStyle w:val="Hyperlink"/>
                <w:noProof/>
              </w:rPr>
              <w:t>5.2</w:t>
            </w:r>
            <w:r w:rsidR="00BF2155">
              <w:rPr>
                <w:rFonts w:asciiTheme="minorHAnsi" w:eastAsiaTheme="minorEastAsia" w:hAnsiTheme="minorHAnsi" w:cstheme="minorBidi"/>
                <w:noProof/>
                <w:sz w:val="22"/>
                <w:lang w:val="en-ZA" w:eastAsia="en-ZA"/>
              </w:rPr>
              <w:tab/>
            </w:r>
            <w:r w:rsidR="00BF2155" w:rsidRPr="00AE5F31">
              <w:rPr>
                <w:rStyle w:val="Hyperlink"/>
                <w:noProof/>
              </w:rPr>
              <w:t xml:space="preserve">Scientific explanation of the major research findings with the use of models (i.e. theses), regarding the </w:t>
            </w:r>
            <w:r w:rsidR="00BF2155" w:rsidRPr="00AE5F31">
              <w:rPr>
                <w:rStyle w:val="Hyperlink"/>
                <w:noProof/>
                <w:lang w:val="en-ZA"/>
              </w:rPr>
              <w:t>potential of food-to-food fortification to improve essential mineral bioaccessibility in African-type wholegrain cereal-based porridges</w:t>
            </w:r>
            <w:r w:rsidR="00BF2155">
              <w:rPr>
                <w:noProof/>
                <w:webHidden/>
              </w:rPr>
              <w:tab/>
            </w:r>
            <w:r w:rsidR="00BF2155">
              <w:rPr>
                <w:noProof/>
                <w:webHidden/>
              </w:rPr>
              <w:fldChar w:fldCharType="begin"/>
            </w:r>
            <w:r w:rsidR="00BF2155">
              <w:rPr>
                <w:noProof/>
                <w:webHidden/>
              </w:rPr>
              <w:instrText xml:space="preserve"> PAGEREF _Toc65253618 \h </w:instrText>
            </w:r>
            <w:r w:rsidR="00BF2155">
              <w:rPr>
                <w:noProof/>
                <w:webHidden/>
              </w:rPr>
            </w:r>
            <w:r w:rsidR="00BF2155">
              <w:rPr>
                <w:noProof/>
                <w:webHidden/>
              </w:rPr>
              <w:fldChar w:fldCharType="separate"/>
            </w:r>
            <w:r w:rsidR="00BF2155">
              <w:rPr>
                <w:noProof/>
                <w:webHidden/>
              </w:rPr>
              <w:t>130</w:t>
            </w:r>
            <w:r w:rsidR="00BF2155">
              <w:rPr>
                <w:noProof/>
                <w:webHidden/>
              </w:rPr>
              <w:fldChar w:fldCharType="end"/>
            </w:r>
          </w:hyperlink>
        </w:p>
        <w:p w14:paraId="11E251EF" w14:textId="3E44D556" w:rsidR="00BF2155" w:rsidRDefault="0038137E">
          <w:pPr>
            <w:pStyle w:val="TOC2"/>
            <w:tabs>
              <w:tab w:val="left" w:pos="880"/>
              <w:tab w:val="right" w:leader="dot" w:pos="9017"/>
            </w:tabs>
            <w:rPr>
              <w:rFonts w:asciiTheme="minorHAnsi" w:eastAsiaTheme="minorEastAsia" w:hAnsiTheme="minorHAnsi" w:cstheme="minorBidi"/>
              <w:noProof/>
              <w:sz w:val="22"/>
              <w:lang w:val="en-ZA" w:eastAsia="en-ZA"/>
            </w:rPr>
          </w:pPr>
          <w:hyperlink w:anchor="_Toc65253619" w:history="1">
            <w:r w:rsidR="00BF2155" w:rsidRPr="00AE5F31">
              <w:rPr>
                <w:rStyle w:val="Hyperlink"/>
                <w:noProof/>
              </w:rPr>
              <w:t>5.3</w:t>
            </w:r>
            <w:r w:rsidR="00BF2155">
              <w:rPr>
                <w:rFonts w:asciiTheme="minorHAnsi" w:eastAsiaTheme="minorEastAsia" w:hAnsiTheme="minorHAnsi" w:cstheme="minorBidi"/>
                <w:noProof/>
                <w:sz w:val="22"/>
                <w:lang w:val="en-ZA" w:eastAsia="en-ZA"/>
              </w:rPr>
              <w:tab/>
            </w:r>
            <w:r w:rsidR="00BF2155" w:rsidRPr="00AE5F31">
              <w:rPr>
                <w:rStyle w:val="Hyperlink"/>
                <w:noProof/>
              </w:rPr>
              <w:t>Future Research</w:t>
            </w:r>
            <w:r w:rsidR="00BF2155">
              <w:rPr>
                <w:noProof/>
                <w:webHidden/>
              </w:rPr>
              <w:tab/>
            </w:r>
            <w:r w:rsidR="00BF2155">
              <w:rPr>
                <w:noProof/>
                <w:webHidden/>
              </w:rPr>
              <w:fldChar w:fldCharType="begin"/>
            </w:r>
            <w:r w:rsidR="00BF2155">
              <w:rPr>
                <w:noProof/>
                <w:webHidden/>
              </w:rPr>
              <w:instrText xml:space="preserve"> PAGEREF _Toc65253619 \h </w:instrText>
            </w:r>
            <w:r w:rsidR="00BF2155">
              <w:rPr>
                <w:noProof/>
                <w:webHidden/>
              </w:rPr>
            </w:r>
            <w:r w:rsidR="00BF2155">
              <w:rPr>
                <w:noProof/>
                <w:webHidden/>
              </w:rPr>
              <w:fldChar w:fldCharType="separate"/>
            </w:r>
            <w:r w:rsidR="00BF2155">
              <w:rPr>
                <w:noProof/>
                <w:webHidden/>
              </w:rPr>
              <w:t>137</w:t>
            </w:r>
            <w:r w:rsidR="00BF2155">
              <w:rPr>
                <w:noProof/>
                <w:webHidden/>
              </w:rPr>
              <w:fldChar w:fldCharType="end"/>
            </w:r>
          </w:hyperlink>
        </w:p>
        <w:p w14:paraId="326E01B6" w14:textId="1CDA9150" w:rsidR="00BF2155" w:rsidRDefault="0038137E">
          <w:pPr>
            <w:pStyle w:val="TOC1"/>
            <w:tabs>
              <w:tab w:val="left" w:pos="480"/>
              <w:tab w:val="right" w:leader="dot" w:pos="9017"/>
            </w:tabs>
            <w:rPr>
              <w:rFonts w:asciiTheme="minorHAnsi" w:eastAsiaTheme="minorEastAsia" w:hAnsiTheme="minorHAnsi" w:cstheme="minorBidi"/>
              <w:noProof/>
              <w:sz w:val="22"/>
              <w:lang w:val="en-ZA" w:eastAsia="en-ZA"/>
            </w:rPr>
          </w:pPr>
          <w:hyperlink w:anchor="_Toc65253620" w:history="1">
            <w:r w:rsidR="00BF2155" w:rsidRPr="00AE5F31">
              <w:rPr>
                <w:rStyle w:val="Hyperlink"/>
                <w:noProof/>
                <w:lang w:val="en-ZA"/>
              </w:rPr>
              <w:t>6.</w:t>
            </w:r>
            <w:r w:rsidR="00BF2155">
              <w:rPr>
                <w:rFonts w:asciiTheme="minorHAnsi" w:eastAsiaTheme="minorEastAsia" w:hAnsiTheme="minorHAnsi" w:cstheme="minorBidi"/>
                <w:noProof/>
                <w:sz w:val="22"/>
                <w:lang w:val="en-ZA" w:eastAsia="en-ZA"/>
              </w:rPr>
              <w:tab/>
            </w:r>
            <w:r w:rsidR="00BF2155" w:rsidRPr="00AE5F31">
              <w:rPr>
                <w:rStyle w:val="Hyperlink"/>
                <w:noProof/>
                <w:lang w:val="en-ZA"/>
              </w:rPr>
              <w:t>CONCLUSIONS AND RECOMMENDATIONS</w:t>
            </w:r>
            <w:r w:rsidR="00BF2155">
              <w:rPr>
                <w:noProof/>
                <w:webHidden/>
              </w:rPr>
              <w:tab/>
            </w:r>
            <w:r w:rsidR="00BF2155">
              <w:rPr>
                <w:noProof/>
                <w:webHidden/>
              </w:rPr>
              <w:fldChar w:fldCharType="begin"/>
            </w:r>
            <w:r w:rsidR="00BF2155">
              <w:rPr>
                <w:noProof/>
                <w:webHidden/>
              </w:rPr>
              <w:instrText xml:space="preserve"> PAGEREF _Toc65253620 \h </w:instrText>
            </w:r>
            <w:r w:rsidR="00BF2155">
              <w:rPr>
                <w:noProof/>
                <w:webHidden/>
              </w:rPr>
            </w:r>
            <w:r w:rsidR="00BF2155">
              <w:rPr>
                <w:noProof/>
                <w:webHidden/>
              </w:rPr>
              <w:fldChar w:fldCharType="separate"/>
            </w:r>
            <w:r w:rsidR="00BF2155">
              <w:rPr>
                <w:noProof/>
                <w:webHidden/>
              </w:rPr>
              <w:t>140</w:t>
            </w:r>
            <w:r w:rsidR="00BF2155">
              <w:rPr>
                <w:noProof/>
                <w:webHidden/>
              </w:rPr>
              <w:fldChar w:fldCharType="end"/>
            </w:r>
          </w:hyperlink>
        </w:p>
        <w:p w14:paraId="41446C53" w14:textId="48FDD61F" w:rsidR="00BF2155" w:rsidRDefault="0038137E">
          <w:pPr>
            <w:pStyle w:val="TOC1"/>
            <w:tabs>
              <w:tab w:val="left" w:pos="480"/>
              <w:tab w:val="right" w:leader="dot" w:pos="9017"/>
            </w:tabs>
            <w:rPr>
              <w:rFonts w:asciiTheme="minorHAnsi" w:eastAsiaTheme="minorEastAsia" w:hAnsiTheme="minorHAnsi" w:cstheme="minorBidi"/>
              <w:noProof/>
              <w:sz w:val="22"/>
              <w:lang w:val="en-ZA" w:eastAsia="en-ZA"/>
            </w:rPr>
          </w:pPr>
          <w:hyperlink w:anchor="_Toc65253621" w:history="1">
            <w:r w:rsidR="00BF2155" w:rsidRPr="00AE5F31">
              <w:rPr>
                <w:rStyle w:val="Hyperlink"/>
                <w:noProof/>
              </w:rPr>
              <w:t>7.</w:t>
            </w:r>
            <w:r w:rsidR="00BF2155">
              <w:rPr>
                <w:rFonts w:asciiTheme="minorHAnsi" w:eastAsiaTheme="minorEastAsia" w:hAnsiTheme="minorHAnsi" w:cstheme="minorBidi"/>
                <w:noProof/>
                <w:sz w:val="22"/>
                <w:lang w:val="en-ZA" w:eastAsia="en-ZA"/>
              </w:rPr>
              <w:tab/>
            </w:r>
            <w:r w:rsidR="00BF2155" w:rsidRPr="00AE5F31">
              <w:rPr>
                <w:rStyle w:val="Hyperlink"/>
                <w:noProof/>
              </w:rPr>
              <w:t>REFERENCES</w:t>
            </w:r>
            <w:r w:rsidR="00BF2155">
              <w:rPr>
                <w:noProof/>
                <w:webHidden/>
              </w:rPr>
              <w:tab/>
            </w:r>
            <w:r w:rsidR="00BF2155">
              <w:rPr>
                <w:noProof/>
                <w:webHidden/>
              </w:rPr>
              <w:fldChar w:fldCharType="begin"/>
            </w:r>
            <w:r w:rsidR="00BF2155">
              <w:rPr>
                <w:noProof/>
                <w:webHidden/>
              </w:rPr>
              <w:instrText xml:space="preserve"> PAGEREF _Toc65253621 \h </w:instrText>
            </w:r>
            <w:r w:rsidR="00BF2155">
              <w:rPr>
                <w:noProof/>
                <w:webHidden/>
              </w:rPr>
            </w:r>
            <w:r w:rsidR="00BF2155">
              <w:rPr>
                <w:noProof/>
                <w:webHidden/>
              </w:rPr>
              <w:fldChar w:fldCharType="separate"/>
            </w:r>
            <w:r w:rsidR="00BF2155">
              <w:rPr>
                <w:noProof/>
                <w:webHidden/>
              </w:rPr>
              <w:t>142</w:t>
            </w:r>
            <w:r w:rsidR="00BF2155">
              <w:rPr>
                <w:noProof/>
                <w:webHidden/>
              </w:rPr>
              <w:fldChar w:fldCharType="end"/>
            </w:r>
          </w:hyperlink>
        </w:p>
        <w:p w14:paraId="78FC7162" w14:textId="3EBA58E9" w:rsidR="00BF2155" w:rsidRDefault="0038137E">
          <w:pPr>
            <w:pStyle w:val="TOC1"/>
            <w:tabs>
              <w:tab w:val="left" w:pos="480"/>
              <w:tab w:val="right" w:leader="dot" w:pos="9017"/>
            </w:tabs>
            <w:rPr>
              <w:rFonts w:asciiTheme="minorHAnsi" w:eastAsiaTheme="minorEastAsia" w:hAnsiTheme="minorHAnsi" w:cstheme="minorBidi"/>
              <w:noProof/>
              <w:sz w:val="22"/>
              <w:lang w:val="en-ZA" w:eastAsia="en-ZA"/>
            </w:rPr>
          </w:pPr>
          <w:hyperlink w:anchor="_Toc65253622" w:history="1">
            <w:r w:rsidR="00BF2155" w:rsidRPr="00AE5F31">
              <w:rPr>
                <w:rStyle w:val="Hyperlink"/>
                <w:noProof/>
              </w:rPr>
              <w:t>8.</w:t>
            </w:r>
            <w:r w:rsidR="00BF2155">
              <w:rPr>
                <w:rFonts w:asciiTheme="minorHAnsi" w:eastAsiaTheme="minorEastAsia" w:hAnsiTheme="minorHAnsi" w:cstheme="minorBidi"/>
                <w:noProof/>
                <w:sz w:val="22"/>
                <w:lang w:val="en-ZA" w:eastAsia="en-ZA"/>
              </w:rPr>
              <w:tab/>
            </w:r>
            <w:r w:rsidR="00BF2155" w:rsidRPr="00AE5F31">
              <w:rPr>
                <w:rStyle w:val="Hyperlink"/>
                <w:noProof/>
              </w:rPr>
              <w:t>APPENDIX</w:t>
            </w:r>
            <w:r w:rsidR="00BF2155">
              <w:rPr>
                <w:noProof/>
                <w:webHidden/>
              </w:rPr>
              <w:tab/>
            </w:r>
            <w:r w:rsidR="00BF2155">
              <w:rPr>
                <w:noProof/>
                <w:webHidden/>
              </w:rPr>
              <w:fldChar w:fldCharType="begin"/>
            </w:r>
            <w:r w:rsidR="00BF2155">
              <w:rPr>
                <w:noProof/>
                <w:webHidden/>
              </w:rPr>
              <w:instrText xml:space="preserve"> PAGEREF _Toc65253622 \h </w:instrText>
            </w:r>
            <w:r w:rsidR="00BF2155">
              <w:rPr>
                <w:noProof/>
                <w:webHidden/>
              </w:rPr>
            </w:r>
            <w:r w:rsidR="00BF2155">
              <w:rPr>
                <w:noProof/>
                <w:webHidden/>
              </w:rPr>
              <w:fldChar w:fldCharType="separate"/>
            </w:r>
            <w:r w:rsidR="00BF2155">
              <w:rPr>
                <w:noProof/>
                <w:webHidden/>
              </w:rPr>
              <w:t>162</w:t>
            </w:r>
            <w:r w:rsidR="00BF2155">
              <w:rPr>
                <w:noProof/>
                <w:webHidden/>
              </w:rPr>
              <w:fldChar w:fldCharType="end"/>
            </w:r>
          </w:hyperlink>
        </w:p>
        <w:p w14:paraId="70EF7411" w14:textId="0796B683" w:rsidR="00E96EEB" w:rsidRDefault="00235B5D">
          <w:r>
            <w:fldChar w:fldCharType="end"/>
          </w:r>
        </w:p>
      </w:sdtContent>
    </w:sdt>
    <w:p w14:paraId="6D5FF06E" w14:textId="77777777" w:rsidR="003E5D7C" w:rsidRDefault="003E5D7C" w:rsidP="003E5D7C"/>
    <w:p w14:paraId="15846952" w14:textId="77777777" w:rsidR="00B774A1" w:rsidRPr="00B774A1" w:rsidRDefault="00B774A1" w:rsidP="00B774A1"/>
    <w:p w14:paraId="20509E65" w14:textId="77777777" w:rsidR="00B774A1" w:rsidRDefault="00B774A1" w:rsidP="00B774A1"/>
    <w:p w14:paraId="24FD1E2B" w14:textId="332607C2" w:rsidR="00B774A1" w:rsidRPr="00B774A1" w:rsidRDefault="00B774A1" w:rsidP="00B774A1">
      <w:pPr>
        <w:tabs>
          <w:tab w:val="left" w:pos="825"/>
        </w:tabs>
        <w:sectPr w:rsidR="00B774A1" w:rsidRPr="00B774A1" w:rsidSect="001D66A6">
          <w:headerReference w:type="default" r:id="rId11"/>
          <w:pgSz w:w="11907" w:h="16839" w:code="9"/>
          <w:pgMar w:top="1440" w:right="1440" w:bottom="1440" w:left="1440" w:header="720" w:footer="720" w:gutter="0"/>
          <w:pgNumType w:fmt="lowerRoman" w:start="2"/>
          <w:cols w:space="720"/>
          <w:docGrid w:linePitch="360"/>
        </w:sectPr>
      </w:pPr>
      <w:r>
        <w:tab/>
      </w:r>
    </w:p>
    <w:p w14:paraId="5B5A2F7C" w14:textId="6ECE6723" w:rsidR="00B774A1" w:rsidRDefault="002F1B22" w:rsidP="001D66A6">
      <w:pPr>
        <w:pStyle w:val="Heading1"/>
      </w:pPr>
      <w:bookmarkStart w:id="6" w:name="_Toc65253538"/>
      <w:r w:rsidRPr="001D66A6">
        <w:lastRenderedPageBreak/>
        <w:t>LIST OF TABLES</w:t>
      </w:r>
      <w:bookmarkEnd w:id="6"/>
    </w:p>
    <w:p w14:paraId="65A675A1" w14:textId="5DFB31EA" w:rsidR="00BF2155" w:rsidRDefault="00B071FC">
      <w:pPr>
        <w:pStyle w:val="TableofFigures"/>
        <w:tabs>
          <w:tab w:val="right" w:leader="dot" w:pos="9017"/>
        </w:tabs>
        <w:rPr>
          <w:rFonts w:asciiTheme="minorHAnsi" w:eastAsiaTheme="minorEastAsia" w:hAnsiTheme="minorHAnsi" w:cstheme="minorBidi"/>
          <w:noProof/>
          <w:sz w:val="22"/>
          <w:szCs w:val="22"/>
          <w:lang w:val="en-ZA" w:eastAsia="en-ZA"/>
        </w:rPr>
      </w:pPr>
      <w:r w:rsidRPr="001F4CF5">
        <w:rPr>
          <w:rFonts w:cs="Times New Roman"/>
          <w:szCs w:val="24"/>
        </w:rPr>
        <w:fldChar w:fldCharType="begin"/>
      </w:r>
      <w:r w:rsidRPr="001F4CF5">
        <w:rPr>
          <w:rFonts w:cs="Times New Roman"/>
          <w:szCs w:val="24"/>
        </w:rPr>
        <w:instrText xml:space="preserve"> TOC \h \z \t "My Tables" \c </w:instrText>
      </w:r>
      <w:r w:rsidRPr="001F4CF5">
        <w:rPr>
          <w:rFonts w:cs="Times New Roman"/>
          <w:szCs w:val="24"/>
        </w:rPr>
        <w:fldChar w:fldCharType="separate"/>
      </w:r>
      <w:hyperlink w:anchor="_Toc65253623" w:history="1">
        <w:r w:rsidR="00BF2155" w:rsidRPr="002E7F93">
          <w:rPr>
            <w:rStyle w:val="Hyperlink"/>
            <w:b/>
            <w:bCs/>
            <w:noProof/>
          </w:rPr>
          <w:t>Table 2.1</w:t>
        </w:r>
        <w:r w:rsidR="00BF2155" w:rsidRPr="002E7F93">
          <w:rPr>
            <w:rStyle w:val="Hyperlink"/>
            <w:noProof/>
          </w:rPr>
          <w:t>: Haemoglobin levels to diagnose anaemia in children and women (g/L of blood)</w:t>
        </w:r>
        <w:r w:rsidR="00BF2155">
          <w:rPr>
            <w:noProof/>
            <w:webHidden/>
          </w:rPr>
          <w:tab/>
        </w:r>
        <w:r w:rsidR="00BF2155">
          <w:rPr>
            <w:noProof/>
            <w:webHidden/>
          </w:rPr>
          <w:fldChar w:fldCharType="begin"/>
        </w:r>
        <w:r w:rsidR="00BF2155">
          <w:rPr>
            <w:noProof/>
            <w:webHidden/>
          </w:rPr>
          <w:instrText xml:space="preserve"> PAGEREF _Toc65253623 \h </w:instrText>
        </w:r>
        <w:r w:rsidR="00BF2155">
          <w:rPr>
            <w:noProof/>
            <w:webHidden/>
          </w:rPr>
        </w:r>
        <w:r w:rsidR="00BF2155">
          <w:rPr>
            <w:noProof/>
            <w:webHidden/>
          </w:rPr>
          <w:fldChar w:fldCharType="separate"/>
        </w:r>
        <w:r w:rsidR="00BF2155">
          <w:rPr>
            <w:noProof/>
            <w:webHidden/>
          </w:rPr>
          <w:t>6</w:t>
        </w:r>
        <w:r w:rsidR="00BF2155">
          <w:rPr>
            <w:noProof/>
            <w:webHidden/>
          </w:rPr>
          <w:fldChar w:fldCharType="end"/>
        </w:r>
      </w:hyperlink>
    </w:p>
    <w:p w14:paraId="3DFBA00B" w14:textId="781B041D"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24" w:history="1">
        <w:r w:rsidR="00BF2155" w:rsidRPr="002E7F93">
          <w:rPr>
            <w:rStyle w:val="Hyperlink"/>
            <w:b/>
            <w:bCs/>
            <w:noProof/>
          </w:rPr>
          <w:t>Table 2.2</w:t>
        </w:r>
        <w:r w:rsidR="00BF2155" w:rsidRPr="002E7F93">
          <w:rPr>
            <w:rStyle w:val="Hyperlink"/>
            <w:noProof/>
          </w:rPr>
          <w:t>: Recommended requirements (mg/day) of iron, zinc, calcium and magnesium for children and women of reproductive age</w:t>
        </w:r>
        <w:r w:rsidR="00BF2155">
          <w:rPr>
            <w:noProof/>
            <w:webHidden/>
          </w:rPr>
          <w:tab/>
        </w:r>
        <w:r w:rsidR="00BF2155">
          <w:rPr>
            <w:noProof/>
            <w:webHidden/>
          </w:rPr>
          <w:fldChar w:fldCharType="begin"/>
        </w:r>
        <w:r w:rsidR="00BF2155">
          <w:rPr>
            <w:noProof/>
            <w:webHidden/>
          </w:rPr>
          <w:instrText xml:space="preserve"> PAGEREF _Toc65253624 \h </w:instrText>
        </w:r>
        <w:r w:rsidR="00BF2155">
          <w:rPr>
            <w:noProof/>
            <w:webHidden/>
          </w:rPr>
        </w:r>
        <w:r w:rsidR="00BF2155">
          <w:rPr>
            <w:noProof/>
            <w:webHidden/>
          </w:rPr>
          <w:fldChar w:fldCharType="separate"/>
        </w:r>
        <w:r w:rsidR="00BF2155">
          <w:rPr>
            <w:noProof/>
            <w:webHidden/>
          </w:rPr>
          <w:t>13</w:t>
        </w:r>
        <w:r w:rsidR="00BF2155">
          <w:rPr>
            <w:noProof/>
            <w:webHidden/>
          </w:rPr>
          <w:fldChar w:fldCharType="end"/>
        </w:r>
      </w:hyperlink>
    </w:p>
    <w:p w14:paraId="793797D1" w14:textId="37D41DB9"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25" w:history="1">
        <w:r w:rsidR="00BF2155" w:rsidRPr="002E7F93">
          <w:rPr>
            <w:rStyle w:val="Hyperlink"/>
            <w:b/>
            <w:bCs/>
            <w:noProof/>
          </w:rPr>
          <w:t>Table 2.3</w:t>
        </w:r>
        <w:r w:rsidR="00BF2155" w:rsidRPr="002E7F93">
          <w:rPr>
            <w:rStyle w:val="Hyperlink"/>
            <w:noProof/>
          </w:rPr>
          <w:t>: Iron content, relative bioavailability and cost of some commonly used iron compounds for food fortification (WHO &amp; FAO, 2006)</w:t>
        </w:r>
        <w:r w:rsidR="00BF2155">
          <w:rPr>
            <w:noProof/>
            <w:webHidden/>
          </w:rPr>
          <w:tab/>
        </w:r>
        <w:r w:rsidR="00BF2155">
          <w:rPr>
            <w:noProof/>
            <w:webHidden/>
          </w:rPr>
          <w:fldChar w:fldCharType="begin"/>
        </w:r>
        <w:r w:rsidR="00BF2155">
          <w:rPr>
            <w:noProof/>
            <w:webHidden/>
          </w:rPr>
          <w:instrText xml:space="preserve"> PAGEREF _Toc65253625 \h </w:instrText>
        </w:r>
        <w:r w:rsidR="00BF2155">
          <w:rPr>
            <w:noProof/>
            <w:webHidden/>
          </w:rPr>
        </w:r>
        <w:r w:rsidR="00BF2155">
          <w:rPr>
            <w:noProof/>
            <w:webHidden/>
          </w:rPr>
          <w:fldChar w:fldCharType="separate"/>
        </w:r>
        <w:r w:rsidR="00BF2155">
          <w:rPr>
            <w:noProof/>
            <w:webHidden/>
          </w:rPr>
          <w:t>18</w:t>
        </w:r>
        <w:r w:rsidR="00BF2155">
          <w:rPr>
            <w:noProof/>
            <w:webHidden/>
          </w:rPr>
          <w:fldChar w:fldCharType="end"/>
        </w:r>
      </w:hyperlink>
    </w:p>
    <w:p w14:paraId="64C81440" w14:textId="30340840"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26" w:history="1">
        <w:r w:rsidR="00BF2155" w:rsidRPr="002E7F93">
          <w:rPr>
            <w:rStyle w:val="Hyperlink"/>
            <w:b/>
            <w:bCs/>
            <w:noProof/>
          </w:rPr>
          <w:t>Table 2.4:</w:t>
        </w:r>
        <w:r w:rsidR="00BF2155" w:rsidRPr="002E7F93">
          <w:rPr>
            <w:rStyle w:val="Hyperlink"/>
            <w:noProof/>
          </w:rPr>
          <w:t xml:space="preserve"> Essential mineral contents (mg/100 g; dry basis) of commonly consumed cereals (wholegrain form) in Africa and their percentage contribution to the recommended nutrient intake (RNI) for iron and zinc for school children (aged 4-6 and 7-10 years) and women of reproductive age (19–50 years) considering the bioavailability of these minerals in a plant food-based diet</w:t>
        </w:r>
        <w:r w:rsidR="00BF2155" w:rsidRPr="002E7F93">
          <w:rPr>
            <w:rStyle w:val="Hyperlink"/>
            <w:noProof/>
            <w:vertAlign w:val="superscript"/>
          </w:rPr>
          <w:t>*</w:t>
        </w:r>
        <w:r w:rsidR="00BF2155">
          <w:rPr>
            <w:noProof/>
            <w:webHidden/>
          </w:rPr>
          <w:tab/>
        </w:r>
        <w:r w:rsidR="00BF2155">
          <w:rPr>
            <w:noProof/>
            <w:webHidden/>
          </w:rPr>
          <w:fldChar w:fldCharType="begin"/>
        </w:r>
        <w:r w:rsidR="00BF2155">
          <w:rPr>
            <w:noProof/>
            <w:webHidden/>
          </w:rPr>
          <w:instrText xml:space="preserve"> PAGEREF _Toc65253626 \h </w:instrText>
        </w:r>
        <w:r w:rsidR="00BF2155">
          <w:rPr>
            <w:noProof/>
            <w:webHidden/>
          </w:rPr>
        </w:r>
        <w:r w:rsidR="00BF2155">
          <w:rPr>
            <w:noProof/>
            <w:webHidden/>
          </w:rPr>
          <w:fldChar w:fldCharType="separate"/>
        </w:r>
        <w:r w:rsidR="00BF2155">
          <w:rPr>
            <w:noProof/>
            <w:webHidden/>
          </w:rPr>
          <w:t>29</w:t>
        </w:r>
        <w:r w:rsidR="00BF2155">
          <w:rPr>
            <w:noProof/>
            <w:webHidden/>
          </w:rPr>
          <w:fldChar w:fldCharType="end"/>
        </w:r>
      </w:hyperlink>
    </w:p>
    <w:p w14:paraId="6ABDC7AB" w14:textId="7133B474"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27" w:history="1">
        <w:r w:rsidR="00BF2155" w:rsidRPr="002E7F93">
          <w:rPr>
            <w:rStyle w:val="Hyperlink"/>
            <w:b/>
            <w:bCs/>
            <w:noProof/>
          </w:rPr>
          <w:t>Table 2.5</w:t>
        </w:r>
        <w:r w:rsidR="00BF2155" w:rsidRPr="002E7F93">
          <w:rPr>
            <w:rStyle w:val="Hyperlink"/>
            <w:noProof/>
          </w:rPr>
          <w:t>: Ascorbic acid, citric acid and β-carotene contents (mg/100 g; dry basis) of plant foodstuffs commonly available in Africa</w:t>
        </w:r>
        <w:r w:rsidR="00BF2155">
          <w:rPr>
            <w:noProof/>
            <w:webHidden/>
          </w:rPr>
          <w:tab/>
        </w:r>
        <w:r w:rsidR="00BF2155">
          <w:rPr>
            <w:noProof/>
            <w:webHidden/>
          </w:rPr>
          <w:fldChar w:fldCharType="begin"/>
        </w:r>
        <w:r w:rsidR="00BF2155">
          <w:rPr>
            <w:noProof/>
            <w:webHidden/>
          </w:rPr>
          <w:instrText xml:space="preserve"> PAGEREF _Toc65253627 \h </w:instrText>
        </w:r>
        <w:r w:rsidR="00BF2155">
          <w:rPr>
            <w:noProof/>
            <w:webHidden/>
          </w:rPr>
        </w:r>
        <w:r w:rsidR="00BF2155">
          <w:rPr>
            <w:noProof/>
            <w:webHidden/>
          </w:rPr>
          <w:fldChar w:fldCharType="separate"/>
        </w:r>
        <w:r w:rsidR="00BF2155">
          <w:rPr>
            <w:noProof/>
            <w:webHidden/>
          </w:rPr>
          <w:t>37</w:t>
        </w:r>
        <w:r w:rsidR="00BF2155">
          <w:rPr>
            <w:noProof/>
            <w:webHidden/>
          </w:rPr>
          <w:fldChar w:fldCharType="end"/>
        </w:r>
      </w:hyperlink>
    </w:p>
    <w:p w14:paraId="0DA1E4F5" w14:textId="64AC7DDA"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28" w:history="1">
        <w:r w:rsidR="00BF2155" w:rsidRPr="002E7F93">
          <w:rPr>
            <w:rStyle w:val="Hyperlink"/>
            <w:b/>
            <w:bCs/>
            <w:noProof/>
          </w:rPr>
          <w:t>Table 2.6</w:t>
        </w:r>
        <w:r w:rsidR="00BF2155" w:rsidRPr="002E7F93">
          <w:rPr>
            <w:rStyle w:val="Hyperlink"/>
            <w:noProof/>
          </w:rPr>
          <w:t>: Essential mineral contents (mg/100 mg; dry basis) of mineral-rich potential plant food fortificants commonly available in Africa</w:t>
        </w:r>
        <w:r w:rsidR="00BF2155">
          <w:rPr>
            <w:noProof/>
            <w:webHidden/>
          </w:rPr>
          <w:tab/>
        </w:r>
        <w:r w:rsidR="00BF2155">
          <w:rPr>
            <w:noProof/>
            <w:webHidden/>
          </w:rPr>
          <w:fldChar w:fldCharType="begin"/>
        </w:r>
        <w:r w:rsidR="00BF2155">
          <w:rPr>
            <w:noProof/>
            <w:webHidden/>
          </w:rPr>
          <w:instrText xml:space="preserve"> PAGEREF _Toc65253628 \h </w:instrText>
        </w:r>
        <w:r w:rsidR="00BF2155">
          <w:rPr>
            <w:noProof/>
            <w:webHidden/>
          </w:rPr>
        </w:r>
        <w:r w:rsidR="00BF2155">
          <w:rPr>
            <w:noProof/>
            <w:webHidden/>
          </w:rPr>
          <w:fldChar w:fldCharType="separate"/>
        </w:r>
        <w:r w:rsidR="00BF2155">
          <w:rPr>
            <w:noProof/>
            <w:webHidden/>
          </w:rPr>
          <w:t>39</w:t>
        </w:r>
        <w:r w:rsidR="00BF2155">
          <w:rPr>
            <w:noProof/>
            <w:webHidden/>
          </w:rPr>
          <w:fldChar w:fldCharType="end"/>
        </w:r>
      </w:hyperlink>
    </w:p>
    <w:p w14:paraId="16D94BD2" w14:textId="7A744407"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29" w:history="1">
        <w:r w:rsidR="00BF2155" w:rsidRPr="002E7F93">
          <w:rPr>
            <w:rStyle w:val="Hyperlink"/>
            <w:b/>
            <w:noProof/>
          </w:rPr>
          <w:t xml:space="preserve">Table 4.1.1: </w:t>
        </w:r>
        <w:r w:rsidR="00BF2155" w:rsidRPr="002E7F93">
          <w:rPr>
            <w:rStyle w:val="Hyperlink"/>
            <w:noProof/>
          </w:rPr>
          <w:t>Mineral contents (mg/100 g dry basis) of pearl millet porridge, baobab fruit powder, moringa leaf powder and the food-to-food fortified porridges, and their estimated percentage nutrient contribution of an average porridge portion size (100 g dry weight basis) to the daily Recommended Nutrient Intake (RNI) for women of reproductive age</w:t>
        </w:r>
        <w:r w:rsidR="00BF2155">
          <w:rPr>
            <w:noProof/>
            <w:webHidden/>
          </w:rPr>
          <w:tab/>
        </w:r>
        <w:r w:rsidR="00BF2155">
          <w:rPr>
            <w:noProof/>
            <w:webHidden/>
          </w:rPr>
          <w:fldChar w:fldCharType="begin"/>
        </w:r>
        <w:r w:rsidR="00BF2155">
          <w:rPr>
            <w:noProof/>
            <w:webHidden/>
          </w:rPr>
          <w:instrText xml:space="preserve"> PAGEREF _Toc65253629 \h </w:instrText>
        </w:r>
        <w:r w:rsidR="00BF2155">
          <w:rPr>
            <w:noProof/>
            <w:webHidden/>
          </w:rPr>
        </w:r>
        <w:r w:rsidR="00BF2155">
          <w:rPr>
            <w:noProof/>
            <w:webHidden/>
          </w:rPr>
          <w:fldChar w:fldCharType="separate"/>
        </w:r>
        <w:r w:rsidR="00BF2155">
          <w:rPr>
            <w:noProof/>
            <w:webHidden/>
          </w:rPr>
          <w:t>55</w:t>
        </w:r>
        <w:r w:rsidR="00BF2155">
          <w:rPr>
            <w:noProof/>
            <w:webHidden/>
          </w:rPr>
          <w:fldChar w:fldCharType="end"/>
        </w:r>
      </w:hyperlink>
    </w:p>
    <w:p w14:paraId="293E6F56" w14:textId="0D295673"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30" w:history="1">
        <w:r w:rsidR="00BF2155" w:rsidRPr="002E7F93">
          <w:rPr>
            <w:rStyle w:val="Hyperlink"/>
            <w:rFonts w:cs="Times New Roman"/>
            <w:b/>
            <w:noProof/>
          </w:rPr>
          <w:t xml:space="preserve">Table 4.1.2: </w:t>
        </w:r>
        <w:r w:rsidR="00BF2155" w:rsidRPr="002E7F93">
          <w:rPr>
            <w:rStyle w:val="Hyperlink"/>
            <w:rFonts w:cs="Times New Roman"/>
            <w:noProof/>
          </w:rPr>
          <w:t xml:space="preserve">Total phenolic, tannin and phytate contents of pearl millet porridge, </w:t>
        </w:r>
        <w:r w:rsidR="00BF2155" w:rsidRPr="002E7F93">
          <w:rPr>
            <w:rStyle w:val="Hyperlink"/>
            <w:noProof/>
          </w:rPr>
          <w:t>baobab fruit powder and moringa leaf powder (mg/100 g dry basis), and their phytate:iron molar ratios</w:t>
        </w:r>
        <w:r w:rsidR="00BF2155">
          <w:rPr>
            <w:noProof/>
            <w:webHidden/>
          </w:rPr>
          <w:tab/>
        </w:r>
        <w:r w:rsidR="00BF2155">
          <w:rPr>
            <w:noProof/>
            <w:webHidden/>
          </w:rPr>
          <w:fldChar w:fldCharType="begin"/>
        </w:r>
        <w:r w:rsidR="00BF2155">
          <w:rPr>
            <w:noProof/>
            <w:webHidden/>
          </w:rPr>
          <w:instrText xml:space="preserve"> PAGEREF _Toc65253630 \h </w:instrText>
        </w:r>
        <w:r w:rsidR="00BF2155">
          <w:rPr>
            <w:noProof/>
            <w:webHidden/>
          </w:rPr>
        </w:r>
        <w:r w:rsidR="00BF2155">
          <w:rPr>
            <w:noProof/>
            <w:webHidden/>
          </w:rPr>
          <w:fldChar w:fldCharType="separate"/>
        </w:r>
        <w:r w:rsidR="00BF2155">
          <w:rPr>
            <w:noProof/>
            <w:webHidden/>
          </w:rPr>
          <w:t>56</w:t>
        </w:r>
        <w:r w:rsidR="00BF2155">
          <w:rPr>
            <w:noProof/>
            <w:webHidden/>
          </w:rPr>
          <w:fldChar w:fldCharType="end"/>
        </w:r>
      </w:hyperlink>
    </w:p>
    <w:p w14:paraId="5B420AFC" w14:textId="27ABF619"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31" w:history="1">
        <w:r w:rsidR="00BF2155" w:rsidRPr="002E7F93">
          <w:rPr>
            <w:rStyle w:val="Hyperlink"/>
            <w:b/>
            <w:noProof/>
          </w:rPr>
          <w:t xml:space="preserve">Table 4.1.3: </w:t>
        </w:r>
        <w:r w:rsidR="00BF2155" w:rsidRPr="002E7F93">
          <w:rPr>
            <w:rStyle w:val="Hyperlink"/>
            <w:noProof/>
          </w:rPr>
          <w:t>Organic acid contents (mg/100 g dry basis) of pearl millet porridge, baobab fruit powder and moringa leaf powder and the food-to-food fortified porridges, plus organic acid:iron molar ratios</w:t>
        </w:r>
        <w:r w:rsidR="00BF2155">
          <w:rPr>
            <w:noProof/>
            <w:webHidden/>
          </w:rPr>
          <w:tab/>
        </w:r>
        <w:r w:rsidR="00BF2155">
          <w:rPr>
            <w:noProof/>
            <w:webHidden/>
          </w:rPr>
          <w:fldChar w:fldCharType="begin"/>
        </w:r>
        <w:r w:rsidR="00BF2155">
          <w:rPr>
            <w:noProof/>
            <w:webHidden/>
          </w:rPr>
          <w:instrText xml:space="preserve"> PAGEREF _Toc65253631 \h </w:instrText>
        </w:r>
        <w:r w:rsidR="00BF2155">
          <w:rPr>
            <w:noProof/>
            <w:webHidden/>
          </w:rPr>
        </w:r>
        <w:r w:rsidR="00BF2155">
          <w:rPr>
            <w:noProof/>
            <w:webHidden/>
          </w:rPr>
          <w:fldChar w:fldCharType="separate"/>
        </w:r>
        <w:r w:rsidR="00BF2155">
          <w:rPr>
            <w:noProof/>
            <w:webHidden/>
          </w:rPr>
          <w:t>58</w:t>
        </w:r>
        <w:r w:rsidR="00BF2155">
          <w:rPr>
            <w:noProof/>
            <w:webHidden/>
          </w:rPr>
          <w:fldChar w:fldCharType="end"/>
        </w:r>
      </w:hyperlink>
    </w:p>
    <w:p w14:paraId="0FAC5019" w14:textId="08973A19"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32" w:history="1">
        <w:r w:rsidR="00BF2155" w:rsidRPr="002E7F93">
          <w:rPr>
            <w:rStyle w:val="Hyperlink"/>
            <w:b/>
            <w:noProof/>
          </w:rPr>
          <w:t xml:space="preserve">Table 4.1.4: </w:t>
        </w:r>
        <w:r w:rsidR="00BF2155" w:rsidRPr="002E7F93">
          <w:rPr>
            <w:rStyle w:val="Hyperlink"/>
            <w:noProof/>
          </w:rPr>
          <w:t>Effects of fortification with baobab fruit powder and moringa leaf powder alone, and in combination, to pearl millet porridge on percentage and total iron and zinc bioaccessibilities of the porridges</w:t>
        </w:r>
        <w:r w:rsidR="00BF2155">
          <w:rPr>
            <w:noProof/>
            <w:webHidden/>
          </w:rPr>
          <w:tab/>
        </w:r>
        <w:r w:rsidR="00BF2155">
          <w:rPr>
            <w:noProof/>
            <w:webHidden/>
          </w:rPr>
          <w:fldChar w:fldCharType="begin"/>
        </w:r>
        <w:r w:rsidR="00BF2155">
          <w:rPr>
            <w:noProof/>
            <w:webHidden/>
          </w:rPr>
          <w:instrText xml:space="preserve"> PAGEREF _Toc65253632 \h </w:instrText>
        </w:r>
        <w:r w:rsidR="00BF2155">
          <w:rPr>
            <w:noProof/>
            <w:webHidden/>
          </w:rPr>
        </w:r>
        <w:r w:rsidR="00BF2155">
          <w:rPr>
            <w:noProof/>
            <w:webHidden/>
          </w:rPr>
          <w:fldChar w:fldCharType="separate"/>
        </w:r>
        <w:r w:rsidR="00BF2155">
          <w:rPr>
            <w:noProof/>
            <w:webHidden/>
          </w:rPr>
          <w:t>60</w:t>
        </w:r>
        <w:r w:rsidR="00BF2155">
          <w:rPr>
            <w:noProof/>
            <w:webHidden/>
          </w:rPr>
          <w:fldChar w:fldCharType="end"/>
        </w:r>
      </w:hyperlink>
    </w:p>
    <w:p w14:paraId="60898DCC" w14:textId="0C0C14EE"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33" w:history="1">
        <w:r w:rsidR="00BF2155" w:rsidRPr="002E7F93">
          <w:rPr>
            <w:rStyle w:val="Hyperlink"/>
            <w:b/>
            <w:noProof/>
          </w:rPr>
          <w:t xml:space="preserve">Table 4.1.5: </w:t>
        </w:r>
        <w:r w:rsidR="00BF2155" w:rsidRPr="002E7F93">
          <w:rPr>
            <w:rStyle w:val="Hyperlink"/>
            <w:noProof/>
          </w:rPr>
          <w:t>Effects of adding baobab fruit powder and moringa leaf powder alone, and in combination, to pearl millet porridge on percentage and total calcium and magnesium bioaccessibilities</w:t>
        </w:r>
        <w:r w:rsidR="00BF2155">
          <w:rPr>
            <w:noProof/>
            <w:webHidden/>
          </w:rPr>
          <w:tab/>
        </w:r>
        <w:r w:rsidR="00BF2155">
          <w:rPr>
            <w:noProof/>
            <w:webHidden/>
          </w:rPr>
          <w:fldChar w:fldCharType="begin"/>
        </w:r>
        <w:r w:rsidR="00BF2155">
          <w:rPr>
            <w:noProof/>
            <w:webHidden/>
          </w:rPr>
          <w:instrText xml:space="preserve"> PAGEREF _Toc65253633 \h </w:instrText>
        </w:r>
        <w:r w:rsidR="00BF2155">
          <w:rPr>
            <w:noProof/>
            <w:webHidden/>
          </w:rPr>
        </w:r>
        <w:r w:rsidR="00BF2155">
          <w:rPr>
            <w:noProof/>
            <w:webHidden/>
          </w:rPr>
          <w:fldChar w:fldCharType="separate"/>
        </w:r>
        <w:r w:rsidR="00BF2155">
          <w:rPr>
            <w:noProof/>
            <w:webHidden/>
          </w:rPr>
          <w:t>63</w:t>
        </w:r>
        <w:r w:rsidR="00BF2155">
          <w:rPr>
            <w:noProof/>
            <w:webHidden/>
          </w:rPr>
          <w:fldChar w:fldCharType="end"/>
        </w:r>
      </w:hyperlink>
    </w:p>
    <w:p w14:paraId="1811A63A" w14:textId="56864D3D"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34" w:history="1">
        <w:r w:rsidR="00BF2155" w:rsidRPr="002E7F93">
          <w:rPr>
            <w:rStyle w:val="Hyperlink"/>
            <w:b/>
            <w:bCs/>
            <w:noProof/>
          </w:rPr>
          <w:t>Table 4.2.1</w:t>
        </w:r>
        <w:r w:rsidR="00BF2155" w:rsidRPr="002E7F93">
          <w:rPr>
            <w:rStyle w:val="Hyperlink"/>
            <w:noProof/>
          </w:rPr>
          <w:t>: Mineral contents (mg/100 g dry basis) of wholegrain white maize flour, baobab fruit pulp, moringa leaf powder, carrot powder and mango fruit powder and their porridge formulations and their estimated percentage contribution to the daily recommended nutrient intake (RNI) for adult women (19–50 years)</w:t>
        </w:r>
        <w:r w:rsidR="00BF2155">
          <w:rPr>
            <w:noProof/>
            <w:webHidden/>
          </w:rPr>
          <w:tab/>
        </w:r>
        <w:r w:rsidR="00BF2155">
          <w:rPr>
            <w:noProof/>
            <w:webHidden/>
          </w:rPr>
          <w:fldChar w:fldCharType="begin"/>
        </w:r>
        <w:r w:rsidR="00BF2155">
          <w:rPr>
            <w:noProof/>
            <w:webHidden/>
          </w:rPr>
          <w:instrText xml:space="preserve"> PAGEREF _Toc65253634 \h </w:instrText>
        </w:r>
        <w:r w:rsidR="00BF2155">
          <w:rPr>
            <w:noProof/>
            <w:webHidden/>
          </w:rPr>
        </w:r>
        <w:r w:rsidR="00BF2155">
          <w:rPr>
            <w:noProof/>
            <w:webHidden/>
          </w:rPr>
          <w:fldChar w:fldCharType="separate"/>
        </w:r>
        <w:r w:rsidR="00BF2155">
          <w:rPr>
            <w:noProof/>
            <w:webHidden/>
          </w:rPr>
          <w:t>75</w:t>
        </w:r>
        <w:r w:rsidR="00BF2155">
          <w:rPr>
            <w:noProof/>
            <w:webHidden/>
          </w:rPr>
          <w:fldChar w:fldCharType="end"/>
        </w:r>
      </w:hyperlink>
    </w:p>
    <w:p w14:paraId="7822ADBF" w14:textId="68AE57E7"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35" w:history="1">
        <w:r w:rsidR="00BF2155" w:rsidRPr="002E7F93">
          <w:rPr>
            <w:rStyle w:val="Hyperlink"/>
            <w:b/>
            <w:bCs/>
            <w:noProof/>
          </w:rPr>
          <w:t>Table 4.2.2:</w:t>
        </w:r>
        <w:r w:rsidR="00BF2155" w:rsidRPr="002E7F93">
          <w:rPr>
            <w:rStyle w:val="Hyperlink"/>
            <w:noProof/>
          </w:rPr>
          <w:t xml:space="preserve"> Phytate (mg/100 g dry basis), total phenolics and tannin contents (mg CE/100 g dry basis) of wholegrain white maize flour, baobab fruit pulp, moringa leaf powder, carrot powder and mango fruit powder and their porridge formulations and their calculated phytate:mineral molar ratios</w:t>
        </w:r>
        <w:r w:rsidR="00BF2155">
          <w:rPr>
            <w:noProof/>
            <w:webHidden/>
          </w:rPr>
          <w:tab/>
        </w:r>
        <w:r w:rsidR="00BF2155">
          <w:rPr>
            <w:noProof/>
            <w:webHidden/>
          </w:rPr>
          <w:fldChar w:fldCharType="begin"/>
        </w:r>
        <w:r w:rsidR="00BF2155">
          <w:rPr>
            <w:noProof/>
            <w:webHidden/>
          </w:rPr>
          <w:instrText xml:space="preserve"> PAGEREF _Toc65253635 \h </w:instrText>
        </w:r>
        <w:r w:rsidR="00BF2155">
          <w:rPr>
            <w:noProof/>
            <w:webHidden/>
          </w:rPr>
        </w:r>
        <w:r w:rsidR="00BF2155">
          <w:rPr>
            <w:noProof/>
            <w:webHidden/>
          </w:rPr>
          <w:fldChar w:fldCharType="separate"/>
        </w:r>
        <w:r w:rsidR="00BF2155">
          <w:rPr>
            <w:noProof/>
            <w:webHidden/>
          </w:rPr>
          <w:t>78</w:t>
        </w:r>
        <w:r w:rsidR="00BF2155">
          <w:rPr>
            <w:noProof/>
            <w:webHidden/>
          </w:rPr>
          <w:fldChar w:fldCharType="end"/>
        </w:r>
      </w:hyperlink>
    </w:p>
    <w:p w14:paraId="65707ECE" w14:textId="76DDC1C3"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36" w:history="1">
        <w:r w:rsidR="00BF2155" w:rsidRPr="002E7F93">
          <w:rPr>
            <w:rStyle w:val="Hyperlink"/>
            <w:b/>
            <w:bCs/>
            <w:noProof/>
          </w:rPr>
          <w:t>Table 4.2.3:</w:t>
        </w:r>
        <w:r w:rsidR="00BF2155" w:rsidRPr="002E7F93">
          <w:rPr>
            <w:rStyle w:val="Hyperlink"/>
            <w:noProof/>
          </w:rPr>
          <w:t xml:space="preserve"> Organic acid contents (mg/100 g dry basis) of wholegrain white maize flour, baobab fruit pulp, moringa leaf powder, carrot powder and mango fruit powder and their porridge formulations and their calculated ascorbic acid:iron molar ratios</w:t>
        </w:r>
        <w:r w:rsidR="00BF2155">
          <w:rPr>
            <w:noProof/>
            <w:webHidden/>
          </w:rPr>
          <w:tab/>
        </w:r>
        <w:r w:rsidR="00BF2155">
          <w:rPr>
            <w:noProof/>
            <w:webHidden/>
          </w:rPr>
          <w:fldChar w:fldCharType="begin"/>
        </w:r>
        <w:r w:rsidR="00BF2155">
          <w:rPr>
            <w:noProof/>
            <w:webHidden/>
          </w:rPr>
          <w:instrText xml:space="preserve"> PAGEREF _Toc65253636 \h </w:instrText>
        </w:r>
        <w:r w:rsidR="00BF2155">
          <w:rPr>
            <w:noProof/>
            <w:webHidden/>
          </w:rPr>
        </w:r>
        <w:r w:rsidR="00BF2155">
          <w:rPr>
            <w:noProof/>
            <w:webHidden/>
          </w:rPr>
          <w:fldChar w:fldCharType="separate"/>
        </w:r>
        <w:r w:rsidR="00BF2155">
          <w:rPr>
            <w:noProof/>
            <w:webHidden/>
          </w:rPr>
          <w:t>81</w:t>
        </w:r>
        <w:r w:rsidR="00BF2155">
          <w:rPr>
            <w:noProof/>
            <w:webHidden/>
          </w:rPr>
          <w:fldChar w:fldCharType="end"/>
        </w:r>
      </w:hyperlink>
    </w:p>
    <w:p w14:paraId="27BD9FF2" w14:textId="14F5E9AA"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37" w:history="1">
        <w:r w:rsidR="00BF2155" w:rsidRPr="002E7F93">
          <w:rPr>
            <w:rStyle w:val="Hyperlink"/>
            <w:b/>
            <w:bCs/>
            <w:noProof/>
          </w:rPr>
          <w:t>Table 4.2.4:</w:t>
        </w:r>
        <w:r w:rsidR="00BF2155" w:rsidRPr="002E7F93">
          <w:rPr>
            <w:rStyle w:val="Hyperlink"/>
            <w:noProof/>
          </w:rPr>
          <w:t xml:space="preserve"> Effects of food-to-food fortification of wholegrain white maize porridge, as simple and complex porridges, with baobab fruit pulp and moringa leaf powder on iron and zinc bioaccessibility and the percentage contribution of bioaccessible iron and zinc in the porridge formulations (100 g dry basis) to the absolute requirements (AR) of women of 19–50 years</w:t>
        </w:r>
        <w:r w:rsidR="00BF2155">
          <w:rPr>
            <w:noProof/>
            <w:webHidden/>
          </w:rPr>
          <w:tab/>
        </w:r>
        <w:r w:rsidR="00BF2155">
          <w:rPr>
            <w:noProof/>
            <w:webHidden/>
          </w:rPr>
          <w:fldChar w:fldCharType="begin"/>
        </w:r>
        <w:r w:rsidR="00BF2155">
          <w:rPr>
            <w:noProof/>
            <w:webHidden/>
          </w:rPr>
          <w:instrText xml:space="preserve"> PAGEREF _Toc65253637 \h </w:instrText>
        </w:r>
        <w:r w:rsidR="00BF2155">
          <w:rPr>
            <w:noProof/>
            <w:webHidden/>
          </w:rPr>
        </w:r>
        <w:r w:rsidR="00BF2155">
          <w:rPr>
            <w:noProof/>
            <w:webHidden/>
          </w:rPr>
          <w:fldChar w:fldCharType="separate"/>
        </w:r>
        <w:r w:rsidR="00BF2155">
          <w:rPr>
            <w:noProof/>
            <w:webHidden/>
          </w:rPr>
          <w:t>85</w:t>
        </w:r>
        <w:r w:rsidR="00BF2155">
          <w:rPr>
            <w:noProof/>
            <w:webHidden/>
          </w:rPr>
          <w:fldChar w:fldCharType="end"/>
        </w:r>
      </w:hyperlink>
    </w:p>
    <w:p w14:paraId="30ADCB1A" w14:textId="0ED2F2CD"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38" w:history="1">
        <w:r w:rsidR="00BF2155" w:rsidRPr="002E7F93">
          <w:rPr>
            <w:rStyle w:val="Hyperlink"/>
            <w:b/>
            <w:bCs/>
            <w:noProof/>
          </w:rPr>
          <w:t>Table 4.2.5:</w:t>
        </w:r>
        <w:r w:rsidR="00BF2155" w:rsidRPr="002E7F93">
          <w:rPr>
            <w:rStyle w:val="Hyperlink"/>
            <w:noProof/>
          </w:rPr>
          <w:t xml:space="preserve"> Effects of food-to-food fortification of wholegrain white maize porridge, as simple and a more complex composite porridge, with baobab fruit pulp and moringa leaf powder on calcium and magnesium bioaccessibility</w:t>
        </w:r>
        <w:r w:rsidR="00BF2155">
          <w:rPr>
            <w:noProof/>
            <w:webHidden/>
          </w:rPr>
          <w:tab/>
        </w:r>
        <w:r w:rsidR="00BF2155">
          <w:rPr>
            <w:noProof/>
            <w:webHidden/>
          </w:rPr>
          <w:fldChar w:fldCharType="begin"/>
        </w:r>
        <w:r w:rsidR="00BF2155">
          <w:rPr>
            <w:noProof/>
            <w:webHidden/>
          </w:rPr>
          <w:instrText xml:space="preserve"> PAGEREF _Toc65253638 \h </w:instrText>
        </w:r>
        <w:r w:rsidR="00BF2155">
          <w:rPr>
            <w:noProof/>
            <w:webHidden/>
          </w:rPr>
        </w:r>
        <w:r w:rsidR="00BF2155">
          <w:rPr>
            <w:noProof/>
            <w:webHidden/>
          </w:rPr>
          <w:fldChar w:fldCharType="separate"/>
        </w:r>
        <w:r w:rsidR="00BF2155">
          <w:rPr>
            <w:noProof/>
            <w:webHidden/>
          </w:rPr>
          <w:t>91</w:t>
        </w:r>
        <w:r w:rsidR="00BF2155">
          <w:rPr>
            <w:noProof/>
            <w:webHidden/>
          </w:rPr>
          <w:fldChar w:fldCharType="end"/>
        </w:r>
      </w:hyperlink>
    </w:p>
    <w:p w14:paraId="1655632A" w14:textId="761322E9"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39" w:history="1">
        <w:r w:rsidR="00BF2155" w:rsidRPr="002E7F93">
          <w:rPr>
            <w:rStyle w:val="Hyperlink"/>
            <w:b/>
            <w:bCs/>
            <w:noProof/>
            <w:lang w:val="en-ZA"/>
          </w:rPr>
          <w:t>Table 4.3.1:</w:t>
        </w:r>
        <w:r w:rsidR="00BF2155" w:rsidRPr="002E7F93">
          <w:rPr>
            <w:rStyle w:val="Hyperlink"/>
            <w:noProof/>
            <w:lang w:val="en-ZA"/>
          </w:rPr>
          <w:t xml:space="preserve"> </w:t>
        </w:r>
        <w:r w:rsidR="00BF2155" w:rsidRPr="002E7F93">
          <w:rPr>
            <w:rStyle w:val="Hyperlink"/>
            <w:noProof/>
          </w:rPr>
          <w:t>Mineral contents (mg/100 g, dry basis) of wet cooked wholegrain maize-based porridge formulations and their ingredients with their estimated percentage iron and zinc contributions to the daily recommended nutrient intakes (RNI)</w:t>
        </w:r>
        <w:r w:rsidR="00BF2155" w:rsidRPr="002E7F93">
          <w:rPr>
            <w:rStyle w:val="Hyperlink"/>
            <w:noProof/>
            <w:vertAlign w:val="superscript"/>
          </w:rPr>
          <w:t>#</w:t>
        </w:r>
        <w:r w:rsidR="00BF2155" w:rsidRPr="002E7F93">
          <w:rPr>
            <w:rStyle w:val="Hyperlink"/>
            <w:noProof/>
          </w:rPr>
          <w:t xml:space="preserve"> for school-age children (7–9 years) and women of 19–50 years,  approximately childbearing age</w:t>
        </w:r>
        <w:r w:rsidR="00BF2155">
          <w:rPr>
            <w:noProof/>
            <w:webHidden/>
          </w:rPr>
          <w:tab/>
        </w:r>
        <w:r w:rsidR="00BF2155">
          <w:rPr>
            <w:noProof/>
            <w:webHidden/>
          </w:rPr>
          <w:fldChar w:fldCharType="begin"/>
        </w:r>
        <w:r w:rsidR="00BF2155">
          <w:rPr>
            <w:noProof/>
            <w:webHidden/>
          </w:rPr>
          <w:instrText xml:space="preserve"> PAGEREF _Toc65253639 \h </w:instrText>
        </w:r>
        <w:r w:rsidR="00BF2155">
          <w:rPr>
            <w:noProof/>
            <w:webHidden/>
          </w:rPr>
        </w:r>
        <w:r w:rsidR="00BF2155">
          <w:rPr>
            <w:noProof/>
            <w:webHidden/>
          </w:rPr>
          <w:fldChar w:fldCharType="separate"/>
        </w:r>
        <w:r w:rsidR="00BF2155">
          <w:rPr>
            <w:noProof/>
            <w:webHidden/>
          </w:rPr>
          <w:t>102</w:t>
        </w:r>
        <w:r w:rsidR="00BF2155">
          <w:rPr>
            <w:noProof/>
            <w:webHidden/>
          </w:rPr>
          <w:fldChar w:fldCharType="end"/>
        </w:r>
      </w:hyperlink>
    </w:p>
    <w:p w14:paraId="64C9F701" w14:textId="3D707D9B"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40" w:history="1">
        <w:r w:rsidR="00BF2155" w:rsidRPr="002E7F93">
          <w:rPr>
            <w:rStyle w:val="Hyperlink"/>
            <w:b/>
            <w:bCs/>
            <w:noProof/>
            <w:lang w:val="en-ZA"/>
          </w:rPr>
          <w:t>Table 4.3.2:</w:t>
        </w:r>
        <w:r w:rsidR="00BF2155" w:rsidRPr="002E7F93">
          <w:rPr>
            <w:rStyle w:val="Hyperlink"/>
            <w:noProof/>
            <w:lang w:val="en-ZA"/>
          </w:rPr>
          <w:t xml:space="preserve"> </w:t>
        </w:r>
        <w:r w:rsidR="00BF2155" w:rsidRPr="002E7F93">
          <w:rPr>
            <w:rStyle w:val="Hyperlink"/>
            <w:noProof/>
          </w:rPr>
          <w:t>Mineral contents (mg/100 g, dry basis) of extrusion cooked wholegrain pearl millet-based porridge formulations and their ingredients with their estimated percentage iron and zinc contributions to the daily recommended nutrient intakes (RNI)</w:t>
        </w:r>
        <w:r w:rsidR="00BF2155" w:rsidRPr="002E7F93">
          <w:rPr>
            <w:rStyle w:val="Hyperlink"/>
            <w:noProof/>
            <w:vertAlign w:val="superscript"/>
          </w:rPr>
          <w:t>#</w:t>
        </w:r>
        <w:r w:rsidR="00BF2155" w:rsidRPr="002E7F93">
          <w:rPr>
            <w:rStyle w:val="Hyperlink"/>
            <w:noProof/>
          </w:rPr>
          <w:t xml:space="preserve"> for school-age children (7–9 years) and women of 19–50 years</w:t>
        </w:r>
        <w:r w:rsidR="00BF2155">
          <w:rPr>
            <w:noProof/>
            <w:webHidden/>
          </w:rPr>
          <w:tab/>
        </w:r>
        <w:r w:rsidR="00BF2155">
          <w:rPr>
            <w:noProof/>
            <w:webHidden/>
          </w:rPr>
          <w:fldChar w:fldCharType="begin"/>
        </w:r>
        <w:r w:rsidR="00BF2155">
          <w:rPr>
            <w:noProof/>
            <w:webHidden/>
          </w:rPr>
          <w:instrText xml:space="preserve"> PAGEREF _Toc65253640 \h </w:instrText>
        </w:r>
        <w:r w:rsidR="00BF2155">
          <w:rPr>
            <w:noProof/>
            <w:webHidden/>
          </w:rPr>
        </w:r>
        <w:r w:rsidR="00BF2155">
          <w:rPr>
            <w:noProof/>
            <w:webHidden/>
          </w:rPr>
          <w:fldChar w:fldCharType="separate"/>
        </w:r>
        <w:r w:rsidR="00BF2155">
          <w:rPr>
            <w:noProof/>
            <w:webHidden/>
          </w:rPr>
          <w:t>104</w:t>
        </w:r>
        <w:r w:rsidR="00BF2155">
          <w:rPr>
            <w:noProof/>
            <w:webHidden/>
          </w:rPr>
          <w:fldChar w:fldCharType="end"/>
        </w:r>
      </w:hyperlink>
    </w:p>
    <w:p w14:paraId="3315DCC5" w14:textId="2B2E909E"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41" w:history="1">
        <w:r w:rsidR="00BF2155" w:rsidRPr="002E7F93">
          <w:rPr>
            <w:rStyle w:val="Hyperlink"/>
            <w:b/>
            <w:bCs/>
            <w:noProof/>
            <w:lang w:val="en-ZA"/>
          </w:rPr>
          <w:t>Table 4.3.3:</w:t>
        </w:r>
        <w:r w:rsidR="00BF2155" w:rsidRPr="002E7F93">
          <w:rPr>
            <w:rStyle w:val="Hyperlink"/>
            <w:noProof/>
            <w:lang w:val="en-ZA"/>
          </w:rPr>
          <w:t xml:space="preserve"> Beta-carotene content (µg β-carotene equivalent/100 g, dry basis) of </w:t>
        </w:r>
        <w:r w:rsidR="00BF2155" w:rsidRPr="002E7F93">
          <w:rPr>
            <w:rStyle w:val="Hyperlink"/>
            <w:noProof/>
          </w:rPr>
          <w:t xml:space="preserve">wet cooked wholegrain maize-based porridge formulations and their ingredients and </w:t>
        </w:r>
        <w:r w:rsidR="00BF2155" w:rsidRPr="002E7F93">
          <w:rPr>
            <w:rStyle w:val="Hyperlink"/>
            <w:noProof/>
            <w:lang w:val="en-ZA"/>
          </w:rPr>
          <w:t>the retinol equivalent (µg RE/100 g) of the porridges’ β-carotene contents</w:t>
        </w:r>
        <w:r w:rsidR="00BF2155" w:rsidRPr="002E7F93">
          <w:rPr>
            <w:rStyle w:val="Hyperlink"/>
            <w:noProof/>
          </w:rPr>
          <w:t xml:space="preserve"> with their </w:t>
        </w:r>
        <w:r w:rsidR="00BF2155" w:rsidRPr="002E7F93">
          <w:rPr>
            <w:rStyle w:val="Hyperlink"/>
            <w:noProof/>
            <w:lang w:val="en-ZA"/>
          </w:rPr>
          <w:t>estimated percentage contribution to the daily estimated mean requirement (EMR)</w:t>
        </w:r>
        <w:r w:rsidR="00BF2155" w:rsidRPr="002E7F93">
          <w:rPr>
            <w:rStyle w:val="Hyperlink"/>
            <w:noProof/>
            <w:vertAlign w:val="superscript"/>
            <w:lang w:val="en-ZA"/>
          </w:rPr>
          <w:t>#</w:t>
        </w:r>
        <w:r w:rsidR="00BF2155" w:rsidRPr="002E7F93">
          <w:rPr>
            <w:rStyle w:val="Hyperlink"/>
            <w:noProof/>
            <w:lang w:val="en-ZA"/>
          </w:rPr>
          <w:t xml:space="preserve"> for vitamin A for school-age children (7–9 years) and women of 19–50 years</w:t>
        </w:r>
        <w:r w:rsidR="00BF2155">
          <w:rPr>
            <w:noProof/>
            <w:webHidden/>
          </w:rPr>
          <w:tab/>
        </w:r>
        <w:r w:rsidR="00BF2155">
          <w:rPr>
            <w:noProof/>
            <w:webHidden/>
          </w:rPr>
          <w:fldChar w:fldCharType="begin"/>
        </w:r>
        <w:r w:rsidR="00BF2155">
          <w:rPr>
            <w:noProof/>
            <w:webHidden/>
          </w:rPr>
          <w:instrText xml:space="preserve"> PAGEREF _Toc65253641 \h </w:instrText>
        </w:r>
        <w:r w:rsidR="00BF2155">
          <w:rPr>
            <w:noProof/>
            <w:webHidden/>
          </w:rPr>
        </w:r>
        <w:r w:rsidR="00BF2155">
          <w:rPr>
            <w:noProof/>
            <w:webHidden/>
          </w:rPr>
          <w:fldChar w:fldCharType="separate"/>
        </w:r>
        <w:r w:rsidR="00BF2155">
          <w:rPr>
            <w:noProof/>
            <w:webHidden/>
          </w:rPr>
          <w:t>108</w:t>
        </w:r>
        <w:r w:rsidR="00BF2155">
          <w:rPr>
            <w:noProof/>
            <w:webHidden/>
          </w:rPr>
          <w:fldChar w:fldCharType="end"/>
        </w:r>
      </w:hyperlink>
    </w:p>
    <w:p w14:paraId="68C3519F" w14:textId="4299F7B5"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42" w:history="1">
        <w:r w:rsidR="00BF2155" w:rsidRPr="002E7F93">
          <w:rPr>
            <w:rStyle w:val="Hyperlink"/>
            <w:b/>
            <w:bCs/>
            <w:noProof/>
            <w:lang w:val="en-ZA"/>
          </w:rPr>
          <w:t>Table 4.3.4:</w:t>
        </w:r>
        <w:r w:rsidR="00BF2155" w:rsidRPr="002E7F93">
          <w:rPr>
            <w:rStyle w:val="Hyperlink"/>
            <w:noProof/>
            <w:lang w:val="en-ZA"/>
          </w:rPr>
          <w:t xml:space="preserve"> Effects of food-to-food fortification of wet cooked wholegrain white maize porridge with carrot and mango and in combination with baobab fruit pulp on iron and </w:t>
        </w:r>
        <w:r w:rsidR="00BF2155" w:rsidRPr="002E7F93">
          <w:rPr>
            <w:rStyle w:val="Hyperlink"/>
            <w:noProof/>
            <w:lang w:val="en-ZA"/>
          </w:rPr>
          <w:lastRenderedPageBreak/>
          <w:t xml:space="preserve">zinc bioaccessibility and the estimated percentage contribution of bioaccessible iron and zinc </w:t>
        </w:r>
        <w:r w:rsidR="00BF2155" w:rsidRPr="002E7F93">
          <w:rPr>
            <w:rStyle w:val="Hyperlink"/>
            <w:noProof/>
          </w:rPr>
          <w:t xml:space="preserve">in the porridge formulations (100 g dry basis) </w:t>
        </w:r>
        <w:r w:rsidR="00BF2155" w:rsidRPr="002E7F93">
          <w:rPr>
            <w:rStyle w:val="Hyperlink"/>
            <w:noProof/>
            <w:lang w:val="en-ZA"/>
          </w:rPr>
          <w:t>to the daily absolute requirement (AR) of school-age children (7–9 years) and women of 19–50 years</w:t>
        </w:r>
        <w:r w:rsidR="00BF2155">
          <w:rPr>
            <w:noProof/>
            <w:webHidden/>
          </w:rPr>
          <w:tab/>
        </w:r>
        <w:r w:rsidR="00BF2155">
          <w:rPr>
            <w:noProof/>
            <w:webHidden/>
          </w:rPr>
          <w:fldChar w:fldCharType="begin"/>
        </w:r>
        <w:r w:rsidR="00BF2155">
          <w:rPr>
            <w:noProof/>
            <w:webHidden/>
          </w:rPr>
          <w:instrText xml:space="preserve"> PAGEREF _Toc65253642 \h </w:instrText>
        </w:r>
        <w:r w:rsidR="00BF2155">
          <w:rPr>
            <w:noProof/>
            <w:webHidden/>
          </w:rPr>
        </w:r>
        <w:r w:rsidR="00BF2155">
          <w:rPr>
            <w:noProof/>
            <w:webHidden/>
          </w:rPr>
          <w:fldChar w:fldCharType="separate"/>
        </w:r>
        <w:r w:rsidR="00BF2155">
          <w:rPr>
            <w:noProof/>
            <w:webHidden/>
          </w:rPr>
          <w:t>112</w:t>
        </w:r>
        <w:r w:rsidR="00BF2155">
          <w:rPr>
            <w:noProof/>
            <w:webHidden/>
          </w:rPr>
          <w:fldChar w:fldCharType="end"/>
        </w:r>
      </w:hyperlink>
    </w:p>
    <w:p w14:paraId="281F3BB9" w14:textId="5161DA15"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43" w:history="1">
        <w:r w:rsidR="00BF2155" w:rsidRPr="002E7F93">
          <w:rPr>
            <w:rStyle w:val="Hyperlink"/>
            <w:b/>
            <w:bCs/>
            <w:noProof/>
            <w:lang w:val="en-ZA"/>
          </w:rPr>
          <w:t>Table 4.3.5:</w:t>
        </w:r>
        <w:r w:rsidR="00BF2155" w:rsidRPr="002E7F93">
          <w:rPr>
            <w:rStyle w:val="Hyperlink"/>
            <w:noProof/>
            <w:lang w:val="en-ZA"/>
          </w:rPr>
          <w:t xml:space="preserve"> Effects of </w:t>
        </w:r>
        <w:r w:rsidR="00BF2155" w:rsidRPr="002E7F93">
          <w:rPr>
            <w:rStyle w:val="Hyperlink"/>
            <w:noProof/>
          </w:rPr>
          <w:t>food-to-food fortification with various combinations of carrot, mango, papaya, moringa leaf, baobab fruit pulp and hibiscus calyx powders</w:t>
        </w:r>
        <w:r w:rsidR="00BF2155" w:rsidRPr="002E7F93">
          <w:rPr>
            <w:rStyle w:val="Hyperlink"/>
            <w:noProof/>
            <w:lang w:val="en-ZA"/>
          </w:rPr>
          <w:t xml:space="preserve"> on</w:t>
        </w:r>
        <w:r w:rsidR="00BF2155" w:rsidRPr="002E7F93">
          <w:rPr>
            <w:rStyle w:val="Hyperlink"/>
            <w:noProof/>
          </w:rPr>
          <w:t xml:space="preserve"> iron and zinc bioaccessibilities in ready-to-eat (extrusion cooked) pearl millet-based porridges </w:t>
        </w:r>
        <w:r w:rsidR="00BF2155" w:rsidRPr="002E7F93">
          <w:rPr>
            <w:rStyle w:val="Hyperlink"/>
            <w:noProof/>
            <w:lang w:val="en-ZA"/>
          </w:rPr>
          <w:t xml:space="preserve">and the estimated percentage contribution of bioaccessible iron and zinc </w:t>
        </w:r>
        <w:r w:rsidR="00BF2155" w:rsidRPr="002E7F93">
          <w:rPr>
            <w:rStyle w:val="Hyperlink"/>
            <w:noProof/>
          </w:rPr>
          <w:t xml:space="preserve">in the porridge formulations (100 g dry basis) </w:t>
        </w:r>
        <w:r w:rsidR="00BF2155" w:rsidRPr="002E7F93">
          <w:rPr>
            <w:rStyle w:val="Hyperlink"/>
            <w:noProof/>
            <w:lang w:val="en-ZA"/>
          </w:rPr>
          <w:t>to the daily absolute requirement (AR) of school-age children (7–9 years) and women of 19–50 years</w:t>
        </w:r>
        <w:r w:rsidR="00BF2155">
          <w:rPr>
            <w:noProof/>
            <w:webHidden/>
          </w:rPr>
          <w:tab/>
        </w:r>
        <w:r w:rsidR="00BF2155">
          <w:rPr>
            <w:noProof/>
            <w:webHidden/>
          </w:rPr>
          <w:fldChar w:fldCharType="begin"/>
        </w:r>
        <w:r w:rsidR="00BF2155">
          <w:rPr>
            <w:noProof/>
            <w:webHidden/>
          </w:rPr>
          <w:instrText xml:space="preserve"> PAGEREF _Toc65253643 \h </w:instrText>
        </w:r>
        <w:r w:rsidR="00BF2155">
          <w:rPr>
            <w:noProof/>
            <w:webHidden/>
          </w:rPr>
        </w:r>
        <w:r w:rsidR="00BF2155">
          <w:rPr>
            <w:noProof/>
            <w:webHidden/>
          </w:rPr>
          <w:fldChar w:fldCharType="separate"/>
        </w:r>
        <w:r w:rsidR="00BF2155">
          <w:rPr>
            <w:noProof/>
            <w:webHidden/>
          </w:rPr>
          <w:t>113</w:t>
        </w:r>
        <w:r w:rsidR="00BF2155">
          <w:rPr>
            <w:noProof/>
            <w:webHidden/>
          </w:rPr>
          <w:fldChar w:fldCharType="end"/>
        </w:r>
      </w:hyperlink>
    </w:p>
    <w:p w14:paraId="5142DE74" w14:textId="18442B83"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44" w:history="1">
        <w:r w:rsidR="00BF2155" w:rsidRPr="002E7F93">
          <w:rPr>
            <w:rStyle w:val="Hyperlink"/>
            <w:b/>
            <w:bCs/>
            <w:noProof/>
            <w:lang w:val="en-ZA"/>
          </w:rPr>
          <w:t>Table 4.3.6:</w:t>
        </w:r>
        <w:r w:rsidR="00BF2155" w:rsidRPr="002E7F93">
          <w:rPr>
            <w:rStyle w:val="Hyperlink"/>
            <w:noProof/>
            <w:lang w:val="en-ZA"/>
          </w:rPr>
          <w:t xml:space="preserve"> Effects of food-to-food fortification of wet cooked wholegrain white maize porridge with carrot and mango and in combination with baobab fruit pulp on calcium and magnesium bioaccessibility</w:t>
        </w:r>
        <w:r w:rsidR="00BF2155">
          <w:rPr>
            <w:noProof/>
            <w:webHidden/>
          </w:rPr>
          <w:tab/>
        </w:r>
        <w:r w:rsidR="00BF2155">
          <w:rPr>
            <w:noProof/>
            <w:webHidden/>
          </w:rPr>
          <w:fldChar w:fldCharType="begin"/>
        </w:r>
        <w:r w:rsidR="00BF2155">
          <w:rPr>
            <w:noProof/>
            <w:webHidden/>
          </w:rPr>
          <w:instrText xml:space="preserve"> PAGEREF _Toc65253644 \h </w:instrText>
        </w:r>
        <w:r w:rsidR="00BF2155">
          <w:rPr>
            <w:noProof/>
            <w:webHidden/>
          </w:rPr>
        </w:r>
        <w:r w:rsidR="00BF2155">
          <w:rPr>
            <w:noProof/>
            <w:webHidden/>
          </w:rPr>
          <w:fldChar w:fldCharType="separate"/>
        </w:r>
        <w:r w:rsidR="00BF2155">
          <w:rPr>
            <w:noProof/>
            <w:webHidden/>
          </w:rPr>
          <w:t>119</w:t>
        </w:r>
        <w:r w:rsidR="00BF2155">
          <w:rPr>
            <w:noProof/>
            <w:webHidden/>
          </w:rPr>
          <w:fldChar w:fldCharType="end"/>
        </w:r>
      </w:hyperlink>
    </w:p>
    <w:p w14:paraId="0D5CF577" w14:textId="0CCE2F90"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45" w:history="1">
        <w:r w:rsidR="00BF2155" w:rsidRPr="002E7F93">
          <w:rPr>
            <w:rStyle w:val="Hyperlink"/>
            <w:b/>
            <w:bCs/>
            <w:noProof/>
            <w:lang w:val="en-ZA"/>
          </w:rPr>
          <w:t>Table 4.3.7:</w:t>
        </w:r>
        <w:r w:rsidR="00BF2155" w:rsidRPr="002E7F93">
          <w:rPr>
            <w:rStyle w:val="Hyperlink"/>
            <w:noProof/>
            <w:lang w:val="en-ZA"/>
          </w:rPr>
          <w:t xml:space="preserve"> Effects of </w:t>
        </w:r>
        <w:r w:rsidR="00BF2155" w:rsidRPr="002E7F93">
          <w:rPr>
            <w:rStyle w:val="Hyperlink"/>
            <w:noProof/>
          </w:rPr>
          <w:t>food-to-food fortification with various combinations of carrot, mango, papaya, moringa leaf, baobab fruit pulp and hibiscus calyx powders</w:t>
        </w:r>
        <w:r w:rsidR="00BF2155" w:rsidRPr="002E7F93">
          <w:rPr>
            <w:rStyle w:val="Hyperlink"/>
            <w:noProof/>
            <w:lang w:val="en-ZA"/>
          </w:rPr>
          <w:t xml:space="preserve"> on</w:t>
        </w:r>
        <w:r w:rsidR="00BF2155" w:rsidRPr="002E7F93">
          <w:rPr>
            <w:rStyle w:val="Hyperlink"/>
            <w:noProof/>
          </w:rPr>
          <w:t xml:space="preserve"> calcium and magnesium bioaccessibilities in ready-to-eat (extrusion cooked) pearl millet-based porridges</w:t>
        </w:r>
        <w:r w:rsidR="00BF2155">
          <w:rPr>
            <w:noProof/>
            <w:webHidden/>
          </w:rPr>
          <w:tab/>
        </w:r>
        <w:r w:rsidR="00BF2155">
          <w:rPr>
            <w:noProof/>
            <w:webHidden/>
          </w:rPr>
          <w:fldChar w:fldCharType="begin"/>
        </w:r>
        <w:r w:rsidR="00BF2155">
          <w:rPr>
            <w:noProof/>
            <w:webHidden/>
          </w:rPr>
          <w:instrText xml:space="preserve"> PAGEREF _Toc65253645 \h </w:instrText>
        </w:r>
        <w:r w:rsidR="00BF2155">
          <w:rPr>
            <w:noProof/>
            <w:webHidden/>
          </w:rPr>
        </w:r>
        <w:r w:rsidR="00BF2155">
          <w:rPr>
            <w:noProof/>
            <w:webHidden/>
          </w:rPr>
          <w:fldChar w:fldCharType="separate"/>
        </w:r>
        <w:r w:rsidR="00BF2155">
          <w:rPr>
            <w:noProof/>
            <w:webHidden/>
          </w:rPr>
          <w:t>120</w:t>
        </w:r>
        <w:r w:rsidR="00BF2155">
          <w:rPr>
            <w:noProof/>
            <w:webHidden/>
          </w:rPr>
          <w:fldChar w:fldCharType="end"/>
        </w:r>
      </w:hyperlink>
    </w:p>
    <w:p w14:paraId="6BBFA863" w14:textId="42418A3B" w:rsidR="00B774A1" w:rsidRPr="001F4CF5" w:rsidRDefault="00B071FC" w:rsidP="00B071FC">
      <w:pPr>
        <w:rPr>
          <w:rFonts w:cs="Times New Roman"/>
          <w:szCs w:val="24"/>
        </w:rPr>
      </w:pPr>
      <w:r w:rsidRPr="001F4CF5">
        <w:rPr>
          <w:rFonts w:cs="Times New Roman"/>
          <w:szCs w:val="24"/>
        </w:rPr>
        <w:fldChar w:fldCharType="end"/>
      </w:r>
    </w:p>
    <w:p w14:paraId="34438785" w14:textId="08FA19CA" w:rsidR="002B614C" w:rsidRDefault="002B614C" w:rsidP="00820F40"/>
    <w:p w14:paraId="7DBC01B7" w14:textId="309AD78C" w:rsidR="00E70C8D" w:rsidRDefault="00E70C8D" w:rsidP="00820F40"/>
    <w:p w14:paraId="3F4BD852" w14:textId="5BB6A00C" w:rsidR="00E70C8D" w:rsidRDefault="00E70C8D" w:rsidP="00820F40"/>
    <w:p w14:paraId="0826D989" w14:textId="557402D5" w:rsidR="00E70C8D" w:rsidRDefault="00E70C8D" w:rsidP="00820F40"/>
    <w:p w14:paraId="5E9D89B5" w14:textId="5CB8C6E9" w:rsidR="00E70C8D" w:rsidRDefault="00E70C8D" w:rsidP="00820F40"/>
    <w:p w14:paraId="37B3B089" w14:textId="03885416" w:rsidR="00E70C8D" w:rsidRDefault="00E70C8D" w:rsidP="00820F40"/>
    <w:p w14:paraId="200E7B14" w14:textId="669472C0" w:rsidR="00E70C8D" w:rsidRDefault="00E70C8D" w:rsidP="00820F40"/>
    <w:p w14:paraId="68030A56" w14:textId="57B0763C" w:rsidR="00E70C8D" w:rsidRDefault="00E70C8D" w:rsidP="00820F40"/>
    <w:p w14:paraId="27B4B257" w14:textId="5A2A8593" w:rsidR="00E70C8D" w:rsidRDefault="00E70C8D" w:rsidP="00820F40"/>
    <w:p w14:paraId="2C534DAB" w14:textId="12D756DD" w:rsidR="00E70C8D" w:rsidRDefault="00E70C8D" w:rsidP="00820F40"/>
    <w:p w14:paraId="6A2C2989" w14:textId="3B425106" w:rsidR="00E70C8D" w:rsidRDefault="00E70C8D" w:rsidP="00820F40"/>
    <w:p w14:paraId="1ADB25C9" w14:textId="02B75B9C" w:rsidR="005A3CF7" w:rsidRDefault="002F1B22" w:rsidP="001F4CF5">
      <w:pPr>
        <w:pStyle w:val="Heading1"/>
      </w:pPr>
      <w:bookmarkStart w:id="7" w:name="_Toc65253539"/>
      <w:r w:rsidRPr="001D66A6">
        <w:lastRenderedPageBreak/>
        <w:t>LIST OF FIGURES</w:t>
      </w:r>
      <w:bookmarkEnd w:id="7"/>
    </w:p>
    <w:p w14:paraId="63B1E3EC" w14:textId="166B6295" w:rsidR="00BF2155" w:rsidRDefault="001F4CF5">
      <w:pPr>
        <w:pStyle w:val="TableofFigures"/>
        <w:tabs>
          <w:tab w:val="right" w:leader="dot" w:pos="9017"/>
        </w:tabs>
        <w:rPr>
          <w:rFonts w:asciiTheme="minorHAnsi" w:eastAsiaTheme="minorEastAsia" w:hAnsiTheme="minorHAnsi" w:cstheme="minorBidi"/>
          <w:noProof/>
          <w:sz w:val="22"/>
          <w:szCs w:val="22"/>
          <w:lang w:val="en-ZA" w:eastAsia="en-ZA"/>
        </w:rPr>
      </w:pPr>
      <w:r>
        <w:fldChar w:fldCharType="begin"/>
      </w:r>
      <w:r>
        <w:instrText xml:space="preserve"> TOC \h \z \t "My figures" \c </w:instrText>
      </w:r>
      <w:r>
        <w:fldChar w:fldCharType="separate"/>
      </w:r>
      <w:hyperlink w:anchor="_Toc65253646" w:history="1">
        <w:r w:rsidR="00BF2155" w:rsidRPr="00382B2B">
          <w:rPr>
            <w:rStyle w:val="Hyperlink"/>
            <w:b/>
            <w:bCs/>
            <w:noProof/>
          </w:rPr>
          <w:t>Figure 2.1</w:t>
        </w:r>
        <w:r w:rsidR="00BF2155" w:rsidRPr="00382B2B">
          <w:rPr>
            <w:rStyle w:val="Hyperlink"/>
            <w:noProof/>
          </w:rPr>
          <w:t>: Global deficiency risks for zinc at national scale.</w:t>
        </w:r>
        <w:r w:rsidR="00BF2155">
          <w:rPr>
            <w:noProof/>
            <w:webHidden/>
          </w:rPr>
          <w:tab/>
        </w:r>
        <w:r w:rsidR="00BF2155">
          <w:rPr>
            <w:noProof/>
            <w:webHidden/>
          </w:rPr>
          <w:fldChar w:fldCharType="begin"/>
        </w:r>
        <w:r w:rsidR="00BF2155">
          <w:rPr>
            <w:noProof/>
            <w:webHidden/>
          </w:rPr>
          <w:instrText xml:space="preserve"> PAGEREF _Toc65253646 \h </w:instrText>
        </w:r>
        <w:r w:rsidR="00BF2155">
          <w:rPr>
            <w:noProof/>
            <w:webHidden/>
          </w:rPr>
        </w:r>
        <w:r w:rsidR="00BF2155">
          <w:rPr>
            <w:noProof/>
            <w:webHidden/>
          </w:rPr>
          <w:fldChar w:fldCharType="separate"/>
        </w:r>
        <w:r w:rsidR="00BF2155">
          <w:rPr>
            <w:noProof/>
            <w:webHidden/>
          </w:rPr>
          <w:t>8</w:t>
        </w:r>
        <w:r w:rsidR="00BF2155">
          <w:rPr>
            <w:noProof/>
            <w:webHidden/>
          </w:rPr>
          <w:fldChar w:fldCharType="end"/>
        </w:r>
      </w:hyperlink>
    </w:p>
    <w:p w14:paraId="3A81CDAB" w14:textId="0C13AB73"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47" w:history="1">
        <w:r w:rsidR="00BF2155" w:rsidRPr="00382B2B">
          <w:rPr>
            <w:rStyle w:val="Hyperlink"/>
            <w:b/>
            <w:bCs/>
            <w:noProof/>
          </w:rPr>
          <w:t>Figure 4.1.1</w:t>
        </w:r>
        <w:r w:rsidR="00BF2155" w:rsidRPr="00382B2B">
          <w:rPr>
            <w:rStyle w:val="Hyperlink"/>
            <w:noProof/>
          </w:rPr>
          <w:t>: Flow chart of wholegrain pearl millet porridge formulations and preparation</w:t>
        </w:r>
        <w:r w:rsidR="00BF2155">
          <w:rPr>
            <w:noProof/>
            <w:webHidden/>
          </w:rPr>
          <w:tab/>
        </w:r>
        <w:r w:rsidR="00BF2155">
          <w:rPr>
            <w:noProof/>
            <w:webHidden/>
          </w:rPr>
          <w:fldChar w:fldCharType="begin"/>
        </w:r>
        <w:r w:rsidR="00BF2155">
          <w:rPr>
            <w:noProof/>
            <w:webHidden/>
          </w:rPr>
          <w:instrText xml:space="preserve"> PAGEREF _Toc65253647 \h </w:instrText>
        </w:r>
        <w:r w:rsidR="00BF2155">
          <w:rPr>
            <w:noProof/>
            <w:webHidden/>
          </w:rPr>
        </w:r>
        <w:r w:rsidR="00BF2155">
          <w:rPr>
            <w:noProof/>
            <w:webHidden/>
          </w:rPr>
          <w:fldChar w:fldCharType="separate"/>
        </w:r>
        <w:r w:rsidR="00BF2155">
          <w:rPr>
            <w:noProof/>
            <w:webHidden/>
          </w:rPr>
          <w:t>51</w:t>
        </w:r>
        <w:r w:rsidR="00BF2155">
          <w:rPr>
            <w:noProof/>
            <w:webHidden/>
          </w:rPr>
          <w:fldChar w:fldCharType="end"/>
        </w:r>
      </w:hyperlink>
    </w:p>
    <w:p w14:paraId="20BBF968" w14:textId="4390C320"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48" w:history="1">
        <w:r w:rsidR="00BF2155" w:rsidRPr="00382B2B">
          <w:rPr>
            <w:rStyle w:val="Hyperlink"/>
            <w:b/>
            <w:bCs/>
            <w:noProof/>
          </w:rPr>
          <w:t>Figure 4.2.1:</w:t>
        </w:r>
        <w:r w:rsidR="00BF2155" w:rsidRPr="00382B2B">
          <w:rPr>
            <w:rStyle w:val="Hyperlink"/>
            <w:noProof/>
          </w:rPr>
          <w:t xml:space="preserve"> Flow chart of simple maize porridge formulations and preparation (Experiment 1)</w:t>
        </w:r>
        <w:r w:rsidR="00BF2155">
          <w:rPr>
            <w:noProof/>
            <w:webHidden/>
          </w:rPr>
          <w:tab/>
        </w:r>
        <w:r w:rsidR="00BF2155">
          <w:rPr>
            <w:noProof/>
            <w:webHidden/>
          </w:rPr>
          <w:fldChar w:fldCharType="begin"/>
        </w:r>
        <w:r w:rsidR="00BF2155">
          <w:rPr>
            <w:noProof/>
            <w:webHidden/>
          </w:rPr>
          <w:instrText xml:space="preserve"> PAGEREF _Toc65253648 \h </w:instrText>
        </w:r>
        <w:r w:rsidR="00BF2155">
          <w:rPr>
            <w:noProof/>
            <w:webHidden/>
          </w:rPr>
        </w:r>
        <w:r w:rsidR="00BF2155">
          <w:rPr>
            <w:noProof/>
            <w:webHidden/>
          </w:rPr>
          <w:fldChar w:fldCharType="separate"/>
        </w:r>
        <w:r w:rsidR="00BF2155">
          <w:rPr>
            <w:noProof/>
            <w:webHidden/>
          </w:rPr>
          <w:t>68</w:t>
        </w:r>
        <w:r w:rsidR="00BF2155">
          <w:rPr>
            <w:noProof/>
            <w:webHidden/>
          </w:rPr>
          <w:fldChar w:fldCharType="end"/>
        </w:r>
      </w:hyperlink>
    </w:p>
    <w:p w14:paraId="665BCDEA" w14:textId="21A1F13F"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49" w:history="1">
        <w:r w:rsidR="00BF2155" w:rsidRPr="00382B2B">
          <w:rPr>
            <w:rStyle w:val="Hyperlink"/>
            <w:b/>
            <w:bCs/>
            <w:noProof/>
          </w:rPr>
          <w:t>Figure 4.2.2:</w:t>
        </w:r>
        <w:r w:rsidR="00BF2155" w:rsidRPr="00382B2B">
          <w:rPr>
            <w:rStyle w:val="Hyperlink"/>
            <w:noProof/>
          </w:rPr>
          <w:t xml:space="preserve"> Flow chart of complex maize-based porridge formulations and preparation (Experiment 2)</w:t>
        </w:r>
        <w:r w:rsidR="00BF2155">
          <w:rPr>
            <w:noProof/>
            <w:webHidden/>
          </w:rPr>
          <w:tab/>
        </w:r>
        <w:r w:rsidR="00BF2155">
          <w:rPr>
            <w:noProof/>
            <w:webHidden/>
          </w:rPr>
          <w:fldChar w:fldCharType="begin"/>
        </w:r>
        <w:r w:rsidR="00BF2155">
          <w:rPr>
            <w:noProof/>
            <w:webHidden/>
          </w:rPr>
          <w:instrText xml:space="preserve"> PAGEREF _Toc65253649 \h </w:instrText>
        </w:r>
        <w:r w:rsidR="00BF2155">
          <w:rPr>
            <w:noProof/>
            <w:webHidden/>
          </w:rPr>
        </w:r>
        <w:r w:rsidR="00BF2155">
          <w:rPr>
            <w:noProof/>
            <w:webHidden/>
          </w:rPr>
          <w:fldChar w:fldCharType="separate"/>
        </w:r>
        <w:r w:rsidR="00BF2155">
          <w:rPr>
            <w:noProof/>
            <w:webHidden/>
          </w:rPr>
          <w:t>70</w:t>
        </w:r>
        <w:r w:rsidR="00BF2155">
          <w:rPr>
            <w:noProof/>
            <w:webHidden/>
          </w:rPr>
          <w:fldChar w:fldCharType="end"/>
        </w:r>
      </w:hyperlink>
    </w:p>
    <w:p w14:paraId="6AF7809E" w14:textId="2E2DD164"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50" w:history="1">
        <w:r w:rsidR="00BF2155" w:rsidRPr="00382B2B">
          <w:rPr>
            <w:rStyle w:val="Hyperlink"/>
            <w:b/>
            <w:bCs/>
            <w:noProof/>
          </w:rPr>
          <w:t>Figure 4.3.1:</w:t>
        </w:r>
        <w:r w:rsidR="00BF2155" w:rsidRPr="00382B2B">
          <w:rPr>
            <w:rStyle w:val="Hyperlink"/>
            <w:noProof/>
          </w:rPr>
          <w:t xml:space="preserve"> Flow chart of maize porridge formulations and preparation.</w:t>
        </w:r>
        <w:r w:rsidR="00BF2155">
          <w:rPr>
            <w:noProof/>
            <w:webHidden/>
          </w:rPr>
          <w:tab/>
        </w:r>
        <w:r w:rsidR="00BF2155">
          <w:rPr>
            <w:noProof/>
            <w:webHidden/>
          </w:rPr>
          <w:fldChar w:fldCharType="begin"/>
        </w:r>
        <w:r w:rsidR="00BF2155">
          <w:rPr>
            <w:noProof/>
            <w:webHidden/>
          </w:rPr>
          <w:instrText xml:space="preserve"> PAGEREF _Toc65253650 \h </w:instrText>
        </w:r>
        <w:r w:rsidR="00BF2155">
          <w:rPr>
            <w:noProof/>
            <w:webHidden/>
          </w:rPr>
        </w:r>
        <w:r w:rsidR="00BF2155">
          <w:rPr>
            <w:noProof/>
            <w:webHidden/>
          </w:rPr>
          <w:fldChar w:fldCharType="separate"/>
        </w:r>
        <w:r w:rsidR="00BF2155">
          <w:rPr>
            <w:noProof/>
            <w:webHidden/>
          </w:rPr>
          <w:t>97</w:t>
        </w:r>
        <w:r w:rsidR="00BF2155">
          <w:rPr>
            <w:noProof/>
            <w:webHidden/>
          </w:rPr>
          <w:fldChar w:fldCharType="end"/>
        </w:r>
      </w:hyperlink>
    </w:p>
    <w:p w14:paraId="340E1BD8" w14:textId="30E7D3FB"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51" w:history="1">
        <w:r w:rsidR="00BF2155" w:rsidRPr="00382B2B">
          <w:rPr>
            <w:rStyle w:val="Hyperlink"/>
            <w:b/>
            <w:bCs/>
            <w:noProof/>
          </w:rPr>
          <w:t>Figure 4.3.2:</w:t>
        </w:r>
        <w:r w:rsidR="00BF2155" w:rsidRPr="00382B2B">
          <w:rPr>
            <w:rStyle w:val="Hyperlink"/>
            <w:noProof/>
          </w:rPr>
          <w:t xml:space="preserve"> Flow chart of wholegrain pearl millet-based porridge formulations and preparation</w:t>
        </w:r>
        <w:r w:rsidR="00BF2155">
          <w:rPr>
            <w:noProof/>
            <w:webHidden/>
          </w:rPr>
          <w:tab/>
        </w:r>
        <w:r w:rsidR="00BF2155">
          <w:rPr>
            <w:noProof/>
            <w:webHidden/>
          </w:rPr>
          <w:fldChar w:fldCharType="begin"/>
        </w:r>
        <w:r w:rsidR="00BF2155">
          <w:rPr>
            <w:noProof/>
            <w:webHidden/>
          </w:rPr>
          <w:instrText xml:space="preserve"> PAGEREF _Toc65253651 \h </w:instrText>
        </w:r>
        <w:r w:rsidR="00BF2155">
          <w:rPr>
            <w:noProof/>
            <w:webHidden/>
          </w:rPr>
        </w:r>
        <w:r w:rsidR="00BF2155">
          <w:rPr>
            <w:noProof/>
            <w:webHidden/>
          </w:rPr>
          <w:fldChar w:fldCharType="separate"/>
        </w:r>
        <w:r w:rsidR="00BF2155">
          <w:rPr>
            <w:noProof/>
            <w:webHidden/>
          </w:rPr>
          <w:t>98</w:t>
        </w:r>
        <w:r w:rsidR="00BF2155">
          <w:rPr>
            <w:noProof/>
            <w:webHidden/>
          </w:rPr>
          <w:fldChar w:fldCharType="end"/>
        </w:r>
      </w:hyperlink>
    </w:p>
    <w:p w14:paraId="1C4EFD6B" w14:textId="3008D6F2"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52" w:history="1">
        <w:r w:rsidR="00BF2155" w:rsidRPr="00382B2B">
          <w:rPr>
            <w:rStyle w:val="Hyperlink"/>
            <w:b/>
            <w:bCs/>
            <w:noProof/>
            <w:lang w:val="en-ZA"/>
          </w:rPr>
          <w:t>Figure 5:1:</w:t>
        </w:r>
        <w:r w:rsidR="00BF2155" w:rsidRPr="00382B2B">
          <w:rPr>
            <w:rStyle w:val="Hyperlink"/>
            <w:noProof/>
            <w:lang w:val="en-ZA"/>
          </w:rPr>
          <w:t xml:space="preserve"> Images of raw wholegrain maize (A) and wholegrain pearl millet (B)</w:t>
        </w:r>
        <w:r w:rsidR="00BF2155">
          <w:rPr>
            <w:noProof/>
            <w:webHidden/>
          </w:rPr>
          <w:tab/>
        </w:r>
        <w:r w:rsidR="00BF2155">
          <w:rPr>
            <w:noProof/>
            <w:webHidden/>
          </w:rPr>
          <w:fldChar w:fldCharType="begin"/>
        </w:r>
        <w:r w:rsidR="00BF2155">
          <w:rPr>
            <w:noProof/>
            <w:webHidden/>
          </w:rPr>
          <w:instrText xml:space="preserve"> PAGEREF _Toc65253652 \h </w:instrText>
        </w:r>
        <w:r w:rsidR="00BF2155">
          <w:rPr>
            <w:noProof/>
            <w:webHidden/>
          </w:rPr>
        </w:r>
        <w:r w:rsidR="00BF2155">
          <w:rPr>
            <w:noProof/>
            <w:webHidden/>
          </w:rPr>
          <w:fldChar w:fldCharType="separate"/>
        </w:r>
        <w:r w:rsidR="00BF2155">
          <w:rPr>
            <w:noProof/>
            <w:webHidden/>
          </w:rPr>
          <w:t>123</w:t>
        </w:r>
        <w:r w:rsidR="00BF2155">
          <w:rPr>
            <w:noProof/>
            <w:webHidden/>
          </w:rPr>
          <w:fldChar w:fldCharType="end"/>
        </w:r>
      </w:hyperlink>
    </w:p>
    <w:p w14:paraId="1D5CC472" w14:textId="4C5AFF4F"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53" w:history="1">
        <w:r w:rsidR="00BF2155" w:rsidRPr="00382B2B">
          <w:rPr>
            <w:rStyle w:val="Hyperlink"/>
            <w:b/>
            <w:bCs/>
            <w:noProof/>
            <w:lang w:val="en-ZA"/>
          </w:rPr>
          <w:t>Figure 5.2:</w:t>
        </w:r>
        <w:r w:rsidR="00BF2155" w:rsidRPr="00382B2B">
          <w:rPr>
            <w:rStyle w:val="Hyperlink"/>
            <w:noProof/>
            <w:lang w:val="en-ZA"/>
          </w:rPr>
          <w:t xml:space="preserve"> Images of raw moringa leaves (A), baobab fruit (B), mango fruit (C), papaya (D), carrots (E) and dry hibiscus calyxes (F)</w:t>
        </w:r>
        <w:r w:rsidR="00BF2155">
          <w:rPr>
            <w:noProof/>
            <w:webHidden/>
          </w:rPr>
          <w:tab/>
        </w:r>
        <w:r w:rsidR="00BF2155">
          <w:rPr>
            <w:noProof/>
            <w:webHidden/>
          </w:rPr>
          <w:fldChar w:fldCharType="begin"/>
        </w:r>
        <w:r w:rsidR="00BF2155">
          <w:rPr>
            <w:noProof/>
            <w:webHidden/>
          </w:rPr>
          <w:instrText xml:space="preserve"> PAGEREF _Toc65253653 \h </w:instrText>
        </w:r>
        <w:r w:rsidR="00BF2155">
          <w:rPr>
            <w:noProof/>
            <w:webHidden/>
          </w:rPr>
        </w:r>
        <w:r w:rsidR="00BF2155">
          <w:rPr>
            <w:noProof/>
            <w:webHidden/>
          </w:rPr>
          <w:fldChar w:fldCharType="separate"/>
        </w:r>
        <w:r w:rsidR="00BF2155">
          <w:rPr>
            <w:noProof/>
            <w:webHidden/>
          </w:rPr>
          <w:t>124</w:t>
        </w:r>
        <w:r w:rsidR="00BF2155">
          <w:rPr>
            <w:noProof/>
            <w:webHidden/>
          </w:rPr>
          <w:fldChar w:fldCharType="end"/>
        </w:r>
      </w:hyperlink>
    </w:p>
    <w:p w14:paraId="0AE90356" w14:textId="549BDC0C"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54" w:history="1">
        <w:r w:rsidR="00BF2155" w:rsidRPr="00382B2B">
          <w:rPr>
            <w:rStyle w:val="Hyperlink"/>
            <w:b/>
            <w:bCs/>
            <w:noProof/>
          </w:rPr>
          <w:t>Figure 5.3:</w:t>
        </w:r>
        <w:r w:rsidR="00BF2155" w:rsidRPr="00382B2B">
          <w:rPr>
            <w:rStyle w:val="Hyperlink"/>
            <w:noProof/>
          </w:rPr>
          <w:t xml:space="preserve"> Model proposing how food-to-food fortification of wholegrain cereal porridge with baobab fruit can improve iron bioaccessibility (a component of bioavailability)</w:t>
        </w:r>
        <w:r w:rsidR="00BF2155">
          <w:rPr>
            <w:noProof/>
            <w:webHidden/>
          </w:rPr>
          <w:tab/>
        </w:r>
        <w:r w:rsidR="00BF2155">
          <w:rPr>
            <w:noProof/>
            <w:webHidden/>
          </w:rPr>
          <w:fldChar w:fldCharType="begin"/>
        </w:r>
        <w:r w:rsidR="00BF2155">
          <w:rPr>
            <w:noProof/>
            <w:webHidden/>
          </w:rPr>
          <w:instrText xml:space="preserve"> PAGEREF _Toc65253654 \h </w:instrText>
        </w:r>
        <w:r w:rsidR="00BF2155">
          <w:rPr>
            <w:noProof/>
            <w:webHidden/>
          </w:rPr>
        </w:r>
        <w:r w:rsidR="00BF2155">
          <w:rPr>
            <w:noProof/>
            <w:webHidden/>
          </w:rPr>
          <w:fldChar w:fldCharType="separate"/>
        </w:r>
        <w:r w:rsidR="00BF2155">
          <w:rPr>
            <w:noProof/>
            <w:webHidden/>
          </w:rPr>
          <w:t>132</w:t>
        </w:r>
        <w:r w:rsidR="00BF2155">
          <w:rPr>
            <w:noProof/>
            <w:webHidden/>
          </w:rPr>
          <w:fldChar w:fldCharType="end"/>
        </w:r>
      </w:hyperlink>
    </w:p>
    <w:p w14:paraId="2831BD61" w14:textId="0A64AE35"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55" w:history="1">
        <w:r w:rsidR="00BF2155" w:rsidRPr="00382B2B">
          <w:rPr>
            <w:rStyle w:val="Hyperlink"/>
            <w:b/>
            <w:bCs/>
            <w:noProof/>
          </w:rPr>
          <w:t>Figure 5.4:</w:t>
        </w:r>
        <w:r w:rsidR="00BF2155" w:rsidRPr="00382B2B">
          <w:rPr>
            <w:rStyle w:val="Hyperlink"/>
            <w:noProof/>
          </w:rPr>
          <w:t xml:space="preserve">  Model proposing baobab fruit food-to-food fortification of conventionally iron fortified-wholegrain cereal-based porridge (containing plant provitamin A sources, mango and carrot) can improve iron and zinc bioaccessibility (a component of bioavailability)</w:t>
        </w:r>
        <w:r w:rsidR="00BF2155">
          <w:rPr>
            <w:noProof/>
            <w:webHidden/>
          </w:rPr>
          <w:tab/>
        </w:r>
        <w:r w:rsidR="00BF2155">
          <w:rPr>
            <w:noProof/>
            <w:webHidden/>
          </w:rPr>
          <w:fldChar w:fldCharType="begin"/>
        </w:r>
        <w:r w:rsidR="00BF2155">
          <w:rPr>
            <w:noProof/>
            <w:webHidden/>
          </w:rPr>
          <w:instrText xml:space="preserve"> PAGEREF _Toc65253655 \h </w:instrText>
        </w:r>
        <w:r w:rsidR="00BF2155">
          <w:rPr>
            <w:noProof/>
            <w:webHidden/>
          </w:rPr>
        </w:r>
        <w:r w:rsidR="00BF2155">
          <w:rPr>
            <w:noProof/>
            <w:webHidden/>
          </w:rPr>
          <w:fldChar w:fldCharType="separate"/>
        </w:r>
        <w:r w:rsidR="00BF2155">
          <w:rPr>
            <w:noProof/>
            <w:webHidden/>
          </w:rPr>
          <w:t>134</w:t>
        </w:r>
        <w:r w:rsidR="00BF2155">
          <w:rPr>
            <w:noProof/>
            <w:webHidden/>
          </w:rPr>
          <w:fldChar w:fldCharType="end"/>
        </w:r>
      </w:hyperlink>
    </w:p>
    <w:p w14:paraId="173B027D" w14:textId="40408C71" w:rsidR="00BF2155" w:rsidRDefault="0038137E">
      <w:pPr>
        <w:pStyle w:val="TableofFigures"/>
        <w:tabs>
          <w:tab w:val="right" w:leader="dot" w:pos="9017"/>
        </w:tabs>
        <w:rPr>
          <w:rFonts w:asciiTheme="minorHAnsi" w:eastAsiaTheme="minorEastAsia" w:hAnsiTheme="minorHAnsi" w:cstheme="minorBidi"/>
          <w:noProof/>
          <w:sz w:val="22"/>
          <w:szCs w:val="22"/>
          <w:lang w:val="en-ZA" w:eastAsia="en-ZA"/>
        </w:rPr>
      </w:pPr>
      <w:hyperlink w:anchor="_Toc65253656" w:history="1">
        <w:r w:rsidR="00BF2155" w:rsidRPr="00382B2B">
          <w:rPr>
            <w:rStyle w:val="Hyperlink"/>
            <w:b/>
            <w:bCs/>
            <w:noProof/>
          </w:rPr>
          <w:t>Figure 5.5:</w:t>
        </w:r>
        <w:r w:rsidR="00BF2155" w:rsidRPr="00382B2B">
          <w:rPr>
            <w:rStyle w:val="Hyperlink"/>
            <w:noProof/>
          </w:rPr>
          <w:t xml:space="preserve">  Model illustrating the mechanism of the inhibitory effect of moringa leave food-to-food fortification of wholegrain cereal porridge on iron and zinc bioaccessibility (a component of bioavailability)</w:t>
        </w:r>
        <w:r w:rsidR="00BF2155">
          <w:rPr>
            <w:noProof/>
            <w:webHidden/>
          </w:rPr>
          <w:tab/>
        </w:r>
        <w:r w:rsidR="00BF2155">
          <w:rPr>
            <w:noProof/>
            <w:webHidden/>
          </w:rPr>
          <w:fldChar w:fldCharType="begin"/>
        </w:r>
        <w:r w:rsidR="00BF2155">
          <w:rPr>
            <w:noProof/>
            <w:webHidden/>
          </w:rPr>
          <w:instrText xml:space="preserve"> PAGEREF _Toc65253656 \h </w:instrText>
        </w:r>
        <w:r w:rsidR="00BF2155">
          <w:rPr>
            <w:noProof/>
            <w:webHidden/>
          </w:rPr>
        </w:r>
        <w:r w:rsidR="00BF2155">
          <w:rPr>
            <w:noProof/>
            <w:webHidden/>
          </w:rPr>
          <w:fldChar w:fldCharType="separate"/>
        </w:r>
        <w:r w:rsidR="00BF2155">
          <w:rPr>
            <w:noProof/>
            <w:webHidden/>
          </w:rPr>
          <w:t>136</w:t>
        </w:r>
        <w:r w:rsidR="00BF2155">
          <w:rPr>
            <w:noProof/>
            <w:webHidden/>
          </w:rPr>
          <w:fldChar w:fldCharType="end"/>
        </w:r>
      </w:hyperlink>
    </w:p>
    <w:p w14:paraId="1515BDE5" w14:textId="4DDB3D7E" w:rsidR="00B071FC" w:rsidRPr="00B071FC" w:rsidRDefault="001F4CF5" w:rsidP="001F4CF5">
      <w:r>
        <w:fldChar w:fldCharType="end"/>
      </w:r>
    </w:p>
    <w:p w14:paraId="51FE7C81" w14:textId="77777777" w:rsidR="00B071FC" w:rsidRDefault="00B071FC" w:rsidP="001F4CF5"/>
    <w:p w14:paraId="1840C19A" w14:textId="64454F42" w:rsidR="00B071FC" w:rsidRPr="00B071FC" w:rsidRDefault="00B071FC" w:rsidP="001F4CF5">
      <w:pPr>
        <w:sectPr w:rsidR="00B071FC" w:rsidRPr="00B071FC" w:rsidSect="00BF2155">
          <w:headerReference w:type="default" r:id="rId12"/>
          <w:pgSz w:w="11907" w:h="16839" w:code="9"/>
          <w:pgMar w:top="1440" w:right="1440" w:bottom="1440" w:left="1440" w:header="720" w:footer="720" w:gutter="0"/>
          <w:pgNumType w:fmt="lowerRoman" w:start="11"/>
          <w:cols w:space="720"/>
          <w:docGrid w:linePitch="360"/>
        </w:sectPr>
      </w:pPr>
    </w:p>
    <w:p w14:paraId="61539E75" w14:textId="2BD12997" w:rsidR="002B5038" w:rsidRPr="00FF2FCD" w:rsidRDefault="002B5038" w:rsidP="00AC0B57">
      <w:pPr>
        <w:pStyle w:val="Heading1"/>
        <w:numPr>
          <w:ilvl w:val="0"/>
          <w:numId w:val="20"/>
        </w:numPr>
      </w:pPr>
      <w:bookmarkStart w:id="8" w:name="_Toc65253540"/>
      <w:r>
        <w:lastRenderedPageBreak/>
        <w:t>INTRODUCTION</w:t>
      </w:r>
      <w:bookmarkEnd w:id="8"/>
    </w:p>
    <w:p w14:paraId="33C128E5" w14:textId="77777777" w:rsidR="003C4AF8" w:rsidRDefault="002B5038" w:rsidP="006E6B51">
      <w:r>
        <w:t xml:space="preserve">Essential mineral deficiencies, including iron and zinc </w:t>
      </w:r>
      <w:r w:rsidR="003C4AF8">
        <w:t xml:space="preserve">deficiencies </w:t>
      </w:r>
      <w:r>
        <w:t xml:space="preserve">remain a major </w:t>
      </w:r>
      <w:r w:rsidR="00E05211">
        <w:t xml:space="preserve">widespread </w:t>
      </w:r>
      <w:r>
        <w:t>public health challenge (</w:t>
      </w:r>
      <w:r w:rsidR="00E05211">
        <w:t>Development Initiatives</w:t>
      </w:r>
      <w:r>
        <w:t>, 2018). Iron deficiency (ID) is the most common cause of anaemia, responsible for approximately 50% and 42% of all anaemia cases among women and children under age five, respectively worldwide (WHO, 2017). The World Health Organization (WHO) estimates that iron deficiency anaemia (IDA) affects 800 million children and women globally, with the highest prevalence in Africa, Eastern Mediterranean and South-East Asia (WHO</w:t>
      </w:r>
      <w:r w:rsidR="007C6267">
        <w:t>,</w:t>
      </w:r>
      <w:r>
        <w:t xml:space="preserve"> 2015). </w:t>
      </w:r>
      <w:r w:rsidRPr="009F6A5C">
        <w:t xml:space="preserve">In Africa, approximately 39% </w:t>
      </w:r>
      <w:r w:rsidRPr="00FF7648">
        <w:t xml:space="preserve">of women of reproductive age </w:t>
      </w:r>
      <w:r w:rsidRPr="009F6A5C">
        <w:t>(79 million)</w:t>
      </w:r>
      <w:r>
        <w:t xml:space="preserve"> (WHO, 2015)</w:t>
      </w:r>
      <w:r w:rsidRPr="009F6A5C">
        <w:t xml:space="preserve"> </w:t>
      </w:r>
      <w:r>
        <w:t>and 30% of school-aged children (Best</w:t>
      </w:r>
      <w:r>
        <w:rPr>
          <w:iCs/>
        </w:rPr>
        <w:t xml:space="preserve"> et al.,</w:t>
      </w:r>
      <w:r>
        <w:t xml:space="preserve"> 2010) have anaemia,</w:t>
      </w:r>
      <w:r w:rsidRPr="009F6A5C">
        <w:t xml:space="preserve"> </w:t>
      </w:r>
      <w:r>
        <w:t>respectively</w:t>
      </w:r>
      <w:r w:rsidRPr="009F6A5C">
        <w:t xml:space="preserve">. </w:t>
      </w:r>
      <w:r>
        <w:t>ID and IDA in childhood results in impaired mental and cognitive development and consequently reduced learning achievements in children, impaired physical development and reduced work capability in adults. (Victora et al.,</w:t>
      </w:r>
      <w:r>
        <w:rPr>
          <w:i/>
        </w:rPr>
        <w:t xml:space="preserve"> </w:t>
      </w:r>
      <w:r>
        <w:t>2008; WHO</w:t>
      </w:r>
      <w:r w:rsidR="007C6267">
        <w:t>,</w:t>
      </w:r>
      <w:r>
        <w:t xml:space="preserve"> 2017).</w:t>
      </w:r>
      <w:r w:rsidRPr="009F6A5C">
        <w:t xml:space="preserve"> </w:t>
      </w:r>
      <w:r>
        <w:t>Poor maternal and birth outcomes are also associated with anaemia (WHO</w:t>
      </w:r>
      <w:r w:rsidR="007C6267">
        <w:t>,</w:t>
      </w:r>
      <w:r>
        <w:t xml:space="preserve"> 2017). </w:t>
      </w:r>
    </w:p>
    <w:p w14:paraId="11BA4076" w14:textId="77777777" w:rsidR="003C4AF8" w:rsidRDefault="003C4AF8" w:rsidP="00220A2D">
      <w:pPr>
        <w:spacing w:after="0"/>
      </w:pPr>
    </w:p>
    <w:p w14:paraId="5FF2DE72" w14:textId="144AB97A" w:rsidR="002B5038" w:rsidRDefault="002B5038" w:rsidP="006E6B51">
      <w:r w:rsidRPr="009F6A5C">
        <w:t>Zinc deficiency is also common</w:t>
      </w:r>
      <w:r>
        <w:t>.</w:t>
      </w:r>
      <w:r w:rsidRPr="009F6A5C">
        <w:t xml:space="preserve"> </w:t>
      </w:r>
      <w:r>
        <w:t>S</w:t>
      </w:r>
      <w:r w:rsidRPr="009F6A5C">
        <w:t>everal studies have documented high rate</w:t>
      </w:r>
      <w:r>
        <w:t>s</w:t>
      </w:r>
      <w:r w:rsidRPr="009F6A5C">
        <w:t xml:space="preserve"> of insufficient zinc intake and deficiencies of </w:t>
      </w:r>
      <w:r>
        <w:t>between</w:t>
      </w:r>
      <w:r w:rsidRPr="009F6A5C">
        <w:t xml:space="preserve"> 29</w:t>
      </w:r>
      <w:r>
        <w:t xml:space="preserve"> and </w:t>
      </w:r>
      <w:r w:rsidRPr="009F6A5C">
        <w:t xml:space="preserve">59% in some </w:t>
      </w:r>
      <w:r>
        <w:t>countries in sub-Saharan Africa (Engle-Stone et al., 2014)</w:t>
      </w:r>
      <w:r w:rsidRPr="009F6A5C">
        <w:t>.</w:t>
      </w:r>
      <w:r>
        <w:t xml:space="preserve"> </w:t>
      </w:r>
      <w:r w:rsidR="008A0FC7">
        <w:t>Zinc deficiency has been implicated in increased risk and severity of infections, retarded growth in children and adverse pregnancy outcome (Hess et al., 2009)</w:t>
      </w:r>
      <w:r>
        <w:t xml:space="preserve">. </w:t>
      </w:r>
    </w:p>
    <w:p w14:paraId="034CA37E" w14:textId="77777777" w:rsidR="002B5038" w:rsidRDefault="002B5038" w:rsidP="008A0FC7">
      <w:pPr>
        <w:spacing w:after="0"/>
      </w:pPr>
    </w:p>
    <w:p w14:paraId="2E28D7B7" w14:textId="22BBEC32" w:rsidR="002B5038" w:rsidRDefault="002B5038" w:rsidP="00AC0B57">
      <w:r>
        <w:t xml:space="preserve">Animal-based foods rich in readily available forms of iron and zinc are limited in the diet of much of the population in most developing countries (Fiorentino </w:t>
      </w:r>
      <w:r w:rsidRPr="00B35A06">
        <w:t>et al</w:t>
      </w:r>
      <w:r>
        <w:t>., 2016). Most people in low-income countries consume staple plant-based foods, including cereals, legumes and seeds, which contain poorly bioavailable iron and zinc (Gibson et al., 2018). Two of the most consumed cereal staples in Africa are pearl millet and maize. Pearl millet is widely produced and consumed by millions of people in Africa (Jukanti et al., 2016). Many countries in sub-Saharan Africa contribute significantly to pearl millet production worldwide, especially in Western and Central Africa (</w:t>
      </w:r>
      <w:bookmarkStart w:id="9" w:name="_Hlk50734514"/>
      <w:r>
        <w:t>FAO, 2015</w:t>
      </w:r>
      <w:bookmarkEnd w:id="9"/>
      <w:r>
        <w:t>)</w:t>
      </w:r>
      <w:r w:rsidR="003C4AF8">
        <w:t>,</w:t>
      </w:r>
      <w:r>
        <w:t xml:space="preserve"> with the major countries being Niger, Mali, Burkina Faso, Nigeria</w:t>
      </w:r>
      <w:r w:rsidR="00215C1E">
        <w:t>, Chad</w:t>
      </w:r>
      <w:r>
        <w:t xml:space="preserve"> and Senegal. There is also </w:t>
      </w:r>
      <w:r w:rsidR="00F018A4">
        <w:t>considerable</w:t>
      </w:r>
      <w:r>
        <w:t xml:space="preserve"> production of the crop in the Eastern and Southern Africa (</w:t>
      </w:r>
      <w:r w:rsidR="00F018A4">
        <w:t xml:space="preserve">Jukanti et al., 2016; </w:t>
      </w:r>
      <w:r>
        <w:t>Taylor, 2016)</w:t>
      </w:r>
      <w:r w:rsidR="003C4AF8">
        <w:t>,</w:t>
      </w:r>
      <w:r w:rsidR="00F018A4">
        <w:t xml:space="preserve"> with the major countries being Ethiopia, Sudan and Tanzania (Jukanti et al., 2016)</w:t>
      </w:r>
      <w:r>
        <w:t>. Maize is the most widely grown food staple in sub-Saharan Africa (Smale</w:t>
      </w:r>
      <w:r w:rsidR="00120B2F">
        <w:t xml:space="preserve"> et al.</w:t>
      </w:r>
      <w:r>
        <w:t>, 201</w:t>
      </w:r>
      <w:r w:rsidR="00120B2F">
        <w:t>1</w:t>
      </w:r>
      <w:r>
        <w:t xml:space="preserve">). It accounts for 40% of cereal </w:t>
      </w:r>
      <w:r>
        <w:lastRenderedPageBreak/>
        <w:t>production, of which more than 80% is utilized as food (Ekpa et al., 2019). In Africa, it is estimated that 52–450 g maize is consumed per person/day. These cereal grains are therefore vital sources of food macronutrients such as carbohydrates, fat, proteins, and important sources of micronutrients like iron, zinc and vitamin E in many African countries (</w:t>
      </w:r>
      <w:r>
        <w:rPr>
          <w:lang w:val="en-ZA"/>
        </w:rPr>
        <w:t>Ranum et al., 2014; Taylor, 2016</w:t>
      </w:r>
      <w:r>
        <w:t xml:space="preserve">). </w:t>
      </w:r>
    </w:p>
    <w:p w14:paraId="6FE85122" w14:textId="77777777" w:rsidR="002B5038" w:rsidRDefault="002B5038" w:rsidP="00120B2F">
      <w:pPr>
        <w:spacing w:after="0"/>
      </w:pPr>
    </w:p>
    <w:p w14:paraId="1B172A1D" w14:textId="6F7B3E89" w:rsidR="00D5016D" w:rsidRDefault="002B5038" w:rsidP="00D5016D">
      <w:r>
        <w:t xml:space="preserve">However, pearl millet and maize, like other grains, contain antinutritional factors which limit the bioavailability of essential </w:t>
      </w:r>
      <w:r w:rsidR="00956A23">
        <w:t>minerals</w:t>
      </w:r>
      <w:r>
        <w:t xml:space="preserve"> like iron and zinc (</w:t>
      </w:r>
      <w:r>
        <w:rPr>
          <w:lang w:val="en-ZA"/>
        </w:rPr>
        <w:t xml:space="preserve">Taylor, 2016; </w:t>
      </w:r>
      <w:r>
        <w:t>Ekpa et al., 2019), which contributes to their deficiency in the diet of communities consuming monotonous cereal-based diets. Moreover, many</w:t>
      </w:r>
      <w:r w:rsidRPr="008E4D9F">
        <w:t xml:space="preserve"> </w:t>
      </w:r>
      <w:r>
        <w:t>poor communities</w:t>
      </w:r>
      <w:r w:rsidRPr="008E4D9F">
        <w:t xml:space="preserve"> at</w:t>
      </w:r>
      <w:r>
        <w:t>-</w:t>
      </w:r>
      <w:r w:rsidRPr="008E4D9F">
        <w:t xml:space="preserve">risk </w:t>
      </w:r>
      <w:r>
        <w:t xml:space="preserve">of these mineral deficiencies </w:t>
      </w:r>
      <w:r w:rsidRPr="008E4D9F">
        <w:t>often</w:t>
      </w:r>
      <w:r w:rsidR="003C4AF8">
        <w:t xml:space="preserve"> do not have access to</w:t>
      </w:r>
      <w:r w:rsidRPr="008E4D9F">
        <w:t xml:space="preserve"> </w:t>
      </w:r>
      <w:r>
        <w:t xml:space="preserve">conventional micronutrient fortified foods (Dairo </w:t>
      </w:r>
      <w:r w:rsidR="008F352A">
        <w:t>&amp;</w:t>
      </w:r>
      <w:r>
        <w:t xml:space="preserve"> Ige</w:t>
      </w:r>
      <w:r w:rsidR="00956A23">
        <w:t>,</w:t>
      </w:r>
      <w:r>
        <w:t xml:space="preserve"> 2009; Bouis, 2018). Food-to-food fortification of commonly consumed staple cereal foods with micronutrient-dense fruits and vegetables is increasingly recognized as an emerging tool to fight mineral deficiencies in developing countries (Chadare et al., 2019; Kruger et al., 2020). Therefore, food-to-food fortification of pearl millet</w:t>
      </w:r>
      <w:r w:rsidRPr="00D355EF">
        <w:t xml:space="preserve"> </w:t>
      </w:r>
      <w:r>
        <w:t xml:space="preserve">and maize </w:t>
      </w:r>
      <w:r w:rsidRPr="00D355EF">
        <w:t xml:space="preserve">with </w:t>
      </w:r>
      <w:r>
        <w:t xml:space="preserve">local African </w:t>
      </w:r>
      <w:r w:rsidRPr="00D355EF">
        <w:t>plant</w:t>
      </w:r>
      <w:r>
        <w:t xml:space="preserve"> foods, rich in essential minerals and enhancers of mineral bioavailability</w:t>
      </w:r>
      <w:r w:rsidRPr="00D355EF">
        <w:t xml:space="preserve"> could be a</w:t>
      </w:r>
      <w:r>
        <w:t>n additional</w:t>
      </w:r>
      <w:r w:rsidRPr="00D355EF">
        <w:t xml:space="preserve"> </w:t>
      </w:r>
      <w:r w:rsidR="008F352A">
        <w:t xml:space="preserve">and </w:t>
      </w:r>
      <w:r w:rsidRPr="00D355EF">
        <w:t>su</w:t>
      </w:r>
      <w:r>
        <w:t>stainable food-based strategy to improve</w:t>
      </w:r>
      <w:r w:rsidRPr="00D355EF">
        <w:t xml:space="preserve"> iron and zinc nutrit</w:t>
      </w:r>
      <w:r>
        <w:t xml:space="preserve">ive </w:t>
      </w:r>
      <w:r w:rsidR="00120B2F">
        <w:t xml:space="preserve">value </w:t>
      </w:r>
      <w:r>
        <w:t>of these widely grown and consumed cereals. Thus, this study</w:t>
      </w:r>
      <w:r w:rsidRPr="00B12096">
        <w:t xml:space="preserve"> </w:t>
      </w:r>
      <w:r>
        <w:t>aims to evaluate the potential of food-to-food fortification of</w:t>
      </w:r>
      <w:r w:rsidRPr="00BF22A1">
        <w:t xml:space="preserve"> wholegrain pearl millet and maize </w:t>
      </w:r>
      <w:r>
        <w:t xml:space="preserve">African-type </w:t>
      </w:r>
      <w:r w:rsidRPr="00BF22A1">
        <w:t xml:space="preserve">porridges </w:t>
      </w:r>
      <w:r>
        <w:t>with locally available fruits and vegetables to improve essential mineral bioavailability</w:t>
      </w:r>
      <w:r w:rsidR="002A2148">
        <w:t>.</w:t>
      </w:r>
    </w:p>
    <w:p w14:paraId="63BD2A44" w14:textId="77777777" w:rsidR="00D5016D" w:rsidRDefault="00D5016D" w:rsidP="00D5016D"/>
    <w:p w14:paraId="2F1EF8A8" w14:textId="77777777" w:rsidR="00D5016D" w:rsidRDefault="00D5016D" w:rsidP="00D5016D"/>
    <w:p w14:paraId="7E76C345" w14:textId="77777777" w:rsidR="00D5016D" w:rsidRDefault="00D5016D" w:rsidP="00D5016D"/>
    <w:p w14:paraId="60081AEF" w14:textId="77777777" w:rsidR="00D5016D" w:rsidRDefault="00D5016D" w:rsidP="00D5016D"/>
    <w:p w14:paraId="7C50DAEB" w14:textId="77777777" w:rsidR="00D5016D" w:rsidRDefault="00D5016D" w:rsidP="00D5016D"/>
    <w:p w14:paraId="159A2599" w14:textId="77777777" w:rsidR="00D5016D" w:rsidRDefault="00D5016D" w:rsidP="00D5016D"/>
    <w:p w14:paraId="21F91BB2" w14:textId="77777777" w:rsidR="00D5016D" w:rsidRDefault="00D5016D" w:rsidP="00D5016D"/>
    <w:p w14:paraId="103B6F2B" w14:textId="77777777" w:rsidR="00D5016D" w:rsidRDefault="00D5016D" w:rsidP="00D5016D"/>
    <w:p w14:paraId="3B031307" w14:textId="77777777" w:rsidR="00D5016D" w:rsidRDefault="00D5016D" w:rsidP="00D5016D"/>
    <w:p w14:paraId="4E002186" w14:textId="4D051132" w:rsidR="005B2E77" w:rsidRDefault="005B2E77" w:rsidP="00D5016D">
      <w:pPr>
        <w:pStyle w:val="Heading1"/>
        <w:rPr>
          <w:lang w:val="en-ZA"/>
        </w:rPr>
      </w:pPr>
      <w:bookmarkStart w:id="10" w:name="_Toc65253541"/>
      <w:r w:rsidRPr="00326576">
        <w:rPr>
          <w:lang w:val="en-ZA"/>
        </w:rPr>
        <w:lastRenderedPageBreak/>
        <w:t>2</w:t>
      </w:r>
      <w:r w:rsidR="008F352A">
        <w:rPr>
          <w:lang w:val="en-ZA"/>
        </w:rPr>
        <w:t>.</w:t>
      </w:r>
      <w:r w:rsidR="00A97AD3">
        <w:rPr>
          <w:lang w:val="en-ZA"/>
        </w:rPr>
        <w:tab/>
      </w:r>
      <w:r w:rsidRPr="00326576">
        <w:rPr>
          <w:lang w:val="en-ZA"/>
        </w:rPr>
        <w:t>LITERATURE REVIEW</w:t>
      </w:r>
      <w:bookmarkEnd w:id="10"/>
    </w:p>
    <w:p w14:paraId="7612E260" w14:textId="5234CCA6" w:rsidR="005B2E77" w:rsidRDefault="005B2E77" w:rsidP="004F5656">
      <w:pPr>
        <w:pStyle w:val="Heading2"/>
        <w:rPr>
          <w:lang w:val="en-ZA"/>
        </w:rPr>
      </w:pPr>
      <w:bookmarkStart w:id="11" w:name="_Toc65253542"/>
      <w:r>
        <w:rPr>
          <w:lang w:val="en-ZA"/>
        </w:rPr>
        <w:t>2.1</w:t>
      </w:r>
      <w:r w:rsidR="00A97AD3">
        <w:rPr>
          <w:lang w:val="en-ZA"/>
        </w:rPr>
        <w:tab/>
      </w:r>
      <w:r>
        <w:rPr>
          <w:lang w:val="en-ZA"/>
        </w:rPr>
        <w:t>O</w:t>
      </w:r>
      <w:r w:rsidR="00562E2A">
        <w:rPr>
          <w:lang w:val="en-ZA"/>
        </w:rPr>
        <w:t>verview</w:t>
      </w:r>
      <w:bookmarkEnd w:id="11"/>
    </w:p>
    <w:p w14:paraId="4D836EC4" w14:textId="36DFBC09" w:rsidR="005B2E77" w:rsidRPr="007B2F9B" w:rsidRDefault="005B2E77" w:rsidP="006E6B51">
      <w:bookmarkStart w:id="12" w:name="_Hlk38735963"/>
      <w:r>
        <w:t>In this literature review, the function of iron and zinc in the body</w:t>
      </w:r>
      <w:r w:rsidR="00B7155A">
        <w:t xml:space="preserve">, </w:t>
      </w:r>
      <w:r w:rsidR="00120B2F">
        <w:t xml:space="preserve">their </w:t>
      </w:r>
      <w:r w:rsidR="00B7155A">
        <w:t>absorption</w:t>
      </w:r>
      <w:r>
        <w:t xml:space="preserve"> </w:t>
      </w:r>
      <w:r w:rsidR="009830C9">
        <w:t xml:space="preserve">from dietary sources </w:t>
      </w:r>
      <w:r>
        <w:t xml:space="preserve">as well as iron and zinc nutritional issues among school-age children and women of reproductive age in Africa are reviewed and discussed. This is followed by a review of nutritional intervention strategies to combat mineral deficiencies. Cereals as dietary sources of essential minerals in Africa as well as the potential of antinutritional factors in these cereals to limit the bioavailability of the minerals are then reviewed. This is followed by a review of the research on food sources of iron and zinc, and improvement of iron and zinc bioavailability in plant foods with known enhancers of mineral bioavailability. The techniques for assessment of iron and zinc bioavailability are briefly reviewed. Lastly, the review </w:t>
      </w:r>
      <w:r w:rsidR="005A5205">
        <w:t>is</w:t>
      </w:r>
      <w:r>
        <w:t xml:space="preserve"> concluded </w:t>
      </w:r>
      <w:r w:rsidR="003C4AF8">
        <w:t xml:space="preserve">by indicating </w:t>
      </w:r>
      <w:r w:rsidR="00BA1BBF">
        <w:t>that there is</w:t>
      </w:r>
      <w:r>
        <w:t xml:space="preserve"> need for more scientific studies to </w:t>
      </w:r>
      <w:r w:rsidR="003C4AF8">
        <w:t>demonstrate</w:t>
      </w:r>
      <w:r>
        <w:t xml:space="preserve"> the effectiveness of food-to-food fortification as a complementing nutritional strategy to enhance mineral bioavailability in African cereal foods.</w:t>
      </w:r>
      <w:bookmarkEnd w:id="12"/>
    </w:p>
    <w:p w14:paraId="463D32A3" w14:textId="77777777" w:rsidR="005B2E77" w:rsidRDefault="005B2E77" w:rsidP="005B2E77">
      <w:pPr>
        <w:spacing w:after="0"/>
        <w:rPr>
          <w:rFonts w:cs="Times New Roman"/>
          <w:b/>
          <w:szCs w:val="24"/>
        </w:rPr>
      </w:pPr>
    </w:p>
    <w:p w14:paraId="34CC8476" w14:textId="54B6B79C" w:rsidR="005B2E77" w:rsidRPr="00621C57" w:rsidRDefault="005B2E77" w:rsidP="004F5656">
      <w:pPr>
        <w:pStyle w:val="Heading2"/>
      </w:pPr>
      <w:bookmarkStart w:id="13" w:name="_Toc65253543"/>
      <w:r>
        <w:t>2.2</w:t>
      </w:r>
      <w:r w:rsidR="00A97AD3">
        <w:tab/>
        <w:t xml:space="preserve">Iron and zinc functions in the body, </w:t>
      </w:r>
      <w:r w:rsidR="00980B28">
        <w:t xml:space="preserve">their </w:t>
      </w:r>
      <w:r w:rsidR="00A97AD3">
        <w:t>absorption</w:t>
      </w:r>
      <w:r w:rsidR="00980B28">
        <w:t xml:space="preserve"> from dietary sources</w:t>
      </w:r>
      <w:r w:rsidR="00A97AD3">
        <w:t xml:space="preserve">, and </w:t>
      </w:r>
      <w:r w:rsidR="00980B28">
        <w:t xml:space="preserve">their </w:t>
      </w:r>
      <w:r w:rsidR="00A97AD3">
        <w:t>deficiencies – focus on African issues</w:t>
      </w:r>
      <w:bookmarkEnd w:id="13"/>
    </w:p>
    <w:p w14:paraId="25027644" w14:textId="0EAC793C" w:rsidR="005B2E77" w:rsidRPr="00A97AD3" w:rsidRDefault="005B2E77" w:rsidP="00A97AD3">
      <w:pPr>
        <w:pStyle w:val="Heading3"/>
      </w:pPr>
      <w:bookmarkStart w:id="14" w:name="_Toc65253544"/>
      <w:r w:rsidRPr="00A97AD3">
        <w:t>2.2</w:t>
      </w:r>
      <w:r w:rsidR="00A97AD3" w:rsidRPr="00A97AD3">
        <w:t>.1</w:t>
      </w:r>
      <w:r w:rsidR="00A97AD3" w:rsidRPr="00A97AD3">
        <w:tab/>
      </w:r>
      <w:r w:rsidRPr="00A97AD3">
        <w:t xml:space="preserve"> Iron</w:t>
      </w:r>
      <w:bookmarkEnd w:id="14"/>
    </w:p>
    <w:p w14:paraId="6A7FC88C" w14:textId="6E6FC82F" w:rsidR="005B2E77" w:rsidRDefault="005B2E77" w:rsidP="006E6B51">
      <w:r>
        <w:t xml:space="preserve">Iron is required for a variety of vital functions in humans. These </w:t>
      </w:r>
      <w:r w:rsidR="00DD740B">
        <w:t>include</w:t>
      </w:r>
      <w:r>
        <w:t xml:space="preserve"> oxygen transport for cellular respiration, DNA synthesis (Gozzelino </w:t>
      </w:r>
      <w:r w:rsidR="00935811">
        <w:t>&amp;</w:t>
      </w:r>
      <w:r>
        <w:t xml:space="preserve"> Arosio, 2016), as well as optimal growth and cognitive function (Food </w:t>
      </w:r>
      <w:r w:rsidR="00BA1BBF">
        <w:t>&amp;</w:t>
      </w:r>
      <w:r>
        <w:t xml:space="preserve"> Nutrition Board, 2001). Approximately 4</w:t>
      </w:r>
      <w:r w:rsidR="005A5205">
        <w:t xml:space="preserve"> to </w:t>
      </w:r>
      <w:r>
        <w:t xml:space="preserve">5 g of iron is maintained in the body of a healthy individual (Gozzelino </w:t>
      </w:r>
      <w:r w:rsidR="00935811">
        <w:t>&amp;</w:t>
      </w:r>
      <w:r>
        <w:t xml:space="preserve"> Arosio, 2016) of which about 67% is in the red blood cells, while the rest and excess iron is stored in the liver (the major storage site for iron) as ferritin and haemosiderin (Kohgo et al., 2008). The required amount of iron in the body is maintained by a well-controlled absorption, mobilization, storage and recycling system</w:t>
      </w:r>
      <w:r w:rsidR="00A472EF">
        <w:t xml:space="preserve"> (Gozzelino &amp; Arosio, 2016)</w:t>
      </w:r>
      <w:r>
        <w:t xml:space="preserve">. Iron uptake and absorption from </w:t>
      </w:r>
      <w:r w:rsidR="00B7155A">
        <w:t>adequate dietary sources</w:t>
      </w:r>
      <w:r>
        <w:t xml:space="preserve"> as well as recycling of dead red blood cells in the body are efficient enough to supply the iron needs for the daily synthesis of haemoglobin</w:t>
      </w:r>
      <w:r w:rsidR="00A472EF">
        <w:t xml:space="preserve">. Haemoglobin is </w:t>
      </w:r>
      <w:r>
        <w:t>the iron-containing protein in the red blood cells responsible for oxygen transport in the body (</w:t>
      </w:r>
      <w:r w:rsidR="00A472EF">
        <w:t>Gupta, 2014)</w:t>
      </w:r>
      <w:r>
        <w:t xml:space="preserve">. </w:t>
      </w:r>
    </w:p>
    <w:p w14:paraId="433D8564" w14:textId="77777777" w:rsidR="005B2E77" w:rsidRDefault="005B2E77" w:rsidP="00B7155A">
      <w:pPr>
        <w:spacing w:after="0"/>
        <w:rPr>
          <w:rFonts w:cs="Times New Roman"/>
          <w:szCs w:val="24"/>
        </w:rPr>
      </w:pPr>
    </w:p>
    <w:p w14:paraId="2A3321B3" w14:textId="44BE1A99" w:rsidR="005B2E77" w:rsidRDefault="003F3035" w:rsidP="006E6B51">
      <w:pPr>
        <w:rPr>
          <w:rFonts w:cs="Times New Roman"/>
          <w:szCs w:val="24"/>
        </w:rPr>
      </w:pPr>
      <w:r>
        <w:rPr>
          <w:rFonts w:cs="Times New Roman"/>
          <w:szCs w:val="24"/>
        </w:rPr>
        <w:lastRenderedPageBreak/>
        <w:t>In human diet, the</w:t>
      </w:r>
      <w:r w:rsidR="005B2E77">
        <w:rPr>
          <w:rFonts w:cs="Times New Roman"/>
          <w:szCs w:val="24"/>
        </w:rPr>
        <w:t xml:space="preserve"> sources of iron are </w:t>
      </w:r>
      <w:r w:rsidR="005A5205">
        <w:rPr>
          <w:rFonts w:cs="Times New Roman"/>
          <w:szCs w:val="24"/>
        </w:rPr>
        <w:t xml:space="preserve">normally </w:t>
      </w:r>
      <w:r w:rsidR="005B2E77">
        <w:rPr>
          <w:rFonts w:cs="Times New Roman"/>
          <w:szCs w:val="24"/>
        </w:rPr>
        <w:t>animal foods, for example: red meat, fish and poultry and plant foods such as cereals, green leafy vegetables</w:t>
      </w:r>
      <w:r>
        <w:rPr>
          <w:rFonts w:cs="Times New Roman"/>
          <w:szCs w:val="24"/>
        </w:rPr>
        <w:t>,</w:t>
      </w:r>
      <w:r w:rsidR="005B2E77">
        <w:rPr>
          <w:rFonts w:cs="Times New Roman"/>
          <w:szCs w:val="24"/>
        </w:rPr>
        <w:t xml:space="preserve"> legumes</w:t>
      </w:r>
      <w:r>
        <w:rPr>
          <w:rFonts w:cs="Times New Roman"/>
          <w:szCs w:val="24"/>
        </w:rPr>
        <w:t>, pulses and fruits</w:t>
      </w:r>
      <w:r w:rsidR="005B2E77">
        <w:rPr>
          <w:rFonts w:cs="Times New Roman"/>
          <w:szCs w:val="24"/>
        </w:rPr>
        <w:t xml:space="preserve"> (</w:t>
      </w:r>
      <w:r>
        <w:rPr>
          <w:rFonts w:cs="Times New Roman"/>
          <w:szCs w:val="24"/>
        </w:rPr>
        <w:t>WHO &amp; FAO, 2004</w:t>
      </w:r>
      <w:r w:rsidR="005B2E77">
        <w:rPr>
          <w:rFonts w:cs="Times New Roman"/>
          <w:szCs w:val="24"/>
        </w:rPr>
        <w:t xml:space="preserve">). </w:t>
      </w:r>
      <w:r w:rsidR="005A5205">
        <w:rPr>
          <w:rFonts w:cs="Times New Roman"/>
          <w:szCs w:val="24"/>
        </w:rPr>
        <w:t>A</w:t>
      </w:r>
      <w:r w:rsidR="005B2E77">
        <w:rPr>
          <w:rFonts w:cs="Times New Roman"/>
          <w:szCs w:val="24"/>
        </w:rPr>
        <w:t>nimal source foods provide iron in the form of haem iron which has approximately 25% iron bioavailability when consumed (</w:t>
      </w:r>
      <w:r>
        <w:rPr>
          <w:rFonts w:cs="Times New Roman"/>
          <w:szCs w:val="24"/>
        </w:rPr>
        <w:t>WHO &amp; FAO, 2004</w:t>
      </w:r>
      <w:r w:rsidR="005B2E77">
        <w:rPr>
          <w:rFonts w:cs="Times New Roman"/>
          <w:szCs w:val="24"/>
        </w:rPr>
        <w:t>). Haem iron is the major functional form of iron in mammals (</w:t>
      </w:r>
      <w:r w:rsidR="00BA1BBF" w:rsidRPr="00723DC3">
        <w:rPr>
          <w:rFonts w:cs="Times New Roman"/>
          <w:color w:val="222222"/>
          <w:szCs w:val="24"/>
          <w:shd w:val="clear" w:color="auto" w:fill="FFFFFF"/>
        </w:rPr>
        <w:t>Le Blanc</w:t>
      </w:r>
      <w:r w:rsidR="005B2E77">
        <w:rPr>
          <w:rFonts w:cs="Times New Roman"/>
          <w:szCs w:val="24"/>
        </w:rPr>
        <w:t xml:space="preserve"> et al., 2012) and it is absorbed with the aid of a haem carrier protein (HCP1) into the enterocytes </w:t>
      </w:r>
      <w:r w:rsidR="005B2E77" w:rsidRPr="001B6CAB">
        <w:rPr>
          <w:rFonts w:cs="Times New Roman"/>
          <w:szCs w:val="24"/>
        </w:rPr>
        <w:t>(</w:t>
      </w:r>
      <w:r w:rsidR="005B2E77" w:rsidRPr="001B6CAB">
        <w:rPr>
          <w:rFonts w:cs="Times New Roman"/>
          <w:shd w:val="clear" w:color="auto" w:fill="FFFFFF"/>
        </w:rPr>
        <w:t>intestinal absorptive epithelial cells, lining the inner surface of the small intestine</w:t>
      </w:r>
      <w:r w:rsidR="005B2E77" w:rsidRPr="001B6CAB">
        <w:rPr>
          <w:rFonts w:cs="Times New Roman"/>
          <w:szCs w:val="24"/>
        </w:rPr>
        <w:t>)</w:t>
      </w:r>
      <w:r w:rsidR="005B2E77">
        <w:rPr>
          <w:rFonts w:cs="Times New Roman"/>
          <w:szCs w:val="24"/>
        </w:rPr>
        <w:t xml:space="preserve"> where the haem iron is catabolised by hemeoxygenase-1 (HO-1) (Kohgo et al., 2008). However, </w:t>
      </w:r>
      <w:r w:rsidR="005B2E77" w:rsidRPr="009839FB">
        <w:rPr>
          <w:rFonts w:cs="Times New Roman"/>
          <w:szCs w:val="24"/>
        </w:rPr>
        <w:t xml:space="preserve">in developing regions of the world, including sub-Saharan Africa, </w:t>
      </w:r>
      <w:r w:rsidR="005B2E77">
        <w:rPr>
          <w:rFonts w:cs="Times New Roman"/>
          <w:szCs w:val="24"/>
        </w:rPr>
        <w:t>plant foods are the major dietary sources of most essential minerals. This is because of their relatively low cost compared to animal sources (Kumssa et al., 2015). The iron in plant foods is in the form of non-haem iron, mainly inorganic ferric iron (Fe</w:t>
      </w:r>
      <w:r w:rsidR="00B7155A" w:rsidRPr="00B7155A">
        <w:rPr>
          <w:rFonts w:cs="Times New Roman"/>
          <w:szCs w:val="24"/>
          <w:vertAlign w:val="superscript"/>
        </w:rPr>
        <w:t>3+</w:t>
      </w:r>
      <w:r w:rsidR="005B2E77">
        <w:rPr>
          <w:rFonts w:cs="Times New Roman"/>
          <w:szCs w:val="24"/>
        </w:rPr>
        <w:t>), which is much less bioavailable (</w:t>
      </w:r>
      <w:r w:rsidR="00D963C7">
        <w:rPr>
          <w:rFonts w:cs="Times New Roman"/>
          <w:szCs w:val="24"/>
        </w:rPr>
        <w:t xml:space="preserve">approx. </w:t>
      </w:r>
      <w:r w:rsidR="005B2E77">
        <w:rPr>
          <w:rFonts w:cs="Times New Roman"/>
          <w:szCs w:val="24"/>
        </w:rPr>
        <w:t xml:space="preserve">5%) compared to animal source foods (Food </w:t>
      </w:r>
      <w:r w:rsidR="00DE0F68">
        <w:rPr>
          <w:rFonts w:cs="Times New Roman"/>
          <w:szCs w:val="24"/>
        </w:rPr>
        <w:t>&amp;</w:t>
      </w:r>
      <w:r w:rsidR="005B2E77">
        <w:rPr>
          <w:rFonts w:cs="Times New Roman"/>
          <w:szCs w:val="24"/>
        </w:rPr>
        <w:t xml:space="preserve"> Nutrition Board, 2001). Non-haem iron is absorbed into the duodenum with the aid of an enzyme called duodenal cytochrome b ferrireductase-Dcytb that reduces Fe</w:t>
      </w:r>
      <w:r w:rsidR="00B7155A" w:rsidRPr="00B7155A">
        <w:rPr>
          <w:rFonts w:cs="Times New Roman"/>
          <w:szCs w:val="24"/>
          <w:vertAlign w:val="superscript"/>
        </w:rPr>
        <w:t>3+</w:t>
      </w:r>
      <w:r w:rsidR="005B2E77">
        <w:rPr>
          <w:rFonts w:cs="Times New Roman"/>
          <w:szCs w:val="24"/>
        </w:rPr>
        <w:t xml:space="preserve"> to Fe</w:t>
      </w:r>
      <w:r w:rsidR="00B7155A" w:rsidRPr="00B7155A">
        <w:rPr>
          <w:rFonts w:cs="Times New Roman"/>
          <w:szCs w:val="24"/>
          <w:vertAlign w:val="superscript"/>
        </w:rPr>
        <w:t>2+</w:t>
      </w:r>
      <w:r w:rsidR="005B2E77">
        <w:rPr>
          <w:rFonts w:cs="Times New Roman"/>
          <w:szCs w:val="24"/>
        </w:rPr>
        <w:t xml:space="preserve">, which is then taken up into the enterocytes by the divalent metal transporter-1 (DMT-1) for cellular uptake (Gozzelino </w:t>
      </w:r>
      <w:r w:rsidR="005B2499">
        <w:rPr>
          <w:rFonts w:cs="Times New Roman"/>
          <w:szCs w:val="24"/>
        </w:rPr>
        <w:t>&amp;</w:t>
      </w:r>
      <w:r w:rsidR="005B2E77">
        <w:rPr>
          <w:rFonts w:cs="Times New Roman"/>
          <w:szCs w:val="24"/>
        </w:rPr>
        <w:t xml:space="preserve"> Arosio, 2016). Thereafter, the pool of iron </w:t>
      </w:r>
      <w:r w:rsidR="00B7155A">
        <w:rPr>
          <w:rFonts w:cs="Times New Roman"/>
          <w:szCs w:val="24"/>
        </w:rPr>
        <w:t>Fe</w:t>
      </w:r>
      <w:r w:rsidR="00B7155A" w:rsidRPr="00B7155A">
        <w:rPr>
          <w:rFonts w:cs="Times New Roman"/>
          <w:szCs w:val="24"/>
          <w:vertAlign w:val="superscript"/>
        </w:rPr>
        <w:t>2+</w:t>
      </w:r>
      <w:r w:rsidR="005B2E77">
        <w:rPr>
          <w:rFonts w:cs="Times New Roman"/>
          <w:szCs w:val="24"/>
        </w:rPr>
        <w:t xml:space="preserve"> from both haem and non-haem iron in the enterocytes is then combined and released into the blood stream with the aid of ferroportin. The excreted </w:t>
      </w:r>
      <w:r w:rsidR="00B7155A">
        <w:rPr>
          <w:rFonts w:cs="Times New Roman"/>
          <w:szCs w:val="24"/>
        </w:rPr>
        <w:t>Fe</w:t>
      </w:r>
      <w:r w:rsidR="00B7155A" w:rsidRPr="00B7155A">
        <w:rPr>
          <w:rFonts w:cs="Times New Roman"/>
          <w:szCs w:val="24"/>
          <w:vertAlign w:val="superscript"/>
        </w:rPr>
        <w:t>2+</w:t>
      </w:r>
      <w:r w:rsidR="005B2E77">
        <w:rPr>
          <w:rFonts w:cs="Times New Roman"/>
          <w:szCs w:val="24"/>
        </w:rPr>
        <w:t xml:space="preserve"> is then oxidized to</w:t>
      </w:r>
      <w:r w:rsidR="00B7155A" w:rsidRPr="00B7155A">
        <w:rPr>
          <w:rFonts w:cs="Times New Roman"/>
          <w:szCs w:val="24"/>
        </w:rPr>
        <w:t xml:space="preserve"> </w:t>
      </w:r>
      <w:r w:rsidR="00B7155A">
        <w:rPr>
          <w:rFonts w:cs="Times New Roman"/>
          <w:szCs w:val="24"/>
        </w:rPr>
        <w:t>Fe</w:t>
      </w:r>
      <w:r w:rsidR="00B7155A">
        <w:rPr>
          <w:rFonts w:cs="Times New Roman"/>
          <w:szCs w:val="24"/>
          <w:vertAlign w:val="superscript"/>
        </w:rPr>
        <w:t>3</w:t>
      </w:r>
      <w:r w:rsidR="00B7155A" w:rsidRPr="00B7155A">
        <w:rPr>
          <w:rFonts w:cs="Times New Roman"/>
          <w:szCs w:val="24"/>
          <w:vertAlign w:val="superscript"/>
        </w:rPr>
        <w:t>+</w:t>
      </w:r>
      <w:r w:rsidR="005B2E77">
        <w:rPr>
          <w:rFonts w:cs="Times New Roman"/>
          <w:szCs w:val="24"/>
        </w:rPr>
        <w:t xml:space="preserve">, which is mostly bound to the serum transferrin for transport in the circulation. The transferrin-bound iron is mostly used for bone marrow erythropoiesis (the process which produces red blood cells) (Kohgo et al., 2008). </w:t>
      </w:r>
    </w:p>
    <w:p w14:paraId="06A097BD" w14:textId="77777777" w:rsidR="005B2E77" w:rsidRDefault="005B2E77" w:rsidP="00B7155A">
      <w:pPr>
        <w:spacing w:after="0"/>
        <w:rPr>
          <w:rFonts w:cs="Times New Roman"/>
          <w:szCs w:val="24"/>
        </w:rPr>
      </w:pPr>
    </w:p>
    <w:p w14:paraId="59E9DA9E" w14:textId="3508CAD9" w:rsidR="005B2E77" w:rsidRDefault="005B2E77" w:rsidP="006E6B51">
      <w:pPr>
        <w:rPr>
          <w:rFonts w:cs="Times New Roman"/>
          <w:szCs w:val="24"/>
        </w:rPr>
      </w:pPr>
      <w:r>
        <w:rPr>
          <w:rFonts w:cs="Times New Roman"/>
          <w:szCs w:val="24"/>
        </w:rPr>
        <w:t>As stated, dead red blood cells are recycled for the daily iron needs in the body (</w:t>
      </w:r>
      <w:r w:rsidR="00BA1BBF" w:rsidRPr="00723DC3">
        <w:rPr>
          <w:rFonts w:cs="Times New Roman"/>
          <w:color w:val="222222"/>
          <w:szCs w:val="24"/>
          <w:shd w:val="clear" w:color="auto" w:fill="FFFFFF"/>
        </w:rPr>
        <w:t>Le Blanc</w:t>
      </w:r>
      <w:r>
        <w:rPr>
          <w:rFonts w:cs="Times New Roman"/>
          <w:szCs w:val="24"/>
        </w:rPr>
        <w:t xml:space="preserve"> et al., 2012). Red blood cells, which have an average life span of about 120 days, are processed by macrophages, after which the resulting haem from the phagocytized red blood cells is degraded by the hemeoxygenase-1 (HO-1) and the free iron is released into the blood stream with the aid of ferroportin. The iron is then bound to transferrin in the circulation and utilized for bone marrow erythropoiesis (</w:t>
      </w:r>
      <w:r w:rsidR="00A65FBE" w:rsidRPr="00723DC3">
        <w:rPr>
          <w:rFonts w:cs="Times New Roman"/>
          <w:color w:val="222222"/>
          <w:szCs w:val="24"/>
          <w:shd w:val="clear" w:color="auto" w:fill="FFFFFF"/>
        </w:rPr>
        <w:t>Le Blanc</w:t>
      </w:r>
      <w:r>
        <w:rPr>
          <w:rFonts w:cs="Times New Roman"/>
          <w:szCs w:val="24"/>
        </w:rPr>
        <w:t xml:space="preserve"> et al., 2012)</w:t>
      </w:r>
    </w:p>
    <w:p w14:paraId="7B74B8A2" w14:textId="77777777" w:rsidR="005B2E77" w:rsidRDefault="005B2E77" w:rsidP="00B7155A">
      <w:pPr>
        <w:spacing w:after="0"/>
        <w:rPr>
          <w:rFonts w:cs="Times New Roman"/>
          <w:szCs w:val="24"/>
        </w:rPr>
      </w:pPr>
    </w:p>
    <w:p w14:paraId="47DC2BDE" w14:textId="50DF6BE6" w:rsidR="005B2E77" w:rsidRDefault="005B2E77" w:rsidP="006E6B51">
      <w:pPr>
        <w:rPr>
          <w:rFonts w:cs="Times New Roman"/>
          <w:szCs w:val="24"/>
        </w:rPr>
      </w:pPr>
      <w:r>
        <w:rPr>
          <w:rFonts w:cs="Times New Roman"/>
          <w:szCs w:val="24"/>
        </w:rPr>
        <w:t xml:space="preserve">Despite the well-regulated processes to maintain iron homeostasis in the body, other factors, notably the high physiological needs of children and childbearing women </w:t>
      </w:r>
      <w:r w:rsidR="00532977">
        <w:rPr>
          <w:rFonts w:cs="Times New Roman"/>
          <w:szCs w:val="24"/>
        </w:rPr>
        <w:t>coupled with</w:t>
      </w:r>
      <w:r>
        <w:rPr>
          <w:rFonts w:cs="Times New Roman"/>
          <w:szCs w:val="24"/>
        </w:rPr>
        <w:t xml:space="preserve"> inadequate diet</w:t>
      </w:r>
      <w:r w:rsidR="00532977">
        <w:rPr>
          <w:rFonts w:cs="Times New Roman"/>
          <w:szCs w:val="24"/>
        </w:rPr>
        <w:t>ary iron intake</w:t>
      </w:r>
      <w:r>
        <w:rPr>
          <w:rFonts w:cs="Times New Roman"/>
          <w:szCs w:val="24"/>
        </w:rPr>
        <w:t xml:space="preserve">, can cause </w:t>
      </w:r>
      <w:r w:rsidR="00A77611">
        <w:rPr>
          <w:rFonts w:cs="Times New Roman"/>
          <w:szCs w:val="24"/>
        </w:rPr>
        <w:t>ID</w:t>
      </w:r>
      <w:r w:rsidR="00532977">
        <w:rPr>
          <w:rFonts w:cs="Times New Roman"/>
          <w:szCs w:val="24"/>
        </w:rPr>
        <w:t xml:space="preserve"> (WHO, 2017)</w:t>
      </w:r>
      <w:r>
        <w:rPr>
          <w:rFonts w:cs="Times New Roman"/>
          <w:szCs w:val="24"/>
        </w:rPr>
        <w:t xml:space="preserve">. This is especially the case in much of Africa where iron bioavailability is limited in the dietary plant staples (Jonker et al., </w:t>
      </w:r>
      <w:r>
        <w:rPr>
          <w:rFonts w:cs="Times New Roman"/>
          <w:szCs w:val="24"/>
        </w:rPr>
        <w:lastRenderedPageBreak/>
        <w:t xml:space="preserve">2017). </w:t>
      </w:r>
      <w:r w:rsidR="003C4AF8">
        <w:rPr>
          <w:rFonts w:cs="Times New Roman"/>
          <w:szCs w:val="24"/>
        </w:rPr>
        <w:t xml:space="preserve">In </w:t>
      </w:r>
      <w:r w:rsidR="005A0A5C">
        <w:rPr>
          <w:rFonts w:cs="Times New Roman"/>
          <w:szCs w:val="24"/>
        </w:rPr>
        <w:t>addition,</w:t>
      </w:r>
      <w:r>
        <w:rPr>
          <w:rFonts w:cs="Times New Roman"/>
          <w:szCs w:val="24"/>
        </w:rPr>
        <w:t xml:space="preserve"> where there is infection and inflammation, hepcidin, a regulator of iron homeostasis, inhibits processes such as the iron uptake from the duodenum and entry into the circulation as well as recycling of iron from dead red blood cells and the release of iron from iron stores (Gozzelino </w:t>
      </w:r>
      <w:r w:rsidR="005B2499">
        <w:rPr>
          <w:rFonts w:cs="Times New Roman"/>
          <w:szCs w:val="24"/>
        </w:rPr>
        <w:t>&amp;</w:t>
      </w:r>
      <w:r>
        <w:rPr>
          <w:rFonts w:cs="Times New Roman"/>
          <w:szCs w:val="24"/>
        </w:rPr>
        <w:t xml:space="preserve"> Arosio, 2016). This may be an important factor in many regions in Africa where infection and inflammation are common especially among the vulnerable; consequently, reducing the iron supply for the essential body needs (WHO, 2017). Thus, poor iron availability, either from the diet or from recycled red blood cells, results in insufficient iron delivery to the bone marrow for adequate synthesis of haemoglobin (Jonker et al., 2017).  </w:t>
      </w:r>
      <w:r w:rsidR="00754EF6">
        <w:rPr>
          <w:rFonts w:cs="Times New Roman"/>
          <w:szCs w:val="24"/>
        </w:rPr>
        <w:t>Consequently</w:t>
      </w:r>
      <w:r>
        <w:rPr>
          <w:rFonts w:cs="Times New Roman"/>
          <w:szCs w:val="24"/>
        </w:rPr>
        <w:t>, this leads anaemia. Anaemia occurs when the concentration of the red blood cells in the blood is not sufficient to meet the physiologic needs of the body (WHO, 2011). For example, haemoglobin levels below 110, 115 and 120 g/L of blood in children (6–59 months), children (5–11 years) and women of reproductive age, respectively are referred to as anaemic conditions (</w:t>
      </w:r>
      <w:r w:rsidRPr="00292ABA">
        <w:rPr>
          <w:rFonts w:cs="Times New Roman"/>
          <w:szCs w:val="24"/>
        </w:rPr>
        <w:t xml:space="preserve">Table </w:t>
      </w:r>
      <w:r w:rsidR="00292ABA" w:rsidRPr="00292ABA">
        <w:rPr>
          <w:rFonts w:cs="Times New Roman"/>
          <w:szCs w:val="24"/>
        </w:rPr>
        <w:t>2.</w:t>
      </w:r>
      <w:r w:rsidRPr="00292ABA">
        <w:rPr>
          <w:rFonts w:cs="Times New Roman"/>
          <w:szCs w:val="24"/>
        </w:rPr>
        <w:t>1)</w:t>
      </w:r>
      <w:r>
        <w:rPr>
          <w:rFonts w:cs="Times New Roman"/>
          <w:szCs w:val="24"/>
        </w:rPr>
        <w:t xml:space="preserve"> (WHO, 2017). Africa is one of the three regions</w:t>
      </w:r>
      <w:r w:rsidR="009C2B8C">
        <w:rPr>
          <w:rFonts w:cs="Times New Roman"/>
          <w:szCs w:val="24"/>
        </w:rPr>
        <w:t xml:space="preserve"> (Africa, South-East Asia and Eastern Mediterranean)</w:t>
      </w:r>
      <w:r w:rsidR="007366AD">
        <w:rPr>
          <w:rFonts w:cs="Times New Roman"/>
          <w:szCs w:val="24"/>
        </w:rPr>
        <w:t xml:space="preserve"> across the WHO population groups</w:t>
      </w:r>
      <w:r>
        <w:rPr>
          <w:rFonts w:cs="Times New Roman"/>
          <w:szCs w:val="24"/>
        </w:rPr>
        <w:t>, hav</w:t>
      </w:r>
      <w:r w:rsidR="002A04C8">
        <w:rPr>
          <w:rFonts w:cs="Times New Roman"/>
          <w:szCs w:val="24"/>
        </w:rPr>
        <w:t>ing</w:t>
      </w:r>
      <w:r>
        <w:rPr>
          <w:rFonts w:cs="Times New Roman"/>
          <w:szCs w:val="24"/>
        </w:rPr>
        <w:t xml:space="preserve"> the lowest mean blood haemoglobin concentrations and </w:t>
      </w:r>
      <w:r w:rsidR="00754EF6">
        <w:rPr>
          <w:rFonts w:cs="Times New Roman"/>
          <w:szCs w:val="24"/>
        </w:rPr>
        <w:t xml:space="preserve">the </w:t>
      </w:r>
      <w:r>
        <w:rPr>
          <w:rFonts w:cs="Times New Roman"/>
          <w:szCs w:val="24"/>
        </w:rPr>
        <w:t>highest prevalence of anaemia (WHO, 2015). In Africa, 62% and more than 37% of children and women of childbearing age, respectively ha</w:t>
      </w:r>
      <w:r w:rsidR="002A04C8">
        <w:rPr>
          <w:rFonts w:cs="Times New Roman"/>
          <w:szCs w:val="24"/>
        </w:rPr>
        <w:t>ve</w:t>
      </w:r>
      <w:r>
        <w:rPr>
          <w:rFonts w:cs="Times New Roman"/>
          <w:szCs w:val="24"/>
        </w:rPr>
        <w:t xml:space="preserve"> anaemia. IDA is defined as a condition that results from insufficient intake of iron to meet the requirements for the synthesis of haemoglobin (WHO, 2017). In Africa, approximately 45% of childbearing women </w:t>
      </w:r>
      <w:r w:rsidR="002A04C8">
        <w:rPr>
          <w:rFonts w:cs="Times New Roman"/>
          <w:szCs w:val="24"/>
        </w:rPr>
        <w:t>are</w:t>
      </w:r>
      <w:r>
        <w:rPr>
          <w:rFonts w:cs="Times New Roman"/>
          <w:szCs w:val="24"/>
        </w:rPr>
        <w:t xml:space="preserve"> reported to have IDA (WHO, 2015). Other nutritional causes of anaemia include deficiencies of folate, vitamin B12 and vitamin A (WHO, 2011). In IDA, the amount of each red blood cell’s haemoglobin declines, leading to smaller and less red coloured red blood cells than normal (WHO, 2017). The reduction in blood haemoglobin concentration in turn compromises the capacity of the blood to carry oxygen to all the tissues of the body. This consequently leads to fatigue, shortness of breath and reduced work capability in adults.</w:t>
      </w:r>
    </w:p>
    <w:p w14:paraId="0F055D92" w14:textId="77777777" w:rsidR="005B2E77" w:rsidRDefault="005B2E77" w:rsidP="00B7155A">
      <w:pPr>
        <w:spacing w:after="0"/>
        <w:rPr>
          <w:rFonts w:cs="Times New Roman"/>
          <w:szCs w:val="24"/>
        </w:rPr>
      </w:pPr>
    </w:p>
    <w:p w14:paraId="648BB7CA" w14:textId="6041D0B6" w:rsidR="005B2E77" w:rsidRDefault="005B2E77" w:rsidP="006E6B51">
      <w:pPr>
        <w:rPr>
          <w:rFonts w:cs="Times New Roman"/>
          <w:szCs w:val="24"/>
        </w:rPr>
      </w:pPr>
      <w:r>
        <w:rPr>
          <w:rFonts w:cs="Times New Roman"/>
          <w:szCs w:val="24"/>
        </w:rPr>
        <w:t xml:space="preserve">In children, ongoing developmental processes occur, notably in the brain (Best et al., 2010). Therefore, ID or IDA may result in mental retardation and reduced learning achievements (Victora et al., 2008). This impaired mental development is majorly due to impaired energy metabolism, and defective neurotransmitter function and defective myelination (the process by which </w:t>
      </w:r>
      <w:r w:rsidR="00360365">
        <w:rPr>
          <w:rFonts w:cs="Times New Roman"/>
          <w:szCs w:val="24"/>
        </w:rPr>
        <w:t>formation of myelin sheath (fatty sheath) around the neuronal processes increases in order to increase electrical transmission efficiency (Baars &amp; Gage, 2013)</w:t>
      </w:r>
      <w:r>
        <w:rPr>
          <w:rFonts w:cs="Times New Roman"/>
          <w:szCs w:val="24"/>
        </w:rPr>
        <w:t xml:space="preserve">) in the brain (Abu-Ouf </w:t>
      </w:r>
      <w:r w:rsidR="00B7155A">
        <w:rPr>
          <w:rFonts w:cs="Times New Roman"/>
          <w:szCs w:val="24"/>
        </w:rPr>
        <w:t>&amp;</w:t>
      </w:r>
      <w:r>
        <w:rPr>
          <w:rFonts w:cs="Times New Roman"/>
          <w:szCs w:val="24"/>
        </w:rPr>
        <w:t xml:space="preserve"> Jan, 2015). In children, iron deficiency has also been linked to compromised </w:t>
      </w:r>
      <w:r>
        <w:rPr>
          <w:rFonts w:cs="Times New Roman"/>
          <w:szCs w:val="24"/>
        </w:rPr>
        <w:lastRenderedPageBreak/>
        <w:t>immunity as a result of depression of T-lymphocytes, impaired neutrophil function and microbicidal quality of macrophages, consequently leading to increased risk of infection (Jonker et al., 2017).</w:t>
      </w:r>
    </w:p>
    <w:p w14:paraId="5855AC85" w14:textId="77777777" w:rsidR="008A7203" w:rsidRDefault="008A7203" w:rsidP="001E04DC">
      <w:pPr>
        <w:pStyle w:val="MyTables"/>
        <w:rPr>
          <w:b/>
          <w:bCs/>
        </w:rPr>
      </w:pPr>
    </w:p>
    <w:p w14:paraId="06CD2D55" w14:textId="69C84893" w:rsidR="005B2E77" w:rsidRPr="001E04DC" w:rsidRDefault="005B2E77" w:rsidP="00323A8D">
      <w:pPr>
        <w:pStyle w:val="MyTables"/>
        <w:spacing w:line="240" w:lineRule="auto"/>
      </w:pPr>
      <w:bookmarkStart w:id="15" w:name="_Toc65253623"/>
      <w:r w:rsidRPr="00292ABA">
        <w:rPr>
          <w:b/>
          <w:bCs/>
        </w:rPr>
        <w:t xml:space="preserve">Table </w:t>
      </w:r>
      <w:r w:rsidR="00CE3B96" w:rsidRPr="00292ABA">
        <w:rPr>
          <w:b/>
          <w:bCs/>
        </w:rPr>
        <w:t>2.</w:t>
      </w:r>
      <w:r w:rsidRPr="00292ABA">
        <w:rPr>
          <w:b/>
          <w:bCs/>
        </w:rPr>
        <w:t>1</w:t>
      </w:r>
      <w:r w:rsidRPr="001E04DC">
        <w:t>: Haemoglobin levels to diagnose anaemia in children and women (g/L of blood)</w:t>
      </w:r>
      <w:bookmarkEnd w:id="15"/>
    </w:p>
    <w:tbl>
      <w:tblPr>
        <w:tblW w:w="0" w:type="auto"/>
        <w:tblBorders>
          <w:top w:val="single" w:sz="4" w:space="0" w:color="auto"/>
          <w:bottom w:val="single" w:sz="4" w:space="0" w:color="auto"/>
        </w:tblBorders>
        <w:tblLook w:val="04A0" w:firstRow="1" w:lastRow="0" w:firstColumn="1" w:lastColumn="0" w:noHBand="0" w:noVBand="1"/>
      </w:tblPr>
      <w:tblGrid>
        <w:gridCol w:w="2379"/>
        <w:gridCol w:w="2062"/>
        <w:gridCol w:w="1297"/>
        <w:gridCol w:w="1762"/>
        <w:gridCol w:w="1743"/>
      </w:tblGrid>
      <w:tr w:rsidR="005B2E77" w:rsidRPr="00323A8D" w14:paraId="0B360DB8" w14:textId="77777777" w:rsidTr="00460290">
        <w:tc>
          <w:tcPr>
            <w:tcW w:w="2410" w:type="dxa"/>
          </w:tcPr>
          <w:p w14:paraId="0850C7A3" w14:textId="77777777" w:rsidR="005B2E77" w:rsidRPr="00323A8D" w:rsidRDefault="005B2E77" w:rsidP="00323A8D">
            <w:pPr>
              <w:spacing w:before="240" w:after="0" w:line="240" w:lineRule="auto"/>
              <w:rPr>
                <w:rFonts w:cs="Times New Roman"/>
                <w:b/>
                <w:sz w:val="22"/>
              </w:rPr>
            </w:pPr>
          </w:p>
        </w:tc>
        <w:tc>
          <w:tcPr>
            <w:tcW w:w="2090" w:type="dxa"/>
          </w:tcPr>
          <w:p w14:paraId="1E075CB5" w14:textId="77777777" w:rsidR="005B2E77" w:rsidRPr="00323A8D" w:rsidRDefault="005B2E77" w:rsidP="00323A8D">
            <w:pPr>
              <w:spacing w:before="240" w:after="0" w:line="240" w:lineRule="auto"/>
              <w:rPr>
                <w:rFonts w:cs="Times New Roman"/>
                <w:b/>
                <w:sz w:val="22"/>
              </w:rPr>
            </w:pPr>
          </w:p>
        </w:tc>
        <w:tc>
          <w:tcPr>
            <w:tcW w:w="4860" w:type="dxa"/>
            <w:gridSpan w:val="3"/>
            <w:tcBorders>
              <w:top w:val="single" w:sz="4" w:space="0" w:color="auto"/>
              <w:bottom w:val="single" w:sz="4" w:space="0" w:color="auto"/>
            </w:tcBorders>
          </w:tcPr>
          <w:p w14:paraId="1B7C50D7" w14:textId="77777777" w:rsidR="005B2E77" w:rsidRPr="00323A8D" w:rsidRDefault="005B2E77" w:rsidP="00323A8D">
            <w:pPr>
              <w:spacing w:before="240" w:after="0" w:line="240" w:lineRule="auto"/>
              <w:jc w:val="center"/>
              <w:rPr>
                <w:rFonts w:cs="Times New Roman"/>
                <w:b/>
                <w:sz w:val="22"/>
              </w:rPr>
            </w:pPr>
            <w:r w:rsidRPr="00323A8D">
              <w:rPr>
                <w:rFonts w:cs="Times New Roman"/>
                <w:b/>
                <w:sz w:val="22"/>
              </w:rPr>
              <w:t>Anaemia</w:t>
            </w:r>
          </w:p>
        </w:tc>
      </w:tr>
      <w:tr w:rsidR="005B2E77" w:rsidRPr="00323A8D" w14:paraId="6A884F2C" w14:textId="77777777" w:rsidTr="00460290">
        <w:tc>
          <w:tcPr>
            <w:tcW w:w="2410" w:type="dxa"/>
            <w:tcBorders>
              <w:bottom w:val="single" w:sz="4" w:space="0" w:color="auto"/>
            </w:tcBorders>
          </w:tcPr>
          <w:p w14:paraId="33B8F581" w14:textId="77777777" w:rsidR="005B2E77" w:rsidRPr="00323A8D" w:rsidRDefault="005B2E77" w:rsidP="00323A8D">
            <w:pPr>
              <w:spacing w:before="240" w:after="0" w:line="240" w:lineRule="auto"/>
              <w:rPr>
                <w:rFonts w:cs="Times New Roman"/>
                <w:b/>
                <w:sz w:val="22"/>
              </w:rPr>
            </w:pPr>
            <w:r w:rsidRPr="00323A8D">
              <w:rPr>
                <w:rFonts w:cs="Times New Roman"/>
                <w:b/>
                <w:sz w:val="22"/>
              </w:rPr>
              <w:t>Population</w:t>
            </w:r>
          </w:p>
        </w:tc>
        <w:tc>
          <w:tcPr>
            <w:tcW w:w="2090" w:type="dxa"/>
            <w:tcBorders>
              <w:bottom w:val="single" w:sz="4" w:space="0" w:color="auto"/>
            </w:tcBorders>
          </w:tcPr>
          <w:p w14:paraId="59AF2F67" w14:textId="77777777" w:rsidR="005B2E77" w:rsidRPr="00323A8D" w:rsidRDefault="005B2E77" w:rsidP="00323A8D">
            <w:pPr>
              <w:spacing w:before="240" w:after="0" w:line="240" w:lineRule="auto"/>
              <w:jc w:val="center"/>
              <w:rPr>
                <w:rFonts w:cs="Times New Roman"/>
                <w:b/>
                <w:sz w:val="22"/>
              </w:rPr>
            </w:pPr>
            <w:r w:rsidRPr="00323A8D">
              <w:rPr>
                <w:rFonts w:cs="Times New Roman"/>
                <w:b/>
                <w:sz w:val="22"/>
              </w:rPr>
              <w:t>Non-anaemia</w:t>
            </w:r>
          </w:p>
        </w:tc>
        <w:tc>
          <w:tcPr>
            <w:tcW w:w="1314" w:type="dxa"/>
            <w:tcBorders>
              <w:top w:val="single" w:sz="4" w:space="0" w:color="auto"/>
              <w:bottom w:val="single" w:sz="4" w:space="0" w:color="auto"/>
            </w:tcBorders>
          </w:tcPr>
          <w:p w14:paraId="30BA5E95" w14:textId="77777777" w:rsidR="005B2E77" w:rsidRPr="00323A8D" w:rsidRDefault="005B2E77" w:rsidP="00323A8D">
            <w:pPr>
              <w:spacing w:before="240" w:after="0" w:line="240" w:lineRule="auto"/>
              <w:jc w:val="center"/>
              <w:rPr>
                <w:rFonts w:cs="Times New Roman"/>
                <w:b/>
                <w:sz w:val="22"/>
              </w:rPr>
            </w:pPr>
            <w:r w:rsidRPr="00323A8D">
              <w:rPr>
                <w:rFonts w:cs="Times New Roman"/>
                <w:b/>
                <w:sz w:val="22"/>
              </w:rPr>
              <w:t>Mild</w:t>
            </w:r>
          </w:p>
        </w:tc>
        <w:tc>
          <w:tcPr>
            <w:tcW w:w="1779" w:type="dxa"/>
            <w:tcBorders>
              <w:top w:val="single" w:sz="4" w:space="0" w:color="auto"/>
              <w:bottom w:val="single" w:sz="4" w:space="0" w:color="auto"/>
            </w:tcBorders>
          </w:tcPr>
          <w:p w14:paraId="78CB3DA3" w14:textId="77777777" w:rsidR="005B2E77" w:rsidRPr="00323A8D" w:rsidRDefault="005B2E77" w:rsidP="00323A8D">
            <w:pPr>
              <w:spacing w:before="240" w:after="0" w:line="240" w:lineRule="auto"/>
              <w:jc w:val="center"/>
              <w:rPr>
                <w:rFonts w:cs="Times New Roman"/>
                <w:b/>
                <w:sz w:val="22"/>
              </w:rPr>
            </w:pPr>
            <w:r w:rsidRPr="00323A8D">
              <w:rPr>
                <w:rFonts w:cs="Times New Roman"/>
                <w:b/>
                <w:sz w:val="22"/>
              </w:rPr>
              <w:t>Moderate</w:t>
            </w:r>
          </w:p>
        </w:tc>
        <w:tc>
          <w:tcPr>
            <w:tcW w:w="1767" w:type="dxa"/>
            <w:tcBorders>
              <w:top w:val="single" w:sz="4" w:space="0" w:color="auto"/>
              <w:bottom w:val="single" w:sz="4" w:space="0" w:color="auto"/>
            </w:tcBorders>
          </w:tcPr>
          <w:p w14:paraId="2808894E" w14:textId="77777777" w:rsidR="005B2E77" w:rsidRPr="00323A8D" w:rsidRDefault="005B2E77" w:rsidP="00323A8D">
            <w:pPr>
              <w:spacing w:before="240" w:after="0" w:line="240" w:lineRule="auto"/>
              <w:jc w:val="center"/>
              <w:rPr>
                <w:rFonts w:cs="Times New Roman"/>
                <w:b/>
                <w:sz w:val="22"/>
              </w:rPr>
            </w:pPr>
            <w:r w:rsidRPr="00323A8D">
              <w:rPr>
                <w:rFonts w:cs="Times New Roman"/>
                <w:b/>
                <w:sz w:val="22"/>
              </w:rPr>
              <w:t>Severe</w:t>
            </w:r>
          </w:p>
        </w:tc>
      </w:tr>
      <w:tr w:rsidR="005B2E77" w:rsidRPr="00323A8D" w14:paraId="51D853A4" w14:textId="77777777" w:rsidTr="00460290">
        <w:tc>
          <w:tcPr>
            <w:tcW w:w="2410" w:type="dxa"/>
            <w:tcBorders>
              <w:top w:val="single" w:sz="4" w:space="0" w:color="auto"/>
            </w:tcBorders>
          </w:tcPr>
          <w:p w14:paraId="0A524306" w14:textId="77777777" w:rsidR="005B2E77" w:rsidRPr="00323A8D" w:rsidRDefault="005B2E77" w:rsidP="00323A8D">
            <w:pPr>
              <w:spacing w:before="240" w:after="0" w:line="240" w:lineRule="auto"/>
              <w:rPr>
                <w:rFonts w:cs="Times New Roman"/>
                <w:sz w:val="22"/>
              </w:rPr>
            </w:pPr>
            <w:r w:rsidRPr="00323A8D">
              <w:rPr>
                <w:rFonts w:cs="Times New Roman"/>
                <w:sz w:val="22"/>
              </w:rPr>
              <w:t>Children 6-59 months</w:t>
            </w:r>
          </w:p>
        </w:tc>
        <w:tc>
          <w:tcPr>
            <w:tcW w:w="2090" w:type="dxa"/>
            <w:tcBorders>
              <w:top w:val="single" w:sz="4" w:space="0" w:color="auto"/>
            </w:tcBorders>
          </w:tcPr>
          <w:p w14:paraId="10E1F036"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 110</w:t>
            </w:r>
          </w:p>
        </w:tc>
        <w:tc>
          <w:tcPr>
            <w:tcW w:w="1314" w:type="dxa"/>
            <w:tcBorders>
              <w:top w:val="single" w:sz="4" w:space="0" w:color="auto"/>
            </w:tcBorders>
          </w:tcPr>
          <w:p w14:paraId="46C8EF7B"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100-109</w:t>
            </w:r>
          </w:p>
        </w:tc>
        <w:tc>
          <w:tcPr>
            <w:tcW w:w="1779" w:type="dxa"/>
            <w:tcBorders>
              <w:top w:val="single" w:sz="4" w:space="0" w:color="auto"/>
            </w:tcBorders>
          </w:tcPr>
          <w:p w14:paraId="25980D70"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70-99</w:t>
            </w:r>
          </w:p>
        </w:tc>
        <w:tc>
          <w:tcPr>
            <w:tcW w:w="1767" w:type="dxa"/>
            <w:tcBorders>
              <w:top w:val="single" w:sz="4" w:space="0" w:color="auto"/>
            </w:tcBorders>
          </w:tcPr>
          <w:p w14:paraId="55484DAA"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&lt; 70</w:t>
            </w:r>
          </w:p>
        </w:tc>
      </w:tr>
      <w:tr w:rsidR="005B2E77" w:rsidRPr="00323A8D" w14:paraId="549C71A6" w14:textId="77777777" w:rsidTr="00460290">
        <w:tc>
          <w:tcPr>
            <w:tcW w:w="2410" w:type="dxa"/>
          </w:tcPr>
          <w:p w14:paraId="730D8F18" w14:textId="77777777" w:rsidR="005B2E77" w:rsidRPr="00323A8D" w:rsidRDefault="005B2E77" w:rsidP="00323A8D">
            <w:pPr>
              <w:spacing w:before="240" w:after="0" w:line="240" w:lineRule="auto"/>
              <w:rPr>
                <w:rFonts w:cs="Times New Roman"/>
                <w:sz w:val="22"/>
              </w:rPr>
            </w:pPr>
            <w:r w:rsidRPr="00323A8D">
              <w:rPr>
                <w:rFonts w:cs="Times New Roman"/>
                <w:sz w:val="22"/>
              </w:rPr>
              <w:t>Children 5-11 years</w:t>
            </w:r>
          </w:p>
        </w:tc>
        <w:tc>
          <w:tcPr>
            <w:tcW w:w="2090" w:type="dxa"/>
          </w:tcPr>
          <w:p w14:paraId="6A3787B9"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 115</w:t>
            </w:r>
          </w:p>
        </w:tc>
        <w:tc>
          <w:tcPr>
            <w:tcW w:w="1314" w:type="dxa"/>
          </w:tcPr>
          <w:p w14:paraId="6F5EB5B9"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110-114</w:t>
            </w:r>
          </w:p>
        </w:tc>
        <w:tc>
          <w:tcPr>
            <w:tcW w:w="1779" w:type="dxa"/>
          </w:tcPr>
          <w:p w14:paraId="1F6E5B2B"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80-109</w:t>
            </w:r>
          </w:p>
        </w:tc>
        <w:tc>
          <w:tcPr>
            <w:tcW w:w="1767" w:type="dxa"/>
          </w:tcPr>
          <w:p w14:paraId="67AC35E5"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&lt; 80</w:t>
            </w:r>
          </w:p>
        </w:tc>
      </w:tr>
      <w:tr w:rsidR="005B2E77" w:rsidRPr="00323A8D" w14:paraId="161C609D" w14:textId="77777777" w:rsidTr="00460290">
        <w:tc>
          <w:tcPr>
            <w:tcW w:w="2410" w:type="dxa"/>
          </w:tcPr>
          <w:p w14:paraId="10C0D6E2" w14:textId="77777777" w:rsidR="005B2E77" w:rsidRPr="00323A8D" w:rsidRDefault="005B2E77" w:rsidP="00323A8D">
            <w:pPr>
              <w:spacing w:before="240" w:after="0" w:line="240" w:lineRule="auto"/>
              <w:rPr>
                <w:rFonts w:cs="Times New Roman"/>
                <w:sz w:val="22"/>
              </w:rPr>
            </w:pPr>
            <w:r w:rsidRPr="00323A8D">
              <w:rPr>
                <w:rFonts w:cs="Times New Roman"/>
                <w:sz w:val="22"/>
              </w:rPr>
              <w:t>Children 12-14 years</w:t>
            </w:r>
          </w:p>
        </w:tc>
        <w:tc>
          <w:tcPr>
            <w:tcW w:w="2090" w:type="dxa"/>
          </w:tcPr>
          <w:p w14:paraId="51004CF4"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 120</w:t>
            </w:r>
          </w:p>
        </w:tc>
        <w:tc>
          <w:tcPr>
            <w:tcW w:w="1314" w:type="dxa"/>
          </w:tcPr>
          <w:p w14:paraId="139516F8"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110-119</w:t>
            </w:r>
          </w:p>
        </w:tc>
        <w:tc>
          <w:tcPr>
            <w:tcW w:w="1779" w:type="dxa"/>
          </w:tcPr>
          <w:p w14:paraId="599ED1E7"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80-109</w:t>
            </w:r>
          </w:p>
        </w:tc>
        <w:tc>
          <w:tcPr>
            <w:tcW w:w="1767" w:type="dxa"/>
          </w:tcPr>
          <w:p w14:paraId="3CE77265"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&lt; 80</w:t>
            </w:r>
          </w:p>
        </w:tc>
      </w:tr>
      <w:tr w:rsidR="005B2E77" w:rsidRPr="00323A8D" w14:paraId="11283F54" w14:textId="77777777" w:rsidTr="00460290">
        <w:tc>
          <w:tcPr>
            <w:tcW w:w="2410" w:type="dxa"/>
          </w:tcPr>
          <w:p w14:paraId="59B32B4B" w14:textId="77777777" w:rsidR="005B2E77" w:rsidRPr="00323A8D" w:rsidRDefault="005B2E77" w:rsidP="00323A8D">
            <w:pPr>
              <w:spacing w:before="240" w:after="0" w:line="240" w:lineRule="auto"/>
              <w:rPr>
                <w:rFonts w:cs="Times New Roman"/>
                <w:sz w:val="22"/>
              </w:rPr>
            </w:pPr>
            <w:r w:rsidRPr="00323A8D">
              <w:rPr>
                <w:rFonts w:cs="Times New Roman"/>
                <w:sz w:val="22"/>
              </w:rPr>
              <w:t>Non-pregnant women ≥ 15 years</w:t>
            </w:r>
          </w:p>
        </w:tc>
        <w:tc>
          <w:tcPr>
            <w:tcW w:w="2090" w:type="dxa"/>
          </w:tcPr>
          <w:p w14:paraId="4990C84B"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 120</w:t>
            </w:r>
          </w:p>
        </w:tc>
        <w:tc>
          <w:tcPr>
            <w:tcW w:w="1314" w:type="dxa"/>
          </w:tcPr>
          <w:p w14:paraId="5260BC3D"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110-119</w:t>
            </w:r>
          </w:p>
        </w:tc>
        <w:tc>
          <w:tcPr>
            <w:tcW w:w="1779" w:type="dxa"/>
          </w:tcPr>
          <w:p w14:paraId="64224594"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80-109</w:t>
            </w:r>
          </w:p>
        </w:tc>
        <w:tc>
          <w:tcPr>
            <w:tcW w:w="1767" w:type="dxa"/>
          </w:tcPr>
          <w:p w14:paraId="11D41B4E"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&lt; 80</w:t>
            </w:r>
          </w:p>
        </w:tc>
      </w:tr>
      <w:tr w:rsidR="005B2E77" w:rsidRPr="00323A8D" w14:paraId="72A2585A" w14:textId="77777777" w:rsidTr="00460290">
        <w:tc>
          <w:tcPr>
            <w:tcW w:w="2410" w:type="dxa"/>
          </w:tcPr>
          <w:p w14:paraId="501231A3" w14:textId="77777777" w:rsidR="005B2E77" w:rsidRPr="00323A8D" w:rsidRDefault="005B2E77" w:rsidP="00323A8D">
            <w:pPr>
              <w:spacing w:before="240" w:after="0" w:line="240" w:lineRule="auto"/>
              <w:rPr>
                <w:rFonts w:cs="Times New Roman"/>
                <w:sz w:val="22"/>
              </w:rPr>
            </w:pPr>
            <w:r w:rsidRPr="00323A8D">
              <w:rPr>
                <w:rFonts w:cs="Times New Roman"/>
                <w:sz w:val="22"/>
              </w:rPr>
              <w:t>Pregnant women</w:t>
            </w:r>
          </w:p>
        </w:tc>
        <w:tc>
          <w:tcPr>
            <w:tcW w:w="2090" w:type="dxa"/>
          </w:tcPr>
          <w:p w14:paraId="650715ED"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 110</w:t>
            </w:r>
          </w:p>
        </w:tc>
        <w:tc>
          <w:tcPr>
            <w:tcW w:w="1314" w:type="dxa"/>
          </w:tcPr>
          <w:p w14:paraId="5BE10B86"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100-109</w:t>
            </w:r>
          </w:p>
        </w:tc>
        <w:tc>
          <w:tcPr>
            <w:tcW w:w="1779" w:type="dxa"/>
          </w:tcPr>
          <w:p w14:paraId="6383F921"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70-99</w:t>
            </w:r>
          </w:p>
        </w:tc>
        <w:tc>
          <w:tcPr>
            <w:tcW w:w="1767" w:type="dxa"/>
          </w:tcPr>
          <w:p w14:paraId="58F964F1" w14:textId="77777777" w:rsidR="005B2E77" w:rsidRPr="00323A8D" w:rsidRDefault="005B2E77" w:rsidP="00323A8D">
            <w:pPr>
              <w:spacing w:before="240" w:after="0" w:line="240" w:lineRule="auto"/>
              <w:jc w:val="center"/>
              <w:rPr>
                <w:rFonts w:cs="Times New Roman"/>
                <w:sz w:val="22"/>
              </w:rPr>
            </w:pPr>
            <w:r w:rsidRPr="00323A8D">
              <w:rPr>
                <w:rFonts w:cs="Times New Roman"/>
                <w:sz w:val="22"/>
              </w:rPr>
              <w:t>&lt; 70</w:t>
            </w:r>
          </w:p>
        </w:tc>
      </w:tr>
    </w:tbl>
    <w:p w14:paraId="592456A0" w14:textId="77777777" w:rsidR="005B2E77" w:rsidRPr="008E4001" w:rsidRDefault="005B2E77" w:rsidP="00323A8D">
      <w:pPr>
        <w:spacing w:before="240" w:line="240" w:lineRule="auto"/>
        <w:rPr>
          <w:rFonts w:cs="Times New Roman"/>
          <w:sz w:val="20"/>
          <w:szCs w:val="20"/>
        </w:rPr>
      </w:pPr>
      <w:r w:rsidRPr="008E4001">
        <w:rPr>
          <w:rFonts w:cs="Times New Roman"/>
          <w:sz w:val="20"/>
          <w:szCs w:val="20"/>
        </w:rPr>
        <w:t xml:space="preserve"> World Health Organization </w:t>
      </w:r>
      <w:r>
        <w:rPr>
          <w:rFonts w:cs="Times New Roman"/>
          <w:sz w:val="20"/>
          <w:szCs w:val="20"/>
        </w:rPr>
        <w:t>(</w:t>
      </w:r>
      <w:r w:rsidRPr="008E4001">
        <w:rPr>
          <w:rFonts w:cs="Times New Roman"/>
          <w:sz w:val="20"/>
          <w:szCs w:val="20"/>
        </w:rPr>
        <w:t>201</w:t>
      </w:r>
      <w:r>
        <w:rPr>
          <w:rFonts w:cs="Times New Roman"/>
          <w:sz w:val="20"/>
          <w:szCs w:val="20"/>
        </w:rPr>
        <w:t>7)</w:t>
      </w:r>
    </w:p>
    <w:p w14:paraId="621C218C" w14:textId="77777777" w:rsidR="005B2E77" w:rsidRDefault="005B2E77" w:rsidP="005B2E77">
      <w:pPr>
        <w:spacing w:after="0"/>
        <w:rPr>
          <w:rFonts w:cs="Times New Roman"/>
          <w:szCs w:val="24"/>
        </w:rPr>
      </w:pPr>
    </w:p>
    <w:p w14:paraId="6C3FE780" w14:textId="3B836512" w:rsidR="005B2E77" w:rsidRDefault="005B2E77" w:rsidP="003E7BE3">
      <w:r>
        <w:t>As stated, women of reproductive age are also at risk of ID and anaemia due to iron losses from regular menstrual blood losses, increased iron requirement in pregnancy for placenta and foetal growth and maintenance, and increased maternal blood volume, as well as iron losses due to bleeding at childbirth (WHO, 2017). Another important cause of ID in women in low-and middle-income countries is consumption of diets low in bioavailable iron (WHO, 2017). For example, Ayoya et al. (201</w:t>
      </w:r>
      <w:r w:rsidR="007366AD">
        <w:t>2</w:t>
      </w:r>
      <w:r>
        <w:t xml:space="preserve">) reported a severe public health problem of ID in western and central Africa among childbearing women due to poor intake of bioavailable dietary iron. Anaemia in the women was associated with fatigue, decreased work performance and productivity. IDA has also been associated with adverse pregnancy outcomes such as increased risk of perinatal infection, pre-eclampsia, premature labour, intrauterine growth retardation of infant, low birth weight, birth asphyxia and neonatal anaemia (Abu-Ouf </w:t>
      </w:r>
      <w:r w:rsidR="00B7155A">
        <w:t>&amp;</w:t>
      </w:r>
      <w:r>
        <w:t xml:space="preserve"> Jan, 2015) and high risk of maternal death (Ayoya et al., 201</w:t>
      </w:r>
      <w:r w:rsidR="007366AD">
        <w:t>2</w:t>
      </w:r>
      <w:r>
        <w:t xml:space="preserve">). Increased tiredness, breathlessness, infection and depression in child-bearing women have also been associated with anaemia postpartum, the period after birth (WHO, 2017). </w:t>
      </w:r>
    </w:p>
    <w:p w14:paraId="626DBDA6" w14:textId="77777777" w:rsidR="00B7155A" w:rsidRPr="002F7C3C" w:rsidRDefault="00B7155A" w:rsidP="00F34EEC">
      <w:pPr>
        <w:spacing w:after="0"/>
      </w:pPr>
    </w:p>
    <w:p w14:paraId="3F58B7AD" w14:textId="618E9495" w:rsidR="005B2E77" w:rsidRPr="00BD18FD" w:rsidRDefault="005B2E77" w:rsidP="004F5656">
      <w:pPr>
        <w:pStyle w:val="Heading3"/>
      </w:pPr>
      <w:bookmarkStart w:id="16" w:name="_Toc65253545"/>
      <w:r w:rsidRPr="00BD18FD">
        <w:lastRenderedPageBreak/>
        <w:t>2.2.2</w:t>
      </w:r>
      <w:r w:rsidR="001709BE">
        <w:tab/>
      </w:r>
      <w:r w:rsidRPr="00BD18FD">
        <w:t>Zinc</w:t>
      </w:r>
      <w:bookmarkEnd w:id="16"/>
    </w:p>
    <w:p w14:paraId="498B36F9" w14:textId="77777777" w:rsidR="005B2E77" w:rsidRDefault="005B2E77" w:rsidP="00A52614">
      <w:r w:rsidRPr="00A52614">
        <w:t>Zinc is the second most important mineral after iron (Baltaci et al., 2018) and plays many vital physiological functions. Approximately 2 g zinc is present in the human body, of which about 60% and 30% is in the skeletal muscle and bone mass, respectively (Gregory et al., 2017). This indicates that zinc is important for bone, muscle and cartilage tissue development (Baltaci et</w:t>
      </w:r>
      <w:r>
        <w:t xml:space="preserve"> al., 2018). Zinc also forms metalloproteins with about 10% of the proteins in the body to enable them to attain structures needed to fulfil their roles in the body. For example, zinc binds to more than 7000 enzymes in the body, including the DNA and RNA polymerases and many hormones such as human prolactin and growth hormone, for proper functioning (Baltaci et al., 2018). Furthermore, zinc plays a vital role in the immune system. </w:t>
      </w:r>
    </w:p>
    <w:p w14:paraId="7CC8C119" w14:textId="77777777" w:rsidR="005B2E77" w:rsidRDefault="005B2E77" w:rsidP="00B7155A">
      <w:pPr>
        <w:spacing w:after="0"/>
      </w:pPr>
    </w:p>
    <w:p w14:paraId="3CA4E9B2" w14:textId="72294140" w:rsidR="005B2E77" w:rsidRDefault="005B2E77" w:rsidP="00A52614">
      <w:r>
        <w:t>The richest dietary sources of absorbable zinc are animal</w:t>
      </w:r>
      <w:r w:rsidR="005A0A5C">
        <w:t xml:space="preserve"> </w:t>
      </w:r>
      <w:r>
        <w:t>source foods, especially the organs and</w:t>
      </w:r>
      <w:r w:rsidR="005A0A5C">
        <w:t xml:space="preserve"> </w:t>
      </w:r>
      <w:r>
        <w:t xml:space="preserve">flesh of </w:t>
      </w:r>
      <w:r w:rsidR="001A6A33">
        <w:t>cattle</w:t>
      </w:r>
      <w:r>
        <w:t xml:space="preserve">, poultry, </w:t>
      </w:r>
      <w:r w:rsidR="001A6A33">
        <w:t>pigs</w:t>
      </w:r>
      <w:r>
        <w:t xml:space="preserve">, fish and shell-fish (Hotz </w:t>
      </w:r>
      <w:r w:rsidR="00C8069F">
        <w:t>&amp;</w:t>
      </w:r>
      <w:r>
        <w:t xml:space="preserve"> Brown, 2004).  Some plant foods such as cereals, legumes and nuts, despite having low zinc bioavailability, are also important dietary zinc sources, especially in </w:t>
      </w:r>
      <w:r w:rsidR="0058724F">
        <w:t>developing countries/low-income countries (Rousseau et al., 2020)</w:t>
      </w:r>
      <w:r>
        <w:t xml:space="preserve"> where, as stated, consumption of animal source foods is often limited (</w:t>
      </w:r>
      <w:r w:rsidR="0099173F">
        <w:t>Kumssa et al., 2015</w:t>
      </w:r>
      <w:r w:rsidR="00970627">
        <w:t>; Mantadakis et al., 2020</w:t>
      </w:r>
      <w:r>
        <w:t>). On consumption of these zinc-source foods, the pancreatic protease enzymes hydrolyse the protein components of the food with the aid of the gastric acid into smaller zinc-containing peptides (King et al., 201</w:t>
      </w:r>
      <w:r w:rsidR="002642FA">
        <w:t>6</w:t>
      </w:r>
      <w:r>
        <w:t>). During this digestion process, zinc solute is released in the form of free Zn</w:t>
      </w:r>
      <w:r w:rsidRPr="00456A14">
        <w:rPr>
          <w:vertAlign w:val="superscript"/>
        </w:rPr>
        <w:t>2+</w:t>
      </w:r>
      <w:r>
        <w:t xml:space="preserve"> ions which may also bind to endogenously secreted ligand before their uptake into the enterocytes (Roohani et al., 2013). Zinc is absorbed throughout the entire small intestine, with the highest rate of absorption occurring at the jejunum (King et al., 201</w:t>
      </w:r>
      <w:r w:rsidR="002642FA">
        <w:t>6</w:t>
      </w:r>
      <w:r>
        <w:t xml:space="preserve">). However, the highest quantity of zinc is absorbed </w:t>
      </w:r>
      <w:r w:rsidR="005A0A5C">
        <w:t>in</w:t>
      </w:r>
      <w:r>
        <w:t xml:space="preserve"> the duodenum. Zinc absorption in the small intestine occurs either through a saturatable carrier-mediated process with the aid of zinc transporters situated on the enterocyte membrane or through a non-mediated passive process (King et al., 2016). The passive absorption can occur when the diets contain high amount of zinc (Roohani et al., 2013). Divalent cation transporter (DCT1)</w:t>
      </w:r>
      <w:r w:rsidR="001A6A33">
        <w:t>,</w:t>
      </w:r>
      <w:r>
        <w:t xml:space="preserve"> also known as the (DMT-1) (</w:t>
      </w:r>
      <w:r w:rsidRPr="00483E62">
        <w:rPr>
          <w:shd w:val="clear" w:color="auto" w:fill="FFFFFF"/>
        </w:rPr>
        <w:t xml:space="preserve">Sharp </w:t>
      </w:r>
      <w:r w:rsidR="005F2AD5">
        <w:rPr>
          <w:shd w:val="clear" w:color="auto" w:fill="FFFFFF"/>
        </w:rPr>
        <w:t>&amp;</w:t>
      </w:r>
      <w:r w:rsidRPr="00483E62">
        <w:rPr>
          <w:shd w:val="clear" w:color="auto" w:fill="FFFFFF"/>
        </w:rPr>
        <w:t xml:space="preserve"> Srai</w:t>
      </w:r>
      <w:r>
        <w:rPr>
          <w:shd w:val="clear" w:color="auto" w:fill="FFFFFF"/>
        </w:rPr>
        <w:t xml:space="preserve">, </w:t>
      </w:r>
      <w:r w:rsidRPr="00483E62">
        <w:rPr>
          <w:shd w:val="clear" w:color="auto" w:fill="FFFFFF"/>
        </w:rPr>
        <w:t>2007)</w:t>
      </w:r>
      <w:r>
        <w:rPr>
          <w:shd w:val="clear" w:color="auto" w:fill="FFFFFF"/>
        </w:rPr>
        <w:t xml:space="preserve"> </w:t>
      </w:r>
      <w:r>
        <w:t>is involved in zinc uptake into the enterocyte (Roohani et al., 2013). The zinc absorbed into the cells of the small intestine is transported within the enterocyte cells with the aid of two carrier proteins, metallothionein (MT) and the transporter ZnT7, while the ZnT1 transporter influences zinc transport from the enterocytes into the blood stream (King et al., 201</w:t>
      </w:r>
      <w:r w:rsidR="002642FA">
        <w:t>6</w:t>
      </w:r>
      <w:r>
        <w:t xml:space="preserve">). The </w:t>
      </w:r>
      <w:r>
        <w:lastRenderedPageBreak/>
        <w:t xml:space="preserve">absorbed zinc is then directly carried to the liver, from where it is released into the circulation for its usage by the other tissues in the body (Roohani et al., 2013). </w:t>
      </w:r>
    </w:p>
    <w:p w14:paraId="4559A3BB" w14:textId="77777777" w:rsidR="00E72ABF" w:rsidRDefault="00E72ABF" w:rsidP="00E72ABF">
      <w:pPr>
        <w:spacing w:after="0"/>
      </w:pPr>
    </w:p>
    <w:p w14:paraId="0CA0315D" w14:textId="24807000" w:rsidR="005B2E77" w:rsidRDefault="005B2E77" w:rsidP="00A52614">
      <w:r>
        <w:t xml:space="preserve">However, the efficiency of absorption of zinc can be affected by </w:t>
      </w:r>
      <w:r w:rsidR="001A6A33">
        <w:t>several</w:t>
      </w:r>
      <w:r>
        <w:t xml:space="preserve"> factors, including total zinc contents of meals and the absorbable zinc in the diet (Roohani et al., 2013). The efficiency (percentage) of zinc absorption is increased with low dietary intake of zinc, although, the total amount absorbed would still be lower compared to amount absorbed from a high zinc diet (Hotz </w:t>
      </w:r>
      <w:r w:rsidR="00C8069F">
        <w:t>&amp;</w:t>
      </w:r>
      <w:r>
        <w:t xml:space="preserve"> Brown, 2004). Other dietary factors such as phytates limit </w:t>
      </w:r>
      <w:r w:rsidR="001A6A33">
        <w:t xml:space="preserve">the </w:t>
      </w:r>
      <w:r>
        <w:t xml:space="preserve">bioavailability of zinc by forming insoluble chelates with it in gastrointestinal lumen, thereby limiting its absorption in the small intestine. </w:t>
      </w:r>
      <w:r w:rsidR="00EA2F11">
        <w:t xml:space="preserve">Polyphenols in plant foods is also a possible inhibitor of zinc bioavailability (Krishnan &amp; Meera, 2017). </w:t>
      </w:r>
      <w:r>
        <w:t xml:space="preserve">Inadequate dietary bioavailable zinc is considered as the major cause of its deficiency especially in low-income countries. Plant-based diets, including cereals, legumes and seeds which are the major sources of zinc in the diet of people in low-income countries, contain high amount of phytate (Gibson et al., 2018). The global zinc deficiency risks shown in Figure </w:t>
      </w:r>
      <w:r w:rsidR="0004368A">
        <w:t>2.</w:t>
      </w:r>
      <w:r>
        <w:t>1 indicate that Africa, especially sub-Saharan Africa is by far at the highest risk of zinc deficiency (</w:t>
      </w:r>
      <w:r w:rsidRPr="0092465C">
        <w:t>Gregory et al., 2017</w:t>
      </w:r>
      <w:r>
        <w:t>).</w:t>
      </w:r>
      <w:r w:rsidR="001E04DC">
        <w:tab/>
      </w:r>
    </w:p>
    <w:p w14:paraId="263CBCC1" w14:textId="46BD7EA5" w:rsidR="005B2E77" w:rsidRDefault="005B2E77" w:rsidP="00E72ABF">
      <w:pPr>
        <w:spacing w:after="0"/>
      </w:pPr>
    </w:p>
    <w:p w14:paraId="0321F795" w14:textId="77777777" w:rsidR="005B2E77" w:rsidRDefault="005B2E77" w:rsidP="005B2E77">
      <w:pPr>
        <w:rPr>
          <w:rFonts w:cs="Times New Roman"/>
          <w:szCs w:val="24"/>
        </w:rPr>
      </w:pPr>
      <w:r w:rsidRPr="005E2792">
        <w:rPr>
          <w:rFonts w:cs="Times New Roman"/>
          <w:noProof/>
          <w:szCs w:val="24"/>
          <w:lang w:val="en-ZA" w:eastAsia="en-ZA"/>
        </w:rPr>
        <w:drawing>
          <wp:inline distT="0" distB="0" distL="0" distR="0" wp14:anchorId="78B91E0F" wp14:editId="70C32413">
            <wp:extent cx="5676900" cy="2279251"/>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78417" cy="2279860"/>
                    </a:xfrm>
                    <a:prstGeom prst="rect">
                      <a:avLst/>
                    </a:prstGeom>
                    <a:noFill/>
                    <a:ln>
                      <a:noFill/>
                    </a:ln>
                  </pic:spPr>
                </pic:pic>
              </a:graphicData>
            </a:graphic>
          </wp:inline>
        </w:drawing>
      </w:r>
    </w:p>
    <w:p w14:paraId="76B3A4C5" w14:textId="77777777" w:rsidR="00C2460D" w:rsidRDefault="005B2E77" w:rsidP="00C2460D">
      <w:pPr>
        <w:pStyle w:val="Myfigures"/>
        <w:spacing w:after="0" w:line="240" w:lineRule="auto"/>
      </w:pPr>
      <w:bookmarkStart w:id="17" w:name="_Toc65253646"/>
      <w:r w:rsidRPr="00975F60">
        <w:rPr>
          <w:b/>
          <w:bCs/>
        </w:rPr>
        <w:t xml:space="preserve">Figure </w:t>
      </w:r>
      <w:r w:rsidR="001E04DC" w:rsidRPr="00975F60">
        <w:rPr>
          <w:b/>
          <w:bCs/>
        </w:rPr>
        <w:t>2.1</w:t>
      </w:r>
      <w:r>
        <w:t>: Global deficiency risks for zinc at national scale</w:t>
      </w:r>
      <w:r w:rsidR="0004368A">
        <w:t>.</w:t>
      </w:r>
      <w:bookmarkEnd w:id="17"/>
      <w:r w:rsidR="0004368A">
        <w:t xml:space="preserve"> </w:t>
      </w:r>
    </w:p>
    <w:p w14:paraId="7B102FF0" w14:textId="12919952" w:rsidR="005B2E77" w:rsidRDefault="005B2E77" w:rsidP="00952DBF">
      <w:pPr>
        <w:rPr>
          <w:b/>
          <w:szCs w:val="24"/>
        </w:rPr>
      </w:pPr>
      <w:r w:rsidRPr="00C2460D">
        <w:t>Gregory et al. (2017)</w:t>
      </w:r>
    </w:p>
    <w:p w14:paraId="0A17927E" w14:textId="77777777" w:rsidR="00E72ABF" w:rsidRDefault="00E72ABF" w:rsidP="00E72ABF">
      <w:pPr>
        <w:spacing w:after="0"/>
      </w:pPr>
    </w:p>
    <w:p w14:paraId="370C04FF" w14:textId="36641E30" w:rsidR="005B2E77" w:rsidRDefault="00E72ABF" w:rsidP="00E72ABF">
      <w:pPr>
        <w:rPr>
          <w:rFonts w:cs="Times New Roman"/>
          <w:b/>
          <w:szCs w:val="24"/>
        </w:rPr>
      </w:pPr>
      <w:r>
        <w:t xml:space="preserve">Zinc deficiency has been implicated in compromised immunity: reduced number of T cells, impaired development, activation and maturation of lymphocytes and impairment of cells </w:t>
      </w:r>
      <w:r>
        <w:lastRenderedPageBreak/>
        <w:t>involved in innate and adaptive immunity such as the monocytes, polymorphonuclear cells and the killer T and B cells, and hence, increased risk of infection (Baltaci et al., 2018).</w:t>
      </w:r>
    </w:p>
    <w:p w14:paraId="6E8DCCAA" w14:textId="77777777" w:rsidR="004F5656" w:rsidRDefault="004F5656" w:rsidP="00F34EEC">
      <w:pPr>
        <w:spacing w:after="0"/>
      </w:pPr>
    </w:p>
    <w:p w14:paraId="63287962" w14:textId="5EDB0473" w:rsidR="005B2E77" w:rsidRDefault="005B2E77" w:rsidP="00A52614">
      <w:r>
        <w:t xml:space="preserve">Zinc deficiency in children results in increased occurrence and severity of diarrhoea and stunting as well as increased morbidity and mortality due to lower respiratory tract infections and malaria (Gregory et al., 2017). Adverse pregnancy outcomes in women have also been associated with zinc deficiency </w:t>
      </w:r>
      <w:r w:rsidR="00E51E15">
        <w:t>(Hess et al., 2009)</w:t>
      </w:r>
      <w:r>
        <w:t xml:space="preserve">. The WHO </w:t>
      </w:r>
      <w:r w:rsidR="00E51E15">
        <w:t>&amp;</w:t>
      </w:r>
      <w:r>
        <w:t xml:space="preserve"> FAO (2004) additionally state that delayed sexual and bone maturation, skin lesions, impaired appetite and appearance of behavioural change are some clinical features of zinc deficiency.</w:t>
      </w:r>
    </w:p>
    <w:p w14:paraId="22C5A122" w14:textId="77777777" w:rsidR="005B2E77" w:rsidRPr="00244617" w:rsidRDefault="005B2E77" w:rsidP="00E72ABF">
      <w:pPr>
        <w:spacing w:after="0"/>
        <w:rPr>
          <w:bCs/>
        </w:rPr>
      </w:pPr>
    </w:p>
    <w:p w14:paraId="12C36AD9" w14:textId="1824860F" w:rsidR="005B2E77" w:rsidRDefault="005B2E77" w:rsidP="004F5656">
      <w:pPr>
        <w:pStyle w:val="Heading3"/>
      </w:pPr>
      <w:bookmarkStart w:id="18" w:name="_Toc65253546"/>
      <w:r w:rsidRPr="00B94549">
        <w:t>2.2.3</w:t>
      </w:r>
      <w:r w:rsidR="0004368A">
        <w:tab/>
      </w:r>
      <w:r w:rsidRPr="002F7C3C">
        <w:t xml:space="preserve">Other </w:t>
      </w:r>
      <w:r>
        <w:t xml:space="preserve">important </w:t>
      </w:r>
      <w:r w:rsidRPr="002F7C3C">
        <w:t>minerals</w:t>
      </w:r>
      <w:bookmarkEnd w:id="18"/>
    </w:p>
    <w:p w14:paraId="6DE6C3F9" w14:textId="5147C6DF" w:rsidR="005B2E77" w:rsidRDefault="005B2E77" w:rsidP="003E7BE3">
      <w:r>
        <w:t>There is also a high risk of calcium deficiency in Africa, approximately 54–80%</w:t>
      </w:r>
      <w:r w:rsidR="00E51E15">
        <w:t xml:space="preserve"> of the population are at risk</w:t>
      </w:r>
      <w:r>
        <w:t xml:space="preserve"> (Joy et al., 2014; Kumssa et al., 2015), primarily due to inadequate dietary supply. For example, in sub-Saharan Africa the estimated mean daily Ca dietary supply, only me</w:t>
      </w:r>
      <w:r w:rsidR="00881A9F">
        <w:t>e</w:t>
      </w:r>
      <w:r>
        <w:t>t</w:t>
      </w:r>
      <w:r w:rsidR="00881A9F">
        <w:t>s</w:t>
      </w:r>
      <w:r>
        <w:t xml:space="preserve"> approximately half of the estimated average requirement (EAR) (Kumssa et al., 2015). Calcium plays vital role in the body. It constitutes approximately 0.1–0.2% of the fat-free weight of the foetus, rising to approx</w:t>
      </w:r>
      <w:r w:rsidR="00C2460D">
        <w:t>imately</w:t>
      </w:r>
      <w:r>
        <w:t xml:space="preserve"> 2% of an adult’s fat-free weight. Of the calcium in the body, approx. 99% is in the skeleton, indicating its essential role in bone integrity</w:t>
      </w:r>
      <w:r w:rsidR="004F5656">
        <w:t xml:space="preserve"> (WHO </w:t>
      </w:r>
      <w:r w:rsidR="00C2460D">
        <w:t>&amp;</w:t>
      </w:r>
      <w:r w:rsidR="004F5656">
        <w:t xml:space="preserve"> FAO, 2004)</w:t>
      </w:r>
      <w:r>
        <w:t xml:space="preserve">. Calcium salts confer rigidity to the skeleton while calcium ions are involved in most metabolic processes in the body. </w:t>
      </w:r>
      <w:r w:rsidR="004F5656">
        <w:t>The mineral</w:t>
      </w:r>
      <w:r>
        <w:t xml:space="preserve"> is particularly important in the first two years of life, at puberty and during adolescence as well as in the last trimester of pregnancy and in lactating women</w:t>
      </w:r>
      <w:r w:rsidR="004F5656">
        <w:t>, h</w:t>
      </w:r>
      <w:r>
        <w:t>ence, these popula</w:t>
      </w:r>
      <w:r w:rsidR="004F5656">
        <w:t>tion groups</w:t>
      </w:r>
      <w:r>
        <w:t xml:space="preserve"> are regarded as mostly at risk of its deficiency. Calcium deficiency has been related to rickets in children and osteoporosis is adults (WHO </w:t>
      </w:r>
      <w:r w:rsidR="00C2460D">
        <w:t>&amp;</w:t>
      </w:r>
      <w:r>
        <w:t xml:space="preserve"> FAO, 2004). </w:t>
      </w:r>
    </w:p>
    <w:p w14:paraId="48F909B0" w14:textId="77777777" w:rsidR="005B2E77" w:rsidRDefault="005B2E77" w:rsidP="004F5656">
      <w:pPr>
        <w:spacing w:after="0"/>
      </w:pPr>
    </w:p>
    <w:p w14:paraId="14F583E0" w14:textId="0FDCDF56" w:rsidR="005B2E77" w:rsidRDefault="005B2E77" w:rsidP="003E7BE3">
      <w:r>
        <w:t xml:space="preserve">Concerning magnesium, Joy et al. (2014) and Kumssa et al. (2016) reported that the mean estimated risk of magnesium deficiency is low (&lt;1%) in African population. </w:t>
      </w:r>
      <w:r w:rsidR="00881A9F">
        <w:t>T</w:t>
      </w:r>
      <w:r>
        <w:t xml:space="preserve">he estimated mean daily dietary supply of magnesium was between 653 and 678 mg/person/day in Africa, which </w:t>
      </w:r>
      <w:r w:rsidR="00881A9F">
        <w:t>should</w:t>
      </w:r>
      <w:r>
        <w:t xml:space="preserve"> meet more than </w:t>
      </w:r>
      <w:r w:rsidR="00881A9F">
        <w:t>three times</w:t>
      </w:r>
      <w:r>
        <w:t xml:space="preserve"> the estimated average requirement (EAR). However, Kumssa et al. (2016) noted that deficiency risks could have been underestimated, as estimation based on dietary supply does not account for other dietary factors that could inhibit magnesium absorption, such as phytate, calcium and oxalate. Magnesium plays </w:t>
      </w:r>
      <w:r>
        <w:lastRenderedPageBreak/>
        <w:t xml:space="preserve">important role in the body. It is mainly located in the bone, muscles and soft tissues (Kumssa et al., 2016). </w:t>
      </w:r>
      <w:r w:rsidR="004F5656">
        <w:t>It</w:t>
      </w:r>
      <w:r>
        <w:t xml:space="preserve"> acts as </w:t>
      </w:r>
      <w:r w:rsidR="00881A9F">
        <w:t xml:space="preserve">a </w:t>
      </w:r>
      <w:r>
        <w:t xml:space="preserve">cofactor </w:t>
      </w:r>
      <w:r w:rsidR="00881A9F">
        <w:t>for</w:t>
      </w:r>
      <w:r>
        <w:t xml:space="preserve"> various enzymes involved in energy metabolism, and in protein, RNA and DNA synthesis, and in maintaining the electrical potential of the cell membrane and the nervous tissues (WHO </w:t>
      </w:r>
      <w:r w:rsidR="00405470">
        <w:t>&amp;</w:t>
      </w:r>
      <w:r>
        <w:t xml:space="preserve"> FAO, 2004) as well as </w:t>
      </w:r>
      <w:r w:rsidR="004461F6">
        <w:t xml:space="preserve">in </w:t>
      </w:r>
      <w:r>
        <w:t>metabolism of calcium, vitamin D and potassium (Kumssa et al., 2016). Its deficiency can result in metabolic syndrome, lower bone-mineral density, premenstrual syndrome and attention deficit hyperactivity disorder, especially in children</w:t>
      </w:r>
      <w:r w:rsidR="001A2F30">
        <w:t xml:space="preserve"> (Kumssa et al., 2016)</w:t>
      </w:r>
      <w:r>
        <w:t xml:space="preserve">. </w:t>
      </w:r>
    </w:p>
    <w:p w14:paraId="4D5B22AF" w14:textId="0850E62B" w:rsidR="005B2E77" w:rsidRPr="00326576" w:rsidRDefault="005B2E77" w:rsidP="003E7BE3">
      <w:pPr>
        <w:pStyle w:val="Heading3"/>
      </w:pPr>
      <w:bookmarkStart w:id="19" w:name="_Toc65253547"/>
      <w:r>
        <w:t>2.2.4</w:t>
      </w:r>
      <w:r w:rsidR="001E04DC">
        <w:tab/>
      </w:r>
      <w:r>
        <w:t>Incidence/Prevalence and dietary causes of ID among school-age children and childbearing age women in Africa</w:t>
      </w:r>
      <w:bookmarkEnd w:id="19"/>
    </w:p>
    <w:p w14:paraId="3C4E7B47" w14:textId="3B819163" w:rsidR="005B2E77" w:rsidRDefault="005B2E77" w:rsidP="003E7BE3">
      <w:r>
        <w:t>ID and IDA are still public health challenge among school-age children in Africa. A systematic review of iron intakes in children of age 5–19 years residing in selected urban and rural areas in Nigeria and South Africa, showed that 51–100% of the children had inadequate dietary iron intake (Harika et al., 2017</w:t>
      </w:r>
      <w:r w:rsidR="001A2F30">
        <w:t>a</w:t>
      </w:r>
      <w:r>
        <w:t>). ID and IDA have been shown to affect about two-thirds of some school-aged children (5–12 years) studied in Ghana (Abizari et al., 2017). According to the authors, one likely causal factor was the monotonous plant-based diet, which was high in antinutritional factors such as phytate and polyphenols. These antinutritional factors in plant-based foods limit iron absorption (</w:t>
      </w:r>
      <w:r w:rsidR="00253251">
        <w:t>Hurrell &amp; Egli, 2010</w:t>
      </w:r>
      <w:r>
        <w:t xml:space="preserve">). Furthermore, the children consumed </w:t>
      </w:r>
      <w:r w:rsidR="004461F6">
        <w:t>few</w:t>
      </w:r>
      <w:r>
        <w:t xml:space="preserve"> green leafy vegetables, which are rich in iron</w:t>
      </w:r>
      <w:r w:rsidR="004461F6">
        <w:t>,</w:t>
      </w:r>
      <w:r>
        <w:t xml:space="preserve"> and fruits rich in ascorbic acid. Ascorbic acid is </w:t>
      </w:r>
      <w:r w:rsidR="004461F6">
        <w:t>known</w:t>
      </w:r>
      <w:r>
        <w:t xml:space="preserve"> to improve non-haem iron absorption in plant-based foods even in the presence of iron absorption inhibitors (Cercamondi et al., 2014</w:t>
      </w:r>
      <w:r w:rsidR="00220231">
        <w:t>a</w:t>
      </w:r>
      <w:r>
        <w:t xml:space="preserve">). Insufficient intakes of iron were also reported among approximately half of the school-aged Senegalese children attending 30 urban primary state schools (Fiorentino et al., 2016). Approximately 39% of the children were also at risk of ID. This was associated with the poor iron nutritive value of the foods consumed as their dietary iron intake was less than their daily iron requirements. Furthermore, findings from a study conducted in Nigeria to evaluate the nutritional quality of commonly consumed foods among school-age children, indicated that the daily foods consumed by the children provided less than a third of the daily recommended intakes for iron </w:t>
      </w:r>
      <w:r w:rsidRPr="00292ABA">
        <w:t xml:space="preserve">(Table </w:t>
      </w:r>
      <w:r w:rsidR="00292ABA" w:rsidRPr="00292ABA">
        <w:t>2.</w:t>
      </w:r>
      <w:r>
        <w:t>2) (Ayogu et al., 2017). According to the authors, the inadequate iron intake was associated with small portion sizes and the poor nutritional quality of the foods consumed. For example, a small quantity of animal source protein was consumed in meals. This was in part due to high food prices and food scarcity.</w:t>
      </w:r>
    </w:p>
    <w:p w14:paraId="29DC1542" w14:textId="77777777" w:rsidR="005B2E77" w:rsidRDefault="005B2E77" w:rsidP="004F5656">
      <w:pPr>
        <w:spacing w:after="0"/>
      </w:pPr>
    </w:p>
    <w:p w14:paraId="7B283CDF" w14:textId="29C4058F" w:rsidR="005B2E77" w:rsidRDefault="005B2E77" w:rsidP="003E7BE3">
      <w:r>
        <w:lastRenderedPageBreak/>
        <w:t>ID and IDA are also prevalent among women of reproductive age, especially in Africa (WHO, 201</w:t>
      </w:r>
      <w:r w:rsidR="001E4B61">
        <w:t>5</w:t>
      </w:r>
      <w:r>
        <w:t>). A meta-analysis study among women of reproductive age in sub-Saharan Africa revealed that the prevalence of anaemia associated with iron deficiency was approx. 33% (Petry et al., 2016</w:t>
      </w:r>
      <w:r w:rsidR="001A2F30">
        <w:t>a</w:t>
      </w:r>
      <w:r>
        <w:t>). The study further reported that about 40%, 22%, 39%, 45%, 33% of women in national representative data from Mozambique, Kenya, Cameroon, Sierra Leone and Liberia, respectively were anaemic. Furthermore, approx. 41%, 64%, 29%, 13.6%, 34% of the prevalence of anaemia was associated with ID among the women in Mozambique, Kenya, Cameroon, Sierra Leone and Liberia, respectively. Another study showed that iron intakes w</w:t>
      </w:r>
      <w:r w:rsidR="004461F6">
        <w:t>ere</w:t>
      </w:r>
      <w:r>
        <w:t xml:space="preserve"> moderate among some women who lived in rural areas of Burkina Faso</w:t>
      </w:r>
      <w:r w:rsidRPr="009E29A9">
        <w:t xml:space="preserve"> </w:t>
      </w:r>
      <w:r>
        <w:t xml:space="preserve">(Martin-Pravel et al., 2016). However, their serum transferin concentration, suggested a high prevalence of ID (about 76–91%) among these women.  The high prevalence of ID among the women, despite their moderate intake of iron, was associated with poor iron bioavailability of the dietary iron. Their main dietary iron sources were from sorghum and other grains high in inhibitors of iron absorption such as phytate. Petry et al. (2019) </w:t>
      </w:r>
      <w:r w:rsidR="005F2B4E">
        <w:t>similarly found</w:t>
      </w:r>
      <w:r>
        <w:t xml:space="preserve"> that among 1703 non-pregnant women (15–49 years) studied in rural and urban areas in Gambia, about 41% and 51% were iron deficient and anaemic, respectively and that approx. 30% of the women had anaemia caused by ID. According to the authors, low intakes of iron as well as low dietary bioavailable iron could have contributed to the high prevalence of ID among the women as their diet consisted of plant-based foods high in inhibitors of iron absorption. Furthermore, another study showed that among some 410 healthy, urban South African women, approximately 57% were iron deficient (Phatlhane et al., 2016). </w:t>
      </w:r>
      <w:r w:rsidR="00661613">
        <w:t>According to the authors, o</w:t>
      </w:r>
      <w:r>
        <w:t xml:space="preserve">ne likely causal factor was low consumption of meat and fish known to be rich bioavailable iron. </w:t>
      </w:r>
    </w:p>
    <w:p w14:paraId="51B4242E" w14:textId="77777777" w:rsidR="005B2E77" w:rsidRDefault="005B2E77" w:rsidP="004F5656">
      <w:pPr>
        <w:spacing w:after="0"/>
        <w:rPr>
          <w:rFonts w:cs="Times New Roman"/>
          <w:szCs w:val="24"/>
        </w:rPr>
      </w:pPr>
    </w:p>
    <w:p w14:paraId="06DCEB94" w14:textId="23B0A9CD" w:rsidR="005B2E77" w:rsidRPr="00326576" w:rsidRDefault="005B2E77" w:rsidP="003E7BE3">
      <w:pPr>
        <w:pStyle w:val="Heading3"/>
      </w:pPr>
      <w:bookmarkStart w:id="20" w:name="_Toc65253548"/>
      <w:r>
        <w:t>2.2.5</w:t>
      </w:r>
      <w:r w:rsidR="00A61647">
        <w:tab/>
      </w:r>
      <w:r>
        <w:t>Incidence/Prevalence and dietary causes of zinc deficiency among school-age children and childbearing age women in Africa</w:t>
      </w:r>
      <w:bookmarkEnd w:id="20"/>
    </w:p>
    <w:p w14:paraId="3C637158" w14:textId="0DE8C778" w:rsidR="005B2E77" w:rsidRDefault="005B2E77" w:rsidP="00A52614">
      <w:r>
        <w:t>A systematic review of South African children (5–19 years) living in rural and urban areas showed that about 87–98% had inadequate zinc intakes (Harika et al., 2017</w:t>
      </w:r>
      <w:r w:rsidR="00661613">
        <w:t>b</w:t>
      </w:r>
      <w:r>
        <w:t xml:space="preserve">). The review also showed that among some 2433 and 684 children (5–19 years) studied in Ethiopia and South Africa, approx. 29% and 37% had zinc deficiency, respectively. The zinc deficiency among the children was associated with the high prevalence of inadequate zinc intake plus the fact that their dietary sources of zinc was high in phytate. </w:t>
      </w:r>
      <w:r w:rsidR="004F5656">
        <w:t>As previously stated, p</w:t>
      </w:r>
      <w:r>
        <w:t xml:space="preserve">hytate chelates minerals including zinc and forms an insoluble complex, thereby preventing it from </w:t>
      </w:r>
      <w:r>
        <w:lastRenderedPageBreak/>
        <w:t xml:space="preserve">being easily absorbed in the body (Feil, 2001). Abah et al. (2015) </w:t>
      </w:r>
      <w:r w:rsidR="00066336">
        <w:t>similarly</w:t>
      </w:r>
      <w:r>
        <w:t xml:space="preserve"> reported that the prevalence of zinc deficiency among school-age children (6–12 years) residing in a rural area of North Central Nigeria was about 99%. The major causal factors were low economic status and poor dietary sources of zinc. For example, about 95% of their diet consisted of maize, rice and yam, of which 80% was unrefined maize porridge. Maize, like other cereals is high in phytate, which can limit zinc from being well absorbed (Feil, 2001). Also, among some school-age children studied in Nigeria, less than 33% of the daily recommended zinc intake was met from their daily diet (Ayogu et al., 2017). The low zinc intake among the children was attributed to consumption of small food portion sizes and minimal quantities of dietary animal food products, which are rich in bioavailable zinc. This was again in part due to high food prices and food scarcity. </w:t>
      </w:r>
      <w:r w:rsidR="005F2B4E">
        <w:t>Similarly</w:t>
      </w:r>
      <w:r>
        <w:t xml:space="preserve">, inadequate zinc intake in school children in Eastern Uganda was observed in a cross-sectional study (Tidemann-Andersen et al., 2011). The study showed that the children consumed mainly plant-based foods low in zinc, while animal-based foods were only occasionally consumed. </w:t>
      </w:r>
    </w:p>
    <w:p w14:paraId="36391019" w14:textId="462B7030" w:rsidR="00FB21CE" w:rsidRDefault="00FB21CE" w:rsidP="00FB21CE">
      <w:pPr>
        <w:spacing w:after="0"/>
      </w:pPr>
    </w:p>
    <w:p w14:paraId="1C688C78" w14:textId="4E3A193A" w:rsidR="005B2E77" w:rsidRDefault="005B2E77" w:rsidP="00FB21CE">
      <w:pPr>
        <w:spacing w:after="160"/>
        <w:rPr>
          <w:b/>
        </w:rPr>
      </w:pPr>
    </w:p>
    <w:p w14:paraId="1B5A7A69" w14:textId="77777777" w:rsidR="005B2E77" w:rsidRDefault="005B2E77" w:rsidP="00B20675">
      <w:pPr>
        <w:jc w:val="center"/>
        <w:rPr>
          <w:b/>
        </w:rPr>
        <w:sectPr w:rsidR="005B2E77" w:rsidSect="00032421">
          <w:pgSz w:w="11907" w:h="16839" w:code="9"/>
          <w:pgMar w:top="1440" w:right="1440" w:bottom="1440" w:left="1440" w:header="720" w:footer="720" w:gutter="0"/>
          <w:pgNumType w:start="1"/>
          <w:cols w:space="720"/>
          <w:docGrid w:linePitch="360"/>
        </w:sectPr>
      </w:pPr>
    </w:p>
    <w:p w14:paraId="24D6047E" w14:textId="0C8E4ECE" w:rsidR="005B2E77" w:rsidRDefault="005B2E77" w:rsidP="00B730A3">
      <w:pPr>
        <w:pStyle w:val="MyTables"/>
      </w:pPr>
      <w:bookmarkStart w:id="21" w:name="_Toc65253624"/>
      <w:r w:rsidRPr="00292ABA">
        <w:rPr>
          <w:b/>
          <w:bCs/>
        </w:rPr>
        <w:lastRenderedPageBreak/>
        <w:t>Table 2</w:t>
      </w:r>
      <w:r w:rsidR="00B730A3" w:rsidRPr="00292ABA">
        <w:rPr>
          <w:b/>
          <w:bCs/>
        </w:rPr>
        <w:t>.2</w:t>
      </w:r>
      <w:r>
        <w:t>: Recommended requirements (mg/day) of iron, zinc, calcium and magnesium for children and women of reproductive age</w:t>
      </w:r>
      <w:bookmarkEnd w:id="21"/>
    </w:p>
    <w:tbl>
      <w:tblPr>
        <w:tblW w:w="15027" w:type="dxa"/>
        <w:jc w:val="center"/>
        <w:tblLayout w:type="fixed"/>
        <w:tblLook w:val="04A0" w:firstRow="1" w:lastRow="0" w:firstColumn="1" w:lastColumn="0" w:noHBand="0" w:noVBand="1"/>
      </w:tblPr>
      <w:tblGrid>
        <w:gridCol w:w="1135"/>
        <w:gridCol w:w="709"/>
        <w:gridCol w:w="1559"/>
        <w:gridCol w:w="1559"/>
        <w:gridCol w:w="1560"/>
        <w:gridCol w:w="708"/>
        <w:gridCol w:w="1560"/>
        <w:gridCol w:w="1559"/>
        <w:gridCol w:w="1559"/>
        <w:gridCol w:w="851"/>
        <w:gridCol w:w="708"/>
        <w:gridCol w:w="748"/>
        <w:gridCol w:w="812"/>
      </w:tblGrid>
      <w:tr w:rsidR="005B2E77" w:rsidRPr="003B0165" w14:paraId="7B1AA76E" w14:textId="77777777" w:rsidTr="00B7155A">
        <w:trPr>
          <w:jc w:val="center"/>
        </w:trPr>
        <w:tc>
          <w:tcPr>
            <w:tcW w:w="1135" w:type="dxa"/>
            <w:vMerge w:val="restart"/>
            <w:tcBorders>
              <w:top w:val="single" w:sz="4" w:space="0" w:color="auto"/>
              <w:bottom w:val="single" w:sz="4" w:space="0" w:color="auto"/>
            </w:tcBorders>
          </w:tcPr>
          <w:p w14:paraId="41771DEE" w14:textId="77777777" w:rsidR="005B2E77" w:rsidRPr="003B0165" w:rsidRDefault="005B2E77" w:rsidP="00B7155A">
            <w:pPr>
              <w:spacing w:after="0"/>
              <w:jc w:val="left"/>
              <w:rPr>
                <w:rFonts w:cs="Times New Roman"/>
                <w:b/>
                <w:sz w:val="20"/>
                <w:szCs w:val="20"/>
              </w:rPr>
            </w:pPr>
            <w:r w:rsidRPr="003B0165">
              <w:rPr>
                <w:rFonts w:cs="Times New Roman"/>
                <w:b/>
                <w:sz w:val="20"/>
                <w:szCs w:val="20"/>
              </w:rPr>
              <w:t>Population and age (in years)</w:t>
            </w:r>
          </w:p>
        </w:tc>
        <w:tc>
          <w:tcPr>
            <w:tcW w:w="5387" w:type="dxa"/>
            <w:gridSpan w:val="4"/>
            <w:tcBorders>
              <w:top w:val="single" w:sz="4" w:space="0" w:color="auto"/>
              <w:bottom w:val="single" w:sz="4" w:space="0" w:color="auto"/>
            </w:tcBorders>
          </w:tcPr>
          <w:p w14:paraId="11C40A3B" w14:textId="77777777" w:rsidR="005B2E77" w:rsidRPr="003B0165" w:rsidRDefault="005B2E77" w:rsidP="003B0165">
            <w:pPr>
              <w:spacing w:after="0"/>
              <w:jc w:val="center"/>
              <w:rPr>
                <w:rFonts w:cs="Times New Roman"/>
                <w:b/>
                <w:sz w:val="20"/>
                <w:szCs w:val="20"/>
              </w:rPr>
            </w:pPr>
            <w:r w:rsidRPr="003B0165">
              <w:rPr>
                <w:rFonts w:cs="Times New Roman"/>
                <w:b/>
                <w:sz w:val="20"/>
                <w:szCs w:val="20"/>
              </w:rPr>
              <w:t>Iron</w:t>
            </w:r>
          </w:p>
        </w:tc>
        <w:tc>
          <w:tcPr>
            <w:tcW w:w="5386" w:type="dxa"/>
            <w:gridSpan w:val="4"/>
            <w:tcBorders>
              <w:top w:val="single" w:sz="4" w:space="0" w:color="auto"/>
              <w:bottom w:val="single" w:sz="4" w:space="0" w:color="auto"/>
            </w:tcBorders>
          </w:tcPr>
          <w:p w14:paraId="28C939F3" w14:textId="77777777" w:rsidR="005B2E77" w:rsidRPr="003B0165" w:rsidRDefault="005B2E77" w:rsidP="003B0165">
            <w:pPr>
              <w:spacing w:after="0"/>
              <w:jc w:val="center"/>
              <w:rPr>
                <w:rFonts w:cs="Times New Roman"/>
                <w:b/>
                <w:sz w:val="20"/>
                <w:szCs w:val="20"/>
              </w:rPr>
            </w:pPr>
            <w:r w:rsidRPr="003B0165">
              <w:rPr>
                <w:rFonts w:cs="Times New Roman"/>
                <w:b/>
                <w:sz w:val="20"/>
                <w:szCs w:val="20"/>
              </w:rPr>
              <w:t>Zinc</w:t>
            </w:r>
          </w:p>
        </w:tc>
        <w:tc>
          <w:tcPr>
            <w:tcW w:w="1559" w:type="dxa"/>
            <w:gridSpan w:val="2"/>
            <w:tcBorders>
              <w:top w:val="single" w:sz="4" w:space="0" w:color="auto"/>
              <w:bottom w:val="single" w:sz="4" w:space="0" w:color="auto"/>
            </w:tcBorders>
          </w:tcPr>
          <w:p w14:paraId="4AC0E1D0" w14:textId="77777777" w:rsidR="005B2E77" w:rsidRPr="003B0165" w:rsidRDefault="005B2E77" w:rsidP="003B0165">
            <w:pPr>
              <w:spacing w:after="0"/>
              <w:jc w:val="center"/>
              <w:rPr>
                <w:rFonts w:cs="Times New Roman"/>
                <w:b/>
                <w:sz w:val="20"/>
                <w:szCs w:val="20"/>
              </w:rPr>
            </w:pPr>
            <w:r w:rsidRPr="003B0165">
              <w:rPr>
                <w:rFonts w:cs="Times New Roman"/>
                <w:b/>
                <w:sz w:val="20"/>
                <w:szCs w:val="20"/>
              </w:rPr>
              <w:t>Calcium</w:t>
            </w:r>
          </w:p>
        </w:tc>
        <w:tc>
          <w:tcPr>
            <w:tcW w:w="1560" w:type="dxa"/>
            <w:gridSpan w:val="2"/>
            <w:tcBorders>
              <w:top w:val="single" w:sz="4" w:space="0" w:color="auto"/>
              <w:bottom w:val="single" w:sz="4" w:space="0" w:color="auto"/>
            </w:tcBorders>
          </w:tcPr>
          <w:p w14:paraId="64A3CDCA" w14:textId="29814C38" w:rsidR="005B2E77" w:rsidRPr="003B0165" w:rsidRDefault="005B2E77" w:rsidP="003B0165">
            <w:pPr>
              <w:spacing w:after="0"/>
              <w:jc w:val="center"/>
              <w:rPr>
                <w:rFonts w:cs="Times New Roman"/>
                <w:b/>
                <w:sz w:val="20"/>
                <w:szCs w:val="20"/>
              </w:rPr>
            </w:pPr>
            <w:r w:rsidRPr="003B0165">
              <w:rPr>
                <w:rFonts w:cs="Times New Roman"/>
                <w:b/>
                <w:sz w:val="20"/>
                <w:szCs w:val="20"/>
              </w:rPr>
              <w:t>Magnesium</w:t>
            </w:r>
          </w:p>
        </w:tc>
      </w:tr>
      <w:tr w:rsidR="005B2E77" w:rsidRPr="008D2D3C" w14:paraId="1B168E30" w14:textId="77777777" w:rsidTr="00B7155A">
        <w:trPr>
          <w:jc w:val="center"/>
        </w:trPr>
        <w:tc>
          <w:tcPr>
            <w:tcW w:w="1135" w:type="dxa"/>
            <w:vMerge/>
            <w:tcBorders>
              <w:top w:val="single" w:sz="4" w:space="0" w:color="auto"/>
            </w:tcBorders>
          </w:tcPr>
          <w:p w14:paraId="48961A20" w14:textId="77777777" w:rsidR="005B2E77" w:rsidRPr="008D2D3C" w:rsidRDefault="005B2E77" w:rsidP="00B7155A">
            <w:pPr>
              <w:spacing w:after="0"/>
              <w:jc w:val="left"/>
              <w:rPr>
                <w:rFonts w:cs="Times New Roman"/>
                <w:b/>
                <w:sz w:val="20"/>
                <w:szCs w:val="20"/>
              </w:rPr>
            </w:pPr>
          </w:p>
        </w:tc>
        <w:tc>
          <w:tcPr>
            <w:tcW w:w="709" w:type="dxa"/>
            <w:tcBorders>
              <w:top w:val="single" w:sz="4" w:space="0" w:color="auto"/>
            </w:tcBorders>
          </w:tcPr>
          <w:p w14:paraId="41751E82" w14:textId="77777777" w:rsidR="005B2E77" w:rsidRPr="008D2D3C" w:rsidRDefault="005B2E77" w:rsidP="00B7155A">
            <w:pPr>
              <w:spacing w:after="0"/>
              <w:jc w:val="center"/>
              <w:rPr>
                <w:rFonts w:cs="Times New Roman"/>
                <w:b/>
                <w:sz w:val="20"/>
                <w:szCs w:val="20"/>
              </w:rPr>
            </w:pPr>
            <w:r w:rsidRPr="008D2D3C">
              <w:rPr>
                <w:rFonts w:cs="Times New Roman"/>
                <w:b/>
                <w:sz w:val="20"/>
                <w:szCs w:val="20"/>
              </w:rPr>
              <w:t>RDA</w:t>
            </w:r>
          </w:p>
        </w:tc>
        <w:tc>
          <w:tcPr>
            <w:tcW w:w="1559" w:type="dxa"/>
            <w:tcBorders>
              <w:top w:val="single" w:sz="4" w:space="0" w:color="auto"/>
            </w:tcBorders>
          </w:tcPr>
          <w:p w14:paraId="452035BF" w14:textId="77777777" w:rsidR="005B2E77" w:rsidRPr="008D2D3C" w:rsidRDefault="005B2E77" w:rsidP="00B7155A">
            <w:pPr>
              <w:spacing w:after="0"/>
              <w:jc w:val="center"/>
              <w:rPr>
                <w:rFonts w:cs="Times New Roman"/>
                <w:b/>
                <w:sz w:val="20"/>
                <w:szCs w:val="20"/>
              </w:rPr>
            </w:pPr>
            <w:r w:rsidRPr="008D2D3C">
              <w:rPr>
                <w:rFonts w:cs="Times New Roman"/>
                <w:b/>
                <w:sz w:val="20"/>
                <w:szCs w:val="20"/>
              </w:rPr>
              <w:t>RNI (15% bioavailability)</w:t>
            </w:r>
          </w:p>
        </w:tc>
        <w:tc>
          <w:tcPr>
            <w:tcW w:w="1559" w:type="dxa"/>
            <w:tcBorders>
              <w:top w:val="single" w:sz="4" w:space="0" w:color="auto"/>
            </w:tcBorders>
          </w:tcPr>
          <w:p w14:paraId="7FBAB607" w14:textId="77777777" w:rsidR="005B2E77" w:rsidRPr="008D2D3C" w:rsidRDefault="005B2E77" w:rsidP="00B7155A">
            <w:pPr>
              <w:spacing w:after="0"/>
              <w:jc w:val="center"/>
              <w:rPr>
                <w:rFonts w:cs="Times New Roman"/>
                <w:b/>
                <w:sz w:val="20"/>
                <w:szCs w:val="20"/>
              </w:rPr>
            </w:pPr>
            <w:r w:rsidRPr="008D2D3C">
              <w:rPr>
                <w:rFonts w:cs="Times New Roman"/>
                <w:b/>
                <w:sz w:val="20"/>
                <w:szCs w:val="20"/>
              </w:rPr>
              <w:t>RNI (10% bioavailability)</w:t>
            </w:r>
          </w:p>
        </w:tc>
        <w:tc>
          <w:tcPr>
            <w:tcW w:w="1560" w:type="dxa"/>
            <w:tcBorders>
              <w:top w:val="single" w:sz="4" w:space="0" w:color="auto"/>
            </w:tcBorders>
          </w:tcPr>
          <w:p w14:paraId="38E61BFC" w14:textId="77777777" w:rsidR="005B2E77" w:rsidRPr="008D2D3C" w:rsidRDefault="005B2E77" w:rsidP="00B7155A">
            <w:pPr>
              <w:spacing w:after="0"/>
              <w:jc w:val="center"/>
              <w:rPr>
                <w:rFonts w:cs="Times New Roman"/>
                <w:b/>
                <w:sz w:val="20"/>
                <w:szCs w:val="20"/>
              </w:rPr>
            </w:pPr>
            <w:r w:rsidRPr="008D2D3C">
              <w:rPr>
                <w:rFonts w:cs="Times New Roman"/>
                <w:b/>
                <w:sz w:val="20"/>
                <w:szCs w:val="20"/>
              </w:rPr>
              <w:t>RNI (5% bioavailability)</w:t>
            </w:r>
          </w:p>
        </w:tc>
        <w:tc>
          <w:tcPr>
            <w:tcW w:w="708" w:type="dxa"/>
            <w:tcBorders>
              <w:top w:val="single" w:sz="4" w:space="0" w:color="auto"/>
            </w:tcBorders>
          </w:tcPr>
          <w:p w14:paraId="6ECC6CAF" w14:textId="77777777" w:rsidR="005B2E77" w:rsidRPr="008D2D3C" w:rsidRDefault="005B2E77" w:rsidP="00B7155A">
            <w:pPr>
              <w:spacing w:after="0"/>
              <w:jc w:val="center"/>
              <w:rPr>
                <w:rFonts w:cs="Times New Roman"/>
                <w:b/>
                <w:sz w:val="20"/>
                <w:szCs w:val="20"/>
              </w:rPr>
            </w:pPr>
            <w:r w:rsidRPr="008D2D3C">
              <w:rPr>
                <w:rFonts w:cs="Times New Roman"/>
                <w:b/>
                <w:sz w:val="20"/>
                <w:szCs w:val="20"/>
              </w:rPr>
              <w:t>RDA</w:t>
            </w:r>
          </w:p>
        </w:tc>
        <w:tc>
          <w:tcPr>
            <w:tcW w:w="1560" w:type="dxa"/>
            <w:tcBorders>
              <w:top w:val="single" w:sz="4" w:space="0" w:color="auto"/>
            </w:tcBorders>
          </w:tcPr>
          <w:p w14:paraId="3372631F" w14:textId="77777777" w:rsidR="005B2E77" w:rsidRPr="008D2D3C" w:rsidRDefault="005B2E77" w:rsidP="00B7155A">
            <w:pPr>
              <w:spacing w:after="0"/>
              <w:jc w:val="center"/>
              <w:rPr>
                <w:rFonts w:cs="Times New Roman"/>
                <w:b/>
                <w:sz w:val="20"/>
                <w:szCs w:val="20"/>
              </w:rPr>
            </w:pPr>
            <w:r w:rsidRPr="008D2D3C">
              <w:rPr>
                <w:rFonts w:cs="Times New Roman"/>
                <w:b/>
                <w:sz w:val="20"/>
                <w:szCs w:val="20"/>
              </w:rPr>
              <w:t>RNI (High bioavailability)</w:t>
            </w:r>
          </w:p>
        </w:tc>
        <w:tc>
          <w:tcPr>
            <w:tcW w:w="1559" w:type="dxa"/>
            <w:tcBorders>
              <w:top w:val="single" w:sz="4" w:space="0" w:color="auto"/>
            </w:tcBorders>
          </w:tcPr>
          <w:p w14:paraId="46516551" w14:textId="77777777" w:rsidR="005B2E77" w:rsidRPr="008D2D3C" w:rsidRDefault="005B2E77" w:rsidP="00B7155A">
            <w:pPr>
              <w:spacing w:after="0"/>
              <w:jc w:val="center"/>
              <w:rPr>
                <w:rFonts w:cs="Times New Roman"/>
                <w:b/>
                <w:sz w:val="20"/>
                <w:szCs w:val="20"/>
              </w:rPr>
            </w:pPr>
            <w:r w:rsidRPr="008D2D3C">
              <w:rPr>
                <w:rFonts w:cs="Times New Roman"/>
                <w:b/>
                <w:sz w:val="20"/>
                <w:szCs w:val="20"/>
              </w:rPr>
              <w:t>RNI (Moderate bioavailability)</w:t>
            </w:r>
          </w:p>
        </w:tc>
        <w:tc>
          <w:tcPr>
            <w:tcW w:w="1559" w:type="dxa"/>
            <w:tcBorders>
              <w:top w:val="single" w:sz="4" w:space="0" w:color="auto"/>
            </w:tcBorders>
          </w:tcPr>
          <w:p w14:paraId="3BA8B216" w14:textId="77777777" w:rsidR="005B2E77" w:rsidRPr="008D2D3C" w:rsidRDefault="005B2E77" w:rsidP="00B7155A">
            <w:pPr>
              <w:spacing w:after="0"/>
              <w:jc w:val="center"/>
              <w:rPr>
                <w:rFonts w:cs="Times New Roman"/>
                <w:b/>
                <w:sz w:val="20"/>
                <w:szCs w:val="20"/>
              </w:rPr>
            </w:pPr>
            <w:r w:rsidRPr="008D2D3C">
              <w:rPr>
                <w:rFonts w:cs="Times New Roman"/>
                <w:b/>
                <w:sz w:val="20"/>
                <w:szCs w:val="20"/>
              </w:rPr>
              <w:t>RNI (Low bioavailability)</w:t>
            </w:r>
          </w:p>
        </w:tc>
        <w:tc>
          <w:tcPr>
            <w:tcW w:w="851" w:type="dxa"/>
            <w:tcBorders>
              <w:top w:val="single" w:sz="4" w:space="0" w:color="auto"/>
            </w:tcBorders>
          </w:tcPr>
          <w:p w14:paraId="51C4D1C7" w14:textId="040E9C66" w:rsidR="005B2E77" w:rsidRPr="00A23D16" w:rsidRDefault="005B2E77" w:rsidP="00B7155A">
            <w:pPr>
              <w:spacing w:after="0"/>
              <w:jc w:val="center"/>
              <w:rPr>
                <w:rFonts w:cs="Times New Roman"/>
                <w:b/>
                <w:sz w:val="20"/>
                <w:szCs w:val="20"/>
              </w:rPr>
            </w:pPr>
            <w:r w:rsidRPr="008D2D3C">
              <w:rPr>
                <w:rFonts w:cs="Times New Roman"/>
                <w:b/>
                <w:sz w:val="20"/>
                <w:szCs w:val="20"/>
              </w:rPr>
              <w:t>RDA</w:t>
            </w:r>
            <w:r w:rsidR="00A23D16" w:rsidRPr="00A23D16">
              <w:rPr>
                <w:rFonts w:cs="Times New Roman"/>
                <w:b/>
                <w:sz w:val="20"/>
                <w:szCs w:val="20"/>
                <w:vertAlign w:val="superscript"/>
              </w:rPr>
              <w:t>£</w:t>
            </w:r>
          </w:p>
        </w:tc>
        <w:tc>
          <w:tcPr>
            <w:tcW w:w="708" w:type="dxa"/>
            <w:tcBorders>
              <w:top w:val="single" w:sz="4" w:space="0" w:color="auto"/>
            </w:tcBorders>
          </w:tcPr>
          <w:p w14:paraId="06B0ACB1" w14:textId="77777777" w:rsidR="005B2E77" w:rsidRPr="00A23D16" w:rsidRDefault="005B2E77" w:rsidP="00B7155A">
            <w:pPr>
              <w:spacing w:after="0"/>
              <w:jc w:val="center"/>
              <w:rPr>
                <w:rFonts w:cs="Times New Roman"/>
                <w:b/>
                <w:sz w:val="20"/>
                <w:szCs w:val="20"/>
              </w:rPr>
            </w:pPr>
            <w:r w:rsidRPr="00A23D16">
              <w:rPr>
                <w:rFonts w:cs="Times New Roman"/>
                <w:b/>
                <w:sz w:val="20"/>
                <w:szCs w:val="20"/>
              </w:rPr>
              <w:t>RNI</w:t>
            </w:r>
          </w:p>
        </w:tc>
        <w:tc>
          <w:tcPr>
            <w:tcW w:w="748" w:type="dxa"/>
            <w:tcBorders>
              <w:top w:val="single" w:sz="4" w:space="0" w:color="auto"/>
            </w:tcBorders>
          </w:tcPr>
          <w:p w14:paraId="42DDBD45" w14:textId="14104181" w:rsidR="005B2E77" w:rsidRPr="00A23D16" w:rsidRDefault="005B2E77" w:rsidP="00B7155A">
            <w:pPr>
              <w:spacing w:after="0"/>
              <w:jc w:val="center"/>
              <w:rPr>
                <w:rFonts w:cs="Times New Roman"/>
                <w:b/>
                <w:sz w:val="20"/>
                <w:szCs w:val="20"/>
              </w:rPr>
            </w:pPr>
            <w:r w:rsidRPr="00A23D16">
              <w:rPr>
                <w:rFonts w:cs="Times New Roman"/>
                <w:b/>
                <w:sz w:val="20"/>
                <w:szCs w:val="20"/>
              </w:rPr>
              <w:t>RDA</w:t>
            </w:r>
            <w:r w:rsidR="00A23D16" w:rsidRPr="00A23D16">
              <w:rPr>
                <w:rFonts w:cs="Times New Roman"/>
                <w:b/>
                <w:sz w:val="20"/>
                <w:szCs w:val="20"/>
                <w:vertAlign w:val="superscript"/>
              </w:rPr>
              <w:t>₸</w:t>
            </w:r>
          </w:p>
        </w:tc>
        <w:tc>
          <w:tcPr>
            <w:tcW w:w="812" w:type="dxa"/>
            <w:tcBorders>
              <w:top w:val="single" w:sz="4" w:space="0" w:color="auto"/>
            </w:tcBorders>
          </w:tcPr>
          <w:p w14:paraId="4FB2D808" w14:textId="77777777" w:rsidR="005B2E77" w:rsidRPr="00A23D16" w:rsidRDefault="005B2E77" w:rsidP="00B7155A">
            <w:pPr>
              <w:spacing w:after="0"/>
              <w:jc w:val="center"/>
              <w:rPr>
                <w:rFonts w:cs="Times New Roman"/>
                <w:b/>
                <w:sz w:val="20"/>
                <w:szCs w:val="20"/>
              </w:rPr>
            </w:pPr>
            <w:r w:rsidRPr="00A23D16">
              <w:rPr>
                <w:rFonts w:cs="Times New Roman"/>
                <w:b/>
                <w:sz w:val="20"/>
                <w:szCs w:val="20"/>
              </w:rPr>
              <w:t>RNI</w:t>
            </w:r>
          </w:p>
        </w:tc>
      </w:tr>
      <w:tr w:rsidR="00B7155A" w:rsidRPr="008D2D3C" w14:paraId="6FA9881F" w14:textId="77777777" w:rsidTr="00F5762E">
        <w:trPr>
          <w:jc w:val="center"/>
        </w:trPr>
        <w:tc>
          <w:tcPr>
            <w:tcW w:w="15027" w:type="dxa"/>
            <w:gridSpan w:val="13"/>
          </w:tcPr>
          <w:p w14:paraId="724F84E0" w14:textId="77777777" w:rsidR="00B7155A" w:rsidRPr="008D2D3C" w:rsidRDefault="00B7155A" w:rsidP="00B7155A">
            <w:pPr>
              <w:spacing w:after="0"/>
              <w:jc w:val="left"/>
              <w:rPr>
                <w:rFonts w:cs="Times New Roman"/>
                <w:b/>
                <w:sz w:val="20"/>
                <w:szCs w:val="20"/>
              </w:rPr>
            </w:pPr>
            <w:r w:rsidRPr="008D2D3C">
              <w:rPr>
                <w:rFonts w:cs="Times New Roman"/>
                <w:b/>
                <w:sz w:val="20"/>
                <w:szCs w:val="20"/>
              </w:rPr>
              <w:t>Children</w:t>
            </w:r>
          </w:p>
        </w:tc>
      </w:tr>
      <w:tr w:rsidR="005B2E77" w:rsidRPr="008D2D3C" w14:paraId="651EEAAB" w14:textId="77777777" w:rsidTr="00B7155A">
        <w:trPr>
          <w:jc w:val="center"/>
        </w:trPr>
        <w:tc>
          <w:tcPr>
            <w:tcW w:w="1135" w:type="dxa"/>
          </w:tcPr>
          <w:p w14:paraId="55D80C1D" w14:textId="77777777" w:rsidR="005B2E77" w:rsidRPr="008D2D3C" w:rsidRDefault="005B2E77" w:rsidP="00B7155A">
            <w:pPr>
              <w:spacing w:after="0"/>
              <w:jc w:val="left"/>
              <w:rPr>
                <w:rFonts w:cs="Times New Roman"/>
                <w:sz w:val="20"/>
                <w:szCs w:val="20"/>
              </w:rPr>
            </w:pPr>
            <w:r w:rsidRPr="008D2D3C">
              <w:rPr>
                <w:rFonts w:cs="Times New Roman"/>
                <w:sz w:val="20"/>
                <w:szCs w:val="20"/>
              </w:rPr>
              <w:t>1–3</w:t>
            </w:r>
          </w:p>
        </w:tc>
        <w:tc>
          <w:tcPr>
            <w:tcW w:w="709" w:type="dxa"/>
          </w:tcPr>
          <w:p w14:paraId="5C55A24E" w14:textId="294AC87E" w:rsidR="005B2E77" w:rsidRPr="008D2D3C" w:rsidRDefault="005B2E77" w:rsidP="00B7155A">
            <w:pPr>
              <w:spacing w:after="0"/>
              <w:jc w:val="center"/>
              <w:rPr>
                <w:rFonts w:cs="Times New Roman"/>
                <w:sz w:val="20"/>
                <w:szCs w:val="20"/>
              </w:rPr>
            </w:pPr>
            <w:r w:rsidRPr="008D2D3C">
              <w:rPr>
                <w:rFonts w:cs="Times New Roman"/>
                <w:sz w:val="20"/>
                <w:szCs w:val="20"/>
              </w:rPr>
              <w:t>7</w:t>
            </w:r>
          </w:p>
        </w:tc>
        <w:tc>
          <w:tcPr>
            <w:tcW w:w="1559" w:type="dxa"/>
          </w:tcPr>
          <w:p w14:paraId="5C406825" w14:textId="77777777" w:rsidR="005B2E77" w:rsidRPr="008D2D3C" w:rsidRDefault="005B2E77" w:rsidP="00B7155A">
            <w:pPr>
              <w:spacing w:after="0"/>
              <w:jc w:val="center"/>
              <w:rPr>
                <w:rFonts w:cs="Times New Roman"/>
                <w:sz w:val="20"/>
                <w:szCs w:val="20"/>
              </w:rPr>
            </w:pPr>
            <w:r w:rsidRPr="008D2D3C">
              <w:rPr>
                <w:rFonts w:cs="Times New Roman"/>
                <w:sz w:val="20"/>
                <w:szCs w:val="20"/>
              </w:rPr>
              <w:t>3.9</w:t>
            </w:r>
          </w:p>
        </w:tc>
        <w:tc>
          <w:tcPr>
            <w:tcW w:w="1559" w:type="dxa"/>
          </w:tcPr>
          <w:p w14:paraId="2DE83D2B" w14:textId="77777777" w:rsidR="005B2E77" w:rsidRPr="008D2D3C" w:rsidRDefault="005B2E77" w:rsidP="00B7155A">
            <w:pPr>
              <w:spacing w:after="0"/>
              <w:jc w:val="center"/>
              <w:rPr>
                <w:rFonts w:cs="Times New Roman"/>
                <w:sz w:val="20"/>
                <w:szCs w:val="20"/>
              </w:rPr>
            </w:pPr>
            <w:r w:rsidRPr="008D2D3C">
              <w:rPr>
                <w:rFonts w:cs="Times New Roman"/>
                <w:sz w:val="20"/>
                <w:szCs w:val="20"/>
              </w:rPr>
              <w:t>5.8</w:t>
            </w:r>
          </w:p>
        </w:tc>
        <w:tc>
          <w:tcPr>
            <w:tcW w:w="1560" w:type="dxa"/>
          </w:tcPr>
          <w:p w14:paraId="417F5969" w14:textId="77777777" w:rsidR="005B2E77" w:rsidRPr="008D2D3C" w:rsidRDefault="005B2E77" w:rsidP="00B7155A">
            <w:pPr>
              <w:spacing w:after="0"/>
              <w:jc w:val="center"/>
              <w:rPr>
                <w:rFonts w:cs="Times New Roman"/>
                <w:sz w:val="20"/>
                <w:szCs w:val="20"/>
              </w:rPr>
            </w:pPr>
            <w:r w:rsidRPr="008D2D3C">
              <w:rPr>
                <w:rFonts w:cs="Times New Roman"/>
                <w:sz w:val="20"/>
                <w:szCs w:val="20"/>
              </w:rPr>
              <w:t>11.6</w:t>
            </w:r>
          </w:p>
        </w:tc>
        <w:tc>
          <w:tcPr>
            <w:tcW w:w="708" w:type="dxa"/>
          </w:tcPr>
          <w:p w14:paraId="4D95F33A" w14:textId="77777777" w:rsidR="005B2E77" w:rsidRPr="008D2D3C" w:rsidRDefault="005B2E77" w:rsidP="00B7155A">
            <w:pPr>
              <w:spacing w:after="0"/>
              <w:jc w:val="center"/>
              <w:rPr>
                <w:rFonts w:cs="Times New Roman"/>
                <w:sz w:val="20"/>
                <w:szCs w:val="20"/>
              </w:rPr>
            </w:pPr>
            <w:r w:rsidRPr="008D2D3C">
              <w:rPr>
                <w:rFonts w:cs="Times New Roman"/>
                <w:sz w:val="20"/>
                <w:szCs w:val="20"/>
              </w:rPr>
              <w:t>3</w:t>
            </w:r>
          </w:p>
        </w:tc>
        <w:tc>
          <w:tcPr>
            <w:tcW w:w="1560" w:type="dxa"/>
          </w:tcPr>
          <w:p w14:paraId="0CA0C8FF" w14:textId="77777777" w:rsidR="005B2E77" w:rsidRPr="008D2D3C" w:rsidRDefault="005B2E77" w:rsidP="00B7155A">
            <w:pPr>
              <w:spacing w:after="0"/>
              <w:jc w:val="center"/>
              <w:rPr>
                <w:rFonts w:cs="Times New Roman"/>
                <w:sz w:val="20"/>
                <w:szCs w:val="20"/>
              </w:rPr>
            </w:pPr>
            <w:r w:rsidRPr="008D2D3C">
              <w:rPr>
                <w:rFonts w:cs="Times New Roman"/>
                <w:sz w:val="20"/>
                <w:szCs w:val="20"/>
              </w:rPr>
              <w:t>2.4</w:t>
            </w:r>
          </w:p>
        </w:tc>
        <w:tc>
          <w:tcPr>
            <w:tcW w:w="1559" w:type="dxa"/>
          </w:tcPr>
          <w:p w14:paraId="0F4B98B6" w14:textId="77777777" w:rsidR="005B2E77" w:rsidRPr="008D2D3C" w:rsidRDefault="005B2E77" w:rsidP="00B7155A">
            <w:pPr>
              <w:spacing w:after="0"/>
              <w:jc w:val="center"/>
              <w:rPr>
                <w:rFonts w:cs="Times New Roman"/>
                <w:sz w:val="20"/>
                <w:szCs w:val="20"/>
              </w:rPr>
            </w:pPr>
            <w:r w:rsidRPr="008D2D3C">
              <w:rPr>
                <w:rFonts w:cs="Times New Roman"/>
                <w:sz w:val="20"/>
                <w:szCs w:val="20"/>
              </w:rPr>
              <w:t>4.1</w:t>
            </w:r>
          </w:p>
        </w:tc>
        <w:tc>
          <w:tcPr>
            <w:tcW w:w="1559" w:type="dxa"/>
          </w:tcPr>
          <w:p w14:paraId="622E28D3" w14:textId="77777777" w:rsidR="005B2E77" w:rsidRPr="008D2D3C" w:rsidRDefault="005B2E77" w:rsidP="00B7155A">
            <w:pPr>
              <w:spacing w:after="0"/>
              <w:jc w:val="center"/>
              <w:rPr>
                <w:rFonts w:cs="Times New Roman"/>
                <w:sz w:val="20"/>
                <w:szCs w:val="20"/>
              </w:rPr>
            </w:pPr>
            <w:r w:rsidRPr="008D2D3C">
              <w:rPr>
                <w:rFonts w:cs="Times New Roman"/>
                <w:sz w:val="20"/>
                <w:szCs w:val="20"/>
              </w:rPr>
              <w:t>8.4</w:t>
            </w:r>
          </w:p>
        </w:tc>
        <w:tc>
          <w:tcPr>
            <w:tcW w:w="851" w:type="dxa"/>
          </w:tcPr>
          <w:p w14:paraId="1FE11506" w14:textId="77777777" w:rsidR="005B2E77" w:rsidRPr="008D2D3C" w:rsidRDefault="005B2E77" w:rsidP="00B7155A">
            <w:pPr>
              <w:spacing w:after="0"/>
              <w:jc w:val="center"/>
              <w:rPr>
                <w:rFonts w:cs="Times New Roman"/>
                <w:sz w:val="20"/>
                <w:szCs w:val="20"/>
              </w:rPr>
            </w:pPr>
            <w:r w:rsidRPr="008D2D3C">
              <w:rPr>
                <w:rFonts w:cs="Times New Roman"/>
                <w:sz w:val="20"/>
                <w:szCs w:val="20"/>
              </w:rPr>
              <w:t>700</w:t>
            </w:r>
          </w:p>
        </w:tc>
        <w:tc>
          <w:tcPr>
            <w:tcW w:w="708" w:type="dxa"/>
          </w:tcPr>
          <w:p w14:paraId="18F05003" w14:textId="77777777" w:rsidR="005B2E77" w:rsidRPr="008D2D3C" w:rsidRDefault="005B2E77" w:rsidP="00B7155A">
            <w:pPr>
              <w:spacing w:after="0"/>
              <w:jc w:val="center"/>
              <w:rPr>
                <w:rFonts w:cs="Times New Roman"/>
                <w:sz w:val="20"/>
                <w:szCs w:val="20"/>
              </w:rPr>
            </w:pPr>
            <w:r w:rsidRPr="008D2D3C">
              <w:rPr>
                <w:rFonts w:cs="Times New Roman"/>
                <w:sz w:val="20"/>
                <w:szCs w:val="20"/>
              </w:rPr>
              <w:t>500</w:t>
            </w:r>
          </w:p>
        </w:tc>
        <w:tc>
          <w:tcPr>
            <w:tcW w:w="748" w:type="dxa"/>
          </w:tcPr>
          <w:p w14:paraId="563A4BD8" w14:textId="77777777" w:rsidR="005B2E77" w:rsidRPr="008D2D3C" w:rsidRDefault="005B2E77" w:rsidP="00B7155A">
            <w:pPr>
              <w:spacing w:after="0"/>
              <w:jc w:val="center"/>
              <w:rPr>
                <w:rFonts w:cs="Times New Roman"/>
                <w:sz w:val="20"/>
                <w:szCs w:val="20"/>
              </w:rPr>
            </w:pPr>
            <w:r w:rsidRPr="008D2D3C">
              <w:rPr>
                <w:rFonts w:cs="Times New Roman"/>
                <w:sz w:val="20"/>
                <w:szCs w:val="20"/>
              </w:rPr>
              <w:t>80</w:t>
            </w:r>
          </w:p>
        </w:tc>
        <w:tc>
          <w:tcPr>
            <w:tcW w:w="812" w:type="dxa"/>
          </w:tcPr>
          <w:p w14:paraId="157C859F" w14:textId="77777777" w:rsidR="005B2E77" w:rsidRPr="008D2D3C" w:rsidRDefault="005B2E77" w:rsidP="00B7155A">
            <w:pPr>
              <w:spacing w:after="0"/>
              <w:jc w:val="center"/>
              <w:rPr>
                <w:rFonts w:cs="Times New Roman"/>
                <w:sz w:val="20"/>
                <w:szCs w:val="20"/>
              </w:rPr>
            </w:pPr>
            <w:r w:rsidRPr="008D2D3C">
              <w:rPr>
                <w:rFonts w:cs="Times New Roman"/>
                <w:sz w:val="20"/>
                <w:szCs w:val="20"/>
              </w:rPr>
              <w:t>60</w:t>
            </w:r>
          </w:p>
        </w:tc>
      </w:tr>
      <w:tr w:rsidR="005B2E77" w:rsidRPr="008D2D3C" w14:paraId="42C9705D" w14:textId="77777777" w:rsidTr="00B7155A">
        <w:trPr>
          <w:jc w:val="center"/>
        </w:trPr>
        <w:tc>
          <w:tcPr>
            <w:tcW w:w="1135" w:type="dxa"/>
          </w:tcPr>
          <w:p w14:paraId="6E1D8E04" w14:textId="77777777" w:rsidR="005B2E77" w:rsidRPr="008D2D3C" w:rsidRDefault="005B2E77" w:rsidP="00B7155A">
            <w:pPr>
              <w:spacing w:after="0"/>
              <w:jc w:val="left"/>
              <w:rPr>
                <w:rFonts w:cs="Times New Roman"/>
                <w:sz w:val="20"/>
                <w:szCs w:val="20"/>
              </w:rPr>
            </w:pPr>
            <w:r w:rsidRPr="008D2D3C">
              <w:rPr>
                <w:rFonts w:cs="Times New Roman"/>
                <w:sz w:val="20"/>
                <w:szCs w:val="20"/>
              </w:rPr>
              <w:t>4–6</w:t>
            </w:r>
          </w:p>
        </w:tc>
        <w:tc>
          <w:tcPr>
            <w:tcW w:w="709" w:type="dxa"/>
          </w:tcPr>
          <w:p w14:paraId="7EDE1EDE" w14:textId="34FA626A" w:rsidR="005B2E77" w:rsidRPr="008D2D3C" w:rsidRDefault="005B2E77" w:rsidP="00B7155A">
            <w:pPr>
              <w:spacing w:after="0"/>
              <w:jc w:val="center"/>
              <w:rPr>
                <w:rFonts w:cs="Times New Roman"/>
                <w:sz w:val="20"/>
                <w:szCs w:val="20"/>
              </w:rPr>
            </w:pPr>
            <w:r w:rsidRPr="008D2D3C">
              <w:rPr>
                <w:rFonts w:cs="Times New Roman"/>
                <w:sz w:val="20"/>
                <w:szCs w:val="20"/>
              </w:rPr>
              <w:t>10</w:t>
            </w:r>
          </w:p>
        </w:tc>
        <w:tc>
          <w:tcPr>
            <w:tcW w:w="1559" w:type="dxa"/>
          </w:tcPr>
          <w:p w14:paraId="2A532EC0" w14:textId="77777777" w:rsidR="005B2E77" w:rsidRPr="008D2D3C" w:rsidRDefault="005B2E77" w:rsidP="00B7155A">
            <w:pPr>
              <w:spacing w:after="0"/>
              <w:jc w:val="center"/>
              <w:rPr>
                <w:rFonts w:cs="Times New Roman"/>
                <w:sz w:val="20"/>
                <w:szCs w:val="20"/>
              </w:rPr>
            </w:pPr>
            <w:r w:rsidRPr="008D2D3C">
              <w:rPr>
                <w:rFonts w:cs="Times New Roman"/>
                <w:sz w:val="20"/>
                <w:szCs w:val="20"/>
              </w:rPr>
              <w:t>4.2</w:t>
            </w:r>
          </w:p>
        </w:tc>
        <w:tc>
          <w:tcPr>
            <w:tcW w:w="1559" w:type="dxa"/>
          </w:tcPr>
          <w:p w14:paraId="54353837" w14:textId="77777777" w:rsidR="005B2E77" w:rsidRPr="008D2D3C" w:rsidRDefault="005B2E77" w:rsidP="00B7155A">
            <w:pPr>
              <w:spacing w:after="0"/>
              <w:jc w:val="center"/>
              <w:rPr>
                <w:rFonts w:cs="Times New Roman"/>
                <w:sz w:val="20"/>
                <w:szCs w:val="20"/>
              </w:rPr>
            </w:pPr>
            <w:r w:rsidRPr="008D2D3C">
              <w:rPr>
                <w:rFonts w:cs="Times New Roman"/>
                <w:sz w:val="20"/>
                <w:szCs w:val="20"/>
              </w:rPr>
              <w:t>6.3</w:t>
            </w:r>
          </w:p>
        </w:tc>
        <w:tc>
          <w:tcPr>
            <w:tcW w:w="1560" w:type="dxa"/>
          </w:tcPr>
          <w:p w14:paraId="18BA863A" w14:textId="77777777" w:rsidR="005B2E77" w:rsidRPr="008D2D3C" w:rsidRDefault="005B2E77" w:rsidP="00B7155A">
            <w:pPr>
              <w:spacing w:after="0"/>
              <w:jc w:val="center"/>
              <w:rPr>
                <w:rFonts w:cs="Times New Roman"/>
                <w:sz w:val="20"/>
                <w:szCs w:val="20"/>
              </w:rPr>
            </w:pPr>
            <w:r w:rsidRPr="008D2D3C">
              <w:rPr>
                <w:rFonts w:cs="Times New Roman"/>
                <w:sz w:val="20"/>
                <w:szCs w:val="20"/>
              </w:rPr>
              <w:t>12.6</w:t>
            </w:r>
          </w:p>
        </w:tc>
        <w:tc>
          <w:tcPr>
            <w:tcW w:w="708" w:type="dxa"/>
          </w:tcPr>
          <w:p w14:paraId="46BC164B" w14:textId="049E51C8" w:rsidR="005B2E77" w:rsidRPr="008D2D3C" w:rsidRDefault="005B2E77" w:rsidP="00B7155A">
            <w:pPr>
              <w:spacing w:after="0"/>
              <w:jc w:val="center"/>
              <w:rPr>
                <w:rFonts w:cs="Times New Roman"/>
                <w:sz w:val="20"/>
                <w:szCs w:val="20"/>
              </w:rPr>
            </w:pPr>
            <w:r w:rsidRPr="008D2D3C">
              <w:rPr>
                <w:rFonts w:cs="Times New Roman"/>
                <w:sz w:val="20"/>
                <w:szCs w:val="20"/>
              </w:rPr>
              <w:t>5</w:t>
            </w:r>
          </w:p>
        </w:tc>
        <w:tc>
          <w:tcPr>
            <w:tcW w:w="1560" w:type="dxa"/>
          </w:tcPr>
          <w:p w14:paraId="38B01011" w14:textId="77777777" w:rsidR="005B2E77" w:rsidRPr="008D2D3C" w:rsidRDefault="005B2E77" w:rsidP="00B7155A">
            <w:pPr>
              <w:spacing w:after="0"/>
              <w:jc w:val="center"/>
              <w:rPr>
                <w:rFonts w:cs="Times New Roman"/>
                <w:sz w:val="20"/>
                <w:szCs w:val="20"/>
              </w:rPr>
            </w:pPr>
            <w:r w:rsidRPr="008D2D3C">
              <w:rPr>
                <w:rFonts w:cs="Times New Roman"/>
                <w:sz w:val="20"/>
                <w:szCs w:val="20"/>
              </w:rPr>
              <w:t>2.9</w:t>
            </w:r>
          </w:p>
        </w:tc>
        <w:tc>
          <w:tcPr>
            <w:tcW w:w="1559" w:type="dxa"/>
          </w:tcPr>
          <w:p w14:paraId="55652754" w14:textId="77777777" w:rsidR="005B2E77" w:rsidRPr="008D2D3C" w:rsidRDefault="005B2E77" w:rsidP="00B7155A">
            <w:pPr>
              <w:spacing w:after="0"/>
              <w:jc w:val="center"/>
              <w:rPr>
                <w:rFonts w:cs="Times New Roman"/>
                <w:sz w:val="20"/>
                <w:szCs w:val="20"/>
              </w:rPr>
            </w:pPr>
            <w:r w:rsidRPr="008D2D3C">
              <w:rPr>
                <w:rFonts w:cs="Times New Roman"/>
                <w:sz w:val="20"/>
                <w:szCs w:val="20"/>
              </w:rPr>
              <w:t>4.8</w:t>
            </w:r>
          </w:p>
        </w:tc>
        <w:tc>
          <w:tcPr>
            <w:tcW w:w="1559" w:type="dxa"/>
          </w:tcPr>
          <w:p w14:paraId="24A2A27A" w14:textId="77777777" w:rsidR="005B2E77" w:rsidRPr="008D2D3C" w:rsidRDefault="005B2E77" w:rsidP="00B7155A">
            <w:pPr>
              <w:spacing w:after="0"/>
              <w:jc w:val="center"/>
              <w:rPr>
                <w:rFonts w:cs="Times New Roman"/>
                <w:sz w:val="20"/>
                <w:szCs w:val="20"/>
              </w:rPr>
            </w:pPr>
            <w:r w:rsidRPr="008D2D3C">
              <w:rPr>
                <w:rFonts w:cs="Times New Roman"/>
                <w:sz w:val="20"/>
                <w:szCs w:val="20"/>
              </w:rPr>
              <w:t>9.6</w:t>
            </w:r>
          </w:p>
        </w:tc>
        <w:tc>
          <w:tcPr>
            <w:tcW w:w="851" w:type="dxa"/>
          </w:tcPr>
          <w:p w14:paraId="0E3FD773" w14:textId="77777777" w:rsidR="005B2E77" w:rsidRPr="008D2D3C" w:rsidRDefault="005B2E77" w:rsidP="00B7155A">
            <w:pPr>
              <w:spacing w:after="0"/>
              <w:jc w:val="center"/>
              <w:rPr>
                <w:rFonts w:cs="Times New Roman"/>
                <w:sz w:val="20"/>
                <w:szCs w:val="20"/>
              </w:rPr>
            </w:pPr>
            <w:r w:rsidRPr="008D2D3C">
              <w:rPr>
                <w:rFonts w:cs="Times New Roman"/>
                <w:sz w:val="20"/>
                <w:szCs w:val="20"/>
              </w:rPr>
              <w:t>1000</w:t>
            </w:r>
          </w:p>
        </w:tc>
        <w:tc>
          <w:tcPr>
            <w:tcW w:w="708" w:type="dxa"/>
          </w:tcPr>
          <w:p w14:paraId="423901F0" w14:textId="77777777" w:rsidR="005B2E77" w:rsidRPr="008D2D3C" w:rsidRDefault="005B2E77" w:rsidP="00B7155A">
            <w:pPr>
              <w:spacing w:after="0"/>
              <w:jc w:val="center"/>
              <w:rPr>
                <w:rFonts w:cs="Times New Roman"/>
                <w:sz w:val="20"/>
                <w:szCs w:val="20"/>
              </w:rPr>
            </w:pPr>
            <w:r w:rsidRPr="008D2D3C">
              <w:rPr>
                <w:rFonts w:cs="Times New Roman"/>
                <w:sz w:val="20"/>
                <w:szCs w:val="20"/>
              </w:rPr>
              <w:t>600</w:t>
            </w:r>
          </w:p>
        </w:tc>
        <w:tc>
          <w:tcPr>
            <w:tcW w:w="748" w:type="dxa"/>
          </w:tcPr>
          <w:p w14:paraId="200C1FA4" w14:textId="77777777" w:rsidR="005B2E77" w:rsidRPr="008D2D3C" w:rsidRDefault="005B2E77" w:rsidP="00B7155A">
            <w:pPr>
              <w:spacing w:after="0"/>
              <w:jc w:val="center"/>
              <w:rPr>
                <w:rFonts w:cs="Times New Roman"/>
                <w:sz w:val="20"/>
                <w:szCs w:val="20"/>
              </w:rPr>
            </w:pPr>
            <w:r w:rsidRPr="008D2D3C">
              <w:rPr>
                <w:rFonts w:cs="Times New Roman"/>
                <w:sz w:val="20"/>
                <w:szCs w:val="20"/>
              </w:rPr>
              <w:t>130</w:t>
            </w:r>
          </w:p>
        </w:tc>
        <w:tc>
          <w:tcPr>
            <w:tcW w:w="812" w:type="dxa"/>
          </w:tcPr>
          <w:p w14:paraId="0C26AD0D" w14:textId="77777777" w:rsidR="005B2E77" w:rsidRPr="008D2D3C" w:rsidRDefault="005B2E77" w:rsidP="00B7155A">
            <w:pPr>
              <w:spacing w:after="0"/>
              <w:jc w:val="center"/>
              <w:rPr>
                <w:rFonts w:cs="Times New Roman"/>
                <w:sz w:val="20"/>
                <w:szCs w:val="20"/>
              </w:rPr>
            </w:pPr>
            <w:r w:rsidRPr="008D2D3C">
              <w:rPr>
                <w:rFonts w:cs="Times New Roman"/>
                <w:sz w:val="20"/>
                <w:szCs w:val="20"/>
              </w:rPr>
              <w:t>76</w:t>
            </w:r>
          </w:p>
        </w:tc>
      </w:tr>
      <w:tr w:rsidR="005B2E77" w:rsidRPr="008D2D3C" w14:paraId="1418A1F6" w14:textId="77777777" w:rsidTr="00B7155A">
        <w:trPr>
          <w:jc w:val="center"/>
        </w:trPr>
        <w:tc>
          <w:tcPr>
            <w:tcW w:w="1135" w:type="dxa"/>
          </w:tcPr>
          <w:p w14:paraId="44E872CE" w14:textId="77777777" w:rsidR="005B2E77" w:rsidRPr="008D2D3C" w:rsidRDefault="005B2E77" w:rsidP="00B7155A">
            <w:pPr>
              <w:spacing w:after="0"/>
              <w:jc w:val="left"/>
              <w:rPr>
                <w:rFonts w:cs="Times New Roman"/>
                <w:sz w:val="20"/>
                <w:szCs w:val="20"/>
              </w:rPr>
            </w:pPr>
            <w:r w:rsidRPr="008D2D3C">
              <w:rPr>
                <w:rFonts w:cs="Times New Roman"/>
                <w:sz w:val="20"/>
                <w:szCs w:val="20"/>
              </w:rPr>
              <w:t>7–9</w:t>
            </w:r>
          </w:p>
        </w:tc>
        <w:tc>
          <w:tcPr>
            <w:tcW w:w="709" w:type="dxa"/>
          </w:tcPr>
          <w:p w14:paraId="24892C91" w14:textId="48B40DE4" w:rsidR="005B2E77" w:rsidRPr="008D2D3C" w:rsidRDefault="005B2E77" w:rsidP="00B7155A">
            <w:pPr>
              <w:spacing w:after="0"/>
              <w:jc w:val="center"/>
              <w:rPr>
                <w:rFonts w:cs="Times New Roman"/>
                <w:sz w:val="20"/>
                <w:szCs w:val="20"/>
              </w:rPr>
            </w:pPr>
            <w:r w:rsidRPr="008D2D3C">
              <w:rPr>
                <w:rFonts w:cs="Times New Roman"/>
                <w:sz w:val="20"/>
                <w:szCs w:val="20"/>
              </w:rPr>
              <w:t>10 (8)</w:t>
            </w:r>
            <w:r w:rsidRPr="008D2D3C">
              <w:rPr>
                <w:rFonts w:cs="Times New Roman"/>
                <w:sz w:val="20"/>
                <w:szCs w:val="20"/>
                <w:vertAlign w:val="superscript"/>
              </w:rPr>
              <w:t>^</w:t>
            </w:r>
          </w:p>
        </w:tc>
        <w:tc>
          <w:tcPr>
            <w:tcW w:w="1559" w:type="dxa"/>
          </w:tcPr>
          <w:p w14:paraId="3D7F8773" w14:textId="77777777" w:rsidR="005B2E77" w:rsidRPr="008D2D3C" w:rsidRDefault="005B2E77" w:rsidP="00B7155A">
            <w:pPr>
              <w:spacing w:after="0"/>
              <w:jc w:val="center"/>
              <w:rPr>
                <w:rFonts w:cs="Times New Roman"/>
                <w:sz w:val="20"/>
                <w:szCs w:val="20"/>
              </w:rPr>
            </w:pPr>
            <w:r w:rsidRPr="008D2D3C">
              <w:rPr>
                <w:rFonts w:cs="Times New Roman"/>
                <w:sz w:val="20"/>
                <w:szCs w:val="20"/>
              </w:rPr>
              <w:t>5.9</w:t>
            </w:r>
          </w:p>
        </w:tc>
        <w:tc>
          <w:tcPr>
            <w:tcW w:w="1559" w:type="dxa"/>
          </w:tcPr>
          <w:p w14:paraId="607C1946" w14:textId="77777777" w:rsidR="005B2E77" w:rsidRPr="008D2D3C" w:rsidRDefault="005B2E77" w:rsidP="00B7155A">
            <w:pPr>
              <w:spacing w:after="0"/>
              <w:jc w:val="center"/>
              <w:rPr>
                <w:rFonts w:cs="Times New Roman"/>
                <w:sz w:val="20"/>
                <w:szCs w:val="20"/>
              </w:rPr>
            </w:pPr>
            <w:r w:rsidRPr="008D2D3C">
              <w:rPr>
                <w:rFonts w:cs="Times New Roman"/>
                <w:sz w:val="20"/>
                <w:szCs w:val="20"/>
              </w:rPr>
              <w:t>8.9</w:t>
            </w:r>
          </w:p>
        </w:tc>
        <w:tc>
          <w:tcPr>
            <w:tcW w:w="1560" w:type="dxa"/>
          </w:tcPr>
          <w:p w14:paraId="13E26BBF" w14:textId="77777777" w:rsidR="005B2E77" w:rsidRPr="008D2D3C" w:rsidRDefault="005B2E77" w:rsidP="00B7155A">
            <w:pPr>
              <w:spacing w:after="0"/>
              <w:jc w:val="center"/>
              <w:rPr>
                <w:rFonts w:cs="Times New Roman"/>
                <w:sz w:val="20"/>
                <w:szCs w:val="20"/>
              </w:rPr>
            </w:pPr>
            <w:r w:rsidRPr="008D2D3C">
              <w:rPr>
                <w:rFonts w:cs="Times New Roman"/>
                <w:sz w:val="20"/>
                <w:szCs w:val="20"/>
              </w:rPr>
              <w:t>17.8</w:t>
            </w:r>
          </w:p>
        </w:tc>
        <w:tc>
          <w:tcPr>
            <w:tcW w:w="708" w:type="dxa"/>
          </w:tcPr>
          <w:p w14:paraId="704C45A4" w14:textId="77777777" w:rsidR="005B2E77" w:rsidRPr="008D2D3C" w:rsidRDefault="005B2E77" w:rsidP="00B7155A">
            <w:pPr>
              <w:spacing w:after="0"/>
              <w:jc w:val="center"/>
              <w:rPr>
                <w:rFonts w:cs="Times New Roman"/>
                <w:sz w:val="20"/>
                <w:szCs w:val="20"/>
              </w:rPr>
            </w:pPr>
            <w:r w:rsidRPr="008D2D3C">
              <w:rPr>
                <w:rFonts w:cs="Times New Roman"/>
                <w:sz w:val="20"/>
                <w:szCs w:val="20"/>
              </w:rPr>
              <w:t>5 (7</w:t>
            </w:r>
            <w:r w:rsidRPr="008D2D3C">
              <w:rPr>
                <w:rFonts w:cs="Times New Roman"/>
                <w:sz w:val="20"/>
                <w:szCs w:val="20"/>
                <w:vertAlign w:val="superscript"/>
              </w:rPr>
              <w:t>*</w:t>
            </w:r>
            <w:r w:rsidRPr="008D2D3C">
              <w:rPr>
                <w:rFonts w:cs="Times New Roman"/>
                <w:sz w:val="20"/>
                <w:szCs w:val="20"/>
              </w:rPr>
              <w:t>)</w:t>
            </w:r>
          </w:p>
        </w:tc>
        <w:tc>
          <w:tcPr>
            <w:tcW w:w="1560" w:type="dxa"/>
          </w:tcPr>
          <w:p w14:paraId="39189AD1" w14:textId="77777777" w:rsidR="005B2E77" w:rsidRPr="008D2D3C" w:rsidRDefault="005B2E77" w:rsidP="00B7155A">
            <w:pPr>
              <w:spacing w:after="0"/>
              <w:jc w:val="center"/>
              <w:rPr>
                <w:rFonts w:cs="Times New Roman"/>
                <w:sz w:val="20"/>
                <w:szCs w:val="20"/>
              </w:rPr>
            </w:pPr>
            <w:r w:rsidRPr="008D2D3C">
              <w:rPr>
                <w:rFonts w:cs="Times New Roman"/>
                <w:sz w:val="20"/>
                <w:szCs w:val="20"/>
              </w:rPr>
              <w:t>3.3</w:t>
            </w:r>
          </w:p>
        </w:tc>
        <w:tc>
          <w:tcPr>
            <w:tcW w:w="1559" w:type="dxa"/>
          </w:tcPr>
          <w:p w14:paraId="7FF80FAD" w14:textId="77777777" w:rsidR="005B2E77" w:rsidRPr="008D2D3C" w:rsidRDefault="005B2E77" w:rsidP="00B7155A">
            <w:pPr>
              <w:spacing w:after="0"/>
              <w:jc w:val="center"/>
              <w:rPr>
                <w:rFonts w:cs="Times New Roman"/>
                <w:sz w:val="20"/>
                <w:szCs w:val="20"/>
              </w:rPr>
            </w:pPr>
            <w:r w:rsidRPr="008D2D3C">
              <w:rPr>
                <w:rFonts w:cs="Times New Roman"/>
                <w:sz w:val="20"/>
                <w:szCs w:val="20"/>
              </w:rPr>
              <w:t>5.6</w:t>
            </w:r>
          </w:p>
        </w:tc>
        <w:tc>
          <w:tcPr>
            <w:tcW w:w="1559" w:type="dxa"/>
          </w:tcPr>
          <w:p w14:paraId="6A7E5230" w14:textId="77777777" w:rsidR="005B2E77" w:rsidRPr="008D2D3C" w:rsidRDefault="005B2E77" w:rsidP="00B7155A">
            <w:pPr>
              <w:spacing w:after="0"/>
              <w:jc w:val="center"/>
              <w:rPr>
                <w:rFonts w:cs="Times New Roman"/>
                <w:sz w:val="20"/>
                <w:szCs w:val="20"/>
              </w:rPr>
            </w:pPr>
            <w:r w:rsidRPr="008D2D3C">
              <w:rPr>
                <w:rFonts w:cs="Times New Roman"/>
                <w:sz w:val="20"/>
                <w:szCs w:val="20"/>
              </w:rPr>
              <w:t>11.2</w:t>
            </w:r>
          </w:p>
        </w:tc>
        <w:tc>
          <w:tcPr>
            <w:tcW w:w="851" w:type="dxa"/>
          </w:tcPr>
          <w:p w14:paraId="0B23DC79" w14:textId="77777777" w:rsidR="005B2E77" w:rsidRPr="008D2D3C" w:rsidRDefault="005B2E77" w:rsidP="00B7155A">
            <w:pPr>
              <w:spacing w:after="0"/>
              <w:jc w:val="center"/>
              <w:rPr>
                <w:rFonts w:cs="Times New Roman"/>
                <w:sz w:val="20"/>
                <w:szCs w:val="20"/>
              </w:rPr>
            </w:pPr>
            <w:r w:rsidRPr="008D2D3C">
              <w:rPr>
                <w:rFonts w:cs="Times New Roman"/>
                <w:sz w:val="20"/>
                <w:szCs w:val="20"/>
              </w:rPr>
              <w:t>1000 (1300)</w:t>
            </w:r>
            <w:r w:rsidRPr="008D2D3C">
              <w:rPr>
                <w:rFonts w:cs="Times New Roman"/>
                <w:sz w:val="20"/>
                <w:szCs w:val="20"/>
                <w:vertAlign w:val="superscript"/>
              </w:rPr>
              <w:t>#</w:t>
            </w:r>
          </w:p>
        </w:tc>
        <w:tc>
          <w:tcPr>
            <w:tcW w:w="708" w:type="dxa"/>
          </w:tcPr>
          <w:p w14:paraId="79CDCA0C" w14:textId="77777777" w:rsidR="005B2E77" w:rsidRPr="008D2D3C" w:rsidRDefault="005B2E77" w:rsidP="00B7155A">
            <w:pPr>
              <w:spacing w:after="0"/>
              <w:jc w:val="center"/>
              <w:rPr>
                <w:rFonts w:cs="Times New Roman"/>
                <w:sz w:val="20"/>
                <w:szCs w:val="20"/>
              </w:rPr>
            </w:pPr>
            <w:r w:rsidRPr="008D2D3C">
              <w:rPr>
                <w:rFonts w:cs="Times New Roman"/>
                <w:sz w:val="20"/>
                <w:szCs w:val="20"/>
              </w:rPr>
              <w:t>700</w:t>
            </w:r>
          </w:p>
        </w:tc>
        <w:tc>
          <w:tcPr>
            <w:tcW w:w="748" w:type="dxa"/>
          </w:tcPr>
          <w:p w14:paraId="66CD221F" w14:textId="77777777" w:rsidR="005B2E77" w:rsidRPr="008D2D3C" w:rsidRDefault="005B2E77" w:rsidP="00B7155A">
            <w:pPr>
              <w:spacing w:after="0"/>
              <w:jc w:val="center"/>
              <w:rPr>
                <w:rFonts w:cs="Times New Roman"/>
                <w:sz w:val="20"/>
                <w:szCs w:val="20"/>
              </w:rPr>
            </w:pPr>
            <w:r w:rsidRPr="008D2D3C">
              <w:rPr>
                <w:rFonts w:cs="Times New Roman"/>
                <w:sz w:val="20"/>
                <w:szCs w:val="20"/>
              </w:rPr>
              <w:t>130 (240)</w:t>
            </w:r>
            <w:r w:rsidRPr="008D2D3C">
              <w:rPr>
                <w:rFonts w:cs="Times New Roman"/>
                <w:sz w:val="20"/>
                <w:szCs w:val="20"/>
                <w:vertAlign w:val="superscript"/>
              </w:rPr>
              <w:t>$</w:t>
            </w:r>
          </w:p>
        </w:tc>
        <w:tc>
          <w:tcPr>
            <w:tcW w:w="812" w:type="dxa"/>
          </w:tcPr>
          <w:p w14:paraId="66A2F186" w14:textId="77777777" w:rsidR="005B2E77" w:rsidRPr="008D2D3C" w:rsidRDefault="005B2E77" w:rsidP="00B7155A">
            <w:pPr>
              <w:spacing w:after="0"/>
              <w:jc w:val="center"/>
              <w:rPr>
                <w:rFonts w:cs="Times New Roman"/>
                <w:sz w:val="20"/>
                <w:szCs w:val="20"/>
              </w:rPr>
            </w:pPr>
            <w:r w:rsidRPr="008D2D3C">
              <w:rPr>
                <w:rFonts w:cs="Times New Roman"/>
                <w:sz w:val="20"/>
                <w:szCs w:val="20"/>
              </w:rPr>
              <w:t>100</w:t>
            </w:r>
          </w:p>
        </w:tc>
      </w:tr>
      <w:tr w:rsidR="00B7155A" w:rsidRPr="008D2D3C" w14:paraId="55733DA6" w14:textId="77777777" w:rsidTr="00F5762E">
        <w:trPr>
          <w:jc w:val="center"/>
        </w:trPr>
        <w:tc>
          <w:tcPr>
            <w:tcW w:w="15027" w:type="dxa"/>
            <w:gridSpan w:val="13"/>
          </w:tcPr>
          <w:p w14:paraId="01B34539" w14:textId="77777777" w:rsidR="00B7155A" w:rsidRPr="008D2D3C" w:rsidRDefault="00B7155A" w:rsidP="00B7155A">
            <w:pPr>
              <w:spacing w:after="0"/>
              <w:jc w:val="left"/>
              <w:rPr>
                <w:rFonts w:cs="Times New Roman"/>
                <w:b/>
                <w:sz w:val="20"/>
                <w:szCs w:val="20"/>
              </w:rPr>
            </w:pPr>
            <w:r w:rsidRPr="008D2D3C">
              <w:rPr>
                <w:rFonts w:cs="Times New Roman"/>
                <w:b/>
                <w:sz w:val="20"/>
                <w:szCs w:val="20"/>
              </w:rPr>
              <w:t>Women</w:t>
            </w:r>
          </w:p>
        </w:tc>
      </w:tr>
      <w:tr w:rsidR="005B2E77" w:rsidRPr="008D2D3C" w14:paraId="11342608" w14:textId="77777777" w:rsidTr="00B7155A">
        <w:trPr>
          <w:jc w:val="center"/>
        </w:trPr>
        <w:tc>
          <w:tcPr>
            <w:tcW w:w="1135" w:type="dxa"/>
            <w:tcBorders>
              <w:bottom w:val="single" w:sz="4" w:space="0" w:color="auto"/>
            </w:tcBorders>
          </w:tcPr>
          <w:p w14:paraId="4110EE03" w14:textId="77777777" w:rsidR="005B2E77" w:rsidRPr="008D2D3C" w:rsidRDefault="005B2E77" w:rsidP="00B7155A">
            <w:pPr>
              <w:spacing w:after="0"/>
              <w:jc w:val="left"/>
              <w:rPr>
                <w:rFonts w:cs="Times New Roman"/>
                <w:sz w:val="20"/>
                <w:szCs w:val="20"/>
              </w:rPr>
            </w:pPr>
            <w:r w:rsidRPr="008D2D3C">
              <w:rPr>
                <w:rFonts w:cs="Times New Roman"/>
                <w:sz w:val="20"/>
                <w:szCs w:val="20"/>
              </w:rPr>
              <w:t>19–50</w:t>
            </w:r>
          </w:p>
        </w:tc>
        <w:tc>
          <w:tcPr>
            <w:tcW w:w="709" w:type="dxa"/>
            <w:tcBorders>
              <w:bottom w:val="single" w:sz="4" w:space="0" w:color="auto"/>
            </w:tcBorders>
          </w:tcPr>
          <w:p w14:paraId="4187B85D" w14:textId="3E85D26C" w:rsidR="005B2E77" w:rsidRPr="008D2D3C" w:rsidRDefault="005B2E77" w:rsidP="00B7155A">
            <w:pPr>
              <w:spacing w:after="0"/>
              <w:jc w:val="center"/>
              <w:rPr>
                <w:rFonts w:cs="Times New Roman"/>
                <w:sz w:val="20"/>
                <w:szCs w:val="20"/>
              </w:rPr>
            </w:pPr>
            <w:r w:rsidRPr="008D2D3C">
              <w:rPr>
                <w:rFonts w:cs="Times New Roman"/>
                <w:sz w:val="20"/>
                <w:szCs w:val="20"/>
              </w:rPr>
              <w:t>18</w:t>
            </w:r>
          </w:p>
        </w:tc>
        <w:tc>
          <w:tcPr>
            <w:tcW w:w="1559" w:type="dxa"/>
            <w:tcBorders>
              <w:bottom w:val="single" w:sz="4" w:space="0" w:color="auto"/>
            </w:tcBorders>
          </w:tcPr>
          <w:p w14:paraId="0EB8A85F" w14:textId="77777777" w:rsidR="005B2E77" w:rsidRPr="008D2D3C" w:rsidRDefault="005B2E77" w:rsidP="00B7155A">
            <w:pPr>
              <w:spacing w:after="0"/>
              <w:jc w:val="center"/>
              <w:rPr>
                <w:rFonts w:cs="Times New Roman"/>
                <w:sz w:val="20"/>
                <w:szCs w:val="20"/>
              </w:rPr>
            </w:pPr>
            <w:r w:rsidRPr="008D2D3C">
              <w:rPr>
                <w:rFonts w:cs="Times New Roman"/>
                <w:sz w:val="20"/>
                <w:szCs w:val="20"/>
              </w:rPr>
              <w:t>19.6</w:t>
            </w:r>
          </w:p>
        </w:tc>
        <w:tc>
          <w:tcPr>
            <w:tcW w:w="1559" w:type="dxa"/>
            <w:tcBorders>
              <w:bottom w:val="single" w:sz="4" w:space="0" w:color="auto"/>
            </w:tcBorders>
          </w:tcPr>
          <w:p w14:paraId="5D1FFD28" w14:textId="77777777" w:rsidR="005B2E77" w:rsidRPr="008D2D3C" w:rsidRDefault="005B2E77" w:rsidP="00B7155A">
            <w:pPr>
              <w:spacing w:after="0"/>
              <w:jc w:val="center"/>
              <w:rPr>
                <w:rFonts w:cs="Times New Roman"/>
                <w:sz w:val="20"/>
                <w:szCs w:val="20"/>
              </w:rPr>
            </w:pPr>
            <w:r w:rsidRPr="008D2D3C">
              <w:rPr>
                <w:rFonts w:cs="Times New Roman"/>
                <w:sz w:val="20"/>
                <w:szCs w:val="20"/>
              </w:rPr>
              <w:t>29.4</w:t>
            </w:r>
          </w:p>
        </w:tc>
        <w:tc>
          <w:tcPr>
            <w:tcW w:w="1560" w:type="dxa"/>
            <w:tcBorders>
              <w:bottom w:val="single" w:sz="4" w:space="0" w:color="auto"/>
            </w:tcBorders>
          </w:tcPr>
          <w:p w14:paraId="2F3FCDA9" w14:textId="77777777" w:rsidR="005B2E77" w:rsidRPr="008D2D3C" w:rsidRDefault="005B2E77" w:rsidP="00B7155A">
            <w:pPr>
              <w:spacing w:after="0"/>
              <w:jc w:val="center"/>
              <w:rPr>
                <w:rFonts w:cs="Times New Roman"/>
                <w:sz w:val="20"/>
                <w:szCs w:val="20"/>
              </w:rPr>
            </w:pPr>
            <w:r w:rsidRPr="008D2D3C">
              <w:rPr>
                <w:rFonts w:cs="Times New Roman"/>
                <w:sz w:val="20"/>
                <w:szCs w:val="20"/>
              </w:rPr>
              <w:t>58.8</w:t>
            </w:r>
          </w:p>
        </w:tc>
        <w:tc>
          <w:tcPr>
            <w:tcW w:w="708" w:type="dxa"/>
            <w:tcBorders>
              <w:bottom w:val="single" w:sz="4" w:space="0" w:color="auto"/>
            </w:tcBorders>
          </w:tcPr>
          <w:p w14:paraId="3DC195F9" w14:textId="77777777" w:rsidR="005B2E77" w:rsidRPr="008D2D3C" w:rsidRDefault="005B2E77" w:rsidP="00B7155A">
            <w:pPr>
              <w:spacing w:after="0"/>
              <w:jc w:val="center"/>
              <w:rPr>
                <w:rFonts w:cs="Times New Roman"/>
                <w:sz w:val="20"/>
                <w:szCs w:val="20"/>
              </w:rPr>
            </w:pPr>
            <w:r w:rsidRPr="008D2D3C">
              <w:rPr>
                <w:rFonts w:cs="Times New Roman"/>
                <w:sz w:val="20"/>
                <w:szCs w:val="20"/>
              </w:rPr>
              <w:t>8</w:t>
            </w:r>
          </w:p>
        </w:tc>
        <w:tc>
          <w:tcPr>
            <w:tcW w:w="1560" w:type="dxa"/>
            <w:tcBorders>
              <w:bottom w:val="single" w:sz="4" w:space="0" w:color="auto"/>
            </w:tcBorders>
          </w:tcPr>
          <w:p w14:paraId="46A35988" w14:textId="77777777" w:rsidR="005B2E77" w:rsidRPr="008D2D3C" w:rsidRDefault="005B2E77" w:rsidP="00B7155A">
            <w:pPr>
              <w:spacing w:after="0"/>
              <w:jc w:val="center"/>
              <w:rPr>
                <w:rFonts w:cs="Times New Roman"/>
                <w:sz w:val="20"/>
                <w:szCs w:val="20"/>
              </w:rPr>
            </w:pPr>
            <w:r w:rsidRPr="008D2D3C">
              <w:rPr>
                <w:rFonts w:cs="Times New Roman"/>
                <w:sz w:val="20"/>
                <w:szCs w:val="20"/>
              </w:rPr>
              <w:t>3.0</w:t>
            </w:r>
          </w:p>
        </w:tc>
        <w:tc>
          <w:tcPr>
            <w:tcW w:w="1559" w:type="dxa"/>
            <w:tcBorders>
              <w:bottom w:val="single" w:sz="4" w:space="0" w:color="auto"/>
            </w:tcBorders>
          </w:tcPr>
          <w:p w14:paraId="03AE9BB7" w14:textId="77777777" w:rsidR="005B2E77" w:rsidRPr="008D2D3C" w:rsidRDefault="005B2E77" w:rsidP="00B7155A">
            <w:pPr>
              <w:spacing w:after="0"/>
              <w:jc w:val="center"/>
              <w:rPr>
                <w:rFonts w:cs="Times New Roman"/>
                <w:sz w:val="20"/>
                <w:szCs w:val="20"/>
              </w:rPr>
            </w:pPr>
            <w:r w:rsidRPr="008D2D3C">
              <w:rPr>
                <w:rFonts w:cs="Times New Roman"/>
                <w:sz w:val="20"/>
                <w:szCs w:val="20"/>
              </w:rPr>
              <w:t>4.9</w:t>
            </w:r>
          </w:p>
        </w:tc>
        <w:tc>
          <w:tcPr>
            <w:tcW w:w="1559" w:type="dxa"/>
            <w:tcBorders>
              <w:bottom w:val="single" w:sz="4" w:space="0" w:color="auto"/>
            </w:tcBorders>
          </w:tcPr>
          <w:p w14:paraId="5C985EC5" w14:textId="77777777" w:rsidR="005B2E77" w:rsidRPr="008D2D3C" w:rsidRDefault="005B2E77" w:rsidP="00B7155A">
            <w:pPr>
              <w:spacing w:after="0"/>
              <w:jc w:val="center"/>
              <w:rPr>
                <w:rFonts w:cs="Times New Roman"/>
                <w:sz w:val="20"/>
                <w:szCs w:val="20"/>
              </w:rPr>
            </w:pPr>
            <w:r w:rsidRPr="008D2D3C">
              <w:rPr>
                <w:rFonts w:cs="Times New Roman"/>
                <w:sz w:val="20"/>
                <w:szCs w:val="20"/>
              </w:rPr>
              <w:t>9.8</w:t>
            </w:r>
          </w:p>
        </w:tc>
        <w:tc>
          <w:tcPr>
            <w:tcW w:w="851" w:type="dxa"/>
            <w:tcBorders>
              <w:bottom w:val="single" w:sz="4" w:space="0" w:color="auto"/>
            </w:tcBorders>
          </w:tcPr>
          <w:p w14:paraId="5C789A9C" w14:textId="77777777" w:rsidR="005B2E77" w:rsidRPr="008D2D3C" w:rsidRDefault="005B2E77" w:rsidP="00B7155A">
            <w:pPr>
              <w:spacing w:after="0"/>
              <w:jc w:val="center"/>
              <w:rPr>
                <w:rFonts w:cs="Times New Roman"/>
                <w:sz w:val="20"/>
                <w:szCs w:val="20"/>
              </w:rPr>
            </w:pPr>
            <w:r w:rsidRPr="008D2D3C">
              <w:rPr>
                <w:rFonts w:cs="Times New Roman"/>
                <w:sz w:val="20"/>
                <w:szCs w:val="20"/>
              </w:rPr>
              <w:t>1000</w:t>
            </w:r>
          </w:p>
        </w:tc>
        <w:tc>
          <w:tcPr>
            <w:tcW w:w="708" w:type="dxa"/>
            <w:tcBorders>
              <w:bottom w:val="single" w:sz="4" w:space="0" w:color="auto"/>
            </w:tcBorders>
          </w:tcPr>
          <w:p w14:paraId="19D033DB" w14:textId="77777777" w:rsidR="005B2E77" w:rsidRPr="008D2D3C" w:rsidRDefault="005B2E77" w:rsidP="00B7155A">
            <w:pPr>
              <w:spacing w:after="0"/>
              <w:jc w:val="center"/>
              <w:rPr>
                <w:rFonts w:cs="Times New Roman"/>
                <w:sz w:val="20"/>
                <w:szCs w:val="20"/>
              </w:rPr>
            </w:pPr>
            <w:r w:rsidRPr="008D2D3C">
              <w:rPr>
                <w:rFonts w:cs="Times New Roman"/>
                <w:sz w:val="20"/>
                <w:szCs w:val="20"/>
              </w:rPr>
              <w:t>1000</w:t>
            </w:r>
          </w:p>
        </w:tc>
        <w:tc>
          <w:tcPr>
            <w:tcW w:w="748" w:type="dxa"/>
            <w:tcBorders>
              <w:bottom w:val="single" w:sz="4" w:space="0" w:color="auto"/>
            </w:tcBorders>
          </w:tcPr>
          <w:p w14:paraId="63622296" w14:textId="77777777" w:rsidR="005B2E77" w:rsidRPr="008D2D3C" w:rsidRDefault="005B2E77" w:rsidP="00B7155A">
            <w:pPr>
              <w:spacing w:after="0"/>
              <w:jc w:val="center"/>
              <w:rPr>
                <w:rFonts w:cs="Times New Roman"/>
                <w:sz w:val="20"/>
                <w:szCs w:val="20"/>
              </w:rPr>
            </w:pPr>
            <w:r w:rsidRPr="008D2D3C">
              <w:rPr>
                <w:rFonts w:cs="Times New Roman"/>
                <w:sz w:val="20"/>
                <w:szCs w:val="20"/>
              </w:rPr>
              <w:t>310 (320)</w:t>
            </w:r>
            <w:r w:rsidRPr="008D2D3C">
              <w:rPr>
                <w:rFonts w:cs="Times New Roman"/>
                <w:sz w:val="20"/>
                <w:szCs w:val="20"/>
                <w:vertAlign w:val="superscript"/>
              </w:rPr>
              <w:t>¥</w:t>
            </w:r>
          </w:p>
        </w:tc>
        <w:tc>
          <w:tcPr>
            <w:tcW w:w="812" w:type="dxa"/>
            <w:tcBorders>
              <w:bottom w:val="single" w:sz="4" w:space="0" w:color="auto"/>
            </w:tcBorders>
          </w:tcPr>
          <w:p w14:paraId="46D5C004" w14:textId="77777777" w:rsidR="005B2E77" w:rsidRPr="008D2D3C" w:rsidRDefault="005B2E77" w:rsidP="00B7155A">
            <w:pPr>
              <w:spacing w:after="0"/>
              <w:jc w:val="center"/>
              <w:rPr>
                <w:rFonts w:cs="Times New Roman"/>
                <w:sz w:val="20"/>
                <w:szCs w:val="20"/>
              </w:rPr>
            </w:pPr>
            <w:r w:rsidRPr="008D2D3C">
              <w:rPr>
                <w:rFonts w:cs="Times New Roman"/>
                <w:sz w:val="20"/>
                <w:szCs w:val="20"/>
              </w:rPr>
              <w:t>220</w:t>
            </w:r>
          </w:p>
        </w:tc>
      </w:tr>
    </w:tbl>
    <w:p w14:paraId="18A3CCD0" w14:textId="2E252A97" w:rsidR="005B2E77" w:rsidRPr="004E1EAD" w:rsidRDefault="005B2E77" w:rsidP="005B2E77">
      <w:pPr>
        <w:spacing w:after="0" w:line="240" w:lineRule="auto"/>
        <w:rPr>
          <w:rFonts w:cs="Times New Roman"/>
          <w:sz w:val="20"/>
          <w:szCs w:val="20"/>
        </w:rPr>
      </w:pPr>
      <w:r w:rsidRPr="00901AEB">
        <w:rPr>
          <w:rFonts w:cs="Times New Roman"/>
          <w:sz w:val="20"/>
          <w:szCs w:val="20"/>
        </w:rPr>
        <w:t>RDA: Recommended D</w:t>
      </w:r>
      <w:r>
        <w:rPr>
          <w:rFonts w:cs="Times New Roman"/>
          <w:sz w:val="20"/>
          <w:szCs w:val="20"/>
        </w:rPr>
        <w:t>ietary</w:t>
      </w:r>
      <w:r w:rsidRPr="00901AEB">
        <w:rPr>
          <w:rFonts w:cs="Times New Roman"/>
          <w:sz w:val="20"/>
          <w:szCs w:val="20"/>
        </w:rPr>
        <w:t xml:space="preserve"> Allowance (Food and Nutrition Board, 2001); </w:t>
      </w:r>
      <w:r w:rsidRPr="00FC5E8F">
        <w:rPr>
          <w:rFonts w:cs="Times New Roman"/>
          <w:sz w:val="20"/>
          <w:szCs w:val="20"/>
          <w:vertAlign w:val="superscript"/>
        </w:rPr>
        <w:t>*</w:t>
      </w:r>
      <w:r>
        <w:rPr>
          <w:rFonts w:cs="Times New Roman"/>
          <w:sz w:val="20"/>
          <w:szCs w:val="20"/>
        </w:rPr>
        <w:t xml:space="preserve">7 mg zinc/day is recommended for 9-year-old child, </w:t>
      </w:r>
      <w:r w:rsidRPr="00FA2B4E">
        <w:rPr>
          <w:rFonts w:cs="Times New Roman"/>
          <w:sz w:val="20"/>
          <w:szCs w:val="20"/>
          <w:vertAlign w:val="superscript"/>
        </w:rPr>
        <w:t>^</w:t>
      </w:r>
      <w:r>
        <w:rPr>
          <w:rFonts w:cs="Times New Roman"/>
          <w:sz w:val="20"/>
          <w:szCs w:val="20"/>
        </w:rPr>
        <w:t xml:space="preserve">8 mg iron/day is recommended for 9-year-old child, </w:t>
      </w:r>
      <w:r w:rsidR="00A23D16" w:rsidRPr="00A23D16">
        <w:rPr>
          <w:rFonts w:cs="Times New Roman"/>
          <w:bCs/>
          <w:sz w:val="20"/>
          <w:szCs w:val="20"/>
          <w:vertAlign w:val="superscript"/>
        </w:rPr>
        <w:t>£</w:t>
      </w:r>
      <w:r w:rsidR="00A23D16" w:rsidRPr="00A23D16">
        <w:rPr>
          <w:rFonts w:cs="Times New Roman"/>
          <w:bCs/>
          <w:sz w:val="20"/>
          <w:szCs w:val="20"/>
        </w:rPr>
        <w:t xml:space="preserve">Ross et al. </w:t>
      </w:r>
      <w:r w:rsidR="00FC7A4F">
        <w:rPr>
          <w:rFonts w:cs="Times New Roman"/>
          <w:bCs/>
          <w:sz w:val="20"/>
          <w:szCs w:val="20"/>
        </w:rPr>
        <w:t>(</w:t>
      </w:r>
      <w:r w:rsidR="00A23D16" w:rsidRPr="00A23D16">
        <w:rPr>
          <w:rFonts w:cs="Times New Roman"/>
          <w:bCs/>
          <w:sz w:val="20"/>
          <w:szCs w:val="20"/>
        </w:rPr>
        <w:t>2011</w:t>
      </w:r>
      <w:r w:rsidR="00FC7A4F">
        <w:rPr>
          <w:rFonts w:cs="Times New Roman"/>
          <w:bCs/>
          <w:sz w:val="20"/>
          <w:szCs w:val="20"/>
        </w:rPr>
        <w:t>)</w:t>
      </w:r>
      <w:r w:rsidR="00A23D16" w:rsidRPr="00A23D16">
        <w:rPr>
          <w:rFonts w:cs="Times New Roman"/>
          <w:bCs/>
          <w:sz w:val="20"/>
          <w:szCs w:val="20"/>
        </w:rPr>
        <w:t>,</w:t>
      </w:r>
      <w:r w:rsidR="00A23D16">
        <w:rPr>
          <w:rFonts w:cs="Times New Roman"/>
          <w:b/>
          <w:sz w:val="20"/>
          <w:szCs w:val="20"/>
        </w:rPr>
        <w:t xml:space="preserve"> </w:t>
      </w:r>
      <w:r w:rsidR="00A23D16" w:rsidRPr="00FC7A4F">
        <w:rPr>
          <w:rFonts w:cs="Times New Roman"/>
          <w:bCs/>
          <w:sz w:val="20"/>
          <w:szCs w:val="20"/>
          <w:vertAlign w:val="superscript"/>
        </w:rPr>
        <w:t>₸</w:t>
      </w:r>
      <w:r w:rsidR="00FC7A4F" w:rsidRPr="00FC7A4F">
        <w:rPr>
          <w:rFonts w:cs="Times New Roman"/>
          <w:bCs/>
          <w:sz w:val="20"/>
          <w:szCs w:val="20"/>
        </w:rPr>
        <w:t xml:space="preserve">IOM </w:t>
      </w:r>
      <w:r w:rsidR="00FC7A4F">
        <w:rPr>
          <w:rFonts w:cs="Times New Roman"/>
          <w:bCs/>
          <w:sz w:val="20"/>
          <w:szCs w:val="20"/>
        </w:rPr>
        <w:t>(</w:t>
      </w:r>
      <w:r w:rsidR="00FC7A4F" w:rsidRPr="00FC7A4F">
        <w:rPr>
          <w:rFonts w:cs="Times New Roman"/>
          <w:bCs/>
          <w:sz w:val="20"/>
          <w:szCs w:val="20"/>
        </w:rPr>
        <w:t>1997</w:t>
      </w:r>
      <w:r w:rsidR="00FC7A4F">
        <w:rPr>
          <w:rFonts w:cs="Times New Roman"/>
          <w:bCs/>
          <w:sz w:val="20"/>
          <w:szCs w:val="20"/>
        </w:rPr>
        <w:t>)</w:t>
      </w:r>
      <w:r w:rsidR="00FC7A4F" w:rsidRPr="00FC7A4F">
        <w:rPr>
          <w:rFonts w:cs="Times New Roman"/>
          <w:bCs/>
          <w:sz w:val="20"/>
          <w:szCs w:val="20"/>
        </w:rPr>
        <w:t xml:space="preserve">, </w:t>
      </w:r>
      <w:r w:rsidRPr="004E1EAD">
        <w:rPr>
          <w:rFonts w:cs="Times New Roman"/>
          <w:sz w:val="20"/>
          <w:szCs w:val="20"/>
          <w:vertAlign w:val="superscript"/>
        </w:rPr>
        <w:t>#</w:t>
      </w:r>
      <w:r w:rsidRPr="004E1EAD">
        <w:rPr>
          <w:rFonts w:cs="Times New Roman"/>
          <w:sz w:val="20"/>
          <w:szCs w:val="20"/>
        </w:rPr>
        <w:t xml:space="preserve">1300 mg calcium/day is recommended for 9 year-old child, </w:t>
      </w:r>
      <w:r w:rsidRPr="004E1EAD">
        <w:rPr>
          <w:rFonts w:cs="Times New Roman"/>
          <w:sz w:val="20"/>
          <w:szCs w:val="20"/>
          <w:vertAlign w:val="superscript"/>
        </w:rPr>
        <w:t>$</w:t>
      </w:r>
      <w:r w:rsidRPr="004E1EAD">
        <w:rPr>
          <w:rFonts w:cs="Times New Roman"/>
          <w:sz w:val="20"/>
          <w:szCs w:val="20"/>
        </w:rPr>
        <w:t xml:space="preserve">240 mg magnesium/day is recommended for 9 year-old child, </w:t>
      </w:r>
      <w:r w:rsidRPr="004E1EAD">
        <w:rPr>
          <w:rFonts w:cs="Times New Roman"/>
          <w:sz w:val="20"/>
          <w:szCs w:val="20"/>
          <w:vertAlign w:val="superscript"/>
        </w:rPr>
        <w:t>¥</w:t>
      </w:r>
      <w:r w:rsidRPr="004E1EAD">
        <w:rPr>
          <w:rFonts w:cs="Times New Roman"/>
          <w:sz w:val="20"/>
          <w:szCs w:val="20"/>
        </w:rPr>
        <w:t>320 mg magnesium/day is recommended for 31–50 year-old women</w:t>
      </w:r>
    </w:p>
    <w:p w14:paraId="5EF4FB1D" w14:textId="51D9E8E5" w:rsidR="005B2E77" w:rsidRPr="00901AEB" w:rsidRDefault="005B2E77" w:rsidP="005B2E77">
      <w:pPr>
        <w:spacing w:after="0" w:line="240" w:lineRule="auto"/>
        <w:rPr>
          <w:rFonts w:cs="Times New Roman"/>
          <w:sz w:val="20"/>
          <w:szCs w:val="20"/>
        </w:rPr>
      </w:pPr>
      <w:r w:rsidRPr="004E1EAD">
        <w:rPr>
          <w:rFonts w:cs="Times New Roman"/>
          <w:sz w:val="20"/>
          <w:szCs w:val="20"/>
        </w:rPr>
        <w:t>RNI: Recommended</w:t>
      </w:r>
      <w:r w:rsidRPr="00901AEB">
        <w:rPr>
          <w:rFonts w:cs="Times New Roman"/>
          <w:sz w:val="20"/>
          <w:szCs w:val="20"/>
        </w:rPr>
        <w:t xml:space="preserve"> Nutrient Intake (</w:t>
      </w:r>
      <w:r w:rsidR="003B0165">
        <w:rPr>
          <w:rFonts w:cs="Times New Roman"/>
          <w:sz w:val="20"/>
          <w:szCs w:val="20"/>
        </w:rPr>
        <w:t>WHO &amp; FAO, 2004)</w:t>
      </w:r>
      <w:r>
        <w:rPr>
          <w:rFonts w:cs="Times New Roman"/>
          <w:sz w:val="20"/>
          <w:szCs w:val="20"/>
        </w:rPr>
        <w:t xml:space="preserve"> </w:t>
      </w:r>
      <w:r w:rsidRPr="00F96727">
        <w:rPr>
          <w:sz w:val="20"/>
        </w:rPr>
        <w:t>for varying dietary iron</w:t>
      </w:r>
      <w:r>
        <w:rPr>
          <w:sz w:val="20"/>
        </w:rPr>
        <w:t>/zinc</w:t>
      </w:r>
      <w:r w:rsidRPr="00F96727">
        <w:rPr>
          <w:sz w:val="20"/>
        </w:rPr>
        <w:t xml:space="preserve"> bioavailabilit</w:t>
      </w:r>
      <w:r>
        <w:rPr>
          <w:sz w:val="20"/>
        </w:rPr>
        <w:t>y</w:t>
      </w:r>
    </w:p>
    <w:p w14:paraId="5FF8DF5D" w14:textId="77777777" w:rsidR="005B2E77" w:rsidRDefault="005B2E77" w:rsidP="005B2E77">
      <w:pPr>
        <w:rPr>
          <w:b/>
        </w:rPr>
      </w:pPr>
    </w:p>
    <w:p w14:paraId="7AFA4C51" w14:textId="77777777" w:rsidR="005B2E77" w:rsidRDefault="005B2E77" w:rsidP="00B20675">
      <w:pPr>
        <w:jc w:val="center"/>
        <w:rPr>
          <w:b/>
        </w:rPr>
      </w:pPr>
    </w:p>
    <w:p w14:paraId="38ECAE53" w14:textId="77777777" w:rsidR="005B2E77" w:rsidRDefault="005B2E77" w:rsidP="00B20675">
      <w:pPr>
        <w:jc w:val="center"/>
        <w:rPr>
          <w:b/>
        </w:rPr>
      </w:pPr>
    </w:p>
    <w:p w14:paraId="7494442B" w14:textId="77777777" w:rsidR="005B2E77" w:rsidRDefault="005B2E77" w:rsidP="00B20675">
      <w:pPr>
        <w:jc w:val="center"/>
        <w:rPr>
          <w:b/>
        </w:rPr>
      </w:pPr>
    </w:p>
    <w:p w14:paraId="0ADA0CDB" w14:textId="77777777" w:rsidR="005B2E77" w:rsidRDefault="005B2E77" w:rsidP="00B20675">
      <w:pPr>
        <w:jc w:val="center"/>
        <w:rPr>
          <w:b/>
        </w:rPr>
      </w:pPr>
    </w:p>
    <w:p w14:paraId="0111C193" w14:textId="77777777" w:rsidR="005B2E77" w:rsidRDefault="005B2E77" w:rsidP="00460290">
      <w:pPr>
        <w:rPr>
          <w:b/>
        </w:rPr>
        <w:sectPr w:rsidR="005B2E77" w:rsidSect="005B2E77">
          <w:pgSz w:w="16839" w:h="11907" w:orient="landscape" w:code="9"/>
          <w:pgMar w:top="1440" w:right="1440" w:bottom="1440" w:left="1440" w:header="720" w:footer="720" w:gutter="0"/>
          <w:cols w:space="720"/>
          <w:docGrid w:linePitch="360"/>
        </w:sectPr>
      </w:pPr>
    </w:p>
    <w:p w14:paraId="62282B10" w14:textId="1FA57FA8" w:rsidR="00460290" w:rsidRDefault="005F2B4E" w:rsidP="001F77E1">
      <w:r>
        <w:lastRenderedPageBreak/>
        <w:t>With</w:t>
      </w:r>
      <w:r w:rsidR="00460290">
        <w:t xml:space="preserve"> women of reproductive age, inadequate zinc intakes and zinc status have also been reported. Engle-Stone</w:t>
      </w:r>
      <w:r w:rsidR="00460290" w:rsidRPr="00DA7D2C">
        <w:t xml:space="preserve"> et al.</w:t>
      </w:r>
      <w:r w:rsidR="00460290">
        <w:t xml:space="preserve"> (2014) investigated zinc intakes and zinc status of some childbearing age women in three ecological district zones of Cameroon. The study revealed a high prevalence of inadequate zinc intakes among the women (40–59%) from two of the zones. Their plasma zinc concentrations also showed a high rate of zinc deficiency (&gt; 80%) even after adjusting for methodological variables and inflammation. Cereal grains such as maize, wheat, rice, sorghum and millets, which are high in antinutritional factors that limit zinc bioavailability, were their major zinc dietary sources. The participants from the third zone consumed porridges and meat more frequently, which could explain the lower zinc intakes in the first two zones. In all the three zones, however, 29% and 41% of the women had inadequate zinc intakes based on moderate and low bioavailability, respectively. Both the zinc intakes and plasma zinc concentrations revealed high risks of zinc deficiency in these women. Similarly, a study of the dietary zinc and plasma zinc concentration in some pregnant women in Southern Ethiopia revealed that 99% and 72% of the women had inadequate dietary zinc and low plasma zinc concentration, respectively (Abebe et al., 2008). The zinc inadequacies were also associated with low dietary zinc and the high phytate content of the foods commonly consumed by the women. Additionally, approx. 72% of lactating women studied in three districts of Ethiopia were found to be zinc deficient (Roba et al., 2018). It was noted that poor dietary diversity and high consumption of staple foods based on cereals such as sorghum and minimal levels of animal food products could have significantly contributed to the zinc deficiency. </w:t>
      </w:r>
    </w:p>
    <w:p w14:paraId="3A08EA31" w14:textId="77777777" w:rsidR="00460290" w:rsidRDefault="00460290" w:rsidP="004F5656">
      <w:pPr>
        <w:spacing w:after="0"/>
      </w:pPr>
    </w:p>
    <w:p w14:paraId="030D2A6D" w14:textId="2B736D10" w:rsidR="00460290" w:rsidRDefault="00460290" w:rsidP="001F77E1">
      <w:r>
        <w:t xml:space="preserve">The findings from these studies </w:t>
      </w:r>
      <w:r w:rsidR="00792503">
        <w:t>are</w:t>
      </w:r>
      <w:r>
        <w:t xml:space="preserve"> worrisome and indicate that there is an urgent need to improve the dietary iron and zinc intakes of many school-aged children and women of reproductive age in Africa.</w:t>
      </w:r>
    </w:p>
    <w:p w14:paraId="37A6A497" w14:textId="77777777" w:rsidR="00220A2D" w:rsidRDefault="00220A2D" w:rsidP="00220A2D">
      <w:pPr>
        <w:spacing w:after="0"/>
        <w:rPr>
          <w:szCs w:val="24"/>
        </w:rPr>
      </w:pPr>
    </w:p>
    <w:p w14:paraId="52349286" w14:textId="021340B9" w:rsidR="00C453C1" w:rsidRPr="000F1930" w:rsidRDefault="00C453C1" w:rsidP="001F77E1">
      <w:r w:rsidRPr="00962037">
        <w:rPr>
          <w:szCs w:val="24"/>
        </w:rPr>
        <w:t>Nutritional intervention strategies to combat mineral deficiencies currently being implemented and</w:t>
      </w:r>
      <w:r>
        <w:rPr>
          <w:szCs w:val="24"/>
        </w:rPr>
        <w:t xml:space="preserve"> proposed are evaluated in the next section.</w:t>
      </w:r>
    </w:p>
    <w:p w14:paraId="2B215C29" w14:textId="77777777" w:rsidR="00460290" w:rsidRPr="005A192C" w:rsidRDefault="00460290" w:rsidP="001F77E1">
      <w:pPr>
        <w:sectPr w:rsidR="00460290" w:rsidRPr="005A192C" w:rsidSect="00460290">
          <w:pgSz w:w="12240" w:h="15840"/>
          <w:pgMar w:top="1440" w:right="1440" w:bottom="1440" w:left="1440" w:header="720" w:footer="720" w:gutter="0"/>
          <w:cols w:space="720"/>
          <w:docGrid w:linePitch="360"/>
        </w:sectPr>
      </w:pPr>
    </w:p>
    <w:p w14:paraId="39D94C17" w14:textId="5D295FBC" w:rsidR="00460290" w:rsidRDefault="00460290" w:rsidP="00A52614">
      <w:pPr>
        <w:pStyle w:val="Heading2"/>
      </w:pPr>
      <w:bookmarkStart w:id="22" w:name="_Toc65253549"/>
      <w:r>
        <w:lastRenderedPageBreak/>
        <w:t>2.3</w:t>
      </w:r>
      <w:r w:rsidRPr="00257CAC">
        <w:t xml:space="preserve"> </w:t>
      </w:r>
      <w:r w:rsidR="00A97AD3">
        <w:tab/>
        <w:t>N</w:t>
      </w:r>
      <w:r w:rsidR="00A97AD3" w:rsidRPr="00257CAC">
        <w:t>utritional intervention strategies to combat m</w:t>
      </w:r>
      <w:r w:rsidR="00A97AD3">
        <w:t>ineral</w:t>
      </w:r>
      <w:r w:rsidR="00A97AD3" w:rsidRPr="00257CAC">
        <w:t xml:space="preserve"> deficiencies</w:t>
      </w:r>
      <w:bookmarkEnd w:id="22"/>
    </w:p>
    <w:p w14:paraId="6048EBDD" w14:textId="013D675C" w:rsidR="00460290" w:rsidRPr="000360A9" w:rsidRDefault="00460290" w:rsidP="001F77E1">
      <w:r>
        <w:t>Globally, various</w:t>
      </w:r>
      <w:r w:rsidRPr="000360A9">
        <w:t xml:space="preserve"> interventions </w:t>
      </w:r>
      <w:r>
        <w:t>are being</w:t>
      </w:r>
      <w:r w:rsidRPr="000360A9">
        <w:t xml:space="preserve"> </w:t>
      </w:r>
      <w:r>
        <w:t>implemented</w:t>
      </w:r>
      <w:r w:rsidRPr="000360A9">
        <w:t xml:space="preserve"> to</w:t>
      </w:r>
      <w:r>
        <w:t xml:space="preserve"> </w:t>
      </w:r>
      <w:r w:rsidRPr="000360A9">
        <w:t xml:space="preserve">combat </w:t>
      </w:r>
      <w:r>
        <w:t>mineral</w:t>
      </w:r>
      <w:r w:rsidRPr="000360A9">
        <w:t xml:space="preserve"> deficiencies</w:t>
      </w:r>
      <w:r>
        <w:t>. These</w:t>
      </w:r>
      <w:r w:rsidRPr="000360A9">
        <w:t xml:space="preserve"> </w:t>
      </w:r>
      <w:r w:rsidR="001F77E1" w:rsidRPr="000360A9">
        <w:t>includ</w:t>
      </w:r>
      <w:r w:rsidR="001F77E1">
        <w:t>e</w:t>
      </w:r>
      <w:r w:rsidRPr="000360A9">
        <w:t xml:space="preserve"> mi</w:t>
      </w:r>
      <w:r>
        <w:t>neral</w:t>
      </w:r>
      <w:r w:rsidRPr="000360A9">
        <w:t xml:space="preserve"> supplementation, food fortification, food biofortification and dietary modification and diversification</w:t>
      </w:r>
      <w:r>
        <w:t xml:space="preserve"> </w:t>
      </w:r>
      <w:r w:rsidRPr="00B12093">
        <w:t>(</w:t>
      </w:r>
      <w:r>
        <w:t>Gregory et al., 2017; WHO,</w:t>
      </w:r>
      <w:r w:rsidRPr="00B12093">
        <w:t xml:space="preserve"> 2017)</w:t>
      </w:r>
      <w:r w:rsidRPr="000360A9">
        <w:t>.</w:t>
      </w:r>
      <w:r>
        <w:t xml:space="preserve"> </w:t>
      </w:r>
    </w:p>
    <w:p w14:paraId="688D717F" w14:textId="77777777" w:rsidR="00460290" w:rsidRDefault="00460290" w:rsidP="006C74F9">
      <w:pPr>
        <w:spacing w:after="0" w:line="240" w:lineRule="auto"/>
        <w:rPr>
          <w:rFonts w:cs="Times New Roman"/>
          <w:b/>
          <w:szCs w:val="24"/>
        </w:rPr>
      </w:pPr>
    </w:p>
    <w:p w14:paraId="15480AC7" w14:textId="228A093B" w:rsidR="00460290" w:rsidRPr="00A52614" w:rsidRDefault="00460290" w:rsidP="00A52614">
      <w:pPr>
        <w:pStyle w:val="Heading3"/>
      </w:pPr>
      <w:bookmarkStart w:id="23" w:name="_Toc65253550"/>
      <w:r w:rsidRPr="00A52614">
        <w:t>2.3.1</w:t>
      </w:r>
      <w:r w:rsidR="00A97AD3" w:rsidRPr="00A52614">
        <w:tab/>
      </w:r>
      <w:r w:rsidRPr="00A52614">
        <w:t>Mineral supplementation</w:t>
      </w:r>
      <w:bookmarkEnd w:id="23"/>
    </w:p>
    <w:p w14:paraId="07D22E84" w14:textId="77777777" w:rsidR="00460290" w:rsidRDefault="00460290" w:rsidP="00C27232">
      <w:r>
        <w:t>Mineral s</w:t>
      </w:r>
      <w:r w:rsidRPr="00BC55D2">
        <w:t>upplementation</w:t>
      </w:r>
      <w:r>
        <w:t xml:space="preserve"> is a widely applied strategy to address IDA in populations where iron is generally deficient in the diet, especially among vulnerable groups (WHO, 2017). It involves</w:t>
      </w:r>
      <w:r w:rsidRPr="00BC55D2">
        <w:t xml:space="preserve"> distribution of </w:t>
      </w:r>
      <w:r>
        <w:t>iron</w:t>
      </w:r>
      <w:r w:rsidRPr="00BC55D2">
        <w:t xml:space="preserve"> in specific doses to groups of individuals at risk o</w:t>
      </w:r>
      <w:r>
        <w:t>f ID. For example, the WHO recommends daily (30–60 mg) and weekly (45 mg) elemental iron supplementation in the form ferrous fumarate or ferrous sulphate heptahydrate or ferrous gluconate for school-age children (5–12 years) in areas where the prevalence of anaemia is ≥40% and ≥20%, respectively (WHO, 2017). Similarly, in areas where prevalence of anaemia is ≥40% and 20–39%, daily 30–60 mg and weekly 60 mg elemental iron supplementation are recommended, respectively in the form ferrous fumarate or ferrous sulphate heptahydrate or ferrous gluconate for adolescent girls and women of reproductive age (12–49 years) respectively.</w:t>
      </w:r>
    </w:p>
    <w:p w14:paraId="254F369A" w14:textId="77777777" w:rsidR="00460290" w:rsidRDefault="00460290" w:rsidP="004F5656">
      <w:pPr>
        <w:spacing w:after="0"/>
      </w:pPr>
    </w:p>
    <w:p w14:paraId="6AEE71B5" w14:textId="2C28E52D" w:rsidR="00460290" w:rsidRDefault="00460290" w:rsidP="00C27232">
      <w:r>
        <w:t xml:space="preserve">A review study of 21 intervention trials (including randomised control and quasi-randomised trials) involving 10,258 non-pregnant women of reproductive age showed that women receiving intermittent iron supplementation alone (mostly in the form of ferrous sulphate) or with other nutrients had a 27% lower risk of having anaemia (Fernandez-Gaxiola </w:t>
      </w:r>
      <w:r w:rsidR="00FA5746">
        <w:t>&amp;</w:t>
      </w:r>
      <w:r>
        <w:t xml:space="preserve"> De-Regil, 2011). Iron supplementation also improved the concentration of their serum haemoglobin and ferritin compared to the women with no iron supplementation. Likewise, a meta-analysis conducted as part of a review study revealed that iron supplementation in pregnancy reduced the incidence of anaemia at term, reduced IDA and infant low birth weight by 69%, 66% and 29%, respectively (Imdad </w:t>
      </w:r>
      <w:r w:rsidR="008D2D3C">
        <w:t>&amp;</w:t>
      </w:r>
      <w:r>
        <w:t xml:space="preserve"> Bhutta, 2012). Moreover, a systematic review of 17 randomized control trials involving children aged 6 months to 15 years showed that iron supplementation increased mental development score in the children (Sachdev et al., 2005). Furthermore, iron supplementation increased intelligence quotient (IQ) scores in children above 8 years. </w:t>
      </w:r>
    </w:p>
    <w:p w14:paraId="69408B19" w14:textId="77777777" w:rsidR="004F5656" w:rsidRDefault="004F5656" w:rsidP="002E4BDE">
      <w:pPr>
        <w:spacing w:after="0"/>
      </w:pPr>
    </w:p>
    <w:p w14:paraId="502C3979" w14:textId="7FFF4C47" w:rsidR="008C3107" w:rsidRDefault="00460290" w:rsidP="00C27232">
      <w:r>
        <w:lastRenderedPageBreak/>
        <w:t xml:space="preserve">Concerning zinc supplementation, a review study including </w:t>
      </w:r>
      <w:r w:rsidR="00792503">
        <w:t>eight</w:t>
      </w:r>
      <w:r>
        <w:t xml:space="preserve"> randomized control trials, revealed that it reduced diarrhoea and pneumonia by 13 and 19% respectively among under-five years children in developing countries (Yakoob et al., 2011). Another review study </w:t>
      </w:r>
      <w:r w:rsidR="00792503">
        <w:t>of</w:t>
      </w:r>
      <w:r>
        <w:t xml:space="preserve"> 55 intervention trials on zinc supplementation (mostly in the form of zinc sulphate) in infants and pre-pubertal children revealed that there was an increase in the linear growth and weight of the children (Brown et al., 2009). Meta-analysis of 24 out of the 55 trials also revealed that zinc supplementation reduced the incidence of diarrhoea in the children by 20%.  Also, 12 of the 55 trials accessed the effect of zinc supplementation on acute lower respiratory infection. The meta-analysis of the</w:t>
      </w:r>
      <w:r w:rsidR="008C3107">
        <w:t>se</w:t>
      </w:r>
      <w:r>
        <w:t xml:space="preserve"> 12 trials revealed a 15% reduction of the respiratory infection in the children. Furthermore, an overall marginal (6%) reduction in child mortality was reported and 18% further reduction in child mortality when data was restricted to children more than 12 months of age. This was </w:t>
      </w:r>
      <w:r w:rsidR="00223834">
        <w:t>likely</w:t>
      </w:r>
      <w:r>
        <w:t xml:space="preserve"> due to the protective effect of breastfeeding during infancy as explained by the authors. </w:t>
      </w:r>
    </w:p>
    <w:p w14:paraId="0EE8C195" w14:textId="77777777" w:rsidR="00BB1B3E" w:rsidRDefault="00BB1B3E" w:rsidP="00BB1B3E">
      <w:pPr>
        <w:spacing w:after="0"/>
      </w:pPr>
    </w:p>
    <w:p w14:paraId="588D1CB2" w14:textId="60D7D091" w:rsidR="00460290" w:rsidRDefault="008C3107" w:rsidP="00C27232">
      <w:r>
        <w:t>A</w:t>
      </w:r>
      <w:r w:rsidR="00460290">
        <w:t>n intervention study among some 675 healthy Egyptian pregnant women to evaluate the effect of zinc supplementation (30 mg ZnSO</w:t>
      </w:r>
      <w:r w:rsidR="00460290" w:rsidRPr="00BB1B3E">
        <w:rPr>
          <w:vertAlign w:val="subscript"/>
        </w:rPr>
        <w:t>4</w:t>
      </w:r>
      <w:r w:rsidR="00460290">
        <w:t xml:space="preserve"> or 30 mg ZnSO</w:t>
      </w:r>
      <w:r w:rsidR="00460290" w:rsidRPr="00BB1B3E">
        <w:rPr>
          <w:vertAlign w:val="subscript"/>
        </w:rPr>
        <w:t>4</w:t>
      </w:r>
      <w:r w:rsidR="00460290">
        <w:t>+multivitamins) on pregnancy outcomes</w:t>
      </w:r>
      <w:r>
        <w:t xml:space="preserve"> was conducted by Nossier et al. (20</w:t>
      </w:r>
      <w:r w:rsidR="00D07324">
        <w:t>15</w:t>
      </w:r>
      <w:r>
        <w:t>)</w:t>
      </w:r>
      <w:r w:rsidR="00460290">
        <w:t xml:space="preserve">. The study revealed that zinc supplementation did not have any effect on infants’ birth weight but was effective in decreasing the risks of pregnancy complications, still birth and preterm delivery and early neonatal morbidity by 46–57%, 73–88% and 75–77%, respectively. However, a review study of 21 intervention trials among healthy pregnant women revealed that zinc supplementation had no effect on still birth or neonatal deaths and birth weight of infants and on other primary neonatal and maternal outcomes (Ota et al., 2015). In contrast, meta-analysis of 16 of the 21 trials revealed that there was a small (14%) reduction in preterm birth. </w:t>
      </w:r>
    </w:p>
    <w:p w14:paraId="3892C0E4" w14:textId="77777777" w:rsidR="00460290" w:rsidRDefault="00460290" w:rsidP="004F5656">
      <w:pPr>
        <w:spacing w:after="0"/>
      </w:pPr>
    </w:p>
    <w:p w14:paraId="70FEB7B4" w14:textId="1396D534" w:rsidR="00460290" w:rsidRDefault="00460290" w:rsidP="00C27232">
      <w:r>
        <w:t xml:space="preserve">As reviewed, iron and zinc deficiencies persist among vulnerable groups such as women and children in Africa despite the implementation of supplementation strategies </w:t>
      </w:r>
      <w:r w:rsidRPr="00773F97">
        <w:rPr>
          <w:rFonts w:eastAsia="AdvGulliv-R"/>
          <w:lang w:val="en-US"/>
        </w:rPr>
        <w:t>(</w:t>
      </w:r>
      <w:r>
        <w:rPr>
          <w:rFonts w:eastAsia="AdvGulliv-R"/>
          <w:lang w:val="en-US"/>
        </w:rPr>
        <w:t>Haddad et al.</w:t>
      </w:r>
      <w:r w:rsidRPr="00773F97">
        <w:rPr>
          <w:rFonts w:eastAsia="AdvGulliv-R"/>
          <w:lang w:val="en-US"/>
        </w:rPr>
        <w:t>, 2015)</w:t>
      </w:r>
      <w:r>
        <w:t xml:space="preserve">. Dairo </w:t>
      </w:r>
      <w:r w:rsidR="008C3107">
        <w:t>&amp;</w:t>
      </w:r>
      <w:r>
        <w:t xml:space="preserve"> Ige (2009) reported that </w:t>
      </w:r>
      <w:r w:rsidRPr="00FC47EB">
        <w:t>many individuals at risk are often not reached by supplementation program</w:t>
      </w:r>
      <w:r>
        <w:t>mes</w:t>
      </w:r>
      <w:r w:rsidRPr="00FC47EB">
        <w:t xml:space="preserve"> as they live in inaccessible geographical areas, while many</w:t>
      </w:r>
      <w:r>
        <w:t xml:space="preserve"> other</w:t>
      </w:r>
      <w:r w:rsidRPr="00FC47EB">
        <w:t xml:space="preserve"> populations lack access to health care systems where supplementation is provided</w:t>
      </w:r>
      <w:r>
        <w:t xml:space="preserve">. Furthermore, some studies have shown that increased intake of iron from iron supplementation and food fortification is associated with increased inflammation and infection in the gastrointestinal tract, </w:t>
      </w:r>
      <w:r w:rsidRPr="008A5CA7">
        <w:t>especially among children</w:t>
      </w:r>
      <w:r>
        <w:t xml:space="preserve"> (Jaeggi et al., 2015;</w:t>
      </w:r>
      <w:r w:rsidRPr="003A51E5">
        <w:t xml:space="preserve"> </w:t>
      </w:r>
      <w:r>
        <w:t xml:space="preserve">Jonker et </w:t>
      </w:r>
      <w:r>
        <w:lastRenderedPageBreak/>
        <w:t xml:space="preserve">al., 2017). As explained, inflammation and infection may further inhibit iron supply to the body (Gozzelino </w:t>
      </w:r>
      <w:r w:rsidR="005B2499">
        <w:t>&amp;</w:t>
      </w:r>
      <w:r>
        <w:t xml:space="preserve"> Arosio, 2016). </w:t>
      </w:r>
    </w:p>
    <w:p w14:paraId="320EA720" w14:textId="75488E7E" w:rsidR="00460290" w:rsidRDefault="00460290" w:rsidP="00C27232">
      <w:pPr>
        <w:pStyle w:val="Heading3"/>
      </w:pPr>
      <w:bookmarkStart w:id="24" w:name="_Toc65253551"/>
      <w:r>
        <w:t>2.3</w:t>
      </w:r>
      <w:r w:rsidRPr="00F77982">
        <w:t>.2</w:t>
      </w:r>
      <w:r w:rsidR="00382274">
        <w:tab/>
      </w:r>
      <w:r w:rsidRPr="00F77982">
        <w:t>Food fortification</w:t>
      </w:r>
      <w:bookmarkEnd w:id="24"/>
    </w:p>
    <w:p w14:paraId="245D9E64" w14:textId="1F6992D1" w:rsidR="005B678E" w:rsidRDefault="00460290" w:rsidP="00C27232">
      <w:r>
        <w:t>Food fortification is a process whereby specific essential micronutrients, for example iron, zinc and vitamins are deliberately added to staple foods to increase their levels in the food product, normally to provide a stated percentage of the nutrient reference value</w:t>
      </w:r>
      <w:r w:rsidR="005B678E">
        <w:t>s</w:t>
      </w:r>
      <w:r>
        <w:t xml:space="preserve"> (NRV) for these micronutrients. This is done with the aim of improving the micronutrient quality of the food supply to a large population in a cost-effective way as well as to ensure public health benefits with little or no risks to health (WHO, 2017). The WHO </w:t>
      </w:r>
      <w:r w:rsidR="005B678E">
        <w:t xml:space="preserve">(2017) </w:t>
      </w:r>
      <w:r>
        <w:t>recommend</w:t>
      </w:r>
      <w:r w:rsidR="005B678E">
        <w:t>ed</w:t>
      </w:r>
      <w:r>
        <w:t xml:space="preserve"> where maize and wheat products such as porridge and bread are consumed by large population in a country with a high prevalence of ID and </w:t>
      </w:r>
      <w:smartTag w:uri="urn:schemas-microsoft-com:office:smarttags" w:element="stockticker">
        <w:r>
          <w:t>IDA</w:t>
        </w:r>
      </w:smartTag>
      <w:r>
        <w:t xml:space="preserve">, their flours should be fortified with iron. </w:t>
      </w:r>
    </w:p>
    <w:p w14:paraId="303228B8" w14:textId="77777777" w:rsidR="00566B27" w:rsidRDefault="00566B27" w:rsidP="00566B27">
      <w:pPr>
        <w:spacing w:after="0"/>
      </w:pPr>
    </w:p>
    <w:p w14:paraId="772E57CE" w14:textId="2863419B" w:rsidR="00460290" w:rsidRDefault="00460290" w:rsidP="00C27232">
      <w:r>
        <w:t>There are various chemical forms of iron used in food fortification. These include NaFeEDTA (sodium iron ethylenediaminetetraacetate), ferrous sulphate</w:t>
      </w:r>
      <w:r w:rsidR="00B46164">
        <w:t xml:space="preserve"> (FeSO</w:t>
      </w:r>
      <w:r w:rsidR="00B46164" w:rsidRPr="00B46164">
        <w:rPr>
          <w:vertAlign w:val="subscript"/>
        </w:rPr>
        <w:t>4</w:t>
      </w:r>
      <w:r w:rsidR="00B46164">
        <w:t>)</w:t>
      </w:r>
      <w:r>
        <w:t>, ferrous fumarate, ferrous lactate, ferrous gluconate and elemental iron powders e.g. electrolytic iron, carbonyl iron (WHO</w:t>
      </w:r>
      <w:r w:rsidR="00566B27">
        <w:t xml:space="preserve"> </w:t>
      </w:r>
      <w:r w:rsidR="006B0E78">
        <w:t>&amp; FAO</w:t>
      </w:r>
      <w:r>
        <w:t>, 2006). The choice of iron chemical form used in a food formulation is usually based on its bioavailability, cost, and stability in the food. Encapsulation of iron compounds such as ferrous sulphate and ferrous fumarate is also done in order to improve the stability of the iron compounds in the fortified food product (WHO</w:t>
      </w:r>
      <w:r w:rsidR="006B0E78">
        <w:t xml:space="preserve"> &amp; FAO</w:t>
      </w:r>
      <w:r>
        <w:t xml:space="preserve">, 2006). This is achieved by coating the iron compound usually with hydrogenated vegetable oil, which in turn reduces iron contact and interaction with the other food components, thereby helping to prevent any sensory changes in the food product. Mono- and diglycerides, maltodextrins and ethyl cellulose </w:t>
      </w:r>
      <w:r w:rsidR="005B678E">
        <w:t>may</w:t>
      </w:r>
      <w:r>
        <w:t xml:space="preserve"> also </w:t>
      </w:r>
      <w:r w:rsidR="005B678E">
        <w:t xml:space="preserve">be </w:t>
      </w:r>
      <w:r>
        <w:t>used for iron compound encapsulation.</w:t>
      </w:r>
    </w:p>
    <w:p w14:paraId="47EB6A3A" w14:textId="77777777" w:rsidR="00460290" w:rsidRDefault="00460290" w:rsidP="004F5656">
      <w:pPr>
        <w:spacing w:after="0"/>
      </w:pPr>
    </w:p>
    <w:p w14:paraId="2D571E98" w14:textId="5C4CEE66" w:rsidR="00460290" w:rsidRDefault="00460290" w:rsidP="00C27232">
      <w:r>
        <w:t>The preferred chemical forms of iron fortificants by the WHO are NaFeEDTA, ferrous sulphate and ferrous fumarate</w:t>
      </w:r>
      <w:r w:rsidR="00813476">
        <w:t>, especially for wheat flour</w:t>
      </w:r>
      <w:r w:rsidR="006B0E78">
        <w:t xml:space="preserve"> (WHO, 2017)</w:t>
      </w:r>
      <w:r>
        <w:t>. Iron in the form of NaFeEDTA, an iron chelate, is relatively more bioavailable compared to other iron fortificants even in high phytate foods (WHO</w:t>
      </w:r>
      <w:r w:rsidR="00813476">
        <w:t xml:space="preserve"> &amp; FAO</w:t>
      </w:r>
      <w:r>
        <w:t>, 2006; WHO, 2017)</w:t>
      </w:r>
      <w:r w:rsidR="005B678E">
        <w:t>,</w:t>
      </w:r>
      <w:r>
        <w:t xml:space="preserve"> as shown in Table </w:t>
      </w:r>
      <w:r w:rsidR="00241A28">
        <w:t>2.</w:t>
      </w:r>
      <w:r>
        <w:t>3. For example, the quantity of ferrous fumarate and encapsulated ferrous sulphate required for the fortification of high extraction maize and wheat flours is twice the quantity of NaFeEDTA (WHO</w:t>
      </w:r>
      <w:r w:rsidR="006B0E78">
        <w:t xml:space="preserve"> &amp; FAO</w:t>
      </w:r>
      <w:r>
        <w:t xml:space="preserve">, 2006). Electrolytic iron is relatively the lowest in iron </w:t>
      </w:r>
      <w:r>
        <w:lastRenderedPageBreak/>
        <w:t xml:space="preserve">bioavailability as twice the quantity of ferrous sulphate and ferrous fumarate </w:t>
      </w:r>
      <w:r w:rsidR="005B678E">
        <w:t>are</w:t>
      </w:r>
      <w:r>
        <w:t xml:space="preserve"> required for the fortification of low extraction </w:t>
      </w:r>
      <w:r w:rsidR="005B678E">
        <w:t xml:space="preserve">rate (refined) </w:t>
      </w:r>
      <w:r>
        <w:t>maize and wheat flours. During the process of digestion, the iron in NaFeEDTA fortified foods remains chelated to EDTA until it is transported into the epithelial cells of the small intestine. In this way, the iron is mostly spared from the inhibitory compounds in the food matrix that renders it unavailable for absorption in the gut lumen (</w:t>
      </w:r>
      <w:r w:rsidRPr="006E76DD">
        <w:rPr>
          <w:color w:val="000000" w:themeColor="text1"/>
          <w:shd w:val="clear" w:color="auto" w:fill="FFFFFF"/>
        </w:rPr>
        <w:t xml:space="preserve">Fairweather-Tait </w:t>
      </w:r>
      <w:r w:rsidR="0049065D">
        <w:rPr>
          <w:color w:val="000000" w:themeColor="text1"/>
          <w:shd w:val="clear" w:color="auto" w:fill="FFFFFF"/>
        </w:rPr>
        <w:t>&amp;</w:t>
      </w:r>
      <w:r w:rsidRPr="006E76DD">
        <w:rPr>
          <w:color w:val="000000" w:themeColor="text1"/>
          <w:shd w:val="clear" w:color="auto" w:fill="FFFFFF"/>
        </w:rPr>
        <w:t xml:space="preserve"> Teucher</w:t>
      </w:r>
      <w:r>
        <w:rPr>
          <w:color w:val="000000" w:themeColor="text1"/>
          <w:shd w:val="clear" w:color="auto" w:fill="FFFFFF"/>
        </w:rPr>
        <w:t xml:space="preserve">, </w:t>
      </w:r>
      <w:r w:rsidRPr="006E76DD">
        <w:rPr>
          <w:color w:val="000000" w:themeColor="text1"/>
          <w:shd w:val="clear" w:color="auto" w:fill="FFFFFF"/>
        </w:rPr>
        <w:t>2002</w:t>
      </w:r>
      <w:r>
        <w:rPr>
          <w:color w:val="000000" w:themeColor="text1"/>
          <w:shd w:val="clear" w:color="auto" w:fill="FFFFFF"/>
        </w:rPr>
        <w:t>)</w:t>
      </w:r>
      <w:r>
        <w:t xml:space="preserve">. Furthermore, unlike most soluble iron fortificants, NaFeEDTA is stable in foods, i.e., it does not react with other components in the food matrix and does not affect the sensory properties of the fortified foods. However, NaFeEDTA is relatively costlier than the other iron fortificants </w:t>
      </w:r>
      <w:r w:rsidRPr="00292ABA">
        <w:t xml:space="preserve">(Table </w:t>
      </w:r>
      <w:r w:rsidR="00B730A3" w:rsidRPr="00292ABA">
        <w:t>2.</w:t>
      </w:r>
      <w:r w:rsidRPr="00292ABA">
        <w:t>3). Encapsulation of ferrous sulphate and ferrous fumarate increases the cost of the iron compounds by approximately 11 and 17 times, respectively, in relative to the use of ferrous sulphate (</w:t>
      </w:r>
      <w:r w:rsidRPr="00292ABA">
        <w:rPr>
          <w:color w:val="000000" w:themeColor="text1"/>
          <w:shd w:val="clear" w:color="auto" w:fill="FFFFFF"/>
        </w:rPr>
        <w:t xml:space="preserve">Table </w:t>
      </w:r>
      <w:r w:rsidR="00B730A3" w:rsidRPr="00292ABA">
        <w:rPr>
          <w:color w:val="000000" w:themeColor="text1"/>
          <w:shd w:val="clear" w:color="auto" w:fill="FFFFFF"/>
        </w:rPr>
        <w:t>2.</w:t>
      </w:r>
      <w:r w:rsidRPr="00292ABA">
        <w:rPr>
          <w:color w:val="000000" w:themeColor="text1"/>
          <w:shd w:val="clear" w:color="auto" w:fill="FFFFFF"/>
        </w:rPr>
        <w:t>3)</w:t>
      </w:r>
      <w:r w:rsidRPr="00292ABA">
        <w:t xml:space="preserve">. </w:t>
      </w:r>
    </w:p>
    <w:p w14:paraId="408CD552" w14:textId="77777777" w:rsidR="004F5656" w:rsidRPr="00292ABA" w:rsidRDefault="004F5656" w:rsidP="004F5656">
      <w:pPr>
        <w:spacing w:after="0"/>
      </w:pPr>
    </w:p>
    <w:p w14:paraId="023D79CD" w14:textId="77535A09" w:rsidR="00460290" w:rsidRPr="005274D1" w:rsidRDefault="00460290" w:rsidP="00DF4A22">
      <w:pPr>
        <w:pStyle w:val="MyTables"/>
        <w:spacing w:line="240" w:lineRule="auto"/>
      </w:pPr>
      <w:bookmarkStart w:id="25" w:name="_Toc65253625"/>
      <w:r w:rsidRPr="00292ABA">
        <w:rPr>
          <w:b/>
          <w:bCs/>
        </w:rPr>
        <w:t xml:space="preserve">Table </w:t>
      </w:r>
      <w:r w:rsidR="00B730A3" w:rsidRPr="00292ABA">
        <w:rPr>
          <w:b/>
          <w:bCs/>
        </w:rPr>
        <w:t>2.</w:t>
      </w:r>
      <w:r w:rsidRPr="00292ABA">
        <w:rPr>
          <w:b/>
          <w:bCs/>
        </w:rPr>
        <w:t>3</w:t>
      </w:r>
      <w:r w:rsidRPr="00292ABA">
        <w:t>: Iron content, relative bioavailabilit</w:t>
      </w:r>
      <w:r w:rsidRPr="005274D1">
        <w:t>y and cost of some commonly used iron compounds for food fortification (WHO</w:t>
      </w:r>
      <w:r w:rsidR="00813476">
        <w:t xml:space="preserve"> &amp; FAO</w:t>
      </w:r>
      <w:r w:rsidRPr="005274D1">
        <w:t>, 2006)</w:t>
      </w:r>
      <w:bookmarkEnd w:id="25"/>
    </w:p>
    <w:tbl>
      <w:tblPr>
        <w:tblW w:w="0" w:type="auto"/>
        <w:jc w:val="center"/>
        <w:tblBorders>
          <w:top w:val="single" w:sz="4" w:space="0" w:color="auto"/>
          <w:bottom w:val="single" w:sz="4" w:space="0" w:color="auto"/>
        </w:tblBorders>
        <w:tblLook w:val="04A0" w:firstRow="1" w:lastRow="0" w:firstColumn="1" w:lastColumn="0" w:noHBand="0" w:noVBand="1"/>
      </w:tblPr>
      <w:tblGrid>
        <w:gridCol w:w="3308"/>
        <w:gridCol w:w="1731"/>
        <w:gridCol w:w="1892"/>
        <w:gridCol w:w="1966"/>
      </w:tblGrid>
      <w:tr w:rsidR="00460290" w:rsidRPr="00772957" w14:paraId="5CA5DAB2" w14:textId="77777777" w:rsidTr="00460290">
        <w:trPr>
          <w:jc w:val="center"/>
        </w:trPr>
        <w:tc>
          <w:tcPr>
            <w:tcW w:w="3308" w:type="dxa"/>
            <w:tcBorders>
              <w:top w:val="single" w:sz="4" w:space="0" w:color="auto"/>
              <w:bottom w:val="single" w:sz="4" w:space="0" w:color="auto"/>
            </w:tcBorders>
          </w:tcPr>
          <w:p w14:paraId="0B765304" w14:textId="77777777" w:rsidR="00460290" w:rsidRPr="00813476" w:rsidRDefault="00460290" w:rsidP="00DF4A22">
            <w:pPr>
              <w:spacing w:before="240" w:after="0" w:line="240" w:lineRule="auto"/>
              <w:jc w:val="center"/>
              <w:rPr>
                <w:rFonts w:cs="Times New Roman"/>
                <w:b/>
                <w:sz w:val="22"/>
              </w:rPr>
            </w:pPr>
            <w:r w:rsidRPr="00813476">
              <w:rPr>
                <w:rFonts w:cs="Times New Roman"/>
                <w:b/>
                <w:sz w:val="22"/>
              </w:rPr>
              <w:t>Iron compound</w:t>
            </w:r>
          </w:p>
        </w:tc>
        <w:tc>
          <w:tcPr>
            <w:tcW w:w="1731" w:type="dxa"/>
            <w:tcBorders>
              <w:top w:val="single" w:sz="4" w:space="0" w:color="auto"/>
              <w:bottom w:val="single" w:sz="4" w:space="0" w:color="auto"/>
            </w:tcBorders>
          </w:tcPr>
          <w:p w14:paraId="555B7401" w14:textId="77777777" w:rsidR="00460290" w:rsidRPr="00813476" w:rsidRDefault="00460290" w:rsidP="00DF4A22">
            <w:pPr>
              <w:spacing w:before="240" w:after="0" w:line="240" w:lineRule="auto"/>
              <w:jc w:val="center"/>
              <w:rPr>
                <w:rFonts w:cs="Times New Roman"/>
                <w:b/>
                <w:sz w:val="22"/>
              </w:rPr>
            </w:pPr>
            <w:r w:rsidRPr="00813476">
              <w:rPr>
                <w:rFonts w:cs="Times New Roman"/>
                <w:b/>
                <w:sz w:val="22"/>
              </w:rPr>
              <w:t>Iron content (%)</w:t>
            </w:r>
          </w:p>
        </w:tc>
        <w:tc>
          <w:tcPr>
            <w:tcW w:w="1892" w:type="dxa"/>
            <w:tcBorders>
              <w:top w:val="single" w:sz="4" w:space="0" w:color="auto"/>
              <w:bottom w:val="single" w:sz="4" w:space="0" w:color="auto"/>
            </w:tcBorders>
          </w:tcPr>
          <w:p w14:paraId="307E3A00" w14:textId="77777777" w:rsidR="00460290" w:rsidRPr="00813476" w:rsidRDefault="00460290" w:rsidP="00DF4A22">
            <w:pPr>
              <w:spacing w:before="240" w:after="0" w:line="240" w:lineRule="auto"/>
              <w:jc w:val="center"/>
              <w:rPr>
                <w:rFonts w:cs="Times New Roman"/>
                <w:b/>
                <w:sz w:val="22"/>
              </w:rPr>
            </w:pPr>
            <w:r w:rsidRPr="00813476">
              <w:rPr>
                <w:rFonts w:cs="Times New Roman"/>
                <w:b/>
                <w:sz w:val="22"/>
              </w:rPr>
              <w:t>Relative bioavailability</w:t>
            </w:r>
            <w:r w:rsidRPr="00813476">
              <w:rPr>
                <w:rFonts w:cs="Times New Roman"/>
                <w:b/>
                <w:sz w:val="22"/>
                <w:vertAlign w:val="superscript"/>
              </w:rPr>
              <w:t>1</w:t>
            </w:r>
          </w:p>
        </w:tc>
        <w:tc>
          <w:tcPr>
            <w:tcW w:w="1966" w:type="dxa"/>
            <w:tcBorders>
              <w:top w:val="single" w:sz="4" w:space="0" w:color="auto"/>
              <w:bottom w:val="single" w:sz="4" w:space="0" w:color="auto"/>
            </w:tcBorders>
          </w:tcPr>
          <w:p w14:paraId="7583CEEA" w14:textId="77777777" w:rsidR="00460290" w:rsidRPr="00813476" w:rsidRDefault="00460290" w:rsidP="00DF4A22">
            <w:pPr>
              <w:spacing w:before="240" w:after="0" w:line="240" w:lineRule="auto"/>
              <w:jc w:val="center"/>
              <w:rPr>
                <w:rFonts w:cs="Times New Roman"/>
                <w:b/>
                <w:sz w:val="22"/>
              </w:rPr>
            </w:pPr>
            <w:r w:rsidRPr="00813476">
              <w:rPr>
                <w:rFonts w:cs="Times New Roman"/>
                <w:b/>
                <w:sz w:val="22"/>
              </w:rPr>
              <w:t>Relative cost</w:t>
            </w:r>
            <w:r w:rsidRPr="00813476">
              <w:rPr>
                <w:rFonts w:cs="Times New Roman"/>
                <w:b/>
                <w:sz w:val="22"/>
                <w:vertAlign w:val="superscript"/>
              </w:rPr>
              <w:t>2</w:t>
            </w:r>
            <w:r w:rsidRPr="00813476">
              <w:rPr>
                <w:rFonts w:cs="Times New Roman"/>
                <w:b/>
                <w:sz w:val="22"/>
              </w:rPr>
              <w:t xml:space="preserve"> (per mg iron)</w:t>
            </w:r>
          </w:p>
        </w:tc>
      </w:tr>
      <w:tr w:rsidR="00460290" w:rsidRPr="00772957" w14:paraId="1ABD04A0" w14:textId="77777777" w:rsidTr="00460290">
        <w:trPr>
          <w:jc w:val="center"/>
        </w:trPr>
        <w:tc>
          <w:tcPr>
            <w:tcW w:w="3308" w:type="dxa"/>
            <w:tcBorders>
              <w:top w:val="single" w:sz="4" w:space="0" w:color="auto"/>
            </w:tcBorders>
          </w:tcPr>
          <w:p w14:paraId="61C3C9E2" w14:textId="70F51056" w:rsidR="00460290" w:rsidRPr="00772957" w:rsidRDefault="00813476" w:rsidP="00DF4A22">
            <w:pPr>
              <w:spacing w:before="240" w:after="0" w:line="240" w:lineRule="auto"/>
              <w:rPr>
                <w:rFonts w:cs="Times New Roman"/>
                <w:sz w:val="22"/>
              </w:rPr>
            </w:pPr>
            <w:r>
              <w:rPr>
                <w:rFonts w:cs="Times New Roman"/>
                <w:sz w:val="22"/>
              </w:rPr>
              <w:t>FeSO</w:t>
            </w:r>
            <w:r w:rsidRPr="00813476">
              <w:rPr>
                <w:rFonts w:cs="Times New Roman"/>
                <w:sz w:val="22"/>
                <w:vertAlign w:val="subscript"/>
              </w:rPr>
              <w:t>4</w:t>
            </w:r>
            <w:r w:rsidR="00460290" w:rsidRPr="00772957">
              <w:rPr>
                <w:rFonts w:cs="Times New Roman"/>
                <w:sz w:val="22"/>
              </w:rPr>
              <w:t>.7H</w:t>
            </w:r>
            <w:r w:rsidR="00460290" w:rsidRPr="00772957">
              <w:rPr>
                <w:rFonts w:cs="Times New Roman"/>
                <w:sz w:val="22"/>
                <w:vertAlign w:val="subscript"/>
              </w:rPr>
              <w:t>2</w:t>
            </w:r>
            <w:r w:rsidR="00460290" w:rsidRPr="00772957">
              <w:rPr>
                <w:rFonts w:cs="Times New Roman"/>
                <w:sz w:val="22"/>
              </w:rPr>
              <w:t>O</w:t>
            </w:r>
          </w:p>
        </w:tc>
        <w:tc>
          <w:tcPr>
            <w:tcW w:w="1731" w:type="dxa"/>
            <w:tcBorders>
              <w:top w:val="single" w:sz="4" w:space="0" w:color="auto"/>
            </w:tcBorders>
          </w:tcPr>
          <w:p w14:paraId="2F24E088"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20</w:t>
            </w:r>
          </w:p>
        </w:tc>
        <w:tc>
          <w:tcPr>
            <w:tcW w:w="1892" w:type="dxa"/>
            <w:tcBorders>
              <w:top w:val="single" w:sz="4" w:space="0" w:color="auto"/>
            </w:tcBorders>
          </w:tcPr>
          <w:p w14:paraId="34C69DCB"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100</w:t>
            </w:r>
          </w:p>
        </w:tc>
        <w:tc>
          <w:tcPr>
            <w:tcW w:w="1966" w:type="dxa"/>
            <w:tcBorders>
              <w:top w:val="single" w:sz="4" w:space="0" w:color="auto"/>
            </w:tcBorders>
          </w:tcPr>
          <w:p w14:paraId="42A04D29"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1.0</w:t>
            </w:r>
          </w:p>
        </w:tc>
      </w:tr>
      <w:tr w:rsidR="00460290" w:rsidRPr="00772957" w14:paraId="26B851F6" w14:textId="77777777" w:rsidTr="00460290">
        <w:trPr>
          <w:jc w:val="center"/>
        </w:trPr>
        <w:tc>
          <w:tcPr>
            <w:tcW w:w="3308" w:type="dxa"/>
          </w:tcPr>
          <w:p w14:paraId="606722B9" w14:textId="77777777" w:rsidR="00460290" w:rsidRPr="00772957" w:rsidRDefault="00460290" w:rsidP="00DF4A22">
            <w:pPr>
              <w:spacing w:before="240" w:after="0" w:line="240" w:lineRule="auto"/>
              <w:rPr>
                <w:rFonts w:cs="Times New Roman"/>
                <w:sz w:val="22"/>
              </w:rPr>
            </w:pPr>
            <w:r w:rsidRPr="00772957">
              <w:rPr>
                <w:rFonts w:cs="Times New Roman"/>
                <w:sz w:val="22"/>
              </w:rPr>
              <w:t>Anhydrous ferrous sulphate</w:t>
            </w:r>
          </w:p>
        </w:tc>
        <w:tc>
          <w:tcPr>
            <w:tcW w:w="1731" w:type="dxa"/>
          </w:tcPr>
          <w:p w14:paraId="6FAC00AD"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33</w:t>
            </w:r>
          </w:p>
        </w:tc>
        <w:tc>
          <w:tcPr>
            <w:tcW w:w="1892" w:type="dxa"/>
          </w:tcPr>
          <w:p w14:paraId="34A2D526"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100</w:t>
            </w:r>
          </w:p>
        </w:tc>
        <w:tc>
          <w:tcPr>
            <w:tcW w:w="1966" w:type="dxa"/>
          </w:tcPr>
          <w:p w14:paraId="65D7E6A6"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1.0</w:t>
            </w:r>
          </w:p>
        </w:tc>
      </w:tr>
      <w:tr w:rsidR="00460290" w:rsidRPr="00772957" w14:paraId="056C2828" w14:textId="77777777" w:rsidTr="00460290">
        <w:trPr>
          <w:jc w:val="center"/>
        </w:trPr>
        <w:tc>
          <w:tcPr>
            <w:tcW w:w="3308" w:type="dxa"/>
          </w:tcPr>
          <w:p w14:paraId="082D142D" w14:textId="77777777" w:rsidR="00460290" w:rsidRPr="00772957" w:rsidRDefault="00460290" w:rsidP="00DF4A22">
            <w:pPr>
              <w:spacing w:before="240" w:after="0" w:line="240" w:lineRule="auto"/>
              <w:rPr>
                <w:rFonts w:cs="Times New Roman"/>
                <w:sz w:val="22"/>
              </w:rPr>
            </w:pPr>
            <w:r w:rsidRPr="00772957">
              <w:rPr>
                <w:rFonts w:cs="Times New Roman"/>
                <w:sz w:val="22"/>
              </w:rPr>
              <w:t>Encapsulated ferrous sulphate</w:t>
            </w:r>
          </w:p>
        </w:tc>
        <w:tc>
          <w:tcPr>
            <w:tcW w:w="1731" w:type="dxa"/>
          </w:tcPr>
          <w:p w14:paraId="446BB29A"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16</w:t>
            </w:r>
          </w:p>
        </w:tc>
        <w:tc>
          <w:tcPr>
            <w:tcW w:w="1892" w:type="dxa"/>
          </w:tcPr>
          <w:p w14:paraId="72AF96E2"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100</w:t>
            </w:r>
          </w:p>
        </w:tc>
        <w:tc>
          <w:tcPr>
            <w:tcW w:w="1966" w:type="dxa"/>
          </w:tcPr>
          <w:p w14:paraId="553C4D3E"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10.8</w:t>
            </w:r>
          </w:p>
        </w:tc>
      </w:tr>
      <w:tr w:rsidR="00460290" w:rsidRPr="00772957" w14:paraId="13BF12A2" w14:textId="77777777" w:rsidTr="00460290">
        <w:trPr>
          <w:jc w:val="center"/>
        </w:trPr>
        <w:tc>
          <w:tcPr>
            <w:tcW w:w="3308" w:type="dxa"/>
          </w:tcPr>
          <w:p w14:paraId="214D37D6" w14:textId="77777777" w:rsidR="00460290" w:rsidRPr="00772957" w:rsidRDefault="00460290" w:rsidP="00DF4A22">
            <w:pPr>
              <w:spacing w:before="240" w:after="0" w:line="240" w:lineRule="auto"/>
              <w:rPr>
                <w:rFonts w:cs="Times New Roman"/>
                <w:sz w:val="22"/>
              </w:rPr>
            </w:pPr>
            <w:r w:rsidRPr="00772957">
              <w:rPr>
                <w:rFonts w:cs="Times New Roman"/>
                <w:sz w:val="22"/>
              </w:rPr>
              <w:t>Ferrous fumarate</w:t>
            </w:r>
          </w:p>
        </w:tc>
        <w:tc>
          <w:tcPr>
            <w:tcW w:w="1731" w:type="dxa"/>
          </w:tcPr>
          <w:p w14:paraId="2A63D427"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33</w:t>
            </w:r>
          </w:p>
        </w:tc>
        <w:tc>
          <w:tcPr>
            <w:tcW w:w="1892" w:type="dxa"/>
          </w:tcPr>
          <w:p w14:paraId="52CE939D"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100</w:t>
            </w:r>
          </w:p>
        </w:tc>
        <w:tc>
          <w:tcPr>
            <w:tcW w:w="1966" w:type="dxa"/>
          </w:tcPr>
          <w:p w14:paraId="5A01D7C2"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2.2</w:t>
            </w:r>
          </w:p>
        </w:tc>
      </w:tr>
      <w:tr w:rsidR="00460290" w:rsidRPr="00772957" w14:paraId="2CF78DBD" w14:textId="77777777" w:rsidTr="00460290">
        <w:trPr>
          <w:jc w:val="center"/>
        </w:trPr>
        <w:tc>
          <w:tcPr>
            <w:tcW w:w="3308" w:type="dxa"/>
          </w:tcPr>
          <w:p w14:paraId="243A8C92" w14:textId="77777777" w:rsidR="00460290" w:rsidRPr="00772957" w:rsidRDefault="00460290" w:rsidP="00DF4A22">
            <w:pPr>
              <w:spacing w:before="240" w:after="0" w:line="240" w:lineRule="auto"/>
              <w:rPr>
                <w:rFonts w:cs="Times New Roman"/>
                <w:sz w:val="22"/>
              </w:rPr>
            </w:pPr>
            <w:r w:rsidRPr="00772957">
              <w:rPr>
                <w:rFonts w:cs="Times New Roman"/>
                <w:sz w:val="22"/>
              </w:rPr>
              <w:t>Encapsulated ferrous fumarate</w:t>
            </w:r>
          </w:p>
        </w:tc>
        <w:tc>
          <w:tcPr>
            <w:tcW w:w="1731" w:type="dxa"/>
          </w:tcPr>
          <w:p w14:paraId="752F8DF5"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16</w:t>
            </w:r>
          </w:p>
        </w:tc>
        <w:tc>
          <w:tcPr>
            <w:tcW w:w="1892" w:type="dxa"/>
          </w:tcPr>
          <w:p w14:paraId="3C65F6CD"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100</w:t>
            </w:r>
          </w:p>
        </w:tc>
        <w:tc>
          <w:tcPr>
            <w:tcW w:w="1966" w:type="dxa"/>
          </w:tcPr>
          <w:p w14:paraId="2EB9E79F"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17.4</w:t>
            </w:r>
          </w:p>
        </w:tc>
      </w:tr>
      <w:tr w:rsidR="00460290" w:rsidRPr="00772957" w14:paraId="23656E25" w14:textId="77777777" w:rsidTr="00460290">
        <w:trPr>
          <w:jc w:val="center"/>
        </w:trPr>
        <w:tc>
          <w:tcPr>
            <w:tcW w:w="3308" w:type="dxa"/>
          </w:tcPr>
          <w:p w14:paraId="3005505F" w14:textId="77777777" w:rsidR="00460290" w:rsidRPr="00772957" w:rsidRDefault="00460290" w:rsidP="00DF4A22">
            <w:pPr>
              <w:spacing w:before="240" w:after="0" w:line="240" w:lineRule="auto"/>
              <w:rPr>
                <w:rFonts w:cs="Times New Roman"/>
                <w:sz w:val="22"/>
              </w:rPr>
            </w:pPr>
            <w:r w:rsidRPr="00772957">
              <w:rPr>
                <w:rFonts w:cs="Times New Roman"/>
                <w:sz w:val="22"/>
              </w:rPr>
              <w:t>Ferrous gluconate</w:t>
            </w:r>
          </w:p>
        </w:tc>
        <w:tc>
          <w:tcPr>
            <w:tcW w:w="1731" w:type="dxa"/>
          </w:tcPr>
          <w:p w14:paraId="56E915A4"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12</w:t>
            </w:r>
          </w:p>
        </w:tc>
        <w:tc>
          <w:tcPr>
            <w:tcW w:w="1892" w:type="dxa"/>
          </w:tcPr>
          <w:p w14:paraId="46F01935"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89</w:t>
            </w:r>
          </w:p>
        </w:tc>
        <w:tc>
          <w:tcPr>
            <w:tcW w:w="1966" w:type="dxa"/>
          </w:tcPr>
          <w:p w14:paraId="0403DDED"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6.7</w:t>
            </w:r>
          </w:p>
        </w:tc>
      </w:tr>
      <w:tr w:rsidR="00460290" w:rsidRPr="00772957" w14:paraId="5165A61C" w14:textId="77777777" w:rsidTr="00460290">
        <w:trPr>
          <w:jc w:val="center"/>
        </w:trPr>
        <w:tc>
          <w:tcPr>
            <w:tcW w:w="3308" w:type="dxa"/>
          </w:tcPr>
          <w:p w14:paraId="053F38E4" w14:textId="77777777" w:rsidR="00460290" w:rsidRPr="00772957" w:rsidRDefault="00460290" w:rsidP="00DF4A22">
            <w:pPr>
              <w:spacing w:before="240" w:after="0" w:line="240" w:lineRule="auto"/>
              <w:rPr>
                <w:rFonts w:cs="Times New Roman"/>
                <w:sz w:val="22"/>
              </w:rPr>
            </w:pPr>
            <w:r w:rsidRPr="00772957">
              <w:rPr>
                <w:rFonts w:cs="Times New Roman"/>
                <w:sz w:val="22"/>
              </w:rPr>
              <w:t>Ferrous lactate</w:t>
            </w:r>
          </w:p>
        </w:tc>
        <w:tc>
          <w:tcPr>
            <w:tcW w:w="1731" w:type="dxa"/>
          </w:tcPr>
          <w:p w14:paraId="65764630"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19</w:t>
            </w:r>
          </w:p>
        </w:tc>
        <w:tc>
          <w:tcPr>
            <w:tcW w:w="1892" w:type="dxa"/>
          </w:tcPr>
          <w:p w14:paraId="056F8498"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67</w:t>
            </w:r>
          </w:p>
        </w:tc>
        <w:tc>
          <w:tcPr>
            <w:tcW w:w="1966" w:type="dxa"/>
          </w:tcPr>
          <w:p w14:paraId="223E76F0"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7.5</w:t>
            </w:r>
          </w:p>
        </w:tc>
      </w:tr>
      <w:tr w:rsidR="00460290" w:rsidRPr="00772957" w14:paraId="7B41089E" w14:textId="77777777" w:rsidTr="00460290">
        <w:trPr>
          <w:jc w:val="center"/>
        </w:trPr>
        <w:tc>
          <w:tcPr>
            <w:tcW w:w="3308" w:type="dxa"/>
          </w:tcPr>
          <w:p w14:paraId="43A2609B" w14:textId="77777777" w:rsidR="00460290" w:rsidRPr="00772957" w:rsidRDefault="00460290" w:rsidP="00DF4A22">
            <w:pPr>
              <w:spacing w:before="240" w:after="0" w:line="240" w:lineRule="auto"/>
              <w:rPr>
                <w:rFonts w:cs="Times New Roman"/>
                <w:sz w:val="22"/>
              </w:rPr>
            </w:pPr>
            <w:r w:rsidRPr="00772957">
              <w:rPr>
                <w:rFonts w:cs="Times New Roman"/>
                <w:sz w:val="22"/>
              </w:rPr>
              <w:t>NaFeEDTA</w:t>
            </w:r>
          </w:p>
        </w:tc>
        <w:tc>
          <w:tcPr>
            <w:tcW w:w="1731" w:type="dxa"/>
          </w:tcPr>
          <w:p w14:paraId="4760EB62"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13</w:t>
            </w:r>
          </w:p>
        </w:tc>
        <w:tc>
          <w:tcPr>
            <w:tcW w:w="1892" w:type="dxa"/>
          </w:tcPr>
          <w:p w14:paraId="6C32D69B"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&gt;100</w:t>
            </w:r>
            <w:r w:rsidRPr="00772957">
              <w:rPr>
                <w:rFonts w:cs="Times New Roman"/>
                <w:sz w:val="22"/>
                <w:vertAlign w:val="superscript"/>
              </w:rPr>
              <w:t>3</w:t>
            </w:r>
          </w:p>
        </w:tc>
        <w:tc>
          <w:tcPr>
            <w:tcW w:w="1966" w:type="dxa"/>
          </w:tcPr>
          <w:p w14:paraId="755FE780"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17.6</w:t>
            </w:r>
          </w:p>
        </w:tc>
      </w:tr>
      <w:tr w:rsidR="00460290" w:rsidRPr="00772957" w14:paraId="02B2818D" w14:textId="77777777" w:rsidTr="00460290">
        <w:trPr>
          <w:jc w:val="center"/>
        </w:trPr>
        <w:tc>
          <w:tcPr>
            <w:tcW w:w="3308" w:type="dxa"/>
          </w:tcPr>
          <w:p w14:paraId="08F47DA1" w14:textId="77777777" w:rsidR="00460290" w:rsidRPr="00772957" w:rsidRDefault="00460290" w:rsidP="00DF4A22">
            <w:pPr>
              <w:spacing w:before="240" w:after="0" w:line="240" w:lineRule="auto"/>
              <w:rPr>
                <w:rFonts w:cs="Times New Roman"/>
                <w:sz w:val="22"/>
              </w:rPr>
            </w:pPr>
            <w:r w:rsidRPr="00772957">
              <w:rPr>
                <w:rFonts w:cs="Times New Roman"/>
                <w:sz w:val="22"/>
              </w:rPr>
              <w:t>Ferric pyrophosphate</w:t>
            </w:r>
          </w:p>
        </w:tc>
        <w:tc>
          <w:tcPr>
            <w:tcW w:w="1731" w:type="dxa"/>
          </w:tcPr>
          <w:p w14:paraId="26843014"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25</w:t>
            </w:r>
          </w:p>
        </w:tc>
        <w:tc>
          <w:tcPr>
            <w:tcW w:w="1892" w:type="dxa"/>
          </w:tcPr>
          <w:p w14:paraId="383537A6"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21–74</w:t>
            </w:r>
          </w:p>
        </w:tc>
        <w:tc>
          <w:tcPr>
            <w:tcW w:w="1966" w:type="dxa"/>
          </w:tcPr>
          <w:p w14:paraId="6CA4A09C"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4.7</w:t>
            </w:r>
          </w:p>
        </w:tc>
      </w:tr>
      <w:tr w:rsidR="00460290" w:rsidRPr="00772957" w14:paraId="358B1AF9" w14:textId="77777777" w:rsidTr="00460290">
        <w:trPr>
          <w:jc w:val="center"/>
        </w:trPr>
        <w:tc>
          <w:tcPr>
            <w:tcW w:w="3308" w:type="dxa"/>
          </w:tcPr>
          <w:p w14:paraId="1520C1E3" w14:textId="77777777" w:rsidR="00460290" w:rsidRPr="00772957" w:rsidRDefault="00460290" w:rsidP="00DF4A22">
            <w:pPr>
              <w:spacing w:before="240" w:after="0" w:line="240" w:lineRule="auto"/>
              <w:rPr>
                <w:rFonts w:cs="Times New Roman"/>
                <w:sz w:val="22"/>
              </w:rPr>
            </w:pPr>
            <w:r w:rsidRPr="00772957">
              <w:rPr>
                <w:rFonts w:cs="Times New Roman"/>
                <w:sz w:val="22"/>
              </w:rPr>
              <w:t>Electrolytic iron</w:t>
            </w:r>
          </w:p>
        </w:tc>
        <w:tc>
          <w:tcPr>
            <w:tcW w:w="1731" w:type="dxa"/>
          </w:tcPr>
          <w:p w14:paraId="24BAD5C5"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97</w:t>
            </w:r>
          </w:p>
        </w:tc>
        <w:tc>
          <w:tcPr>
            <w:tcW w:w="1892" w:type="dxa"/>
          </w:tcPr>
          <w:p w14:paraId="2EA7A8CE"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75</w:t>
            </w:r>
          </w:p>
        </w:tc>
        <w:tc>
          <w:tcPr>
            <w:tcW w:w="1966" w:type="dxa"/>
          </w:tcPr>
          <w:p w14:paraId="7103B030"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&lt;1.0</w:t>
            </w:r>
          </w:p>
        </w:tc>
      </w:tr>
      <w:tr w:rsidR="00460290" w:rsidRPr="00772957" w14:paraId="7F0AF5E5" w14:textId="77777777" w:rsidTr="00460290">
        <w:trPr>
          <w:jc w:val="center"/>
        </w:trPr>
        <w:tc>
          <w:tcPr>
            <w:tcW w:w="3308" w:type="dxa"/>
          </w:tcPr>
          <w:p w14:paraId="34968DE9" w14:textId="77777777" w:rsidR="00460290" w:rsidRPr="00772957" w:rsidRDefault="00460290" w:rsidP="00DF4A22">
            <w:pPr>
              <w:spacing w:before="240" w:after="0" w:line="240" w:lineRule="auto"/>
              <w:rPr>
                <w:rFonts w:cs="Times New Roman"/>
                <w:sz w:val="22"/>
              </w:rPr>
            </w:pPr>
            <w:r w:rsidRPr="00772957">
              <w:rPr>
                <w:rFonts w:cs="Times New Roman"/>
                <w:sz w:val="22"/>
              </w:rPr>
              <w:t>Carbonyl iron</w:t>
            </w:r>
          </w:p>
        </w:tc>
        <w:tc>
          <w:tcPr>
            <w:tcW w:w="1731" w:type="dxa"/>
          </w:tcPr>
          <w:p w14:paraId="0ECEFA1D"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99</w:t>
            </w:r>
          </w:p>
        </w:tc>
        <w:tc>
          <w:tcPr>
            <w:tcW w:w="1892" w:type="dxa"/>
          </w:tcPr>
          <w:p w14:paraId="355DF58A"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 xml:space="preserve">5–20 </w:t>
            </w:r>
          </w:p>
        </w:tc>
        <w:tc>
          <w:tcPr>
            <w:tcW w:w="1966" w:type="dxa"/>
          </w:tcPr>
          <w:p w14:paraId="70A18227" w14:textId="77777777" w:rsidR="00460290" w:rsidRPr="00772957" w:rsidRDefault="00460290" w:rsidP="00DF4A22">
            <w:pPr>
              <w:spacing w:before="240" w:after="0" w:line="240" w:lineRule="auto"/>
              <w:jc w:val="center"/>
              <w:rPr>
                <w:rFonts w:cs="Times New Roman"/>
                <w:sz w:val="22"/>
              </w:rPr>
            </w:pPr>
            <w:r w:rsidRPr="00772957">
              <w:rPr>
                <w:rFonts w:cs="Times New Roman"/>
                <w:sz w:val="22"/>
              </w:rPr>
              <w:t>2.2</w:t>
            </w:r>
          </w:p>
        </w:tc>
      </w:tr>
    </w:tbl>
    <w:p w14:paraId="62884967" w14:textId="55E90F73" w:rsidR="00460290" w:rsidRPr="0085192A" w:rsidRDefault="00460290" w:rsidP="00460290">
      <w:pPr>
        <w:spacing w:before="240" w:after="0" w:line="240" w:lineRule="auto"/>
        <w:rPr>
          <w:rFonts w:cs="Times New Roman"/>
          <w:sz w:val="20"/>
          <w:szCs w:val="20"/>
        </w:rPr>
      </w:pPr>
      <w:r w:rsidRPr="0085192A">
        <w:rPr>
          <w:rFonts w:cs="Times New Roman"/>
          <w:sz w:val="20"/>
          <w:szCs w:val="20"/>
          <w:vertAlign w:val="superscript"/>
        </w:rPr>
        <w:t xml:space="preserve">1 </w:t>
      </w:r>
      <w:r w:rsidRPr="0085192A">
        <w:rPr>
          <w:rFonts w:cs="Times New Roman"/>
          <w:sz w:val="20"/>
          <w:szCs w:val="20"/>
        </w:rPr>
        <w:t>Relative bioavailability refers to the bioavailability of a</w:t>
      </w:r>
      <w:r w:rsidR="0049065D">
        <w:rPr>
          <w:rFonts w:cs="Times New Roman"/>
          <w:sz w:val="20"/>
          <w:szCs w:val="20"/>
        </w:rPr>
        <w:t>n</w:t>
      </w:r>
      <w:r w:rsidRPr="0085192A">
        <w:rPr>
          <w:rFonts w:cs="Times New Roman"/>
          <w:sz w:val="20"/>
          <w:szCs w:val="20"/>
        </w:rPr>
        <w:t xml:space="preserve"> iron compound relative to</w:t>
      </w:r>
      <w:r w:rsidR="00813476">
        <w:rPr>
          <w:rFonts w:cs="Times New Roman"/>
          <w:sz w:val="20"/>
          <w:szCs w:val="20"/>
        </w:rPr>
        <w:t xml:space="preserve"> FeSO</w:t>
      </w:r>
      <w:r w:rsidR="00813476" w:rsidRPr="003B66DE">
        <w:rPr>
          <w:rFonts w:cs="Times New Roman"/>
          <w:sz w:val="20"/>
          <w:szCs w:val="20"/>
          <w:vertAlign w:val="subscript"/>
        </w:rPr>
        <w:t>4</w:t>
      </w:r>
      <w:r w:rsidRPr="0085192A">
        <w:rPr>
          <w:rFonts w:cs="Times New Roman"/>
          <w:sz w:val="20"/>
          <w:szCs w:val="20"/>
        </w:rPr>
        <w:t>.7H</w:t>
      </w:r>
      <w:r w:rsidRPr="0085192A">
        <w:rPr>
          <w:rFonts w:cs="Times New Roman"/>
          <w:sz w:val="20"/>
          <w:szCs w:val="20"/>
          <w:vertAlign w:val="subscript"/>
        </w:rPr>
        <w:t>2</w:t>
      </w:r>
      <w:r w:rsidRPr="0085192A">
        <w:rPr>
          <w:rFonts w:cs="Times New Roman"/>
          <w:sz w:val="20"/>
          <w:szCs w:val="20"/>
        </w:rPr>
        <w:t>O</w:t>
      </w:r>
    </w:p>
    <w:p w14:paraId="2174CDF6" w14:textId="77777777" w:rsidR="00460290" w:rsidRPr="0085192A" w:rsidRDefault="00460290" w:rsidP="00460290">
      <w:pPr>
        <w:spacing w:after="0" w:line="240" w:lineRule="auto"/>
        <w:rPr>
          <w:rFonts w:cs="Times New Roman"/>
          <w:sz w:val="20"/>
          <w:szCs w:val="20"/>
        </w:rPr>
      </w:pPr>
      <w:r w:rsidRPr="0085192A">
        <w:rPr>
          <w:rFonts w:cs="Times New Roman"/>
          <w:sz w:val="20"/>
          <w:szCs w:val="20"/>
          <w:vertAlign w:val="superscript"/>
        </w:rPr>
        <w:t xml:space="preserve">2 </w:t>
      </w:r>
      <w:r w:rsidRPr="0085192A">
        <w:rPr>
          <w:rFonts w:cs="Times New Roman"/>
          <w:sz w:val="20"/>
          <w:szCs w:val="20"/>
        </w:rPr>
        <w:t xml:space="preserve">Relative to </w:t>
      </w:r>
      <w:r>
        <w:rPr>
          <w:rFonts w:cs="Times New Roman"/>
          <w:sz w:val="20"/>
          <w:szCs w:val="20"/>
        </w:rPr>
        <w:t>anhydrous</w:t>
      </w:r>
      <w:r w:rsidRPr="0085192A">
        <w:rPr>
          <w:rFonts w:cs="Times New Roman"/>
          <w:sz w:val="20"/>
          <w:szCs w:val="20"/>
        </w:rPr>
        <w:t xml:space="preserve"> ferrous sulphate (per mg iron)</w:t>
      </w:r>
    </w:p>
    <w:p w14:paraId="190E0C2B" w14:textId="77777777" w:rsidR="00460290" w:rsidRPr="0085192A" w:rsidRDefault="00460290" w:rsidP="00460290">
      <w:pPr>
        <w:spacing w:after="0" w:line="240" w:lineRule="auto"/>
        <w:rPr>
          <w:rFonts w:cs="Times New Roman"/>
          <w:sz w:val="20"/>
          <w:szCs w:val="20"/>
        </w:rPr>
      </w:pPr>
      <w:r w:rsidRPr="0085192A">
        <w:rPr>
          <w:rFonts w:cs="Times New Roman"/>
          <w:sz w:val="20"/>
          <w:szCs w:val="20"/>
          <w:vertAlign w:val="superscript"/>
        </w:rPr>
        <w:t>3</w:t>
      </w:r>
      <w:r w:rsidRPr="0085192A">
        <w:rPr>
          <w:rFonts w:cs="Times New Roman"/>
          <w:sz w:val="20"/>
          <w:szCs w:val="20"/>
        </w:rPr>
        <w:t xml:space="preserve"> Bioavailability is 2–3 times higher than ferrous sulphate in high phytate foods.</w:t>
      </w:r>
    </w:p>
    <w:p w14:paraId="4AF59122" w14:textId="77777777" w:rsidR="00460290" w:rsidRDefault="00460290" w:rsidP="00813476">
      <w:pPr>
        <w:spacing w:before="240" w:after="0"/>
        <w:rPr>
          <w:rFonts w:cs="Times New Roman"/>
          <w:szCs w:val="24"/>
        </w:rPr>
      </w:pPr>
    </w:p>
    <w:p w14:paraId="49CD9214" w14:textId="167C62E1" w:rsidR="00460290" w:rsidRDefault="00460290" w:rsidP="00C27232">
      <w:pPr>
        <w:rPr>
          <w:color w:val="000000" w:themeColor="text1"/>
          <w:shd w:val="clear" w:color="auto" w:fill="FFFFFF"/>
        </w:rPr>
      </w:pPr>
      <w:r>
        <w:t>As stated, mineral food fortification potential to improve a population</w:t>
      </w:r>
      <w:r w:rsidR="0049065D">
        <w:t>’</w:t>
      </w:r>
      <w:r>
        <w:t xml:space="preserve">s mineral micronutrient status has been shown by </w:t>
      </w:r>
      <w:r w:rsidR="0049065D">
        <w:t>numerous</w:t>
      </w:r>
      <w:r>
        <w:t xml:space="preserve"> efficacy studies. For example, a systematic review of 60 intervention trials revealed that iron food fortification either as ferrous sulphate or NaFeEDTA for various groups, including children and women, significantly increased their blood haemoglobin concentration (weighted mean difference (WMD) 0.42 g/dL; 95% confidence interval (Cl) 0.28–0.56; </w:t>
      </w:r>
      <w:r w:rsidRPr="00AD0167">
        <w:rPr>
          <w:i/>
          <w:iCs/>
        </w:rPr>
        <w:t>p</w:t>
      </w:r>
      <w:r>
        <w:t xml:space="preserve">&lt;0.001) and serum ferritin (WMD 1.36 µg/L; 95% CI 1.23–1.52; </w:t>
      </w:r>
      <w:r w:rsidRPr="00F37390">
        <w:rPr>
          <w:i/>
          <w:iCs/>
        </w:rPr>
        <w:t>p</w:t>
      </w:r>
      <w:r>
        <w:t>&lt;0.001</w:t>
      </w:r>
      <w:r w:rsidR="00B46164">
        <w:t>)</w:t>
      </w:r>
      <w:r>
        <w:t xml:space="preserve"> (Gera et al., 2012). Furthermore, there were 41% and 52% reductions in the risk of having anaemia and iron deficiency, respectively. Out of the 60 trials, 33 were on iron fortification of cereal products, of which 19 were wheat and rice. It was not specified whether the cereals were whole or refined. </w:t>
      </w:r>
      <w:r w:rsidR="0049065D">
        <w:t>M</w:t>
      </w:r>
      <w:r>
        <w:t xml:space="preserve">eta-analysis of the 33 </w:t>
      </w:r>
      <w:r w:rsidR="0049065D">
        <w:t>trials</w:t>
      </w:r>
      <w:r>
        <w:t xml:space="preserve"> revealed a significant increase in the blood haemoglobin concentration (WMD 0.31 g/dL; 95% CI 0.14–0.48; </w:t>
      </w:r>
      <w:r w:rsidRPr="00AD0167">
        <w:rPr>
          <w:i/>
          <w:iCs/>
        </w:rPr>
        <w:t>p</w:t>
      </w:r>
      <w:r>
        <w:t xml:space="preserve">&lt;0.001). Three of the 60 trials also measured the effect of iron fortification on the mental and motor development in the children. However, there was no significant effect on their mental and motor development. A systematic review of 10 intervention trials in low- and lower middle-income countries revealed that iron (mostly as ferrous sulphate and NaFeEDTA) food fortification (including processed foods and staples) for children improved the blood haemoglobin levels (standard mean difference SMD: 0.32; 95% CI 0.36–0.97) (Das et al., 2013). Furthermore, there was significant reduction (54%) in the risk of anaemia among the children who consumed fortified processed foods but not with children who consumed fortified staples. The review also investigated the impact of iron food fortification on women (including two randomized control trials). It revealed that iron food fortification did not improve the blood haemoglobin levels of the women. </w:t>
      </w:r>
      <w:r w:rsidR="00A97B4A">
        <w:t>A s</w:t>
      </w:r>
      <w:r>
        <w:t xml:space="preserve">ignificant increase was, however, observed in their ferritin levels. Also, one of the trials revealed a 26% reduction in the risk of having anaemia. In contrast, </w:t>
      </w:r>
      <w:r w:rsidRPr="00660A33">
        <w:rPr>
          <w:color w:val="000000" w:themeColor="text1"/>
          <w:shd w:val="clear" w:color="auto" w:fill="FFFFFF"/>
        </w:rPr>
        <w:t>Garcia‐Casal</w:t>
      </w:r>
      <w:r>
        <w:rPr>
          <w:color w:val="000000" w:themeColor="text1"/>
          <w:shd w:val="clear" w:color="auto" w:fill="FFFFFF"/>
        </w:rPr>
        <w:t xml:space="preserve"> et al. (2018) in a meta-analysis of three trials involving children and women </w:t>
      </w:r>
      <w:r w:rsidR="00A97B4A">
        <w:rPr>
          <w:color w:val="000000" w:themeColor="text1"/>
          <w:shd w:val="clear" w:color="auto" w:fill="FFFFFF"/>
        </w:rPr>
        <w:t>found</w:t>
      </w:r>
      <w:r>
        <w:rPr>
          <w:color w:val="000000" w:themeColor="text1"/>
          <w:shd w:val="clear" w:color="auto" w:fill="FFFFFF"/>
        </w:rPr>
        <w:t xml:space="preserve"> that iron fortification of maize flour and maize meal did not significantly improve blood haemoglobin concentrations, anaemia or iron deficiency risks. However, the authors explained that the findings were uncertain since the three studies included were of low-grade evidence and that the confidence interval were wide, crossing the line of no effect for blood haemoglobin concentrations and anaemia prevalence. The iron chemical forms used in the studies were either NaFeEDTA, electrolytic iron or ferrous fumarate.</w:t>
      </w:r>
    </w:p>
    <w:p w14:paraId="51324E84" w14:textId="77777777" w:rsidR="004F5656" w:rsidRDefault="004F5656" w:rsidP="004F5656">
      <w:pPr>
        <w:spacing w:after="0"/>
        <w:rPr>
          <w:color w:val="000000" w:themeColor="text1"/>
          <w:shd w:val="clear" w:color="auto" w:fill="FFFFFF"/>
        </w:rPr>
      </w:pPr>
    </w:p>
    <w:p w14:paraId="6E69E31A" w14:textId="5B92DE5C" w:rsidR="00460290" w:rsidRDefault="00460290" w:rsidP="00C27232">
      <w:pPr>
        <w:rPr>
          <w:color w:val="000000" w:themeColor="text1"/>
          <w:shd w:val="clear" w:color="auto" w:fill="FFFFFF"/>
        </w:rPr>
      </w:pPr>
      <w:r>
        <w:rPr>
          <w:color w:val="000000" w:themeColor="text1"/>
          <w:shd w:val="clear" w:color="auto" w:fill="FFFFFF"/>
        </w:rPr>
        <w:t>Concerning zinc food fortification, commonly used fortificant compounds are zinc oxide and zinc sulphate (Moretti, et al., 2013). The bioavailability of these zinc compounds is similar</w:t>
      </w:r>
      <w:r>
        <w:t>. Unlike iron, studies on zinc food fortification are limited. However, s</w:t>
      </w:r>
      <w:r>
        <w:rPr>
          <w:color w:val="000000" w:themeColor="text1"/>
          <w:shd w:val="clear" w:color="auto" w:fill="FFFFFF"/>
        </w:rPr>
        <w:t>ome studies have shown that zinc food fortification may improve the zinc nutritional status of a population. For example, a systematic review of eight trials involving women and children from middle-income countries including Africa and Asia, revealed that zinc (mostly as zinc oxide or zinc sulphate) fortification of staple foods increased the serum or plasma zinc levels (</w:t>
      </w:r>
      <w:r w:rsidR="00A97B4A">
        <w:rPr>
          <w:color w:val="000000" w:themeColor="text1"/>
          <w:shd w:val="clear" w:color="auto" w:fill="FFFFFF"/>
        </w:rPr>
        <w:t>m</w:t>
      </w:r>
      <w:r>
        <w:rPr>
          <w:color w:val="000000" w:themeColor="text1"/>
          <w:shd w:val="clear" w:color="auto" w:fill="FFFFFF"/>
        </w:rPr>
        <w:t xml:space="preserve">ean difference, 2.12 µmol/L, 95% CI 1.25–3.00 µmol/L) (Shah et al., 2016). However, zinc plus other micronutrient fortification did not make any difference to the serum and plasma zinc levels of the participants. Furthermore, one of the trials revealed that zinc fortification of iron fortified wheat flour did not have any effect in reducing zinc deficiency among the participants. </w:t>
      </w:r>
      <w:r w:rsidR="00A97B4A">
        <w:rPr>
          <w:color w:val="000000" w:themeColor="text1"/>
          <w:shd w:val="clear" w:color="auto" w:fill="FFFFFF"/>
        </w:rPr>
        <w:t>A</w:t>
      </w:r>
      <w:r>
        <w:rPr>
          <w:color w:val="000000" w:themeColor="text1"/>
          <w:shd w:val="clear" w:color="auto" w:fill="FFFFFF"/>
        </w:rPr>
        <w:t xml:space="preserve"> randomised control trial</w:t>
      </w:r>
      <w:r w:rsidR="00A97B4A">
        <w:rPr>
          <w:color w:val="000000" w:themeColor="text1"/>
          <w:shd w:val="clear" w:color="auto" w:fill="FFFFFF"/>
        </w:rPr>
        <w:t xml:space="preserve"> by Rosado et al. (2012)</w:t>
      </w:r>
      <w:r>
        <w:rPr>
          <w:color w:val="000000" w:themeColor="text1"/>
          <w:shd w:val="clear" w:color="auto" w:fill="FFFFFF"/>
        </w:rPr>
        <w:t xml:space="preserve"> revealed that fractional zinc absorption in women who consumed zinc (either as zinc oxide or zinc sulphate) fortified corn </w:t>
      </w:r>
      <w:r w:rsidR="00A97B4A">
        <w:rPr>
          <w:color w:val="000000" w:themeColor="text1"/>
          <w:shd w:val="clear" w:color="auto" w:fill="FFFFFF"/>
        </w:rPr>
        <w:t xml:space="preserve">(maize) </w:t>
      </w:r>
      <w:r>
        <w:rPr>
          <w:color w:val="000000" w:themeColor="text1"/>
          <w:shd w:val="clear" w:color="auto" w:fill="FFFFFF"/>
        </w:rPr>
        <w:t xml:space="preserve">tortillas and unfortified corn tortillas were similar. However, zinc fortification of the corn tortilla (20 mg zinc/kg corn tortilla) increased the total amount of zinc absorbed in the participants by more than 100%. </w:t>
      </w:r>
    </w:p>
    <w:p w14:paraId="6F3A547A" w14:textId="77777777" w:rsidR="00460290" w:rsidRDefault="00460290" w:rsidP="004F5656">
      <w:pPr>
        <w:spacing w:after="0"/>
        <w:rPr>
          <w:color w:val="000000" w:themeColor="text1"/>
          <w:shd w:val="clear" w:color="auto" w:fill="FFFFFF"/>
        </w:rPr>
      </w:pPr>
    </w:p>
    <w:p w14:paraId="2BC7CC39" w14:textId="3EAD0EA3" w:rsidR="00460290" w:rsidRDefault="00460290" w:rsidP="00C27232">
      <w:r>
        <w:t>For food fortification to be effective as a public health micronutrient intervention, the food that is being fortified must be widely available, consumed regularly and adequately by a large proportion of a target population (WHO, 2017).</w:t>
      </w:r>
      <w:r w:rsidR="008E0B52">
        <w:t xml:space="preserve"> </w:t>
      </w:r>
      <w:r w:rsidR="003E63C3">
        <w:rPr>
          <w:szCs w:val="24"/>
        </w:rPr>
        <w:t xml:space="preserve">However, many subsistence farming communities do not consume levels of large-scale commercially produced fortified foods such as maize meal or wheat flour as these communities essentially only consume food produced by local farms (Bouis et al., 2018). </w:t>
      </w:r>
      <w:r>
        <w:t>Moreover</w:t>
      </w:r>
      <w:r w:rsidRPr="00A24DEE">
        <w:t>, many malnourished poor populations</w:t>
      </w:r>
      <w:r>
        <w:t>,</w:t>
      </w:r>
      <w:r w:rsidRPr="00A24DEE">
        <w:t xml:space="preserve"> especially in rural areas, may not be able to afford commercially fortified produced food products</w:t>
      </w:r>
      <w:r>
        <w:t>.</w:t>
      </w:r>
      <w:r w:rsidRPr="00A24DEE">
        <w:t xml:space="preserve"> </w:t>
      </w:r>
      <w:r>
        <w:t>Another limitation</w:t>
      </w:r>
      <w:r w:rsidR="001C65AA">
        <w:t>,</w:t>
      </w:r>
      <w:r>
        <w:t xml:space="preserve"> especially with iron fortification of foods</w:t>
      </w:r>
      <w:r w:rsidR="001C65AA">
        <w:t>,</w:t>
      </w:r>
      <w:r>
        <w:t xml:space="preserve"> is possible negative effects on the intestinal microflora. A study in Kenya showed that consumption of home-fortified maize porridge with either 2.5 mg iron as NaFeEDTA or 12.5 mg iron as iron fumarate, daily for 4 months, favoured multiplication of pathogens and intestinal inflammations in infants (Jaeggi</w:t>
      </w:r>
      <w:r w:rsidRPr="00200619">
        <w:t xml:space="preserve"> et al</w:t>
      </w:r>
      <w:r>
        <w:t>.</w:t>
      </w:r>
      <w:r w:rsidRPr="00200619">
        <w:t xml:space="preserve">, </w:t>
      </w:r>
      <w:r>
        <w:t xml:space="preserve">2015). According to the authors, this was related to the fact that pathogenic enterobacteria flourish in the presence of high ingested amounts of iron. In a review, Paganini </w:t>
      </w:r>
      <w:r w:rsidR="006B137D">
        <w:t>&amp;</w:t>
      </w:r>
      <w:r>
        <w:t xml:space="preserve"> Zimmermann (2017) also stated that iron food fortification and supplementation were associated with increase in diarrhoea risks. According to the authors, iron interventions increase the colonic iron levels because about 20% of the iron ingested (≥12.5 mg) from fortified foods is typically absorbed in children. The increase in the colonic iron levels in turn adversely affects the gut microbiome by reducing the numbers of beneficial bacteria such as the bifidobacteria and lactobacilli and increasing the numbers of pathogenic bacteria</w:t>
      </w:r>
      <w:r w:rsidR="001C65AA">
        <w:t>,</w:t>
      </w:r>
      <w:r>
        <w:t xml:space="preserve"> including </w:t>
      </w:r>
      <w:r w:rsidRPr="00C1786E">
        <w:rPr>
          <w:i/>
          <w:iCs/>
        </w:rPr>
        <w:t>Escherichia coli</w:t>
      </w:r>
      <w:r>
        <w:t xml:space="preserve">. </w:t>
      </w:r>
    </w:p>
    <w:p w14:paraId="2AF282F2" w14:textId="77777777" w:rsidR="00460290" w:rsidRDefault="00460290" w:rsidP="00A51238">
      <w:pPr>
        <w:spacing w:after="0" w:line="240" w:lineRule="auto"/>
        <w:rPr>
          <w:rFonts w:cs="Times New Roman"/>
          <w:b/>
          <w:szCs w:val="24"/>
        </w:rPr>
      </w:pPr>
    </w:p>
    <w:p w14:paraId="34964865" w14:textId="0C15E611" w:rsidR="00460290" w:rsidRDefault="00460290" w:rsidP="00C27232">
      <w:pPr>
        <w:pStyle w:val="Heading3"/>
      </w:pPr>
      <w:bookmarkStart w:id="26" w:name="_Toc65253552"/>
      <w:r>
        <w:t>2.3</w:t>
      </w:r>
      <w:r w:rsidRPr="00273847">
        <w:t>.3</w:t>
      </w:r>
      <w:r w:rsidR="00382274">
        <w:tab/>
      </w:r>
      <w:r w:rsidRPr="00273847">
        <w:t>Food biofortification</w:t>
      </w:r>
      <w:bookmarkEnd w:id="26"/>
    </w:p>
    <w:p w14:paraId="0464134D" w14:textId="3F020387" w:rsidR="00460290" w:rsidRDefault="003E63C3" w:rsidP="00C27232">
      <w:bookmarkStart w:id="27" w:name="_Hlk64911333"/>
      <w:r w:rsidRPr="0027649E">
        <w:rPr>
          <w:szCs w:val="24"/>
        </w:rPr>
        <w:t xml:space="preserve">Food biofortification is the process by which </w:t>
      </w:r>
      <w:r>
        <w:rPr>
          <w:szCs w:val="24"/>
        </w:rPr>
        <w:t xml:space="preserve">essential </w:t>
      </w:r>
      <w:r w:rsidRPr="0027649E">
        <w:rPr>
          <w:szCs w:val="24"/>
        </w:rPr>
        <w:t>nutrients</w:t>
      </w:r>
      <w:r>
        <w:rPr>
          <w:szCs w:val="24"/>
        </w:rPr>
        <w:t xml:space="preserve">, especially minerals, pro-vitamin A, proteins and amino acids are </w:t>
      </w:r>
      <w:r w:rsidRPr="008E6F1C">
        <w:rPr>
          <w:szCs w:val="24"/>
        </w:rPr>
        <w:t xml:space="preserve">indirectly added to </w:t>
      </w:r>
      <w:r>
        <w:rPr>
          <w:szCs w:val="24"/>
        </w:rPr>
        <w:t xml:space="preserve">staple </w:t>
      </w:r>
      <w:r w:rsidRPr="008E6F1C">
        <w:rPr>
          <w:szCs w:val="24"/>
        </w:rPr>
        <w:t>foods to improve their density in the food (WHO, 2017).</w:t>
      </w:r>
      <w:bookmarkEnd w:id="27"/>
      <w:r w:rsidR="00A3216D">
        <w:rPr>
          <w:szCs w:val="24"/>
        </w:rPr>
        <w:t xml:space="preserve"> </w:t>
      </w:r>
      <w:r w:rsidR="00460290">
        <w:t xml:space="preserve">This is done through plant cultivation using agronomic practices, or genetically by conventional plant-breeding techniques or modern biotechnology.  Biofortification is a relatively new strategy to combat micronutrient deficiency and is targeted towards the poor, especially in low-income countries, who generally live in subsistence farming communities and purchase little of the food that they consume (Bouis et al., 2018). Biofortification of food staples is therefore expected to provide continuous supply of food with increased nutrient content to the vulnerable in at-risk communities. Examples of staple grain foods that have already been biofortified with iron and zinc </w:t>
      </w:r>
      <w:r w:rsidR="00236D7E">
        <w:t>include</w:t>
      </w:r>
      <w:r w:rsidR="00460290">
        <w:t xml:space="preserve"> pearl millet, sorghum, wheat and common beans.</w:t>
      </w:r>
    </w:p>
    <w:p w14:paraId="0E4524D4" w14:textId="77777777" w:rsidR="00460290" w:rsidRDefault="00460290" w:rsidP="004F5656">
      <w:pPr>
        <w:spacing w:after="0"/>
      </w:pPr>
    </w:p>
    <w:p w14:paraId="0DA280CE" w14:textId="77B7EBFD" w:rsidR="00460290" w:rsidRDefault="00460290" w:rsidP="00C27232">
      <w:r>
        <w:t xml:space="preserve">Food biofortification has </w:t>
      </w:r>
      <w:r w:rsidR="001C65AA">
        <w:t>the</w:t>
      </w:r>
      <w:r>
        <w:t xml:space="preserve"> potential </w:t>
      </w:r>
      <w:r w:rsidR="001C65AA">
        <w:t>to</w:t>
      </w:r>
      <w:r>
        <w:t xml:space="preserve"> increas</w:t>
      </w:r>
      <w:r w:rsidR="001C65AA">
        <w:t>e</w:t>
      </w:r>
      <w:r>
        <w:t xml:space="preserve"> mineral intake and </w:t>
      </w:r>
      <w:r w:rsidR="001C65AA">
        <w:t xml:space="preserve">improve the micronutrient </w:t>
      </w:r>
      <w:r>
        <w:t xml:space="preserve">status of malnourished populations. </w:t>
      </w:r>
      <w:r w:rsidR="001C65AA">
        <w:t>However, c</w:t>
      </w:r>
      <w:r>
        <w:t xml:space="preserve">ohort studies showing the efficacy of food biofortification are limited/lacking. </w:t>
      </w:r>
      <w:r w:rsidR="001C65AA">
        <w:t>Nevertheless</w:t>
      </w:r>
      <w:r>
        <w:t xml:space="preserve">, some randomized control trials have shown </w:t>
      </w:r>
      <w:r w:rsidR="00A51238">
        <w:t>that food biofortification has potential to improve mineral status of a population.</w:t>
      </w:r>
      <w:r>
        <w:t xml:space="preserve"> For example, in a study involving 20 young women, iron-biofortified pearl millet consumption improved iron absorption by 100% (Cercamondi et al., 2013). A randomized efficacy trial was conducted with some 246 school-age children in India for 6 months to test the effect of iron biofortified pearl millet consumption on the iron status (Finkelstein et al., 2015). The study revealed that iron biofortification of the pearl millet significantly increased their serum ferritin concentrations and total body iron compared to the consumption of unfortified pearl millet. Furthermore, iron biofortification increased the probability of the children who were iron deficient at baseline</w:t>
      </w:r>
      <w:r w:rsidR="00236D7E">
        <w:t xml:space="preserve"> to</w:t>
      </w:r>
      <w:r>
        <w:t xml:space="preserve"> becom</w:t>
      </w:r>
      <w:r w:rsidR="00236D7E">
        <w:t>e</w:t>
      </w:r>
      <w:r>
        <w:t xml:space="preserve"> iron replete by 64%. In another study, the iron status of some 195 Rwanda university women was also improved after consuming iron-biofortified beans (14.5 mg Fe/day) for four and a half months in a randomised control trial (Haas et al., 2016). The blood haemoglobin and body iron of the women significantly increased by 3.8 g/L and 0.5 mg/kg, respectively compared to the women who consumed regular pearl millet (8.6 mg Fe/day).</w:t>
      </w:r>
    </w:p>
    <w:p w14:paraId="067C515E" w14:textId="77777777" w:rsidR="00753F3B" w:rsidRDefault="00753F3B" w:rsidP="00753F3B">
      <w:pPr>
        <w:spacing w:after="0"/>
      </w:pPr>
    </w:p>
    <w:p w14:paraId="21475ADD" w14:textId="6DE1D938" w:rsidR="00460290" w:rsidRDefault="00460290" w:rsidP="00C27232">
      <w:r>
        <w:t xml:space="preserve">Concerning zinc biofortification, a randomised control trial in Zambia by Chomba </w:t>
      </w:r>
      <w:r w:rsidRPr="00DE4113">
        <w:t>et al</w:t>
      </w:r>
      <w:r>
        <w:t>.</w:t>
      </w:r>
      <w:r w:rsidRPr="00DE4113">
        <w:t xml:space="preserve"> </w:t>
      </w:r>
      <w:r>
        <w:t>(2015) revealed that consumption of zinc biofortified maize (5.0 zinc mg/day) increased the total zinc absorption of young rural children by 83% compared to those who had regular unfortified maize (2.3 mg zinc/day).</w:t>
      </w:r>
      <w:r w:rsidDel="009A4408">
        <w:t xml:space="preserve"> </w:t>
      </w:r>
    </w:p>
    <w:p w14:paraId="0C5724F2" w14:textId="0631051A" w:rsidR="003E63C3" w:rsidRDefault="003E63C3" w:rsidP="00C27232"/>
    <w:p w14:paraId="219D57DE" w14:textId="2C409393" w:rsidR="003E63C3" w:rsidRDefault="003E63C3" w:rsidP="00C27232">
      <w:r>
        <w:rPr>
          <w:szCs w:val="24"/>
        </w:rPr>
        <w:t>However, the presence of high levels of phytate in grains can limit the bioavailability of essential minerals. For example, Petry et al. (2014) found that phytates strongly decreased iron bioavailability in biofortified beans seed and a meal made from blends of beans, potatoes, and rice. This was attributed to the higher phytate content of the biofortified beans as compared to control beans and beans-based meal. Concerning consumer acceptability, a study by Huey et al. (2017) showed that although there was similar consumption of iron and zinc biofortified pearl millet products among Indian children compared to unfortified pearl millet, their overall consumer acceptability rating by mothers was significantly lower.</w:t>
      </w:r>
    </w:p>
    <w:p w14:paraId="49758A6E" w14:textId="77777777" w:rsidR="00460290" w:rsidRDefault="00460290" w:rsidP="00753F3B">
      <w:pPr>
        <w:spacing w:after="0"/>
        <w:rPr>
          <w:rFonts w:cs="Times New Roman"/>
          <w:szCs w:val="24"/>
        </w:rPr>
      </w:pPr>
    </w:p>
    <w:p w14:paraId="3D4C7601" w14:textId="13553B25" w:rsidR="00460290" w:rsidRPr="00A52614" w:rsidRDefault="00460290" w:rsidP="00A52614">
      <w:pPr>
        <w:pStyle w:val="Heading3"/>
      </w:pPr>
      <w:bookmarkStart w:id="28" w:name="_Toc65253553"/>
      <w:r w:rsidRPr="00A52614">
        <w:t>2.3.4</w:t>
      </w:r>
      <w:r w:rsidR="00382274">
        <w:tab/>
      </w:r>
      <w:r w:rsidRPr="00A52614">
        <w:t xml:space="preserve">Dietary </w:t>
      </w:r>
      <w:r w:rsidR="009779EB">
        <w:t>diversification</w:t>
      </w:r>
      <w:r w:rsidR="00F9622B">
        <w:t xml:space="preserve"> and </w:t>
      </w:r>
      <w:r w:rsidR="009779EB">
        <w:t>modification</w:t>
      </w:r>
      <w:bookmarkEnd w:id="28"/>
    </w:p>
    <w:p w14:paraId="3957C840" w14:textId="2FA39379" w:rsidR="00460290" w:rsidRDefault="00753F3B" w:rsidP="00A97AD3">
      <w:r>
        <w:t xml:space="preserve">Dietary diversification is defined as increasing both the quantity and the range of micronutrient-rich foods in a diet through informed selection of food items from different food groups and through traditional food preservation and methods of processing </w:t>
      </w:r>
      <w:r w:rsidR="009779EB">
        <w:t>(Kruger et al., 2020)</w:t>
      </w:r>
      <w:r>
        <w:t xml:space="preserve">. </w:t>
      </w:r>
      <w:r w:rsidR="009779EB">
        <w:t>Dietary diversification</w:t>
      </w:r>
      <w:r w:rsidR="00460290">
        <w:t xml:space="preserve"> is widely recognized as a key, long-term and sustainable approach to ensure adequacy in micronutrient intakes including minerals. Therefore, communities at-risk of deficiencies are encouraged to cultivate and consume a wider variety of foods, including fruits and vegetables. For example, </w:t>
      </w:r>
      <w:r w:rsidR="00BB371B">
        <w:t xml:space="preserve">the </w:t>
      </w:r>
      <w:r w:rsidR="00460290">
        <w:t>WHO (2017) report</w:t>
      </w:r>
      <w:r w:rsidR="00BB371B">
        <w:t>ed</w:t>
      </w:r>
      <w:r w:rsidR="00460290">
        <w:t xml:space="preserve"> that increasing the amount and diversity of fruits, vegetables and animal-source foods in the diet will increase intake of bioavailable iron, vitamin A, vitamin B</w:t>
      </w:r>
      <w:r w:rsidR="00460290" w:rsidRPr="002278A6">
        <w:rPr>
          <w:vertAlign w:val="subscript"/>
        </w:rPr>
        <w:t>12</w:t>
      </w:r>
      <w:r w:rsidR="00460290">
        <w:t xml:space="preserve"> and folate and could help meet the requirements of these micronutrients, thereby preventing deficiencies. </w:t>
      </w:r>
      <w:r w:rsidR="00BB371B">
        <w:t>Increased d</w:t>
      </w:r>
      <w:r w:rsidR="00460290">
        <w:t xml:space="preserve">ietary diversity can improve the micronutrient status of people in at-risk communities, especially in middle- and low-income countries where consumption of monotonous cereal or starchy-based diets is prevalent. Another </w:t>
      </w:r>
      <w:r w:rsidR="00054634">
        <w:t>benefit of</w:t>
      </w:r>
      <w:r w:rsidR="00460290">
        <w:t xml:space="preserve"> food-based approaches such as dietary diversification </w:t>
      </w:r>
      <w:r w:rsidR="00054634">
        <w:t>i</w:t>
      </w:r>
      <w:r w:rsidR="00C95987">
        <w:t>s</w:t>
      </w:r>
      <w:r w:rsidR="00054634">
        <w:t xml:space="preserve"> that they </w:t>
      </w:r>
      <w:r w:rsidR="00460290">
        <w:t>may reduce excessive dependence on external governmental and non-governmental support for adequate iron and zinc nutrition in at-risk communities (Gibson</w:t>
      </w:r>
      <w:r w:rsidR="00460290" w:rsidRPr="006205CA">
        <w:t xml:space="preserve"> et al.</w:t>
      </w:r>
      <w:r w:rsidR="00460290">
        <w:t>,</w:t>
      </w:r>
      <w:r w:rsidR="00460290" w:rsidRPr="006205CA">
        <w:t xml:space="preserve"> </w:t>
      </w:r>
      <w:r w:rsidR="00460290">
        <w:t>2000). Although food-based approach</w:t>
      </w:r>
      <w:r w:rsidR="00054634">
        <w:t>es</w:t>
      </w:r>
      <w:r w:rsidR="00460290">
        <w:t xml:space="preserve"> may not provide as high as levels of micronutrients as provided from supplements or fortified foods at a single time, </w:t>
      </w:r>
      <w:r w:rsidR="00054634">
        <w:t>they are</w:t>
      </w:r>
      <w:r w:rsidR="00460290">
        <w:t xml:space="preserve"> considered as an essential accompanying strategy that should always be in place to prevent micronutrient deficiencies (WHO, 2017). Dietary diversification is </w:t>
      </w:r>
      <w:r w:rsidR="00054634">
        <w:t xml:space="preserve">also </w:t>
      </w:r>
      <w:r w:rsidR="00460290">
        <w:t>valuable as it can simultaneously address several malnutrition issues, i.e. multiple micronutrients, proteins and energy without the risks of overload</w:t>
      </w:r>
      <w:r w:rsidR="003274C7">
        <w:t xml:space="preserve"> of nutrients</w:t>
      </w:r>
      <w:r w:rsidR="00460290">
        <w:t xml:space="preserve"> (Ruel, 200</w:t>
      </w:r>
      <w:r w:rsidR="005F2AD5">
        <w:t>3</w:t>
      </w:r>
      <w:r w:rsidR="00460290">
        <w:t xml:space="preserve">). </w:t>
      </w:r>
    </w:p>
    <w:p w14:paraId="77AA0874" w14:textId="77777777" w:rsidR="00460290" w:rsidRDefault="00460290" w:rsidP="004F5656">
      <w:pPr>
        <w:spacing w:after="0"/>
        <w:rPr>
          <w:rFonts w:cs="Times New Roman"/>
          <w:szCs w:val="24"/>
        </w:rPr>
      </w:pPr>
    </w:p>
    <w:p w14:paraId="511335BD" w14:textId="315D46A0" w:rsidR="00460290" w:rsidRDefault="00054634" w:rsidP="00A97AD3">
      <w:pPr>
        <w:rPr>
          <w:rFonts w:cs="Times New Roman"/>
          <w:szCs w:val="24"/>
        </w:rPr>
      </w:pPr>
      <w:r>
        <w:rPr>
          <w:rFonts w:cs="Times New Roman"/>
          <w:szCs w:val="24"/>
        </w:rPr>
        <w:t>Several s</w:t>
      </w:r>
      <w:r w:rsidR="00460290">
        <w:rPr>
          <w:rFonts w:cs="Times New Roman"/>
          <w:szCs w:val="24"/>
        </w:rPr>
        <w:t xml:space="preserve">tudies have </w:t>
      </w:r>
      <w:r w:rsidR="003274C7">
        <w:rPr>
          <w:rFonts w:cs="Times New Roman"/>
          <w:szCs w:val="24"/>
        </w:rPr>
        <w:t>revealed</w:t>
      </w:r>
      <w:r w:rsidR="00460290">
        <w:rPr>
          <w:rFonts w:cs="Times New Roman"/>
          <w:szCs w:val="24"/>
        </w:rPr>
        <w:t xml:space="preserve"> the potential of diversified diets in improving essential mineral status in populations at-risk. For example, consumption of freshly sliced guava (100 g) with a rice-based meal (750 g, wet basis) improved iron absorption in Indian adolescent girls and boys (13–15 years) by 151% and 123%, respectively compared to consumption of unfortified rice-based meal (Nair et al., 2013). The major ingredients in the rice-based meal were rice, potatoes, tomatoes, pigeon peas, tamarind pulp, gourd, onions and green and red chilies. The iron contents of the meals were similar, ranging between 10–13 mg/meal. However, the fortified rice-based meal had higher levels of ascorbic acid, 20 times as high compared to the unfortified meal. The increase in ascorbic acid content of the fortified meal, which was due to the guava addition, most likely enhanced iron absorption. As previously stated, ascorbic acid chelates iron and keeps it in a soluble and absorbable form even in the presence of other food components like phytate and polyphenols that could limit iron absorption (</w:t>
      </w:r>
      <w:r w:rsidR="00D9430D" w:rsidRPr="000D7DDF">
        <w:rPr>
          <w:noProof/>
        </w:rPr>
        <w:t>Lönnerdal</w:t>
      </w:r>
      <w:r w:rsidR="00D9430D">
        <w:rPr>
          <w:rFonts w:cs="Times New Roman"/>
          <w:szCs w:val="24"/>
        </w:rPr>
        <w:t>, 2000; Hurrell &amp; Egli, 2010</w:t>
      </w:r>
      <w:r w:rsidR="00460290">
        <w:rPr>
          <w:rFonts w:cs="Times New Roman"/>
          <w:szCs w:val="24"/>
        </w:rPr>
        <w:t>). Rao et al. (2014) investigated the effect of dietary diversity on the haemoglobin status of child-bearing age women in rural India. The study revealed that addition of lemon juice (as a source of ascorbic acid) and various green leafy vegetables</w:t>
      </w:r>
      <w:r w:rsidR="0034620B">
        <w:rPr>
          <w:rFonts w:cs="Times New Roman"/>
          <w:szCs w:val="24"/>
        </w:rPr>
        <w:t>,</w:t>
      </w:r>
      <w:r w:rsidR="00460290">
        <w:rPr>
          <w:rFonts w:cs="Times New Roman"/>
          <w:szCs w:val="24"/>
        </w:rPr>
        <w:t xml:space="preserve"> including spring onions, cabbage leaves, spinach, bathua leaves, safflower leaves, radish leaves in form of rolls, soups and salads as sources of iron to their diet, significantly improved the women’s haemoglobin status after a year of intervention. Another study revealed that the serum ferritin of Australian child-bearing women was significantly improved, from 8.9 </w:t>
      </w:r>
      <w:r w:rsidR="00460290">
        <w:rPr>
          <w:rFonts w:cs="Times New Roman"/>
          <w:color w:val="000000" w:themeColor="text1"/>
          <w:szCs w:val="24"/>
          <w:shd w:val="clear" w:color="auto" w:fill="FFFFFF"/>
        </w:rPr>
        <w:t>µg/L to 11.0 µg/L,</w:t>
      </w:r>
      <w:r w:rsidR="00460290">
        <w:rPr>
          <w:rFonts w:cs="Times New Roman"/>
          <w:szCs w:val="24"/>
        </w:rPr>
        <w:t xml:space="preserve"> after consumption of iron</w:t>
      </w:r>
      <w:r w:rsidR="0034620B">
        <w:rPr>
          <w:rFonts w:cs="Times New Roman"/>
          <w:szCs w:val="24"/>
        </w:rPr>
        <w:t>-</w:t>
      </w:r>
      <w:r w:rsidR="00460290">
        <w:rPr>
          <w:rFonts w:cs="Times New Roman"/>
          <w:szCs w:val="24"/>
        </w:rPr>
        <w:t xml:space="preserve">rich meals and fruits for 12 weeks and was further improved to </w:t>
      </w:r>
      <w:r w:rsidR="00460290">
        <w:rPr>
          <w:rFonts w:cs="Times New Roman"/>
          <w:color w:val="000000" w:themeColor="text1"/>
          <w:szCs w:val="24"/>
          <w:shd w:val="clear" w:color="auto" w:fill="FFFFFF"/>
        </w:rPr>
        <w:t>15.2 µg/L</w:t>
      </w:r>
      <w:r w:rsidR="00460290">
        <w:rPr>
          <w:rFonts w:cs="Times New Roman"/>
          <w:szCs w:val="24"/>
        </w:rPr>
        <w:t xml:space="preserve"> after 6 months (Patterson et al., 2001). The meals consumed by the women </w:t>
      </w:r>
      <w:r w:rsidR="0034620B">
        <w:rPr>
          <w:rFonts w:cs="Times New Roman"/>
          <w:szCs w:val="24"/>
        </w:rPr>
        <w:t>comprised</w:t>
      </w:r>
      <w:r w:rsidR="00460290">
        <w:rPr>
          <w:rFonts w:cs="Times New Roman"/>
          <w:szCs w:val="24"/>
        </w:rPr>
        <w:t xml:space="preserve"> beef, liver, mussels (which were the major sources of iron), breakfast cereals, bread, rice, vegetables, nuts and dried fruits.  </w:t>
      </w:r>
    </w:p>
    <w:p w14:paraId="69016734" w14:textId="77777777" w:rsidR="00460290" w:rsidRDefault="00460290" w:rsidP="004F5656">
      <w:pPr>
        <w:spacing w:after="0"/>
        <w:rPr>
          <w:rFonts w:cs="Times New Roman"/>
          <w:szCs w:val="24"/>
        </w:rPr>
      </w:pPr>
    </w:p>
    <w:p w14:paraId="75E12408" w14:textId="47CAC72B" w:rsidR="00460290" w:rsidRDefault="00460290" w:rsidP="00A97AD3">
      <w:pPr>
        <w:rPr>
          <w:rFonts w:cs="Times New Roman"/>
          <w:szCs w:val="24"/>
        </w:rPr>
      </w:pPr>
      <w:r>
        <w:rPr>
          <w:rFonts w:cs="Times New Roman"/>
          <w:szCs w:val="24"/>
        </w:rPr>
        <w:t xml:space="preserve">Dietary </w:t>
      </w:r>
      <w:r w:rsidR="00B155CB">
        <w:rPr>
          <w:rFonts w:cs="Times New Roman"/>
          <w:szCs w:val="24"/>
        </w:rPr>
        <w:t>diversity</w:t>
      </w:r>
      <w:r w:rsidR="00F9622B">
        <w:rPr>
          <w:rFonts w:cs="Times New Roman"/>
          <w:szCs w:val="24"/>
        </w:rPr>
        <w:t xml:space="preserve"> and </w:t>
      </w:r>
      <w:r>
        <w:rPr>
          <w:rFonts w:cs="Times New Roman"/>
          <w:szCs w:val="24"/>
        </w:rPr>
        <w:t xml:space="preserve">modification as an approach to improve zinc status has also been studied. For example, Chiplonkar </w:t>
      </w:r>
      <w:r w:rsidR="00D917B4">
        <w:rPr>
          <w:rFonts w:cs="Times New Roman"/>
          <w:szCs w:val="24"/>
        </w:rPr>
        <w:t>&amp;</w:t>
      </w:r>
      <w:r>
        <w:rPr>
          <w:rFonts w:cs="Times New Roman"/>
          <w:szCs w:val="24"/>
        </w:rPr>
        <w:t xml:space="preserve"> Kawade (2012) reported that incorporating millets, sesame, green leafy vegetables, soybean and chickpea in combination with food preparation methods such as sprouting, and fermentation improved the zinc status of some Indian adolescent secondary school girls (10–16 years). Over the study period of 10 weeks, there was a significant increase in their plasma zinc (9.9%), β-carotene (56.2%) and vitamin C (28%) levels. Furthermore, the </w:t>
      </w:r>
      <w:r w:rsidR="00E944EA">
        <w:rPr>
          <w:rFonts w:cs="Times New Roman"/>
          <w:szCs w:val="24"/>
        </w:rPr>
        <w:t>prevalence</w:t>
      </w:r>
      <w:r>
        <w:rPr>
          <w:rFonts w:cs="Times New Roman"/>
          <w:szCs w:val="24"/>
        </w:rPr>
        <w:t xml:space="preserve"> of zinc deficiency and mild anaemia among the girls decreased by 27 and 26%, respectively. However, the study by Nair et al. (2013) showed that consumption of freshly sliced guava with the rice-based meal did not improve zinc absorption in the adolescent girls and boys. The enhancing effect of ascorbic acid on zinc bioavailability has not been </w:t>
      </w:r>
      <w:r w:rsidR="00F9622B">
        <w:rPr>
          <w:rFonts w:cs="Times New Roman"/>
          <w:szCs w:val="24"/>
        </w:rPr>
        <w:t>demonstrated</w:t>
      </w:r>
      <w:r>
        <w:rPr>
          <w:rFonts w:cs="Times New Roman"/>
          <w:szCs w:val="24"/>
        </w:rPr>
        <w:t>.</w:t>
      </w:r>
      <w:r w:rsidR="00780344">
        <w:rPr>
          <w:rFonts w:cs="Times New Roman"/>
          <w:szCs w:val="24"/>
        </w:rPr>
        <w:t xml:space="preserve"> </w:t>
      </w:r>
    </w:p>
    <w:p w14:paraId="0C096FE1" w14:textId="6115C9D4" w:rsidR="00CC6EEE" w:rsidRDefault="00CC6EEE" w:rsidP="003E63C3">
      <w:pPr>
        <w:spacing w:after="0"/>
        <w:rPr>
          <w:rFonts w:cs="Times New Roman"/>
          <w:szCs w:val="24"/>
        </w:rPr>
      </w:pPr>
    </w:p>
    <w:p w14:paraId="1BECA19C" w14:textId="03C40F78" w:rsidR="00CC6EEE" w:rsidRDefault="00CC6EEE" w:rsidP="00A97AD3">
      <w:pPr>
        <w:rPr>
          <w:rFonts w:cs="Times New Roman"/>
          <w:szCs w:val="24"/>
        </w:rPr>
      </w:pPr>
      <w:r w:rsidRPr="00C82768">
        <w:rPr>
          <w:szCs w:val="24"/>
        </w:rPr>
        <w:t>Communities at risk of nutrient deficiencies are usually of low economic status and hence generally have limited access to a diversified diet, which for urban consumers is generally more expensive compared to monotonous diets based on starchy staples.</w:t>
      </w:r>
    </w:p>
    <w:p w14:paraId="5930478F" w14:textId="77777777" w:rsidR="00460290" w:rsidRPr="003B54CA" w:rsidRDefault="00460290" w:rsidP="00B155CB">
      <w:pPr>
        <w:spacing w:before="240" w:after="0"/>
        <w:rPr>
          <w:rFonts w:cs="Times New Roman"/>
          <w:b/>
          <w:iCs/>
          <w:szCs w:val="24"/>
        </w:rPr>
      </w:pPr>
    </w:p>
    <w:p w14:paraId="2C360E25" w14:textId="3FF23D20" w:rsidR="00460290" w:rsidRPr="003B54CA" w:rsidRDefault="00460290" w:rsidP="00A97AD3">
      <w:pPr>
        <w:pStyle w:val="Heading3"/>
      </w:pPr>
      <w:bookmarkStart w:id="29" w:name="_Toc65253554"/>
      <w:r>
        <w:t>2.3.5</w:t>
      </w:r>
      <w:r w:rsidR="00382274">
        <w:tab/>
      </w:r>
      <w:r w:rsidRPr="003B54CA">
        <w:t>Food-to-food fortification</w:t>
      </w:r>
      <w:bookmarkEnd w:id="29"/>
      <w:r w:rsidRPr="003B54CA">
        <w:t xml:space="preserve"> </w:t>
      </w:r>
    </w:p>
    <w:p w14:paraId="30C96913" w14:textId="133529AE" w:rsidR="00460290" w:rsidRDefault="00460290" w:rsidP="00A97AD3">
      <w:r>
        <w:t xml:space="preserve">Food-to-food fortification has been proposed to be a novel strategy to improve micronutrient status.  It is an approach that uses available and accessible local foodstuffs rich in the desired micronutrients to fortify food staple products that are low in particular micronutrients </w:t>
      </w:r>
      <w:r w:rsidR="00671958">
        <w:t xml:space="preserve">both at household and commercial levels </w:t>
      </w:r>
      <w:r>
        <w:t>(Chadare et al., 2019</w:t>
      </w:r>
      <w:r w:rsidR="00671958">
        <w:t>; Kruger et al., 2020</w:t>
      </w:r>
      <w:r>
        <w:t xml:space="preserve">). </w:t>
      </w:r>
      <w:r w:rsidRPr="00AD10DB">
        <w:t xml:space="preserve">Food-to-food fortification may </w:t>
      </w:r>
      <w:r>
        <w:t xml:space="preserve">be </w:t>
      </w:r>
      <w:r w:rsidRPr="00AD10DB">
        <w:t xml:space="preserve">considered </w:t>
      </w:r>
      <w:r>
        <w:t xml:space="preserve">as </w:t>
      </w:r>
      <w:r w:rsidRPr="00AD10DB">
        <w:t xml:space="preserve">a form of dietary diversification (Parveen </w:t>
      </w:r>
      <w:r w:rsidR="004F5656">
        <w:t>&amp;</w:t>
      </w:r>
      <w:r w:rsidRPr="00AD10DB">
        <w:t xml:space="preserve"> Manjula, 2015).</w:t>
      </w:r>
      <w:r>
        <w:t xml:space="preserve"> It is done with the aim of improving the intake and bioavailability of the micronutrients in a staple food product and ultimately the micronutrient status of at-risk populations who may not have access to conventionally fortified foods and nutrient supplements</w:t>
      </w:r>
      <w:r w:rsidR="00FC1B6C">
        <w:t xml:space="preserve"> (Ruel, 2001)</w:t>
      </w:r>
      <w:r>
        <w:t xml:space="preserve">. Ruel (2001) and Parveen </w:t>
      </w:r>
      <w:r w:rsidR="004F5656">
        <w:t>&amp;</w:t>
      </w:r>
      <w:r>
        <w:t xml:space="preserve"> Manjula (2015) </w:t>
      </w:r>
      <w:r w:rsidR="002A33F9">
        <w:t>proposed</w:t>
      </w:r>
      <w:r>
        <w:t xml:space="preserve"> that </w:t>
      </w:r>
      <w:r w:rsidR="002A33F9">
        <w:t xml:space="preserve">the concept of </w:t>
      </w:r>
      <w:r>
        <w:t xml:space="preserve">food-to-food fortification can also encompass enhancing the bioavailability of micronutrients, for example </w:t>
      </w:r>
      <w:r w:rsidR="002A33F9">
        <w:t xml:space="preserve">of </w:t>
      </w:r>
      <w:r>
        <w:t xml:space="preserve">iron in the non-haem form by combining certain foods to either increase </w:t>
      </w:r>
      <w:r w:rsidR="002A33F9">
        <w:t xml:space="preserve">the content of </w:t>
      </w:r>
      <w:r>
        <w:t xml:space="preserve">enhancers or decrease </w:t>
      </w:r>
      <w:r w:rsidR="002A33F9">
        <w:t xml:space="preserve">the content of </w:t>
      </w:r>
      <w:r>
        <w:t xml:space="preserve">inhibitors of its absorption, in the food product. Food-to-food fortification is also considered as a sustainable strategy due to its ability to make individuals and households responsible for their diet quality through informed food choices and preparation of foods that are rich in nutrients including essential minerals such as iron and zinc (Parveen </w:t>
      </w:r>
      <w:r w:rsidR="004F5656">
        <w:t>&amp;</w:t>
      </w:r>
      <w:r>
        <w:t xml:space="preserve"> Manjula, 2015).  </w:t>
      </w:r>
      <w:r w:rsidR="00FC1B6C">
        <w:t>It also encourages utilization of locally available resources</w:t>
      </w:r>
      <w:r w:rsidR="0044629D">
        <w:t xml:space="preserve"> and create</w:t>
      </w:r>
      <w:r w:rsidR="00FC1B6C">
        <w:t xml:space="preserve"> market opportunities for locally grown food products, </w:t>
      </w:r>
      <w:r w:rsidR="0044629D">
        <w:t xml:space="preserve">and </w:t>
      </w:r>
      <w:r w:rsidR="00FC1B6C">
        <w:t>hence</w:t>
      </w:r>
      <w:r w:rsidR="0044629D">
        <w:t>, contributes to economic growth (Kruger et al., 2020)</w:t>
      </w:r>
    </w:p>
    <w:p w14:paraId="0B8D5495" w14:textId="77777777" w:rsidR="004F5656" w:rsidRDefault="004F5656" w:rsidP="004F5656">
      <w:pPr>
        <w:spacing w:after="0"/>
      </w:pPr>
    </w:p>
    <w:p w14:paraId="39D0CA41" w14:textId="78F34BEC" w:rsidR="00460290" w:rsidRDefault="00460290" w:rsidP="00A97AD3">
      <w:r>
        <w:t xml:space="preserve">Very few efficacy studies involving food-to-food fortification have been performed. However, </w:t>
      </w:r>
      <w:r w:rsidR="00D5016D">
        <w:rPr>
          <w:i/>
          <w:iCs/>
        </w:rPr>
        <w:t>i</w:t>
      </w:r>
      <w:r w:rsidR="00D5016D" w:rsidRPr="00D5016D">
        <w:rPr>
          <w:i/>
          <w:iCs/>
        </w:rPr>
        <w:t>n vitro</w:t>
      </w:r>
      <w:r>
        <w:t xml:space="preserve"> assays have revealed positive effects of food-to-food fortification in enhancing iron and zinc bioaccessibility in cereal staple food products. Foods that have been studied as food-to-food fortificants include: green leafy vegetables, flowers and some types of grains (mostly on account of their high iron content), fruits (as mineral absorption enhancers – ascorbic acid, citric acid and other organic acids), certain starchy foods and vegetables (on account of</w:t>
      </w:r>
      <w:r w:rsidR="00E944EA">
        <w:t xml:space="preserve"> their</w:t>
      </w:r>
      <w:r>
        <w:t xml:space="preserve"> high</w:t>
      </w:r>
      <w:r w:rsidR="002A33F9">
        <w:t xml:space="preserve"> </w:t>
      </w:r>
      <w:r>
        <w:t xml:space="preserve">β-carotene content) and animal products (on account of </w:t>
      </w:r>
      <w:r w:rsidR="002A33F9">
        <w:t xml:space="preserve">their high </w:t>
      </w:r>
      <w:r>
        <w:t xml:space="preserve">bioavailable iron and zinc contents). For example, a study </w:t>
      </w:r>
      <w:r w:rsidR="002A33F9">
        <w:t xml:space="preserve">by Ayogu and Onah (2018) </w:t>
      </w:r>
      <w:r>
        <w:t>revealed that consumption of cowpea</w:t>
      </w:r>
      <w:r w:rsidR="00320D14">
        <w:t xml:space="preserve"> grain</w:t>
      </w:r>
      <w:r>
        <w:t xml:space="preserve">-fortified wheat cookies increased the blood haemoglobin concentration and serum ferritin in some Nigerian school children (6–12 years) by 15.5% and 28.3%, respectively. Although, the unfortified wheat cookies had higher iron contents, about 145% higher than the </w:t>
      </w:r>
      <w:r w:rsidR="002A33F9">
        <w:t>content</w:t>
      </w:r>
      <w:r>
        <w:t xml:space="preserve"> in the cowpea-fortified wheat, the later was more effective in improving the iron status of the children. According to the authors, interactions between the amino acids and the iron, zinc and vitamin A in the cowpea-fortified wheat may have enhanced the haemoglobin synthesis in the children. However, Macharia-Mutie et al. (2012) revealed that in a six weeks randomised control trial, consumption of amaranth grain-fortified wholegrain maize porridge increased the iron intakes in some Kenyan preschool children by more than three</w:t>
      </w:r>
      <w:r w:rsidR="002A33F9">
        <w:t>-</w:t>
      </w:r>
      <w:r>
        <w:t xml:space="preserve">fold but did not improve the iron status of the children. According to the authors, the high phytate content of the amaranth grain could have inhibited the iron absorption from the fortified porridge. </w:t>
      </w:r>
    </w:p>
    <w:p w14:paraId="38744AF0" w14:textId="77777777" w:rsidR="00220A2D" w:rsidRDefault="00220A2D" w:rsidP="00220A2D">
      <w:pPr>
        <w:spacing w:after="0"/>
      </w:pPr>
    </w:p>
    <w:p w14:paraId="0D54C2BD" w14:textId="00CC4B60" w:rsidR="00460290" w:rsidRDefault="00460290" w:rsidP="00A97AD3">
      <w:r>
        <w:t xml:space="preserve">In an </w:t>
      </w:r>
      <w:r w:rsidR="00D5016D">
        <w:rPr>
          <w:i/>
          <w:iCs/>
        </w:rPr>
        <w:t>i</w:t>
      </w:r>
      <w:r w:rsidR="00D5016D" w:rsidRPr="00D5016D">
        <w:rPr>
          <w:i/>
          <w:iCs/>
        </w:rPr>
        <w:t>n vitro</w:t>
      </w:r>
      <w:r>
        <w:t xml:space="preserve"> study, Van der Merwe et al. (2019) revealed that food-to-food fortification of pearl millet porridge with baobab fruit, moringa leaves and hibiscus calyx</w:t>
      </w:r>
      <w:r w:rsidR="008230ED">
        <w:t>es</w:t>
      </w:r>
      <w:r>
        <w:t xml:space="preserve"> in the presence of </w:t>
      </w:r>
      <w:r w:rsidR="008230ED">
        <w:t xml:space="preserve">a </w:t>
      </w:r>
      <w:r>
        <w:t xml:space="preserve">provitamin A source (carrot and mango), increased the percentage bioaccessible iron (measured by dialysability assay) in the porridge by 98%, 56% and 42%, respectively and the total bioaccessible iron by 126%, 149% and 107%, respectively. The </w:t>
      </w:r>
      <w:r w:rsidR="008230ED">
        <w:t>results</w:t>
      </w:r>
      <w:r>
        <w:t xml:space="preserve"> indicated this food-to-fortification of the pearl millet-based porridge could potentially improve its contribution to the absolute requirement for iron by 20–24% for women of reproductive age. The enhancement of the iron bioaccessibility of the porridges was proposed to be due to the high iron contents of the moringa leaves and hibiscus calyx</w:t>
      </w:r>
      <w:r w:rsidR="008230ED">
        <w:t>es</w:t>
      </w:r>
      <w:r>
        <w:t xml:space="preserve"> and the high organic acid contents (ascorbic and citric acid) in the baobab fruit. Similarly, a</w:t>
      </w:r>
      <w:r w:rsidR="008230ED">
        <w:t>nother</w:t>
      </w:r>
      <w:r>
        <w:t xml:space="preserve"> study revealed that inclusion of baobab fruit in fermented cereals such as maize, red sorghum and white finger millet increased the percentage iron bioaccessibility (measured by dialysability assay) in the fermented cereal products from approximately 14% to 50%, 8% to 27% and 13% to 25%, respectively (Gabaza et al., 2018). The enhancement of the iron bioaccessibility was attributed to the presence of ascorbic acid in the baobab fruit. </w:t>
      </w:r>
      <w:r w:rsidR="008230ED">
        <w:t>Also</w:t>
      </w:r>
      <w:r>
        <w:t xml:space="preserve">, Gautam et al. (2010) showed that addition of carrot to pressure-pot cooked rice and sorghum grains increased the percentage iron bioaccessibility (measured by dialysability assay) of the cooked rice and sorghum by 53% and 36–69%, respectively. The positive effect of carrot on iron bioaccessibility was suggested to be associated with its high β-carotene content. Beta-carotene has been proposed to enhance non-haem iron absorption in cereal products by chelating the iron and keeping it soluble in the gut lumen, thereby preventing it from </w:t>
      </w:r>
      <w:r w:rsidR="008C7EA1">
        <w:t>the inhibitory effects of</w:t>
      </w:r>
      <w:r>
        <w:t xml:space="preserve"> phytate and polyphenols in the food matrix (Garcia-Casal </w:t>
      </w:r>
      <w:r w:rsidRPr="007F2D93">
        <w:t>et al.,</w:t>
      </w:r>
      <w:r>
        <w:t xml:space="preserve"> 1998). Similarly, food-to-food fortification of conventionally iron and zinc fortified maize porridge with orange-fleshed sweet potato (as a β-carotene source) </w:t>
      </w:r>
      <w:r w:rsidR="008230ED">
        <w:t xml:space="preserve">was found to </w:t>
      </w:r>
      <w:r>
        <w:t xml:space="preserve">increase the percentage and the total iron uptake </w:t>
      </w:r>
      <w:r w:rsidR="008230ED">
        <w:t>by</w:t>
      </w:r>
      <w:r>
        <w:t xml:space="preserve"> Caco-2 cells by 80% and 120%, respectively (Kruger, 2020). Furthermore, food-to-food fortification of the maize porridge with cowpea leaves (as β-carotene and essential minerals source) did not increase the percentage iron uptake in the Caco-2 cells but increased the total iron uptake</w:t>
      </w:r>
      <w:r w:rsidR="004D4241">
        <w:t xml:space="preserve"> in</w:t>
      </w:r>
      <w:r>
        <w:t xml:space="preserve"> the cells by more than 5-fold. According to the author, the relatively higher levels of iron in the cowpea leaves may have significantly increased the total iron uptake </w:t>
      </w:r>
      <w:r w:rsidR="00C62521">
        <w:t>by</w:t>
      </w:r>
      <w:r>
        <w:t xml:space="preserve"> the Caco-2 cells.</w:t>
      </w:r>
    </w:p>
    <w:p w14:paraId="6764F96B" w14:textId="77777777" w:rsidR="00EF4D89" w:rsidRDefault="00EF4D89" w:rsidP="00EF4D89">
      <w:pPr>
        <w:spacing w:after="0"/>
      </w:pPr>
    </w:p>
    <w:p w14:paraId="584A7465" w14:textId="795CC5FE" w:rsidR="00460290" w:rsidRDefault="00460290" w:rsidP="00A97AD3">
      <w:r>
        <w:t>Concerning zinc, the study by Van der Merwe et al. (2019) also showed that inclusion of baobab fruit, moringa leaves and hibiscus calyx</w:t>
      </w:r>
      <w:r w:rsidR="00C62521">
        <w:t>es</w:t>
      </w:r>
      <w:r>
        <w:t xml:space="preserve"> in the pearl millet-provitamin A source porridge increased the percentage bioaccessible zinc by 99%, 66% and 44%, respectively and the total bioaccessible zinc by 170, 135%, 106%, respectively. The data suggested that inclusion of the food fortificants in the porridge could potentially improve its contribution to the absolute requirement for zinc by 31–40% for women of reproductive age. The positive effect of the food fortificants on zinc bioaccessibility was proposed to be due to the appreciable zinc contents of the moringa leaves and the hibiscus calyx</w:t>
      </w:r>
      <w:r w:rsidR="00C62521">
        <w:t>es</w:t>
      </w:r>
      <w:r>
        <w:t>, and the high citric acid content of the baobab fruit. Citric acid keeps minerals in solution by forming soluble ligands with it, thereby keeping it from forming insoluble zinc-phytate complexes and making it available for absorption (</w:t>
      </w:r>
      <w:r>
        <w:rPr>
          <w:noProof/>
          <w:color w:val="000000" w:themeColor="text1"/>
        </w:rPr>
        <w:t>L</w:t>
      </w:r>
      <w:r w:rsidRPr="00463B85">
        <w:rPr>
          <w:noProof/>
          <w:color w:val="000000" w:themeColor="text1"/>
        </w:rPr>
        <w:t>önnerdal</w:t>
      </w:r>
      <w:r>
        <w:rPr>
          <w:noProof/>
          <w:color w:val="000000" w:themeColor="text1"/>
        </w:rPr>
        <w:t xml:space="preserve">, </w:t>
      </w:r>
      <w:r w:rsidRPr="00463B85">
        <w:rPr>
          <w:noProof/>
          <w:color w:val="000000" w:themeColor="text1"/>
        </w:rPr>
        <w:t>2000)</w:t>
      </w:r>
      <w:r>
        <w:t xml:space="preserve">. The study by Gabaza et al. (2018) showed that baobab fruit inclusion in </w:t>
      </w:r>
      <w:r w:rsidR="00EF4D89">
        <w:t xml:space="preserve">fermented </w:t>
      </w:r>
      <w:r>
        <w:t xml:space="preserve">maize, red sorghum and white finger millet also increased the percentage bioaccessible zinc from approximately 1.7% to 15%, 1% to 17% and 13% to 26%, respectively. The positive effect of baobab fruit on zinc bioaccessibility was attributed to organic acids other than ascorbic acid in baobab fruit such as citric acid, malic and tartaric acid. </w:t>
      </w:r>
      <w:r w:rsidR="00C62521">
        <w:t>T</w:t>
      </w:r>
      <w:r>
        <w:t xml:space="preserve">he Gautam et al. (2010) study </w:t>
      </w:r>
      <w:r w:rsidR="00C62521">
        <w:t xml:space="preserve">also </w:t>
      </w:r>
      <w:r>
        <w:t>showed that addition of carrot in cooked rice and sorghum increased the percentage zinc bioaccessibility</w:t>
      </w:r>
      <w:r w:rsidR="00C62521">
        <w:t>,</w:t>
      </w:r>
      <w:r>
        <w:t xml:space="preserve"> by 36–41% and 29–31%, respectively. The positive effect of carrot on zinc bioaccessibility was attributed to the </w:t>
      </w:r>
      <w:r w:rsidRPr="00064DE1">
        <w:t>β-carotene</w:t>
      </w:r>
      <w:r>
        <w:t xml:space="preserve"> in the carrot. Similarly, Kruger et al. (2018) also showed that inclusion of foods rich in </w:t>
      </w:r>
      <w:r w:rsidRPr="00064DE1">
        <w:t>β-carotene</w:t>
      </w:r>
      <w:r>
        <w:t xml:space="preserve"> such as orange-fleshed sweet potato and cowpea leaves to wholegrain sorghum and maize porridges had positive effects on the bioaccessibility of their zinc (as measured by </w:t>
      </w:r>
      <w:r w:rsidR="00C62521">
        <w:t xml:space="preserve">a </w:t>
      </w:r>
      <w:r>
        <w:t xml:space="preserve">continuous flow dialysis </w:t>
      </w:r>
      <w:r w:rsidR="00C62521">
        <w:t>assay</w:t>
      </w:r>
      <w:r>
        <w:t>).</w:t>
      </w:r>
      <w:r w:rsidR="00C62521">
        <w:t xml:space="preserve"> However</w:t>
      </w:r>
      <w:r>
        <w:t xml:space="preserve">, the study of Kruger (2020) showed that inclusion of orange-fleshed sweet potato in maize porridge increased the percentage but not the total zinc uptake </w:t>
      </w:r>
      <w:r w:rsidR="00C62521">
        <w:t>by</w:t>
      </w:r>
      <w:r>
        <w:t xml:space="preserve"> Caco-2 cells. The study also showed that inclusion of cowpea leaves in the maize porridge had no effect on the percentage zinc cellular uptake but increased the total zinc uptake by almost 3-fold.</w:t>
      </w:r>
    </w:p>
    <w:p w14:paraId="3B602CBF" w14:textId="77777777" w:rsidR="00460290" w:rsidRDefault="00460290" w:rsidP="0009779A">
      <w:pPr>
        <w:spacing w:after="0"/>
      </w:pPr>
    </w:p>
    <w:p w14:paraId="73A15DFF" w14:textId="7724A764" w:rsidR="00460290" w:rsidRDefault="00460290" w:rsidP="00A97AD3">
      <w:r>
        <w:t xml:space="preserve">However, for food-to-food fortification strategy to be effective in improving the mineral status of a population, it is essential that the minerals lacking in the diet and the appropriate food fortificant are identified (Chadare et al., 2019). Furthermore, the food fortificant and the vehicle staple should be commonly consumed </w:t>
      </w:r>
      <w:r w:rsidR="00C62521">
        <w:t>by</w:t>
      </w:r>
      <w:r>
        <w:t xml:space="preserve"> the target population.</w:t>
      </w:r>
    </w:p>
    <w:p w14:paraId="238849AF" w14:textId="77777777" w:rsidR="00C62521" w:rsidRDefault="00C62521" w:rsidP="00EF4D89">
      <w:pPr>
        <w:spacing w:after="0"/>
      </w:pPr>
    </w:p>
    <w:p w14:paraId="62272F4E" w14:textId="5516F59F" w:rsidR="00460290" w:rsidRDefault="00460290" w:rsidP="00A52614">
      <w:pPr>
        <w:pStyle w:val="Heading2"/>
      </w:pPr>
      <w:bookmarkStart w:id="30" w:name="_Toc65253555"/>
      <w:r>
        <w:t>2.4</w:t>
      </w:r>
      <w:r w:rsidR="00382274">
        <w:tab/>
      </w:r>
      <w:r w:rsidR="00A97AD3">
        <w:t>C</w:t>
      </w:r>
      <w:r w:rsidR="00A97AD3" w:rsidRPr="00435503">
        <w:t xml:space="preserve">ereals as dietary sources of essential </w:t>
      </w:r>
      <w:r w:rsidR="00A97AD3">
        <w:t>minerals</w:t>
      </w:r>
      <w:r w:rsidR="00A97AD3" w:rsidRPr="00435503">
        <w:t xml:space="preserve"> in </w:t>
      </w:r>
      <w:r w:rsidR="00A97AD3">
        <w:t>A</w:t>
      </w:r>
      <w:r w:rsidR="00A97AD3" w:rsidRPr="00435503">
        <w:t>frica</w:t>
      </w:r>
      <w:bookmarkEnd w:id="30"/>
    </w:p>
    <w:p w14:paraId="144EB6E1" w14:textId="792E1788" w:rsidR="00460290" w:rsidRPr="00A52614" w:rsidRDefault="00460290" w:rsidP="00A52614">
      <w:pPr>
        <w:pStyle w:val="Heading3"/>
      </w:pPr>
      <w:bookmarkStart w:id="31" w:name="_Toc65253556"/>
      <w:r w:rsidRPr="00A52614">
        <w:t>2.4.1</w:t>
      </w:r>
      <w:r w:rsidR="00382274">
        <w:tab/>
      </w:r>
      <w:r w:rsidRPr="00A52614">
        <w:t>Essential mineral contents of commonly consumed cereals and their percentage contribution to the recommended nutrient intake (RNI)</w:t>
      </w:r>
      <w:bookmarkEnd w:id="31"/>
    </w:p>
    <w:p w14:paraId="2464A5B9" w14:textId="39FAC8FB" w:rsidR="00460290" w:rsidRDefault="00460290" w:rsidP="00A97AD3">
      <w:pPr>
        <w:rPr>
          <w:b/>
        </w:rPr>
      </w:pPr>
      <w:r>
        <w:t>Cereals are quantitatively the major foodstuff in most diets in the world</w:t>
      </w:r>
      <w:r w:rsidR="00C62521">
        <w:t>,</w:t>
      </w:r>
      <w:r>
        <w:t xml:space="preserve"> including much of Africa (Akhtar</w:t>
      </w:r>
      <w:r w:rsidRPr="00200619">
        <w:t xml:space="preserve"> et al.,</w:t>
      </w:r>
      <w:r>
        <w:t xml:space="preserve"> 2011). They are also considered to be important sources of minerals especially iron and zinc for the African population (Kumssa </w:t>
      </w:r>
      <w:r w:rsidRPr="00926824">
        <w:t>et al.,</w:t>
      </w:r>
      <w:r>
        <w:t xml:space="preserve"> 2015;</w:t>
      </w:r>
      <w:r w:rsidRPr="00926824">
        <w:t xml:space="preserve"> </w:t>
      </w:r>
      <w:r>
        <w:t>Gregory et al., 2017). However, the poor bioavailability of minerals from plant staples, including cereal food products, can put people at risk of mineral deficiencies (WHO, 2017). The cereal grains commonly consumed in Africa are maize, sorghum, wheat, millets and rice (</w:t>
      </w:r>
      <w:r w:rsidRPr="009F7119">
        <w:rPr>
          <w:color w:val="222222"/>
          <w:shd w:val="clear" w:color="auto" w:fill="FFFFFF"/>
        </w:rPr>
        <w:t>Hadebe</w:t>
      </w:r>
      <w:r>
        <w:rPr>
          <w:color w:val="222222"/>
          <w:shd w:val="clear" w:color="auto" w:fill="FFFFFF"/>
        </w:rPr>
        <w:t xml:space="preserve"> et al., 2017</w:t>
      </w:r>
      <w:r>
        <w:t xml:space="preserve">).  Table </w:t>
      </w:r>
      <w:r w:rsidR="00241A28">
        <w:t>2.</w:t>
      </w:r>
      <w:r>
        <w:t>4 shows their major essential mineral contents and their potential contribution to the iron and zinc requirements of school</w:t>
      </w:r>
      <w:r w:rsidR="00E0157F">
        <w:t>-</w:t>
      </w:r>
      <w:r>
        <w:t>age children and women of reproductive age.</w:t>
      </w:r>
    </w:p>
    <w:p w14:paraId="0C73DC4A" w14:textId="77777777" w:rsidR="00EA3143" w:rsidRDefault="00EA3143" w:rsidP="00EA3143">
      <w:pPr>
        <w:spacing w:after="0"/>
        <w:rPr>
          <w:b/>
        </w:rPr>
      </w:pPr>
    </w:p>
    <w:p w14:paraId="55AEB828" w14:textId="53D6ACFE" w:rsidR="00460290" w:rsidRDefault="00EA3143" w:rsidP="00A97AD3">
      <w:pPr>
        <w:rPr>
          <w:b/>
        </w:rPr>
      </w:pPr>
      <w:r>
        <w:t xml:space="preserve">As can been seen, consumption of 100 g of each of the cereals listed in </w:t>
      </w:r>
      <w:r w:rsidRPr="00292ABA">
        <w:t>Table 2.</w:t>
      </w:r>
      <w:r>
        <w:t>4 (</w:t>
      </w:r>
      <w:r w:rsidRPr="001F2FC1">
        <w:rPr>
          <w:bCs/>
          <w:color w:val="000000"/>
        </w:rPr>
        <w:t>equivalent to a porridge meal of 300-400 g</w:t>
      </w:r>
      <w:r>
        <w:rPr>
          <w:bCs/>
          <w:color w:val="000000"/>
        </w:rPr>
        <w:t>,</w:t>
      </w:r>
      <w:r w:rsidRPr="001F2FC1">
        <w:rPr>
          <w:bCs/>
          <w:color w:val="000000"/>
        </w:rPr>
        <w:t xml:space="preserve"> depending on its solids content</w:t>
      </w:r>
      <w:r>
        <w:t>) except pearl millet,</w:t>
      </w:r>
      <w:r w:rsidRPr="00106E94">
        <w:t xml:space="preserve"> </w:t>
      </w:r>
      <w:r>
        <w:t xml:space="preserve">will only meet less than a third of the daily requirements for school-age children for iron.  Rice would contribute the least iron, less than a tenth of the daily requirement at 5% bioavailability. However, pearl millet would contribute the highest iron, more than half of the daily requirement. </w:t>
      </w:r>
      <w:r w:rsidRPr="000F56CB">
        <w:t>The 5% and 15% level</w:t>
      </w:r>
      <w:r>
        <w:t>s</w:t>
      </w:r>
      <w:r w:rsidRPr="000F56CB">
        <w:t xml:space="preserve"> of bioavailability </w:t>
      </w:r>
      <w:r>
        <w:t>are</w:t>
      </w:r>
      <w:r w:rsidRPr="000F56CB">
        <w:t xml:space="preserve"> used </w:t>
      </w:r>
      <w:r>
        <w:t>to</w:t>
      </w:r>
      <w:r w:rsidRPr="000F56CB">
        <w:t xml:space="preserve"> estimat</w:t>
      </w:r>
      <w:r>
        <w:t>e</w:t>
      </w:r>
      <w:r w:rsidRPr="000F56CB">
        <w:t xml:space="preserve"> iron and zinc contribution</w:t>
      </w:r>
      <w:r>
        <w:t>s, respectively</w:t>
      </w:r>
      <w:r w:rsidRPr="000F56CB">
        <w:t xml:space="preserve"> due to the high leve</w:t>
      </w:r>
      <w:r>
        <w:t>l</w:t>
      </w:r>
      <w:r w:rsidRPr="000F56CB">
        <w:t>s of antinutritional factors such as phytate in wholegrain cereals</w:t>
      </w:r>
      <w:r>
        <w:t xml:space="preserve"> and in a typical African plant food-based diet in general</w:t>
      </w:r>
      <w:r w:rsidRPr="000F56CB">
        <w:t xml:space="preserve"> (WHO </w:t>
      </w:r>
      <w:r>
        <w:t>&amp;</w:t>
      </w:r>
      <w:r w:rsidRPr="000F56CB">
        <w:t xml:space="preserve"> FAO, 200</w:t>
      </w:r>
      <w:r>
        <w:t>4</w:t>
      </w:r>
      <w:r w:rsidRPr="000F56CB">
        <w:t>).</w:t>
      </w:r>
      <w:r w:rsidRPr="00CA48FF">
        <w:t xml:space="preserve"> </w:t>
      </w:r>
      <w:r>
        <w:t xml:space="preserve"> Assuming a meal containing 100 g wheat, which has marginally the highest iron content compared to maize, rice and sorghum, is consumed three times a day, it may meet 68–96% of the daily RNI. In contrast, consumption of 100 g pearl millet three times a day may meet more than 100% of the daily RNI. However, small children will not be able to consume this high quantity of cereal porridge. Likewise, consumption of a 100 g of the cereals by women of reproductive age (19–50 years) will only meet less than a tenth of their daily iron requirements at a 5% level of bioavailability, except pearl millet which may meet up to 18% of their daily RNI. Also, assuming a meal containing 100 g pearl millet is consumed three times a day, it may only provide half of the daily iron requirement for the women. </w:t>
      </w:r>
      <w:r w:rsidR="00460290">
        <w:rPr>
          <w:b/>
        </w:rPr>
        <w:br w:type="page"/>
      </w:r>
    </w:p>
    <w:p w14:paraId="3C5D13BE" w14:textId="77777777" w:rsidR="00460290" w:rsidRDefault="00460290" w:rsidP="00A97AD3">
      <w:pPr>
        <w:rPr>
          <w:b/>
        </w:rPr>
        <w:sectPr w:rsidR="00460290" w:rsidSect="005B2E77">
          <w:pgSz w:w="11907" w:h="16839" w:code="9"/>
          <w:pgMar w:top="1440" w:right="1440" w:bottom="1440" w:left="1440" w:header="720" w:footer="720" w:gutter="0"/>
          <w:cols w:space="720"/>
          <w:docGrid w:linePitch="360"/>
        </w:sectPr>
      </w:pPr>
    </w:p>
    <w:p w14:paraId="6FD355AA" w14:textId="040A0024" w:rsidR="00460290" w:rsidRDefault="00460290" w:rsidP="004B30EC">
      <w:pPr>
        <w:pStyle w:val="MyTables"/>
        <w:spacing w:line="240" w:lineRule="auto"/>
      </w:pPr>
      <w:bookmarkStart w:id="32" w:name="_Hlk64914904"/>
      <w:bookmarkStart w:id="33" w:name="_Toc65253626"/>
      <w:r w:rsidRPr="00292ABA">
        <w:rPr>
          <w:b/>
          <w:bCs/>
        </w:rPr>
        <w:t xml:space="preserve">Table </w:t>
      </w:r>
      <w:r w:rsidR="0048013F" w:rsidRPr="00292ABA">
        <w:rPr>
          <w:b/>
          <w:bCs/>
        </w:rPr>
        <w:t>2.</w:t>
      </w:r>
      <w:r w:rsidRPr="00292ABA">
        <w:rPr>
          <w:b/>
          <w:bCs/>
        </w:rPr>
        <w:t>4:</w:t>
      </w:r>
      <w:r>
        <w:t xml:space="preserve"> Essential mineral contents (mg/100 g; dry basis) of commonly consumed cereals (wholegrain form) in Africa and their percentage contribution to the recommended nutrient intake (RNI) for iron and zinc for school children (aged 4-6 and 7-10 years) and women of reproductive age </w:t>
      </w:r>
      <w:r w:rsidR="001839D2">
        <w:t xml:space="preserve">(19–50 years) </w:t>
      </w:r>
      <w:r w:rsidR="0093746A">
        <w:t>considering</w:t>
      </w:r>
      <w:r>
        <w:t xml:space="preserve"> the bioavailability of these minerals in a plant food-based diet</w:t>
      </w:r>
      <w:bookmarkEnd w:id="32"/>
      <w:r w:rsidRPr="00396802">
        <w:rPr>
          <w:vertAlign w:val="superscript"/>
        </w:rPr>
        <w:t>*</w:t>
      </w:r>
      <w:bookmarkEnd w:id="33"/>
    </w:p>
    <w:tbl>
      <w:tblPr>
        <w:tblW w:w="15031" w:type="dxa"/>
        <w:tblInd w:w="-572" w:type="dxa"/>
        <w:tblBorders>
          <w:top w:val="single" w:sz="4" w:space="0" w:color="auto"/>
          <w:bottom w:val="single" w:sz="4" w:space="0" w:color="auto"/>
        </w:tblBorders>
        <w:tblLayout w:type="fixed"/>
        <w:tblLook w:val="04A0" w:firstRow="1" w:lastRow="0" w:firstColumn="1" w:lastColumn="0" w:noHBand="0" w:noVBand="1"/>
      </w:tblPr>
      <w:tblGrid>
        <w:gridCol w:w="1316"/>
        <w:gridCol w:w="924"/>
        <w:gridCol w:w="1842"/>
        <w:gridCol w:w="1843"/>
        <w:gridCol w:w="851"/>
        <w:gridCol w:w="1984"/>
        <w:gridCol w:w="1855"/>
        <w:gridCol w:w="1156"/>
        <w:gridCol w:w="1701"/>
        <w:gridCol w:w="1559"/>
      </w:tblGrid>
      <w:tr w:rsidR="00460290" w14:paraId="13E3A160" w14:textId="77777777" w:rsidTr="003E63C3">
        <w:tc>
          <w:tcPr>
            <w:tcW w:w="1316" w:type="dxa"/>
            <w:tcBorders>
              <w:top w:val="single" w:sz="4" w:space="0" w:color="auto"/>
              <w:bottom w:val="single" w:sz="4" w:space="0" w:color="auto"/>
            </w:tcBorders>
          </w:tcPr>
          <w:p w14:paraId="198A3EB7" w14:textId="77777777" w:rsidR="00460290" w:rsidRPr="004B30EC" w:rsidRDefault="00460290" w:rsidP="004B30EC">
            <w:pPr>
              <w:spacing w:before="240" w:after="0" w:line="240" w:lineRule="auto"/>
              <w:rPr>
                <w:rFonts w:cs="Times New Roman"/>
                <w:b/>
                <w:sz w:val="22"/>
                <w:szCs w:val="24"/>
              </w:rPr>
            </w:pPr>
            <w:r w:rsidRPr="004B30EC">
              <w:rPr>
                <w:rFonts w:cs="Times New Roman"/>
                <w:b/>
                <w:sz w:val="22"/>
                <w:szCs w:val="24"/>
              </w:rPr>
              <w:t>Cereal grain species</w:t>
            </w:r>
          </w:p>
        </w:tc>
        <w:tc>
          <w:tcPr>
            <w:tcW w:w="924" w:type="dxa"/>
            <w:tcBorders>
              <w:top w:val="single" w:sz="4" w:space="0" w:color="auto"/>
              <w:bottom w:val="single" w:sz="4" w:space="0" w:color="auto"/>
            </w:tcBorders>
          </w:tcPr>
          <w:p w14:paraId="6794B1F1" w14:textId="0EB41872" w:rsidR="00460290" w:rsidRPr="004B30EC" w:rsidRDefault="00460290" w:rsidP="004B30EC">
            <w:pPr>
              <w:spacing w:before="240" w:after="0" w:line="240" w:lineRule="auto"/>
              <w:jc w:val="center"/>
              <w:rPr>
                <w:rFonts w:cs="Times New Roman"/>
                <w:b/>
                <w:sz w:val="22"/>
                <w:szCs w:val="24"/>
              </w:rPr>
            </w:pPr>
            <w:r w:rsidRPr="004B30EC">
              <w:rPr>
                <w:rFonts w:cs="Times New Roman"/>
                <w:b/>
                <w:sz w:val="22"/>
                <w:szCs w:val="24"/>
              </w:rPr>
              <w:t>Iron</w:t>
            </w:r>
            <w:r w:rsidR="00C57BEA">
              <w:rPr>
                <w:rFonts w:cs="Times New Roman"/>
                <w:b/>
                <w:sz w:val="22"/>
                <w:szCs w:val="24"/>
                <w:vertAlign w:val="superscript"/>
              </w:rPr>
              <w:t>A</w:t>
            </w:r>
          </w:p>
        </w:tc>
        <w:tc>
          <w:tcPr>
            <w:tcW w:w="1842" w:type="dxa"/>
            <w:tcBorders>
              <w:top w:val="single" w:sz="4" w:space="0" w:color="auto"/>
              <w:bottom w:val="single" w:sz="4" w:space="0" w:color="auto"/>
            </w:tcBorders>
          </w:tcPr>
          <w:p w14:paraId="4E7B64FC" w14:textId="49E50B88" w:rsidR="00460290" w:rsidRPr="004B30EC" w:rsidRDefault="00460290" w:rsidP="004B30EC">
            <w:pPr>
              <w:spacing w:before="240" w:after="0" w:line="240" w:lineRule="auto"/>
              <w:jc w:val="center"/>
              <w:rPr>
                <w:rFonts w:cs="Times New Roman"/>
                <w:b/>
                <w:sz w:val="22"/>
                <w:szCs w:val="24"/>
              </w:rPr>
            </w:pPr>
            <w:r w:rsidRPr="004B30EC">
              <w:rPr>
                <w:rFonts w:cs="Times New Roman"/>
                <w:b/>
                <w:sz w:val="22"/>
              </w:rPr>
              <w:t>% contribution of iron to RNI for children (age 4-6</w:t>
            </w:r>
            <w:r w:rsidR="00C57BEA">
              <w:rPr>
                <w:rFonts w:cs="Times New Roman"/>
                <w:b/>
                <w:sz w:val="22"/>
                <w:vertAlign w:val="superscript"/>
              </w:rPr>
              <w:t>B</w:t>
            </w:r>
            <w:r w:rsidRPr="004B30EC">
              <w:rPr>
                <w:rFonts w:cs="Times New Roman"/>
                <w:b/>
                <w:sz w:val="22"/>
              </w:rPr>
              <w:t>; 7-10</w:t>
            </w:r>
            <w:r w:rsidR="00C57BEA">
              <w:rPr>
                <w:rFonts w:cs="Times New Roman"/>
                <w:b/>
                <w:sz w:val="22"/>
                <w:vertAlign w:val="superscript"/>
              </w:rPr>
              <w:t>C</w:t>
            </w:r>
            <w:r w:rsidRPr="004B30EC">
              <w:rPr>
                <w:rFonts w:cs="Times New Roman"/>
                <w:b/>
                <w:sz w:val="22"/>
              </w:rPr>
              <w:t>)</w:t>
            </w:r>
          </w:p>
        </w:tc>
        <w:tc>
          <w:tcPr>
            <w:tcW w:w="1843" w:type="dxa"/>
            <w:tcBorders>
              <w:top w:val="single" w:sz="4" w:space="0" w:color="auto"/>
              <w:bottom w:val="single" w:sz="4" w:space="0" w:color="auto"/>
            </w:tcBorders>
          </w:tcPr>
          <w:p w14:paraId="6EDDE9BE" w14:textId="72F82E11" w:rsidR="00460290" w:rsidRPr="004B30EC" w:rsidRDefault="00460290" w:rsidP="004B30EC">
            <w:pPr>
              <w:spacing w:before="240" w:after="0" w:line="240" w:lineRule="auto"/>
              <w:jc w:val="center"/>
              <w:rPr>
                <w:rFonts w:cs="Times New Roman"/>
                <w:b/>
                <w:sz w:val="22"/>
                <w:szCs w:val="24"/>
              </w:rPr>
            </w:pPr>
            <w:r w:rsidRPr="004B30EC">
              <w:rPr>
                <w:rFonts w:cs="Times New Roman"/>
                <w:b/>
                <w:sz w:val="22"/>
              </w:rPr>
              <w:t>% contribution of iron to RNI for childbearing women</w:t>
            </w:r>
            <w:r w:rsidR="00C57BEA">
              <w:rPr>
                <w:rFonts w:cs="Times New Roman"/>
                <w:b/>
                <w:sz w:val="22"/>
                <w:vertAlign w:val="superscript"/>
              </w:rPr>
              <w:t>D</w:t>
            </w:r>
          </w:p>
        </w:tc>
        <w:tc>
          <w:tcPr>
            <w:tcW w:w="851" w:type="dxa"/>
            <w:tcBorders>
              <w:top w:val="single" w:sz="4" w:space="0" w:color="auto"/>
              <w:bottom w:val="single" w:sz="4" w:space="0" w:color="auto"/>
            </w:tcBorders>
          </w:tcPr>
          <w:p w14:paraId="525D01D4" w14:textId="360C399D" w:rsidR="00460290" w:rsidRPr="004B30EC" w:rsidRDefault="00460290" w:rsidP="004B30EC">
            <w:pPr>
              <w:spacing w:before="240" w:after="0" w:line="240" w:lineRule="auto"/>
              <w:jc w:val="center"/>
              <w:rPr>
                <w:rFonts w:cs="Times New Roman"/>
                <w:b/>
                <w:sz w:val="22"/>
                <w:szCs w:val="24"/>
              </w:rPr>
            </w:pPr>
            <w:r w:rsidRPr="004B30EC">
              <w:rPr>
                <w:rFonts w:cs="Times New Roman"/>
                <w:b/>
                <w:sz w:val="22"/>
              </w:rPr>
              <w:t>Zinc</w:t>
            </w:r>
            <w:r w:rsidR="00C57BEA">
              <w:rPr>
                <w:rFonts w:cs="Times New Roman"/>
                <w:b/>
                <w:sz w:val="22"/>
                <w:vertAlign w:val="superscript"/>
              </w:rPr>
              <w:t>A</w:t>
            </w:r>
          </w:p>
        </w:tc>
        <w:tc>
          <w:tcPr>
            <w:tcW w:w="1984" w:type="dxa"/>
            <w:tcBorders>
              <w:top w:val="single" w:sz="4" w:space="0" w:color="auto"/>
              <w:bottom w:val="single" w:sz="4" w:space="0" w:color="auto"/>
            </w:tcBorders>
          </w:tcPr>
          <w:p w14:paraId="551BF9C1" w14:textId="57ACA291" w:rsidR="00460290" w:rsidRPr="004B30EC" w:rsidRDefault="00460290" w:rsidP="004B30EC">
            <w:pPr>
              <w:spacing w:before="240" w:after="0" w:line="240" w:lineRule="auto"/>
              <w:jc w:val="center"/>
              <w:rPr>
                <w:rFonts w:cs="Times New Roman"/>
                <w:b/>
                <w:sz w:val="22"/>
                <w:szCs w:val="24"/>
              </w:rPr>
            </w:pPr>
            <w:r w:rsidRPr="004B30EC">
              <w:rPr>
                <w:rFonts w:cs="Times New Roman"/>
                <w:b/>
                <w:sz w:val="22"/>
              </w:rPr>
              <w:t>% contribution of zinc to RNI for children (age 4-6</w:t>
            </w:r>
            <w:r w:rsidR="00C57BEA">
              <w:rPr>
                <w:rFonts w:cs="Times New Roman"/>
                <w:b/>
                <w:sz w:val="22"/>
                <w:vertAlign w:val="superscript"/>
              </w:rPr>
              <w:t>E</w:t>
            </w:r>
            <w:r w:rsidRPr="004B30EC">
              <w:rPr>
                <w:rFonts w:cs="Times New Roman"/>
                <w:b/>
                <w:sz w:val="22"/>
              </w:rPr>
              <w:t>; 7-10</w:t>
            </w:r>
            <w:r w:rsidR="00C57BEA">
              <w:rPr>
                <w:rFonts w:cs="Times New Roman"/>
                <w:b/>
                <w:sz w:val="22"/>
                <w:vertAlign w:val="superscript"/>
              </w:rPr>
              <w:t>F</w:t>
            </w:r>
            <w:r w:rsidRPr="004B30EC">
              <w:rPr>
                <w:rFonts w:cs="Times New Roman"/>
                <w:b/>
                <w:sz w:val="22"/>
              </w:rPr>
              <w:t>)</w:t>
            </w:r>
          </w:p>
        </w:tc>
        <w:tc>
          <w:tcPr>
            <w:tcW w:w="1855" w:type="dxa"/>
            <w:tcBorders>
              <w:top w:val="single" w:sz="4" w:space="0" w:color="auto"/>
              <w:bottom w:val="single" w:sz="4" w:space="0" w:color="auto"/>
            </w:tcBorders>
          </w:tcPr>
          <w:p w14:paraId="2D4955DA" w14:textId="14E57B8E" w:rsidR="00460290" w:rsidRPr="004B30EC" w:rsidRDefault="00460290" w:rsidP="004B30EC">
            <w:pPr>
              <w:spacing w:before="240" w:after="0" w:line="240" w:lineRule="auto"/>
              <w:jc w:val="center"/>
              <w:rPr>
                <w:rFonts w:cs="Times New Roman"/>
                <w:b/>
                <w:sz w:val="22"/>
                <w:szCs w:val="24"/>
              </w:rPr>
            </w:pPr>
            <w:r w:rsidRPr="004B30EC">
              <w:rPr>
                <w:rFonts w:cs="Times New Roman"/>
                <w:b/>
                <w:sz w:val="22"/>
              </w:rPr>
              <w:t>% contribution of zinc to RNI for childbearing women</w:t>
            </w:r>
            <w:r w:rsidR="00C57BEA">
              <w:rPr>
                <w:rFonts w:cs="Times New Roman"/>
                <w:b/>
                <w:sz w:val="22"/>
                <w:vertAlign w:val="superscript"/>
              </w:rPr>
              <w:t>G</w:t>
            </w:r>
          </w:p>
        </w:tc>
        <w:tc>
          <w:tcPr>
            <w:tcW w:w="1156" w:type="dxa"/>
            <w:tcBorders>
              <w:top w:val="single" w:sz="4" w:space="0" w:color="auto"/>
              <w:bottom w:val="single" w:sz="4" w:space="0" w:color="auto"/>
            </w:tcBorders>
          </w:tcPr>
          <w:p w14:paraId="716F65E2" w14:textId="42C1B91F" w:rsidR="00460290" w:rsidRPr="004B30EC" w:rsidRDefault="00460290" w:rsidP="004B30EC">
            <w:pPr>
              <w:spacing w:before="240" w:after="0" w:line="240" w:lineRule="auto"/>
              <w:jc w:val="center"/>
              <w:rPr>
                <w:rFonts w:cs="Times New Roman"/>
                <w:b/>
                <w:sz w:val="22"/>
              </w:rPr>
            </w:pPr>
            <w:r w:rsidRPr="004B30EC">
              <w:rPr>
                <w:rFonts w:cs="Times New Roman"/>
                <w:b/>
                <w:sz w:val="22"/>
              </w:rPr>
              <w:t>Calcium</w:t>
            </w:r>
            <w:r w:rsidR="00C57BEA">
              <w:rPr>
                <w:rFonts w:cs="Times New Roman"/>
                <w:b/>
                <w:sz w:val="22"/>
                <w:vertAlign w:val="superscript"/>
              </w:rPr>
              <w:t>A</w:t>
            </w:r>
          </w:p>
        </w:tc>
        <w:tc>
          <w:tcPr>
            <w:tcW w:w="1701" w:type="dxa"/>
            <w:tcBorders>
              <w:top w:val="single" w:sz="4" w:space="0" w:color="auto"/>
              <w:bottom w:val="single" w:sz="4" w:space="0" w:color="auto"/>
            </w:tcBorders>
          </w:tcPr>
          <w:p w14:paraId="59A47933" w14:textId="1CE7BF7E" w:rsidR="00460290" w:rsidRPr="004B30EC" w:rsidRDefault="00460290" w:rsidP="004B30EC">
            <w:pPr>
              <w:spacing w:before="240" w:after="0" w:line="240" w:lineRule="auto"/>
              <w:jc w:val="center"/>
              <w:rPr>
                <w:rFonts w:cs="Times New Roman"/>
                <w:b/>
                <w:sz w:val="22"/>
              </w:rPr>
            </w:pPr>
            <w:r w:rsidRPr="004B30EC">
              <w:rPr>
                <w:rFonts w:cs="Times New Roman"/>
                <w:b/>
                <w:sz w:val="22"/>
              </w:rPr>
              <w:t>Magnesium</w:t>
            </w:r>
            <w:r w:rsidR="00C57BEA">
              <w:rPr>
                <w:rFonts w:cs="Times New Roman"/>
                <w:b/>
                <w:sz w:val="22"/>
                <w:vertAlign w:val="superscript"/>
              </w:rPr>
              <w:t>A</w:t>
            </w:r>
          </w:p>
        </w:tc>
        <w:tc>
          <w:tcPr>
            <w:tcW w:w="1559" w:type="dxa"/>
            <w:tcBorders>
              <w:top w:val="single" w:sz="4" w:space="0" w:color="auto"/>
              <w:bottom w:val="single" w:sz="4" w:space="0" w:color="auto"/>
            </w:tcBorders>
          </w:tcPr>
          <w:p w14:paraId="15CA7B29" w14:textId="01AA0777" w:rsidR="00460290" w:rsidRPr="004B30EC" w:rsidRDefault="00460290" w:rsidP="004B30EC">
            <w:pPr>
              <w:spacing w:before="240" w:after="0" w:line="240" w:lineRule="auto"/>
              <w:jc w:val="center"/>
              <w:rPr>
                <w:rFonts w:cs="Times New Roman"/>
                <w:b/>
                <w:sz w:val="22"/>
              </w:rPr>
            </w:pPr>
            <w:r w:rsidRPr="004B30EC">
              <w:rPr>
                <w:rFonts w:cs="Times New Roman"/>
                <w:b/>
                <w:sz w:val="22"/>
              </w:rPr>
              <w:t>Phosphorus</w:t>
            </w:r>
            <w:r w:rsidR="00C57BEA">
              <w:rPr>
                <w:rFonts w:cs="Times New Roman"/>
                <w:b/>
                <w:sz w:val="22"/>
                <w:vertAlign w:val="superscript"/>
              </w:rPr>
              <w:t>A</w:t>
            </w:r>
          </w:p>
        </w:tc>
      </w:tr>
      <w:tr w:rsidR="00460290" w14:paraId="5A7EFA7B" w14:textId="77777777" w:rsidTr="003E63C3">
        <w:tc>
          <w:tcPr>
            <w:tcW w:w="1316" w:type="dxa"/>
            <w:tcBorders>
              <w:top w:val="single" w:sz="4" w:space="0" w:color="auto"/>
            </w:tcBorders>
          </w:tcPr>
          <w:p w14:paraId="1EB28C4F" w14:textId="72ED06AA" w:rsidR="00460290" w:rsidRPr="004B30EC" w:rsidRDefault="00460290" w:rsidP="004B30EC">
            <w:pPr>
              <w:spacing w:before="240" w:after="0" w:line="240" w:lineRule="auto"/>
              <w:rPr>
                <w:rFonts w:cs="Times New Roman"/>
                <w:sz w:val="22"/>
                <w:szCs w:val="24"/>
              </w:rPr>
            </w:pPr>
            <w:r w:rsidRPr="004B30EC">
              <w:rPr>
                <w:rFonts w:cs="Times New Roman"/>
                <w:sz w:val="22"/>
                <w:szCs w:val="24"/>
              </w:rPr>
              <w:t>Pearl millet</w:t>
            </w:r>
            <w:r w:rsidR="00C57BEA">
              <w:rPr>
                <w:rFonts w:cs="Times New Roman"/>
                <w:sz w:val="22"/>
                <w:szCs w:val="24"/>
                <w:vertAlign w:val="superscript"/>
              </w:rPr>
              <w:t>H</w:t>
            </w:r>
          </w:p>
        </w:tc>
        <w:tc>
          <w:tcPr>
            <w:tcW w:w="924" w:type="dxa"/>
            <w:tcBorders>
              <w:top w:val="single" w:sz="4" w:space="0" w:color="auto"/>
            </w:tcBorders>
          </w:tcPr>
          <w:p w14:paraId="42BD8186"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10.8</w:t>
            </w:r>
          </w:p>
        </w:tc>
        <w:tc>
          <w:tcPr>
            <w:tcW w:w="1842" w:type="dxa"/>
            <w:tcBorders>
              <w:top w:val="single" w:sz="4" w:space="0" w:color="auto"/>
            </w:tcBorders>
          </w:tcPr>
          <w:p w14:paraId="7B1ECED0"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85.7; 60.7</w:t>
            </w:r>
          </w:p>
        </w:tc>
        <w:tc>
          <w:tcPr>
            <w:tcW w:w="1843" w:type="dxa"/>
            <w:tcBorders>
              <w:top w:val="single" w:sz="4" w:space="0" w:color="auto"/>
            </w:tcBorders>
          </w:tcPr>
          <w:p w14:paraId="67F0F94C"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18.3</w:t>
            </w:r>
          </w:p>
        </w:tc>
        <w:tc>
          <w:tcPr>
            <w:tcW w:w="851" w:type="dxa"/>
            <w:tcBorders>
              <w:top w:val="single" w:sz="4" w:space="0" w:color="auto"/>
            </w:tcBorders>
          </w:tcPr>
          <w:p w14:paraId="2298BCA4"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2.4</w:t>
            </w:r>
          </w:p>
        </w:tc>
        <w:tc>
          <w:tcPr>
            <w:tcW w:w="1984" w:type="dxa"/>
            <w:tcBorders>
              <w:top w:val="single" w:sz="4" w:space="0" w:color="auto"/>
            </w:tcBorders>
          </w:tcPr>
          <w:p w14:paraId="5889A5DC"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rPr>
              <w:t>25.0; 21.4</w:t>
            </w:r>
          </w:p>
        </w:tc>
        <w:tc>
          <w:tcPr>
            <w:tcW w:w="1855" w:type="dxa"/>
            <w:tcBorders>
              <w:top w:val="single" w:sz="4" w:space="0" w:color="auto"/>
            </w:tcBorders>
          </w:tcPr>
          <w:p w14:paraId="33ACD14C"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24.5</w:t>
            </w:r>
          </w:p>
        </w:tc>
        <w:tc>
          <w:tcPr>
            <w:tcW w:w="1156" w:type="dxa"/>
            <w:tcBorders>
              <w:top w:val="single" w:sz="4" w:space="0" w:color="auto"/>
            </w:tcBorders>
          </w:tcPr>
          <w:p w14:paraId="07E62B6D"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41</w:t>
            </w:r>
          </w:p>
        </w:tc>
        <w:tc>
          <w:tcPr>
            <w:tcW w:w="1701" w:type="dxa"/>
            <w:tcBorders>
              <w:top w:val="single" w:sz="4" w:space="0" w:color="auto"/>
            </w:tcBorders>
          </w:tcPr>
          <w:p w14:paraId="241CADC5"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125</w:t>
            </w:r>
          </w:p>
        </w:tc>
        <w:tc>
          <w:tcPr>
            <w:tcW w:w="1559" w:type="dxa"/>
            <w:tcBorders>
              <w:top w:val="single" w:sz="4" w:space="0" w:color="auto"/>
            </w:tcBorders>
          </w:tcPr>
          <w:p w14:paraId="7B4328BE"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373</w:t>
            </w:r>
          </w:p>
        </w:tc>
      </w:tr>
      <w:tr w:rsidR="00460290" w14:paraId="59372E5E" w14:textId="77777777" w:rsidTr="003E63C3">
        <w:tc>
          <w:tcPr>
            <w:tcW w:w="1316" w:type="dxa"/>
          </w:tcPr>
          <w:p w14:paraId="545C2B75" w14:textId="77777777" w:rsidR="00460290" w:rsidRPr="004B30EC" w:rsidRDefault="00460290" w:rsidP="004B30EC">
            <w:pPr>
              <w:spacing w:before="240" w:after="0" w:line="240" w:lineRule="auto"/>
              <w:rPr>
                <w:rFonts w:cs="Times New Roman"/>
                <w:sz w:val="22"/>
                <w:szCs w:val="24"/>
              </w:rPr>
            </w:pPr>
            <w:r w:rsidRPr="004B30EC">
              <w:rPr>
                <w:rFonts w:cs="Times New Roman"/>
                <w:sz w:val="22"/>
                <w:szCs w:val="24"/>
              </w:rPr>
              <w:t>Maize</w:t>
            </w:r>
          </w:p>
        </w:tc>
        <w:tc>
          <w:tcPr>
            <w:tcW w:w="924" w:type="dxa"/>
          </w:tcPr>
          <w:p w14:paraId="6EFBFB1F"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3.0</w:t>
            </w:r>
          </w:p>
        </w:tc>
        <w:tc>
          <w:tcPr>
            <w:tcW w:w="1842" w:type="dxa"/>
          </w:tcPr>
          <w:p w14:paraId="53DDC960"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rPr>
              <w:t>24.0; 17.0</w:t>
            </w:r>
          </w:p>
        </w:tc>
        <w:tc>
          <w:tcPr>
            <w:tcW w:w="1843" w:type="dxa"/>
          </w:tcPr>
          <w:p w14:paraId="7E833E1D"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5.1</w:t>
            </w:r>
          </w:p>
        </w:tc>
        <w:tc>
          <w:tcPr>
            <w:tcW w:w="851" w:type="dxa"/>
          </w:tcPr>
          <w:p w14:paraId="0BF2E15D"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2.5</w:t>
            </w:r>
          </w:p>
        </w:tc>
        <w:tc>
          <w:tcPr>
            <w:tcW w:w="1984" w:type="dxa"/>
          </w:tcPr>
          <w:p w14:paraId="7FBC65F4"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rPr>
              <w:t>25.7; 22.0</w:t>
            </w:r>
          </w:p>
        </w:tc>
        <w:tc>
          <w:tcPr>
            <w:tcW w:w="1855" w:type="dxa"/>
          </w:tcPr>
          <w:p w14:paraId="79A0322E"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25.2</w:t>
            </w:r>
          </w:p>
        </w:tc>
        <w:tc>
          <w:tcPr>
            <w:tcW w:w="1156" w:type="dxa"/>
          </w:tcPr>
          <w:p w14:paraId="11B20853"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7.8</w:t>
            </w:r>
          </w:p>
        </w:tc>
        <w:tc>
          <w:tcPr>
            <w:tcW w:w="1701" w:type="dxa"/>
          </w:tcPr>
          <w:p w14:paraId="75F60422"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142</w:t>
            </w:r>
          </w:p>
        </w:tc>
        <w:tc>
          <w:tcPr>
            <w:tcW w:w="1559" w:type="dxa"/>
          </w:tcPr>
          <w:p w14:paraId="7A097E17"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234</w:t>
            </w:r>
          </w:p>
        </w:tc>
      </w:tr>
      <w:tr w:rsidR="00460290" w14:paraId="66512014" w14:textId="77777777" w:rsidTr="003E63C3">
        <w:tc>
          <w:tcPr>
            <w:tcW w:w="1316" w:type="dxa"/>
          </w:tcPr>
          <w:p w14:paraId="34FAA949" w14:textId="77777777" w:rsidR="00460290" w:rsidRPr="004B30EC" w:rsidRDefault="00460290" w:rsidP="004B30EC">
            <w:pPr>
              <w:spacing w:before="240" w:after="0" w:line="240" w:lineRule="auto"/>
              <w:rPr>
                <w:rFonts w:cs="Times New Roman"/>
                <w:sz w:val="22"/>
                <w:szCs w:val="24"/>
              </w:rPr>
            </w:pPr>
            <w:r w:rsidRPr="004B30EC">
              <w:rPr>
                <w:rFonts w:cs="Times New Roman"/>
                <w:sz w:val="22"/>
                <w:szCs w:val="24"/>
              </w:rPr>
              <w:t>Sorghum</w:t>
            </w:r>
          </w:p>
        </w:tc>
        <w:tc>
          <w:tcPr>
            <w:tcW w:w="924" w:type="dxa"/>
          </w:tcPr>
          <w:p w14:paraId="0F3D26E5"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3.5</w:t>
            </w:r>
          </w:p>
        </w:tc>
        <w:tc>
          <w:tcPr>
            <w:tcW w:w="1842" w:type="dxa"/>
          </w:tcPr>
          <w:p w14:paraId="3809DCB5"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rPr>
              <w:t>27.8; 19.7</w:t>
            </w:r>
          </w:p>
        </w:tc>
        <w:tc>
          <w:tcPr>
            <w:tcW w:w="1843" w:type="dxa"/>
          </w:tcPr>
          <w:p w14:paraId="6D64EA76"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5.9</w:t>
            </w:r>
          </w:p>
        </w:tc>
        <w:tc>
          <w:tcPr>
            <w:tcW w:w="851" w:type="dxa"/>
          </w:tcPr>
          <w:p w14:paraId="5383A17C"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1.8</w:t>
            </w:r>
          </w:p>
        </w:tc>
        <w:tc>
          <w:tcPr>
            <w:tcW w:w="1984" w:type="dxa"/>
          </w:tcPr>
          <w:p w14:paraId="7BD6EC2F"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rPr>
              <w:t>18.9; 16.2</w:t>
            </w:r>
          </w:p>
        </w:tc>
        <w:tc>
          <w:tcPr>
            <w:tcW w:w="1855" w:type="dxa"/>
          </w:tcPr>
          <w:p w14:paraId="7F2FB49E"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18.5</w:t>
            </w:r>
          </w:p>
        </w:tc>
        <w:tc>
          <w:tcPr>
            <w:tcW w:w="1156" w:type="dxa"/>
          </w:tcPr>
          <w:p w14:paraId="643100D1"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13.4</w:t>
            </w:r>
          </w:p>
        </w:tc>
        <w:tc>
          <w:tcPr>
            <w:tcW w:w="1701" w:type="dxa"/>
          </w:tcPr>
          <w:p w14:paraId="46F92FA9"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137</w:t>
            </w:r>
          </w:p>
        </w:tc>
        <w:tc>
          <w:tcPr>
            <w:tcW w:w="1559" w:type="dxa"/>
          </w:tcPr>
          <w:p w14:paraId="60A64926"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310</w:t>
            </w:r>
          </w:p>
        </w:tc>
      </w:tr>
      <w:tr w:rsidR="00460290" w14:paraId="4769198E" w14:textId="77777777" w:rsidTr="003E63C3">
        <w:tc>
          <w:tcPr>
            <w:tcW w:w="1316" w:type="dxa"/>
          </w:tcPr>
          <w:p w14:paraId="514880F9" w14:textId="77777777" w:rsidR="00460290" w:rsidRPr="004B30EC" w:rsidRDefault="00460290" w:rsidP="004B30EC">
            <w:pPr>
              <w:spacing w:before="240" w:after="0" w:line="240" w:lineRule="auto"/>
              <w:rPr>
                <w:rFonts w:cs="Times New Roman"/>
                <w:sz w:val="22"/>
                <w:szCs w:val="24"/>
              </w:rPr>
            </w:pPr>
            <w:r w:rsidRPr="004B30EC">
              <w:rPr>
                <w:rFonts w:cs="Times New Roman"/>
                <w:sz w:val="22"/>
                <w:szCs w:val="24"/>
              </w:rPr>
              <w:t>Wheat</w:t>
            </w:r>
          </w:p>
        </w:tc>
        <w:tc>
          <w:tcPr>
            <w:tcW w:w="924" w:type="dxa"/>
          </w:tcPr>
          <w:p w14:paraId="6588A4E6"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4.0</w:t>
            </w:r>
          </w:p>
        </w:tc>
        <w:tc>
          <w:tcPr>
            <w:tcW w:w="1842" w:type="dxa"/>
          </w:tcPr>
          <w:p w14:paraId="462B0098"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rPr>
              <w:t>31.9; 22.6</w:t>
            </w:r>
          </w:p>
        </w:tc>
        <w:tc>
          <w:tcPr>
            <w:tcW w:w="1843" w:type="dxa"/>
          </w:tcPr>
          <w:p w14:paraId="7AC2966A"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6.8</w:t>
            </w:r>
          </w:p>
        </w:tc>
        <w:tc>
          <w:tcPr>
            <w:tcW w:w="851" w:type="dxa"/>
          </w:tcPr>
          <w:p w14:paraId="1611607D"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2.9</w:t>
            </w:r>
          </w:p>
        </w:tc>
        <w:tc>
          <w:tcPr>
            <w:tcW w:w="1984" w:type="dxa"/>
          </w:tcPr>
          <w:p w14:paraId="33AF582E"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rPr>
              <w:t>30.2; 25.9</w:t>
            </w:r>
          </w:p>
        </w:tc>
        <w:tc>
          <w:tcPr>
            <w:tcW w:w="1855" w:type="dxa"/>
          </w:tcPr>
          <w:p w14:paraId="68D69C19"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29.6</w:t>
            </w:r>
          </w:p>
        </w:tc>
        <w:tc>
          <w:tcPr>
            <w:tcW w:w="1156" w:type="dxa"/>
          </w:tcPr>
          <w:p w14:paraId="0C2F5E8D"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37.9</w:t>
            </w:r>
          </w:p>
        </w:tc>
        <w:tc>
          <w:tcPr>
            <w:tcW w:w="1701" w:type="dxa"/>
          </w:tcPr>
          <w:p w14:paraId="104AF72E"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153</w:t>
            </w:r>
          </w:p>
        </w:tc>
        <w:tc>
          <w:tcPr>
            <w:tcW w:w="1559" w:type="dxa"/>
          </w:tcPr>
          <w:p w14:paraId="26F95CC8"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398</w:t>
            </w:r>
          </w:p>
        </w:tc>
      </w:tr>
      <w:tr w:rsidR="00460290" w:rsidRPr="00A50A5A" w14:paraId="0D6FC234" w14:textId="77777777" w:rsidTr="003E63C3">
        <w:tc>
          <w:tcPr>
            <w:tcW w:w="1316" w:type="dxa"/>
          </w:tcPr>
          <w:p w14:paraId="26063F91" w14:textId="77777777" w:rsidR="00460290" w:rsidRPr="004B30EC" w:rsidRDefault="00460290" w:rsidP="004B30EC">
            <w:pPr>
              <w:spacing w:before="240" w:after="0" w:line="240" w:lineRule="auto"/>
              <w:rPr>
                <w:rFonts w:cs="Times New Roman"/>
                <w:sz w:val="22"/>
                <w:szCs w:val="24"/>
              </w:rPr>
            </w:pPr>
            <w:r w:rsidRPr="004B30EC">
              <w:rPr>
                <w:rFonts w:cs="Times New Roman"/>
                <w:sz w:val="22"/>
                <w:szCs w:val="24"/>
              </w:rPr>
              <w:t>Rice</w:t>
            </w:r>
          </w:p>
        </w:tc>
        <w:tc>
          <w:tcPr>
            <w:tcW w:w="924" w:type="dxa"/>
          </w:tcPr>
          <w:p w14:paraId="58C1757E"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0.9</w:t>
            </w:r>
          </w:p>
        </w:tc>
        <w:tc>
          <w:tcPr>
            <w:tcW w:w="1842" w:type="dxa"/>
          </w:tcPr>
          <w:p w14:paraId="10C5381F"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rPr>
              <w:t>7.3; 5.1</w:t>
            </w:r>
          </w:p>
        </w:tc>
        <w:tc>
          <w:tcPr>
            <w:tcW w:w="1843" w:type="dxa"/>
          </w:tcPr>
          <w:p w14:paraId="7906AC77"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1.5</w:t>
            </w:r>
          </w:p>
        </w:tc>
        <w:tc>
          <w:tcPr>
            <w:tcW w:w="851" w:type="dxa"/>
          </w:tcPr>
          <w:p w14:paraId="10133BB5"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1.3</w:t>
            </w:r>
          </w:p>
        </w:tc>
        <w:tc>
          <w:tcPr>
            <w:tcW w:w="1984" w:type="dxa"/>
          </w:tcPr>
          <w:p w14:paraId="4CE64693"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rPr>
              <w:t>13.9; 11.9</w:t>
            </w:r>
          </w:p>
        </w:tc>
        <w:tc>
          <w:tcPr>
            <w:tcW w:w="1855" w:type="dxa"/>
          </w:tcPr>
          <w:p w14:paraId="392E5B9B"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13.6</w:t>
            </w:r>
          </w:p>
        </w:tc>
        <w:tc>
          <w:tcPr>
            <w:tcW w:w="1156" w:type="dxa"/>
          </w:tcPr>
          <w:p w14:paraId="427D19DB"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10.3</w:t>
            </w:r>
          </w:p>
        </w:tc>
        <w:tc>
          <w:tcPr>
            <w:tcW w:w="1701" w:type="dxa"/>
          </w:tcPr>
          <w:p w14:paraId="5455CA83"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40.2</w:t>
            </w:r>
          </w:p>
        </w:tc>
        <w:tc>
          <w:tcPr>
            <w:tcW w:w="1559" w:type="dxa"/>
          </w:tcPr>
          <w:p w14:paraId="7A46E944" w14:textId="77777777" w:rsidR="00460290" w:rsidRPr="004B30EC" w:rsidRDefault="00460290" w:rsidP="004B30EC">
            <w:pPr>
              <w:spacing w:before="240" w:after="0" w:line="240" w:lineRule="auto"/>
              <w:jc w:val="center"/>
              <w:rPr>
                <w:rFonts w:cs="Times New Roman"/>
                <w:sz w:val="22"/>
                <w:szCs w:val="24"/>
              </w:rPr>
            </w:pPr>
            <w:r w:rsidRPr="004B30EC">
              <w:rPr>
                <w:rFonts w:cs="Times New Roman"/>
                <w:sz w:val="22"/>
                <w:szCs w:val="24"/>
              </w:rPr>
              <w:t>124</w:t>
            </w:r>
          </w:p>
        </w:tc>
      </w:tr>
    </w:tbl>
    <w:p w14:paraId="1379F8F8" w14:textId="41F0EF0A" w:rsidR="00460290" w:rsidRPr="00501121" w:rsidRDefault="00460290" w:rsidP="00460290">
      <w:pPr>
        <w:spacing w:before="240" w:after="0" w:line="240" w:lineRule="auto"/>
        <w:rPr>
          <w:rFonts w:cs="Times New Roman"/>
          <w:sz w:val="20"/>
          <w:szCs w:val="20"/>
        </w:rPr>
      </w:pPr>
      <w:r w:rsidRPr="00501121">
        <w:rPr>
          <w:rFonts w:cs="Times New Roman"/>
          <w:sz w:val="20"/>
          <w:szCs w:val="20"/>
          <w:vertAlign w:val="superscript"/>
        </w:rPr>
        <w:t>*</w:t>
      </w:r>
      <w:r w:rsidRPr="00501121">
        <w:rPr>
          <w:rFonts w:cs="Times New Roman"/>
          <w:sz w:val="20"/>
          <w:szCs w:val="20"/>
        </w:rPr>
        <w:t xml:space="preserve">WHO </w:t>
      </w:r>
      <w:r w:rsidR="004B30EC">
        <w:rPr>
          <w:rFonts w:cs="Times New Roman"/>
          <w:sz w:val="20"/>
          <w:szCs w:val="20"/>
        </w:rPr>
        <w:t>&amp;</w:t>
      </w:r>
      <w:r w:rsidRPr="00501121">
        <w:rPr>
          <w:rFonts w:cs="Times New Roman"/>
          <w:sz w:val="20"/>
          <w:szCs w:val="20"/>
        </w:rPr>
        <w:t xml:space="preserve"> FAO </w:t>
      </w:r>
      <w:r w:rsidR="00DF4A22">
        <w:rPr>
          <w:rFonts w:cs="Times New Roman"/>
          <w:sz w:val="20"/>
          <w:szCs w:val="20"/>
        </w:rPr>
        <w:t>(</w:t>
      </w:r>
      <w:r w:rsidRPr="00501121">
        <w:rPr>
          <w:rFonts w:cs="Times New Roman"/>
          <w:sz w:val="20"/>
          <w:szCs w:val="20"/>
        </w:rPr>
        <w:t>2004)</w:t>
      </w:r>
    </w:p>
    <w:p w14:paraId="4950FEC9" w14:textId="2F09FBC2" w:rsidR="00460290" w:rsidRPr="00501121" w:rsidRDefault="00C57BEA" w:rsidP="00460290">
      <w:pPr>
        <w:spacing w:after="0" w:line="240" w:lineRule="auto"/>
        <w:rPr>
          <w:rFonts w:cs="Times New Roman"/>
          <w:sz w:val="20"/>
          <w:szCs w:val="20"/>
        </w:rPr>
      </w:pPr>
      <w:r>
        <w:rPr>
          <w:rFonts w:cs="Times New Roman"/>
          <w:sz w:val="20"/>
          <w:szCs w:val="20"/>
          <w:vertAlign w:val="superscript"/>
        </w:rPr>
        <w:t>A</w:t>
      </w:r>
      <w:r w:rsidR="00460290" w:rsidRPr="00501121">
        <w:rPr>
          <w:rFonts w:cs="Times New Roman"/>
          <w:sz w:val="20"/>
          <w:szCs w:val="20"/>
        </w:rPr>
        <w:t xml:space="preserve">USDA (2019) </w:t>
      </w:r>
    </w:p>
    <w:p w14:paraId="434B43CE" w14:textId="43FDB97E" w:rsidR="00460290" w:rsidRPr="00501121" w:rsidRDefault="00C57BEA" w:rsidP="00460290">
      <w:pPr>
        <w:spacing w:after="0" w:line="240" w:lineRule="auto"/>
        <w:rPr>
          <w:rFonts w:cs="Times New Roman"/>
          <w:sz w:val="20"/>
          <w:szCs w:val="20"/>
        </w:rPr>
      </w:pPr>
      <w:r>
        <w:rPr>
          <w:rFonts w:cs="Times New Roman"/>
          <w:sz w:val="20"/>
          <w:szCs w:val="20"/>
          <w:vertAlign w:val="superscript"/>
        </w:rPr>
        <w:t>B</w:t>
      </w:r>
      <w:r w:rsidR="00460290" w:rsidRPr="00501121">
        <w:rPr>
          <w:rFonts w:cs="Times New Roman"/>
          <w:sz w:val="20"/>
          <w:szCs w:val="20"/>
        </w:rPr>
        <w:t>Daily RNI of iron at 5% bioavailability for children (4–6 years</w:t>
      </w:r>
      <w:r w:rsidR="00460290">
        <w:rPr>
          <w:rFonts w:cs="Times New Roman"/>
          <w:sz w:val="20"/>
          <w:szCs w:val="20"/>
        </w:rPr>
        <w:t>: 12.6 mg</w:t>
      </w:r>
      <w:r w:rsidR="00460290" w:rsidRPr="00501121">
        <w:rPr>
          <w:rFonts w:cs="Times New Roman"/>
          <w:sz w:val="20"/>
          <w:szCs w:val="20"/>
        </w:rPr>
        <w:t xml:space="preserve">); </w:t>
      </w:r>
      <w:r>
        <w:rPr>
          <w:rFonts w:cs="Times New Roman"/>
          <w:sz w:val="20"/>
          <w:szCs w:val="20"/>
          <w:vertAlign w:val="superscript"/>
        </w:rPr>
        <w:t>C</w:t>
      </w:r>
      <w:r w:rsidR="00460290" w:rsidRPr="00501121">
        <w:rPr>
          <w:rFonts w:cs="Times New Roman"/>
          <w:sz w:val="20"/>
          <w:szCs w:val="20"/>
        </w:rPr>
        <w:t>Daily RNI of iron at 5% bioavailability for children (7–10 years</w:t>
      </w:r>
      <w:r w:rsidR="00460290">
        <w:rPr>
          <w:rFonts w:cs="Times New Roman"/>
          <w:sz w:val="20"/>
          <w:szCs w:val="20"/>
        </w:rPr>
        <w:t>: 17.8 mg</w:t>
      </w:r>
      <w:r w:rsidR="00460290" w:rsidRPr="00501121">
        <w:rPr>
          <w:rFonts w:cs="Times New Roman"/>
          <w:sz w:val="20"/>
          <w:szCs w:val="20"/>
        </w:rPr>
        <w:t xml:space="preserve">) </w:t>
      </w:r>
      <w:r>
        <w:rPr>
          <w:rFonts w:cs="Times New Roman"/>
          <w:sz w:val="20"/>
          <w:szCs w:val="20"/>
          <w:vertAlign w:val="superscript"/>
        </w:rPr>
        <w:t>D</w:t>
      </w:r>
      <w:r w:rsidR="00460290" w:rsidRPr="00501121">
        <w:rPr>
          <w:rFonts w:cs="Times New Roman"/>
          <w:sz w:val="20"/>
          <w:szCs w:val="20"/>
        </w:rPr>
        <w:t>Daily RNI of iron at 5% bioavailability for women of reproductive age</w:t>
      </w:r>
      <w:r w:rsidR="00460290">
        <w:rPr>
          <w:rFonts w:cs="Times New Roman"/>
          <w:sz w:val="20"/>
          <w:szCs w:val="20"/>
        </w:rPr>
        <w:t xml:space="preserve"> (58.9 mg)</w:t>
      </w:r>
    </w:p>
    <w:p w14:paraId="4DB562FB" w14:textId="7D24E10E" w:rsidR="00A50A5A" w:rsidRDefault="00C57BEA" w:rsidP="00FF0368">
      <w:pPr>
        <w:spacing w:line="240" w:lineRule="auto"/>
        <w:rPr>
          <w:rFonts w:cs="Times New Roman"/>
          <w:sz w:val="20"/>
          <w:szCs w:val="20"/>
        </w:rPr>
      </w:pPr>
      <w:r>
        <w:rPr>
          <w:rFonts w:cs="Times New Roman"/>
          <w:sz w:val="20"/>
          <w:szCs w:val="20"/>
          <w:vertAlign w:val="superscript"/>
        </w:rPr>
        <w:t>E</w:t>
      </w:r>
      <w:r w:rsidR="00460290" w:rsidRPr="00501121">
        <w:rPr>
          <w:rFonts w:cs="Times New Roman"/>
          <w:sz w:val="20"/>
          <w:szCs w:val="20"/>
        </w:rPr>
        <w:t>Daily RNI of zinc at low (15%) bioavailability for children (4–6 years</w:t>
      </w:r>
      <w:r w:rsidR="00460290">
        <w:rPr>
          <w:rFonts w:cs="Times New Roman"/>
          <w:sz w:val="20"/>
          <w:szCs w:val="20"/>
        </w:rPr>
        <w:t>; 9.6 mg</w:t>
      </w:r>
      <w:r w:rsidR="00460290" w:rsidRPr="00501121">
        <w:rPr>
          <w:rFonts w:cs="Times New Roman"/>
          <w:sz w:val="20"/>
          <w:szCs w:val="20"/>
        </w:rPr>
        <w:t xml:space="preserve">); </w:t>
      </w:r>
      <w:r>
        <w:rPr>
          <w:rFonts w:cs="Times New Roman"/>
          <w:sz w:val="20"/>
          <w:szCs w:val="20"/>
          <w:vertAlign w:val="superscript"/>
        </w:rPr>
        <w:t>F</w:t>
      </w:r>
      <w:r w:rsidR="00460290" w:rsidRPr="00501121">
        <w:rPr>
          <w:rFonts w:cs="Times New Roman"/>
          <w:sz w:val="20"/>
          <w:szCs w:val="20"/>
        </w:rPr>
        <w:t>Daily RNI of zinc at low (15%) bioavailability for children (7–10 years</w:t>
      </w:r>
      <w:r w:rsidR="00460290">
        <w:rPr>
          <w:rFonts w:cs="Times New Roman"/>
          <w:sz w:val="20"/>
          <w:szCs w:val="20"/>
        </w:rPr>
        <w:t>; 11.2 mg</w:t>
      </w:r>
      <w:r w:rsidR="00460290" w:rsidRPr="00501121">
        <w:rPr>
          <w:rFonts w:cs="Times New Roman"/>
          <w:sz w:val="20"/>
          <w:szCs w:val="20"/>
        </w:rPr>
        <w:t xml:space="preserve">) </w:t>
      </w:r>
      <w:r>
        <w:rPr>
          <w:rFonts w:cs="Times New Roman"/>
          <w:sz w:val="20"/>
          <w:szCs w:val="20"/>
          <w:vertAlign w:val="superscript"/>
        </w:rPr>
        <w:t>G</w:t>
      </w:r>
      <w:r w:rsidR="00460290" w:rsidRPr="00501121">
        <w:rPr>
          <w:rFonts w:cs="Times New Roman"/>
          <w:sz w:val="20"/>
          <w:szCs w:val="20"/>
        </w:rPr>
        <w:t>Daily RNI of zinc at low (15%) bioavailability for women of reproductive age</w:t>
      </w:r>
      <w:r w:rsidR="00460290">
        <w:rPr>
          <w:rFonts w:cs="Times New Roman"/>
          <w:sz w:val="20"/>
          <w:szCs w:val="20"/>
        </w:rPr>
        <w:t xml:space="preserve"> (9.8 mg). </w:t>
      </w:r>
      <w:r>
        <w:rPr>
          <w:rFonts w:cs="Times New Roman"/>
          <w:sz w:val="20"/>
          <w:szCs w:val="20"/>
          <w:vertAlign w:val="superscript"/>
        </w:rPr>
        <w:t>H</w:t>
      </w:r>
      <w:r w:rsidR="00BE0041">
        <w:rPr>
          <w:rFonts w:cs="Times New Roman"/>
          <w:sz w:val="20"/>
          <w:szCs w:val="20"/>
        </w:rPr>
        <w:t>Taylor, 2016</w:t>
      </w:r>
    </w:p>
    <w:p w14:paraId="277F7C78" w14:textId="42A308A1" w:rsidR="00460290" w:rsidRDefault="00460290" w:rsidP="00A97AD3">
      <w:pPr>
        <w:rPr>
          <w:b/>
        </w:rPr>
        <w:sectPr w:rsidR="00460290" w:rsidSect="00460290">
          <w:pgSz w:w="16839" w:h="11907" w:orient="landscape" w:code="9"/>
          <w:pgMar w:top="1440" w:right="1440" w:bottom="1440" w:left="1440" w:header="720" w:footer="720" w:gutter="0"/>
          <w:cols w:space="720"/>
          <w:docGrid w:linePitch="360"/>
        </w:sectPr>
      </w:pPr>
      <w:r>
        <w:rPr>
          <w:b/>
        </w:rPr>
        <w:br w:type="page"/>
      </w:r>
    </w:p>
    <w:p w14:paraId="4274A5B4" w14:textId="449FC3EC" w:rsidR="00B330DD" w:rsidRDefault="00B330DD" w:rsidP="00A97AD3">
      <w:r>
        <w:t>With zinc, 100 g of each of the cereals may only meet less than a third of the daily requirements for school-age children and women of reproductive age, with rice contributing the least zinc, approximately a tenth of the daily requirement</w:t>
      </w:r>
      <w:r w:rsidR="001839D2">
        <w:t xml:space="preserve"> for both the children and women</w:t>
      </w:r>
      <w:r>
        <w:t xml:space="preserve"> at low (15%) bioavailability. Assuming 100 g wheat which has relatively the highest zinc content, is consumed three times a day, it may meet 78–91% of the RNI</w:t>
      </w:r>
      <w:r w:rsidR="00B23C8D">
        <w:t xml:space="preserve"> for the children and women</w:t>
      </w:r>
      <w:r>
        <w:t xml:space="preserve">. It is, however, important to note that the refined form of these cereals, </w:t>
      </w:r>
      <w:r w:rsidR="000F2395">
        <w:t>the form</w:t>
      </w:r>
      <w:r>
        <w:t xml:space="preserve"> generally consumed, have much lower mineral contents although </w:t>
      </w:r>
      <w:r w:rsidR="000F2395">
        <w:t xml:space="preserve">the minerals </w:t>
      </w:r>
      <w:r>
        <w:t xml:space="preserve">may be slightly bioavailable as the antinutritional factors </w:t>
      </w:r>
      <w:r w:rsidR="00DD162F">
        <w:t xml:space="preserve">as well as the minerals </w:t>
      </w:r>
      <w:r>
        <w:t xml:space="preserve">are mostly concentrated in the bran layers of the cereal grains (Gwamba et al., 2020). </w:t>
      </w:r>
    </w:p>
    <w:p w14:paraId="1005B88B" w14:textId="77777777" w:rsidR="00B330DD" w:rsidRDefault="00B330DD" w:rsidP="0009779A">
      <w:pPr>
        <w:spacing w:after="0"/>
      </w:pPr>
    </w:p>
    <w:p w14:paraId="46857148" w14:textId="40E7F51A" w:rsidR="00B330DD" w:rsidRDefault="00B330DD" w:rsidP="00A97AD3">
      <w:r>
        <w:t xml:space="preserve">Cereal grains </w:t>
      </w:r>
      <w:r w:rsidR="00DD162F">
        <w:t>can</w:t>
      </w:r>
      <w:r>
        <w:t xml:space="preserve"> also be important dietary sources of magnesium. For example, </w:t>
      </w:r>
      <w:r w:rsidR="00B35530">
        <w:t xml:space="preserve">a 100 g (dry basis) of </w:t>
      </w:r>
      <w:r>
        <w:t xml:space="preserve">many of the commonly consumed cereals may provide more than 100% </w:t>
      </w:r>
      <w:r w:rsidR="00095741">
        <w:t xml:space="preserve">and 50% </w:t>
      </w:r>
      <w:r>
        <w:t>of the daily RNI for magnesium</w:t>
      </w:r>
      <w:r w:rsidR="00DD162F">
        <w:t xml:space="preserve"> for school-age children and women of reproductive age</w:t>
      </w:r>
      <w:r w:rsidR="00095741">
        <w:t>, respectively</w:t>
      </w:r>
      <w:r w:rsidR="00D32E52">
        <w:t xml:space="preserve"> as </w:t>
      </w:r>
      <w:r>
        <w:t>the</w:t>
      </w:r>
      <w:r w:rsidR="00095741">
        <w:t>ir</w:t>
      </w:r>
      <w:r>
        <w:t xml:space="preserve"> daily RNIs for magnesium </w:t>
      </w:r>
      <w:r w:rsidR="00B35530">
        <w:t xml:space="preserve">is </w:t>
      </w:r>
      <w:r>
        <w:t>76–100 mg and 220 mg, respectively</w:t>
      </w:r>
      <w:r w:rsidR="00D32E52">
        <w:t xml:space="preserve"> </w:t>
      </w:r>
      <w:r>
        <w:t>(</w:t>
      </w:r>
      <w:r w:rsidRPr="00292ABA">
        <w:t>Table 2</w:t>
      </w:r>
      <w:r w:rsidR="00B71823" w:rsidRPr="00292ABA">
        <w:t>.</w:t>
      </w:r>
      <w:r w:rsidR="00292ABA">
        <w:t>2</w:t>
      </w:r>
      <w:r>
        <w:t>). However, cereals will contribute little to the daily RNI for calcium as the RNIs for school</w:t>
      </w:r>
      <w:r w:rsidR="00E0157F">
        <w:t xml:space="preserve">-age </w:t>
      </w:r>
      <w:r>
        <w:t>children and women of reproductive age are 600–700 mg and 1000 mg, respectively</w:t>
      </w:r>
      <w:r w:rsidR="00D32E52">
        <w:t>.</w:t>
      </w:r>
    </w:p>
    <w:p w14:paraId="1DB2BDE4" w14:textId="77777777" w:rsidR="00F923BA" w:rsidRDefault="00F923BA" w:rsidP="00F923BA">
      <w:pPr>
        <w:spacing w:after="0"/>
      </w:pPr>
    </w:p>
    <w:p w14:paraId="0857A742" w14:textId="541F68B9" w:rsidR="00B330DD" w:rsidRDefault="00B330DD" w:rsidP="00A97AD3">
      <w:pPr>
        <w:pStyle w:val="Heading3"/>
      </w:pPr>
      <w:bookmarkStart w:id="34" w:name="_Toc65253557"/>
      <w:r>
        <w:t>2.4.2</w:t>
      </w:r>
      <w:r w:rsidR="00382274">
        <w:tab/>
      </w:r>
      <w:r>
        <w:t>A</w:t>
      </w:r>
      <w:r w:rsidRPr="00AD1772">
        <w:t xml:space="preserve">ntinutritional factors in </w:t>
      </w:r>
      <w:r>
        <w:t>cereals</w:t>
      </w:r>
      <w:bookmarkEnd w:id="34"/>
    </w:p>
    <w:p w14:paraId="25B8491F" w14:textId="7EAD0843" w:rsidR="00B330DD" w:rsidRPr="00AD1772" w:rsidRDefault="00B330DD" w:rsidP="00A97AD3">
      <w:r>
        <w:t>The primary antinutritional factors that affect iron and zinc bioavailability in cereals are phytates, certain phenolic compounds and dietary fibre (Lestienne</w:t>
      </w:r>
      <w:r w:rsidRPr="001F5CC7">
        <w:t xml:space="preserve"> et al</w:t>
      </w:r>
      <w:r>
        <w:t>.,</w:t>
      </w:r>
      <w:r w:rsidRPr="001F5CC7">
        <w:t xml:space="preserve"> </w:t>
      </w:r>
      <w:r>
        <w:t>2007). Mineral bioavailability in foods in general may also be limited by nutrient-nutrient interactions, including mineral-mineral interactions (Sandström, 2001).</w:t>
      </w:r>
    </w:p>
    <w:p w14:paraId="29DA024E" w14:textId="77777777" w:rsidR="00B330DD" w:rsidRDefault="00B330DD" w:rsidP="00B330DD">
      <w:pPr>
        <w:spacing w:line="240" w:lineRule="auto"/>
        <w:rPr>
          <w:rFonts w:cs="Times New Roman"/>
          <w:b/>
          <w:i/>
          <w:szCs w:val="24"/>
        </w:rPr>
      </w:pPr>
    </w:p>
    <w:p w14:paraId="2B972E39" w14:textId="39C1A0C0" w:rsidR="00B330DD" w:rsidRPr="00A97AD3" w:rsidRDefault="00B330DD" w:rsidP="00A97AD3">
      <w:pPr>
        <w:pStyle w:val="Heading4"/>
      </w:pPr>
      <w:bookmarkStart w:id="35" w:name="_Toc65253558"/>
      <w:r w:rsidRPr="00A97AD3">
        <w:t>2.4.2.1</w:t>
      </w:r>
      <w:r w:rsidR="00382274">
        <w:tab/>
      </w:r>
      <w:r w:rsidRPr="00A97AD3">
        <w:t>Phytate</w:t>
      </w:r>
      <w:bookmarkEnd w:id="35"/>
    </w:p>
    <w:p w14:paraId="61D509E9" w14:textId="2D6B4B41" w:rsidR="00B330DD" w:rsidRDefault="00B330DD" w:rsidP="00A97AD3">
      <w:r>
        <w:t>Phytate (myoinositol phosphate) is the complex formed from the phosphate salt of phytic acid and divalent minerals and is the major storage form of phosphorus in grains (Kumssa</w:t>
      </w:r>
      <w:r w:rsidRPr="000639FC">
        <w:t xml:space="preserve"> et al.,</w:t>
      </w:r>
      <w:r>
        <w:t xml:space="preserve"> 2015). As stated, cereal grains contain high levels of various phytates, primarily myoinositol hexaphosphate. Wholegrain pearl millet and maize, for example, contain about 570–800 mg/100 g (Lestienne et al., 2007; Suma </w:t>
      </w:r>
      <w:r w:rsidR="00392C13">
        <w:t>&amp;</w:t>
      </w:r>
      <w:r>
        <w:t xml:space="preserve"> Urooj, 2014) and 790–2130 mg/100 g (Bryant et al., 2005; Kruger et al., 2014) of phytate, respectively. Phytate binds divalent cations of essential minerals such as iron, zinc, with high affinity, forming strong and insoluble complexes (Iyengar</w:t>
      </w:r>
      <w:r w:rsidRPr="000639FC">
        <w:t xml:space="preserve"> et al.,</w:t>
      </w:r>
      <w:r>
        <w:t xml:space="preserve"> 2010). The phytate-chelated minerals are consequently rendered inaccessible to the body for absorption, as the human digestive system lacks the phytase enzyme that </w:t>
      </w:r>
      <w:r w:rsidR="00696C5C">
        <w:t xml:space="preserve">can </w:t>
      </w:r>
      <w:r>
        <w:t>break down ingested phytates in foods (Kumssa</w:t>
      </w:r>
      <w:r w:rsidRPr="001F5CC7">
        <w:t xml:space="preserve"> et al</w:t>
      </w:r>
      <w:r>
        <w:t>.</w:t>
      </w:r>
      <w:r w:rsidRPr="001F5CC7">
        <w:t xml:space="preserve">, </w:t>
      </w:r>
      <w:r>
        <w:t>2015).</w:t>
      </w:r>
    </w:p>
    <w:p w14:paraId="44EA1B3E" w14:textId="77777777" w:rsidR="00B330DD" w:rsidRDefault="00B330DD" w:rsidP="0009779A">
      <w:pPr>
        <w:spacing w:after="0"/>
      </w:pPr>
    </w:p>
    <w:p w14:paraId="6423ED11" w14:textId="1516AD75" w:rsidR="00B330DD" w:rsidRDefault="00B330DD" w:rsidP="00A97AD3">
      <w:r>
        <w:t>Zimmermann et al. (2005) reported on a prospective cohort study of 15 months duration involving 126 iron-replete Moroccan school children (aged 6–10 years) who just completed a one-year iron food fortification programme and had resumed their normal habitual diets. In the study, the mean blood haemoglobin concentration of the children decreased. Also, about 75% and 33% of the children had reduced tissue iron and mild iron deficiency anaemia, respectively. Cereals and legumes were important component of the children’s diet, providing about 97% of the daily iron intake, but only about 2% of their iron intake was bioavailable. According to the authors, the poor iron bioavailability was due to high dietary phytate levels and low consumption of iron absorption enhancers. The importance of phytate in restricting iron bioavailability was shown by Hurrell et al. (2003).  These authors found that complete elimination of phytic acid in cereal-based porridges by applying an exogenous phytase enzyme increased iron absorption by approximately 20</w:t>
      </w:r>
      <w:r w:rsidR="00F53DE7">
        <w:t>9</w:t>
      </w:r>
      <w:r>
        <w:t>% from rice, 7</w:t>
      </w:r>
      <w:r w:rsidR="00F53DE7">
        <w:t>45</w:t>
      </w:r>
      <w:r>
        <w:t>% from oats, 396% from maize and 106</w:t>
      </w:r>
      <w:r w:rsidR="00F53DE7">
        <w:t>6</w:t>
      </w:r>
      <w:r>
        <w:t xml:space="preserve">% from wheat in healthy </w:t>
      </w:r>
      <w:r w:rsidR="003F5937">
        <w:t xml:space="preserve">American </w:t>
      </w:r>
      <w:r>
        <w:t>adult</w:t>
      </w:r>
      <w:r w:rsidR="003F5937">
        <w:t>s</w:t>
      </w:r>
      <w:r>
        <w:t xml:space="preserve"> (21–38 years). Similarly, </w:t>
      </w:r>
      <w:r w:rsidR="00A41CE3">
        <w:t xml:space="preserve">concerning zinc, </w:t>
      </w:r>
      <w:r>
        <w:t xml:space="preserve">Adams et al. (2002) reported that when phytic acid was reduced by 60% in a maize porridge through genetic modification, there was a 76% increase in the fractional zinc absorption in healthy </w:t>
      </w:r>
      <w:r w:rsidR="003F5937">
        <w:t xml:space="preserve">American </w:t>
      </w:r>
      <w:r>
        <w:t xml:space="preserve">adults (24–39 years).  </w:t>
      </w:r>
      <w:r w:rsidR="004D04D9">
        <w:t>In a randomized control trial involving healthy adults (18–45 years) in Switzerland, addition of phytase to a wholegrain maize porridge increased the fractional zinc absorption by more than 80%e (</w:t>
      </w:r>
      <w:r w:rsidR="004D04D9" w:rsidRPr="000D7DDF">
        <w:rPr>
          <w:rFonts w:cs="Times New Roman"/>
          <w:szCs w:val="24"/>
          <w:shd w:val="clear" w:color="auto" w:fill="FFFFFF"/>
        </w:rPr>
        <w:t>Brnić</w:t>
      </w:r>
      <w:r w:rsidR="004D04D9">
        <w:t xml:space="preserve"> et al., 2014). </w:t>
      </w:r>
      <w:r w:rsidR="00A41CE3">
        <w:t xml:space="preserve">Also, </w:t>
      </w:r>
      <w:r w:rsidRPr="00EE27CE">
        <w:t xml:space="preserve">Fredlund (2004) </w:t>
      </w:r>
      <w:r>
        <w:t>sh</w:t>
      </w:r>
      <w:r w:rsidRPr="00EE27CE">
        <w:t xml:space="preserve">owed that zinc absorption </w:t>
      </w:r>
      <w:r>
        <w:t xml:space="preserve">was </w:t>
      </w:r>
      <w:r w:rsidRPr="00EE27CE">
        <w:t xml:space="preserve">reduced in a dose dependent manner in healthy adults when sodium phytate was added to white wheat bread in increasing amounts. </w:t>
      </w:r>
      <w:r>
        <w:t>S</w:t>
      </w:r>
      <w:r w:rsidRPr="00EE27CE">
        <w:t>ignificant zinc inhibition occurred when the phytate added to the meal was ≥50 mg.</w:t>
      </w:r>
      <w:r>
        <w:t xml:space="preserve">  </w:t>
      </w:r>
    </w:p>
    <w:p w14:paraId="514A9352" w14:textId="77777777" w:rsidR="00B330DD" w:rsidRDefault="00B330DD" w:rsidP="0009779A">
      <w:pPr>
        <w:spacing w:after="0"/>
      </w:pPr>
    </w:p>
    <w:p w14:paraId="35028B14" w14:textId="37004451" w:rsidR="00B330DD" w:rsidRDefault="00B330DD" w:rsidP="00A97AD3">
      <w:pPr>
        <w:rPr>
          <w:b/>
          <w:i/>
        </w:rPr>
      </w:pPr>
      <w:r>
        <w:t xml:space="preserve">Similarly, numerous </w:t>
      </w:r>
      <w:r w:rsidR="00D5016D">
        <w:rPr>
          <w:i/>
          <w:iCs/>
        </w:rPr>
        <w:t>i</w:t>
      </w:r>
      <w:r w:rsidR="00D5016D" w:rsidRPr="00D5016D">
        <w:rPr>
          <w:i/>
          <w:iCs/>
        </w:rPr>
        <w:t>n vitro</w:t>
      </w:r>
      <w:r>
        <w:t xml:space="preserve"> studies have demonstrated the adverse effects of phytate on mineral bioaccessibility. For example, iron and zinc uptake </w:t>
      </w:r>
      <w:r w:rsidR="003F5937">
        <w:t>by</w:t>
      </w:r>
      <w:r>
        <w:t xml:space="preserve"> Caco-2 cells </w:t>
      </w:r>
      <w:r w:rsidR="003F5937">
        <w:t xml:space="preserve">was </w:t>
      </w:r>
      <w:r>
        <w:t>decreased by 60% and 45%, respectively when the cells were incubated with iron (50 µM) and zinc (50 µM) in the presence of phytate (500 µM) (Iyengar</w:t>
      </w:r>
      <w:r w:rsidRPr="001F5CC7">
        <w:t xml:space="preserve"> et al</w:t>
      </w:r>
      <w:r>
        <w:t>.</w:t>
      </w:r>
      <w:r w:rsidRPr="001F5CC7">
        <w:t xml:space="preserve">, </w:t>
      </w:r>
      <w:r>
        <w:t xml:space="preserve">2010). Kruger </w:t>
      </w:r>
      <w:r w:rsidRPr="001F5CC7">
        <w:t>et al.</w:t>
      </w:r>
      <w:r>
        <w:t xml:space="preserve"> (2013) </w:t>
      </w:r>
      <w:r w:rsidR="003F5937">
        <w:t>found</w:t>
      </w:r>
      <w:r>
        <w:t xml:space="preserve"> that when the phytate content of wholegrain sorghum was reduced by 80–86% through genetic modification, iron and zinc uptake </w:t>
      </w:r>
      <w:r w:rsidR="003F5937">
        <w:t>by</w:t>
      </w:r>
      <w:r>
        <w:t xml:space="preserve"> Caco-2 cells increased by 14–16% and 25–57%, respectively. </w:t>
      </w:r>
    </w:p>
    <w:p w14:paraId="7DF1BDA0" w14:textId="20E74030" w:rsidR="00B330DD" w:rsidRPr="00BD18FD" w:rsidRDefault="00B330DD" w:rsidP="00A97AD3">
      <w:pPr>
        <w:pStyle w:val="Heading4"/>
      </w:pPr>
      <w:bookmarkStart w:id="36" w:name="_Toc65253559"/>
      <w:r w:rsidRPr="00D62556">
        <w:t>2.4.2.2</w:t>
      </w:r>
      <w:r w:rsidR="00382274">
        <w:tab/>
      </w:r>
      <w:r w:rsidRPr="00D62556">
        <w:t>Polyphenols</w:t>
      </w:r>
      <w:bookmarkEnd w:id="36"/>
    </w:p>
    <w:p w14:paraId="3E0499F6" w14:textId="33B921B9" w:rsidR="00B330DD" w:rsidRDefault="00B330DD" w:rsidP="00A97AD3">
      <w:r>
        <w:t xml:space="preserve">Polyphenols comprise a very wide range of complex phenolic compounds that are present in all plants, including fruits, vegetables, pulses and cereals </w:t>
      </w:r>
      <w:r w:rsidRPr="00DF34C8">
        <w:t>(</w:t>
      </w:r>
      <w:r>
        <w:t>Bravo, 1998</w:t>
      </w:r>
      <w:r w:rsidRPr="00DF34C8">
        <w:t>)</w:t>
      </w:r>
      <w:r>
        <w:t xml:space="preserve">. They are composed of a benzene ring with one or several hydroxyl groups, and in cereal grains range from simple phenolic acid-type molecules to the more complex flavonoids, including the highly complex polymeric condensed tannins, which are </w:t>
      </w:r>
      <w:r w:rsidR="004415D0">
        <w:t>present</w:t>
      </w:r>
      <w:r>
        <w:t xml:space="preserve"> in some sorghum varieties (Dykes </w:t>
      </w:r>
      <w:r w:rsidR="00D917B4">
        <w:t>&amp;</w:t>
      </w:r>
      <w:r>
        <w:t xml:space="preserve"> Rooney, 2007). The polyphenols in plant foods can adversely affect iron availability by forming non-absorbable complex chelates with iron in the intestinal lumen (Hurrell et al., 1999; Shashi </w:t>
      </w:r>
      <w:r w:rsidRPr="001F5CC7">
        <w:t>et al.,</w:t>
      </w:r>
      <w:r>
        <w:t xml:space="preserve"> 2007). </w:t>
      </w:r>
    </w:p>
    <w:p w14:paraId="51934F81" w14:textId="77777777" w:rsidR="00B330DD" w:rsidRDefault="00B330DD" w:rsidP="0009779A">
      <w:pPr>
        <w:spacing w:after="0"/>
      </w:pPr>
    </w:p>
    <w:p w14:paraId="1B5DD93D" w14:textId="74B36498" w:rsidR="00B330DD" w:rsidRDefault="004415D0" w:rsidP="00A97AD3">
      <w:r>
        <w:t xml:space="preserve">As described, </w:t>
      </w:r>
      <w:r w:rsidR="00B330DD">
        <w:t>Cercamondi et al. (2014</w:t>
      </w:r>
      <w:r w:rsidR="00220231">
        <w:t>a</w:t>
      </w:r>
      <w:r w:rsidR="00B330DD">
        <w:t xml:space="preserve">) showed in a randomised cross-over design study carried out in Switzerland that when women (18–40 years) consumed an iron-fortified sorghum-based meal with varying polyphenol contents (17, 73 and 167 mg), iron absorption decreased by 62–68% with sorghum meals containing the higher levels of polyphenols. Concerning zinc, </w:t>
      </w:r>
      <w:r w:rsidR="00962E55" w:rsidRPr="000D7DDF">
        <w:rPr>
          <w:rFonts w:cs="Times New Roman"/>
          <w:szCs w:val="24"/>
          <w:shd w:val="clear" w:color="auto" w:fill="FFFFFF"/>
        </w:rPr>
        <w:t>Brnić</w:t>
      </w:r>
      <w:r w:rsidR="00B330DD">
        <w:t xml:space="preserve"> et al. (2014) studied the effect of dietary sorghum polyphenols on its absorption in healthy women (18–45 years) consuming white (presumably non-tannin type) and brown (presumably tannin-type</w:t>
      </w:r>
      <w:r>
        <w:t>)</w:t>
      </w:r>
      <w:r w:rsidR="00B330DD">
        <w:t xml:space="preserve"> sorghum porridges. Fractional zinc absorption decreased by approx</w:t>
      </w:r>
      <w:r w:rsidR="00094477">
        <w:t>imately</w:t>
      </w:r>
      <w:r w:rsidR="00B330DD">
        <w:t xml:space="preserve"> 21% in the women who consumed the brown sorghum porridge. The polyphenol content of the brown sorghum porridge was 3.5–fold higher than that of the white sorghum porridge. However, the phytate content of the brown sorghum porridge was slightly lower, about 27% than that of the white sorghum porridge. When both porridge types were dephytinized, there was no significant difference in the fractional zinc absorption between them. This indicates that the decrease in fractional zinc absorption observed in those that consumed the brown sorghum porridge may be due to both phytate and the relatively higher polyphenol contents in the brown sorghum porridge. </w:t>
      </w:r>
    </w:p>
    <w:p w14:paraId="7A63B6AC" w14:textId="77777777" w:rsidR="00B330DD" w:rsidRDefault="00B330DD" w:rsidP="0009779A">
      <w:pPr>
        <w:spacing w:after="0"/>
      </w:pPr>
    </w:p>
    <w:p w14:paraId="5E63E98E" w14:textId="021C1CA0" w:rsidR="00B330DD" w:rsidRDefault="00B330DD" w:rsidP="00A97AD3">
      <w:r>
        <w:t xml:space="preserve">In an </w:t>
      </w:r>
      <w:r w:rsidR="00D5016D">
        <w:rPr>
          <w:i/>
          <w:iCs/>
        </w:rPr>
        <w:t>i</w:t>
      </w:r>
      <w:r w:rsidR="00D5016D" w:rsidRPr="00D5016D">
        <w:rPr>
          <w:i/>
          <w:iCs/>
        </w:rPr>
        <w:t>n vitro</w:t>
      </w:r>
      <w:r>
        <w:t xml:space="preserve"> study, Kruger</w:t>
      </w:r>
      <w:r w:rsidRPr="002671EB">
        <w:t xml:space="preserve"> et al.</w:t>
      </w:r>
      <w:r>
        <w:t xml:space="preserve"> (2012) showed that reduction of phytate in a tannin-sorghum porridge, through genetic modification, had no effect on the iron bioaccessibility (as measured by dialysability assay). Furthermore, non-tannin sorghum porridge seemed to have higher percentage iron bioaccessibility, about 41–83% higher compared to the tannin-sorghum porridge. According to the authors, the inhibitory effects of tannins </w:t>
      </w:r>
      <w:r w:rsidR="004415D0">
        <w:t>likely</w:t>
      </w:r>
      <w:r>
        <w:t xml:space="preserve"> limited the iron bioaccessibility in the tannin-sorghum porridge.  </w:t>
      </w:r>
    </w:p>
    <w:p w14:paraId="4149EDF4" w14:textId="5288A9B2" w:rsidR="00B330DD" w:rsidRDefault="00B330DD" w:rsidP="00A97AD3">
      <w:pPr>
        <w:pStyle w:val="Heading4"/>
      </w:pPr>
      <w:bookmarkStart w:id="37" w:name="_Toc65253560"/>
      <w:r w:rsidRPr="00D62556">
        <w:t>2.4.2.3</w:t>
      </w:r>
      <w:r w:rsidR="00382274">
        <w:tab/>
      </w:r>
      <w:r w:rsidRPr="00435503">
        <w:t>Dietary fibre</w:t>
      </w:r>
      <w:bookmarkEnd w:id="37"/>
    </w:p>
    <w:p w14:paraId="4C3A9038" w14:textId="604F7838" w:rsidR="00B330DD" w:rsidRPr="007E483C" w:rsidRDefault="00B330DD" w:rsidP="00A97AD3">
      <w:r>
        <w:t xml:space="preserve">The high dietary fibre content of wholegrain cereals such as pearl millet has been reported to have a possible negative effect on iron and zinc bioavailability. For example, Lestienne et al. (2005) found that dephytination of the bran fraction of pearl millet grain (high in phenolics and in fibre (cellulose, hemicellulose and lignin)) did not increase its iron and zinc </w:t>
      </w:r>
      <w:r w:rsidR="00094477">
        <w:t>availability</w:t>
      </w:r>
      <w:r>
        <w:t xml:space="preserve">, unlike total dephytination of the decorticated endosperm (low fibre) fraction of the grain, which markedly improved its iron and zinc availabilities. However, </w:t>
      </w:r>
      <w:r w:rsidRPr="0006665D">
        <w:rPr>
          <w:noProof/>
          <w:color w:val="000000" w:themeColor="text1"/>
        </w:rPr>
        <w:t>Lönnerdal</w:t>
      </w:r>
      <w:r>
        <w:rPr>
          <w:noProof/>
          <w:color w:val="000000" w:themeColor="text1"/>
        </w:rPr>
        <w:t xml:space="preserve"> (2000</w:t>
      </w:r>
      <w:r>
        <w:t xml:space="preserve">) reported that the negative effects of fibre-rich foods on mineral absorption are most likely due to the co-presence of antinutritional factors such as phytate </w:t>
      </w:r>
      <w:r w:rsidR="00742FEC">
        <w:t xml:space="preserve">and phenolics </w:t>
      </w:r>
      <w:r>
        <w:t xml:space="preserve">in the foods and not necessarily due to the fibre present in the foods. In contrast, a study by Baye et al. (2015) showed that dietary fibre may have some adverse effects on iron bioaccessibility as dephytination in combination with partial hydrolysis of dietary fibre in wheat-red sorghum and teff-white sorghum flour blends increased the iron bioaccessibility of the flour blends by more than 60% and 100%, respectively. Furthermore, dephytination of the flour blends alone did not have any effect on the iron bioaccessibility. According to the authors, the hydrolysis of the cereal fibre, using </w:t>
      </w:r>
      <w:r w:rsidR="00742FEC">
        <w:t xml:space="preserve">a combination of </w:t>
      </w:r>
      <w:r>
        <w:t xml:space="preserve">xylanase </w:t>
      </w:r>
      <w:r w:rsidR="00742FEC">
        <w:t>and</w:t>
      </w:r>
      <w:r>
        <w:t xml:space="preserve"> cellulase, may have disrupted the cell wall</w:t>
      </w:r>
      <w:r w:rsidR="00780089">
        <w:t>s</w:t>
      </w:r>
      <w:r>
        <w:t xml:space="preserve"> </w:t>
      </w:r>
      <w:r w:rsidR="00780089">
        <w:t>in</w:t>
      </w:r>
      <w:r>
        <w:t xml:space="preserve"> the cereals</w:t>
      </w:r>
      <w:r w:rsidR="00780089">
        <w:t>,</w:t>
      </w:r>
      <w:r>
        <w:t xml:space="preserve"> resulting in the release of bound minerals </w:t>
      </w:r>
      <w:r w:rsidR="00780089">
        <w:t xml:space="preserve">and </w:t>
      </w:r>
      <w:r>
        <w:t xml:space="preserve">thereby increasing the amounts of </w:t>
      </w:r>
      <w:r w:rsidR="00780089">
        <w:t xml:space="preserve">bioaccessible </w:t>
      </w:r>
      <w:r>
        <w:t xml:space="preserve">minerals. </w:t>
      </w:r>
    </w:p>
    <w:p w14:paraId="7DBB815E" w14:textId="77777777" w:rsidR="00B330DD" w:rsidRDefault="00B330DD" w:rsidP="00094477">
      <w:pPr>
        <w:spacing w:after="0" w:line="240" w:lineRule="auto"/>
        <w:rPr>
          <w:rFonts w:cs="Times New Roman"/>
          <w:b/>
          <w:i/>
          <w:szCs w:val="24"/>
        </w:rPr>
      </w:pPr>
    </w:p>
    <w:p w14:paraId="1D5EE8DD" w14:textId="4DDBB3E3" w:rsidR="00B330DD" w:rsidRPr="00D62556" w:rsidRDefault="00B330DD" w:rsidP="00A97AD3">
      <w:pPr>
        <w:pStyle w:val="Heading4"/>
      </w:pPr>
      <w:bookmarkStart w:id="38" w:name="_Toc65253561"/>
      <w:r w:rsidRPr="00D62556">
        <w:t>2.4.2.4</w:t>
      </w:r>
      <w:r w:rsidR="00382274">
        <w:tab/>
      </w:r>
      <w:r>
        <w:t>Mineral-mineral</w:t>
      </w:r>
      <w:r w:rsidRPr="00D62556">
        <w:t xml:space="preserve"> interactions</w:t>
      </w:r>
      <w:bookmarkEnd w:id="38"/>
    </w:p>
    <w:p w14:paraId="5D18278C" w14:textId="23E6E432" w:rsidR="00B330DD" w:rsidRPr="003B6295" w:rsidRDefault="00B330DD" w:rsidP="00A97AD3">
      <w:r w:rsidRPr="00FF7FE3">
        <w:t>The co-occurrence of different minerals within a food matrix may also affect mineral bioavailability</w:t>
      </w:r>
      <w:r w:rsidR="00387E0C">
        <w:t>, depending on the relative concentration of the minerals</w:t>
      </w:r>
      <w:r w:rsidRPr="00FF7FE3">
        <w:t xml:space="preserve">. </w:t>
      </w:r>
      <w:r w:rsidR="00387E0C">
        <w:t>This is because m</w:t>
      </w:r>
      <w:r w:rsidRPr="00FF7FE3">
        <w:t>inerals with similar chemical structures can compete for transport proteins and other mechanisms required for their uptake</w:t>
      </w:r>
      <w:r w:rsidR="00387E0C">
        <w:t xml:space="preserve"> and absorption</w:t>
      </w:r>
      <w:r w:rsidR="00C54223">
        <w:t xml:space="preserve"> (Sandström, 2001)</w:t>
      </w:r>
      <w:r w:rsidRPr="00FF7FE3">
        <w:t xml:space="preserve">. </w:t>
      </w:r>
      <w:r w:rsidR="00DA7699">
        <w:rPr>
          <w:rFonts w:cs="Times New Roman"/>
          <w:szCs w:val="24"/>
        </w:rPr>
        <w:t>As described, fortification of cereal food products with iron has been widely implemented with the aim of improving the iron nutritional status of at-risk populations.</w:t>
      </w:r>
      <w:r>
        <w:t xml:space="preserve"> However, concerns have been raised on the potential negative impact of iron food fortification on zinc absorption and that it could further exacerbate the zinc status of zinc deficient populations </w:t>
      </w:r>
      <w:r w:rsidRPr="00FF7FE3">
        <w:t>(</w:t>
      </w:r>
      <w:r w:rsidRPr="00FF7FE3">
        <w:rPr>
          <w:noProof/>
          <w:color w:val="000000" w:themeColor="text1"/>
        </w:rPr>
        <w:t>Lönnerdal, 2000</w:t>
      </w:r>
      <w:r w:rsidRPr="00FF7FE3">
        <w:t>)</w:t>
      </w:r>
      <w:r>
        <w:t xml:space="preserve">. </w:t>
      </w:r>
      <w:r w:rsidRPr="00FF7FE3">
        <w:t xml:space="preserve">According to a review by </w:t>
      </w:r>
      <w:r w:rsidR="00F9293B" w:rsidRPr="000D7DDF">
        <w:rPr>
          <w:rFonts w:cs="Times New Roman"/>
          <w:szCs w:val="24"/>
        </w:rPr>
        <w:t>Sandström</w:t>
      </w:r>
      <w:r w:rsidRPr="00FF7FE3">
        <w:t xml:space="preserve"> (2001)</w:t>
      </w:r>
      <w:r w:rsidR="00F9293B">
        <w:t xml:space="preserve">, </w:t>
      </w:r>
      <w:r w:rsidRPr="00FF7FE3">
        <w:t xml:space="preserve">iron supplement doses of &gt;60 mg/day reduced the serum zinc concentration in human subjects. </w:t>
      </w:r>
      <w:r w:rsidR="00780089">
        <w:t>Similarly</w:t>
      </w:r>
      <w:r w:rsidRPr="00FF7FE3">
        <w:t xml:space="preserve">, oral administration of </w:t>
      </w:r>
      <w:r>
        <w:t xml:space="preserve">aqueous </w:t>
      </w:r>
      <w:r w:rsidRPr="00FF7FE3">
        <w:t>iron (25 mg</w:t>
      </w:r>
      <w:r>
        <w:t>, 50 mg and 75 mg</w:t>
      </w:r>
      <w:r w:rsidRPr="00FF7FE3">
        <w:t>) as FeSO</w:t>
      </w:r>
      <w:r w:rsidRPr="00FF7FE3">
        <w:rPr>
          <w:vertAlign w:val="subscript"/>
        </w:rPr>
        <w:t>4</w:t>
      </w:r>
      <w:r w:rsidRPr="00FF7FE3">
        <w:t xml:space="preserve"> together with zinc</w:t>
      </w:r>
      <w:r>
        <w:t xml:space="preserve"> (25 mg)</w:t>
      </w:r>
      <w:r w:rsidRPr="00FF7FE3">
        <w:t xml:space="preserve"> as ZnSO</w:t>
      </w:r>
      <w:r w:rsidRPr="00FF7FE3">
        <w:rPr>
          <w:vertAlign w:val="subscript"/>
        </w:rPr>
        <w:t>4</w:t>
      </w:r>
      <w:r w:rsidRPr="00FF7FE3">
        <w:t xml:space="preserve"> </w:t>
      </w:r>
      <w:r>
        <w:t xml:space="preserve">in a ratio 1–3:1 </w:t>
      </w:r>
      <w:r w:rsidR="00780089">
        <w:t>was</w:t>
      </w:r>
      <w:r w:rsidRPr="00FF7FE3">
        <w:t xml:space="preserve"> found to reduce zinc absorption in healthy adults (Solomon</w:t>
      </w:r>
      <w:r w:rsidR="006C431E">
        <w:t>s</w:t>
      </w:r>
      <w:r w:rsidRPr="00FF7FE3">
        <w:t xml:space="preserve"> </w:t>
      </w:r>
      <w:r w:rsidR="00F9293B">
        <w:t>&amp;</w:t>
      </w:r>
      <w:r w:rsidRPr="00FF7FE3">
        <w:t xml:space="preserve"> Jacob, 1981). </w:t>
      </w:r>
      <w:r>
        <w:t>However,</w:t>
      </w:r>
      <w:r w:rsidRPr="000962A0">
        <w:t xml:space="preserve"> </w:t>
      </w:r>
      <w:r>
        <w:t xml:space="preserve">iron fortification of a wheat bread roll (65 mg/kg) and a weaning wheat-cereal (200–500 mg/kg) to provide iron and zinc ratio of 9:1 and 23–57:1, respectively, </w:t>
      </w:r>
      <w:r w:rsidR="00F6589B">
        <w:t>was found to have</w:t>
      </w:r>
      <w:r>
        <w:t xml:space="preserve"> no negative effect on zinc absorption (Davidsson et al., 1995). </w:t>
      </w:r>
      <w:r w:rsidRPr="000962A0">
        <w:t>Conversely, high doses of aqueous zinc was found to impair iron absorption in human subjects, by 56%</w:t>
      </w:r>
      <w:r>
        <w:t xml:space="preserve"> </w:t>
      </w:r>
      <w:r w:rsidRPr="000962A0">
        <w:t>(Rossander-Hulten et al., 1991). However, when the zinc was given as part of a hamburger meal, there was no inhibitory effect on the iron absorption. The zinc:iron ratio used in the study was 5:1.</w:t>
      </w:r>
      <w:r>
        <w:t xml:space="preserve"> Thus, L</w:t>
      </w:r>
      <w:r w:rsidRPr="00FF7FE3">
        <w:rPr>
          <w:noProof/>
          <w:color w:val="000000" w:themeColor="text1"/>
        </w:rPr>
        <w:t xml:space="preserve">önnerdal </w:t>
      </w:r>
      <w:r>
        <w:rPr>
          <w:noProof/>
          <w:color w:val="000000" w:themeColor="text1"/>
        </w:rPr>
        <w:t>(</w:t>
      </w:r>
      <w:r w:rsidRPr="00FF7FE3">
        <w:rPr>
          <w:noProof/>
          <w:color w:val="000000" w:themeColor="text1"/>
        </w:rPr>
        <w:t>2000</w:t>
      </w:r>
      <w:r>
        <w:rPr>
          <w:noProof/>
          <w:color w:val="000000" w:themeColor="text1"/>
        </w:rPr>
        <w:t xml:space="preserve">) proposed that </w:t>
      </w:r>
      <w:r>
        <w:t>iron and zinc interactions may not have significant negative effects on their absorption when they are consumed as part of a meal and that iron food fortification will not have a limiting effect on zinc absorption</w:t>
      </w:r>
      <w:r>
        <w:rPr>
          <w:noProof/>
          <w:color w:val="000000" w:themeColor="text1"/>
        </w:rPr>
        <w:t>.</w:t>
      </w:r>
    </w:p>
    <w:p w14:paraId="02B207B8" w14:textId="77777777" w:rsidR="00B330DD" w:rsidRDefault="00B330DD" w:rsidP="0009779A">
      <w:pPr>
        <w:spacing w:after="0"/>
      </w:pPr>
    </w:p>
    <w:p w14:paraId="02DED9DE" w14:textId="152F0E4C" w:rsidR="00B330DD" w:rsidRDefault="00B330DD" w:rsidP="00A97AD3">
      <w:r>
        <w:t>The inhibitory effect of calcium on iron absorption has also been demonstrated. For example, addition of calcium (300–600 mg) to baked wheat rol</w:t>
      </w:r>
      <w:r w:rsidR="00F6589B">
        <w:t>l</w:t>
      </w:r>
      <w:r>
        <w:t xml:space="preserve">s decreased iron absorption by 50–60% (Hallberg et al., 1991). However, Abrams et al. (2001) found that addition of </w:t>
      </w:r>
      <w:r w:rsidR="00F6589B">
        <w:t xml:space="preserve">a </w:t>
      </w:r>
      <w:r>
        <w:t>moderate amount of calcium to a breakfast cereal, approximately 313 mg/60 g, had no effect on iron absorption compared to breakfast cereal without calcium addition (79 mg/60 g). In contrast, Hallberg</w:t>
      </w:r>
      <w:r w:rsidR="00C8069F">
        <w:t xml:space="preserve"> &amp;</w:t>
      </w:r>
      <w:r>
        <w:t xml:space="preserve"> </w:t>
      </w:r>
      <w:r w:rsidRPr="00FC784F">
        <w:rPr>
          <w:shd w:val="clear" w:color="auto" w:fill="FFFFFF"/>
        </w:rPr>
        <w:t>Hulthén</w:t>
      </w:r>
      <w:r>
        <w:rPr>
          <w:shd w:val="clear" w:color="auto" w:fill="FFFFFF"/>
        </w:rPr>
        <w:t xml:space="preserve"> </w:t>
      </w:r>
      <w:r>
        <w:t xml:space="preserve">(2000) found that in meals including plant-based foods, calcium levels of &lt;50 mg/100 g had no inhibitory effect on non-haem iron absorption. </w:t>
      </w:r>
      <w:r w:rsidR="003365B6">
        <w:t xml:space="preserve">However, at a higher calcium levels, iron absorption was impaired. </w:t>
      </w:r>
      <w:r>
        <w:t>As can be seen, the calcium levels in commonly consumed cereals in Africa are less than 50 mg/100 g (</w:t>
      </w:r>
      <w:r w:rsidRPr="00292ABA">
        <w:t xml:space="preserve">Table </w:t>
      </w:r>
      <w:r w:rsidR="00B71823" w:rsidRPr="00292ABA">
        <w:t>2.</w:t>
      </w:r>
      <w:r w:rsidRPr="00292ABA">
        <w:t>4)</w:t>
      </w:r>
      <w:r>
        <w:t xml:space="preserve"> and may, therefore, have no limiting effect on its non-haem iron absorption. With zinc, according to the review by </w:t>
      </w:r>
      <w:r w:rsidRPr="00FF7FE3">
        <w:t>Sandström</w:t>
      </w:r>
      <w:r w:rsidRPr="002671EB">
        <w:t xml:space="preserve"> </w:t>
      </w:r>
      <w:r>
        <w:t xml:space="preserve">(2001) calcium addition to meals at nutritionally relevant concentrations </w:t>
      </w:r>
      <w:r w:rsidR="00F6589B">
        <w:t>has little</w:t>
      </w:r>
      <w:r>
        <w:t xml:space="preserve"> effect on zinc absorption. However, calcium ha</w:t>
      </w:r>
      <w:r w:rsidR="00F6589B">
        <w:t>s</w:t>
      </w:r>
      <w:r>
        <w:t xml:space="preserve"> a negative effect on zinc absorption in the presence of phytate</w:t>
      </w:r>
      <w:r w:rsidR="00F6589B">
        <w:t>,</w:t>
      </w:r>
      <w:r>
        <w:t xml:space="preserve"> which could be due to </w:t>
      </w:r>
      <w:r w:rsidR="00F6589B">
        <w:t xml:space="preserve">its </w:t>
      </w:r>
      <w:r>
        <w:t>co-precipitation with phytate and zinc</w:t>
      </w:r>
      <w:r w:rsidR="00F6589B">
        <w:t xml:space="preserve"> in an insoluble complex</w:t>
      </w:r>
      <w:r>
        <w:t>.</w:t>
      </w:r>
    </w:p>
    <w:p w14:paraId="78D9AECA" w14:textId="52973600" w:rsidR="00B330DD" w:rsidRDefault="00B330DD" w:rsidP="00B330DD">
      <w:pPr>
        <w:spacing w:after="0"/>
        <w:rPr>
          <w:rFonts w:cs="Times New Roman"/>
          <w:szCs w:val="24"/>
        </w:rPr>
      </w:pPr>
      <w:r>
        <w:rPr>
          <w:rFonts w:cs="Times New Roman"/>
          <w:szCs w:val="24"/>
        </w:rPr>
        <w:t xml:space="preserve"> </w:t>
      </w:r>
    </w:p>
    <w:p w14:paraId="5213639B" w14:textId="3EECA443" w:rsidR="00B330DD" w:rsidRPr="00A97AD3" w:rsidRDefault="00B330DD" w:rsidP="00A97AD3">
      <w:pPr>
        <w:pStyle w:val="Heading2"/>
      </w:pPr>
      <w:bookmarkStart w:id="39" w:name="_Toc65253562"/>
      <w:r w:rsidRPr="00A97AD3">
        <w:t>2.5</w:t>
      </w:r>
      <w:r w:rsidR="00382274">
        <w:tab/>
      </w:r>
      <w:r w:rsidR="00A97AD3">
        <w:t>I</w:t>
      </w:r>
      <w:r w:rsidR="00A97AD3" w:rsidRPr="00A97AD3">
        <w:t>mproving iron and zinc contents and bioavailability in plant-based foods</w:t>
      </w:r>
      <w:bookmarkEnd w:id="39"/>
    </w:p>
    <w:p w14:paraId="4CE1249F" w14:textId="42DCE2D8" w:rsidR="00B330DD" w:rsidRPr="001972DD" w:rsidRDefault="00BC4B98" w:rsidP="00A52614">
      <w:r>
        <w:t>The m</w:t>
      </w:r>
      <w:r w:rsidR="00B330DD">
        <w:t xml:space="preserve">ineral bioavailability of plant-based foods is of paramount importance and not </w:t>
      </w:r>
      <w:r>
        <w:t>just</w:t>
      </w:r>
      <w:r w:rsidR="00B330DD">
        <w:t xml:space="preserve"> the mineral contents of the foods (Borg et al., 2009). Bioavailability of minerals can be defined as the proportion of ingested mineral that is absorbed into body circulation for normal physiologic</w:t>
      </w:r>
      <w:r w:rsidR="00D504E1">
        <w:t>al</w:t>
      </w:r>
      <w:r w:rsidR="00B330DD">
        <w:t xml:space="preserve"> functions (Gibson et al., 2006). Improving the mineral bioavailability of plant-based foods is an important way to tackle iron and zinc deficiencies</w:t>
      </w:r>
      <w:r>
        <w:t>,</w:t>
      </w:r>
      <w:r w:rsidR="00B330DD">
        <w:t xml:space="preserve"> especially in communities that consume </w:t>
      </w:r>
      <w:r>
        <w:t>a high proportion</w:t>
      </w:r>
      <w:r w:rsidR="00B330DD">
        <w:t xml:space="preserve"> of plant-based food products (Raes</w:t>
      </w:r>
      <w:r w:rsidR="00B330DD" w:rsidRPr="00963AA2">
        <w:t xml:space="preserve"> et al.,</w:t>
      </w:r>
      <w:r w:rsidR="00B330DD">
        <w:t xml:space="preserve"> 2014). Various strategies have been proposed to improve the bioavailability of minerals in plant-based foods.  These include increasing the </w:t>
      </w:r>
      <w:r>
        <w:t xml:space="preserve">content of </w:t>
      </w:r>
      <w:r w:rsidR="00B330DD">
        <w:t xml:space="preserve">minerals and </w:t>
      </w:r>
      <w:r w:rsidR="003365B6">
        <w:t>their</w:t>
      </w:r>
      <w:r w:rsidR="00B330DD">
        <w:t xml:space="preserve"> absorption enhancers in food products (Hotz </w:t>
      </w:r>
      <w:r w:rsidR="00C8069F">
        <w:t>&amp;</w:t>
      </w:r>
      <w:r w:rsidR="00B330DD">
        <w:t xml:space="preserve"> Gibson, 200</w:t>
      </w:r>
      <w:r w:rsidR="00C8069F">
        <w:t>1</w:t>
      </w:r>
      <w:r w:rsidR="00B330DD">
        <w:t xml:space="preserve">).  </w:t>
      </w:r>
      <w:r w:rsidR="00D9430D">
        <w:t xml:space="preserve">Several dietary components that enhance </w:t>
      </w:r>
      <w:r w:rsidR="00B7361E">
        <w:t>iron and zinc</w:t>
      </w:r>
      <w:r w:rsidR="00D9430D">
        <w:t xml:space="preserve"> bioavailability have been identified. These include</w:t>
      </w:r>
      <w:r w:rsidR="00B330DD">
        <w:t xml:space="preserve"> organic acids especially ascorbic acid and citric acid, β-carotene (provitamin A) and amino acids or animal proteins (</w:t>
      </w:r>
      <w:r w:rsidR="00B7361E">
        <w:t>Hunt, 2005</w:t>
      </w:r>
      <w:r w:rsidR="00F04998">
        <w:t>; Gibson, 2006</w:t>
      </w:r>
      <w:r w:rsidR="00042CB7">
        <w:t>)</w:t>
      </w:r>
      <w:r w:rsidR="00B330DD">
        <w:t>.</w:t>
      </w:r>
    </w:p>
    <w:p w14:paraId="7446D681" w14:textId="77777777" w:rsidR="00B330DD" w:rsidRDefault="00B330DD" w:rsidP="00B330DD">
      <w:pPr>
        <w:spacing w:line="240" w:lineRule="auto"/>
        <w:rPr>
          <w:rFonts w:cs="Times New Roman"/>
          <w:b/>
          <w:szCs w:val="24"/>
        </w:rPr>
      </w:pPr>
    </w:p>
    <w:p w14:paraId="5C9FFE89" w14:textId="31B540C1" w:rsidR="00B330DD" w:rsidRPr="00A52614" w:rsidRDefault="00B330DD" w:rsidP="00A52614">
      <w:pPr>
        <w:pStyle w:val="Heading3"/>
      </w:pPr>
      <w:bookmarkStart w:id="40" w:name="_Toc65253563"/>
      <w:r w:rsidRPr="00A52614">
        <w:t>2.5.1</w:t>
      </w:r>
      <w:r w:rsidR="00382274">
        <w:tab/>
      </w:r>
      <w:r w:rsidRPr="00A52614">
        <w:t>Enhancers of mineral bioavailability</w:t>
      </w:r>
      <w:bookmarkEnd w:id="40"/>
    </w:p>
    <w:p w14:paraId="00F4A85D" w14:textId="421D2AFB" w:rsidR="00B330DD" w:rsidRPr="00A52614" w:rsidRDefault="00B330DD" w:rsidP="00A52614">
      <w:pPr>
        <w:pStyle w:val="Heading4"/>
      </w:pPr>
      <w:bookmarkStart w:id="41" w:name="_Toc65253564"/>
      <w:r w:rsidRPr="00A52614">
        <w:t>2.5.1.1</w:t>
      </w:r>
      <w:r w:rsidR="00382274">
        <w:tab/>
      </w:r>
      <w:r w:rsidRPr="00A52614">
        <w:t>Organic acids (Ascorbic acid; Citric acid)</w:t>
      </w:r>
      <w:bookmarkEnd w:id="41"/>
    </w:p>
    <w:p w14:paraId="44EB9C0D" w14:textId="037ED5CC" w:rsidR="00B330DD" w:rsidRDefault="00B330DD" w:rsidP="00A52614">
      <w:r>
        <w:t>A</w:t>
      </w:r>
      <w:r w:rsidRPr="00776A54">
        <w:t>scorbic acid</w:t>
      </w:r>
      <w:r>
        <w:t xml:space="preserve"> is a potent enhancer of iron bioavailability in foods (</w:t>
      </w:r>
      <w:r w:rsidR="005C2457">
        <w:t>WHO &amp; FAO, 2004</w:t>
      </w:r>
      <w:r>
        <w:t>). It chelates iron and keeps it in solution, thereby facilitating its uptake by intestinal mucosal cells (</w:t>
      </w:r>
      <w:r w:rsidRPr="0006665D">
        <w:rPr>
          <w:noProof/>
          <w:color w:val="000000" w:themeColor="text1"/>
        </w:rPr>
        <w:t>Lönnerdal</w:t>
      </w:r>
      <w:r w:rsidRPr="002671EB">
        <w:rPr>
          <w:noProof/>
          <w:color w:val="000000" w:themeColor="text1"/>
        </w:rPr>
        <w:t>,</w:t>
      </w:r>
      <w:r>
        <w:rPr>
          <w:noProof/>
          <w:color w:val="000000" w:themeColor="text1"/>
        </w:rPr>
        <w:t xml:space="preserve"> 2000</w:t>
      </w:r>
      <w:r>
        <w:t xml:space="preserve">). Ascorbic acid </w:t>
      </w:r>
      <w:r w:rsidR="00BC4B98">
        <w:t>helps</w:t>
      </w:r>
      <w:r>
        <w:t xml:space="preserve"> keep the iron in a </w:t>
      </w:r>
      <w:r w:rsidR="003365B6">
        <w:t xml:space="preserve">soluble and </w:t>
      </w:r>
      <w:r>
        <w:t>bioavailable form despite the increase in the pH of digested food in the duodenum (Mackenz</w:t>
      </w:r>
      <w:r w:rsidR="00BC4B98">
        <w:t>i</w:t>
      </w:r>
      <w:r>
        <w:t xml:space="preserve">e and Garrick, 2005). </w:t>
      </w:r>
      <w:r w:rsidR="00E95735">
        <w:t xml:space="preserve">It </w:t>
      </w:r>
      <w:r w:rsidR="003365B6">
        <w:t>can,</w:t>
      </w:r>
      <w:r w:rsidR="00E95735">
        <w:t xml:space="preserve"> therefore</w:t>
      </w:r>
      <w:r w:rsidR="0041440D">
        <w:t>,</w:t>
      </w:r>
      <w:r w:rsidR="00E95735">
        <w:t xml:space="preserve"> </w:t>
      </w:r>
      <w:r w:rsidR="0041440D">
        <w:t>counteract</w:t>
      </w:r>
      <w:r w:rsidR="00E95735">
        <w:t xml:space="preserve"> the chelating effect of </w:t>
      </w:r>
      <w:r w:rsidR="0041440D">
        <w:t xml:space="preserve">iron bioavailability inhibitors, including phytates and polyphenols (Sharp &amp; Srai, 2007). </w:t>
      </w:r>
      <w:r>
        <w:t xml:space="preserve">Ascorbic acid, like the apical membrane-bound ferrireductases in the intestinal mucosal cells, </w:t>
      </w:r>
      <w:r w:rsidR="002569CF">
        <w:t>primarily</w:t>
      </w:r>
      <w:r>
        <w:t xml:space="preserve"> improves iron absorption by acting as a reducing agent by converting Fe</w:t>
      </w:r>
      <w:r w:rsidRPr="00EC7794">
        <w:rPr>
          <w:vertAlign w:val="superscript"/>
        </w:rPr>
        <w:t>3+</w:t>
      </w:r>
      <w:r>
        <w:t xml:space="preserve"> to Fe</w:t>
      </w:r>
      <w:r w:rsidRPr="00EC7794">
        <w:rPr>
          <w:vertAlign w:val="superscript"/>
        </w:rPr>
        <w:t>2+</w:t>
      </w:r>
      <w:r>
        <w:t>. This change in iron redox state is vital as the apical iron transporter (DMT-1: divalent metal ion transporter-1) can only transport non-haem iron in its reduced form (Fe</w:t>
      </w:r>
      <w:r w:rsidRPr="00B87DE3">
        <w:rPr>
          <w:vertAlign w:val="superscript"/>
        </w:rPr>
        <w:t>2+</w:t>
      </w:r>
      <w:r>
        <w:t xml:space="preserve">). However, zinc, unlike iron, has not been shown to form complexes with ascorbic acid as reduction of zinc is not required for its uptake (Iyengar </w:t>
      </w:r>
      <w:r w:rsidRPr="00763E29">
        <w:t>et al.</w:t>
      </w:r>
      <w:r>
        <w:t>, 2010).</w:t>
      </w:r>
    </w:p>
    <w:p w14:paraId="02463460" w14:textId="77777777" w:rsidR="002C454C" w:rsidRDefault="002C454C" w:rsidP="002C454C">
      <w:pPr>
        <w:spacing w:after="0"/>
      </w:pPr>
    </w:p>
    <w:p w14:paraId="14758F24" w14:textId="21270F0F" w:rsidR="00B330DD" w:rsidRDefault="00483199" w:rsidP="00A52614">
      <w:r>
        <w:t xml:space="preserve">As mentioned, </w:t>
      </w:r>
      <w:r w:rsidR="00B330DD">
        <w:t>an efficacy study involving healthy women of reproductive age in Switzerland</w:t>
      </w:r>
      <w:r>
        <w:t xml:space="preserve"> by </w:t>
      </w:r>
      <w:r w:rsidR="00B330DD">
        <w:t>Cercamondi et al. (2014</w:t>
      </w:r>
      <w:r w:rsidR="00220231">
        <w:t>a</w:t>
      </w:r>
      <w:r w:rsidR="00B330DD">
        <w:t xml:space="preserve">) showed that consumption of ascorbic acid with a brown (presumably a tannin-containing type) sorghum meal increased iron absorption in the women by approximately 196% despite the presence of the tannins, which inhibit iron uptake. Cepeda-Lopez </w:t>
      </w:r>
      <w:r w:rsidR="00B330DD" w:rsidRPr="00117F42">
        <w:rPr>
          <w:iCs/>
        </w:rPr>
        <w:t>et al</w:t>
      </w:r>
      <w:r w:rsidR="00B330DD">
        <w:t xml:space="preserve">. (2015) </w:t>
      </w:r>
      <w:r>
        <w:t>similarly</w:t>
      </w:r>
      <w:r w:rsidR="00B330DD">
        <w:t xml:space="preserve"> showed that consumption of an ascorbic acid fortified wheat-based meal increased iron absorption by 55% in women of childbearing age. The ascorbic acid and iron </w:t>
      </w:r>
      <w:r>
        <w:t>in</w:t>
      </w:r>
      <w:r w:rsidR="00B330DD">
        <w:t xml:space="preserve"> the meal was at a </w:t>
      </w:r>
      <w:r w:rsidR="002C454C">
        <w:t xml:space="preserve">molar </w:t>
      </w:r>
      <w:r w:rsidR="00B330DD">
        <w:t xml:space="preserve">ratio 2:1. However, with regard to zinc, Sandström </w:t>
      </w:r>
      <w:r w:rsidR="00325BDC">
        <w:t>&amp;</w:t>
      </w:r>
      <w:r w:rsidR="00B330DD">
        <w:t xml:space="preserve"> Cederblad (1987) found that </w:t>
      </w:r>
      <w:r>
        <w:t>with</w:t>
      </w:r>
      <w:r w:rsidR="00B330DD">
        <w:t xml:space="preserve"> healthy adults of 19–50 years, consumption of ascorbic acid with a wholegrain wheat bread (presumably with </w:t>
      </w:r>
      <w:r>
        <w:t xml:space="preserve">a </w:t>
      </w:r>
      <w:r w:rsidR="00B330DD">
        <w:t xml:space="preserve">high phytate </w:t>
      </w:r>
      <w:r>
        <w:t>content</w:t>
      </w:r>
      <w:r w:rsidR="00B330DD">
        <w:t xml:space="preserve">) did not increase zinc absorption. </w:t>
      </w:r>
    </w:p>
    <w:p w14:paraId="7D011EF5" w14:textId="77777777" w:rsidR="00B330DD" w:rsidRDefault="00B330DD" w:rsidP="00AC5114">
      <w:pPr>
        <w:spacing w:after="0"/>
      </w:pPr>
    </w:p>
    <w:p w14:paraId="2F0D96C4" w14:textId="175DC4D8" w:rsidR="00B330DD" w:rsidRDefault="00B330DD" w:rsidP="00A52614">
      <w:r>
        <w:t xml:space="preserve">Citric acid has also been reported to facilitate increase </w:t>
      </w:r>
      <w:r w:rsidR="00AC5114">
        <w:t xml:space="preserve">in </w:t>
      </w:r>
      <w:r>
        <w:t xml:space="preserve">iron and zinc bioavailability. It keeps the minerals in solution by forming soluble ligands with them in the lumen of the gut, thereby </w:t>
      </w:r>
      <w:r w:rsidR="00F04998">
        <w:t>facilitating their absorption</w:t>
      </w:r>
      <w:r>
        <w:t xml:space="preserve"> (Lönnerdal, 2000). For example, Hackl et al. (2016) showed that inclusion of </w:t>
      </w:r>
      <w:r w:rsidR="00483199">
        <w:t xml:space="preserve">a </w:t>
      </w:r>
      <w:r>
        <w:t xml:space="preserve">citric acid-trisodium citrate mix </w:t>
      </w:r>
      <w:r w:rsidR="00483199">
        <w:t>in a</w:t>
      </w:r>
      <w:r>
        <w:t xml:space="preserve"> ferric pyrophosphate fortified-extruded rice grains substantially increased iron absorption in women (aged 18–40 years) in Switzerland, when compared to unfortified grains. In a rat model study, </w:t>
      </w:r>
      <w:r w:rsidR="00043268">
        <w:t xml:space="preserve">it was found that </w:t>
      </w:r>
      <w:r>
        <w:t xml:space="preserve">consumption of a ferric iron solution containing citric acid increased the serum iron and haemoglobin concentrations (Takatera </w:t>
      </w:r>
      <w:r w:rsidRPr="0034166D">
        <w:t>et al.</w:t>
      </w:r>
      <w:r>
        <w:t xml:space="preserve"> 2012). Furthermore, in an </w:t>
      </w:r>
      <w:r w:rsidR="00D5016D">
        <w:rPr>
          <w:i/>
          <w:iCs/>
        </w:rPr>
        <w:t>i</w:t>
      </w:r>
      <w:r w:rsidR="00D5016D" w:rsidRPr="00D5016D">
        <w:rPr>
          <w:i/>
          <w:iCs/>
        </w:rPr>
        <w:t>n vitro</w:t>
      </w:r>
      <w:r>
        <w:t xml:space="preserve"> study, citric acid fortification of pressure cooked, and uncooked rice grains was found to substantially increase the percentage iron and zinc bioaccessibility of the grains (Hemalatha et al., 2005).</w:t>
      </w:r>
    </w:p>
    <w:p w14:paraId="375D9720" w14:textId="77777777" w:rsidR="00B330DD" w:rsidRDefault="00B330DD" w:rsidP="0009779A">
      <w:pPr>
        <w:spacing w:before="240" w:after="0"/>
      </w:pPr>
    </w:p>
    <w:p w14:paraId="1C7B69C3" w14:textId="21F01F65" w:rsidR="00B330DD" w:rsidRDefault="00B330DD" w:rsidP="00A52614">
      <w:r>
        <w:t xml:space="preserve">Many widely consumed </w:t>
      </w:r>
      <w:r w:rsidR="00B71823">
        <w:t>plants</w:t>
      </w:r>
      <w:r>
        <w:t xml:space="preserve"> foodstuffs in Africa, including oranges, mango fruit, papaya, and baobab fruit, contain substantial levels of ascorbic and citric acid (</w:t>
      </w:r>
      <w:r w:rsidRPr="00292ABA">
        <w:t xml:space="preserve">Table </w:t>
      </w:r>
      <w:r w:rsidR="00B71823" w:rsidRPr="00292ABA">
        <w:t>2.</w:t>
      </w:r>
      <w:r w:rsidRPr="00292ABA">
        <w:t>5</w:t>
      </w:r>
      <w:r>
        <w:t>). These plant foods c</w:t>
      </w:r>
      <w:r w:rsidR="00043268">
        <w:t>ould</w:t>
      </w:r>
      <w:r>
        <w:t xml:space="preserve"> be potential plant food fortificants to improve iron and zinc bioavailability in cereal foods. However, very few studies have investigated the potential of these plant foods in improving iron and zinc bioavailability in African</w:t>
      </w:r>
      <w:r w:rsidR="00043268">
        <w:t>-type</w:t>
      </w:r>
      <w:r>
        <w:t xml:space="preserve"> wholegrain cereal-based foods. </w:t>
      </w:r>
      <w:r>
        <w:rPr>
          <w:rFonts w:eastAsia="Times New Roman"/>
        </w:rPr>
        <w:t xml:space="preserve">Bhavya </w:t>
      </w:r>
      <w:r w:rsidR="00316818">
        <w:rPr>
          <w:rFonts w:eastAsia="Times New Roman"/>
        </w:rPr>
        <w:t>&amp;</w:t>
      </w:r>
      <w:r>
        <w:rPr>
          <w:rFonts w:eastAsia="Times New Roman"/>
        </w:rPr>
        <w:t xml:space="preserve"> Prakash (2012) found that amongst banana, strawberry and mango fortified refined breakfast cereal porridges, mango-fortified cereal porridge had the highest bioaccessible iron, presumably due to it</w:t>
      </w:r>
      <w:r w:rsidR="00043268">
        <w:rPr>
          <w:rFonts w:eastAsia="Times New Roman"/>
        </w:rPr>
        <w:t>s</w:t>
      </w:r>
      <w:r>
        <w:rPr>
          <w:rFonts w:eastAsia="Times New Roman"/>
        </w:rPr>
        <w:t xml:space="preserve"> high ascorbic acid and total carotene contents. The study of </w:t>
      </w:r>
      <w:r>
        <w:t xml:space="preserve">Hemalatha et al. (2005) also showed that mango fruit fortification of both uncooked and cooked rice grain substantially increased the zinc bioaccessibility of the rice grains (presumably due to its high citric acid contents). However, this food-to food fortification, unlike the study of </w:t>
      </w:r>
      <w:r>
        <w:rPr>
          <w:rFonts w:eastAsia="Times New Roman"/>
        </w:rPr>
        <w:t>Bhavya</w:t>
      </w:r>
      <w:r w:rsidR="00316818">
        <w:rPr>
          <w:rFonts w:eastAsia="Times New Roman"/>
        </w:rPr>
        <w:t xml:space="preserve"> &amp;</w:t>
      </w:r>
      <w:r>
        <w:rPr>
          <w:rFonts w:eastAsia="Times New Roman"/>
        </w:rPr>
        <w:t xml:space="preserve"> Prakash (2012),</w:t>
      </w:r>
      <w:r>
        <w:t xml:space="preserve"> had no effect on the iron bioaccessibility. </w:t>
      </w:r>
      <w:r>
        <w:rPr>
          <w:rFonts w:eastAsia="Times New Roman"/>
        </w:rPr>
        <w:t>Van der Merwe et al. (2019) also found that fortification of a wholegrain pearl millet-based porridge with baobab fruit, rich in ascorbic and citric acid, increased the iron and zinc bioaccessibilit</w:t>
      </w:r>
      <w:r w:rsidR="00043268">
        <w:rPr>
          <w:rFonts w:eastAsia="Times New Roman"/>
        </w:rPr>
        <w:t>ies</w:t>
      </w:r>
      <w:r>
        <w:rPr>
          <w:rFonts w:eastAsia="Times New Roman"/>
        </w:rPr>
        <w:t xml:space="preserve"> of the porridge. </w:t>
      </w:r>
    </w:p>
    <w:p w14:paraId="45952E17" w14:textId="77777777" w:rsidR="00B330DD" w:rsidRDefault="00B330DD" w:rsidP="0031055E">
      <w:pPr>
        <w:spacing w:after="0"/>
        <w:rPr>
          <w:rFonts w:cs="Times New Roman"/>
          <w:szCs w:val="24"/>
        </w:rPr>
      </w:pPr>
    </w:p>
    <w:p w14:paraId="59EB8F6C" w14:textId="77777777" w:rsidR="002D4794" w:rsidRDefault="002D4794" w:rsidP="00AA1F4E">
      <w:pPr>
        <w:pStyle w:val="MyTables"/>
        <w:spacing w:line="240" w:lineRule="auto"/>
        <w:rPr>
          <w:b/>
          <w:bCs/>
        </w:rPr>
      </w:pPr>
    </w:p>
    <w:p w14:paraId="787AEAEF" w14:textId="77777777" w:rsidR="002D4794" w:rsidRDefault="002D4794" w:rsidP="00AA1F4E">
      <w:pPr>
        <w:pStyle w:val="MyTables"/>
        <w:spacing w:line="240" w:lineRule="auto"/>
        <w:rPr>
          <w:b/>
          <w:bCs/>
        </w:rPr>
      </w:pPr>
    </w:p>
    <w:p w14:paraId="242B324C" w14:textId="77777777" w:rsidR="002D4794" w:rsidRDefault="002D4794" w:rsidP="00AA1F4E">
      <w:pPr>
        <w:pStyle w:val="MyTables"/>
        <w:spacing w:line="240" w:lineRule="auto"/>
        <w:rPr>
          <w:b/>
          <w:bCs/>
        </w:rPr>
      </w:pPr>
    </w:p>
    <w:p w14:paraId="213C3611" w14:textId="77777777" w:rsidR="002D4794" w:rsidRDefault="002D4794" w:rsidP="00AA1F4E">
      <w:pPr>
        <w:pStyle w:val="MyTables"/>
        <w:spacing w:line="240" w:lineRule="auto"/>
        <w:rPr>
          <w:b/>
          <w:bCs/>
        </w:rPr>
      </w:pPr>
    </w:p>
    <w:p w14:paraId="0C8F5A6B" w14:textId="77777777" w:rsidR="002D4794" w:rsidRDefault="002D4794" w:rsidP="00AA1F4E">
      <w:pPr>
        <w:pStyle w:val="MyTables"/>
        <w:spacing w:line="240" w:lineRule="auto"/>
        <w:rPr>
          <w:b/>
          <w:bCs/>
        </w:rPr>
      </w:pPr>
    </w:p>
    <w:p w14:paraId="0E7554E6" w14:textId="77777777" w:rsidR="002D4794" w:rsidRDefault="002D4794" w:rsidP="00AA1F4E">
      <w:pPr>
        <w:pStyle w:val="MyTables"/>
        <w:spacing w:line="240" w:lineRule="auto"/>
        <w:rPr>
          <w:b/>
          <w:bCs/>
        </w:rPr>
      </w:pPr>
    </w:p>
    <w:p w14:paraId="0715F071" w14:textId="728C6115" w:rsidR="00B330DD" w:rsidRPr="00D25306" w:rsidRDefault="00B330DD" w:rsidP="00AA1F4E">
      <w:pPr>
        <w:pStyle w:val="MyTables"/>
        <w:spacing w:line="240" w:lineRule="auto"/>
      </w:pPr>
      <w:bookmarkStart w:id="42" w:name="_Toc65253627"/>
      <w:r w:rsidRPr="00292ABA">
        <w:rPr>
          <w:b/>
          <w:bCs/>
        </w:rPr>
        <w:t xml:space="preserve">Table </w:t>
      </w:r>
      <w:r w:rsidR="00B71823" w:rsidRPr="00292ABA">
        <w:rPr>
          <w:b/>
          <w:bCs/>
        </w:rPr>
        <w:t>2.</w:t>
      </w:r>
      <w:r w:rsidRPr="00292ABA">
        <w:rPr>
          <w:b/>
          <w:bCs/>
        </w:rPr>
        <w:t>5</w:t>
      </w:r>
      <w:r w:rsidRPr="00D25306">
        <w:t>: Ascorbic acid, citric acid and β-carotene contents (mg/100 g; dry basis) of plant foodstuffs commonly available in Africa</w:t>
      </w:r>
      <w:bookmarkEnd w:id="42"/>
    </w:p>
    <w:tbl>
      <w:tblPr>
        <w:tblW w:w="0" w:type="auto"/>
        <w:tblBorders>
          <w:top w:val="single" w:sz="4" w:space="0" w:color="auto"/>
          <w:bottom w:val="single" w:sz="4" w:space="0" w:color="auto"/>
        </w:tblBorders>
        <w:tblLook w:val="04A0" w:firstRow="1" w:lastRow="0" w:firstColumn="1" w:lastColumn="0" w:noHBand="0" w:noVBand="1"/>
      </w:tblPr>
      <w:tblGrid>
        <w:gridCol w:w="2955"/>
        <w:gridCol w:w="1660"/>
        <w:gridCol w:w="2014"/>
        <w:gridCol w:w="2613"/>
      </w:tblGrid>
      <w:tr w:rsidR="00B330DD" w:rsidRPr="00F45913" w14:paraId="3FA8C478" w14:textId="77777777" w:rsidTr="00C471E0">
        <w:tc>
          <w:tcPr>
            <w:tcW w:w="2955" w:type="dxa"/>
            <w:tcBorders>
              <w:top w:val="single" w:sz="4" w:space="0" w:color="auto"/>
              <w:bottom w:val="single" w:sz="4" w:space="0" w:color="auto"/>
            </w:tcBorders>
          </w:tcPr>
          <w:p w14:paraId="6FB5C87C" w14:textId="77777777" w:rsidR="00B330DD" w:rsidRPr="00F45913" w:rsidRDefault="00B330DD" w:rsidP="00AA1F4E">
            <w:pPr>
              <w:spacing w:before="240" w:after="0" w:line="240" w:lineRule="auto"/>
              <w:rPr>
                <w:rFonts w:cs="Times New Roman"/>
                <w:b/>
                <w:sz w:val="22"/>
              </w:rPr>
            </w:pPr>
            <w:r w:rsidRPr="00F45913">
              <w:rPr>
                <w:rFonts w:cs="Times New Roman"/>
                <w:b/>
                <w:sz w:val="22"/>
              </w:rPr>
              <w:t>Plant foodstuff</w:t>
            </w:r>
          </w:p>
        </w:tc>
        <w:tc>
          <w:tcPr>
            <w:tcW w:w="1660" w:type="dxa"/>
            <w:tcBorders>
              <w:top w:val="single" w:sz="4" w:space="0" w:color="auto"/>
              <w:bottom w:val="single" w:sz="4" w:space="0" w:color="auto"/>
            </w:tcBorders>
          </w:tcPr>
          <w:p w14:paraId="2BD9280C" w14:textId="4646AF2E" w:rsidR="00B330DD" w:rsidRPr="00F45913" w:rsidRDefault="00B330DD" w:rsidP="00AA1F4E">
            <w:pPr>
              <w:spacing w:before="240" w:after="0" w:line="240" w:lineRule="auto"/>
              <w:jc w:val="center"/>
              <w:rPr>
                <w:rFonts w:cs="Times New Roman"/>
                <w:b/>
                <w:sz w:val="22"/>
              </w:rPr>
            </w:pPr>
            <w:r w:rsidRPr="00F45913">
              <w:rPr>
                <w:rFonts w:cs="Times New Roman"/>
                <w:b/>
                <w:sz w:val="22"/>
              </w:rPr>
              <w:t>Ascorbic acid</w:t>
            </w:r>
            <w:r w:rsidR="009368F2">
              <w:rPr>
                <w:rFonts w:cs="Times New Roman"/>
                <w:b/>
                <w:sz w:val="22"/>
                <w:vertAlign w:val="superscript"/>
              </w:rPr>
              <w:t>A</w:t>
            </w:r>
          </w:p>
        </w:tc>
        <w:tc>
          <w:tcPr>
            <w:tcW w:w="2014" w:type="dxa"/>
            <w:tcBorders>
              <w:top w:val="single" w:sz="4" w:space="0" w:color="auto"/>
              <w:bottom w:val="single" w:sz="4" w:space="0" w:color="auto"/>
            </w:tcBorders>
          </w:tcPr>
          <w:p w14:paraId="44E21685" w14:textId="77777777" w:rsidR="00B330DD" w:rsidRPr="00F45913" w:rsidRDefault="00B330DD" w:rsidP="00AA1F4E">
            <w:pPr>
              <w:spacing w:before="240" w:after="0" w:line="240" w:lineRule="auto"/>
              <w:jc w:val="center"/>
              <w:rPr>
                <w:rFonts w:cs="Times New Roman"/>
                <w:b/>
                <w:sz w:val="22"/>
              </w:rPr>
            </w:pPr>
            <w:r w:rsidRPr="00F45913">
              <w:rPr>
                <w:rFonts w:cs="Times New Roman"/>
                <w:b/>
                <w:sz w:val="22"/>
              </w:rPr>
              <w:t>Citric acid</w:t>
            </w:r>
          </w:p>
        </w:tc>
        <w:tc>
          <w:tcPr>
            <w:tcW w:w="2613" w:type="dxa"/>
            <w:tcBorders>
              <w:top w:val="single" w:sz="4" w:space="0" w:color="auto"/>
              <w:bottom w:val="single" w:sz="4" w:space="0" w:color="auto"/>
            </w:tcBorders>
          </w:tcPr>
          <w:p w14:paraId="3086D511" w14:textId="20BB5752" w:rsidR="00B330DD" w:rsidRPr="00F45913" w:rsidRDefault="00B330DD" w:rsidP="00AA1F4E">
            <w:pPr>
              <w:spacing w:before="240" w:after="0" w:line="240" w:lineRule="auto"/>
              <w:jc w:val="center"/>
              <w:rPr>
                <w:rFonts w:cs="Times New Roman"/>
                <w:b/>
                <w:sz w:val="22"/>
              </w:rPr>
            </w:pPr>
            <w:r w:rsidRPr="00F45913">
              <w:rPr>
                <w:rFonts w:eastAsia="Times New Roman" w:cs="Times New Roman"/>
                <w:b/>
                <w:sz w:val="22"/>
              </w:rPr>
              <w:t>Beta-carotene</w:t>
            </w:r>
            <w:r w:rsidR="009368F2">
              <w:rPr>
                <w:rFonts w:eastAsia="Times New Roman" w:cs="Times New Roman"/>
                <w:b/>
                <w:sz w:val="22"/>
                <w:vertAlign w:val="superscript"/>
              </w:rPr>
              <w:t>A</w:t>
            </w:r>
          </w:p>
        </w:tc>
      </w:tr>
      <w:tr w:rsidR="00B330DD" w:rsidRPr="00F45913" w14:paraId="69E640E3" w14:textId="77777777" w:rsidTr="00C471E0">
        <w:tc>
          <w:tcPr>
            <w:tcW w:w="2955" w:type="dxa"/>
            <w:tcBorders>
              <w:top w:val="single" w:sz="4" w:space="0" w:color="auto"/>
            </w:tcBorders>
          </w:tcPr>
          <w:p w14:paraId="4885FA86" w14:textId="77777777" w:rsidR="00B330DD" w:rsidRPr="00F45913" w:rsidRDefault="00B330DD" w:rsidP="00AA1F4E">
            <w:pPr>
              <w:spacing w:before="240" w:after="0" w:line="240" w:lineRule="auto"/>
              <w:rPr>
                <w:rFonts w:cs="Times New Roman"/>
                <w:sz w:val="22"/>
              </w:rPr>
            </w:pPr>
            <w:r w:rsidRPr="00F45913">
              <w:rPr>
                <w:rFonts w:cs="Times New Roman"/>
                <w:sz w:val="22"/>
              </w:rPr>
              <w:t>Orange</w:t>
            </w:r>
          </w:p>
        </w:tc>
        <w:tc>
          <w:tcPr>
            <w:tcW w:w="1660" w:type="dxa"/>
            <w:tcBorders>
              <w:top w:val="single" w:sz="4" w:space="0" w:color="auto"/>
            </w:tcBorders>
          </w:tcPr>
          <w:p w14:paraId="56E8B2BB" w14:textId="77777777" w:rsidR="00B330DD" w:rsidRPr="00F45913" w:rsidRDefault="00B330DD" w:rsidP="00AA1F4E">
            <w:pPr>
              <w:spacing w:before="240" w:after="0" w:line="240" w:lineRule="auto"/>
              <w:jc w:val="center"/>
              <w:rPr>
                <w:rFonts w:cs="Times New Roman"/>
                <w:sz w:val="22"/>
              </w:rPr>
            </w:pPr>
            <w:r w:rsidRPr="00F45913">
              <w:rPr>
                <w:rFonts w:cs="Times New Roman"/>
                <w:sz w:val="22"/>
              </w:rPr>
              <w:t>402</w:t>
            </w:r>
          </w:p>
        </w:tc>
        <w:tc>
          <w:tcPr>
            <w:tcW w:w="2014" w:type="dxa"/>
            <w:tcBorders>
              <w:top w:val="single" w:sz="4" w:space="0" w:color="auto"/>
            </w:tcBorders>
          </w:tcPr>
          <w:p w14:paraId="381D97C9" w14:textId="187D872A" w:rsidR="00B330DD" w:rsidRPr="00F45913" w:rsidRDefault="00B330DD" w:rsidP="00AA1F4E">
            <w:pPr>
              <w:spacing w:before="240" w:after="0" w:line="240" w:lineRule="auto"/>
              <w:jc w:val="center"/>
              <w:rPr>
                <w:rFonts w:cs="Times New Roman"/>
                <w:sz w:val="22"/>
              </w:rPr>
            </w:pPr>
            <w:r w:rsidRPr="00F45913">
              <w:rPr>
                <w:rFonts w:cs="Times New Roman"/>
                <w:sz w:val="22"/>
              </w:rPr>
              <w:t>1125–1392</w:t>
            </w:r>
            <w:r w:rsidR="009368F2">
              <w:rPr>
                <w:rFonts w:cs="Times New Roman"/>
                <w:sz w:val="22"/>
                <w:vertAlign w:val="superscript"/>
              </w:rPr>
              <w:t>B</w:t>
            </w:r>
            <w:r w:rsidRPr="00F45913">
              <w:rPr>
                <w:rFonts w:cs="Times New Roman"/>
                <w:sz w:val="22"/>
              </w:rPr>
              <w:t xml:space="preserve"> (8491–10506)</w:t>
            </w:r>
            <w:r w:rsidR="009368F2">
              <w:rPr>
                <w:rFonts w:cs="Times New Roman"/>
                <w:sz w:val="22"/>
                <w:vertAlign w:val="superscript"/>
              </w:rPr>
              <w:t>C</w:t>
            </w:r>
          </w:p>
        </w:tc>
        <w:tc>
          <w:tcPr>
            <w:tcW w:w="2613" w:type="dxa"/>
            <w:tcBorders>
              <w:top w:val="single" w:sz="4" w:space="0" w:color="auto"/>
            </w:tcBorders>
          </w:tcPr>
          <w:p w14:paraId="6254CA6A" w14:textId="77777777" w:rsidR="00B330DD" w:rsidRPr="00F45913" w:rsidRDefault="00B330DD" w:rsidP="00AA1F4E">
            <w:pPr>
              <w:spacing w:before="240" w:after="0" w:line="240" w:lineRule="auto"/>
              <w:jc w:val="center"/>
              <w:rPr>
                <w:rFonts w:cs="Times New Roman"/>
                <w:sz w:val="22"/>
              </w:rPr>
            </w:pPr>
            <w:r w:rsidRPr="00F45913">
              <w:rPr>
                <w:rFonts w:cs="Times New Roman"/>
                <w:sz w:val="22"/>
              </w:rPr>
              <w:t>536</w:t>
            </w:r>
          </w:p>
        </w:tc>
      </w:tr>
      <w:tr w:rsidR="00B330DD" w:rsidRPr="00F45913" w14:paraId="7F53E544" w14:textId="77777777" w:rsidTr="00C471E0">
        <w:tc>
          <w:tcPr>
            <w:tcW w:w="2955" w:type="dxa"/>
          </w:tcPr>
          <w:p w14:paraId="41543263" w14:textId="77777777" w:rsidR="00B330DD" w:rsidRPr="00F45913" w:rsidRDefault="00B330DD" w:rsidP="00AA1F4E">
            <w:pPr>
              <w:spacing w:before="240" w:after="0" w:line="240" w:lineRule="auto"/>
              <w:rPr>
                <w:rFonts w:cs="Times New Roman"/>
                <w:sz w:val="22"/>
              </w:rPr>
            </w:pPr>
            <w:r w:rsidRPr="00F45913">
              <w:rPr>
                <w:rFonts w:cs="Times New Roman"/>
                <w:sz w:val="22"/>
              </w:rPr>
              <w:t>Mango</w:t>
            </w:r>
          </w:p>
        </w:tc>
        <w:tc>
          <w:tcPr>
            <w:tcW w:w="1660" w:type="dxa"/>
          </w:tcPr>
          <w:p w14:paraId="561DC559" w14:textId="77777777" w:rsidR="00B330DD" w:rsidRPr="00F45913" w:rsidRDefault="00B330DD" w:rsidP="00AA1F4E">
            <w:pPr>
              <w:spacing w:before="240" w:after="0" w:line="240" w:lineRule="auto"/>
              <w:jc w:val="center"/>
              <w:rPr>
                <w:rFonts w:cs="Times New Roman"/>
                <w:sz w:val="22"/>
              </w:rPr>
            </w:pPr>
            <w:r w:rsidRPr="00F45913">
              <w:rPr>
                <w:rFonts w:cs="Times New Roman"/>
                <w:sz w:val="22"/>
              </w:rPr>
              <w:t>220</w:t>
            </w:r>
          </w:p>
        </w:tc>
        <w:tc>
          <w:tcPr>
            <w:tcW w:w="2014" w:type="dxa"/>
          </w:tcPr>
          <w:p w14:paraId="4F28C8D0" w14:textId="22B71AF8" w:rsidR="00B330DD" w:rsidRPr="00F45913" w:rsidRDefault="00B330DD" w:rsidP="00AA1F4E">
            <w:pPr>
              <w:spacing w:before="240" w:after="0" w:line="240" w:lineRule="auto"/>
              <w:jc w:val="center"/>
              <w:rPr>
                <w:rFonts w:cs="Times New Roman"/>
                <w:sz w:val="22"/>
              </w:rPr>
            </w:pPr>
            <w:r w:rsidRPr="00F45913">
              <w:rPr>
                <w:rFonts w:cs="Times New Roman"/>
                <w:sz w:val="22"/>
              </w:rPr>
              <w:t>84–2212</w:t>
            </w:r>
            <w:r w:rsidR="009368F2">
              <w:rPr>
                <w:rFonts w:cs="Times New Roman"/>
                <w:sz w:val="22"/>
                <w:vertAlign w:val="superscript"/>
              </w:rPr>
              <w:t>D</w:t>
            </w:r>
          </w:p>
        </w:tc>
        <w:tc>
          <w:tcPr>
            <w:tcW w:w="2613" w:type="dxa"/>
          </w:tcPr>
          <w:p w14:paraId="6AACB976" w14:textId="77777777" w:rsidR="00B330DD" w:rsidRPr="00F45913" w:rsidRDefault="00B330DD" w:rsidP="00AA1F4E">
            <w:pPr>
              <w:spacing w:before="240" w:after="0" w:line="240" w:lineRule="auto"/>
              <w:jc w:val="center"/>
              <w:rPr>
                <w:rFonts w:cs="Times New Roman"/>
                <w:sz w:val="22"/>
              </w:rPr>
            </w:pPr>
            <w:r w:rsidRPr="00F45913">
              <w:rPr>
                <w:rFonts w:cs="Times New Roman"/>
                <w:sz w:val="22"/>
              </w:rPr>
              <w:t>3869</w:t>
            </w:r>
          </w:p>
        </w:tc>
      </w:tr>
      <w:tr w:rsidR="00B330DD" w:rsidRPr="00F45913" w14:paraId="7CBC2093" w14:textId="77777777" w:rsidTr="00C471E0">
        <w:tc>
          <w:tcPr>
            <w:tcW w:w="2955" w:type="dxa"/>
          </w:tcPr>
          <w:p w14:paraId="508F5624" w14:textId="77777777" w:rsidR="00B330DD" w:rsidRPr="00F45913" w:rsidRDefault="00B330DD" w:rsidP="00AA1F4E">
            <w:pPr>
              <w:spacing w:before="240" w:after="0" w:line="240" w:lineRule="auto"/>
              <w:rPr>
                <w:rFonts w:cs="Times New Roman"/>
                <w:sz w:val="22"/>
              </w:rPr>
            </w:pPr>
            <w:r w:rsidRPr="00F45913">
              <w:rPr>
                <w:rFonts w:cs="Times New Roman"/>
                <w:sz w:val="22"/>
              </w:rPr>
              <w:t>Baobab fruit</w:t>
            </w:r>
          </w:p>
        </w:tc>
        <w:tc>
          <w:tcPr>
            <w:tcW w:w="1660" w:type="dxa"/>
          </w:tcPr>
          <w:p w14:paraId="25E88769" w14:textId="77777777" w:rsidR="00B330DD" w:rsidRPr="00F45913" w:rsidRDefault="00B330DD" w:rsidP="00AA1F4E">
            <w:pPr>
              <w:spacing w:before="240" w:after="0" w:line="240" w:lineRule="auto"/>
              <w:jc w:val="center"/>
              <w:rPr>
                <w:rFonts w:cs="Times New Roman"/>
                <w:sz w:val="22"/>
              </w:rPr>
            </w:pPr>
            <w:r w:rsidRPr="00F45913">
              <w:rPr>
                <w:rFonts w:cs="Times New Roman"/>
                <w:sz w:val="22"/>
              </w:rPr>
              <w:t>194</w:t>
            </w:r>
          </w:p>
        </w:tc>
        <w:tc>
          <w:tcPr>
            <w:tcW w:w="2014" w:type="dxa"/>
          </w:tcPr>
          <w:p w14:paraId="649F82EF" w14:textId="65926539" w:rsidR="00B330DD" w:rsidRPr="00F45913" w:rsidRDefault="00B330DD" w:rsidP="00AA1F4E">
            <w:pPr>
              <w:spacing w:before="240" w:after="0" w:line="240" w:lineRule="auto"/>
              <w:jc w:val="center"/>
              <w:rPr>
                <w:rFonts w:cs="Times New Roman"/>
                <w:sz w:val="22"/>
              </w:rPr>
            </w:pPr>
            <w:r w:rsidRPr="00F45913">
              <w:rPr>
                <w:rFonts w:cs="Times New Roman"/>
                <w:sz w:val="22"/>
              </w:rPr>
              <w:t>3705</w:t>
            </w:r>
            <w:r w:rsidR="009368F2">
              <w:rPr>
                <w:rFonts w:cs="Times New Roman"/>
                <w:sz w:val="22"/>
                <w:vertAlign w:val="superscript"/>
              </w:rPr>
              <w:t>E</w:t>
            </w:r>
          </w:p>
        </w:tc>
        <w:tc>
          <w:tcPr>
            <w:tcW w:w="2613" w:type="dxa"/>
          </w:tcPr>
          <w:p w14:paraId="566F0914" w14:textId="77777777" w:rsidR="00B330DD" w:rsidRPr="00F45913" w:rsidRDefault="00B330DD" w:rsidP="00AA1F4E">
            <w:pPr>
              <w:spacing w:before="240" w:after="0" w:line="240" w:lineRule="auto"/>
              <w:jc w:val="center"/>
              <w:rPr>
                <w:rFonts w:cs="Times New Roman"/>
                <w:sz w:val="22"/>
              </w:rPr>
            </w:pPr>
            <w:r w:rsidRPr="00F45913">
              <w:rPr>
                <w:rFonts w:cs="Times New Roman"/>
                <w:sz w:val="22"/>
              </w:rPr>
              <w:t>-</w:t>
            </w:r>
          </w:p>
        </w:tc>
      </w:tr>
      <w:tr w:rsidR="00B330DD" w:rsidRPr="00F45913" w14:paraId="2774981E" w14:textId="77777777" w:rsidTr="00C471E0">
        <w:tc>
          <w:tcPr>
            <w:tcW w:w="2955" w:type="dxa"/>
          </w:tcPr>
          <w:p w14:paraId="583A9F36" w14:textId="77777777" w:rsidR="00B330DD" w:rsidRPr="00F45913" w:rsidRDefault="00B330DD" w:rsidP="00AA1F4E">
            <w:pPr>
              <w:spacing w:before="240" w:after="0" w:line="240" w:lineRule="auto"/>
              <w:rPr>
                <w:rFonts w:cs="Times New Roman"/>
                <w:sz w:val="22"/>
              </w:rPr>
            </w:pPr>
            <w:r w:rsidRPr="00F45913">
              <w:rPr>
                <w:rFonts w:cs="Times New Roman"/>
                <w:sz w:val="22"/>
              </w:rPr>
              <w:t>Papaya</w:t>
            </w:r>
          </w:p>
        </w:tc>
        <w:tc>
          <w:tcPr>
            <w:tcW w:w="1660" w:type="dxa"/>
          </w:tcPr>
          <w:p w14:paraId="5BFAC58A" w14:textId="77777777" w:rsidR="00B330DD" w:rsidRPr="00F45913" w:rsidRDefault="00B330DD" w:rsidP="00AA1F4E">
            <w:pPr>
              <w:spacing w:before="240" w:after="0" w:line="240" w:lineRule="auto"/>
              <w:jc w:val="center"/>
              <w:rPr>
                <w:rFonts w:cs="Times New Roman"/>
                <w:sz w:val="22"/>
              </w:rPr>
            </w:pPr>
            <w:r w:rsidRPr="00F45913">
              <w:rPr>
                <w:rFonts w:cs="Times New Roman"/>
                <w:sz w:val="22"/>
              </w:rPr>
              <w:t>510</w:t>
            </w:r>
          </w:p>
        </w:tc>
        <w:tc>
          <w:tcPr>
            <w:tcW w:w="2014" w:type="dxa"/>
          </w:tcPr>
          <w:p w14:paraId="3E7920B1" w14:textId="3C422056" w:rsidR="00B330DD" w:rsidRPr="00F45913" w:rsidRDefault="00B330DD" w:rsidP="00AA1F4E">
            <w:pPr>
              <w:spacing w:before="240" w:after="0" w:line="240" w:lineRule="auto"/>
              <w:jc w:val="center"/>
              <w:rPr>
                <w:rFonts w:cs="Times New Roman"/>
                <w:sz w:val="22"/>
              </w:rPr>
            </w:pPr>
            <w:r w:rsidRPr="00F45913">
              <w:rPr>
                <w:rFonts w:cs="Times New Roman"/>
                <w:sz w:val="22"/>
              </w:rPr>
              <w:t>1474–3174</w:t>
            </w:r>
            <w:r w:rsidR="009368F2">
              <w:rPr>
                <w:rFonts w:cs="Times New Roman"/>
                <w:sz w:val="22"/>
                <w:vertAlign w:val="superscript"/>
              </w:rPr>
              <w:t>F</w:t>
            </w:r>
          </w:p>
        </w:tc>
        <w:tc>
          <w:tcPr>
            <w:tcW w:w="2613" w:type="dxa"/>
          </w:tcPr>
          <w:p w14:paraId="47E7ECCF" w14:textId="77777777" w:rsidR="00B330DD" w:rsidRPr="00F45913" w:rsidRDefault="00B330DD" w:rsidP="00AA1F4E">
            <w:pPr>
              <w:spacing w:before="240" w:after="0" w:line="240" w:lineRule="auto"/>
              <w:jc w:val="center"/>
              <w:rPr>
                <w:rFonts w:cs="Times New Roman"/>
                <w:sz w:val="22"/>
              </w:rPr>
            </w:pPr>
            <w:r w:rsidRPr="00F45913">
              <w:rPr>
                <w:rFonts w:cs="Times New Roman"/>
                <w:sz w:val="22"/>
              </w:rPr>
              <w:t>2294</w:t>
            </w:r>
          </w:p>
        </w:tc>
      </w:tr>
      <w:tr w:rsidR="00B330DD" w:rsidRPr="00F45913" w14:paraId="696583DB" w14:textId="77777777" w:rsidTr="00C471E0">
        <w:tc>
          <w:tcPr>
            <w:tcW w:w="2955" w:type="dxa"/>
          </w:tcPr>
          <w:p w14:paraId="3EFC8559" w14:textId="77777777" w:rsidR="00B330DD" w:rsidRPr="00F45913" w:rsidRDefault="00B330DD" w:rsidP="00AA1F4E">
            <w:pPr>
              <w:spacing w:before="240" w:after="0" w:line="240" w:lineRule="auto"/>
              <w:rPr>
                <w:rFonts w:cs="Times New Roman"/>
                <w:sz w:val="22"/>
              </w:rPr>
            </w:pPr>
            <w:r w:rsidRPr="00F45913">
              <w:rPr>
                <w:rFonts w:cs="Times New Roman"/>
                <w:sz w:val="22"/>
              </w:rPr>
              <w:t>Carrot</w:t>
            </w:r>
          </w:p>
        </w:tc>
        <w:tc>
          <w:tcPr>
            <w:tcW w:w="1660" w:type="dxa"/>
          </w:tcPr>
          <w:p w14:paraId="789487FD" w14:textId="77777777" w:rsidR="00B330DD" w:rsidRPr="00F45913" w:rsidRDefault="00B330DD" w:rsidP="00AA1F4E">
            <w:pPr>
              <w:spacing w:before="240" w:after="0" w:line="240" w:lineRule="auto"/>
              <w:jc w:val="center"/>
              <w:rPr>
                <w:rFonts w:cs="Times New Roman"/>
                <w:sz w:val="22"/>
              </w:rPr>
            </w:pPr>
            <w:r w:rsidRPr="00F45913">
              <w:rPr>
                <w:rFonts w:cs="Times New Roman"/>
                <w:sz w:val="22"/>
              </w:rPr>
              <w:t>50</w:t>
            </w:r>
          </w:p>
        </w:tc>
        <w:tc>
          <w:tcPr>
            <w:tcW w:w="2014" w:type="dxa"/>
          </w:tcPr>
          <w:p w14:paraId="7531DAE2" w14:textId="77777777" w:rsidR="00B330DD" w:rsidRPr="00F45913" w:rsidRDefault="00B330DD" w:rsidP="00AA1F4E">
            <w:pPr>
              <w:spacing w:before="240" w:after="0" w:line="240" w:lineRule="auto"/>
              <w:jc w:val="center"/>
              <w:rPr>
                <w:rFonts w:cs="Times New Roman"/>
                <w:sz w:val="22"/>
              </w:rPr>
            </w:pPr>
            <w:r w:rsidRPr="00F45913">
              <w:rPr>
                <w:rFonts w:cs="Times New Roman"/>
                <w:sz w:val="22"/>
              </w:rPr>
              <w:t>-</w:t>
            </w:r>
          </w:p>
        </w:tc>
        <w:tc>
          <w:tcPr>
            <w:tcW w:w="2613" w:type="dxa"/>
          </w:tcPr>
          <w:p w14:paraId="14A7188D" w14:textId="77777777" w:rsidR="00B330DD" w:rsidRPr="00F45913" w:rsidRDefault="00B330DD" w:rsidP="00AA1F4E">
            <w:pPr>
              <w:spacing w:before="240" w:after="0" w:line="240" w:lineRule="auto"/>
              <w:jc w:val="center"/>
              <w:rPr>
                <w:rFonts w:cs="Times New Roman"/>
                <w:sz w:val="22"/>
              </w:rPr>
            </w:pPr>
            <w:r w:rsidRPr="00F45913">
              <w:rPr>
                <w:rFonts w:cs="Times New Roman"/>
                <w:sz w:val="22"/>
              </w:rPr>
              <w:t>70751</w:t>
            </w:r>
          </w:p>
        </w:tc>
      </w:tr>
    </w:tbl>
    <w:p w14:paraId="76804FF5" w14:textId="4FDF5AE8" w:rsidR="00B330DD" w:rsidRDefault="009368F2" w:rsidP="00B330DD">
      <w:pPr>
        <w:spacing w:before="240" w:after="0" w:line="240" w:lineRule="auto"/>
        <w:rPr>
          <w:rStyle w:val="Hyperlink"/>
          <w:sz w:val="20"/>
          <w:szCs w:val="20"/>
        </w:rPr>
      </w:pPr>
      <w:r>
        <w:rPr>
          <w:rFonts w:eastAsia="Times New Roman" w:cs="Times New Roman"/>
          <w:sz w:val="20"/>
          <w:szCs w:val="20"/>
          <w:vertAlign w:val="superscript"/>
        </w:rPr>
        <w:t>A</w:t>
      </w:r>
      <w:r w:rsidR="00B330DD" w:rsidRPr="0036044E">
        <w:rPr>
          <w:rFonts w:cs="Times New Roman"/>
          <w:sz w:val="20"/>
          <w:szCs w:val="20"/>
        </w:rPr>
        <w:t xml:space="preserve">USDA (2019) </w:t>
      </w:r>
    </w:p>
    <w:p w14:paraId="33885D52" w14:textId="46AF640D" w:rsidR="00B330DD" w:rsidRPr="005F494C" w:rsidRDefault="009368F2" w:rsidP="00B330DD">
      <w:pPr>
        <w:spacing w:after="0" w:line="240" w:lineRule="auto"/>
        <w:rPr>
          <w:rStyle w:val="Hyperlink"/>
          <w:color w:val="auto"/>
          <w:sz w:val="20"/>
          <w:szCs w:val="20"/>
          <w:u w:val="none"/>
        </w:rPr>
      </w:pPr>
      <w:r>
        <w:rPr>
          <w:rFonts w:cs="Times New Roman"/>
          <w:szCs w:val="24"/>
          <w:vertAlign w:val="superscript"/>
        </w:rPr>
        <w:t>B</w:t>
      </w:r>
      <w:r w:rsidR="00B330DD" w:rsidRPr="005F494C">
        <w:rPr>
          <w:rStyle w:val="Hyperlink"/>
          <w:color w:val="auto"/>
          <w:sz w:val="20"/>
          <w:szCs w:val="20"/>
          <w:u w:val="none"/>
        </w:rPr>
        <w:t>del Campo et al. (2006); Nour et al. (2010), amount of citric acid is expressed as mg/100 ml</w:t>
      </w:r>
    </w:p>
    <w:p w14:paraId="1170DB3F" w14:textId="519E2488" w:rsidR="00B330DD" w:rsidRPr="005F494C" w:rsidRDefault="009368F2" w:rsidP="00B330DD">
      <w:pPr>
        <w:spacing w:after="0" w:line="240" w:lineRule="auto"/>
        <w:rPr>
          <w:rStyle w:val="Hyperlink"/>
          <w:color w:val="auto"/>
          <w:sz w:val="20"/>
          <w:szCs w:val="20"/>
          <w:u w:val="none"/>
        </w:rPr>
      </w:pPr>
      <w:r>
        <w:rPr>
          <w:rFonts w:cs="Times New Roman"/>
          <w:szCs w:val="24"/>
          <w:vertAlign w:val="superscript"/>
        </w:rPr>
        <w:t>C</w:t>
      </w:r>
      <w:r w:rsidR="00B330DD" w:rsidRPr="005F494C">
        <w:rPr>
          <w:rStyle w:val="Hyperlink"/>
          <w:color w:val="auto"/>
          <w:sz w:val="20"/>
          <w:szCs w:val="20"/>
          <w:u w:val="none"/>
        </w:rPr>
        <w:t xml:space="preserve">Dry weight of orange estimated with USDA orange juice moisture values assuming 100 ml orange juice is equivalent to 100 g </w:t>
      </w:r>
    </w:p>
    <w:p w14:paraId="3197CC2A" w14:textId="3AEC5F21" w:rsidR="00B330DD" w:rsidRPr="005F494C" w:rsidRDefault="009368F2" w:rsidP="00B330DD">
      <w:pPr>
        <w:spacing w:after="0" w:line="240" w:lineRule="auto"/>
        <w:rPr>
          <w:rStyle w:val="Hyperlink"/>
          <w:color w:val="auto"/>
          <w:sz w:val="20"/>
          <w:szCs w:val="20"/>
          <w:u w:val="none"/>
        </w:rPr>
      </w:pPr>
      <w:r>
        <w:rPr>
          <w:rStyle w:val="Hyperlink"/>
          <w:color w:val="auto"/>
          <w:sz w:val="20"/>
          <w:szCs w:val="20"/>
          <w:u w:val="none"/>
          <w:vertAlign w:val="superscript"/>
        </w:rPr>
        <w:t>D</w:t>
      </w:r>
      <w:r w:rsidR="00B330DD" w:rsidRPr="005F494C">
        <w:rPr>
          <w:rFonts w:cs="Times New Roman"/>
          <w:sz w:val="20"/>
          <w:szCs w:val="20"/>
          <w:shd w:val="clear" w:color="auto" w:fill="FFFFFF"/>
        </w:rPr>
        <w:t>González</w:t>
      </w:r>
      <w:r w:rsidR="00B330DD" w:rsidRPr="005F494C">
        <w:rPr>
          <w:rStyle w:val="Hyperlink"/>
          <w:color w:val="auto"/>
          <w:sz w:val="20"/>
          <w:szCs w:val="20"/>
          <w:u w:val="none"/>
        </w:rPr>
        <w:t>-Aguilar et al. (2000), Liu et al. (2013), dry weight of mango estimated with USDA mango moisture values</w:t>
      </w:r>
    </w:p>
    <w:p w14:paraId="27803DA7" w14:textId="190A5A25" w:rsidR="00B330DD" w:rsidRPr="005F494C" w:rsidRDefault="009368F2" w:rsidP="00B330DD">
      <w:pPr>
        <w:spacing w:after="0" w:line="240" w:lineRule="auto"/>
        <w:rPr>
          <w:rStyle w:val="Hyperlink"/>
          <w:color w:val="auto"/>
          <w:sz w:val="20"/>
          <w:szCs w:val="20"/>
          <w:u w:val="none"/>
        </w:rPr>
      </w:pPr>
      <w:r>
        <w:rPr>
          <w:rStyle w:val="Hyperlink"/>
          <w:color w:val="auto"/>
          <w:sz w:val="20"/>
          <w:szCs w:val="20"/>
          <w:u w:val="none"/>
          <w:vertAlign w:val="superscript"/>
        </w:rPr>
        <w:t>E</w:t>
      </w:r>
      <w:r w:rsidR="00B330DD" w:rsidRPr="005F494C">
        <w:rPr>
          <w:rStyle w:val="Hyperlink"/>
          <w:color w:val="auto"/>
          <w:sz w:val="20"/>
          <w:szCs w:val="20"/>
          <w:u w:val="none"/>
        </w:rPr>
        <w:t>Tembo et al. (2017) dry weight of baobab estimated with USDA baobab moisture values</w:t>
      </w:r>
    </w:p>
    <w:p w14:paraId="47971788" w14:textId="3D30F929" w:rsidR="00B330DD" w:rsidRDefault="009368F2" w:rsidP="005F494C">
      <w:pPr>
        <w:spacing w:after="0" w:line="240" w:lineRule="auto"/>
        <w:rPr>
          <w:rStyle w:val="Hyperlink"/>
          <w:color w:val="auto"/>
          <w:sz w:val="20"/>
          <w:szCs w:val="20"/>
          <w:u w:val="none"/>
        </w:rPr>
      </w:pPr>
      <w:r>
        <w:rPr>
          <w:rStyle w:val="Hyperlink"/>
          <w:color w:val="auto"/>
          <w:sz w:val="20"/>
          <w:szCs w:val="20"/>
          <w:u w:val="none"/>
          <w:vertAlign w:val="superscript"/>
        </w:rPr>
        <w:t>F</w:t>
      </w:r>
      <w:r w:rsidR="00B330DD" w:rsidRPr="005F494C">
        <w:rPr>
          <w:rStyle w:val="Hyperlink"/>
          <w:color w:val="auto"/>
          <w:sz w:val="20"/>
          <w:szCs w:val="20"/>
          <w:u w:val="none"/>
        </w:rPr>
        <w:t xml:space="preserve">Hernández et al. (2009), Kelebek </w:t>
      </w:r>
      <w:r w:rsidR="004E69BC">
        <w:rPr>
          <w:rStyle w:val="Hyperlink"/>
          <w:color w:val="auto"/>
          <w:sz w:val="20"/>
          <w:szCs w:val="20"/>
          <w:u w:val="none"/>
        </w:rPr>
        <w:t>et al.</w:t>
      </w:r>
      <w:r w:rsidR="00B330DD" w:rsidRPr="005F494C">
        <w:rPr>
          <w:rStyle w:val="Hyperlink"/>
          <w:color w:val="auto"/>
          <w:sz w:val="20"/>
          <w:szCs w:val="20"/>
          <w:u w:val="none"/>
        </w:rPr>
        <w:t xml:space="preserve"> (201</w:t>
      </w:r>
      <w:r w:rsidR="004E69BC">
        <w:rPr>
          <w:rStyle w:val="Hyperlink"/>
          <w:color w:val="auto"/>
          <w:sz w:val="20"/>
          <w:szCs w:val="20"/>
          <w:u w:val="none"/>
        </w:rPr>
        <w:t>5</w:t>
      </w:r>
      <w:r w:rsidR="00B330DD" w:rsidRPr="005F494C">
        <w:rPr>
          <w:rStyle w:val="Hyperlink"/>
          <w:color w:val="auto"/>
          <w:sz w:val="20"/>
          <w:szCs w:val="20"/>
          <w:u w:val="none"/>
        </w:rPr>
        <w:t>) dry weight of papaya estimated with USDA papaya moisture values</w:t>
      </w:r>
      <w:r w:rsidR="005F494C">
        <w:rPr>
          <w:rStyle w:val="Hyperlink"/>
          <w:color w:val="auto"/>
          <w:sz w:val="20"/>
          <w:szCs w:val="20"/>
          <w:u w:val="none"/>
        </w:rPr>
        <w:t xml:space="preserve">, </w:t>
      </w:r>
      <w:r w:rsidR="00B330DD" w:rsidRPr="005F494C">
        <w:rPr>
          <w:rStyle w:val="Hyperlink"/>
          <w:color w:val="auto"/>
          <w:sz w:val="20"/>
          <w:szCs w:val="20"/>
          <w:u w:val="none"/>
          <w:vertAlign w:val="superscript"/>
        </w:rPr>
        <w:t>-</w:t>
      </w:r>
      <w:r w:rsidR="00B330DD" w:rsidRPr="005F494C">
        <w:rPr>
          <w:rStyle w:val="Hyperlink"/>
          <w:color w:val="auto"/>
          <w:sz w:val="20"/>
          <w:szCs w:val="20"/>
          <w:u w:val="none"/>
        </w:rPr>
        <w:t>No available data</w:t>
      </w:r>
    </w:p>
    <w:p w14:paraId="5BC0D170" w14:textId="77777777" w:rsidR="008A2630" w:rsidRPr="0009779A" w:rsidRDefault="008A2630" w:rsidP="0009779A">
      <w:pPr>
        <w:spacing w:before="240" w:after="0"/>
        <w:rPr>
          <w:szCs w:val="24"/>
        </w:rPr>
      </w:pPr>
    </w:p>
    <w:p w14:paraId="22CAF958" w14:textId="13FEF86B" w:rsidR="00B330DD" w:rsidRPr="00081474" w:rsidRDefault="00B330DD" w:rsidP="00A52614">
      <w:pPr>
        <w:pStyle w:val="Heading4"/>
      </w:pPr>
      <w:bookmarkStart w:id="43" w:name="_Toc65253565"/>
      <w:r w:rsidRPr="00081474">
        <w:t>2.5.</w:t>
      </w:r>
      <w:r>
        <w:t>1.2</w:t>
      </w:r>
      <w:r w:rsidR="00382274">
        <w:tab/>
      </w:r>
      <w:r>
        <w:rPr>
          <w:bCs/>
        </w:rPr>
        <w:t>Beta</w:t>
      </w:r>
      <w:r w:rsidRPr="00081474">
        <w:rPr>
          <w:bCs/>
        </w:rPr>
        <w:t>-carotene</w:t>
      </w:r>
      <w:r w:rsidRPr="004A4445">
        <w:rPr>
          <w:bCs/>
        </w:rPr>
        <w:t xml:space="preserve"> (</w:t>
      </w:r>
      <w:r w:rsidRPr="00081474">
        <w:t>Provitamin A</w:t>
      </w:r>
      <w:r>
        <w:t>)</w:t>
      </w:r>
      <w:bookmarkEnd w:id="43"/>
      <w:r w:rsidRPr="00081474">
        <w:t xml:space="preserve"> </w:t>
      </w:r>
    </w:p>
    <w:p w14:paraId="5FCC7CC8" w14:textId="3FF89AAF" w:rsidR="00B330DD" w:rsidRDefault="00E51BF7" w:rsidP="00A52614">
      <w:r>
        <w:rPr>
          <w:rFonts w:cs="Times New Roman"/>
          <w:szCs w:val="24"/>
        </w:rPr>
        <w:t xml:space="preserve">Beta-carotene is the most important of all carotenoids and </w:t>
      </w:r>
      <w:r w:rsidR="00C20C3D">
        <w:rPr>
          <w:rFonts w:cs="Times New Roman"/>
          <w:szCs w:val="24"/>
        </w:rPr>
        <w:t>has</w:t>
      </w:r>
      <w:r>
        <w:rPr>
          <w:rFonts w:cs="Times New Roman"/>
          <w:szCs w:val="24"/>
        </w:rPr>
        <w:t xml:space="preserve"> the highest vitamin A activity (WHO &amp; FAO, 2006).</w:t>
      </w:r>
      <w:r w:rsidDel="00E51BF7">
        <w:t xml:space="preserve"> </w:t>
      </w:r>
      <w:r w:rsidR="00D3564D">
        <w:t xml:space="preserve">It </w:t>
      </w:r>
      <w:r w:rsidR="00B330DD">
        <w:t xml:space="preserve">has also been shown to be a possible enhancer of iron </w:t>
      </w:r>
      <w:r w:rsidR="00C402C1">
        <w:t xml:space="preserve">and zinc </w:t>
      </w:r>
      <w:r w:rsidR="00B330DD">
        <w:t>bioavailability (</w:t>
      </w:r>
      <w:r w:rsidR="00AA1F4E" w:rsidRPr="000D7DDF">
        <w:rPr>
          <w:rFonts w:cs="Times New Roman"/>
          <w:szCs w:val="24"/>
          <w:shd w:val="clear" w:color="auto" w:fill="FFFFFF"/>
        </w:rPr>
        <w:t>Garcı́a-Casal</w:t>
      </w:r>
      <w:r w:rsidR="00B330DD" w:rsidRPr="002E7ABE">
        <w:t xml:space="preserve"> et al.,</w:t>
      </w:r>
      <w:r w:rsidR="00B330DD">
        <w:t xml:space="preserve"> 1998; </w:t>
      </w:r>
      <w:r w:rsidR="00D3564D">
        <w:t>Gautam et al.,</w:t>
      </w:r>
      <w:r w:rsidR="00B330DD">
        <w:t xml:space="preserve"> </w:t>
      </w:r>
      <w:r w:rsidR="00D3564D">
        <w:t>2010</w:t>
      </w:r>
      <w:r w:rsidR="00B330DD">
        <w:t>). The β-carotene in foods can form a soluble complex with iron in the intestinal lumen, thus keeping and preventing the iron from the chelating effects of phytate and polyphenols present in the food matrix (</w:t>
      </w:r>
      <w:r w:rsidR="00AA1F4E" w:rsidRPr="000D7DDF">
        <w:rPr>
          <w:rFonts w:cs="Times New Roman"/>
          <w:szCs w:val="24"/>
          <w:shd w:val="clear" w:color="auto" w:fill="FFFFFF"/>
        </w:rPr>
        <w:t>Garcı́a-Casal</w:t>
      </w:r>
      <w:r w:rsidR="00B330DD">
        <w:t xml:space="preserve"> </w:t>
      </w:r>
      <w:r w:rsidR="00B330DD" w:rsidRPr="007F2D93">
        <w:t>et al.,</w:t>
      </w:r>
      <w:r w:rsidR="00B330DD">
        <w:t xml:space="preserve"> 1998). </w:t>
      </w:r>
      <w:r w:rsidR="00C70ED4">
        <w:t>These authors found that i</w:t>
      </w:r>
      <w:r w:rsidR="00B330DD">
        <w:t>ron absorption increased by 2–3-fold in Venezuelan healthy adults who consumed β-carotene fortified-rice, wheat and maize-based meals. The study also revealed that consumption of tea, which is rich in polyphenols (iron absorption inhibitor</w:t>
      </w:r>
      <w:r w:rsidR="00C70ED4">
        <w:t>s</w:t>
      </w:r>
      <w:r w:rsidR="00B330DD">
        <w:t xml:space="preserve">) </w:t>
      </w:r>
      <w:r w:rsidR="00C70ED4">
        <w:t>together</w:t>
      </w:r>
      <w:r w:rsidR="00B330DD">
        <w:t xml:space="preserve"> with the β-carotene-fortified meals did not reduce the iron absorption.  </w:t>
      </w:r>
    </w:p>
    <w:p w14:paraId="42DC005D" w14:textId="77777777" w:rsidR="00B330DD" w:rsidRDefault="00B330DD" w:rsidP="0009779A">
      <w:pPr>
        <w:spacing w:after="0"/>
      </w:pPr>
    </w:p>
    <w:p w14:paraId="0D06C55B" w14:textId="17AA0D7A" w:rsidR="00B330DD" w:rsidRDefault="00B330DD" w:rsidP="00A52614">
      <w:r>
        <w:t xml:space="preserve">Some </w:t>
      </w:r>
      <w:r w:rsidR="00D5016D">
        <w:rPr>
          <w:i/>
          <w:iCs/>
        </w:rPr>
        <w:t>i</w:t>
      </w:r>
      <w:r w:rsidR="00D5016D" w:rsidRPr="00D5016D">
        <w:rPr>
          <w:i/>
          <w:iCs/>
        </w:rPr>
        <w:t>n vitro</w:t>
      </w:r>
      <w:r>
        <w:t xml:space="preserve"> studies have also shown a possible enhancing effect of β-carotene on iron and zinc bioaccessibility. Orange-fleshed sweet potatoes (OFSP), which are rich in β-carotene, increased iron uptake by Caco-2 cells by 30% as measured by ferritin formation compared to a cream-fleshed potato variety (Christides</w:t>
      </w:r>
      <w:r w:rsidRPr="007F2D93">
        <w:t xml:space="preserve"> et al.,</w:t>
      </w:r>
      <w:r>
        <w:t xml:space="preserve"> 2015). Gautam et al. (2010) </w:t>
      </w:r>
      <w:r w:rsidR="00C70ED4">
        <w:t>similarly</w:t>
      </w:r>
      <w:r>
        <w:t xml:space="preserve"> showed that fortification of cooked rice and sorghum with β-carotene increased the percentage iron bioaccessibility by 30–38% and 20%, respectively and the percentage zinc bioaccessibility by 76–112% and 17%, respectively. Furthermore, inclusion of β-carotene in a pressure-cooked wheat and oat </w:t>
      </w:r>
      <w:r w:rsidR="00C70ED4">
        <w:t xml:space="preserve">was found to </w:t>
      </w:r>
      <w:r>
        <w:t xml:space="preserve">increase the percentage iron bioaccessibility by 27–36% and 10%, respectively and the percentage zinc bioaccessibility by 63–92% and 12%, respectively (Luo </w:t>
      </w:r>
      <w:r w:rsidR="00841F3C">
        <w:t>&amp;</w:t>
      </w:r>
      <w:r>
        <w:t xml:space="preserve"> Xie, 2012). The study also showed that fortification of the cooked wheat and oat with carrot, rich in β-carotene, increased the percentage iron bioaccessibility by 46% and 31–61%, respectively and the percentage zinc bioaccessibility by 27% and 26%, respectively. </w:t>
      </w:r>
    </w:p>
    <w:p w14:paraId="57CDF82B" w14:textId="77777777" w:rsidR="00B330DD" w:rsidRDefault="00B330DD" w:rsidP="0009779A">
      <w:pPr>
        <w:spacing w:after="0"/>
      </w:pPr>
    </w:p>
    <w:p w14:paraId="13B667BC" w14:textId="204EE9FB" w:rsidR="00B330DD" w:rsidRPr="00081474" w:rsidRDefault="00B330DD" w:rsidP="00A52614">
      <w:pPr>
        <w:rPr>
          <w:rFonts w:eastAsia="Times New Roman"/>
        </w:rPr>
      </w:pPr>
      <w:r>
        <w:t xml:space="preserve">Plant foodstuff rich in </w:t>
      </w:r>
      <w:r w:rsidRPr="0061701D">
        <w:t>β</w:t>
      </w:r>
      <w:r>
        <w:t>-carotene such as, carrot, mango and papaya are widely available and consumed in Africa (</w:t>
      </w:r>
      <w:r w:rsidRPr="00292ABA">
        <w:t xml:space="preserve">Table </w:t>
      </w:r>
      <w:r w:rsidR="00D25306" w:rsidRPr="00292ABA">
        <w:t>2.</w:t>
      </w:r>
      <w:r w:rsidRPr="00292ABA">
        <w:t>5)</w:t>
      </w:r>
      <w:r>
        <w:t xml:space="preserve">. </w:t>
      </w:r>
      <w:r w:rsidR="005810C4">
        <w:rPr>
          <w:rFonts w:eastAsia="Times New Roman"/>
          <w:szCs w:val="24"/>
        </w:rPr>
        <w:t xml:space="preserve">Some green leafy vegetables such as moringa leaves and cowpea leaves also contain substantial amounts of </w:t>
      </w:r>
      <w:r w:rsidR="005810C4">
        <w:rPr>
          <w:szCs w:val="24"/>
        </w:rPr>
        <w:t>β-</w:t>
      </w:r>
      <w:r w:rsidR="005810C4">
        <w:rPr>
          <w:rFonts w:eastAsia="Times New Roman"/>
          <w:szCs w:val="24"/>
        </w:rPr>
        <w:t>carotene, approximately 23.4 mg/100 g (Owusu et al., 2011) and 25.3 mg/100 g (Kruger et al., 2018), respectively.</w:t>
      </w:r>
      <w:r>
        <w:rPr>
          <w:rFonts w:eastAsia="Times New Roman"/>
        </w:rPr>
        <w:t xml:space="preserve"> </w:t>
      </w:r>
    </w:p>
    <w:p w14:paraId="57B6502B" w14:textId="77777777" w:rsidR="00B330DD" w:rsidRDefault="00B330DD" w:rsidP="00C92046">
      <w:pPr>
        <w:spacing w:after="0" w:line="240" w:lineRule="auto"/>
        <w:rPr>
          <w:rFonts w:cs="Times New Roman"/>
          <w:b/>
          <w:i/>
          <w:szCs w:val="24"/>
        </w:rPr>
      </w:pPr>
    </w:p>
    <w:p w14:paraId="74B13876" w14:textId="3D4FC5FF" w:rsidR="00B330DD" w:rsidRPr="00A52614" w:rsidRDefault="00B330DD" w:rsidP="00A52614">
      <w:pPr>
        <w:pStyle w:val="Heading4"/>
      </w:pPr>
      <w:bookmarkStart w:id="44" w:name="_Toc65253566"/>
      <w:r w:rsidRPr="00A52614">
        <w:t>2.5.1.3</w:t>
      </w:r>
      <w:r w:rsidR="00382274">
        <w:tab/>
      </w:r>
      <w:r w:rsidRPr="00A52614">
        <w:t>Amino acids and muscle proteins</w:t>
      </w:r>
      <w:bookmarkEnd w:id="44"/>
    </w:p>
    <w:p w14:paraId="4DCFF011" w14:textId="4829E3E6" w:rsidR="00B330DD" w:rsidRDefault="00B330DD" w:rsidP="00A52614">
      <w:r>
        <w:t>Sources of animal proteins such as fish</w:t>
      </w:r>
      <w:r w:rsidR="00760246">
        <w:t>, poultry</w:t>
      </w:r>
      <w:r>
        <w:t xml:space="preserve"> and </w:t>
      </w:r>
      <w:r w:rsidR="0095063D">
        <w:t>beef</w:t>
      </w:r>
      <w:r>
        <w:t xml:space="preserve">, have been </w:t>
      </w:r>
      <w:r w:rsidR="00760246">
        <w:t>found</w:t>
      </w:r>
      <w:r>
        <w:t xml:space="preserve"> to improve non-haem absorption (</w:t>
      </w:r>
      <w:r w:rsidR="00760246" w:rsidRPr="000D7DDF">
        <w:rPr>
          <w:rFonts w:cs="Times New Roman"/>
          <w:szCs w:val="24"/>
          <w:shd w:val="clear" w:color="auto" w:fill="FFFFFF"/>
        </w:rPr>
        <w:t>Hurrell &amp; Egli</w:t>
      </w:r>
      <w:r w:rsidR="00760246">
        <w:rPr>
          <w:lang w:val="en-ZA"/>
        </w:rPr>
        <w:t>, 2010</w:t>
      </w:r>
      <w:r>
        <w:t>). The positive effect</w:t>
      </w:r>
      <w:r w:rsidR="009340B1">
        <w:t>s</w:t>
      </w:r>
      <w:r>
        <w:t xml:space="preserve"> of </w:t>
      </w:r>
      <w:r w:rsidR="0069038B">
        <w:t xml:space="preserve">these </w:t>
      </w:r>
      <w:r>
        <w:t xml:space="preserve">animal proteins on non-haem absorption </w:t>
      </w:r>
      <w:r w:rsidR="00FD5DDA">
        <w:t>have</w:t>
      </w:r>
      <w:r>
        <w:t xml:space="preserve"> been attributed to the </w:t>
      </w:r>
      <w:r w:rsidR="00760246">
        <w:t xml:space="preserve">protein fraction of the muscle tissue as well </w:t>
      </w:r>
      <w:r w:rsidR="00F32A4F">
        <w:t>as</w:t>
      </w:r>
      <w:r w:rsidR="00760246">
        <w:t xml:space="preserve"> </w:t>
      </w:r>
      <w:r w:rsidR="009340B1">
        <w:t>actions</w:t>
      </w:r>
      <w:r>
        <w:t xml:space="preserve"> </w:t>
      </w:r>
      <w:r w:rsidR="009340B1">
        <w:t>of their</w:t>
      </w:r>
      <w:r>
        <w:t xml:space="preserve"> cysteine-rich-peptides</w:t>
      </w:r>
      <w:r w:rsidR="009340B1">
        <w:t>,</w:t>
      </w:r>
      <w:r>
        <w:t xml:space="preserve"> </w:t>
      </w:r>
      <w:r w:rsidR="009340B1">
        <w:t xml:space="preserve">which are </w:t>
      </w:r>
      <w:r>
        <w:t xml:space="preserve">released in the stomach during digestion. </w:t>
      </w:r>
      <w:r w:rsidR="00F32A4F">
        <w:t>The cysteine-rich-peptides are rich i</w:t>
      </w:r>
      <w:r w:rsidR="0078396C">
        <w:t>n</w:t>
      </w:r>
      <w:r w:rsidR="00F32A4F">
        <w:t xml:space="preserve"> myofibrillar proteins</w:t>
      </w:r>
      <w:r w:rsidR="0078396C">
        <w:t xml:space="preserve"> which are, unlike other proteins, digested extensively in the stomach and hence could chelate and facilitate the reduction of iron Fe</w:t>
      </w:r>
      <w:r w:rsidR="0078396C" w:rsidRPr="00AE684C">
        <w:rPr>
          <w:vertAlign w:val="superscript"/>
        </w:rPr>
        <w:t>3+</w:t>
      </w:r>
      <w:r w:rsidR="0078396C">
        <w:t xml:space="preserve"> to Fe</w:t>
      </w:r>
      <w:r w:rsidR="0078396C" w:rsidRPr="00AE684C">
        <w:rPr>
          <w:vertAlign w:val="superscript"/>
        </w:rPr>
        <w:t>2+</w:t>
      </w:r>
      <w:r w:rsidR="0078396C">
        <w:t>, thereby enhancing the intestinal absorption of the iron (</w:t>
      </w:r>
      <w:r w:rsidR="0078396C" w:rsidRPr="008B6C3B">
        <w:rPr>
          <w:lang w:val="en-ZA"/>
        </w:rPr>
        <w:t>Mulvihill</w:t>
      </w:r>
      <w:r w:rsidR="0078396C">
        <w:t xml:space="preserve"> et al., 1998; </w:t>
      </w:r>
      <w:r w:rsidR="0078396C" w:rsidRPr="000D7DDF">
        <w:rPr>
          <w:rFonts w:cs="Times New Roman"/>
          <w:szCs w:val="24"/>
          <w:shd w:val="clear" w:color="auto" w:fill="FFFFFF"/>
        </w:rPr>
        <w:t>Hurrell &amp; Egli</w:t>
      </w:r>
      <w:r w:rsidR="0078396C">
        <w:rPr>
          <w:lang w:val="en-ZA"/>
        </w:rPr>
        <w:t>, 2010</w:t>
      </w:r>
      <w:r w:rsidR="004F36BC">
        <w:rPr>
          <w:lang w:val="en-ZA"/>
        </w:rPr>
        <w:t>)</w:t>
      </w:r>
      <w:r w:rsidR="0078396C">
        <w:t>.</w:t>
      </w:r>
      <w:r w:rsidR="004F36BC">
        <w:t xml:space="preserve"> </w:t>
      </w:r>
      <w:r w:rsidRPr="008F5AE8">
        <w:rPr>
          <w:shd w:val="clear" w:color="auto" w:fill="FFFFFF"/>
        </w:rPr>
        <w:t>Bæch</w:t>
      </w:r>
      <w:r w:rsidRPr="008F5AE8">
        <w:t xml:space="preserve"> et al.</w:t>
      </w:r>
      <w:r>
        <w:t xml:space="preserve"> </w:t>
      </w:r>
      <w:r w:rsidRPr="008F5AE8">
        <w:t>(2003)</w:t>
      </w:r>
      <w:r>
        <w:t xml:space="preserve"> studied the dose-response effect of pork muscle meat consumption with a rice-wheat based meal on the non-haem iron absorption in healthy women of reproductive age in Denmark. The study revealed that consumption of 50 g and 75 g pork meat increased non-haem iron absorption from the meal by 44% and 57%, respectively. Etcheverry et al. (2006) showed that </w:t>
      </w:r>
      <w:r w:rsidR="008E4B03">
        <w:t xml:space="preserve">the consumption of </w:t>
      </w:r>
      <w:r>
        <w:t>beef protein</w:t>
      </w:r>
      <w:r w:rsidR="0069038B">
        <w:t xml:space="preserve"> with chili-</w:t>
      </w:r>
      <w:r w:rsidR="006D47C3">
        <w:t>tomato</w:t>
      </w:r>
      <w:r w:rsidR="0069038B">
        <w:t xml:space="preserve"> sauce together with corn chips</w:t>
      </w:r>
      <w:r w:rsidR="00ED4398">
        <w:t>,</w:t>
      </w:r>
      <w:r>
        <w:t xml:space="preserve"> </w:t>
      </w:r>
      <w:r w:rsidR="004F36BC">
        <w:t xml:space="preserve">by </w:t>
      </w:r>
      <w:r w:rsidR="00ED4398">
        <w:t>American</w:t>
      </w:r>
      <w:r w:rsidR="004F36BC">
        <w:t xml:space="preserve"> children (4–8 years)</w:t>
      </w:r>
      <w:r w:rsidR="00ED4398">
        <w:t>,</w:t>
      </w:r>
      <w:r w:rsidR="004F36BC">
        <w:t xml:space="preserve"> </w:t>
      </w:r>
      <w:r>
        <w:t>increased non-haem iron and zinc absorption by approx</w:t>
      </w:r>
      <w:r w:rsidR="004F36BC">
        <w:t>imately</w:t>
      </w:r>
      <w:r>
        <w:t xml:space="preserve"> 100% and 35%, respectively, when compared to</w:t>
      </w:r>
      <w:r w:rsidR="0069038B">
        <w:t xml:space="preserve"> chili-</w:t>
      </w:r>
      <w:r w:rsidR="006D47C3">
        <w:t>tomato</w:t>
      </w:r>
      <w:r w:rsidR="0069038B">
        <w:t xml:space="preserve"> sauce together with corn chips enriched with</w:t>
      </w:r>
      <w:r>
        <w:t xml:space="preserve"> soy protein. </w:t>
      </w:r>
    </w:p>
    <w:p w14:paraId="4E23E714" w14:textId="77777777" w:rsidR="0009779A" w:rsidRDefault="0009779A" w:rsidP="0009779A">
      <w:pPr>
        <w:spacing w:before="240" w:after="0"/>
      </w:pPr>
    </w:p>
    <w:p w14:paraId="655F6792" w14:textId="1FF794C3" w:rsidR="00B330DD" w:rsidRPr="00D62556" w:rsidRDefault="00B330DD" w:rsidP="0069352B">
      <w:pPr>
        <w:pStyle w:val="Heading3"/>
      </w:pPr>
      <w:bookmarkStart w:id="45" w:name="_Toc65253567"/>
      <w:bookmarkStart w:id="46" w:name="_Hlk28610882"/>
      <w:r w:rsidRPr="00D62556">
        <w:t>2.5.</w:t>
      </w:r>
      <w:r>
        <w:t>2</w:t>
      </w:r>
      <w:r w:rsidR="00382274">
        <w:tab/>
      </w:r>
      <w:r w:rsidRPr="00D62556">
        <w:t>Plant foo</w:t>
      </w:r>
      <w:r>
        <w:t>d sources of essential</w:t>
      </w:r>
      <w:r w:rsidRPr="00D62556">
        <w:t xml:space="preserve"> minerals</w:t>
      </w:r>
      <w:bookmarkEnd w:id="45"/>
    </w:p>
    <w:bookmarkEnd w:id="46"/>
    <w:p w14:paraId="181540B5" w14:textId="196E5EF9" w:rsidR="00B330DD" w:rsidRDefault="00B330DD" w:rsidP="00A52614">
      <w:pPr>
        <w:rPr>
          <w:lang w:val="en-ZA"/>
        </w:rPr>
      </w:pPr>
      <w:r>
        <w:t>Many plant foodstuffs grown and consumed in Africa contain substantial levels of essential minerals including iron and zinc (</w:t>
      </w:r>
      <w:r w:rsidRPr="00292ABA">
        <w:t xml:space="preserve">Table </w:t>
      </w:r>
      <w:r w:rsidR="00D25306" w:rsidRPr="00292ABA">
        <w:t>2.</w:t>
      </w:r>
      <w:r w:rsidRPr="00292ABA">
        <w:t>6)</w:t>
      </w:r>
      <w:r>
        <w:t>. As reviewed</w:t>
      </w:r>
      <w:r w:rsidR="000C21CA">
        <w:t xml:space="preserve"> earlier</w:t>
      </w:r>
      <w:r>
        <w:t xml:space="preserve">, vegetables such as moringa leaves, hibiscus </w:t>
      </w:r>
      <w:r w:rsidR="00FF676C">
        <w:t>calyxes,</w:t>
      </w:r>
      <w:r>
        <w:t xml:space="preserve"> cowpea</w:t>
      </w:r>
      <w:r w:rsidR="00FF676C">
        <w:t xml:space="preserve"> </w:t>
      </w:r>
      <w:r>
        <w:t xml:space="preserve">leaves among others are plant foods that can potentially increase </w:t>
      </w:r>
      <w:r w:rsidR="008E4B03">
        <w:t xml:space="preserve">the </w:t>
      </w:r>
      <w:r>
        <w:t>essential mineral contents of plant-based foods</w:t>
      </w:r>
      <w:r w:rsidR="00FF676C">
        <w:t xml:space="preserve"> </w:t>
      </w:r>
      <w:r w:rsidR="008E4B03">
        <w:t>such as</w:t>
      </w:r>
      <w:r>
        <w:t xml:space="preserve"> cereal products. For example,</w:t>
      </w:r>
      <w:r>
        <w:rPr>
          <w:lang w:val="en-ZA"/>
        </w:rPr>
        <w:t xml:space="preserve"> 30 mg (approximately two tablespoons) of moringa leaves, spinach and cowpea leaves on dry basis can meet more than 56% and 31% of the RDA for iron for children (4–9 years) and women (19–50 years)</w:t>
      </w:r>
      <w:r w:rsidR="00F43622">
        <w:rPr>
          <w:lang w:val="en-ZA"/>
        </w:rPr>
        <w:t xml:space="preserve"> (Table 2.2)</w:t>
      </w:r>
      <w:r>
        <w:rPr>
          <w:lang w:val="en-ZA"/>
        </w:rPr>
        <w:t>, respectively</w:t>
      </w:r>
      <w:r w:rsidR="000C21CA">
        <w:rPr>
          <w:lang w:val="en-ZA"/>
        </w:rPr>
        <w:t>,</w:t>
      </w:r>
      <w:r>
        <w:rPr>
          <w:lang w:val="en-ZA"/>
        </w:rPr>
        <w:t xml:space="preserve"> but may only meet less than 25% of the RDA for zinc for both the children and women. </w:t>
      </w:r>
    </w:p>
    <w:p w14:paraId="07FF9216" w14:textId="77777777" w:rsidR="0009779A" w:rsidRDefault="0009779A" w:rsidP="0009779A">
      <w:pPr>
        <w:spacing w:after="0"/>
        <w:rPr>
          <w:lang w:val="en-ZA"/>
        </w:rPr>
      </w:pPr>
    </w:p>
    <w:p w14:paraId="0C053EF3" w14:textId="28E4FB6B" w:rsidR="00B330DD" w:rsidRDefault="00B330DD" w:rsidP="00FF676C">
      <w:pPr>
        <w:pStyle w:val="MyTables"/>
        <w:spacing w:line="240" w:lineRule="auto"/>
      </w:pPr>
      <w:bookmarkStart w:id="47" w:name="_Toc65253628"/>
      <w:r w:rsidRPr="00292ABA">
        <w:rPr>
          <w:b/>
          <w:bCs/>
        </w:rPr>
        <w:t xml:space="preserve">Table </w:t>
      </w:r>
      <w:r w:rsidR="00D25306" w:rsidRPr="00292ABA">
        <w:rPr>
          <w:b/>
          <w:bCs/>
        </w:rPr>
        <w:t>2.</w:t>
      </w:r>
      <w:r w:rsidRPr="00292ABA">
        <w:rPr>
          <w:b/>
          <w:bCs/>
        </w:rPr>
        <w:t>6</w:t>
      </w:r>
      <w:r>
        <w:t>: Essential mineral contents (mg/100 mg; dry basis) of mineral-rich potential plant food fortificants commonly available in Africa</w:t>
      </w:r>
      <w:bookmarkEnd w:id="47"/>
    </w:p>
    <w:tbl>
      <w:tblPr>
        <w:tblW w:w="0" w:type="auto"/>
        <w:tblBorders>
          <w:top w:val="single" w:sz="4" w:space="0" w:color="auto"/>
          <w:bottom w:val="single" w:sz="4" w:space="0" w:color="auto"/>
        </w:tblBorders>
        <w:tblLook w:val="04A0" w:firstRow="1" w:lastRow="0" w:firstColumn="1" w:lastColumn="0" w:noHBand="0" w:noVBand="1"/>
      </w:tblPr>
      <w:tblGrid>
        <w:gridCol w:w="1740"/>
        <w:gridCol w:w="1306"/>
        <w:gridCol w:w="1500"/>
        <w:gridCol w:w="1542"/>
        <w:gridCol w:w="1578"/>
        <w:gridCol w:w="1576"/>
      </w:tblGrid>
      <w:tr w:rsidR="00B330DD" w:rsidRPr="00F45913" w14:paraId="40298108" w14:textId="77777777" w:rsidTr="00C471E0">
        <w:tc>
          <w:tcPr>
            <w:tcW w:w="1740" w:type="dxa"/>
            <w:tcBorders>
              <w:top w:val="single" w:sz="4" w:space="0" w:color="auto"/>
              <w:bottom w:val="single" w:sz="4" w:space="0" w:color="auto"/>
            </w:tcBorders>
          </w:tcPr>
          <w:p w14:paraId="404CB895" w14:textId="77777777" w:rsidR="00B330DD" w:rsidRPr="00F45913" w:rsidRDefault="00B330DD" w:rsidP="00FF676C">
            <w:pPr>
              <w:spacing w:before="240" w:after="0" w:line="240" w:lineRule="auto"/>
              <w:rPr>
                <w:rFonts w:cs="Times New Roman"/>
                <w:b/>
                <w:sz w:val="22"/>
              </w:rPr>
            </w:pPr>
            <w:r w:rsidRPr="00F45913">
              <w:rPr>
                <w:rFonts w:cs="Times New Roman"/>
                <w:b/>
                <w:sz w:val="22"/>
              </w:rPr>
              <w:t>Plant foodstuff</w:t>
            </w:r>
          </w:p>
        </w:tc>
        <w:tc>
          <w:tcPr>
            <w:tcW w:w="1306" w:type="dxa"/>
            <w:tcBorders>
              <w:top w:val="single" w:sz="4" w:space="0" w:color="auto"/>
              <w:bottom w:val="single" w:sz="4" w:space="0" w:color="auto"/>
            </w:tcBorders>
          </w:tcPr>
          <w:p w14:paraId="5A5210D5" w14:textId="731F57E9" w:rsidR="00B330DD" w:rsidRPr="00F45913" w:rsidRDefault="00B330DD" w:rsidP="00FF676C">
            <w:pPr>
              <w:spacing w:before="240" w:after="0" w:line="240" w:lineRule="auto"/>
              <w:jc w:val="center"/>
              <w:rPr>
                <w:rFonts w:cs="Times New Roman"/>
                <w:b/>
                <w:sz w:val="22"/>
              </w:rPr>
            </w:pPr>
            <w:r w:rsidRPr="00F45913">
              <w:rPr>
                <w:rFonts w:cs="Times New Roman"/>
                <w:b/>
                <w:sz w:val="22"/>
              </w:rPr>
              <w:t>Iron</w:t>
            </w:r>
            <w:r w:rsidR="000C21CA">
              <w:rPr>
                <w:rFonts w:cs="Times New Roman"/>
                <w:b/>
                <w:sz w:val="22"/>
                <w:vertAlign w:val="superscript"/>
              </w:rPr>
              <w:t>A</w:t>
            </w:r>
          </w:p>
        </w:tc>
        <w:tc>
          <w:tcPr>
            <w:tcW w:w="1500" w:type="dxa"/>
            <w:tcBorders>
              <w:top w:val="single" w:sz="4" w:space="0" w:color="auto"/>
              <w:bottom w:val="single" w:sz="4" w:space="0" w:color="auto"/>
            </w:tcBorders>
          </w:tcPr>
          <w:p w14:paraId="195C9A04" w14:textId="147C7A9C" w:rsidR="00B330DD" w:rsidRPr="00F45913" w:rsidRDefault="00B330DD" w:rsidP="00FF676C">
            <w:pPr>
              <w:spacing w:before="240" w:after="0" w:line="240" w:lineRule="auto"/>
              <w:jc w:val="center"/>
              <w:rPr>
                <w:rFonts w:cs="Times New Roman"/>
                <w:b/>
                <w:sz w:val="22"/>
              </w:rPr>
            </w:pPr>
            <w:r w:rsidRPr="00F45913">
              <w:rPr>
                <w:rFonts w:cs="Times New Roman"/>
                <w:b/>
                <w:sz w:val="22"/>
              </w:rPr>
              <w:t>Zinc</w:t>
            </w:r>
            <w:r w:rsidR="000C21CA">
              <w:rPr>
                <w:rFonts w:cs="Times New Roman"/>
                <w:b/>
                <w:sz w:val="22"/>
                <w:vertAlign w:val="superscript"/>
              </w:rPr>
              <w:t>A</w:t>
            </w:r>
          </w:p>
        </w:tc>
        <w:tc>
          <w:tcPr>
            <w:tcW w:w="1542" w:type="dxa"/>
            <w:tcBorders>
              <w:top w:val="single" w:sz="4" w:space="0" w:color="auto"/>
              <w:bottom w:val="single" w:sz="4" w:space="0" w:color="auto"/>
            </w:tcBorders>
          </w:tcPr>
          <w:p w14:paraId="108D4EBE" w14:textId="06787AFB" w:rsidR="00B330DD" w:rsidRPr="00F45913" w:rsidRDefault="00B330DD" w:rsidP="00FF676C">
            <w:pPr>
              <w:spacing w:before="240" w:after="0" w:line="240" w:lineRule="auto"/>
              <w:jc w:val="center"/>
              <w:rPr>
                <w:rFonts w:cs="Times New Roman"/>
                <w:b/>
                <w:sz w:val="22"/>
              </w:rPr>
            </w:pPr>
            <w:r w:rsidRPr="00F45913">
              <w:rPr>
                <w:rFonts w:cs="Times New Roman"/>
                <w:b/>
                <w:sz w:val="22"/>
              </w:rPr>
              <w:t>Calcium</w:t>
            </w:r>
            <w:r w:rsidR="000C21CA">
              <w:rPr>
                <w:rFonts w:cs="Times New Roman"/>
                <w:b/>
                <w:sz w:val="22"/>
                <w:vertAlign w:val="superscript"/>
              </w:rPr>
              <w:t>A</w:t>
            </w:r>
          </w:p>
        </w:tc>
        <w:tc>
          <w:tcPr>
            <w:tcW w:w="1578" w:type="dxa"/>
            <w:tcBorders>
              <w:top w:val="single" w:sz="4" w:space="0" w:color="auto"/>
              <w:bottom w:val="single" w:sz="4" w:space="0" w:color="auto"/>
            </w:tcBorders>
          </w:tcPr>
          <w:p w14:paraId="181286D9" w14:textId="5712AD86" w:rsidR="00B330DD" w:rsidRPr="00F45913" w:rsidRDefault="00B330DD" w:rsidP="00FF676C">
            <w:pPr>
              <w:spacing w:before="240" w:after="0" w:line="240" w:lineRule="auto"/>
              <w:jc w:val="center"/>
              <w:rPr>
                <w:rFonts w:cs="Times New Roman"/>
                <w:b/>
                <w:sz w:val="22"/>
              </w:rPr>
            </w:pPr>
            <w:r w:rsidRPr="00F45913">
              <w:rPr>
                <w:rFonts w:cs="Times New Roman"/>
                <w:b/>
                <w:sz w:val="22"/>
              </w:rPr>
              <w:t>Magnesium</w:t>
            </w:r>
            <w:r w:rsidR="000C21CA">
              <w:rPr>
                <w:rFonts w:cs="Times New Roman"/>
                <w:b/>
                <w:sz w:val="22"/>
                <w:vertAlign w:val="superscript"/>
              </w:rPr>
              <w:t>A</w:t>
            </w:r>
          </w:p>
        </w:tc>
        <w:tc>
          <w:tcPr>
            <w:tcW w:w="1576" w:type="dxa"/>
            <w:tcBorders>
              <w:top w:val="single" w:sz="4" w:space="0" w:color="auto"/>
              <w:bottom w:val="single" w:sz="4" w:space="0" w:color="auto"/>
            </w:tcBorders>
          </w:tcPr>
          <w:p w14:paraId="19CBF2AC" w14:textId="0297CC51" w:rsidR="00B330DD" w:rsidRPr="00F45913" w:rsidRDefault="00B330DD" w:rsidP="00FF676C">
            <w:pPr>
              <w:spacing w:before="240" w:after="0" w:line="240" w:lineRule="auto"/>
              <w:jc w:val="center"/>
              <w:rPr>
                <w:rFonts w:cs="Times New Roman"/>
                <w:b/>
                <w:sz w:val="22"/>
              </w:rPr>
            </w:pPr>
            <w:r w:rsidRPr="00F45913">
              <w:rPr>
                <w:rFonts w:cs="Times New Roman"/>
                <w:b/>
                <w:sz w:val="22"/>
              </w:rPr>
              <w:t>Phosphorus</w:t>
            </w:r>
            <w:r w:rsidR="000C21CA">
              <w:rPr>
                <w:rFonts w:cs="Times New Roman"/>
                <w:b/>
                <w:sz w:val="22"/>
                <w:vertAlign w:val="superscript"/>
              </w:rPr>
              <w:t>A</w:t>
            </w:r>
          </w:p>
        </w:tc>
      </w:tr>
      <w:tr w:rsidR="00B330DD" w:rsidRPr="00F45913" w14:paraId="07F060C1" w14:textId="77777777" w:rsidTr="00C471E0">
        <w:tc>
          <w:tcPr>
            <w:tcW w:w="1740" w:type="dxa"/>
            <w:tcBorders>
              <w:top w:val="single" w:sz="4" w:space="0" w:color="auto"/>
            </w:tcBorders>
          </w:tcPr>
          <w:p w14:paraId="1347F3DD" w14:textId="77777777" w:rsidR="00B330DD" w:rsidRPr="00F45913" w:rsidRDefault="00B330DD" w:rsidP="00FF676C">
            <w:pPr>
              <w:spacing w:before="240" w:after="0" w:line="240" w:lineRule="auto"/>
              <w:rPr>
                <w:rFonts w:cs="Times New Roman"/>
                <w:sz w:val="22"/>
              </w:rPr>
            </w:pPr>
            <w:r w:rsidRPr="00F45913">
              <w:rPr>
                <w:rFonts w:cs="Times New Roman"/>
                <w:sz w:val="22"/>
              </w:rPr>
              <w:t>Moringa leaves</w:t>
            </w:r>
          </w:p>
        </w:tc>
        <w:tc>
          <w:tcPr>
            <w:tcW w:w="1306" w:type="dxa"/>
            <w:tcBorders>
              <w:top w:val="single" w:sz="4" w:space="0" w:color="auto"/>
            </w:tcBorders>
          </w:tcPr>
          <w:p w14:paraId="4A632499"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18.7</w:t>
            </w:r>
          </w:p>
        </w:tc>
        <w:tc>
          <w:tcPr>
            <w:tcW w:w="1500" w:type="dxa"/>
            <w:tcBorders>
              <w:top w:val="single" w:sz="4" w:space="0" w:color="auto"/>
            </w:tcBorders>
          </w:tcPr>
          <w:p w14:paraId="587FEE14"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2.8</w:t>
            </w:r>
          </w:p>
        </w:tc>
        <w:tc>
          <w:tcPr>
            <w:tcW w:w="1542" w:type="dxa"/>
            <w:tcBorders>
              <w:top w:val="single" w:sz="4" w:space="0" w:color="auto"/>
            </w:tcBorders>
          </w:tcPr>
          <w:p w14:paraId="3EDD4FB4"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867</w:t>
            </w:r>
          </w:p>
        </w:tc>
        <w:tc>
          <w:tcPr>
            <w:tcW w:w="1578" w:type="dxa"/>
            <w:tcBorders>
              <w:top w:val="single" w:sz="4" w:space="0" w:color="auto"/>
            </w:tcBorders>
          </w:tcPr>
          <w:p w14:paraId="4B478F72"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197</w:t>
            </w:r>
          </w:p>
        </w:tc>
        <w:tc>
          <w:tcPr>
            <w:tcW w:w="1576" w:type="dxa"/>
            <w:tcBorders>
              <w:top w:val="single" w:sz="4" w:space="0" w:color="auto"/>
            </w:tcBorders>
          </w:tcPr>
          <w:p w14:paraId="1356E734"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525</w:t>
            </w:r>
          </w:p>
        </w:tc>
      </w:tr>
      <w:tr w:rsidR="00B330DD" w:rsidRPr="00F45913" w14:paraId="396E762A" w14:textId="77777777" w:rsidTr="00C471E0">
        <w:tc>
          <w:tcPr>
            <w:tcW w:w="1740" w:type="dxa"/>
          </w:tcPr>
          <w:p w14:paraId="2BBC7BB2" w14:textId="77777777" w:rsidR="00B330DD" w:rsidRPr="00F45913" w:rsidRDefault="00B330DD" w:rsidP="00FF676C">
            <w:pPr>
              <w:spacing w:before="240" w:after="0" w:line="240" w:lineRule="auto"/>
              <w:rPr>
                <w:rFonts w:cs="Times New Roman"/>
                <w:sz w:val="22"/>
              </w:rPr>
            </w:pPr>
            <w:r w:rsidRPr="00F45913">
              <w:rPr>
                <w:rFonts w:cs="Times New Roman"/>
                <w:sz w:val="22"/>
              </w:rPr>
              <w:t>Spinach leaves</w:t>
            </w:r>
          </w:p>
        </w:tc>
        <w:tc>
          <w:tcPr>
            <w:tcW w:w="1306" w:type="dxa"/>
          </w:tcPr>
          <w:p w14:paraId="78E21C40"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31.5</w:t>
            </w:r>
          </w:p>
        </w:tc>
        <w:tc>
          <w:tcPr>
            <w:tcW w:w="1500" w:type="dxa"/>
          </w:tcPr>
          <w:p w14:paraId="1562B31F"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6.2</w:t>
            </w:r>
          </w:p>
        </w:tc>
        <w:tc>
          <w:tcPr>
            <w:tcW w:w="1542" w:type="dxa"/>
          </w:tcPr>
          <w:p w14:paraId="067E6716"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1151</w:t>
            </w:r>
          </w:p>
        </w:tc>
        <w:tc>
          <w:tcPr>
            <w:tcW w:w="1578" w:type="dxa"/>
          </w:tcPr>
          <w:p w14:paraId="3A455AA9"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919</w:t>
            </w:r>
          </w:p>
        </w:tc>
        <w:tc>
          <w:tcPr>
            <w:tcW w:w="1576" w:type="dxa"/>
          </w:tcPr>
          <w:p w14:paraId="11B3CA8E"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570</w:t>
            </w:r>
          </w:p>
        </w:tc>
      </w:tr>
      <w:tr w:rsidR="00B330DD" w:rsidRPr="00F45913" w14:paraId="61CBC30D" w14:textId="77777777" w:rsidTr="00C471E0">
        <w:tc>
          <w:tcPr>
            <w:tcW w:w="1740" w:type="dxa"/>
          </w:tcPr>
          <w:p w14:paraId="5DB7F529" w14:textId="77777777" w:rsidR="00B330DD" w:rsidRPr="00F45913" w:rsidRDefault="00B330DD" w:rsidP="00FF676C">
            <w:pPr>
              <w:spacing w:before="240" w:after="0" w:line="240" w:lineRule="auto"/>
              <w:rPr>
                <w:rFonts w:cs="Times New Roman"/>
                <w:sz w:val="22"/>
              </w:rPr>
            </w:pPr>
            <w:r w:rsidRPr="00F45913">
              <w:rPr>
                <w:rFonts w:cs="Times New Roman"/>
                <w:sz w:val="22"/>
              </w:rPr>
              <w:t>Cowpea leaves</w:t>
            </w:r>
          </w:p>
        </w:tc>
        <w:tc>
          <w:tcPr>
            <w:tcW w:w="1306" w:type="dxa"/>
          </w:tcPr>
          <w:p w14:paraId="7544FFCE"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18.9</w:t>
            </w:r>
          </w:p>
        </w:tc>
        <w:tc>
          <w:tcPr>
            <w:tcW w:w="1500" w:type="dxa"/>
          </w:tcPr>
          <w:p w14:paraId="731680D6"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2.8</w:t>
            </w:r>
          </w:p>
        </w:tc>
        <w:tc>
          <w:tcPr>
            <w:tcW w:w="1542" w:type="dxa"/>
          </w:tcPr>
          <w:p w14:paraId="41598D73"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616</w:t>
            </w:r>
          </w:p>
        </w:tc>
        <w:tc>
          <w:tcPr>
            <w:tcW w:w="1578" w:type="dxa"/>
          </w:tcPr>
          <w:p w14:paraId="23944A6C"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420</w:t>
            </w:r>
          </w:p>
        </w:tc>
        <w:tc>
          <w:tcPr>
            <w:tcW w:w="1576" w:type="dxa"/>
          </w:tcPr>
          <w:p w14:paraId="0AF7DC51"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88</w:t>
            </w:r>
          </w:p>
        </w:tc>
      </w:tr>
      <w:tr w:rsidR="00B330DD" w:rsidRPr="00F45913" w14:paraId="37B516F7" w14:textId="77777777" w:rsidTr="00C471E0">
        <w:tc>
          <w:tcPr>
            <w:tcW w:w="1740" w:type="dxa"/>
          </w:tcPr>
          <w:p w14:paraId="6106A954" w14:textId="43A1C428" w:rsidR="00B330DD" w:rsidRPr="00F45913" w:rsidRDefault="00B330DD" w:rsidP="00FF676C">
            <w:pPr>
              <w:spacing w:before="240" w:after="0" w:line="240" w:lineRule="auto"/>
              <w:rPr>
                <w:rFonts w:cs="Times New Roman"/>
                <w:sz w:val="22"/>
              </w:rPr>
            </w:pPr>
            <w:r w:rsidRPr="00F45913">
              <w:rPr>
                <w:rFonts w:cs="Times New Roman"/>
                <w:sz w:val="22"/>
              </w:rPr>
              <w:t>Hibiscus calyx</w:t>
            </w:r>
            <w:r w:rsidR="00EB48D8" w:rsidRPr="00F45913">
              <w:rPr>
                <w:rFonts w:cs="Times New Roman"/>
                <w:sz w:val="22"/>
              </w:rPr>
              <w:t>es</w:t>
            </w:r>
          </w:p>
        </w:tc>
        <w:tc>
          <w:tcPr>
            <w:tcW w:w="1306" w:type="dxa"/>
          </w:tcPr>
          <w:p w14:paraId="579AF306"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11.0</w:t>
            </w:r>
          </w:p>
        </w:tc>
        <w:tc>
          <w:tcPr>
            <w:tcW w:w="1500" w:type="dxa"/>
          </w:tcPr>
          <w:p w14:paraId="6E6A2284" w14:textId="148602B7" w:rsidR="00B330DD" w:rsidRPr="00F45913" w:rsidRDefault="00B330DD" w:rsidP="00FF676C">
            <w:pPr>
              <w:spacing w:before="240" w:after="0" w:line="240" w:lineRule="auto"/>
              <w:jc w:val="center"/>
              <w:rPr>
                <w:rFonts w:cs="Times New Roman"/>
                <w:sz w:val="22"/>
              </w:rPr>
            </w:pPr>
            <w:r w:rsidRPr="00F45913">
              <w:rPr>
                <w:rFonts w:cs="Times New Roman"/>
                <w:sz w:val="22"/>
              </w:rPr>
              <w:t>1.5–7.5</w:t>
            </w:r>
            <w:r w:rsidR="000C21CA">
              <w:rPr>
                <w:rFonts w:cs="Times New Roman"/>
                <w:sz w:val="22"/>
                <w:vertAlign w:val="superscript"/>
              </w:rPr>
              <w:t>B</w:t>
            </w:r>
          </w:p>
        </w:tc>
        <w:tc>
          <w:tcPr>
            <w:tcW w:w="1542" w:type="dxa"/>
          </w:tcPr>
          <w:p w14:paraId="78BB0D06"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1602</w:t>
            </w:r>
          </w:p>
        </w:tc>
        <w:tc>
          <w:tcPr>
            <w:tcW w:w="1578" w:type="dxa"/>
          </w:tcPr>
          <w:p w14:paraId="3AEF8EC0"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380</w:t>
            </w:r>
          </w:p>
        </w:tc>
        <w:tc>
          <w:tcPr>
            <w:tcW w:w="1576" w:type="dxa"/>
          </w:tcPr>
          <w:p w14:paraId="13442110" w14:textId="77777777" w:rsidR="00B330DD" w:rsidRPr="00F45913" w:rsidRDefault="00B330DD" w:rsidP="00FF676C">
            <w:pPr>
              <w:spacing w:before="240" w:after="0" w:line="240" w:lineRule="auto"/>
              <w:jc w:val="center"/>
              <w:rPr>
                <w:rFonts w:cs="Times New Roman"/>
                <w:sz w:val="22"/>
              </w:rPr>
            </w:pPr>
            <w:r w:rsidRPr="00F45913">
              <w:rPr>
                <w:rFonts w:cs="Times New Roman"/>
                <w:sz w:val="22"/>
              </w:rPr>
              <w:t>276</w:t>
            </w:r>
          </w:p>
        </w:tc>
      </w:tr>
    </w:tbl>
    <w:p w14:paraId="393EC564" w14:textId="7422DE4D" w:rsidR="00B330DD" w:rsidRDefault="000C21CA" w:rsidP="009077CF">
      <w:pPr>
        <w:spacing w:before="240" w:after="0" w:line="240" w:lineRule="auto"/>
        <w:rPr>
          <w:rStyle w:val="Hyperlink"/>
          <w:sz w:val="20"/>
          <w:szCs w:val="20"/>
        </w:rPr>
      </w:pPr>
      <w:r>
        <w:rPr>
          <w:rFonts w:eastAsia="Times New Roman" w:cs="Times New Roman"/>
          <w:sz w:val="20"/>
          <w:szCs w:val="20"/>
          <w:vertAlign w:val="superscript"/>
        </w:rPr>
        <w:t>A</w:t>
      </w:r>
      <w:r w:rsidR="00B330DD" w:rsidRPr="0036044E">
        <w:rPr>
          <w:rFonts w:cs="Times New Roman"/>
          <w:sz w:val="20"/>
          <w:szCs w:val="20"/>
        </w:rPr>
        <w:t xml:space="preserve">USDA (2019) </w:t>
      </w:r>
    </w:p>
    <w:p w14:paraId="382767FE" w14:textId="264D0545" w:rsidR="00B330DD" w:rsidRDefault="000C21CA" w:rsidP="009077CF">
      <w:pPr>
        <w:spacing w:line="240" w:lineRule="auto"/>
        <w:rPr>
          <w:rStyle w:val="Hyperlink"/>
          <w:sz w:val="20"/>
          <w:szCs w:val="20"/>
        </w:rPr>
      </w:pPr>
      <w:r>
        <w:rPr>
          <w:rFonts w:eastAsia="Times New Roman" w:cs="Times New Roman"/>
          <w:sz w:val="20"/>
          <w:szCs w:val="20"/>
          <w:vertAlign w:val="superscript"/>
        </w:rPr>
        <w:t>B</w:t>
      </w:r>
      <w:r w:rsidR="00B330DD" w:rsidRPr="00BC6DB9">
        <w:rPr>
          <w:rFonts w:eastAsia="Times New Roman" w:cs="Times New Roman"/>
          <w:sz w:val="20"/>
          <w:szCs w:val="20"/>
        </w:rPr>
        <w:t>C</w:t>
      </w:r>
      <w:r w:rsidR="00B330DD">
        <w:rPr>
          <w:rFonts w:eastAsia="Times New Roman" w:cs="Times New Roman"/>
          <w:sz w:val="20"/>
          <w:szCs w:val="20"/>
        </w:rPr>
        <w:t>id-</w:t>
      </w:r>
      <w:r w:rsidR="00B330DD" w:rsidRPr="00BC6DB9">
        <w:rPr>
          <w:rFonts w:cs="Times New Roman"/>
          <w:sz w:val="20"/>
          <w:szCs w:val="20"/>
        </w:rPr>
        <w:t xml:space="preserve">Ortega </w:t>
      </w:r>
      <w:r w:rsidR="00D917B4">
        <w:rPr>
          <w:rFonts w:cs="Times New Roman"/>
          <w:sz w:val="20"/>
          <w:szCs w:val="20"/>
        </w:rPr>
        <w:t>&amp;</w:t>
      </w:r>
      <w:r w:rsidR="00B330DD" w:rsidRPr="00BC6DB9">
        <w:rPr>
          <w:rFonts w:cs="Times New Roman"/>
          <w:sz w:val="20"/>
          <w:szCs w:val="20"/>
        </w:rPr>
        <w:t xml:space="preserve"> Guerrero-Beltran (2015</w:t>
      </w:r>
      <w:r w:rsidR="00B330DD">
        <w:rPr>
          <w:rFonts w:cs="Times New Roman"/>
          <w:sz w:val="20"/>
          <w:szCs w:val="20"/>
        </w:rPr>
        <w:t xml:space="preserve">); </w:t>
      </w:r>
      <w:r w:rsidR="00B330DD" w:rsidRPr="00FF676C">
        <w:rPr>
          <w:rStyle w:val="Hyperlink"/>
          <w:color w:val="auto"/>
          <w:sz w:val="20"/>
          <w:szCs w:val="20"/>
          <w:u w:val="none"/>
        </w:rPr>
        <w:t>Van der Merwe et al. (2019)</w:t>
      </w:r>
    </w:p>
    <w:p w14:paraId="5ACD4CDE" w14:textId="77777777" w:rsidR="00B330DD" w:rsidRDefault="00B330DD" w:rsidP="0009779A">
      <w:pPr>
        <w:spacing w:after="0"/>
        <w:rPr>
          <w:rFonts w:cs="Times New Roman"/>
          <w:szCs w:val="24"/>
        </w:rPr>
      </w:pPr>
    </w:p>
    <w:p w14:paraId="110AD970" w14:textId="4F99E46D" w:rsidR="00B330DD" w:rsidRDefault="00B330DD" w:rsidP="00A52614">
      <w:r>
        <w:t xml:space="preserve">The </w:t>
      </w:r>
      <w:r w:rsidRPr="0058068D">
        <w:rPr>
          <w:lang w:val="en-ZA"/>
        </w:rPr>
        <w:t>moringa tree</w:t>
      </w:r>
      <w:r w:rsidR="00FF676C">
        <w:rPr>
          <w:lang w:val="en-ZA"/>
        </w:rPr>
        <w:t xml:space="preserve"> (</w:t>
      </w:r>
      <w:r w:rsidR="00FF676C" w:rsidRPr="009D1F3E">
        <w:rPr>
          <w:i/>
          <w:iCs/>
          <w:lang w:val="en-ZA"/>
        </w:rPr>
        <w:t>Moringa oleifer</w:t>
      </w:r>
      <w:r w:rsidR="008621B2">
        <w:rPr>
          <w:i/>
          <w:iCs/>
          <w:lang w:val="en-ZA"/>
        </w:rPr>
        <w:t>a</w:t>
      </w:r>
      <w:r w:rsidR="00FF676C">
        <w:rPr>
          <w:lang w:val="en-ZA"/>
        </w:rPr>
        <w:t>)</w:t>
      </w:r>
      <w:r w:rsidRPr="0058068D">
        <w:rPr>
          <w:lang w:val="en-ZA"/>
        </w:rPr>
        <w:t xml:space="preserve"> is widespread in tropical Africa</w:t>
      </w:r>
      <w:r>
        <w:rPr>
          <w:lang w:val="en-ZA"/>
        </w:rPr>
        <w:t xml:space="preserve"> and the</w:t>
      </w:r>
      <w:r>
        <w:t xml:space="preserve"> leaves </w:t>
      </w:r>
      <w:r w:rsidRPr="0058068D">
        <w:rPr>
          <w:lang w:val="en-ZA"/>
        </w:rPr>
        <w:t xml:space="preserve">are traditionally consumed as a sauce with rice or </w:t>
      </w:r>
      <w:r>
        <w:rPr>
          <w:lang w:val="en-ZA"/>
        </w:rPr>
        <w:t xml:space="preserve">pearl </w:t>
      </w:r>
      <w:r w:rsidRPr="0058068D">
        <w:rPr>
          <w:lang w:val="en-ZA"/>
        </w:rPr>
        <w:t xml:space="preserve">millet in Senegal where </w:t>
      </w:r>
      <w:r>
        <w:rPr>
          <w:lang w:val="en-ZA"/>
        </w:rPr>
        <w:t>it has been</w:t>
      </w:r>
      <w:r w:rsidRPr="0058068D">
        <w:rPr>
          <w:lang w:val="en-ZA"/>
        </w:rPr>
        <w:t xml:space="preserve"> promoted as a nutritious leafy vegetable in rural communities (Fuglie</w:t>
      </w:r>
      <w:r>
        <w:rPr>
          <w:lang w:val="en-ZA"/>
        </w:rPr>
        <w:t xml:space="preserve"> et al.</w:t>
      </w:r>
      <w:r w:rsidRPr="0058068D">
        <w:rPr>
          <w:lang w:val="en-ZA"/>
        </w:rPr>
        <w:t xml:space="preserve"> 2001</w:t>
      </w:r>
      <w:r>
        <w:rPr>
          <w:lang w:val="en-ZA"/>
        </w:rPr>
        <w:t>). Concerning moringa</w:t>
      </w:r>
      <w:r w:rsidR="008E4B03">
        <w:rPr>
          <w:lang w:val="en-ZA"/>
        </w:rPr>
        <w:t xml:space="preserve"> leaves</w:t>
      </w:r>
      <w:r>
        <w:rPr>
          <w:lang w:val="en-ZA"/>
        </w:rPr>
        <w:t>, a</w:t>
      </w:r>
      <w:bookmarkStart w:id="48" w:name="_Hlk535334624"/>
      <w:r>
        <w:rPr>
          <w:lang w:val="en-ZA"/>
        </w:rPr>
        <w:t xml:space="preserve"> </w:t>
      </w:r>
      <w:r w:rsidRPr="0058068D">
        <w:rPr>
          <w:lang w:val="en-ZA"/>
        </w:rPr>
        <w:t xml:space="preserve">sensory trial involving 50 households </w:t>
      </w:r>
      <w:r>
        <w:rPr>
          <w:lang w:val="en-ZA"/>
        </w:rPr>
        <w:t xml:space="preserve">in Malawi </w:t>
      </w:r>
      <w:r w:rsidRPr="0058068D">
        <w:rPr>
          <w:lang w:val="en-ZA"/>
        </w:rPr>
        <w:t>revealed that about 63% of the participants preferr</w:t>
      </w:r>
      <w:r>
        <w:rPr>
          <w:lang w:val="en-ZA"/>
        </w:rPr>
        <w:t>ed</w:t>
      </w:r>
      <w:r w:rsidRPr="0058068D">
        <w:rPr>
          <w:lang w:val="en-ZA"/>
        </w:rPr>
        <w:t xml:space="preserve"> moringa leaves to the commonly used pumpkin leaves</w:t>
      </w:r>
      <w:r>
        <w:rPr>
          <w:lang w:val="en-ZA"/>
        </w:rPr>
        <w:t xml:space="preserve"> (</w:t>
      </w:r>
      <w:r w:rsidRPr="0058068D">
        <w:rPr>
          <w:lang w:val="en-ZA"/>
        </w:rPr>
        <w:t>Babu, 2000</w:t>
      </w:r>
      <w:r>
        <w:rPr>
          <w:lang w:val="en-ZA"/>
        </w:rPr>
        <w:t>)</w:t>
      </w:r>
      <w:r w:rsidRPr="0058068D">
        <w:rPr>
          <w:lang w:val="en-ZA"/>
        </w:rPr>
        <w:t>.</w:t>
      </w:r>
      <w:bookmarkEnd w:id="48"/>
      <w:r w:rsidRPr="0058068D">
        <w:rPr>
          <w:lang w:val="en-ZA"/>
        </w:rPr>
        <w:t xml:space="preserve"> </w:t>
      </w:r>
      <w:r w:rsidR="00EB48D8">
        <w:t>S</w:t>
      </w:r>
      <w:r>
        <w:t>pinach</w:t>
      </w:r>
      <w:r w:rsidR="009D1F3E">
        <w:t xml:space="preserve"> (</w:t>
      </w:r>
      <w:r w:rsidR="009D1F3E" w:rsidRPr="009D1F3E">
        <w:rPr>
          <w:i/>
          <w:iCs/>
        </w:rPr>
        <w:t>Spinacia oleracea</w:t>
      </w:r>
      <w:r w:rsidR="009D1F3E">
        <w:t>)</w:t>
      </w:r>
      <w:r>
        <w:t xml:space="preserve"> is an important and widely consumed green leafy vegetable in Africa</w:t>
      </w:r>
      <w:r w:rsidRPr="00275614">
        <w:t xml:space="preserve"> </w:t>
      </w:r>
      <w:r>
        <w:t>and could be an excellent source of essential minerals in the diet (</w:t>
      </w:r>
      <w:r w:rsidRPr="005D7139">
        <w:rPr>
          <w:shd w:val="clear" w:color="auto" w:fill="FFFFFF"/>
        </w:rPr>
        <w:t>Icard-Vernière</w:t>
      </w:r>
      <w:r>
        <w:rPr>
          <w:shd w:val="clear" w:color="auto" w:fill="FFFFFF"/>
        </w:rPr>
        <w:t xml:space="preserve"> et al., 2015)</w:t>
      </w:r>
      <w:r>
        <w:t>. Hibiscus calyx</w:t>
      </w:r>
      <w:r w:rsidR="00EB48D8">
        <w:t>es</w:t>
      </w:r>
      <w:r w:rsidR="008621B2">
        <w:t xml:space="preserve"> (</w:t>
      </w:r>
      <w:r w:rsidR="008621B2" w:rsidRPr="009D1F3E">
        <w:rPr>
          <w:i/>
          <w:iCs/>
        </w:rPr>
        <w:t>Hibiscus sabdariffa</w:t>
      </w:r>
      <w:r w:rsidR="008621B2">
        <w:t>)</w:t>
      </w:r>
      <w:r>
        <w:t xml:space="preserve"> are also commonly used traditionally and industrially in teas and extract preparations in many countries of tropical and sub-tropical Africa</w:t>
      </w:r>
      <w:r w:rsidRPr="00B94AE9">
        <w:rPr>
          <w:shd w:val="clear" w:color="auto" w:fill="FFFFFF"/>
        </w:rPr>
        <w:t xml:space="preserve"> </w:t>
      </w:r>
      <w:r>
        <w:rPr>
          <w:shd w:val="clear" w:color="auto" w:fill="FFFFFF"/>
        </w:rPr>
        <w:t>(</w:t>
      </w:r>
      <w:r w:rsidRPr="002E483F">
        <w:rPr>
          <w:shd w:val="clear" w:color="auto" w:fill="FFFFFF"/>
        </w:rPr>
        <w:t>Monteiro</w:t>
      </w:r>
      <w:r>
        <w:rPr>
          <w:shd w:val="clear" w:color="auto" w:fill="FFFFFF"/>
        </w:rPr>
        <w:t xml:space="preserve"> et al., 2017)</w:t>
      </w:r>
      <w:r>
        <w:t>. However, many of these plant foodstuffs contain substantial levels of mineral absorption inhibitors such as phytate and polyphenols and may limit the mineral absorption from these vegetables (Cercamondi et al., 2014</w:t>
      </w:r>
      <w:r w:rsidR="00220231">
        <w:t>b</w:t>
      </w:r>
      <w:r>
        <w:t xml:space="preserve">). </w:t>
      </w:r>
    </w:p>
    <w:p w14:paraId="684449AB" w14:textId="77777777" w:rsidR="00B330DD" w:rsidRDefault="00B330DD" w:rsidP="0009779A">
      <w:pPr>
        <w:spacing w:before="240" w:after="0"/>
      </w:pPr>
    </w:p>
    <w:p w14:paraId="1ECB16DD" w14:textId="6B21F910" w:rsidR="00B330DD" w:rsidRDefault="00B330DD" w:rsidP="00A52614">
      <w:r>
        <w:t xml:space="preserve">Few studies have </w:t>
      </w:r>
      <w:r w:rsidR="000C21CA">
        <w:t>investigated</w:t>
      </w:r>
      <w:r>
        <w:t xml:space="preserve"> </w:t>
      </w:r>
      <w:r w:rsidR="0098329F">
        <w:t>whether</w:t>
      </w:r>
      <w:r>
        <w:t xml:space="preserve"> fortifying African</w:t>
      </w:r>
      <w:r w:rsidR="0098329F">
        <w:t>-type</w:t>
      </w:r>
      <w:r>
        <w:t xml:space="preserve"> cereal-based foods with these plant foodstuffs </w:t>
      </w:r>
      <w:r w:rsidR="0098329F">
        <w:t>has potential to improve</w:t>
      </w:r>
      <w:r>
        <w:t xml:space="preserve"> mineral bioavailability. Cercamondi et al. (2014</w:t>
      </w:r>
      <w:r w:rsidR="00220231">
        <w:t>b</w:t>
      </w:r>
      <w:r>
        <w:t xml:space="preserve">) found that consumption of </w:t>
      </w:r>
      <w:r w:rsidR="00EB48D8">
        <w:t xml:space="preserve">a </w:t>
      </w:r>
      <w:r>
        <w:t xml:space="preserve">green leafy vegetable sauce such as amaranth together with a maize paste slightly increased </w:t>
      </w:r>
      <w:r w:rsidR="0098329F">
        <w:t>f</w:t>
      </w:r>
      <w:r>
        <w:t xml:space="preserve">ractional iron absorption but did not increase the amount of absorbed iron </w:t>
      </w:r>
      <w:r w:rsidR="00EB48D8">
        <w:t>in a study in Switzerland involving</w:t>
      </w:r>
      <w:r>
        <w:t xml:space="preserve"> women. Likewise, genannt Bonsmann et al. (2008) found that consumption of </w:t>
      </w:r>
      <w:r w:rsidR="00AF0D80">
        <w:t xml:space="preserve">a </w:t>
      </w:r>
      <w:r>
        <w:t xml:space="preserve">spinach fortified-wheat bread roll could potentially decrease iron absorption in childbearing women in Switzerland when compared to consumption of </w:t>
      </w:r>
      <w:r w:rsidR="00AF0D80">
        <w:t xml:space="preserve">a </w:t>
      </w:r>
      <w:r>
        <w:t xml:space="preserve">kale-fortified wheat bread roll. </w:t>
      </w:r>
    </w:p>
    <w:p w14:paraId="7038EBC8" w14:textId="77777777" w:rsidR="00B330DD" w:rsidRDefault="00B330DD" w:rsidP="0009779A">
      <w:pPr>
        <w:spacing w:before="240" w:after="0"/>
      </w:pPr>
    </w:p>
    <w:p w14:paraId="52BA4D25" w14:textId="1093F0EF" w:rsidR="00B330DD" w:rsidRDefault="00B330DD" w:rsidP="00A52614">
      <w:r>
        <w:t xml:space="preserve">In an </w:t>
      </w:r>
      <w:r w:rsidR="00D5016D">
        <w:rPr>
          <w:i/>
          <w:iCs/>
        </w:rPr>
        <w:t>i</w:t>
      </w:r>
      <w:r w:rsidR="00D5016D" w:rsidRPr="00D5016D">
        <w:rPr>
          <w:i/>
          <w:iCs/>
        </w:rPr>
        <w:t>n vitro</w:t>
      </w:r>
      <w:r>
        <w:t xml:space="preserve"> study, Rodriguez-Ramiro et al. (2019) showed that spinach, although highest in iron, had the lowest iron bioaccessibility when compared to other </w:t>
      </w:r>
      <w:r w:rsidR="00AF0D80">
        <w:t xml:space="preserve">green </w:t>
      </w:r>
      <w:r>
        <w:t xml:space="preserve">vegetables such as broccoli, cabbage, kale and green pepper. However, the study of Van der Merwe et al. (2019) showed that inclusion of </w:t>
      </w:r>
      <w:r w:rsidR="00AF0D80">
        <w:t xml:space="preserve">a </w:t>
      </w:r>
      <w:r>
        <w:t xml:space="preserve">green leafy vegetable such as moringa leaves in a pearl millet-based porridge, in the presence of provitamin A source, increased the iron and zinc bioaccessibility of porridge (presumably due to its high iron and zinc contents and the presence of </w:t>
      </w:r>
      <w:r w:rsidRPr="0061701D">
        <w:t>β-</w:t>
      </w:r>
      <w:r>
        <w:rPr>
          <w:rFonts w:eastAsia="Times New Roman"/>
        </w:rPr>
        <w:t xml:space="preserve">carotene in the food-matrix). </w:t>
      </w:r>
      <w:r w:rsidR="00C67486">
        <w:t xml:space="preserve">Amagloh et al. (2017) also showed that in an </w:t>
      </w:r>
      <w:r w:rsidR="00C67486">
        <w:rPr>
          <w:i/>
          <w:iCs/>
        </w:rPr>
        <w:t>i</w:t>
      </w:r>
      <w:r w:rsidR="00C67486" w:rsidRPr="00D5016D">
        <w:rPr>
          <w:i/>
          <w:iCs/>
        </w:rPr>
        <w:t>n vitro</w:t>
      </w:r>
      <w:r w:rsidR="00C67486">
        <w:t xml:space="preserve"> digestion/Caco-2 cell model, moringa leaves had the highest iron bioaccessibility, some 52% higher compared to other commonly consumed green leafy vegetables such as orange-, white- and purple-fleshed sweet potato leaves, baobab leaves, cocoyam leaves and Corchorus leaves. </w:t>
      </w:r>
      <w:r>
        <w:rPr>
          <w:rFonts w:eastAsia="Times New Roman"/>
        </w:rPr>
        <w:t xml:space="preserve">In contrast to the findings of </w:t>
      </w:r>
      <w:r>
        <w:t xml:space="preserve">genannt Bonsmann et al. (2008), Luo </w:t>
      </w:r>
      <w:r w:rsidR="00841F3C">
        <w:t>&amp;</w:t>
      </w:r>
      <w:r>
        <w:t xml:space="preserve"> Xie (2012) found that fortification of cooked wheat and oat with spinach increased the percentage iron and zinc bioaccessibility of the</w:t>
      </w:r>
      <w:r w:rsidR="00AF0D80">
        <w:t>se</w:t>
      </w:r>
      <w:r>
        <w:t xml:space="preserve"> cereal food</w:t>
      </w:r>
      <w:r w:rsidR="00AF0D80">
        <w:t>s</w:t>
      </w:r>
      <w:r>
        <w:t xml:space="preserve">. </w:t>
      </w:r>
      <w:r w:rsidR="00AF0D80">
        <w:t>T</w:t>
      </w:r>
      <w:r>
        <w:t xml:space="preserve">he enhancing effect of spinach on mineral bioaccessibility was attributed to its high </w:t>
      </w:r>
      <w:r w:rsidRPr="0061701D">
        <w:t>β-</w:t>
      </w:r>
      <w:r>
        <w:rPr>
          <w:rFonts w:eastAsia="Times New Roman"/>
        </w:rPr>
        <w:t xml:space="preserve">carotene content. </w:t>
      </w:r>
      <w:r w:rsidR="00AF0D80">
        <w:rPr>
          <w:rFonts w:eastAsia="Times New Roman"/>
        </w:rPr>
        <w:t>S</w:t>
      </w:r>
      <w:r w:rsidRPr="00A16E47">
        <w:t xml:space="preserve">tudies </w:t>
      </w:r>
      <w:r w:rsidR="00AF0D80">
        <w:t xml:space="preserve">by </w:t>
      </w:r>
      <w:r w:rsidR="00AF0D80" w:rsidRPr="00AF0D80">
        <w:t xml:space="preserve">Kruger et al. </w:t>
      </w:r>
      <w:r w:rsidR="00AF0D80">
        <w:t>(</w:t>
      </w:r>
      <w:r w:rsidR="00AF0D80" w:rsidRPr="00AF0D80">
        <w:t>2018</w:t>
      </w:r>
      <w:r w:rsidR="00AF0D80">
        <w:t>) and</w:t>
      </w:r>
      <w:r w:rsidR="00AF0D80" w:rsidRPr="00AF0D80">
        <w:t xml:space="preserve"> Kruger </w:t>
      </w:r>
      <w:r w:rsidR="00AF0D80">
        <w:t>(</w:t>
      </w:r>
      <w:r w:rsidR="00AF0D80" w:rsidRPr="00AF0D80">
        <w:t>2020</w:t>
      </w:r>
      <w:r w:rsidR="00AF0D80">
        <w:t xml:space="preserve">) </w:t>
      </w:r>
      <w:r w:rsidRPr="00A16E47">
        <w:t xml:space="preserve">have </w:t>
      </w:r>
      <w:r>
        <w:t xml:space="preserve">also </w:t>
      </w:r>
      <w:r w:rsidRPr="00A16E47">
        <w:t xml:space="preserve">shown </w:t>
      </w:r>
      <w:r>
        <w:t>the potential of fortifying cereal porridges with green leafy vegetables such as cowpea</w:t>
      </w:r>
      <w:r w:rsidR="00554919">
        <w:t xml:space="preserve"> </w:t>
      </w:r>
      <w:r>
        <w:t xml:space="preserve">leaves, rich in minerals and </w:t>
      </w:r>
      <w:r w:rsidRPr="00A16E47">
        <w:t>β-carotene</w:t>
      </w:r>
      <w:r>
        <w:t>, in enhancing iron and zinc bioaccessibility and uptake by Caco-2 cells.</w:t>
      </w:r>
    </w:p>
    <w:p w14:paraId="168EC037" w14:textId="77777777" w:rsidR="003A2956" w:rsidRDefault="003A2956" w:rsidP="003A2956">
      <w:pPr>
        <w:spacing w:after="0"/>
        <w:rPr>
          <w:rFonts w:eastAsia="Times New Roman"/>
        </w:rPr>
      </w:pPr>
    </w:p>
    <w:p w14:paraId="79773F8A" w14:textId="0E2E3548" w:rsidR="00B330DD" w:rsidRDefault="00B330DD" w:rsidP="00A52614">
      <w:pPr>
        <w:pStyle w:val="Heading2"/>
      </w:pPr>
      <w:bookmarkStart w:id="49" w:name="_Hlk28611046"/>
      <w:bookmarkStart w:id="50" w:name="_Toc65253568"/>
      <w:r w:rsidRPr="00B408B3">
        <w:t>2.6</w:t>
      </w:r>
      <w:r w:rsidR="00382274">
        <w:tab/>
      </w:r>
      <w:r w:rsidR="00A52614">
        <w:t>A</w:t>
      </w:r>
      <w:r w:rsidR="00A52614" w:rsidRPr="00B408B3">
        <w:t xml:space="preserve">ssessment of </w:t>
      </w:r>
      <w:r w:rsidR="00A52614">
        <w:t>i</w:t>
      </w:r>
      <w:r w:rsidR="00A52614" w:rsidRPr="00B408B3">
        <w:t>ro</w:t>
      </w:r>
      <w:r w:rsidR="00A52614">
        <w:t>n and zinc bioavailability</w:t>
      </w:r>
      <w:bookmarkEnd w:id="49"/>
      <w:bookmarkEnd w:id="50"/>
    </w:p>
    <w:p w14:paraId="6ECD7C0E" w14:textId="4A65514E" w:rsidR="00B330DD" w:rsidRPr="00B408B3" w:rsidRDefault="00C5558D" w:rsidP="005931BF">
      <w:r>
        <w:t xml:space="preserve">One of the major factors limiting adequate nutrition in many poor at-risk communities is dietary quality. </w:t>
      </w:r>
      <w:r w:rsidR="003017B6">
        <w:t xml:space="preserve">Bioavailability of micronutrient is </w:t>
      </w:r>
      <w:r w:rsidR="00E9549D">
        <w:t xml:space="preserve">as </w:t>
      </w:r>
      <w:r w:rsidR="003017B6">
        <w:t xml:space="preserve">essential </w:t>
      </w:r>
      <w:r w:rsidR="00E9549D">
        <w:t>aspect of dietary quality with respects to micronutrient intakes</w:t>
      </w:r>
      <w:r w:rsidR="00220231">
        <w:t xml:space="preserve"> </w:t>
      </w:r>
      <w:r w:rsidR="00220231" w:rsidRPr="00D238F1">
        <w:t xml:space="preserve">(Hotz </w:t>
      </w:r>
      <w:r w:rsidR="00220231">
        <w:t>&amp;</w:t>
      </w:r>
      <w:r w:rsidR="00220231" w:rsidRPr="00D238F1">
        <w:t xml:space="preserve"> Gibson, 2007)</w:t>
      </w:r>
      <w:r w:rsidR="00135038">
        <w:t>. Thus, a</w:t>
      </w:r>
      <w:r w:rsidR="00B330DD" w:rsidRPr="00D238F1">
        <w:t xml:space="preserve">ssessment of mineral bioavailability is crucial in determining the quality and adequacy of mineral intakes beyond mere quantification of mineral contents in food sources. Mineral bioavailability in humans can be determined </w:t>
      </w:r>
      <w:r w:rsidR="00B330DD">
        <w:t xml:space="preserve">using a sequential </w:t>
      </w:r>
      <w:r w:rsidR="00B330DD" w:rsidRPr="00D238F1">
        <w:t xml:space="preserve">series </w:t>
      </w:r>
      <w:r w:rsidR="00B330DD">
        <w:t>of</w:t>
      </w:r>
      <w:r w:rsidR="00B330DD" w:rsidRPr="00D238F1">
        <w:t xml:space="preserve"> stages which includes bioaccessibility/availability (digestion and release of minerals into the lumen of the digestive tract), cellular uptake (transport of minerals</w:t>
      </w:r>
      <w:r w:rsidR="00B330DD">
        <w:t xml:space="preserve"> from the intestinal lumen</w:t>
      </w:r>
      <w:r w:rsidR="00B330DD" w:rsidRPr="00D238F1">
        <w:t xml:space="preserve"> into</w:t>
      </w:r>
      <w:r w:rsidR="00B330DD">
        <w:t xml:space="preserve"> the</w:t>
      </w:r>
      <w:r w:rsidR="00B330DD" w:rsidRPr="00D238F1">
        <w:t xml:space="preserve"> enterocytes), absorption (transport of the minerals across the enterocytes</w:t>
      </w:r>
      <w:r w:rsidR="00B330DD">
        <w:t>’</w:t>
      </w:r>
      <w:r w:rsidR="00B330DD" w:rsidRPr="00D238F1">
        <w:t xml:space="preserve"> basolateral membrane into the</w:t>
      </w:r>
      <w:r w:rsidR="00B330DD">
        <w:t xml:space="preserve"> blood</w:t>
      </w:r>
      <w:r w:rsidR="00B330DD" w:rsidRPr="00D238F1">
        <w:t xml:space="preserve"> circulation) and retention (storage of minerals in the body or excretion in urine and f</w:t>
      </w:r>
      <w:r w:rsidR="00B330DD">
        <w:t>a</w:t>
      </w:r>
      <w:r w:rsidR="00B330DD" w:rsidRPr="00D238F1">
        <w:t>eces)</w:t>
      </w:r>
      <w:r w:rsidR="00B330DD">
        <w:t xml:space="preserve"> (Fairweather-Tait et al., 2005)</w:t>
      </w:r>
      <w:r w:rsidR="00B330DD" w:rsidRPr="00D238F1">
        <w:t>. Different assay</w:t>
      </w:r>
      <w:r w:rsidR="008A2B73">
        <w:t xml:space="preserve"> methods</w:t>
      </w:r>
      <w:r w:rsidR="00B330DD" w:rsidRPr="00D238F1">
        <w:t xml:space="preserve"> </w:t>
      </w:r>
      <w:r w:rsidR="00B330DD">
        <w:t>can be</w:t>
      </w:r>
      <w:r w:rsidR="00B330DD" w:rsidRPr="00D238F1">
        <w:t xml:space="preserve"> used to measure these stages of mineral bioavailability. These include </w:t>
      </w:r>
      <w:r w:rsidR="00D5016D">
        <w:rPr>
          <w:i/>
          <w:iCs/>
        </w:rPr>
        <w:t>i</w:t>
      </w:r>
      <w:r w:rsidR="00D5016D" w:rsidRPr="00D5016D">
        <w:rPr>
          <w:i/>
          <w:iCs/>
        </w:rPr>
        <w:t>n vitro</w:t>
      </w:r>
      <w:r w:rsidR="00B330DD" w:rsidRPr="00D238F1">
        <w:t xml:space="preserve"> dialysability assay, </w:t>
      </w:r>
      <w:r w:rsidR="00D5016D">
        <w:rPr>
          <w:i/>
          <w:iCs/>
        </w:rPr>
        <w:t>i</w:t>
      </w:r>
      <w:r w:rsidR="00D5016D" w:rsidRPr="00D5016D">
        <w:rPr>
          <w:i/>
          <w:iCs/>
        </w:rPr>
        <w:t>n vitro</w:t>
      </w:r>
      <w:r w:rsidR="00B330DD" w:rsidRPr="00D238F1">
        <w:t xml:space="preserve"> cell culture </w:t>
      </w:r>
      <w:r w:rsidR="00B330DD">
        <w:t xml:space="preserve">assays </w:t>
      </w:r>
      <w:r w:rsidR="00B330DD" w:rsidRPr="00D238F1">
        <w:t xml:space="preserve">and </w:t>
      </w:r>
      <w:r w:rsidR="00D5016D" w:rsidRPr="00D5016D">
        <w:rPr>
          <w:i/>
          <w:iCs/>
        </w:rPr>
        <w:t>in vivo</w:t>
      </w:r>
      <w:r w:rsidR="00B330DD" w:rsidRPr="00D238F1">
        <w:t xml:space="preserve"> animal and human absorption trials</w:t>
      </w:r>
      <w:r w:rsidR="00B330DD">
        <w:t>.</w:t>
      </w:r>
    </w:p>
    <w:p w14:paraId="60978E65" w14:textId="69981EA4" w:rsidR="00B330DD" w:rsidRDefault="00B330DD" w:rsidP="005931BF">
      <w:pPr>
        <w:pStyle w:val="Heading3"/>
      </w:pPr>
      <w:bookmarkStart w:id="51" w:name="_Hlk28611072"/>
      <w:bookmarkStart w:id="52" w:name="_Toc65253569"/>
      <w:r w:rsidRPr="00B408B3">
        <w:t>2.6.1</w:t>
      </w:r>
      <w:r w:rsidR="00382274">
        <w:tab/>
      </w:r>
      <w:r w:rsidR="00D5016D" w:rsidRPr="00D5016D">
        <w:rPr>
          <w:i/>
          <w:iCs/>
        </w:rPr>
        <w:t>In vitro</w:t>
      </w:r>
      <w:r w:rsidRPr="00B408B3">
        <w:t xml:space="preserve"> dialysability assay</w:t>
      </w:r>
      <w:bookmarkEnd w:id="51"/>
      <w:bookmarkEnd w:id="52"/>
    </w:p>
    <w:p w14:paraId="313E9275" w14:textId="34A3FBBE" w:rsidR="00B330DD" w:rsidRPr="00D238F1" w:rsidRDefault="00B330DD" w:rsidP="005931BF">
      <w:r>
        <w:t xml:space="preserve">This assay is designed to predict bioaccessibility/availability of non-haem iron and zinc in the gastrointestinal tract (GIT) (Fairweather-Tait et al., 2005). </w:t>
      </w:r>
      <w:r w:rsidR="008A2B73">
        <w:t xml:space="preserve">The </w:t>
      </w:r>
      <w:r w:rsidR="008A2B73">
        <w:rPr>
          <w:bCs/>
          <w:i/>
          <w:iCs/>
        </w:rPr>
        <w:t>i</w:t>
      </w:r>
      <w:r w:rsidR="00D5016D" w:rsidRPr="00D5016D">
        <w:rPr>
          <w:bCs/>
          <w:i/>
          <w:iCs/>
        </w:rPr>
        <w:t>n vitro</w:t>
      </w:r>
      <w:r>
        <w:rPr>
          <w:bCs/>
        </w:rPr>
        <w:t xml:space="preserve"> </w:t>
      </w:r>
      <w:r w:rsidRPr="005F160F">
        <w:rPr>
          <w:bCs/>
        </w:rPr>
        <w:t xml:space="preserve">dialysability </w:t>
      </w:r>
      <w:r>
        <w:rPr>
          <w:bCs/>
        </w:rPr>
        <w:t>assay simulates</w:t>
      </w:r>
      <w:r w:rsidRPr="005F160F">
        <w:rPr>
          <w:bCs/>
        </w:rPr>
        <w:t xml:space="preserve"> </w:t>
      </w:r>
      <w:r w:rsidR="008A2B73">
        <w:rPr>
          <w:bCs/>
        </w:rPr>
        <w:t>digestion in and absorption from the human gastrointestinal tract (GIT)</w:t>
      </w:r>
      <w:r>
        <w:rPr>
          <w:bCs/>
        </w:rPr>
        <w:t xml:space="preserve"> and</w:t>
      </w:r>
      <w:r w:rsidRPr="005F160F">
        <w:rPr>
          <w:bCs/>
        </w:rPr>
        <w:t xml:space="preserve"> </w:t>
      </w:r>
      <w:r>
        <w:rPr>
          <w:bCs/>
        </w:rPr>
        <w:t xml:space="preserve">involves the use of </w:t>
      </w:r>
      <w:r w:rsidR="008A2B73">
        <w:rPr>
          <w:bCs/>
        </w:rPr>
        <w:t xml:space="preserve">a </w:t>
      </w:r>
      <w:r>
        <w:rPr>
          <w:bCs/>
        </w:rPr>
        <w:t>semi-permeable dialysis membrane tubing/bag</w:t>
      </w:r>
      <w:r w:rsidR="008A2B73">
        <w:rPr>
          <w:bCs/>
        </w:rPr>
        <w:t>.  This</w:t>
      </w:r>
      <w:r>
        <w:rPr>
          <w:bCs/>
        </w:rPr>
        <w:t xml:space="preserve"> only </w:t>
      </w:r>
      <w:r w:rsidRPr="005F160F">
        <w:rPr>
          <w:bCs/>
        </w:rPr>
        <w:t xml:space="preserve">allows molecules </w:t>
      </w:r>
      <w:r>
        <w:rPr>
          <w:bCs/>
        </w:rPr>
        <w:t>up to</w:t>
      </w:r>
      <w:r w:rsidRPr="005F160F">
        <w:rPr>
          <w:bCs/>
        </w:rPr>
        <w:t xml:space="preserve"> a certain molecular </w:t>
      </w:r>
      <w:r>
        <w:rPr>
          <w:bCs/>
        </w:rPr>
        <w:t>size</w:t>
      </w:r>
      <w:r w:rsidRPr="005F160F">
        <w:rPr>
          <w:bCs/>
        </w:rPr>
        <w:t xml:space="preserve"> to pass through the tubing </w:t>
      </w:r>
      <w:r>
        <w:rPr>
          <w:bCs/>
        </w:rPr>
        <w:t xml:space="preserve">to mimic the </w:t>
      </w:r>
      <w:r w:rsidRPr="005F160F">
        <w:rPr>
          <w:bCs/>
        </w:rPr>
        <w:t xml:space="preserve">intestinal </w:t>
      </w:r>
      <w:r>
        <w:rPr>
          <w:bCs/>
        </w:rPr>
        <w:t xml:space="preserve">barrier </w:t>
      </w:r>
      <w:r w:rsidRPr="005F160F">
        <w:rPr>
          <w:bCs/>
        </w:rPr>
        <w:t>environment.</w:t>
      </w:r>
      <w:r>
        <w:rPr>
          <w:bCs/>
        </w:rPr>
        <w:t xml:space="preserve"> </w:t>
      </w:r>
      <w:r w:rsidR="008A2B73">
        <w:rPr>
          <w:bCs/>
        </w:rPr>
        <w:t>A</w:t>
      </w:r>
      <w:r w:rsidRPr="005F160F">
        <w:rPr>
          <w:bCs/>
        </w:rPr>
        <w:t xml:space="preserve"> simulated digestion </w:t>
      </w:r>
      <w:r>
        <w:rPr>
          <w:bCs/>
        </w:rPr>
        <w:t xml:space="preserve">is usually </w:t>
      </w:r>
      <w:r w:rsidR="00D23DE3">
        <w:rPr>
          <w:bCs/>
        </w:rPr>
        <w:t>performed</w:t>
      </w:r>
      <w:r>
        <w:rPr>
          <w:bCs/>
        </w:rPr>
        <w:t xml:space="preserve"> with the use of digestive enzymes such as </w:t>
      </w:r>
      <w:r w:rsidRPr="005F160F">
        <w:rPr>
          <w:bCs/>
        </w:rPr>
        <w:t xml:space="preserve">pepsin and pancreatic-bile </w:t>
      </w:r>
      <w:r>
        <w:rPr>
          <w:bCs/>
        </w:rPr>
        <w:t>solutions to</w:t>
      </w:r>
      <w:r w:rsidRPr="005F160F">
        <w:rPr>
          <w:bCs/>
        </w:rPr>
        <w:t xml:space="preserve"> release the soluble minerals as in the human body (gastr</w:t>
      </w:r>
      <w:r>
        <w:rPr>
          <w:bCs/>
        </w:rPr>
        <w:t xml:space="preserve">ic stage) from the food sample, </w:t>
      </w:r>
      <w:r w:rsidRPr="005F160F">
        <w:rPr>
          <w:bCs/>
        </w:rPr>
        <w:t xml:space="preserve">while the </w:t>
      </w:r>
      <w:r>
        <w:rPr>
          <w:bCs/>
        </w:rPr>
        <w:t xml:space="preserve">content of the </w:t>
      </w:r>
      <w:r w:rsidRPr="005F160F">
        <w:rPr>
          <w:bCs/>
        </w:rPr>
        <w:t xml:space="preserve">dialyses tubing </w:t>
      </w:r>
      <w:r>
        <w:rPr>
          <w:bCs/>
        </w:rPr>
        <w:t xml:space="preserve">is used to </w:t>
      </w:r>
      <w:r w:rsidRPr="005F160F">
        <w:rPr>
          <w:bCs/>
        </w:rPr>
        <w:t xml:space="preserve">estimate how much of the minerals </w:t>
      </w:r>
      <w:r>
        <w:rPr>
          <w:bCs/>
        </w:rPr>
        <w:t xml:space="preserve">in the food matrix </w:t>
      </w:r>
      <w:r w:rsidRPr="005F160F">
        <w:rPr>
          <w:bCs/>
        </w:rPr>
        <w:t xml:space="preserve">is available for human absorption (intestinal stage) (Miller </w:t>
      </w:r>
      <w:r w:rsidRPr="0033258D">
        <w:rPr>
          <w:bCs/>
        </w:rPr>
        <w:t>et al.,</w:t>
      </w:r>
      <w:r w:rsidRPr="005F160F">
        <w:rPr>
          <w:bCs/>
          <w:i/>
        </w:rPr>
        <w:t xml:space="preserve"> </w:t>
      </w:r>
      <w:r w:rsidRPr="00DC248B">
        <w:rPr>
          <w:bCs/>
        </w:rPr>
        <w:t>198</w:t>
      </w:r>
      <w:r w:rsidRPr="00C16C16">
        <w:rPr>
          <w:bCs/>
        </w:rPr>
        <w:t>1</w:t>
      </w:r>
      <w:r>
        <w:rPr>
          <w:bCs/>
        </w:rPr>
        <w:t>)</w:t>
      </w:r>
      <w:r w:rsidRPr="005F160F">
        <w:rPr>
          <w:bCs/>
        </w:rPr>
        <w:t>.</w:t>
      </w:r>
      <w:r>
        <w:rPr>
          <w:bCs/>
        </w:rPr>
        <w:t xml:space="preserve"> </w:t>
      </w:r>
    </w:p>
    <w:p w14:paraId="48855D35" w14:textId="77777777" w:rsidR="00B330DD" w:rsidRDefault="00B330DD" w:rsidP="0009779A">
      <w:pPr>
        <w:spacing w:before="240" w:after="0"/>
        <w:rPr>
          <w:b/>
        </w:rPr>
      </w:pPr>
      <w:bookmarkStart w:id="53" w:name="_Hlk28611093"/>
    </w:p>
    <w:p w14:paraId="3F5597C4" w14:textId="3B75690D" w:rsidR="00B330DD" w:rsidRDefault="00B330DD" w:rsidP="005931BF">
      <w:pPr>
        <w:pStyle w:val="Heading3"/>
      </w:pPr>
      <w:bookmarkStart w:id="54" w:name="_Toc65253570"/>
      <w:r w:rsidRPr="00B408B3">
        <w:t>2.6.2</w:t>
      </w:r>
      <w:r w:rsidR="00382274">
        <w:tab/>
      </w:r>
      <w:r w:rsidR="00D5016D" w:rsidRPr="00D5016D">
        <w:rPr>
          <w:i/>
          <w:iCs/>
        </w:rPr>
        <w:t>In vitro</w:t>
      </w:r>
      <w:r w:rsidRPr="00B408B3">
        <w:t xml:space="preserve"> cell</w:t>
      </w:r>
      <w:r>
        <w:t xml:space="preserve"> mineral uptake assay</w:t>
      </w:r>
      <w:bookmarkEnd w:id="53"/>
      <w:bookmarkEnd w:id="54"/>
    </w:p>
    <w:p w14:paraId="51AC080E" w14:textId="59F89F70" w:rsidR="00B330DD" w:rsidRPr="00FC04E1" w:rsidRDefault="00B330DD" w:rsidP="005931BF">
      <w:r>
        <w:t>Caco-2 cells are human intestinal epithelial cells (Lestienne</w:t>
      </w:r>
      <w:r w:rsidRPr="0033258D">
        <w:t xml:space="preserve"> et al.,</w:t>
      </w:r>
      <w:r>
        <w:t xml:space="preserve"> 2005) and are used as models for iron and zinc cellular uptake</w:t>
      </w:r>
      <w:r w:rsidR="00D23DE3">
        <w:t>.</w:t>
      </w:r>
      <w:r>
        <w:t xml:space="preserve"> </w:t>
      </w:r>
      <w:r w:rsidR="00D23DE3">
        <w:t xml:space="preserve">The </w:t>
      </w:r>
      <w:r>
        <w:t xml:space="preserve">assay which is usually combined with </w:t>
      </w:r>
      <w:r w:rsidR="00D5016D">
        <w:rPr>
          <w:i/>
          <w:iCs/>
        </w:rPr>
        <w:t>i</w:t>
      </w:r>
      <w:r w:rsidR="00D5016D" w:rsidRPr="00D5016D">
        <w:rPr>
          <w:i/>
          <w:iCs/>
        </w:rPr>
        <w:t>n vitro</w:t>
      </w:r>
      <w:r>
        <w:t xml:space="preserve"> digestion predict their uptake across the enterocytes of the small intestine </w:t>
      </w:r>
      <w:r w:rsidRPr="00663B93">
        <w:rPr>
          <w:color w:val="000000" w:themeColor="text1"/>
        </w:rPr>
        <w:t xml:space="preserve"> </w:t>
      </w:r>
      <w:r w:rsidRPr="00663B93">
        <w:rPr>
          <w:color w:val="000000" w:themeColor="text1"/>
        </w:rPr>
        <w:fldChar w:fldCharType="begin" w:fldLock="1"/>
      </w:r>
      <w:r w:rsidRPr="00663B93">
        <w:rPr>
          <w:color w:val="000000" w:themeColor="text1"/>
        </w:rPr>
        <w:instrText>ADDIN CSL_CITATION { "citationItems" : [ { "id" : "ITEM-1", "itemData" : { "DOI" : "10.1024/0300-9831.75.6.371", "ISSN" : "03009831", "PMID" : "16711470", "abstract" : "A combination of dietary and host-related factors determines iron and zinc absorption, and several in vitro methods have been developed as preliminary screening tools for assessing bioavailability. An expert committee has reviewed evidence for their usefulness and reached a consensus. Dialyzability (with and without simulated digestion) gives some useful information but cannot predict the correct magnitude of response and may sometimes predict the wrong direction of response. Caco-2 cell systems (with and without simulated digestion) have been developed for iron availability, but the magnitude of different effects does not always agree with results obtained in human volunteers, and the data for zinc are too limited to draw conclusions about the validity of the method. Caco-2 methodologies vary significantly between laboratories and require experienced technicians and good quality cell culture facilities to obtain reproducible results. Algorithms can provide semi-quantitative information enabling diets to be classified as high, moderate, or low bioavailability. While in vitro methods can be used to generate ideas and develop hypotheses, they cannot be used alone for important decisions concerning food fortification policy, selection of varieties for plant breeding programs, or for new product development in the food industry. Ultimately human studies are required for such determinations.", "author" : [ { "dropping-particle" : "", "family" : "Fairweather-Tait", "given" : "Sue", "non-dropping-particle" : "", "parse-names" : false, "suffix" : "" }, { "dropping-particle" : "", "family" : "Lynch", "given" : "Sean", "non-dropping-particle" : "", "parse-names" : false, "suffix" : "" }, { "dropping-particle" : "", "family" : "Hotz", "given" : "Christine", "non-dropping-particle" : "", "parse-names" : false, "suffix" : "" }, { "dropping-particle" : "", "family" : "Hurrell", "given" : "Richard", "non-dropping-particle" : "", "parse-names" : false, "suffix" : "" }, { "dropping-particle" : "", "family" : "Abrahamse", "given" : "Leo", "non-dropping-particle" : "", "parse-names" : false, "suffix" : "" }, { "dropping-particle" : "", "family" : "Beebe", "given" : "Steve", "non-dropping-particle" : "", "parse-names" : false, "suffix" : "" }, { "dropping-particle" : "", "family" : "Bering", "given" : "Stine", "non-dropping-particle" : "", "parse-names" : false, "suffix" : "" }, { "dropping-particle" : "", "family" : "Bukhave", "given" : "Klaus", "non-dropping-particle" : "", "parse-names" : false, "suffix" : "" }, { "dropping-particle" : "", "family" : "Glahn", "given" : "Ray", "non-dropping-particle" : "", "parse-names" : false, "suffix" : "" }, { "dropping-particle" : "", "family" : "Hambidge", "given" : "Michael", "non-dropping-particle" : "", "parse-names" : false, "suffix" : "" }, { "dropping-particle" : "", "family" : "Hunt", "given" : "Janet", "non-dropping-particle" : "", "parse-names" : false, "suffix" : "" }, { "dropping-particle" : "", "family" : "Lonnerdal", "given" : "Bo", "non-dropping-particle" : "", "parse-names" : false, "suffix" : "" }, { "dropping-particle" : "", "family" : "Miller", "given" : "Denis", "non-dropping-particle" : "", "parse-names" : false, "suffix" : "" }, { "dropping-particle" : "", "family" : "Mohktar", "given" : "Najat", "non-dropping-particle" : "", "parse-names" : false, "suffix" : "" }, { "dropping-particle" : "", "family" : "Nestel", "given" : "Penelope", "non-dropping-particle" : "", "parse-names" : false, "suffix" : "" }, { "dropping-particle" : "", "family" : "Reddy", "given" : "Manju", "non-dropping-particle" : "", "parse-names" : false, "suffix" : "" }, { "dropping-particle" : "", "family" : "Sandberg", "given" : "Ann Sofie", "non-dropping-particle" : "", "parse-names" : false, "suffix" : "" }, { "dropping-particle" : "", "family" : "Sharp", "given" : "Paul", "non-dropping-particle" : "", "parse-names" : false, "suffix" : "" }, { "dropping-particle" : "", "family" : "Teucher", "given" : "Birgit", "non-dropping-particle" : "", "parse-names" : false, "suffix" : "" }, { "dropping-particle" : "", "family" : "Trinidad", "given" : "Trinidad P.", "non-dropping-particle" : "", "parse-names" : false, "suffix" : "" } ], "container-title" : "International Journal for Vitamin and Nutrition Research", "id" : "ITEM-1", "issue" : "6", "issued" : { "date-parts" : [ [ "2005" ] ] }, "page" : "371-374", "title" : "The usefulness of in vitro models to predict the bioavailability of iron and zinc: A consensus statement from the HarvestPlus expert consultation", "type" : "article-journal", "volume" : "75" }, "uris" : [ "http://www.mendeley.com/documents/?uuid=a13ab6d3-e8ce-4c6c-9abc-f74739e90fc0" ] } ], "mendeley" : { "formattedCitation" : "(Fairweather-Tait et al., 2005)", "plainTextFormattedCitation" : "(Fairweather-Tait et al., 2005)", "previouslyFormattedCitation" : "(Fairweather-Tait et al., 2005)" }, "properties" : { "noteIndex" : 0 }, "schema" : "https://github.com/citation-style-language/schema/raw/master/csl-citation.json" }</w:instrText>
      </w:r>
      <w:r w:rsidRPr="00663B93">
        <w:rPr>
          <w:color w:val="000000" w:themeColor="text1"/>
        </w:rPr>
        <w:fldChar w:fldCharType="separate"/>
      </w:r>
      <w:r>
        <w:rPr>
          <w:noProof/>
          <w:color w:val="000000" w:themeColor="text1"/>
        </w:rPr>
        <w:t>(Fairweather-Tait</w:t>
      </w:r>
      <w:r w:rsidRPr="0033258D">
        <w:rPr>
          <w:noProof/>
          <w:color w:val="000000" w:themeColor="text1"/>
        </w:rPr>
        <w:t xml:space="preserve"> et al.,</w:t>
      </w:r>
      <w:r w:rsidRPr="00663B93">
        <w:rPr>
          <w:noProof/>
          <w:color w:val="000000" w:themeColor="text1"/>
        </w:rPr>
        <w:t xml:space="preserve"> 2005)</w:t>
      </w:r>
      <w:r w:rsidRPr="00663B93">
        <w:rPr>
          <w:color w:val="000000" w:themeColor="text1"/>
        </w:rPr>
        <w:fldChar w:fldCharType="end"/>
      </w:r>
      <w:r>
        <w:t xml:space="preserve">. </w:t>
      </w:r>
      <w:r w:rsidRPr="00663B93">
        <w:rPr>
          <w:color w:val="000000" w:themeColor="text1"/>
        </w:rPr>
        <w:t>Caco-2 cell lines exhibit</w:t>
      </w:r>
      <w:r>
        <w:rPr>
          <w:color w:val="000000" w:themeColor="text1"/>
        </w:rPr>
        <w:t xml:space="preserve"> enterocyte-like division</w:t>
      </w:r>
      <w:r w:rsidRPr="00663B93">
        <w:rPr>
          <w:color w:val="000000" w:themeColor="text1"/>
        </w:rPr>
        <w:t xml:space="preserve"> and spontaneously differentiate into polarized monolayers with a well-developed brush border and associated </w:t>
      </w:r>
      <w:r>
        <w:rPr>
          <w:color w:val="000000" w:themeColor="text1"/>
        </w:rPr>
        <w:t xml:space="preserve">digestive </w:t>
      </w:r>
      <w:r w:rsidRPr="00663B93">
        <w:rPr>
          <w:color w:val="000000" w:themeColor="text1"/>
        </w:rPr>
        <w:t xml:space="preserve">enzymes </w:t>
      </w:r>
      <w:r w:rsidRPr="00663B93">
        <w:rPr>
          <w:color w:val="000000" w:themeColor="text1"/>
        </w:rPr>
        <w:fldChar w:fldCharType="begin" w:fldLock="1"/>
      </w:r>
      <w:r w:rsidRPr="00663B93">
        <w:rPr>
          <w:color w:val="000000" w:themeColor="text1"/>
        </w:rPr>
        <w:instrText>ADDIN CSL_CITATION { "citationItems" : [ { "id" : "ITEM-1", "itemData" : { "ISSN" : "0022-3166", "PMID" : "10801938", "abstract" : "A Caco-2 cell model with extrinsic radioiron was used to evaluate the effect of dietary factors on nonheme iron bioavailability from a semipurified meal. Study 1 was conducted to evaluate the effect of enhancers (ascorbic acid) and inhibitors (bran, phytate and tea) on iron bioavailability when added to semipurified meal containing egg albumen as a protein source. The effect of various proteins [bovine serum albumin (BSA), casein, beef and soy] on iron bioavailability was evaluated in Study 2 by substituting the above protein sources for egg albumen. Protein solubilization following in vitro digestion for individual test meals was not significantly different from the control. On the other hand, nonheme iron solubilization (0.8+/-0.0 to 5.9+/-0.3 vs. 4.9+/-0.8 mg/L) varied significantly. The total iron uptake for each meal was calculated based on the percentage of radioiron taken up and transported by Caco-2 cells and the amount of nonheme iron present in uptake solutions. Iron uptake ratios represent test/control values. With the exception of BSA and ascorbic acid, the effect of dietary factors was similar to that found in humans reported in the literature. A significant correlation (r = 0.97; P&lt;0.0001) was found between the published human absorption data and the iron uptake by the Caco-2 cells. The results of our study indicate the usefulness of Caco-2 cells in assessing human iron absorption and the feasibility of this cell model in studying iron bioavailability from various food combinations, otherwise not easily performed in humans.", "author" : [ { "dropping-particle" : "", "family" : "Au", "given" : "A P", "non-dropping-particle" : "", "parse-names" : false, "suffix" : "" }, { "dropping-particle" : "", "family" : "Reddy", "given" : "M B", "non-dropping-particle" : "", "parse-names" : false, "suffix" : "" } ], "container-title" : "The Journal of Nutrition", "id" : "ITEM-1", "issue" : "5", "issued" : { "date-parts" : [ [ "2000" ] ] }, "page" : "1329-1334", "title" : "Caco-2 cells can be used to assess human iron bioavailability from a semipurified meal.", "type" : "article-journal", "volume" : "130" }, "uris" : [ "http://www.mendeley.com/documents/?uuid=6dc86c93-a445-493d-9696-3ca4a888ce05" ] } ], "mendeley" : { "formattedCitation" : "(Au and Reddy, 2000)", "plainTextFormattedCitation" : "(Au and Reddy, 2000)", "previouslyFormattedCitation" : "(Au and Reddy, 2000)" }, "properties" : { "noteIndex" : 0 }, "schema" : "https://github.com/citation-style-language/schema/raw/master/csl-citation.json" }</w:instrText>
      </w:r>
      <w:r w:rsidRPr="00663B93">
        <w:rPr>
          <w:color w:val="000000" w:themeColor="text1"/>
        </w:rPr>
        <w:fldChar w:fldCharType="separate"/>
      </w:r>
      <w:r w:rsidRPr="00663B93">
        <w:rPr>
          <w:noProof/>
          <w:color w:val="000000" w:themeColor="text1"/>
        </w:rPr>
        <w:t xml:space="preserve">(Au </w:t>
      </w:r>
      <w:r w:rsidR="0080344B">
        <w:rPr>
          <w:noProof/>
          <w:color w:val="000000" w:themeColor="text1"/>
        </w:rPr>
        <w:t>&amp;</w:t>
      </w:r>
      <w:r w:rsidRPr="00663B93">
        <w:rPr>
          <w:noProof/>
          <w:color w:val="000000" w:themeColor="text1"/>
        </w:rPr>
        <w:t xml:space="preserve"> Reddy, 2000)</w:t>
      </w:r>
      <w:r w:rsidRPr="00663B93">
        <w:rPr>
          <w:color w:val="000000" w:themeColor="text1"/>
        </w:rPr>
        <w:fldChar w:fldCharType="end"/>
      </w:r>
      <w:r w:rsidRPr="00663B93">
        <w:rPr>
          <w:color w:val="000000" w:themeColor="text1"/>
        </w:rPr>
        <w:t>. The major trans-membrane transporters for iron and zinc identified in normal mammalian small intestine enterocytes have also been identified in Caco-2 cells</w:t>
      </w:r>
      <w:r>
        <w:rPr>
          <w:color w:val="000000" w:themeColor="text1"/>
        </w:rPr>
        <w:t xml:space="preserve"> (</w:t>
      </w:r>
      <w:r>
        <w:rPr>
          <w:noProof/>
          <w:color w:val="000000" w:themeColor="text1"/>
        </w:rPr>
        <w:t>Fairweather-Tait</w:t>
      </w:r>
      <w:r w:rsidRPr="000905CA">
        <w:rPr>
          <w:noProof/>
          <w:color w:val="000000" w:themeColor="text1"/>
        </w:rPr>
        <w:t xml:space="preserve"> et al.,</w:t>
      </w:r>
      <w:r w:rsidRPr="00663B93">
        <w:rPr>
          <w:noProof/>
          <w:color w:val="000000" w:themeColor="text1"/>
        </w:rPr>
        <w:t xml:space="preserve"> 2005</w:t>
      </w:r>
      <w:r>
        <w:rPr>
          <w:noProof/>
          <w:color w:val="000000" w:themeColor="text1"/>
        </w:rPr>
        <w:t>)</w:t>
      </w:r>
      <w:r>
        <w:rPr>
          <w:color w:val="000000" w:themeColor="text1"/>
        </w:rPr>
        <w:t xml:space="preserve">. For example,  Caco-2 </w:t>
      </w:r>
      <w:r w:rsidRPr="00663B93">
        <w:rPr>
          <w:color w:val="000000" w:themeColor="text1"/>
        </w:rPr>
        <w:t xml:space="preserve">cells </w:t>
      </w:r>
      <w:r>
        <w:rPr>
          <w:color w:val="000000" w:themeColor="text1"/>
        </w:rPr>
        <w:t xml:space="preserve">are able to </w:t>
      </w:r>
      <w:r w:rsidRPr="00663B93">
        <w:rPr>
          <w:color w:val="000000" w:themeColor="text1"/>
        </w:rPr>
        <w:t>synthesize ferritin and (apo)</w:t>
      </w:r>
      <w:r>
        <w:rPr>
          <w:color w:val="000000" w:themeColor="text1"/>
        </w:rPr>
        <w:t xml:space="preserve"> transferring </w:t>
      </w:r>
      <w:r w:rsidRPr="00663B93">
        <w:rPr>
          <w:color w:val="000000" w:themeColor="text1"/>
        </w:rPr>
        <w:t>basolaterally</w:t>
      </w:r>
      <w:r>
        <w:rPr>
          <w:color w:val="000000" w:themeColor="text1"/>
        </w:rPr>
        <w:t xml:space="preserve"> as well as the transferrin receptor</w:t>
      </w:r>
      <w:r w:rsidRPr="00663B93">
        <w:rPr>
          <w:color w:val="000000" w:themeColor="text1"/>
        </w:rPr>
        <w:t xml:space="preserve"> </w:t>
      </w:r>
      <w:r w:rsidRPr="00663B93">
        <w:rPr>
          <w:color w:val="000000" w:themeColor="text1"/>
        </w:rPr>
        <w:fldChar w:fldCharType="begin" w:fldLock="1"/>
      </w:r>
      <w:r w:rsidRPr="00663B93">
        <w:rPr>
          <w:color w:val="000000" w:themeColor="text1"/>
        </w:rPr>
        <w:instrText>ADDIN CSL_CITATION { "citationItems" : [ { "id" : "ITEM-1", "itemData" : { "DOI" : "10.1007/BF02630906", "ISSN" : "0883-8364", "PMID" : "1830303", "abstract" : "Iron absorption by intestinal epithelial cells, passage onto plasmatic apotransferrin, and regulation of the process remain largely misunderstood. To investigate this problem, we have set up an in vitro model, consisting in CaCo2 cells (a human colon adenocarcinoma line, which upon cultivation displays numerous differentiation criteria of small intestine epithelial cells). Cells are cultivated in a serum-free medium, containing 1 microgram/ml insulin, 1 ng/ml epidermal growth factor, 10 micrograms/ml albumin-linoleic acid, 100 nM hydrocortisone, and 2 nM T3 on new, transparent, Cyclopore polyethyleneterephthalate microporous membranes coated with type I collagen. Cells rapidly adhere, grow, and form confluent monolayers; after 15 days, scanning electron microscopy reveals numerous uniform microvilli. Domes, which develop on nonporous substrata, are absent on high porosity membranes. Culture medium from upper and lower compartments of microplate inserts and cell lysates were immunoprecipitated after labeling with [3H]glucosamine and leucine; analysis was done by sodium dodecyl sulfate-polyacrylamide gel electrophoresis (SDS-PAGE), followed by autoradiography. [3H]transferrin is found mainly in the lower compartment and in cells; [3H]apolipoprotein B is released in both compartments, and fibronectin almost entirely recovered in the lower compartment; [3H]transferrin receptors and ferritin are only present in cell lysates. Binding experiments also show that transferrin receptors are accessible from the lower compartment. These results suggest that CaCo2 cells, cultivated in synthetic medium on membranes of appropriate porosity, could provide an in vitro model of the intestinal barrier, with the upper compartment of the culture insert corresponding to the apical pole facing the intestinal lumen and the lower one to the basal pole in contact with blood.", "author" : [ { "dropping-particle" : "", "family" : "Halleux", "given" : "C", "non-dropping-particle" : "", "parse-names" : false, "suffix" : "" }, { "dropping-particle" : "", "family" : "Schneider", "given" : "Y J", "non-dropping-particle" : "", "parse-names" : false, "suffix" : "" } ], "container-title" : "In vitro cellular &amp; developmental biology : journal of the Tissue Culture Association", "id" : "ITEM-1", "issue" : "4", "issued" : { "date-parts" : [ [ "1991" ] ] }, "page" : "293-302", "title" : "Iron absorption by intestinal epithelial cells: 1. CaCo2 cells cultivated in serum-free medium, on polyethyleneterephthalate microporous membranes, as an in vitro model.", "type" : "article-journal", "volume" : "27A" }, "uris" : [ "http://www.mendeley.com/documents/?uuid=15278c5d-920a-4d45-84ef-06c42b5c6e06" ] } ], "mendeley" : { "formattedCitation" : "(Halleux and Schneider, 1991)", "plainTextFormattedCitation" : "(Halleux and Schneider, 1991)", "previouslyFormattedCitation" : "(Halleux and Schneider, 1991)" }, "properties" : { "noteIndex" : 0 }, "schema" : "https://github.com/citation-style-language/schema/raw/master/csl-citation.json" }</w:instrText>
      </w:r>
      <w:r w:rsidRPr="00663B93">
        <w:rPr>
          <w:color w:val="000000" w:themeColor="text1"/>
        </w:rPr>
        <w:fldChar w:fldCharType="separate"/>
      </w:r>
      <w:r w:rsidRPr="00663B93">
        <w:rPr>
          <w:noProof/>
          <w:color w:val="000000" w:themeColor="text1"/>
        </w:rPr>
        <w:t xml:space="preserve">(Halleux </w:t>
      </w:r>
      <w:r w:rsidR="00C8069F">
        <w:rPr>
          <w:noProof/>
          <w:color w:val="000000" w:themeColor="text1"/>
        </w:rPr>
        <w:t>&amp;</w:t>
      </w:r>
      <w:r w:rsidRPr="00663B93">
        <w:rPr>
          <w:noProof/>
          <w:color w:val="000000" w:themeColor="text1"/>
        </w:rPr>
        <w:t xml:space="preserve"> Schneider, 1991)</w:t>
      </w:r>
      <w:r w:rsidRPr="00663B93">
        <w:rPr>
          <w:color w:val="000000" w:themeColor="text1"/>
        </w:rPr>
        <w:fldChar w:fldCharType="end"/>
      </w:r>
      <w:r w:rsidRPr="00663B93">
        <w:rPr>
          <w:color w:val="000000" w:themeColor="text1"/>
        </w:rPr>
        <w:t>.</w:t>
      </w:r>
      <w:r>
        <w:rPr>
          <w:color w:val="000000" w:themeColor="text1"/>
        </w:rPr>
        <w:t xml:space="preserve"> I</w:t>
      </w:r>
      <w:r w:rsidRPr="00663B93">
        <w:rPr>
          <w:color w:val="000000" w:themeColor="text1"/>
        </w:rPr>
        <w:t>t has been demonstrated that Caco-2 cells predict the correct direction of response for all major iron absorption modifiers and may predict the correct direction for zinc in response to absorption modifiers</w:t>
      </w:r>
      <w:r w:rsidR="00EB22FD">
        <w:rPr>
          <w:color w:val="000000" w:themeColor="text1"/>
        </w:rPr>
        <w:t xml:space="preserve"> (Fairweather-Tait et al., 2005)</w:t>
      </w:r>
      <w:r w:rsidRPr="00663B93">
        <w:rPr>
          <w:color w:val="000000" w:themeColor="text1"/>
        </w:rPr>
        <w:t>. The measurement</w:t>
      </w:r>
      <w:r>
        <w:rPr>
          <w:color w:val="000000" w:themeColor="text1"/>
        </w:rPr>
        <w:t>s of iron or zinc uptake can be</w:t>
      </w:r>
      <w:r w:rsidRPr="00663B93">
        <w:rPr>
          <w:color w:val="000000" w:themeColor="text1"/>
        </w:rPr>
        <w:t xml:space="preserve"> done </w:t>
      </w:r>
      <w:r>
        <w:rPr>
          <w:color w:val="000000" w:themeColor="text1"/>
        </w:rPr>
        <w:t xml:space="preserve">using radioisotopes of iron and zinc </w:t>
      </w:r>
      <w:r w:rsidRPr="00663B93">
        <w:rPr>
          <w:color w:val="000000" w:themeColor="text1"/>
        </w:rPr>
        <w:t xml:space="preserve">by labelling intrinsic minerals (iron and zinc) in food samples with their respective radioisotopes. The assay measures </w:t>
      </w:r>
      <w:r w:rsidR="00D23DE3">
        <w:rPr>
          <w:color w:val="000000" w:themeColor="text1"/>
        </w:rPr>
        <w:t xml:space="preserve">the </w:t>
      </w:r>
      <w:r w:rsidRPr="00663B93">
        <w:rPr>
          <w:color w:val="000000" w:themeColor="text1"/>
        </w:rPr>
        <w:t>amount of exchanged minerals in the cell compared to the total minerals present in the food sample</w:t>
      </w:r>
      <w:r>
        <w:rPr>
          <w:color w:val="000000" w:themeColor="text1"/>
        </w:rPr>
        <w:t xml:space="preserve"> (</w:t>
      </w:r>
      <w:r w:rsidRPr="00663B93">
        <w:rPr>
          <w:color w:val="000000" w:themeColor="text1"/>
        </w:rPr>
        <w:t xml:space="preserve">Kruger </w:t>
      </w:r>
      <w:r w:rsidRPr="000905CA">
        <w:rPr>
          <w:color w:val="000000" w:themeColor="text1"/>
        </w:rPr>
        <w:t>et al.,</w:t>
      </w:r>
      <w:r>
        <w:rPr>
          <w:color w:val="000000" w:themeColor="text1"/>
        </w:rPr>
        <w:t xml:space="preserve"> 2013)</w:t>
      </w:r>
      <w:r w:rsidRPr="00663B93">
        <w:rPr>
          <w:color w:val="000000" w:themeColor="text1"/>
        </w:rPr>
        <w:t>.</w:t>
      </w:r>
      <w:r>
        <w:rPr>
          <w:color w:val="000000" w:themeColor="text1"/>
        </w:rPr>
        <w:t xml:space="preserve"> Another way of measuring iron uptake is by the measurement of ferritin formed in Caco-2 cells using an enzyme-linked immunoassay (ELISA) (</w:t>
      </w:r>
      <w:r>
        <w:t xml:space="preserve">Viadel </w:t>
      </w:r>
      <w:r w:rsidRPr="000905CA">
        <w:t>et al.,</w:t>
      </w:r>
      <w:r>
        <w:t xml:space="preserve"> 2007). </w:t>
      </w:r>
    </w:p>
    <w:p w14:paraId="4FBDD05C" w14:textId="77777777" w:rsidR="00B330DD" w:rsidRDefault="00B330DD" w:rsidP="0009779A">
      <w:pPr>
        <w:spacing w:before="240" w:after="0" w:line="240" w:lineRule="auto"/>
        <w:rPr>
          <w:rFonts w:cs="Times New Roman"/>
          <w:b/>
          <w:szCs w:val="24"/>
        </w:rPr>
      </w:pPr>
      <w:bookmarkStart w:id="55" w:name="_Hlk28611116"/>
    </w:p>
    <w:p w14:paraId="3FEF3A01" w14:textId="453D0D3A" w:rsidR="00B330DD" w:rsidRDefault="00B330DD" w:rsidP="005931BF">
      <w:pPr>
        <w:pStyle w:val="Heading3"/>
      </w:pPr>
      <w:bookmarkStart w:id="56" w:name="_Toc65253571"/>
      <w:r w:rsidRPr="00B408B3">
        <w:t>2.6.3</w:t>
      </w:r>
      <w:r w:rsidR="00382274">
        <w:tab/>
      </w:r>
      <w:r w:rsidR="00D5016D" w:rsidRPr="00D5016D">
        <w:rPr>
          <w:i/>
          <w:iCs/>
        </w:rPr>
        <w:t>In vivo</w:t>
      </w:r>
      <w:r w:rsidRPr="00B408B3">
        <w:t xml:space="preserve"> animal and human trials</w:t>
      </w:r>
      <w:bookmarkEnd w:id="55"/>
      <w:bookmarkEnd w:id="56"/>
    </w:p>
    <w:p w14:paraId="4E8D8ACE" w14:textId="115CCB5C" w:rsidR="00A1651D" w:rsidRDefault="00537B39" w:rsidP="00B330DD">
      <w:pPr>
        <w:sectPr w:rsidR="00A1651D" w:rsidSect="00460290">
          <w:pgSz w:w="11907" w:h="16839" w:code="9"/>
          <w:pgMar w:top="1440" w:right="1440" w:bottom="1440" w:left="1440" w:header="720" w:footer="720" w:gutter="0"/>
          <w:cols w:space="720"/>
          <w:docGrid w:linePitch="360"/>
        </w:sectPr>
      </w:pPr>
      <w:r>
        <w:rPr>
          <w:i/>
          <w:iCs/>
        </w:rPr>
        <w:t>I</w:t>
      </w:r>
      <w:r w:rsidR="00D5016D" w:rsidRPr="00D5016D">
        <w:rPr>
          <w:i/>
          <w:iCs/>
        </w:rPr>
        <w:t>n vitro</w:t>
      </w:r>
      <w:r w:rsidR="00B330DD">
        <w:t xml:space="preserve"> dialysability and Caco-2 cell assays can be useful predictors of mineral absorptions in humans as they are convenient and require less time and ethical consideration</w:t>
      </w:r>
      <w:r>
        <w:t>.</w:t>
      </w:r>
      <w:r w:rsidR="00B330DD">
        <w:t xml:space="preserve"> </w:t>
      </w:r>
      <w:r>
        <w:t>However,</w:t>
      </w:r>
      <w:r w:rsidR="00B330DD">
        <w:t xml:space="preserve"> results from these assays cannot be directly extrapolated to humans (Fairweather-Tait</w:t>
      </w:r>
      <w:r w:rsidR="00B330DD" w:rsidRPr="008D1447">
        <w:t xml:space="preserve"> et al.,</w:t>
      </w:r>
      <w:r w:rsidR="00B330DD">
        <w:t xml:space="preserve"> 2005). The </w:t>
      </w:r>
      <w:r w:rsidR="00D5016D" w:rsidRPr="00D5016D">
        <w:rPr>
          <w:i/>
          <w:iCs/>
        </w:rPr>
        <w:t>in vitro</w:t>
      </w:r>
      <w:r w:rsidR="00B330DD">
        <w:t xml:space="preserve"> dialysability assay usually, but not always, predicts the correct direction of response as in humans, while the Caco-2 cell assay, which usually predicts the direction of response, may over- or underestimate the magnitude of effects of some iron and zinc absorption modifiers. Therefore, it is necessary to measure the mineral bioavailability of fortified foods using animal models or human subject trials to guide food fortification program</w:t>
      </w:r>
      <w:r w:rsidR="00673613">
        <w:t>me</w:t>
      </w:r>
      <w:r w:rsidR="00B330DD">
        <w:t xml:space="preserve">s. </w:t>
      </w:r>
    </w:p>
    <w:p w14:paraId="02F2C629" w14:textId="6C4F4207" w:rsidR="00B330DD" w:rsidRDefault="00B330DD" w:rsidP="005931BF">
      <w:pPr>
        <w:pStyle w:val="Heading2"/>
      </w:pPr>
      <w:bookmarkStart w:id="57" w:name="_Toc65253572"/>
      <w:r>
        <w:t>2.7</w:t>
      </w:r>
      <w:r w:rsidR="005931BF">
        <w:tab/>
        <w:t>C</w:t>
      </w:r>
      <w:r w:rsidR="005931BF" w:rsidRPr="00495193">
        <w:t>onclusion</w:t>
      </w:r>
      <w:r w:rsidR="005931BF">
        <w:t>s</w:t>
      </w:r>
      <w:bookmarkEnd w:id="57"/>
    </w:p>
    <w:p w14:paraId="36A8D4C2" w14:textId="0D4C5EAF" w:rsidR="00B330DD" w:rsidRDefault="00B330DD" w:rsidP="00917B18">
      <w:r>
        <w:t>Deficiencies of iron and zinc persist widely in Africa, especially among children and women of reproductive age. This is mainly due to the consumption of monotonous cereal and other starchy food-based diets high in antinutritional factors, particularly phytates, that limit iron and zinc absorption, and minimal consumption of animal source foods that are rich in bioavailable iron and zinc. Nutritional intervention strategies such as mineral supplementation and food fortification programmes may not reach many people at-risk</w:t>
      </w:r>
      <w:r w:rsidRPr="00FC47EB">
        <w:t xml:space="preserve"> </w:t>
      </w:r>
      <w:r>
        <w:t>in rural Africa.</w:t>
      </w:r>
    </w:p>
    <w:p w14:paraId="05F6E35C" w14:textId="45D908C9" w:rsidR="00B330DD" w:rsidRDefault="00B330DD" w:rsidP="0009779A">
      <w:pPr>
        <w:spacing w:after="0"/>
      </w:pPr>
    </w:p>
    <w:p w14:paraId="6B7CF279" w14:textId="2FF2354E" w:rsidR="00B330DD" w:rsidRDefault="00B330DD" w:rsidP="00917B18">
      <w:r>
        <w:t>There is some evidence that the iron and zinc nutritive value of African starchy foods can potentially be improved by food-to-food fortification with widely available African plant foodstuffs that are rich in these essential minerals and mineral absorption enhancers such as ascorbic and citric acid. Th</w:t>
      </w:r>
      <w:r w:rsidR="00673613">
        <w:t>u</w:t>
      </w:r>
      <w:r>
        <w:t xml:space="preserve">s, food-to-food fortification could be an additional and sustainable food-based strategy to alleviate iron and zinc deficiencies in at-risk communities in rural Africa. </w:t>
      </w:r>
    </w:p>
    <w:p w14:paraId="336EF2AF" w14:textId="01BC3603" w:rsidR="00B330DD" w:rsidRDefault="00B330DD" w:rsidP="0009779A">
      <w:pPr>
        <w:spacing w:after="0"/>
      </w:pPr>
    </w:p>
    <w:p w14:paraId="4260FE9D" w14:textId="31B5A976" w:rsidR="00B330DD" w:rsidRDefault="00B330DD" w:rsidP="00917B18">
      <w:r>
        <w:t xml:space="preserve">However, to date there are too few studies involving food-to-food fortification of African starchy foods with locally available mineral- and absorption enhancer-rich plant foodstuffs to clearly establish whether such a technology has real potential to significantly improve the bioavailability of </w:t>
      </w:r>
      <w:r w:rsidR="00016BC8">
        <w:t xml:space="preserve">iron and zinc in </w:t>
      </w:r>
      <w:r>
        <w:t xml:space="preserve">these foods. </w:t>
      </w:r>
    </w:p>
    <w:p w14:paraId="1E149B1D" w14:textId="77777777" w:rsidR="00B330DD" w:rsidRDefault="00B330DD" w:rsidP="0009779A">
      <w:pPr>
        <w:spacing w:after="0"/>
      </w:pPr>
    </w:p>
    <w:p w14:paraId="2E5C9374" w14:textId="4DF8A869" w:rsidR="00460290" w:rsidRDefault="00B330DD" w:rsidP="00917B18">
      <w:pPr>
        <w:rPr>
          <w:b/>
        </w:rPr>
      </w:pPr>
      <w:r>
        <w:t xml:space="preserve">As an essential first step, there is need to determine whether </w:t>
      </w:r>
      <w:r w:rsidR="00016BC8">
        <w:t xml:space="preserve">food-to-food </w:t>
      </w:r>
      <w:r>
        <w:t xml:space="preserve">fortification of African staple cereal foods with commonly available local plant foodstuffs, rich in minerals and their absorption enhancers, either singly or in combination, can significantly enhance the iron and zinc </w:t>
      </w:r>
      <w:r w:rsidR="00EB22FD">
        <w:t xml:space="preserve">bioaccessibility </w:t>
      </w:r>
      <w:r>
        <w:t xml:space="preserve">as measured by </w:t>
      </w:r>
      <w:r w:rsidR="00D5016D">
        <w:rPr>
          <w:i/>
          <w:iCs/>
        </w:rPr>
        <w:t>i</w:t>
      </w:r>
      <w:r w:rsidR="00D5016D" w:rsidRPr="00D5016D">
        <w:rPr>
          <w:i/>
          <w:iCs/>
        </w:rPr>
        <w:t>n vitro</w:t>
      </w:r>
      <w:r w:rsidRPr="00273C31">
        <w:rPr>
          <w:i/>
        </w:rPr>
        <w:t xml:space="preserve"> </w:t>
      </w:r>
      <w:r>
        <w:t>bioaccessibility assay, as a model for mineral bioavailability. Additionally, there is a need to compare the effects of this food-to-food fortification on mineral bioaccessibility relative to the effects of conventional fortification, particularly iron fortification and inclusion of ascorbic acid, citric acid and β-carotene (known enhancers of mineral bioavailability).</w:t>
      </w:r>
    </w:p>
    <w:p w14:paraId="4692C9F0" w14:textId="77777777" w:rsidR="00B330DD" w:rsidRDefault="00B330DD" w:rsidP="00B20675">
      <w:pPr>
        <w:jc w:val="center"/>
        <w:rPr>
          <w:b/>
        </w:rPr>
      </w:pPr>
    </w:p>
    <w:p w14:paraId="7BD0410E" w14:textId="77777777" w:rsidR="00B330DD" w:rsidRDefault="00B330DD" w:rsidP="00B20675">
      <w:pPr>
        <w:jc w:val="center"/>
        <w:rPr>
          <w:b/>
        </w:rPr>
      </w:pPr>
    </w:p>
    <w:p w14:paraId="23CA2B5D" w14:textId="1DE79556" w:rsidR="005B417A" w:rsidRPr="001421B9" w:rsidRDefault="005B417A" w:rsidP="00917B18">
      <w:pPr>
        <w:pStyle w:val="Heading1"/>
      </w:pPr>
      <w:bookmarkStart w:id="58" w:name="_Toc65253573"/>
      <w:r>
        <w:t>3</w:t>
      </w:r>
      <w:r w:rsidR="00016BC8">
        <w:t>.</w:t>
      </w:r>
      <w:r>
        <w:tab/>
      </w:r>
      <w:r w:rsidRPr="001421B9">
        <w:t xml:space="preserve"> </w:t>
      </w:r>
      <w:r>
        <w:t xml:space="preserve">HYPOTHESES AND </w:t>
      </w:r>
      <w:r w:rsidRPr="001421B9">
        <w:t>OBJECTIVES</w:t>
      </w:r>
      <w:bookmarkEnd w:id="58"/>
    </w:p>
    <w:p w14:paraId="1DEE4509" w14:textId="44885DE4" w:rsidR="005B417A" w:rsidRPr="006C427D" w:rsidRDefault="005B417A" w:rsidP="00917B18">
      <w:pPr>
        <w:pStyle w:val="Heading2"/>
      </w:pPr>
      <w:bookmarkStart w:id="59" w:name="_Toc65253574"/>
      <w:r w:rsidRPr="006C427D">
        <w:t>3.1</w:t>
      </w:r>
      <w:r w:rsidR="00917B18">
        <w:tab/>
      </w:r>
      <w:r w:rsidRPr="006C427D">
        <w:t>Hypotheses</w:t>
      </w:r>
      <w:bookmarkEnd w:id="59"/>
    </w:p>
    <w:p w14:paraId="58DB313A" w14:textId="6EA6B8D3" w:rsidR="005B417A" w:rsidRDefault="005B417A" w:rsidP="00923ADB">
      <w:r>
        <w:t xml:space="preserve">1. </w:t>
      </w:r>
      <w:r w:rsidRPr="0040432C">
        <w:t xml:space="preserve">Food-to-food fortification of cereal </w:t>
      </w:r>
      <w:r>
        <w:t>porridges</w:t>
      </w:r>
      <w:r w:rsidRPr="0040432C">
        <w:t xml:space="preserve"> such as wholegrain pearl millet </w:t>
      </w:r>
      <w:r>
        <w:t xml:space="preserve">porridge </w:t>
      </w:r>
      <w:r w:rsidRPr="0040432C">
        <w:t xml:space="preserve">and wholegrain white maize porridge with baobab fruit will </w:t>
      </w:r>
      <w:r>
        <w:t>increase</w:t>
      </w:r>
      <w:r w:rsidRPr="0040432C">
        <w:t xml:space="preserve"> iron and zinc bioaccessibility. </w:t>
      </w:r>
      <w:r w:rsidRPr="00245EDD">
        <w:t xml:space="preserve">Baobab fruit is exceptionally high in </w:t>
      </w:r>
      <w:r>
        <w:t xml:space="preserve">organic acids, including </w:t>
      </w:r>
      <w:r w:rsidRPr="00245EDD">
        <w:t>ascorbic acid</w:t>
      </w:r>
      <w:r w:rsidRPr="00245EDD">
        <w:rPr>
          <w:noProof/>
        </w:rPr>
        <w:t xml:space="preserve"> and citric acid</w:t>
      </w:r>
      <w:r>
        <w:rPr>
          <w:noProof/>
        </w:rPr>
        <w:t xml:space="preserve"> </w:t>
      </w:r>
      <w:r>
        <w:t>(Tembo et al., 2017)</w:t>
      </w:r>
      <w:r w:rsidR="00AD6E17">
        <w:t>,</w:t>
      </w:r>
      <w:r w:rsidR="00AD6E17">
        <w:rPr>
          <w:szCs w:val="24"/>
        </w:rPr>
        <w:t xml:space="preserve"> which have been found to enhance </w:t>
      </w:r>
      <w:r w:rsidR="00F31E05">
        <w:rPr>
          <w:szCs w:val="24"/>
        </w:rPr>
        <w:t>iron</w:t>
      </w:r>
      <w:r w:rsidR="00AD6E17">
        <w:rPr>
          <w:szCs w:val="24"/>
        </w:rPr>
        <w:t xml:space="preserve"> and </w:t>
      </w:r>
      <w:r w:rsidR="00F31E05">
        <w:rPr>
          <w:szCs w:val="24"/>
        </w:rPr>
        <w:t>zinc</w:t>
      </w:r>
      <w:r w:rsidR="00AD6E17">
        <w:rPr>
          <w:szCs w:val="24"/>
        </w:rPr>
        <w:t xml:space="preserve"> absorption (</w:t>
      </w:r>
      <w:r w:rsidR="00AD6E17">
        <w:rPr>
          <w:noProof/>
          <w:szCs w:val="24"/>
        </w:rPr>
        <w:t>Lönnerdal</w:t>
      </w:r>
      <w:r w:rsidR="00AD6E17">
        <w:rPr>
          <w:szCs w:val="24"/>
        </w:rPr>
        <w:t>, 2000; WHO &amp; FAO, 2004; Mackenzie &amp; Garrick, 2005).</w:t>
      </w:r>
      <w:r w:rsidRPr="00245EDD">
        <w:t xml:space="preserve"> </w:t>
      </w:r>
    </w:p>
    <w:p w14:paraId="18C2EF0B" w14:textId="77777777" w:rsidR="005B417A" w:rsidRDefault="005B417A" w:rsidP="0009779A">
      <w:pPr>
        <w:spacing w:after="0"/>
      </w:pPr>
    </w:p>
    <w:p w14:paraId="4AD97669" w14:textId="32EBCA79" w:rsidR="005B417A" w:rsidRDefault="005B417A" w:rsidP="00923ADB">
      <w:r>
        <w:t xml:space="preserve">2. Food-to-food fortification of cereal porridges such as wholegrain pearl millet porridge and wholegrain maize porridge with moringa leaves or hibiscus calyxes alone or in combination with baobab fruit will increase iron and zinc bioaccessibility. </w:t>
      </w:r>
      <w:r w:rsidRPr="00245EDD">
        <w:t>Moringa</w:t>
      </w:r>
      <w:r>
        <w:t xml:space="preserve"> leaves </w:t>
      </w:r>
      <w:r w:rsidR="0008500D">
        <w:t xml:space="preserve">and </w:t>
      </w:r>
      <w:r w:rsidR="0008500D" w:rsidRPr="006503B1">
        <w:t>Hibiscus calyxes</w:t>
      </w:r>
      <w:r w:rsidR="0008500D">
        <w:t xml:space="preserve"> </w:t>
      </w:r>
      <w:r>
        <w:t xml:space="preserve">contain </w:t>
      </w:r>
      <w:r w:rsidRPr="00245EDD">
        <w:t xml:space="preserve">high levels of </w:t>
      </w:r>
      <w:r>
        <w:t xml:space="preserve">essential </w:t>
      </w:r>
      <w:r w:rsidRPr="00245EDD">
        <w:t>minerals</w:t>
      </w:r>
      <w:r w:rsidR="0008500D">
        <w:t>, including</w:t>
      </w:r>
      <w:r>
        <w:t xml:space="preserve"> </w:t>
      </w:r>
      <w:r w:rsidRPr="00245EDD">
        <w:t>iron</w:t>
      </w:r>
      <w:r>
        <w:t xml:space="preserve"> and zinc (</w:t>
      </w:r>
      <w:r w:rsidR="0008500D" w:rsidRPr="002548E5">
        <w:t>Joshi &amp; Mehta, 2010</w:t>
      </w:r>
      <w:r w:rsidR="0008500D">
        <w:t xml:space="preserve">; </w:t>
      </w:r>
      <w:r>
        <w:t>Glover-Amengor et al., 2016;</w:t>
      </w:r>
      <w:r w:rsidR="0008500D">
        <w:t xml:space="preserve"> </w:t>
      </w:r>
      <w:r w:rsidR="0008500D" w:rsidRPr="002548E5">
        <w:t>Van der Merwe et al., 2019</w:t>
      </w:r>
      <w:r>
        <w:t>)</w:t>
      </w:r>
      <w:r w:rsidR="0049723C">
        <w:t xml:space="preserve">. Moringa also contain </w:t>
      </w:r>
      <w:r>
        <w:t xml:space="preserve">substantial </w:t>
      </w:r>
      <w:r w:rsidR="002E31E2">
        <w:t>amounts</w:t>
      </w:r>
      <w:r>
        <w:t xml:space="preserve"> of mineral bioavailability enhancers such as carotenoids and ascorbic acid (Moyo et al., 2011)</w:t>
      </w:r>
      <w:r w:rsidR="0049723C">
        <w:t xml:space="preserve">, while </w:t>
      </w:r>
      <w:r w:rsidR="0049723C" w:rsidRPr="003F0564">
        <w:t>Hibiscus calyxes</w:t>
      </w:r>
      <w:r w:rsidR="0049723C">
        <w:rPr>
          <w:i/>
          <w:iCs/>
        </w:rPr>
        <w:t xml:space="preserve"> </w:t>
      </w:r>
      <w:r w:rsidR="0049723C">
        <w:t>is notably rich in</w:t>
      </w:r>
      <w:r w:rsidR="0049723C" w:rsidRPr="002548E5">
        <w:t xml:space="preserve"> citric acid, malic acid, ascorbic acid and tartaric acid (Da-Costa-Rocha et al., 2014)</w:t>
      </w:r>
      <w:r>
        <w:t xml:space="preserve">. </w:t>
      </w:r>
    </w:p>
    <w:p w14:paraId="13A07D21" w14:textId="77777777" w:rsidR="005B417A" w:rsidRDefault="005B417A" w:rsidP="0009779A">
      <w:pPr>
        <w:spacing w:after="0"/>
      </w:pPr>
    </w:p>
    <w:p w14:paraId="0EED0C72" w14:textId="00C9C44C" w:rsidR="005B417A" w:rsidRDefault="005B417A" w:rsidP="00923ADB">
      <w:r>
        <w:t>3. Food-to-food fortification of cereal porridges such as wholegrain pearl millet porridge and wholegrain maize porridge</w:t>
      </w:r>
      <w:r w:rsidRPr="00064DE1">
        <w:t xml:space="preserve"> </w:t>
      </w:r>
      <w:r>
        <w:t>with plant food</w:t>
      </w:r>
      <w:r w:rsidR="009C7F25">
        <w:t>s rich in</w:t>
      </w:r>
      <w:r>
        <w:t xml:space="preserve"> </w:t>
      </w:r>
      <w:r w:rsidRPr="00064DE1">
        <w:t>provitamin A source</w:t>
      </w:r>
      <w:r>
        <w:t>s</w:t>
      </w:r>
      <w:r w:rsidRPr="00064DE1">
        <w:t xml:space="preserve"> </w:t>
      </w:r>
      <w:r>
        <w:t xml:space="preserve">such as </w:t>
      </w:r>
      <w:r w:rsidRPr="00064DE1">
        <w:t>carrot</w:t>
      </w:r>
      <w:r>
        <w:t xml:space="preserve">, </w:t>
      </w:r>
      <w:r w:rsidRPr="00064DE1">
        <w:t xml:space="preserve">mango </w:t>
      </w:r>
      <w:r>
        <w:t xml:space="preserve">or papaya </w:t>
      </w:r>
      <w:r w:rsidR="009C7F25">
        <w:t xml:space="preserve">(USDA, 2019) </w:t>
      </w:r>
      <w:r>
        <w:t>will</w:t>
      </w:r>
      <w:r w:rsidRPr="00064DE1">
        <w:t xml:space="preserve"> increase iron and zinc bioaccessibility. </w:t>
      </w:r>
      <w:bookmarkStart w:id="60" w:name="_Hlk64995484"/>
      <w:r w:rsidR="003F0564">
        <w:t>Beta</w:t>
      </w:r>
      <w:r w:rsidR="003F0564" w:rsidRPr="00064DE1">
        <w:t xml:space="preserve">-carotene </w:t>
      </w:r>
      <w:r w:rsidR="003F0564">
        <w:t>has been</w:t>
      </w:r>
      <w:r w:rsidR="003F0564" w:rsidRPr="00064DE1">
        <w:t xml:space="preserve"> shown </w:t>
      </w:r>
      <w:r w:rsidR="003F0564">
        <w:t>to</w:t>
      </w:r>
      <w:r w:rsidR="003F0564" w:rsidRPr="00064DE1">
        <w:t xml:space="preserve"> enhance iron bioavailability </w:t>
      </w:r>
      <w:r w:rsidR="003F0564">
        <w:t xml:space="preserve">in plant-based foods </w:t>
      </w:r>
      <w:r w:rsidR="003F0564" w:rsidRPr="00064DE1">
        <w:t>(</w:t>
      </w:r>
      <w:r w:rsidR="003F0564" w:rsidRPr="000D7DDF">
        <w:rPr>
          <w:rFonts w:cs="Times New Roman"/>
          <w:szCs w:val="24"/>
          <w:shd w:val="clear" w:color="auto" w:fill="FFFFFF"/>
        </w:rPr>
        <w:t>Garcı́a-Casal</w:t>
      </w:r>
      <w:r w:rsidR="003F0564" w:rsidRPr="00064DE1">
        <w:t xml:space="preserve"> et al., 1998)</w:t>
      </w:r>
      <w:r w:rsidR="003F0564">
        <w:t>.</w:t>
      </w:r>
      <w:bookmarkEnd w:id="60"/>
    </w:p>
    <w:p w14:paraId="37032065" w14:textId="77777777" w:rsidR="005B417A" w:rsidRDefault="005B417A" w:rsidP="0009779A">
      <w:pPr>
        <w:spacing w:after="0"/>
        <w:rPr>
          <w:rFonts w:cs="Times New Roman"/>
          <w:szCs w:val="24"/>
        </w:rPr>
      </w:pPr>
    </w:p>
    <w:p w14:paraId="0DFE9843" w14:textId="35C9EC3C" w:rsidR="005B417A" w:rsidRPr="00923ADB" w:rsidRDefault="005B417A" w:rsidP="00923ADB">
      <w:pPr>
        <w:pStyle w:val="Heading2"/>
      </w:pPr>
      <w:bookmarkStart w:id="61" w:name="_Toc65253575"/>
      <w:r w:rsidRPr="00923ADB">
        <w:t>3.2</w:t>
      </w:r>
      <w:r w:rsidR="00917B18" w:rsidRPr="00923ADB">
        <w:tab/>
      </w:r>
      <w:r w:rsidRPr="00923ADB">
        <w:t>Objectives</w:t>
      </w:r>
      <w:bookmarkEnd w:id="61"/>
    </w:p>
    <w:p w14:paraId="7B240672" w14:textId="77777777" w:rsidR="005B417A" w:rsidRDefault="005B417A" w:rsidP="00923ADB">
      <w:r>
        <w:t>The general objectives of this study are:</w:t>
      </w:r>
    </w:p>
    <w:p w14:paraId="2E8AAEB3" w14:textId="77777777" w:rsidR="005B417A" w:rsidRDefault="005B417A" w:rsidP="00923ADB">
      <w:r>
        <w:t xml:space="preserve">1. To determine the effect of food-to-food fortification of wholegrain pearl millet porridge and wholegrain white maize porridge with plant foodstuffs rich in minerals, namely moringa leaves and hibiscus calyxes, and </w:t>
      </w:r>
      <w:r w:rsidRPr="00A966B2">
        <w:t>enhancers</w:t>
      </w:r>
      <w:r>
        <w:t xml:space="preserve"> of their absorption, namely baobab fruit pulp and, carrot, mango and papaya, on iron, zinc and other mineral bioaccessibilities. </w:t>
      </w:r>
    </w:p>
    <w:p w14:paraId="195CDDB3" w14:textId="77777777" w:rsidR="005B417A" w:rsidRDefault="005B417A" w:rsidP="0009779A">
      <w:pPr>
        <w:spacing w:after="0"/>
      </w:pPr>
    </w:p>
    <w:p w14:paraId="1AB1D93F" w14:textId="77777777" w:rsidR="005B417A" w:rsidRDefault="005B417A" w:rsidP="00923ADB">
      <w:r>
        <w:t xml:space="preserve">2. To compare the effects of this food-to-food fortification </w:t>
      </w:r>
      <w:r w:rsidRPr="00FD50FB">
        <w:t>on iron</w:t>
      </w:r>
      <w:r>
        <w:t>,</w:t>
      </w:r>
      <w:r w:rsidRPr="00FD50FB">
        <w:t xml:space="preserve"> zinc </w:t>
      </w:r>
      <w:r>
        <w:t xml:space="preserve">and other mineral </w:t>
      </w:r>
      <w:r w:rsidRPr="00FD50FB">
        <w:t>bioaccessibilit</w:t>
      </w:r>
      <w:r>
        <w:t xml:space="preserve">ies with that of conventional fortification with iron in the form of ferrous sulphate and/or inclusion of enhancers of mineral absorption, namely ascorbic and, citric acid and </w:t>
      </w:r>
      <w:r w:rsidRPr="00064DE1">
        <w:t>β-carotene</w:t>
      </w:r>
      <w:r>
        <w:t>.</w:t>
      </w:r>
      <w:r w:rsidDel="00FD50FB">
        <w:t xml:space="preserve"> </w:t>
      </w:r>
    </w:p>
    <w:p w14:paraId="33E808B9" w14:textId="77777777" w:rsidR="005B417A" w:rsidRDefault="005B417A" w:rsidP="0009779A">
      <w:pPr>
        <w:spacing w:after="0"/>
        <w:rPr>
          <w:rFonts w:cs="Times New Roman"/>
          <w:szCs w:val="24"/>
        </w:rPr>
      </w:pPr>
    </w:p>
    <w:p w14:paraId="67A37BF1" w14:textId="77777777" w:rsidR="005B417A" w:rsidRDefault="005B417A" w:rsidP="00923ADB">
      <w:r>
        <w:t>Specific objectives:</w:t>
      </w:r>
    </w:p>
    <w:p w14:paraId="05D6CB7C" w14:textId="49A64CF5" w:rsidR="005B417A" w:rsidRDefault="005B417A" w:rsidP="00923ADB">
      <w:r>
        <w:t xml:space="preserve">Research </w:t>
      </w:r>
      <w:r w:rsidR="00797817">
        <w:t>C</w:t>
      </w:r>
      <w:r>
        <w:t xml:space="preserve">hapter </w:t>
      </w:r>
      <w:r w:rsidR="00043246">
        <w:t>4.</w:t>
      </w:r>
      <w:r>
        <w:t xml:space="preserve">1 </w:t>
      </w:r>
    </w:p>
    <w:p w14:paraId="1C48FBFC" w14:textId="77777777" w:rsidR="005B417A" w:rsidRDefault="005B417A" w:rsidP="00923ADB">
      <w:pPr>
        <w:ind w:left="720"/>
      </w:pPr>
      <w:r>
        <w:t>To determine the effects of food-to-food fortification of wholegrain pearl millet porridge with baobab fruit pulp and/or moringa leaf powder on iron, zinc and other mineral bioaccessibilities in comparison with the effect of inclusion of ascorbic acid or citric acid.</w:t>
      </w:r>
    </w:p>
    <w:p w14:paraId="36F7C545" w14:textId="77777777" w:rsidR="005B417A" w:rsidRDefault="005B417A" w:rsidP="005B417A">
      <w:pPr>
        <w:spacing w:after="0"/>
      </w:pPr>
    </w:p>
    <w:p w14:paraId="5A57AFEC" w14:textId="2322A454" w:rsidR="005B417A" w:rsidRDefault="005B417A" w:rsidP="00923ADB">
      <w:r>
        <w:t xml:space="preserve">Research Chapter </w:t>
      </w:r>
      <w:r w:rsidR="00043246">
        <w:t>4.</w:t>
      </w:r>
      <w:r>
        <w:t>2</w:t>
      </w:r>
    </w:p>
    <w:p w14:paraId="7104D1FD" w14:textId="77777777" w:rsidR="005B417A" w:rsidRDefault="005B417A" w:rsidP="00923ADB">
      <w:pPr>
        <w:ind w:left="720"/>
      </w:pPr>
      <w:r>
        <w:t xml:space="preserve">To determine the effects of food-to-food fortification of wholegrain white maize porridge (in the forms of a simple porridge meal and a more complex porridge meal containing plant food provitamin A sources, namely carrot and mango powders) with baobab fruit pulp and/or moringa leaf powder, on iron, zinc and other mineral bioaccessibilities. </w:t>
      </w:r>
    </w:p>
    <w:p w14:paraId="60F8CE45" w14:textId="77777777" w:rsidR="005B417A" w:rsidRDefault="005B417A" w:rsidP="00923ADB">
      <w:pPr>
        <w:ind w:left="720"/>
      </w:pPr>
    </w:p>
    <w:p w14:paraId="440E148B" w14:textId="77777777" w:rsidR="005B417A" w:rsidRDefault="005B417A" w:rsidP="00923ADB">
      <w:pPr>
        <w:ind w:left="720"/>
      </w:pPr>
      <w:r>
        <w:t xml:space="preserve">To determine the effects of this food-to-food fortification on iron, zinc and other mineral bioaccessibilities in comparison with </w:t>
      </w:r>
      <w:r w:rsidRPr="00832377">
        <w:rPr>
          <w:rFonts w:cs="Times New Roman"/>
          <w:szCs w:val="24"/>
        </w:rPr>
        <w:t>conventional fortification with iron in the form of ferrous sulphate and/or inclusion of enhancers of mineral absorption, namely ascorbic and citric acid</w:t>
      </w:r>
      <w:r>
        <w:rPr>
          <w:rFonts w:cs="Times New Roman"/>
          <w:szCs w:val="24"/>
        </w:rPr>
        <w:t>.</w:t>
      </w:r>
      <w:r w:rsidRPr="00832377">
        <w:rPr>
          <w:rFonts w:cs="Times New Roman"/>
          <w:szCs w:val="24"/>
        </w:rPr>
        <w:t xml:space="preserve"> </w:t>
      </w:r>
    </w:p>
    <w:p w14:paraId="6B36EC6A" w14:textId="77777777" w:rsidR="005B417A" w:rsidRDefault="005B417A" w:rsidP="005B417A">
      <w:pPr>
        <w:spacing w:after="0"/>
      </w:pPr>
    </w:p>
    <w:p w14:paraId="35188922" w14:textId="39EF45E7" w:rsidR="005B417A" w:rsidRDefault="005B417A" w:rsidP="00923ADB">
      <w:r>
        <w:t xml:space="preserve">Research Chapter </w:t>
      </w:r>
      <w:r w:rsidR="00043246">
        <w:t>4.</w:t>
      </w:r>
      <w:r>
        <w:t>3</w:t>
      </w:r>
    </w:p>
    <w:p w14:paraId="07F4C43D" w14:textId="77777777" w:rsidR="005B417A" w:rsidRDefault="005B417A" w:rsidP="00923ADB">
      <w:pPr>
        <w:ind w:left="720"/>
      </w:pPr>
      <w:r>
        <w:t xml:space="preserve">To determine the effects of food-to-food fortification of wholegrain white maize porridge with plant food provitamin A sources (carrot and mango) on iron, zinc and other mineral bioaccessibilities in comparison with the effects of inclusion of </w:t>
      </w:r>
      <w:r w:rsidRPr="00832377">
        <w:rPr>
          <w:rFonts w:cs="Times New Roman"/>
        </w:rPr>
        <w:t>β</w:t>
      </w:r>
      <w:r>
        <w:t>-carotene.</w:t>
      </w:r>
    </w:p>
    <w:p w14:paraId="1F5F3D94" w14:textId="7B8DBF67" w:rsidR="005B417A" w:rsidRPr="005B417A" w:rsidRDefault="005B417A" w:rsidP="00923ADB">
      <w:pPr>
        <w:ind w:left="720"/>
      </w:pPr>
      <w:r>
        <w:t>To determine the effects of food-to-food fortification with various combinations of carrot, mango, and papaya powders, baobab fruit, moringa leaf and hibiscus calyx powders or together with micronutrient premix on iron, zinc and other mineral bioaccessibilities in extrusion-cooked wholegrain pearl millet-based porridges.</w:t>
      </w:r>
    </w:p>
    <w:p w14:paraId="62D15C00" w14:textId="77777777" w:rsidR="005B417A" w:rsidRDefault="005B417A" w:rsidP="00B20675">
      <w:pPr>
        <w:jc w:val="center"/>
        <w:rPr>
          <w:b/>
        </w:rPr>
      </w:pPr>
    </w:p>
    <w:p w14:paraId="2734E2E9" w14:textId="77777777" w:rsidR="005B417A" w:rsidRDefault="005B417A" w:rsidP="00B20675">
      <w:pPr>
        <w:jc w:val="center"/>
        <w:rPr>
          <w:b/>
        </w:rPr>
      </w:pPr>
    </w:p>
    <w:p w14:paraId="0189E866" w14:textId="77777777" w:rsidR="005B417A" w:rsidRDefault="005B417A" w:rsidP="00B20675">
      <w:pPr>
        <w:jc w:val="center"/>
        <w:rPr>
          <w:b/>
        </w:rPr>
      </w:pPr>
    </w:p>
    <w:p w14:paraId="392068A2" w14:textId="77777777" w:rsidR="005B417A" w:rsidRDefault="005B417A" w:rsidP="00B20675">
      <w:pPr>
        <w:jc w:val="center"/>
        <w:rPr>
          <w:b/>
        </w:rPr>
      </w:pPr>
    </w:p>
    <w:p w14:paraId="572F4C02" w14:textId="77777777" w:rsidR="005B417A" w:rsidRDefault="005B417A" w:rsidP="00B20675">
      <w:pPr>
        <w:jc w:val="center"/>
        <w:rPr>
          <w:b/>
        </w:rPr>
      </w:pPr>
    </w:p>
    <w:p w14:paraId="77BA701A" w14:textId="68E518A5" w:rsidR="005B417A" w:rsidRDefault="005B417A" w:rsidP="00B20675">
      <w:pPr>
        <w:jc w:val="center"/>
        <w:rPr>
          <w:b/>
        </w:rPr>
      </w:pPr>
    </w:p>
    <w:p w14:paraId="37EF7059" w14:textId="77B5CA37" w:rsidR="005B417A" w:rsidRDefault="005B417A" w:rsidP="00B20675">
      <w:pPr>
        <w:jc w:val="center"/>
        <w:rPr>
          <w:b/>
        </w:rPr>
      </w:pPr>
    </w:p>
    <w:p w14:paraId="141B8F8D" w14:textId="376EFBBE" w:rsidR="005B417A" w:rsidRDefault="005B417A" w:rsidP="00B20675">
      <w:pPr>
        <w:jc w:val="center"/>
        <w:rPr>
          <w:b/>
        </w:rPr>
      </w:pPr>
    </w:p>
    <w:p w14:paraId="37BC7473" w14:textId="53CC441B" w:rsidR="00916328" w:rsidRDefault="00916328" w:rsidP="00B20675">
      <w:pPr>
        <w:jc w:val="center"/>
        <w:rPr>
          <w:b/>
        </w:rPr>
      </w:pPr>
    </w:p>
    <w:p w14:paraId="5E5DA1F7" w14:textId="491B589F" w:rsidR="00916328" w:rsidRDefault="00916328" w:rsidP="00B20675">
      <w:pPr>
        <w:jc w:val="center"/>
        <w:rPr>
          <w:b/>
        </w:rPr>
      </w:pPr>
    </w:p>
    <w:p w14:paraId="3923A813" w14:textId="27F3B25A" w:rsidR="00916328" w:rsidRDefault="00916328" w:rsidP="00B20675">
      <w:pPr>
        <w:jc w:val="center"/>
        <w:rPr>
          <w:b/>
        </w:rPr>
      </w:pPr>
    </w:p>
    <w:p w14:paraId="4B0DEB2E" w14:textId="70041E4C" w:rsidR="00916328" w:rsidRDefault="00916328" w:rsidP="00B20675">
      <w:pPr>
        <w:jc w:val="center"/>
        <w:rPr>
          <w:b/>
        </w:rPr>
      </w:pPr>
    </w:p>
    <w:p w14:paraId="690B3A99" w14:textId="6ED3FC7C" w:rsidR="00916328" w:rsidRDefault="00916328" w:rsidP="00B20675">
      <w:pPr>
        <w:jc w:val="center"/>
        <w:rPr>
          <w:b/>
        </w:rPr>
      </w:pPr>
    </w:p>
    <w:p w14:paraId="558A1961" w14:textId="2DFC93A7" w:rsidR="00916328" w:rsidRDefault="00916328" w:rsidP="00B20675">
      <w:pPr>
        <w:jc w:val="center"/>
        <w:rPr>
          <w:b/>
        </w:rPr>
      </w:pPr>
    </w:p>
    <w:p w14:paraId="4DB93958" w14:textId="55D9D057" w:rsidR="00916328" w:rsidRDefault="00916328" w:rsidP="00B20675">
      <w:pPr>
        <w:jc w:val="center"/>
        <w:rPr>
          <w:b/>
        </w:rPr>
      </w:pPr>
    </w:p>
    <w:p w14:paraId="201A7E9C" w14:textId="77777777" w:rsidR="00916328" w:rsidRDefault="00916328" w:rsidP="00B20675">
      <w:pPr>
        <w:jc w:val="center"/>
        <w:rPr>
          <w:b/>
        </w:rPr>
      </w:pPr>
    </w:p>
    <w:p w14:paraId="51CC10EB" w14:textId="77777777" w:rsidR="005B417A" w:rsidRDefault="005B417A" w:rsidP="005B417A">
      <w:pPr>
        <w:rPr>
          <w:b/>
        </w:rPr>
      </w:pPr>
    </w:p>
    <w:p w14:paraId="55518087" w14:textId="6547A93E" w:rsidR="005B417A" w:rsidRPr="00CC6CB1" w:rsidRDefault="005B417A" w:rsidP="00CC6CB1">
      <w:pPr>
        <w:pStyle w:val="Heading1"/>
      </w:pPr>
      <w:bookmarkStart w:id="62" w:name="_Toc65253576"/>
      <w:r w:rsidRPr="00CC6CB1">
        <w:t>4</w:t>
      </w:r>
      <w:r w:rsidR="00EA5FB9">
        <w:t>.</w:t>
      </w:r>
      <w:r w:rsidRPr="00CC6CB1">
        <w:tab/>
        <w:t>RESEARCH</w:t>
      </w:r>
      <w:bookmarkEnd w:id="62"/>
    </w:p>
    <w:p w14:paraId="44DFBB39" w14:textId="1696CC6C" w:rsidR="00390039" w:rsidRPr="00B20675" w:rsidRDefault="005B417A" w:rsidP="00CC6CB1">
      <w:pPr>
        <w:pStyle w:val="Heading2"/>
      </w:pPr>
      <w:bookmarkStart w:id="63" w:name="_Toc65253577"/>
      <w:r>
        <w:t>4.1</w:t>
      </w:r>
      <w:r>
        <w:tab/>
      </w:r>
      <w:r w:rsidR="00390039" w:rsidRPr="00B20675">
        <w:t>Com</w:t>
      </w:r>
      <w:r w:rsidR="00135DC0" w:rsidRPr="00B20675">
        <w:rPr>
          <w:rFonts w:cs="Times New Roman"/>
        </w:rPr>
        <w:t>p</w:t>
      </w:r>
      <w:r w:rsidR="00390039" w:rsidRPr="00B20675">
        <w:t xml:space="preserve">arison between </w:t>
      </w:r>
      <w:r w:rsidR="00B20675" w:rsidRPr="00B20675">
        <w:t>F</w:t>
      </w:r>
      <w:r w:rsidR="00390039" w:rsidRPr="00B20675">
        <w:t>ood-to-</w:t>
      </w:r>
      <w:r w:rsidR="00B20675" w:rsidRPr="00B20675">
        <w:t>F</w:t>
      </w:r>
      <w:r w:rsidR="00390039" w:rsidRPr="00B20675">
        <w:t xml:space="preserve">ood </w:t>
      </w:r>
      <w:r w:rsidR="00B20675" w:rsidRPr="00B20675">
        <w:t>F</w:t>
      </w:r>
      <w:r w:rsidR="00390039" w:rsidRPr="00B20675">
        <w:t xml:space="preserve">ortification of </w:t>
      </w:r>
      <w:r w:rsidR="00B20675" w:rsidRPr="00B20675">
        <w:t>P</w:t>
      </w:r>
      <w:r w:rsidR="00390039" w:rsidRPr="00B20675">
        <w:t xml:space="preserve">earl </w:t>
      </w:r>
      <w:r w:rsidR="00B20675" w:rsidRPr="00B20675">
        <w:t>M</w:t>
      </w:r>
      <w:r w:rsidR="00390039" w:rsidRPr="00B20675">
        <w:t xml:space="preserve">illet </w:t>
      </w:r>
      <w:r w:rsidR="00B20675" w:rsidRPr="00B20675">
        <w:t>P</w:t>
      </w:r>
      <w:r w:rsidR="00390039" w:rsidRPr="00B20675">
        <w:t xml:space="preserve">orridge with </w:t>
      </w:r>
      <w:r w:rsidR="00B20675" w:rsidRPr="00B20675">
        <w:t>M</w:t>
      </w:r>
      <w:r w:rsidR="0067028F" w:rsidRPr="00B20675">
        <w:t>oringa</w:t>
      </w:r>
      <w:r w:rsidR="00595E9D" w:rsidRPr="00B20675">
        <w:t xml:space="preserve"> </w:t>
      </w:r>
      <w:r w:rsidR="00B20675" w:rsidRPr="00B20675">
        <w:t>L</w:t>
      </w:r>
      <w:r w:rsidR="0067028F" w:rsidRPr="00B20675">
        <w:t xml:space="preserve">eaves and </w:t>
      </w:r>
      <w:r w:rsidR="00B20675" w:rsidRPr="00B20675">
        <w:t>B</w:t>
      </w:r>
      <w:r w:rsidR="0067028F" w:rsidRPr="00B20675">
        <w:t xml:space="preserve">aobab </w:t>
      </w:r>
      <w:r w:rsidR="00B20675" w:rsidRPr="00B20675">
        <w:t>F</w:t>
      </w:r>
      <w:r w:rsidR="0067028F" w:rsidRPr="00B20675">
        <w:t>ruit</w:t>
      </w:r>
      <w:r w:rsidR="00595E9D" w:rsidRPr="00B20675">
        <w:t xml:space="preserve"> </w:t>
      </w:r>
      <w:r w:rsidR="0067028F" w:rsidRPr="00B20675">
        <w:t xml:space="preserve">and with adding </w:t>
      </w:r>
      <w:r w:rsidR="00B20675" w:rsidRPr="00B20675">
        <w:t>A</w:t>
      </w:r>
      <w:r w:rsidR="00390039" w:rsidRPr="00B20675">
        <w:t>sco</w:t>
      </w:r>
      <w:r w:rsidR="0049503E" w:rsidRPr="00B20675">
        <w:t xml:space="preserve">rbic and </w:t>
      </w:r>
      <w:r w:rsidR="00B20675" w:rsidRPr="00B20675">
        <w:t>C</w:t>
      </w:r>
      <w:r w:rsidR="0049503E" w:rsidRPr="00B20675">
        <w:t xml:space="preserve">itric acid on </w:t>
      </w:r>
      <w:r w:rsidR="00B20675" w:rsidRPr="00B20675">
        <w:t>I</w:t>
      </w:r>
      <w:r w:rsidR="0049503E" w:rsidRPr="00B20675">
        <w:t>ron,</w:t>
      </w:r>
      <w:r w:rsidR="00390039" w:rsidRPr="00B20675">
        <w:t xml:space="preserve"> </w:t>
      </w:r>
      <w:r w:rsidR="00B20675" w:rsidRPr="00B20675">
        <w:t>Z</w:t>
      </w:r>
      <w:r w:rsidR="00390039" w:rsidRPr="00B20675">
        <w:t xml:space="preserve">inc </w:t>
      </w:r>
      <w:r w:rsidR="0049503E" w:rsidRPr="00B20675">
        <w:t xml:space="preserve">and other </w:t>
      </w:r>
      <w:r w:rsidR="00B20675" w:rsidRPr="00B20675">
        <w:t>M</w:t>
      </w:r>
      <w:r w:rsidR="0049503E" w:rsidRPr="00B20675">
        <w:t xml:space="preserve">ineral </w:t>
      </w:r>
      <w:r w:rsidR="00B20675" w:rsidRPr="00B20675">
        <w:t>B</w:t>
      </w:r>
      <w:r w:rsidR="00390039" w:rsidRPr="00B20675">
        <w:t>ioaccessibilit</w:t>
      </w:r>
      <w:r w:rsidR="00EA5FB9">
        <w:t>ies</w:t>
      </w:r>
      <w:bookmarkEnd w:id="63"/>
    </w:p>
    <w:p w14:paraId="40FAE670" w14:textId="77777777" w:rsidR="00647044" w:rsidRDefault="00647044" w:rsidP="00B20675">
      <w:pPr>
        <w:rPr>
          <w:rFonts w:cs="Times New Roman"/>
          <w:szCs w:val="24"/>
        </w:rPr>
      </w:pPr>
      <w:bookmarkStart w:id="64" w:name="_Hlk535325996"/>
    </w:p>
    <w:p w14:paraId="69BE50D2" w14:textId="2648AE51" w:rsidR="00390039" w:rsidRDefault="00390039" w:rsidP="00CC6CB1">
      <w:r w:rsidRPr="00390039">
        <w:t xml:space="preserve">Keywords: </w:t>
      </w:r>
      <w:r w:rsidR="00024950" w:rsidRPr="00F368AC">
        <w:t>antinutritional factors; dialysability assay; mineral absorption enhancers; mineral</w:t>
      </w:r>
      <w:r w:rsidR="00024950" w:rsidRPr="001B4865">
        <w:t xml:space="preserve"> bioavailability</w:t>
      </w:r>
      <w:r w:rsidR="00024950" w:rsidDel="005E2B64">
        <w:t xml:space="preserve"> </w:t>
      </w:r>
    </w:p>
    <w:bookmarkEnd w:id="64"/>
    <w:p w14:paraId="1466C44B" w14:textId="77777777" w:rsidR="00843A25" w:rsidRDefault="00843A25" w:rsidP="005721DF">
      <w:pPr>
        <w:spacing w:after="0"/>
      </w:pPr>
    </w:p>
    <w:p w14:paraId="1484245E" w14:textId="0A6CEBD4" w:rsidR="00843A25" w:rsidRDefault="00843A25" w:rsidP="00CC6CB1">
      <w:r>
        <w:t>Abbreviation: RNI = Recommended Nutrient Intake</w:t>
      </w:r>
    </w:p>
    <w:p w14:paraId="7467371E" w14:textId="77777777" w:rsidR="00647044" w:rsidRDefault="00647044" w:rsidP="005721DF">
      <w:pPr>
        <w:spacing w:after="0"/>
      </w:pPr>
    </w:p>
    <w:p w14:paraId="0D9790CE" w14:textId="74E8E794" w:rsidR="00647044" w:rsidRPr="00647044" w:rsidRDefault="00647044" w:rsidP="00CC6CB1">
      <w:pPr>
        <w:rPr>
          <w:lang w:val="en-ZA"/>
        </w:rPr>
      </w:pPr>
      <w:r>
        <w:t xml:space="preserve">Published as: </w:t>
      </w:r>
      <w:r w:rsidRPr="00647044">
        <w:rPr>
          <w:lang w:val="en-ZA"/>
        </w:rPr>
        <w:t xml:space="preserve">Adetola, </w:t>
      </w:r>
      <w:r w:rsidR="009D203C">
        <w:rPr>
          <w:lang w:val="en-ZA"/>
        </w:rPr>
        <w:t>O.</w:t>
      </w:r>
      <w:r w:rsidR="009347E9">
        <w:rPr>
          <w:lang w:val="en-ZA"/>
        </w:rPr>
        <w:t xml:space="preserve"> </w:t>
      </w:r>
      <w:r w:rsidRPr="00647044">
        <w:rPr>
          <w:lang w:val="en-ZA"/>
        </w:rPr>
        <w:t>Y, Kruger, J., White, Z.</w:t>
      </w:r>
      <w:r w:rsidR="009347E9">
        <w:rPr>
          <w:lang w:val="en-ZA"/>
        </w:rPr>
        <w:t xml:space="preserve"> &amp;</w:t>
      </w:r>
      <w:r w:rsidRPr="00647044">
        <w:rPr>
          <w:lang w:val="en-ZA"/>
        </w:rPr>
        <w:t xml:space="preserve"> Taylor, J.</w:t>
      </w:r>
      <w:r w:rsidR="009347E9">
        <w:rPr>
          <w:lang w:val="en-ZA"/>
        </w:rPr>
        <w:t xml:space="preserve"> </w:t>
      </w:r>
      <w:r w:rsidRPr="00647044">
        <w:rPr>
          <w:lang w:val="en-ZA"/>
        </w:rPr>
        <w:t>R.</w:t>
      </w:r>
      <w:r w:rsidR="009347E9">
        <w:rPr>
          <w:lang w:val="en-ZA"/>
        </w:rPr>
        <w:t xml:space="preserve"> </w:t>
      </w:r>
      <w:r w:rsidRPr="00647044">
        <w:rPr>
          <w:lang w:val="en-ZA"/>
        </w:rPr>
        <w:t xml:space="preserve">N. </w:t>
      </w:r>
      <w:r w:rsidR="009347E9">
        <w:rPr>
          <w:lang w:val="en-ZA"/>
        </w:rPr>
        <w:t>(</w:t>
      </w:r>
      <w:r w:rsidRPr="00647044">
        <w:rPr>
          <w:lang w:val="en-ZA"/>
        </w:rPr>
        <w:t>2019</w:t>
      </w:r>
      <w:r w:rsidR="009347E9">
        <w:rPr>
          <w:lang w:val="en-ZA"/>
        </w:rPr>
        <w:t>)</w:t>
      </w:r>
      <w:r w:rsidRPr="00647044">
        <w:rPr>
          <w:lang w:val="en-ZA"/>
        </w:rPr>
        <w:t xml:space="preserve"> Comparison between food-to-food fortification of pearl millet porridge with moringa leaves and baobab fruit and with adding ascorbic and citric acid on iron, zinc and other mineral bioaccessibility. </w:t>
      </w:r>
      <w:r w:rsidRPr="009347E9">
        <w:rPr>
          <w:i/>
          <w:iCs/>
          <w:lang w:val="en-ZA"/>
        </w:rPr>
        <w:t xml:space="preserve">LWT </w:t>
      </w:r>
      <w:r w:rsidR="005721DF" w:rsidRPr="009347E9">
        <w:rPr>
          <w:i/>
          <w:iCs/>
          <w:lang w:val="en-ZA"/>
        </w:rPr>
        <w:t>-</w:t>
      </w:r>
      <w:r w:rsidR="009347E9" w:rsidRPr="009347E9">
        <w:rPr>
          <w:i/>
          <w:iCs/>
          <w:lang w:val="en-ZA"/>
        </w:rPr>
        <w:t xml:space="preserve"> </w:t>
      </w:r>
      <w:r w:rsidRPr="009347E9">
        <w:rPr>
          <w:i/>
          <w:iCs/>
          <w:lang w:val="en-ZA"/>
        </w:rPr>
        <w:t>Food Science and Technology</w:t>
      </w:r>
      <w:r w:rsidRPr="00647044">
        <w:rPr>
          <w:lang w:val="en-ZA"/>
        </w:rPr>
        <w:t xml:space="preserve"> 106</w:t>
      </w:r>
      <w:r w:rsidR="005807ED">
        <w:rPr>
          <w:lang w:val="en-ZA"/>
        </w:rPr>
        <w:t>,</w:t>
      </w:r>
      <w:r>
        <w:rPr>
          <w:lang w:val="en-ZA"/>
        </w:rPr>
        <w:t xml:space="preserve"> </w:t>
      </w:r>
      <w:r w:rsidRPr="00647044">
        <w:rPr>
          <w:lang w:val="en-ZA"/>
        </w:rPr>
        <w:t>92-97.</w:t>
      </w:r>
    </w:p>
    <w:p w14:paraId="299AB866" w14:textId="2FA0F7D3" w:rsidR="00647044" w:rsidRDefault="00647044" w:rsidP="00B20675">
      <w:pPr>
        <w:rPr>
          <w:rFonts w:cs="Times New Roman"/>
          <w:szCs w:val="24"/>
        </w:rPr>
      </w:pPr>
    </w:p>
    <w:p w14:paraId="36BA7156" w14:textId="77777777" w:rsidR="00647044" w:rsidRDefault="00647044" w:rsidP="00B20675">
      <w:pPr>
        <w:rPr>
          <w:rFonts w:cs="Times New Roman"/>
          <w:szCs w:val="24"/>
        </w:rPr>
      </w:pPr>
    </w:p>
    <w:p w14:paraId="74BDB5B7" w14:textId="2D050E62" w:rsidR="00390039" w:rsidRPr="00945CE5" w:rsidRDefault="009F348D" w:rsidP="00945CE5">
      <w:pPr>
        <w:pStyle w:val="Heading3"/>
      </w:pPr>
      <w:r>
        <w:br w:type="page"/>
      </w:r>
      <w:bookmarkStart w:id="65" w:name="_Toc65253578"/>
      <w:r w:rsidR="005B417A" w:rsidRPr="00945CE5">
        <w:t>4.1.1</w:t>
      </w:r>
      <w:r w:rsidR="00945CE5" w:rsidRPr="00945CE5">
        <w:tab/>
      </w:r>
      <w:r w:rsidR="00390039" w:rsidRPr="00945CE5">
        <w:t>A</w:t>
      </w:r>
      <w:r w:rsidR="00CC6CB1" w:rsidRPr="00945CE5">
        <w:t>bstract</w:t>
      </w:r>
      <w:bookmarkEnd w:id="65"/>
    </w:p>
    <w:p w14:paraId="2CF11602" w14:textId="34B958AF" w:rsidR="004A26F2" w:rsidRPr="004A26F2" w:rsidRDefault="00DE24A3" w:rsidP="0041271A">
      <w:r>
        <w:t>M</w:t>
      </w:r>
      <w:r w:rsidR="00390039" w:rsidRPr="006871D8">
        <w:t xml:space="preserve">ineral deficiencies </w:t>
      </w:r>
      <w:r w:rsidR="007066ED" w:rsidRPr="006871D8">
        <w:t>remain</w:t>
      </w:r>
      <w:r w:rsidR="00390039" w:rsidRPr="006871D8">
        <w:t xml:space="preserve"> high in Afri</w:t>
      </w:r>
      <w:r w:rsidR="00E64F07" w:rsidRPr="006871D8">
        <w:t>ca</w:t>
      </w:r>
      <w:r w:rsidR="007066ED">
        <w:t>,</w:t>
      </w:r>
      <w:r w:rsidR="00E64F07" w:rsidRPr="006871D8">
        <w:t xml:space="preserve"> especially in </w:t>
      </w:r>
      <w:r w:rsidR="00F22892">
        <w:t xml:space="preserve">rural </w:t>
      </w:r>
      <w:r w:rsidR="00E64F07" w:rsidRPr="006871D8">
        <w:t xml:space="preserve">communities </w:t>
      </w:r>
      <w:r w:rsidR="00390039" w:rsidRPr="006871D8">
        <w:t>subsist</w:t>
      </w:r>
      <w:r w:rsidR="00F22892">
        <w:t>ing</w:t>
      </w:r>
      <w:r w:rsidR="00380D4F">
        <w:t xml:space="preserve"> on monotonous cereal-based diet</w:t>
      </w:r>
      <w:r w:rsidR="00390039" w:rsidRPr="006871D8">
        <w:t>s.</w:t>
      </w:r>
      <w:r w:rsidR="00387BF6">
        <w:t xml:space="preserve"> </w:t>
      </w:r>
      <w:r>
        <w:t>T</w:t>
      </w:r>
      <w:r w:rsidR="00390039" w:rsidRPr="006871D8">
        <w:t>he effect</w:t>
      </w:r>
      <w:r w:rsidR="00F22892">
        <w:t>s</w:t>
      </w:r>
      <w:r w:rsidR="00390039" w:rsidRPr="006871D8">
        <w:t xml:space="preserve"> of adding </w:t>
      </w:r>
      <w:r w:rsidR="00F22892">
        <w:t>locally available</w:t>
      </w:r>
      <w:r w:rsidR="00380D4F">
        <w:t xml:space="preserve"> plant </w:t>
      </w:r>
      <w:r w:rsidR="00794CA0">
        <w:t>foodstuffs rich</w:t>
      </w:r>
      <w:r>
        <w:t xml:space="preserve"> in mineral</w:t>
      </w:r>
      <w:r w:rsidR="00146CAA">
        <w:t>s</w:t>
      </w:r>
      <w:r w:rsidR="007C4BCF">
        <w:t xml:space="preserve"> as food-to-food fortificants</w:t>
      </w:r>
      <w:r>
        <w:t>, namely</w:t>
      </w:r>
      <w:r w:rsidR="00387BF6">
        <w:t xml:space="preserve"> </w:t>
      </w:r>
      <w:r w:rsidR="00390039" w:rsidRPr="006871D8">
        <w:t>moringa leaf powder</w:t>
      </w:r>
      <w:r w:rsidR="0070407D">
        <w:t xml:space="preserve"> </w:t>
      </w:r>
      <w:r>
        <w:t>and promoters of mineral bioavail</w:t>
      </w:r>
      <w:r w:rsidR="00146CAA">
        <w:t>ab</w:t>
      </w:r>
      <w:r>
        <w:t>i</w:t>
      </w:r>
      <w:r w:rsidR="00146CAA">
        <w:t>lity</w:t>
      </w:r>
      <w:r>
        <w:t>, namely</w:t>
      </w:r>
      <w:r w:rsidR="00387BF6">
        <w:t xml:space="preserve"> </w:t>
      </w:r>
      <w:r w:rsidR="00146CAA">
        <w:t>baobab fruit</w:t>
      </w:r>
      <w:r w:rsidR="004C5655">
        <w:t xml:space="preserve"> powder</w:t>
      </w:r>
      <w:r w:rsidR="00146CAA">
        <w:t xml:space="preserve"> at </w:t>
      </w:r>
      <w:r>
        <w:t>15:100 parts</w:t>
      </w:r>
      <w:r w:rsidR="00390039" w:rsidRPr="006871D8">
        <w:t xml:space="preserve"> pearl millet p</w:t>
      </w:r>
      <w:r w:rsidR="00794CA0">
        <w:t>orridge</w:t>
      </w:r>
      <w:r w:rsidR="0070407D">
        <w:t xml:space="preserve"> </w:t>
      </w:r>
      <w:r>
        <w:t>on</w:t>
      </w:r>
      <w:r w:rsidR="00794CA0">
        <w:t xml:space="preserve"> mineral </w:t>
      </w:r>
      <w:r w:rsidR="00390039" w:rsidRPr="006871D8">
        <w:t>bioaccessibilit</w:t>
      </w:r>
      <w:r w:rsidR="00AA0A91">
        <w:t>y</w:t>
      </w:r>
      <w:r w:rsidR="00387BF6">
        <w:t xml:space="preserve"> </w:t>
      </w:r>
      <w:r>
        <w:t>was compared with</w:t>
      </w:r>
      <w:r w:rsidR="00387BF6">
        <w:t xml:space="preserve"> </w:t>
      </w:r>
      <w:r w:rsidR="0070407D">
        <w:t>ascorbic acid and citric acid</w:t>
      </w:r>
      <w:r w:rsidR="00146CAA">
        <w:t xml:space="preserve"> addition</w:t>
      </w:r>
      <w:r w:rsidR="00390039" w:rsidRPr="006871D8">
        <w:t xml:space="preserve">. Percentage </w:t>
      </w:r>
      <w:r w:rsidR="00413966">
        <w:t>bioaccessib</w:t>
      </w:r>
      <w:r w:rsidR="000F1ACE">
        <w:t>le</w:t>
      </w:r>
      <w:r w:rsidR="00387BF6">
        <w:t xml:space="preserve"> </w:t>
      </w:r>
      <w:r w:rsidR="00146CAA">
        <w:t>and total bioaccessible iron were</w:t>
      </w:r>
      <w:r w:rsidR="00390039" w:rsidRPr="006871D8">
        <w:t xml:space="preserve"> improved only in </w:t>
      </w:r>
      <w:r w:rsidR="007E0F29">
        <w:t>millet+baobab</w:t>
      </w:r>
      <w:r w:rsidR="00390039" w:rsidRPr="006871D8">
        <w:t xml:space="preserve"> and </w:t>
      </w:r>
      <w:r w:rsidR="007E0F29">
        <w:t>mill</w:t>
      </w:r>
      <w:r w:rsidR="00497E95">
        <w:t>e</w:t>
      </w:r>
      <w:r w:rsidR="007E0F29">
        <w:t>t</w:t>
      </w:r>
      <w:r w:rsidR="00387BF6">
        <w:t>+citric acid</w:t>
      </w:r>
      <w:r w:rsidR="00390039" w:rsidRPr="006871D8">
        <w:t xml:space="preserve">, by </w:t>
      </w:r>
      <w:r w:rsidR="00390039" w:rsidRPr="00014FF9">
        <w:t>3</w:t>
      </w:r>
      <w:r w:rsidR="001236DE" w:rsidRPr="00014FF9">
        <w:t>6</w:t>
      </w:r>
      <w:r w:rsidR="00390039" w:rsidRPr="00014FF9">
        <w:t>%</w:t>
      </w:r>
      <w:r w:rsidR="00413966" w:rsidRPr="00014FF9">
        <w:t>,</w:t>
      </w:r>
      <w:r w:rsidR="00390039" w:rsidRPr="00014FF9">
        <w:t xml:space="preserve"> and 5</w:t>
      </w:r>
      <w:r w:rsidR="001236DE" w:rsidRPr="00AB2559">
        <w:t>2</w:t>
      </w:r>
      <w:r w:rsidR="00390039" w:rsidRPr="00014FF9">
        <w:t>%</w:t>
      </w:r>
      <w:r w:rsidR="00146CAA" w:rsidRPr="00014FF9">
        <w:t xml:space="preserve">, and </w:t>
      </w:r>
      <w:r w:rsidR="00A23B2A" w:rsidRPr="00014FF9">
        <w:t>by</w:t>
      </w:r>
      <w:r w:rsidR="003F2EA9" w:rsidRPr="00014FF9">
        <w:t xml:space="preserve"> </w:t>
      </w:r>
      <w:r w:rsidR="001236DE" w:rsidRPr="00AB2559">
        <w:t>30</w:t>
      </w:r>
      <w:r w:rsidR="00413966" w:rsidRPr="00014FF9">
        <w:t>%, and 5</w:t>
      </w:r>
      <w:r w:rsidR="001236DE" w:rsidRPr="00AB2559">
        <w:t>2</w:t>
      </w:r>
      <w:r w:rsidR="00413966" w:rsidRPr="00014FF9">
        <w:t>%,</w:t>
      </w:r>
      <w:r w:rsidR="00413966" w:rsidRPr="006871D8">
        <w:t xml:space="preserve"> respectively </w:t>
      </w:r>
      <w:r w:rsidR="003F2EA9">
        <w:t xml:space="preserve">compared to </w:t>
      </w:r>
      <w:r w:rsidR="007E0F29">
        <w:t>millet alone</w:t>
      </w:r>
      <w:r w:rsidR="003F2EA9">
        <w:t xml:space="preserve">. </w:t>
      </w:r>
      <w:r w:rsidR="00064B9E">
        <w:t xml:space="preserve">Only </w:t>
      </w:r>
      <w:r w:rsidR="0051729E">
        <w:t>addition</w:t>
      </w:r>
      <w:r w:rsidR="00064B9E">
        <w:t xml:space="preserve"> of citric acid</w:t>
      </w:r>
      <w:r w:rsidR="00390039" w:rsidRPr="006871D8">
        <w:t xml:space="preserve"> improved zinc bioaccessibility. However</w:t>
      </w:r>
      <w:r w:rsidR="003F2EA9">
        <w:t xml:space="preserve">, </w:t>
      </w:r>
      <w:r w:rsidR="007E0F29">
        <w:t>millet+moringa</w:t>
      </w:r>
      <w:r w:rsidR="003F2EA9">
        <w:t xml:space="preserve"> reduced </w:t>
      </w:r>
      <w:r w:rsidR="00390039" w:rsidRPr="006871D8">
        <w:t>bioaccessib</w:t>
      </w:r>
      <w:r w:rsidR="003F2EA9">
        <w:t>le</w:t>
      </w:r>
      <w:r w:rsidR="00387BF6">
        <w:t xml:space="preserve"> </w:t>
      </w:r>
      <w:r w:rsidR="003F2EA9">
        <w:t>zinc</w:t>
      </w:r>
      <w:r w:rsidR="00A30419">
        <w:t xml:space="preserve">, probably </w:t>
      </w:r>
      <w:r w:rsidR="00547624">
        <w:t>because of the</w:t>
      </w:r>
      <w:r w:rsidR="00387BF6">
        <w:t xml:space="preserve"> </w:t>
      </w:r>
      <w:r w:rsidR="00A30419">
        <w:t>phenolics</w:t>
      </w:r>
      <w:r w:rsidR="00497E95">
        <w:t>,</w:t>
      </w:r>
      <w:r w:rsidR="00A30419">
        <w:t xml:space="preserve"> very</w:t>
      </w:r>
      <w:r w:rsidR="00387BF6">
        <w:t xml:space="preserve"> </w:t>
      </w:r>
      <w:r w:rsidR="00A30419">
        <w:t xml:space="preserve">high </w:t>
      </w:r>
      <w:r w:rsidR="00A23B2A">
        <w:t>calcium</w:t>
      </w:r>
      <w:r w:rsidR="00387BF6">
        <w:t xml:space="preserve"> content and low </w:t>
      </w:r>
      <w:r w:rsidR="00A30419">
        <w:t>organic acid</w:t>
      </w:r>
      <w:r w:rsidR="00387BF6">
        <w:t xml:space="preserve"> content</w:t>
      </w:r>
      <w:r w:rsidR="00497E95">
        <w:t xml:space="preserve"> in moringa</w:t>
      </w:r>
      <w:r w:rsidR="003F2EA9">
        <w:t xml:space="preserve">. </w:t>
      </w:r>
      <w:r w:rsidR="005C01E4">
        <w:t>B</w:t>
      </w:r>
      <w:r w:rsidR="00497E95">
        <w:t>aobab</w:t>
      </w:r>
      <w:r w:rsidR="006E03AC">
        <w:t>,</w:t>
      </w:r>
      <w:r w:rsidR="00387BF6">
        <w:t xml:space="preserve"> </w:t>
      </w:r>
      <w:r w:rsidR="00497E95">
        <w:t>moringa</w:t>
      </w:r>
      <w:r w:rsidR="006E03AC">
        <w:t xml:space="preserve"> and citric acid </w:t>
      </w:r>
      <w:r w:rsidR="0051729E">
        <w:t>addition</w:t>
      </w:r>
      <w:r w:rsidR="000F1ACE">
        <w:t xml:space="preserve"> </w:t>
      </w:r>
      <w:r w:rsidR="003D63B2">
        <w:t xml:space="preserve">improved calcium and magnesium </w:t>
      </w:r>
      <w:r w:rsidR="003A7903">
        <w:t>bioaccessibilities</w:t>
      </w:r>
      <w:r w:rsidR="003D63B2">
        <w:t>.</w:t>
      </w:r>
      <w:r w:rsidR="004A26F2">
        <w:t xml:space="preserve"> Notwithstanding its high phenolic content, </w:t>
      </w:r>
      <w:r w:rsidR="005807ED">
        <w:t>food-to-food</w:t>
      </w:r>
      <w:r w:rsidR="004A26F2" w:rsidRPr="004A26F2">
        <w:t xml:space="preserve"> fortification of cereal porridge with baobab fruit</w:t>
      </w:r>
      <w:r w:rsidR="004A26F2">
        <w:t xml:space="preserve"> enhances iron, calcium and magnesium bioaccessibilit</w:t>
      </w:r>
      <w:r w:rsidR="005807ED">
        <w:t>ies</w:t>
      </w:r>
      <w:r w:rsidR="004A26F2">
        <w:t xml:space="preserve">.  This is </w:t>
      </w:r>
      <w:r w:rsidR="00223834">
        <w:t>highly likely</w:t>
      </w:r>
      <w:r w:rsidR="004A26F2">
        <w:t xml:space="preserve"> because it is rich in both citric acid and ascorbic acid.  It is nearly as effective as citric acid addition in enhancing bioaccessibility of these minerals</w:t>
      </w:r>
      <w:r w:rsidR="004D40B4">
        <w:t>.</w:t>
      </w:r>
      <w:r w:rsidR="004A26F2">
        <w:t xml:space="preserve"> </w:t>
      </w:r>
      <w:r w:rsidR="004D40B4">
        <w:t xml:space="preserve">Hence, food-to-food fortification of </w:t>
      </w:r>
      <w:r w:rsidR="009370BF" w:rsidRPr="009370BF">
        <w:t xml:space="preserve">staple cereal food products </w:t>
      </w:r>
      <w:r w:rsidR="004D40B4">
        <w:t xml:space="preserve">with baobab fruit pulp </w:t>
      </w:r>
      <w:r w:rsidR="009370BF" w:rsidRPr="009370BF">
        <w:t xml:space="preserve">could be a useful alternative or complement to conventional fortification </w:t>
      </w:r>
      <w:r w:rsidR="003C125E">
        <w:t xml:space="preserve">for communities </w:t>
      </w:r>
      <w:r w:rsidR="009370BF" w:rsidRPr="009370BF">
        <w:t>in rural</w:t>
      </w:r>
      <w:r w:rsidR="003C125E">
        <w:t xml:space="preserve"> </w:t>
      </w:r>
      <w:r w:rsidR="009370BF">
        <w:t>semi-arid Africa</w:t>
      </w:r>
      <w:r w:rsidR="009370BF" w:rsidRPr="009370BF">
        <w:t>.</w:t>
      </w:r>
    </w:p>
    <w:p w14:paraId="37E60D30" w14:textId="77777777" w:rsidR="00390039" w:rsidRPr="006871D8" w:rsidRDefault="00390039" w:rsidP="0041271A"/>
    <w:p w14:paraId="30FA168A" w14:textId="77777777" w:rsidR="007C4BCF" w:rsidRDefault="007C4BCF" w:rsidP="00B20675">
      <w:pPr>
        <w:spacing w:after="160"/>
        <w:rPr>
          <w:rFonts w:cs="Times New Roman"/>
          <w:b/>
          <w:szCs w:val="24"/>
        </w:rPr>
      </w:pPr>
      <w:r>
        <w:rPr>
          <w:rFonts w:cs="Times New Roman"/>
          <w:b/>
          <w:szCs w:val="24"/>
        </w:rPr>
        <w:br w:type="page"/>
      </w:r>
    </w:p>
    <w:p w14:paraId="59E441D5" w14:textId="518BAA13" w:rsidR="00390039" w:rsidRPr="0041271A" w:rsidRDefault="005B417A" w:rsidP="0041271A">
      <w:pPr>
        <w:pStyle w:val="Heading3"/>
      </w:pPr>
      <w:bookmarkStart w:id="66" w:name="_Toc65253579"/>
      <w:r w:rsidRPr="0041271A">
        <w:t>4.1.2</w:t>
      </w:r>
      <w:r w:rsidRPr="0041271A">
        <w:tab/>
      </w:r>
      <w:r w:rsidR="00763952" w:rsidRPr="0041271A">
        <w:t>I</w:t>
      </w:r>
      <w:r w:rsidR="00CC6CB1" w:rsidRPr="0041271A">
        <w:t>ntroduction</w:t>
      </w:r>
      <w:bookmarkEnd w:id="66"/>
    </w:p>
    <w:p w14:paraId="3A8804F3" w14:textId="3B067936" w:rsidR="00286848" w:rsidRPr="006871D8" w:rsidRDefault="00F8581A" w:rsidP="0041271A">
      <w:r>
        <w:t>Many</w:t>
      </w:r>
      <w:r w:rsidR="00390039" w:rsidRPr="006871D8">
        <w:t xml:space="preserve"> households in </w:t>
      </w:r>
      <w:r w:rsidR="005F712F">
        <w:t xml:space="preserve">rural </w:t>
      </w:r>
      <w:r w:rsidR="00390039" w:rsidRPr="006871D8">
        <w:t>sub-Saharan Africa subsist on cereal-based diets for energy and micronutrients (</w:t>
      </w:r>
      <w:r w:rsidR="00390039" w:rsidRPr="006871D8">
        <w:rPr>
          <w:color w:val="000000" w:themeColor="text1"/>
          <w:lang w:val="en-US"/>
        </w:rPr>
        <w:t>Uusiku</w:t>
      </w:r>
      <w:r w:rsidR="005721DF">
        <w:rPr>
          <w:color w:val="000000" w:themeColor="text1"/>
          <w:lang w:val="en-US"/>
        </w:rPr>
        <w:t xml:space="preserve"> </w:t>
      </w:r>
      <w:r w:rsidR="005807ED">
        <w:rPr>
          <w:color w:val="000000" w:themeColor="text1"/>
          <w:lang w:val="en-US"/>
        </w:rPr>
        <w:t xml:space="preserve">et al., </w:t>
      </w:r>
      <w:r w:rsidR="00390039" w:rsidRPr="006871D8">
        <w:rPr>
          <w:color w:val="000000" w:themeColor="text1"/>
          <w:lang w:val="en-US"/>
        </w:rPr>
        <w:t>2010</w:t>
      </w:r>
      <w:r w:rsidR="00390039" w:rsidRPr="006871D8">
        <w:t xml:space="preserve">). </w:t>
      </w:r>
      <w:r>
        <w:t>S</w:t>
      </w:r>
      <w:r w:rsidR="00E5440D">
        <w:t xml:space="preserve">uch </w:t>
      </w:r>
      <w:r w:rsidR="00390039" w:rsidRPr="006871D8">
        <w:t xml:space="preserve">communities </w:t>
      </w:r>
      <w:r>
        <w:t xml:space="preserve">that are </w:t>
      </w:r>
      <w:r w:rsidR="00390039" w:rsidRPr="006871D8">
        <w:t xml:space="preserve">at risk of mineral deficiencies are often not reached by conventional food fortification and </w:t>
      </w:r>
      <w:r w:rsidR="00CA6EBF">
        <w:t>micro</w:t>
      </w:r>
      <w:r w:rsidR="00390039" w:rsidRPr="006871D8">
        <w:t xml:space="preserve">nutrient supplementation strategies </w:t>
      </w:r>
      <w:r>
        <w:t>because of</w:t>
      </w:r>
      <w:r w:rsidR="00390039" w:rsidRPr="006871D8">
        <w:t xml:space="preserve"> limited financial resources and inadequate health infrastructure</w:t>
      </w:r>
      <w:r w:rsidR="000777A0">
        <w:t xml:space="preserve"> (Dairo</w:t>
      </w:r>
      <w:r w:rsidR="00E5440D">
        <w:t xml:space="preserve"> </w:t>
      </w:r>
      <w:r w:rsidR="000777A0">
        <w:t>&amp;</w:t>
      </w:r>
      <w:r w:rsidR="00E5440D">
        <w:t xml:space="preserve"> </w:t>
      </w:r>
      <w:r w:rsidR="000777A0">
        <w:t>Ige, 2009). Therefore</w:t>
      </w:r>
      <w:r w:rsidR="00B22842">
        <w:t>,</w:t>
      </w:r>
      <w:r w:rsidR="00390039" w:rsidRPr="006871D8">
        <w:t xml:space="preserve"> it has been advocated that a combined approach </w:t>
      </w:r>
      <w:r w:rsidR="00E5440D">
        <w:t xml:space="preserve">of conventional food fortification and local </w:t>
      </w:r>
      <w:r w:rsidR="00E5440D" w:rsidRPr="00E5440D">
        <w:t xml:space="preserve">food-to-food fortification </w:t>
      </w:r>
      <w:r>
        <w:t>using</w:t>
      </w:r>
      <w:r w:rsidR="00E5440D" w:rsidRPr="00E5440D">
        <w:t xml:space="preserve"> locally available, micronutrient-dense foods is </w:t>
      </w:r>
      <w:r>
        <w:t>needed</w:t>
      </w:r>
      <w:r w:rsidR="00E5440D" w:rsidRPr="00E5440D">
        <w:t xml:space="preserve"> to ensure sustainable adequate micronutrient nutrition </w:t>
      </w:r>
      <w:r w:rsidR="00390039" w:rsidRPr="006871D8">
        <w:t xml:space="preserve">(Kruger, </w:t>
      </w:r>
      <w:r w:rsidR="005721DF">
        <w:rPr>
          <w:color w:val="000000" w:themeColor="text1"/>
          <w:lang w:val="en-US"/>
        </w:rPr>
        <w:t>et al.</w:t>
      </w:r>
      <w:r w:rsidR="00390039" w:rsidRPr="006871D8">
        <w:rPr>
          <w:color w:val="000000" w:themeColor="text1"/>
          <w:lang w:val="en-US"/>
        </w:rPr>
        <w:t>,</w:t>
      </w:r>
      <w:r w:rsidR="00390039" w:rsidRPr="006871D8">
        <w:t xml:space="preserve"> 2015). </w:t>
      </w:r>
    </w:p>
    <w:p w14:paraId="110DD106" w14:textId="77777777" w:rsidR="00C471E0" w:rsidRDefault="00C471E0" w:rsidP="0009779A">
      <w:pPr>
        <w:spacing w:after="0"/>
      </w:pPr>
    </w:p>
    <w:p w14:paraId="290D3A38" w14:textId="3E330E1C" w:rsidR="005F712F" w:rsidRDefault="00390039" w:rsidP="0041271A">
      <w:r w:rsidRPr="006871D8">
        <w:t xml:space="preserve">Pearl millet is an important </w:t>
      </w:r>
      <w:r w:rsidR="000777A0">
        <w:t xml:space="preserve">staple </w:t>
      </w:r>
      <w:r w:rsidRPr="006871D8">
        <w:t xml:space="preserve">cereal crop </w:t>
      </w:r>
      <w:r w:rsidR="00E64F07" w:rsidRPr="006871D8">
        <w:t>in sem</w:t>
      </w:r>
      <w:r w:rsidR="00E02AA8" w:rsidRPr="006871D8">
        <w:t>i-arid West</w:t>
      </w:r>
      <w:r w:rsidR="000A61CB">
        <w:t>ern</w:t>
      </w:r>
      <w:r w:rsidR="00E02AA8" w:rsidRPr="006871D8">
        <w:t xml:space="preserve"> Africa</w:t>
      </w:r>
      <w:r w:rsidR="00877A2B">
        <w:t xml:space="preserve"> </w:t>
      </w:r>
      <w:r w:rsidR="00E64F07" w:rsidRPr="006871D8">
        <w:t xml:space="preserve">where it is </w:t>
      </w:r>
      <w:r w:rsidRPr="006871D8">
        <w:t xml:space="preserve">widely produced and consumed </w:t>
      </w:r>
      <w:r w:rsidR="00E64F07" w:rsidRPr="006871D8">
        <w:t>(FAO, 201</w:t>
      </w:r>
      <w:r w:rsidR="005721DF">
        <w:t>5</w:t>
      </w:r>
      <w:r w:rsidR="00E64F07" w:rsidRPr="006871D8">
        <w:t xml:space="preserve">). </w:t>
      </w:r>
      <w:r w:rsidRPr="006871D8">
        <w:t>Th</w:t>
      </w:r>
      <w:r w:rsidR="000A7965">
        <w:t>is</w:t>
      </w:r>
      <w:r w:rsidRPr="006871D8">
        <w:t xml:space="preserve"> make</w:t>
      </w:r>
      <w:r w:rsidR="000A7965">
        <w:t>s</w:t>
      </w:r>
      <w:r w:rsidRPr="006871D8">
        <w:t xml:space="preserve"> pearl millet an important potential food vehicle for food-to-food micronutrient fortification</w:t>
      </w:r>
      <w:r w:rsidR="00F55DE7">
        <w:t xml:space="preserve"> in the region</w:t>
      </w:r>
      <w:r w:rsidRPr="006871D8">
        <w:t>.  However, like other cereals, it contains antinutritional factors that limit mineral bioavailability (</w:t>
      </w:r>
      <w:r w:rsidRPr="006871D8">
        <w:rPr>
          <w:noProof/>
        </w:rPr>
        <w:t>Taylor,</w:t>
      </w:r>
      <w:r w:rsidRPr="006871D8">
        <w:t xml:space="preserve"> 2016). Thus, th</w:t>
      </w:r>
      <w:r w:rsidR="00E64F07" w:rsidRPr="006871D8">
        <w:t>ere is need that other</w:t>
      </w:r>
      <w:r w:rsidRPr="006871D8">
        <w:t xml:space="preserve"> </w:t>
      </w:r>
      <w:r w:rsidR="005F712F">
        <w:t xml:space="preserve">locally </w:t>
      </w:r>
      <w:r w:rsidR="005C51F9" w:rsidRPr="006871D8">
        <w:t>available</w:t>
      </w:r>
      <w:r w:rsidR="00877A2B">
        <w:t xml:space="preserve"> </w:t>
      </w:r>
      <w:r w:rsidR="00DA348F">
        <w:t xml:space="preserve">African </w:t>
      </w:r>
      <w:r w:rsidR="00877A2B">
        <w:t>plant foods</w:t>
      </w:r>
      <w:r w:rsidR="000A61CB">
        <w:t>,</w:t>
      </w:r>
      <w:r w:rsidR="005C51F9" w:rsidRPr="006871D8">
        <w:t xml:space="preserve"> </w:t>
      </w:r>
      <w:r w:rsidR="00925446">
        <w:t xml:space="preserve">that are </w:t>
      </w:r>
      <w:r w:rsidRPr="006871D8">
        <w:t>high in essential minerals</w:t>
      </w:r>
      <w:r w:rsidR="000500B2">
        <w:t>,</w:t>
      </w:r>
      <w:r w:rsidRPr="006871D8">
        <w:t xml:space="preserve"> </w:t>
      </w:r>
      <w:r w:rsidR="000500B2" w:rsidRPr="000500B2">
        <w:t xml:space="preserve">for example </w:t>
      </w:r>
      <w:r w:rsidR="00925446">
        <w:t>moringa</w:t>
      </w:r>
      <w:r w:rsidR="000500B2" w:rsidRPr="000500B2">
        <w:t xml:space="preserve"> leaves </w:t>
      </w:r>
      <w:r w:rsidRPr="006871D8">
        <w:t>(</w:t>
      </w:r>
      <w:r w:rsidRPr="006871D8">
        <w:rPr>
          <w:noProof/>
        </w:rPr>
        <w:t>Glover-Amengor</w:t>
      </w:r>
      <w:r w:rsidR="00086615">
        <w:rPr>
          <w:noProof/>
        </w:rPr>
        <w:t xml:space="preserve"> et al.</w:t>
      </w:r>
      <w:r w:rsidRPr="006871D8">
        <w:rPr>
          <w:noProof/>
        </w:rPr>
        <w:t>, 2016</w:t>
      </w:r>
      <w:r w:rsidR="005C51F9" w:rsidRPr="006871D8">
        <w:t xml:space="preserve">) and </w:t>
      </w:r>
      <w:r w:rsidRPr="006871D8">
        <w:t xml:space="preserve">high in enhancers of mineral bioavailability (ascorbic acid </w:t>
      </w:r>
      <w:r w:rsidR="00E02AA8" w:rsidRPr="006871D8">
        <w:t>and citric acid</w:t>
      </w:r>
      <w:r w:rsidR="00F22892">
        <w:t>)</w:t>
      </w:r>
      <w:r w:rsidR="000500B2">
        <w:t xml:space="preserve">, for example baobab fruit </w:t>
      </w:r>
      <w:r w:rsidRPr="006871D8">
        <w:t>(</w:t>
      </w:r>
      <w:r w:rsidRPr="006871D8">
        <w:rPr>
          <w:rFonts w:eastAsia="AdvGulliv-I"/>
        </w:rPr>
        <w:t xml:space="preserve">Tembo, </w:t>
      </w:r>
      <w:r w:rsidR="00086615">
        <w:rPr>
          <w:rFonts w:eastAsia="AdvGulliv-I"/>
        </w:rPr>
        <w:t>et al.</w:t>
      </w:r>
      <w:r w:rsidRPr="006871D8">
        <w:rPr>
          <w:rFonts w:eastAsia="AdvGulliv-I"/>
        </w:rPr>
        <w:t>, 2017</w:t>
      </w:r>
      <w:r w:rsidR="00877A2B">
        <w:t>)</w:t>
      </w:r>
      <w:r w:rsidR="005C51F9" w:rsidRPr="006871D8">
        <w:t>,</w:t>
      </w:r>
      <w:r w:rsidRPr="006871D8">
        <w:t xml:space="preserve"> be added to pearl millet</w:t>
      </w:r>
      <w:r w:rsidR="005C51F9" w:rsidRPr="006871D8">
        <w:t>-based foods</w:t>
      </w:r>
      <w:r w:rsidRPr="006871D8">
        <w:t xml:space="preserve"> to improve </w:t>
      </w:r>
      <w:r w:rsidR="000A61CB">
        <w:t>their</w:t>
      </w:r>
      <w:r w:rsidR="00877A2B">
        <w:t xml:space="preserve"> </w:t>
      </w:r>
      <w:r w:rsidR="00DA348F">
        <w:t xml:space="preserve">mineral </w:t>
      </w:r>
      <w:r w:rsidRPr="006871D8">
        <w:t>nut</w:t>
      </w:r>
      <w:r w:rsidR="000A61CB">
        <w:t>ritional</w:t>
      </w:r>
      <w:r w:rsidRPr="006871D8">
        <w:t xml:space="preserve"> qualit</w:t>
      </w:r>
      <w:r w:rsidR="000A61CB">
        <w:t>y</w:t>
      </w:r>
      <w:r w:rsidRPr="006871D8">
        <w:t>.</w:t>
      </w:r>
      <w:r w:rsidR="00877A2B">
        <w:t xml:space="preserve"> </w:t>
      </w:r>
      <w:r w:rsidR="007E0F29">
        <w:t xml:space="preserve"> </w:t>
      </w:r>
      <w:bookmarkStart w:id="67" w:name="_Hlk535430403"/>
      <w:r w:rsidR="00490187">
        <w:t xml:space="preserve">Moringa </w:t>
      </w:r>
      <w:r w:rsidR="00CF306F">
        <w:t xml:space="preserve">leaves are </w:t>
      </w:r>
      <w:r w:rsidR="00925446">
        <w:t xml:space="preserve">an </w:t>
      </w:r>
      <w:r w:rsidR="00CF306F">
        <w:t>important cash crop in</w:t>
      </w:r>
      <w:r w:rsidR="00215608">
        <w:t xml:space="preserve"> West Africa and</w:t>
      </w:r>
      <w:r w:rsidR="00F36F32">
        <w:t>,</w:t>
      </w:r>
      <w:r w:rsidR="00215608">
        <w:t xml:space="preserve"> </w:t>
      </w:r>
      <w:r w:rsidR="00CF306F">
        <w:t>for example</w:t>
      </w:r>
      <w:r w:rsidR="00F36F32">
        <w:t>,</w:t>
      </w:r>
      <w:r w:rsidR="00215608">
        <w:t xml:space="preserve"> are traditionally consumed as a sauce with rice or millet </w:t>
      </w:r>
      <w:r w:rsidR="00CF306F">
        <w:t xml:space="preserve">in Senegal </w:t>
      </w:r>
      <w:r w:rsidR="00215608">
        <w:t>(Fuglie, 200</w:t>
      </w:r>
      <w:r w:rsidR="00086615">
        <w:t>1</w:t>
      </w:r>
      <w:r w:rsidR="00215608">
        <w:t xml:space="preserve">). </w:t>
      </w:r>
      <w:r w:rsidR="007E0F29">
        <w:t xml:space="preserve"> </w:t>
      </w:r>
      <w:r w:rsidR="00925446">
        <w:t>B</w:t>
      </w:r>
      <w:r w:rsidR="00C12893">
        <w:t xml:space="preserve">aobab fruit </w:t>
      </w:r>
      <w:r w:rsidR="00215608">
        <w:t xml:space="preserve">is </w:t>
      </w:r>
      <w:r w:rsidR="00CF306F">
        <w:t xml:space="preserve">a </w:t>
      </w:r>
      <w:r w:rsidR="00215608">
        <w:t xml:space="preserve">widely consumed food </w:t>
      </w:r>
      <w:r w:rsidR="00CF306F">
        <w:t>across</w:t>
      </w:r>
      <w:r w:rsidR="00C12893">
        <w:t xml:space="preserve"> tropical Africa, including being added to</w:t>
      </w:r>
      <w:r w:rsidR="00C12893" w:rsidRPr="00C12893">
        <w:t xml:space="preserve"> mille</w:t>
      </w:r>
      <w:r w:rsidR="00C12893">
        <w:t xml:space="preserve">t- or </w:t>
      </w:r>
      <w:r w:rsidR="00C12893" w:rsidRPr="00C12893">
        <w:t>sorghum</w:t>
      </w:r>
      <w:r w:rsidR="00C12893">
        <w:t>-</w:t>
      </w:r>
      <w:r w:rsidR="00C12893" w:rsidRPr="00C12893">
        <w:t>based gruel</w:t>
      </w:r>
      <w:r w:rsidR="00C12893">
        <w:t>s</w:t>
      </w:r>
      <w:r w:rsidR="007E0F29">
        <w:t xml:space="preserve"> (</w:t>
      </w:r>
      <w:r w:rsidR="007E0F29" w:rsidRPr="007E0F29">
        <w:rPr>
          <w:lang w:val="en-US"/>
        </w:rPr>
        <w:t>Buchmann</w:t>
      </w:r>
      <w:r w:rsidR="00086615">
        <w:rPr>
          <w:lang w:val="en-US"/>
        </w:rPr>
        <w:t xml:space="preserve"> et al.,</w:t>
      </w:r>
      <w:r w:rsidR="007E0F29" w:rsidRPr="007E0F29">
        <w:rPr>
          <w:lang w:val="en-US"/>
        </w:rPr>
        <w:t xml:space="preserve"> 2010</w:t>
      </w:r>
      <w:r w:rsidR="007E0F29">
        <w:rPr>
          <w:lang w:val="en-US"/>
        </w:rPr>
        <w:t>)</w:t>
      </w:r>
      <w:r w:rsidR="00C12893" w:rsidRPr="00C12893">
        <w:t>.</w:t>
      </w:r>
      <w:bookmarkEnd w:id="67"/>
      <w:r w:rsidR="00953AC4" w:rsidRPr="00953AC4">
        <w:t xml:space="preserve"> </w:t>
      </w:r>
    </w:p>
    <w:p w14:paraId="01AACE1E" w14:textId="77777777" w:rsidR="00C471E0" w:rsidRDefault="00C471E0" w:rsidP="0009779A">
      <w:pPr>
        <w:spacing w:after="0"/>
      </w:pPr>
    </w:p>
    <w:p w14:paraId="7B7F2C4A" w14:textId="79F3C39B" w:rsidR="00FB6644" w:rsidRDefault="000A235E" w:rsidP="0041271A">
      <w:r>
        <w:t xml:space="preserve">Van der Merwe (2017) showed </w:t>
      </w:r>
      <w:r w:rsidR="0009744B">
        <w:t>that in the presence of provitamin A-rich plant sources, baobab fruit, moringa leaves and roselle caly</w:t>
      </w:r>
      <w:r w:rsidR="00E938D0">
        <w:t>x</w:t>
      </w:r>
      <w:r w:rsidR="0009744B">
        <w:t>es can enhance the amount of bioaccessible iron in pearl millet-based porridge</w:t>
      </w:r>
      <w:r w:rsidR="00F36F32">
        <w:t>.</w:t>
      </w:r>
      <w:r w:rsidR="0009744B">
        <w:t xml:space="preserve"> </w:t>
      </w:r>
      <w:r w:rsidR="00F36F32" w:rsidRPr="006871D8">
        <w:t>Therefore,</w:t>
      </w:r>
      <w:r w:rsidR="00390039" w:rsidRPr="006871D8">
        <w:t xml:space="preserve"> this study evaluated </w:t>
      </w:r>
      <w:r w:rsidR="005C51F9" w:rsidRPr="006871D8">
        <w:t xml:space="preserve">the </w:t>
      </w:r>
      <w:r w:rsidR="00390039" w:rsidRPr="006871D8">
        <w:t xml:space="preserve">effects of </w:t>
      </w:r>
      <w:r w:rsidR="0051729E">
        <w:t>addition</w:t>
      </w:r>
      <w:r w:rsidR="00390039" w:rsidRPr="006871D8">
        <w:t xml:space="preserve"> of </w:t>
      </w:r>
      <w:r w:rsidR="005C51F9" w:rsidRPr="006871D8">
        <w:t>dried mo</w:t>
      </w:r>
      <w:r w:rsidR="00877A2B">
        <w:t>ringa leaf and baobab fruit powder</w:t>
      </w:r>
      <w:r w:rsidR="00390039" w:rsidRPr="006871D8">
        <w:t xml:space="preserve"> </w:t>
      </w:r>
      <w:r w:rsidR="00763952">
        <w:t xml:space="preserve">as food-to-food fortificants </w:t>
      </w:r>
      <w:r w:rsidR="00390039" w:rsidRPr="006871D8">
        <w:t>on iron</w:t>
      </w:r>
      <w:r w:rsidR="00DA348F">
        <w:t>,</w:t>
      </w:r>
      <w:r w:rsidR="00390039" w:rsidRPr="006871D8">
        <w:t xml:space="preserve"> zinc </w:t>
      </w:r>
      <w:r w:rsidR="00DA348F">
        <w:t xml:space="preserve">and other mineral </w:t>
      </w:r>
      <w:r w:rsidR="00390039" w:rsidRPr="006871D8">
        <w:t>bioaccessibilities in pearl millet porridge</w:t>
      </w:r>
      <w:r w:rsidR="000A61CB">
        <w:t xml:space="preserve"> </w:t>
      </w:r>
      <w:r w:rsidR="00D43A5A">
        <w:t xml:space="preserve">alone </w:t>
      </w:r>
      <w:r w:rsidR="000A61CB">
        <w:t>in comparison with add</w:t>
      </w:r>
      <w:r w:rsidR="00925446">
        <w:t>ing</w:t>
      </w:r>
      <w:r w:rsidR="000A61CB">
        <w:t xml:space="preserve"> ascorbic acid and citric</w:t>
      </w:r>
      <w:r w:rsidR="00F55DE7">
        <w:t xml:space="preserve"> acid</w:t>
      </w:r>
      <w:r w:rsidR="000A61CB">
        <w:t>, know</w:t>
      </w:r>
      <w:r w:rsidR="000622C8">
        <w:t>n</w:t>
      </w:r>
      <w:r w:rsidR="000A61CB">
        <w:t xml:space="preserve"> promoters of mineral bio</w:t>
      </w:r>
      <w:r w:rsidR="00E25D63">
        <w:t>a</w:t>
      </w:r>
      <w:r w:rsidR="000A61CB">
        <w:t>vailability</w:t>
      </w:r>
      <w:r w:rsidR="00877A2B">
        <w:t xml:space="preserve"> </w:t>
      </w:r>
      <w:r w:rsidR="000B70B0" w:rsidRPr="000B70B0">
        <w:t>(Lönnerdal</w:t>
      </w:r>
      <w:r w:rsidR="00925446">
        <w:t>,</w:t>
      </w:r>
      <w:r w:rsidR="000B70B0" w:rsidRPr="000B70B0">
        <w:t xml:space="preserve"> 2000; Iyengar</w:t>
      </w:r>
      <w:r w:rsidR="00086615">
        <w:t xml:space="preserve"> et al.</w:t>
      </w:r>
      <w:r w:rsidR="000B70B0" w:rsidRPr="000B70B0">
        <w:t>, 2010)</w:t>
      </w:r>
      <w:r w:rsidR="000B70B0">
        <w:t>.</w:t>
      </w:r>
    </w:p>
    <w:p w14:paraId="0C9345AC" w14:textId="77777777" w:rsidR="00FB6644" w:rsidRDefault="00FB6644" w:rsidP="0041271A">
      <w:r>
        <w:br w:type="page"/>
      </w:r>
    </w:p>
    <w:p w14:paraId="58D30AB1" w14:textId="4B4F12A5" w:rsidR="00286848" w:rsidRPr="0041271A" w:rsidRDefault="00145BC1" w:rsidP="0041271A">
      <w:pPr>
        <w:pStyle w:val="Heading3"/>
      </w:pPr>
      <w:bookmarkStart w:id="68" w:name="_Toc65253580"/>
      <w:r w:rsidRPr="0041271A">
        <w:t>4.1.3</w:t>
      </w:r>
      <w:r w:rsidR="0041271A">
        <w:tab/>
      </w:r>
      <w:r w:rsidR="00763952" w:rsidRPr="0041271A">
        <w:t>M</w:t>
      </w:r>
      <w:r w:rsidR="0041271A" w:rsidRPr="0041271A">
        <w:t>aterials and methods</w:t>
      </w:r>
      <w:bookmarkEnd w:id="68"/>
    </w:p>
    <w:p w14:paraId="334E1339" w14:textId="2B5BE288" w:rsidR="00286848" w:rsidRPr="00763952" w:rsidRDefault="00F3680E" w:rsidP="0041271A">
      <w:pPr>
        <w:pStyle w:val="Heading4"/>
      </w:pPr>
      <w:bookmarkStart w:id="69" w:name="_Toc65253581"/>
      <w:r>
        <w:t>4.1.3</w:t>
      </w:r>
      <w:r w:rsidR="00390039" w:rsidRPr="00763952">
        <w:t>.1</w:t>
      </w:r>
      <w:r w:rsidR="009163EF">
        <w:tab/>
      </w:r>
      <w:r w:rsidR="00390039" w:rsidRPr="00763952">
        <w:t>Raw materials and processing</w:t>
      </w:r>
      <w:bookmarkEnd w:id="69"/>
    </w:p>
    <w:p w14:paraId="55445343" w14:textId="2931E3C8" w:rsidR="00286848" w:rsidRPr="006871D8" w:rsidRDefault="00390039" w:rsidP="009163EF">
      <w:r w:rsidRPr="006871D8">
        <w:t>Whole pearl millet gr</w:t>
      </w:r>
      <w:r w:rsidR="00561A56">
        <w:t>ain (variety Kuphanjala-2) was</w:t>
      </w:r>
      <w:r w:rsidRPr="006871D8">
        <w:t xml:space="preserve"> sourced from </w:t>
      </w:r>
      <w:r w:rsidR="005C51F9" w:rsidRPr="006871D8">
        <w:t xml:space="preserve">the </w:t>
      </w:r>
      <w:r w:rsidRPr="006871D8">
        <w:t xml:space="preserve">International Crops Research Institute for the Semi-Arid Tropics, Bulawayo, Zimbabwe. Naturally dehydrated organic baobab fruit powder, obtained from the endocarp, was from Nautica Organic Trading, </w:t>
      </w:r>
      <w:r w:rsidR="005C51F9" w:rsidRPr="006871D8">
        <w:t xml:space="preserve">Durban, </w:t>
      </w:r>
      <w:r w:rsidRPr="006871D8">
        <w:t>South Africa. Moringa leaves were obtained from the University of Pretoria experimental farm, Pretoria, South Africa. Ascorbic acid and citric acid monohydrate w</w:t>
      </w:r>
      <w:r w:rsidR="005C51F9" w:rsidRPr="006871D8">
        <w:t>ere from Merck-Millipore, Johannesburg</w:t>
      </w:r>
      <w:r w:rsidRPr="006871D8">
        <w:t xml:space="preserve">, South Africa. The millet grain </w:t>
      </w:r>
      <w:r w:rsidR="000622C8">
        <w:t>was</w:t>
      </w:r>
      <w:r w:rsidR="004B06BA">
        <w:t xml:space="preserve"> </w:t>
      </w:r>
      <w:r w:rsidRPr="006871D8">
        <w:t>milled usi</w:t>
      </w:r>
      <w:r w:rsidR="00561A56">
        <w:t>ng a laboratory ham</w:t>
      </w:r>
      <w:r w:rsidRPr="006871D8">
        <w:t xml:space="preserve">mer mill fitted with a 500 </w:t>
      </w:r>
      <w:r w:rsidRPr="006871D8">
        <w:rPr>
          <w:color w:val="000000" w:themeColor="text1"/>
        </w:rPr>
        <w:t>µm opening screen</w:t>
      </w:r>
      <w:r w:rsidRPr="006871D8">
        <w:t xml:space="preserve"> (Falling </w:t>
      </w:r>
      <w:r w:rsidR="006E03AC">
        <w:t>N</w:t>
      </w:r>
      <w:r w:rsidRPr="006871D8">
        <w:t>umber 3100, Perten Instruments, Stockholm, Sweden)</w:t>
      </w:r>
      <w:r w:rsidR="000622C8">
        <w:t xml:space="preserve"> to produce a wholegrain flour</w:t>
      </w:r>
      <w:r w:rsidRPr="006871D8">
        <w:t xml:space="preserve">. Moringa leaves were sorted, rinsed with deionised water and drained on stainless steel trays for 15 min, after which </w:t>
      </w:r>
      <w:r w:rsidR="000622C8">
        <w:t xml:space="preserve">they </w:t>
      </w:r>
      <w:r w:rsidRPr="006871D8">
        <w:t>were frozen at -20</w:t>
      </w:r>
      <w:r w:rsidRPr="006871D8">
        <w:rPr>
          <w:vertAlign w:val="superscript"/>
        </w:rPr>
        <w:t>o</w:t>
      </w:r>
      <w:r w:rsidRPr="006871D8">
        <w:t>C, freeze dried and milled to fine powder using an air-cooled, knife-type laboratory mi</w:t>
      </w:r>
      <w:r w:rsidR="005C51F9" w:rsidRPr="006871D8">
        <w:t>ll (IKA A11, Staufen</w:t>
      </w:r>
      <w:r w:rsidRPr="006871D8">
        <w:t>, Germany). The baobab fruit powder was vacuum packed and other flour samples were stored in zip-lock plastic bags at -20</w:t>
      </w:r>
      <w:r w:rsidRPr="006871D8">
        <w:rPr>
          <w:color w:val="000000" w:themeColor="text1"/>
        </w:rPr>
        <w:t>°C</w:t>
      </w:r>
      <w:r w:rsidRPr="006871D8">
        <w:t xml:space="preserve"> prior to analysis. </w:t>
      </w:r>
    </w:p>
    <w:p w14:paraId="747E0E89" w14:textId="77777777" w:rsidR="00C471E0" w:rsidRDefault="00C471E0" w:rsidP="00C471E0">
      <w:pPr>
        <w:spacing w:after="0"/>
        <w:rPr>
          <w:rFonts w:cs="Times New Roman"/>
          <w:b/>
          <w:bCs/>
          <w:szCs w:val="24"/>
        </w:rPr>
      </w:pPr>
    </w:p>
    <w:p w14:paraId="393B1E36" w14:textId="76058E12" w:rsidR="00286848" w:rsidRPr="00763952" w:rsidRDefault="00F3680E" w:rsidP="009163EF">
      <w:pPr>
        <w:pStyle w:val="Heading4"/>
      </w:pPr>
      <w:bookmarkStart w:id="70" w:name="_Toc65253582"/>
      <w:r>
        <w:t>4.1.3.</w:t>
      </w:r>
      <w:r w:rsidR="00390039" w:rsidRPr="00763952">
        <w:t>2</w:t>
      </w:r>
      <w:r w:rsidR="009163EF">
        <w:tab/>
      </w:r>
      <w:r w:rsidR="00390039" w:rsidRPr="00763952">
        <w:t>Preparation of pear</w:t>
      </w:r>
      <w:r w:rsidR="005C51F9" w:rsidRPr="00763952">
        <w:t>l</w:t>
      </w:r>
      <w:r w:rsidR="00390039" w:rsidRPr="00763952">
        <w:t xml:space="preserve"> millet porridge</w:t>
      </w:r>
      <w:bookmarkEnd w:id="70"/>
    </w:p>
    <w:p w14:paraId="2C02D489" w14:textId="1A66A66E" w:rsidR="00286848" w:rsidRPr="006871D8" w:rsidRDefault="00390039" w:rsidP="009163EF">
      <w:r w:rsidRPr="006871D8">
        <w:t>Deionised water (100 m</w:t>
      </w:r>
      <w:r w:rsidR="00034726">
        <w:t>L</w:t>
      </w:r>
      <w:r w:rsidRPr="006871D8">
        <w:t>) was added to the</w:t>
      </w:r>
      <w:r w:rsidR="00561A56">
        <w:t xml:space="preserve"> whole grain millet flour</w:t>
      </w:r>
      <w:r w:rsidRPr="006871D8">
        <w:t xml:space="preserve"> (25 g). The millet slurry was heated to 100˚C and maintained for 10 min with constant stirring. The cooked millet porridge was cooled, frozen at -20˚C and freeze dried. The dried porridge was finely milled using</w:t>
      </w:r>
      <w:r w:rsidRPr="006871D8">
        <w:rPr>
          <w:bCs/>
        </w:rPr>
        <w:t xml:space="preserve"> </w:t>
      </w:r>
      <w:r w:rsidR="00843A25">
        <w:rPr>
          <w:bCs/>
        </w:rPr>
        <w:t xml:space="preserve">the </w:t>
      </w:r>
      <w:r w:rsidRPr="006871D8">
        <w:rPr>
          <w:bCs/>
        </w:rPr>
        <w:t>IKA A11 mill</w:t>
      </w:r>
      <w:r w:rsidRPr="006871D8">
        <w:t xml:space="preserve"> and stored at -20</w:t>
      </w:r>
      <w:r w:rsidRPr="006871D8">
        <w:rPr>
          <w:vertAlign w:val="superscript"/>
        </w:rPr>
        <w:t>o</w:t>
      </w:r>
      <w:r w:rsidRPr="006871D8">
        <w:t xml:space="preserve">C prior to further analyses. </w:t>
      </w:r>
    </w:p>
    <w:p w14:paraId="074698D8" w14:textId="77777777" w:rsidR="00C471E0" w:rsidRDefault="00C471E0" w:rsidP="00C471E0">
      <w:pPr>
        <w:spacing w:after="0"/>
        <w:rPr>
          <w:rFonts w:cs="Times New Roman"/>
          <w:b/>
          <w:color w:val="000000" w:themeColor="text1"/>
          <w:szCs w:val="24"/>
        </w:rPr>
      </w:pPr>
    </w:p>
    <w:p w14:paraId="03A05A39" w14:textId="78C6866D" w:rsidR="00286848" w:rsidRPr="00763952" w:rsidRDefault="00F3680E" w:rsidP="009163EF">
      <w:pPr>
        <w:pStyle w:val="Heading4"/>
      </w:pPr>
      <w:bookmarkStart w:id="71" w:name="_Toc65253583"/>
      <w:r>
        <w:t>4.1.3.</w:t>
      </w:r>
      <w:r w:rsidR="00390039" w:rsidRPr="00763952">
        <w:t>3</w:t>
      </w:r>
      <w:r w:rsidR="009163EF">
        <w:tab/>
      </w:r>
      <w:r w:rsidR="00390039" w:rsidRPr="00763952">
        <w:t>Porridge formulations</w:t>
      </w:r>
      <w:bookmarkEnd w:id="71"/>
    </w:p>
    <w:p w14:paraId="39B1F701" w14:textId="68F38218" w:rsidR="00390039" w:rsidRPr="006871D8" w:rsidRDefault="005C51F9" w:rsidP="009163EF">
      <w:r w:rsidRPr="006871D8">
        <w:t>M</w:t>
      </w:r>
      <w:r w:rsidR="00390039" w:rsidRPr="006871D8">
        <w:t xml:space="preserve">oringa leaf powder </w:t>
      </w:r>
      <w:r w:rsidR="009D119B" w:rsidRPr="006871D8">
        <w:t>and baobab fruit powder were added to</w:t>
      </w:r>
      <w:r w:rsidR="00BF6B29">
        <w:t xml:space="preserve"> </w:t>
      </w:r>
      <w:r w:rsidR="000622C8">
        <w:t xml:space="preserve">the </w:t>
      </w:r>
      <w:r w:rsidR="00D25F7A">
        <w:t xml:space="preserve">cooked </w:t>
      </w:r>
      <w:r w:rsidR="00390039" w:rsidRPr="006871D8">
        <w:t>pearl millet porridge powder</w:t>
      </w:r>
      <w:r w:rsidR="00BF6B29">
        <w:t xml:space="preserve"> </w:t>
      </w:r>
      <w:r w:rsidR="009D119B" w:rsidRPr="006871D8">
        <w:t xml:space="preserve">at a </w:t>
      </w:r>
      <w:r w:rsidR="0073272F">
        <w:t xml:space="preserve">dry </w:t>
      </w:r>
      <w:r w:rsidR="007827D0">
        <w:t xml:space="preserve">mass </w:t>
      </w:r>
      <w:r w:rsidR="009D119B" w:rsidRPr="006871D8">
        <w:t xml:space="preserve">ratio of 15:15:100 </w:t>
      </w:r>
      <w:r w:rsidR="00390039" w:rsidRPr="006871D8">
        <w:t>and compared t</w:t>
      </w:r>
      <w:r w:rsidR="009D119B" w:rsidRPr="006871D8">
        <w:t xml:space="preserve">o </w:t>
      </w:r>
      <w:r w:rsidR="009F348D">
        <w:t>millet porridge</w:t>
      </w:r>
      <w:r w:rsidR="009D119B" w:rsidRPr="006871D8">
        <w:t xml:space="preserve"> fortified with</w:t>
      </w:r>
      <w:r w:rsidR="00BF6B29">
        <w:t xml:space="preserve"> </w:t>
      </w:r>
      <w:r w:rsidR="00032743">
        <w:t>ascorbic acid</w:t>
      </w:r>
      <w:r w:rsidR="00390039" w:rsidRPr="006871D8">
        <w:t xml:space="preserve"> and </w:t>
      </w:r>
      <w:r w:rsidR="00032743">
        <w:t>citric acid</w:t>
      </w:r>
      <w:r w:rsidR="00390039" w:rsidRPr="006871D8">
        <w:t xml:space="preserve">. The levels of </w:t>
      </w:r>
      <w:r w:rsidR="00032743">
        <w:t>ascorbic and citric acid</w:t>
      </w:r>
      <w:r w:rsidR="00390039" w:rsidRPr="006871D8">
        <w:t xml:space="preserve"> us</w:t>
      </w:r>
      <w:r w:rsidR="009D119B" w:rsidRPr="006871D8">
        <w:t>ed were equivalent to the levels</w:t>
      </w:r>
      <w:r w:rsidR="00BF6B29">
        <w:t xml:space="preserve"> in </w:t>
      </w:r>
      <w:r w:rsidR="009F348D">
        <w:t>baobab powder</w:t>
      </w:r>
      <w:r w:rsidR="00390039" w:rsidRPr="006871D8">
        <w:t>.</w:t>
      </w:r>
      <w:r w:rsidR="00F3680E">
        <w:t xml:space="preserve"> The details of the pearl millet porridge formulations are presented in</w:t>
      </w:r>
      <w:r w:rsidR="00C471E0">
        <w:t xml:space="preserve"> Figure 4.1.1 </w:t>
      </w:r>
    </w:p>
    <w:p w14:paraId="0E038A0E" w14:textId="77777777" w:rsidR="00C471E0" w:rsidRDefault="00C471E0" w:rsidP="00C471E0">
      <w:pPr>
        <w:spacing w:after="0"/>
        <w:rPr>
          <w:rFonts w:cs="Times New Roman"/>
          <w:b/>
          <w:szCs w:val="24"/>
        </w:rPr>
      </w:pPr>
    </w:p>
    <w:p w14:paraId="21E021FE" w14:textId="77777777" w:rsidR="00C471E0" w:rsidRDefault="00C471E0" w:rsidP="00B20675">
      <w:pPr>
        <w:rPr>
          <w:rFonts w:cs="Times New Roman"/>
          <w:b/>
          <w:szCs w:val="24"/>
        </w:rPr>
      </w:pPr>
    </w:p>
    <w:p w14:paraId="36EBCB86" w14:textId="77777777" w:rsidR="00C471E0" w:rsidRDefault="00C471E0" w:rsidP="00B20675">
      <w:pPr>
        <w:rPr>
          <w:rFonts w:cs="Times New Roman"/>
          <w:b/>
          <w:szCs w:val="24"/>
        </w:rPr>
      </w:pPr>
    </w:p>
    <w:p w14:paraId="122F0234" w14:textId="3685061C" w:rsidR="00F3680E" w:rsidRDefault="00890599" w:rsidP="00B20675">
      <w:pPr>
        <w:rPr>
          <w:rFonts w:cs="Times New Roman"/>
          <w:b/>
          <w:szCs w:val="24"/>
        </w:rPr>
      </w:pPr>
      <w:r>
        <w:rPr>
          <w:rFonts w:cs="Times New Roman"/>
          <w:b/>
          <w:noProof/>
          <w:szCs w:val="24"/>
          <w:lang w:val="en-ZA" w:eastAsia="en-ZA"/>
        </w:rPr>
        <w:drawing>
          <wp:inline distT="0" distB="0" distL="0" distR="0" wp14:anchorId="11AF6DA8" wp14:editId="15E81810">
            <wp:extent cx="5993867" cy="3312708"/>
            <wp:effectExtent l="0" t="0" r="6985"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012271" cy="3322880"/>
                    </a:xfrm>
                    <a:prstGeom prst="rect">
                      <a:avLst/>
                    </a:prstGeom>
                    <a:noFill/>
                  </pic:spPr>
                </pic:pic>
              </a:graphicData>
            </a:graphic>
          </wp:inline>
        </w:drawing>
      </w:r>
    </w:p>
    <w:p w14:paraId="4DE29181" w14:textId="60AB3348" w:rsidR="00F3680E" w:rsidRDefault="00F3680E" w:rsidP="0068103B">
      <w:pPr>
        <w:pStyle w:val="Myfigures"/>
        <w:spacing w:after="0" w:line="240" w:lineRule="auto"/>
      </w:pPr>
      <w:bookmarkStart w:id="72" w:name="_Toc65253647"/>
      <w:r w:rsidRPr="00975F60">
        <w:rPr>
          <w:b/>
          <w:bCs/>
        </w:rPr>
        <w:t>Figure 4.1.1</w:t>
      </w:r>
      <w:r>
        <w:t>: Flow chart of wholegrain pearl millet porridge formulations and preparation</w:t>
      </w:r>
      <w:bookmarkEnd w:id="72"/>
    </w:p>
    <w:p w14:paraId="6819191A" w14:textId="1FBD593F" w:rsidR="0068103B" w:rsidRPr="0068103B" w:rsidRDefault="0068103B" w:rsidP="0068103B">
      <w:pPr>
        <w:spacing w:after="0" w:line="240" w:lineRule="auto"/>
        <w:rPr>
          <w:sz w:val="20"/>
          <w:szCs w:val="20"/>
        </w:rPr>
      </w:pPr>
      <w:bookmarkStart w:id="73" w:name="_Hlk55059128"/>
      <w:r>
        <w:rPr>
          <w:sz w:val="20"/>
          <w:szCs w:val="20"/>
        </w:rPr>
        <w:t xml:space="preserve">The different </w:t>
      </w:r>
      <w:r w:rsidR="00F440FA">
        <w:rPr>
          <w:sz w:val="20"/>
          <w:szCs w:val="20"/>
        </w:rPr>
        <w:t xml:space="preserve">pearl millet </w:t>
      </w:r>
      <w:r>
        <w:rPr>
          <w:sz w:val="20"/>
          <w:szCs w:val="20"/>
        </w:rPr>
        <w:t xml:space="preserve">porridge formulations studied </w:t>
      </w:r>
      <w:r w:rsidR="005D1CFD">
        <w:rPr>
          <w:sz w:val="20"/>
          <w:szCs w:val="20"/>
        </w:rPr>
        <w:t>are</w:t>
      </w:r>
      <w:r>
        <w:rPr>
          <w:sz w:val="20"/>
          <w:szCs w:val="20"/>
        </w:rPr>
        <w:t xml:space="preserve"> highlighted in </w:t>
      </w:r>
      <w:r w:rsidRPr="00F440FA">
        <w:rPr>
          <w:sz w:val="20"/>
          <w:szCs w:val="20"/>
          <w:highlight w:val="yellow"/>
        </w:rPr>
        <w:t>yellow</w:t>
      </w:r>
      <w:r>
        <w:rPr>
          <w:sz w:val="20"/>
          <w:szCs w:val="20"/>
        </w:rPr>
        <w:t>,</w:t>
      </w:r>
    </w:p>
    <w:p w14:paraId="1ADB97AE" w14:textId="78F115B3" w:rsidR="00F3680E" w:rsidRDefault="00F3680E" w:rsidP="0009779A">
      <w:pPr>
        <w:spacing w:line="240" w:lineRule="auto"/>
        <w:rPr>
          <w:rFonts w:cs="Times New Roman"/>
          <w:b/>
          <w:szCs w:val="24"/>
        </w:rPr>
      </w:pPr>
      <w:r w:rsidRPr="005A3186">
        <w:rPr>
          <w:sz w:val="20"/>
          <w:szCs w:val="20"/>
          <w:vertAlign w:val="superscript"/>
        </w:rPr>
        <w:t>1</w:t>
      </w:r>
      <w:r w:rsidRPr="005A3186">
        <w:rPr>
          <w:sz w:val="20"/>
          <w:szCs w:val="20"/>
        </w:rPr>
        <w:t xml:space="preserve">Amount of </w:t>
      </w:r>
      <w:r>
        <w:rPr>
          <w:sz w:val="20"/>
          <w:szCs w:val="20"/>
        </w:rPr>
        <w:t>ascorbic acid</w:t>
      </w:r>
      <w:r w:rsidRPr="005A3186">
        <w:rPr>
          <w:sz w:val="20"/>
          <w:szCs w:val="20"/>
        </w:rPr>
        <w:t xml:space="preserve"> used was similar to the levels in the </w:t>
      </w:r>
      <w:r>
        <w:rPr>
          <w:sz w:val="20"/>
          <w:szCs w:val="20"/>
        </w:rPr>
        <w:t>baobab fruit pulp</w:t>
      </w:r>
      <w:r w:rsidRPr="005A3186">
        <w:rPr>
          <w:sz w:val="20"/>
          <w:szCs w:val="20"/>
        </w:rPr>
        <w:t xml:space="preserve">, </w:t>
      </w:r>
      <w:r w:rsidRPr="005A3186">
        <w:rPr>
          <w:sz w:val="20"/>
          <w:szCs w:val="20"/>
          <w:vertAlign w:val="superscript"/>
        </w:rPr>
        <w:t>2</w:t>
      </w:r>
      <w:r w:rsidRPr="005A3186">
        <w:rPr>
          <w:sz w:val="20"/>
          <w:szCs w:val="20"/>
        </w:rPr>
        <w:t xml:space="preserve">Amount of </w:t>
      </w:r>
      <w:r>
        <w:rPr>
          <w:sz w:val="20"/>
          <w:szCs w:val="20"/>
        </w:rPr>
        <w:t>citric</w:t>
      </w:r>
      <w:r w:rsidRPr="005A3186">
        <w:rPr>
          <w:sz w:val="20"/>
          <w:szCs w:val="20"/>
        </w:rPr>
        <w:t xml:space="preserve"> acid used w</w:t>
      </w:r>
      <w:r>
        <w:rPr>
          <w:sz w:val="20"/>
          <w:szCs w:val="20"/>
        </w:rPr>
        <w:t>as</w:t>
      </w:r>
      <w:r w:rsidRPr="005A3186">
        <w:rPr>
          <w:sz w:val="20"/>
          <w:szCs w:val="20"/>
        </w:rPr>
        <w:t xml:space="preserve"> similar to the levels in the baobab fruit</w:t>
      </w:r>
      <w:bookmarkEnd w:id="73"/>
      <w:r>
        <w:rPr>
          <w:sz w:val="20"/>
          <w:szCs w:val="20"/>
        </w:rPr>
        <w:t xml:space="preserve"> pulp</w:t>
      </w:r>
      <w:r w:rsidR="00877310">
        <w:rPr>
          <w:sz w:val="20"/>
          <w:szCs w:val="20"/>
        </w:rPr>
        <w:t>.</w:t>
      </w:r>
    </w:p>
    <w:p w14:paraId="6BB379C1" w14:textId="77777777" w:rsidR="00F3680E" w:rsidRDefault="00F3680E" w:rsidP="0009779A">
      <w:pPr>
        <w:spacing w:after="0"/>
        <w:rPr>
          <w:rFonts w:cs="Times New Roman"/>
          <w:b/>
          <w:szCs w:val="24"/>
        </w:rPr>
      </w:pPr>
    </w:p>
    <w:p w14:paraId="7B5DA0F9" w14:textId="46514EE7" w:rsidR="00390039" w:rsidRPr="00763952" w:rsidRDefault="00F3680E" w:rsidP="009163EF">
      <w:pPr>
        <w:pStyle w:val="Heading4"/>
      </w:pPr>
      <w:bookmarkStart w:id="74" w:name="_Toc65253584"/>
      <w:r>
        <w:t>4.1.3.</w:t>
      </w:r>
      <w:r w:rsidR="009D119B" w:rsidRPr="00763952">
        <w:t>4</w:t>
      </w:r>
      <w:r w:rsidR="009163EF">
        <w:tab/>
      </w:r>
      <w:r w:rsidR="009D119B" w:rsidRPr="00763952">
        <w:t>Analyse</w:t>
      </w:r>
      <w:r w:rsidR="00390039" w:rsidRPr="00763952">
        <w:t>s</w:t>
      </w:r>
      <w:bookmarkEnd w:id="74"/>
    </w:p>
    <w:p w14:paraId="2032E385" w14:textId="4A9CA80D" w:rsidR="00B5628C" w:rsidRPr="0062679E" w:rsidRDefault="00B5628C" w:rsidP="0062679E">
      <w:pPr>
        <w:spacing w:before="240" w:after="0"/>
        <w:rPr>
          <w:i/>
          <w:iCs/>
        </w:rPr>
      </w:pPr>
      <w:r w:rsidRPr="0062679E">
        <w:rPr>
          <w:i/>
          <w:iCs/>
        </w:rPr>
        <w:t xml:space="preserve">Moisture </w:t>
      </w:r>
    </w:p>
    <w:p w14:paraId="7E376FBD" w14:textId="5A71A57C" w:rsidR="00FB6644" w:rsidRDefault="0055187E" w:rsidP="009163EF">
      <w:pPr>
        <w:rPr>
          <w:color w:val="000000" w:themeColor="text1"/>
        </w:rPr>
      </w:pPr>
      <w:r>
        <w:rPr>
          <w:color w:val="000000" w:themeColor="text1"/>
        </w:rPr>
        <w:t>M</w:t>
      </w:r>
      <w:r w:rsidR="00B5628C" w:rsidRPr="00B5628C">
        <w:rPr>
          <w:color w:val="000000" w:themeColor="text1"/>
        </w:rPr>
        <w:t>oisture contents of the plant materials were determined by an air oven, one stage, drying procedure, method 44-15A (</w:t>
      </w:r>
      <w:r>
        <w:rPr>
          <w:color w:val="000000" w:themeColor="text1"/>
        </w:rPr>
        <w:t>AACC</w:t>
      </w:r>
      <w:r w:rsidR="00B5628C" w:rsidRPr="00B5628C">
        <w:rPr>
          <w:color w:val="000000" w:themeColor="text1"/>
        </w:rPr>
        <w:t>, 2000).</w:t>
      </w:r>
    </w:p>
    <w:p w14:paraId="51F578D3" w14:textId="0307D202" w:rsidR="00390039" w:rsidRPr="0062679E" w:rsidRDefault="00390039" w:rsidP="0062679E">
      <w:pPr>
        <w:spacing w:after="0"/>
        <w:rPr>
          <w:i/>
          <w:iCs/>
          <w:color w:val="000000" w:themeColor="text1"/>
        </w:rPr>
      </w:pPr>
      <w:r w:rsidRPr="0062679E">
        <w:rPr>
          <w:i/>
          <w:iCs/>
          <w:color w:val="000000" w:themeColor="text1"/>
        </w:rPr>
        <w:t>Total phenolic</w:t>
      </w:r>
      <w:r w:rsidR="00B5628C" w:rsidRPr="0062679E">
        <w:rPr>
          <w:i/>
          <w:iCs/>
          <w:color w:val="000000" w:themeColor="text1"/>
        </w:rPr>
        <w:t>s</w:t>
      </w:r>
    </w:p>
    <w:p w14:paraId="512926F8" w14:textId="6440DD09" w:rsidR="00390039" w:rsidRPr="006871D8" w:rsidRDefault="00390039" w:rsidP="009163EF">
      <w:pPr>
        <w:rPr>
          <w:color w:val="000000" w:themeColor="text1"/>
        </w:rPr>
      </w:pPr>
      <w:r w:rsidRPr="006871D8">
        <w:rPr>
          <w:color w:val="000000" w:themeColor="text1"/>
        </w:rPr>
        <w:t xml:space="preserve">The Folin-Ciocalteu method was used to quantify total phenolic content, as described by </w:t>
      </w:r>
      <w:bookmarkStart w:id="75" w:name="_Hlk799944"/>
      <w:r w:rsidRPr="006871D8">
        <w:rPr>
          <w:color w:val="000000" w:themeColor="text1"/>
        </w:rPr>
        <w:t xml:space="preserve">Waterman &amp; Mole (1994) </w:t>
      </w:r>
      <w:r w:rsidR="00E35196">
        <w:rPr>
          <w:color w:val="000000" w:themeColor="text1"/>
        </w:rPr>
        <w:t>using</w:t>
      </w:r>
      <w:r w:rsidR="00185252">
        <w:rPr>
          <w:color w:val="000000" w:themeColor="text1"/>
        </w:rPr>
        <w:t xml:space="preserve"> </w:t>
      </w:r>
      <w:r w:rsidR="00894D59">
        <w:rPr>
          <w:color w:val="000000" w:themeColor="text1"/>
        </w:rPr>
        <w:t xml:space="preserve">0.103 mol/litre </w:t>
      </w:r>
      <w:r w:rsidR="00E35196" w:rsidRPr="00894D59">
        <w:rPr>
          <w:color w:val="000000" w:themeColor="text1"/>
        </w:rPr>
        <w:t>HCl</w:t>
      </w:r>
      <w:r w:rsidR="00E35196">
        <w:rPr>
          <w:color w:val="000000" w:themeColor="text1"/>
        </w:rPr>
        <w:t xml:space="preserve"> in methanol as the extract</w:t>
      </w:r>
      <w:r w:rsidR="001C7E79">
        <w:rPr>
          <w:color w:val="000000" w:themeColor="text1"/>
        </w:rPr>
        <w:t>ant</w:t>
      </w:r>
      <w:bookmarkEnd w:id="75"/>
      <w:r w:rsidR="00E35196">
        <w:rPr>
          <w:color w:val="000000" w:themeColor="text1"/>
        </w:rPr>
        <w:t xml:space="preserve"> </w:t>
      </w:r>
      <w:r w:rsidR="00B74372">
        <w:rPr>
          <w:color w:val="000000" w:themeColor="text1"/>
        </w:rPr>
        <w:t xml:space="preserve">at a volume to flour mass ratio of </w:t>
      </w:r>
      <w:r w:rsidR="004C7154">
        <w:rPr>
          <w:color w:val="000000" w:themeColor="text1"/>
        </w:rPr>
        <w:t>40</w:t>
      </w:r>
      <w:r w:rsidR="00B74372">
        <w:rPr>
          <w:color w:val="000000" w:themeColor="text1"/>
        </w:rPr>
        <w:t>:</w:t>
      </w:r>
      <w:r w:rsidR="004C7154">
        <w:rPr>
          <w:color w:val="000000" w:themeColor="text1"/>
        </w:rPr>
        <w:t>1</w:t>
      </w:r>
      <w:r w:rsidR="0073272F">
        <w:rPr>
          <w:color w:val="000000" w:themeColor="text1"/>
        </w:rPr>
        <w:t>,</w:t>
      </w:r>
      <w:r w:rsidR="00B74372">
        <w:rPr>
          <w:color w:val="000000" w:themeColor="text1"/>
        </w:rPr>
        <w:t xml:space="preserve"> according to the method of </w:t>
      </w:r>
      <w:r w:rsidR="00B74372" w:rsidRPr="00B74372">
        <w:rPr>
          <w:color w:val="000000" w:themeColor="text1"/>
        </w:rPr>
        <w:t>Price</w:t>
      </w:r>
      <w:r w:rsidR="00086615">
        <w:rPr>
          <w:color w:val="000000" w:themeColor="text1"/>
        </w:rPr>
        <w:t xml:space="preserve"> et al.</w:t>
      </w:r>
      <w:r w:rsidR="00B74372" w:rsidRPr="00B74372">
        <w:rPr>
          <w:color w:val="000000" w:themeColor="text1"/>
        </w:rPr>
        <w:t xml:space="preserve">, </w:t>
      </w:r>
      <w:r w:rsidR="00B74372">
        <w:rPr>
          <w:color w:val="000000" w:themeColor="text1"/>
        </w:rPr>
        <w:t>(</w:t>
      </w:r>
      <w:r w:rsidR="00B74372" w:rsidRPr="00B74372">
        <w:rPr>
          <w:color w:val="000000" w:themeColor="text1"/>
        </w:rPr>
        <w:t>1978</w:t>
      </w:r>
      <w:r w:rsidR="00B74372">
        <w:rPr>
          <w:color w:val="000000" w:themeColor="text1"/>
        </w:rPr>
        <w:t>)</w:t>
      </w:r>
      <w:r w:rsidR="00B74372" w:rsidRPr="00B74372">
        <w:rPr>
          <w:color w:val="000000" w:themeColor="text1"/>
        </w:rPr>
        <w:t>.</w:t>
      </w:r>
      <w:r w:rsidR="00B74372">
        <w:rPr>
          <w:color w:val="000000" w:themeColor="text1"/>
        </w:rPr>
        <w:t xml:space="preserve">  </w:t>
      </w:r>
    </w:p>
    <w:p w14:paraId="32C8DCA6" w14:textId="4A9846F3" w:rsidR="00286848" w:rsidRPr="0062679E" w:rsidRDefault="00390039" w:rsidP="0062679E">
      <w:pPr>
        <w:spacing w:after="0"/>
        <w:rPr>
          <w:i/>
          <w:iCs/>
          <w:color w:val="000000" w:themeColor="text1"/>
        </w:rPr>
      </w:pPr>
      <w:r w:rsidRPr="0062679E">
        <w:rPr>
          <w:i/>
          <w:iCs/>
          <w:color w:val="000000" w:themeColor="text1"/>
        </w:rPr>
        <w:t>Phytate</w:t>
      </w:r>
    </w:p>
    <w:p w14:paraId="5EC59D00" w14:textId="7F80037D" w:rsidR="00390039" w:rsidRPr="006871D8" w:rsidRDefault="00390039" w:rsidP="009163EF">
      <w:pPr>
        <w:rPr>
          <w:color w:val="000000" w:themeColor="text1"/>
        </w:rPr>
      </w:pPr>
      <w:bookmarkStart w:id="76" w:name="_Hlk535254437"/>
      <w:r w:rsidRPr="006871D8">
        <w:rPr>
          <w:color w:val="000000" w:themeColor="text1"/>
        </w:rPr>
        <w:t>Ph</w:t>
      </w:r>
      <w:r w:rsidR="00561A56">
        <w:rPr>
          <w:color w:val="000000" w:themeColor="text1"/>
        </w:rPr>
        <w:t xml:space="preserve">ytate content was </w:t>
      </w:r>
      <w:r w:rsidR="001E1964">
        <w:rPr>
          <w:color w:val="000000" w:themeColor="text1"/>
        </w:rPr>
        <w:t xml:space="preserve">determined using the extraction and assay </w:t>
      </w:r>
      <w:r w:rsidR="00555E50">
        <w:rPr>
          <w:color w:val="000000" w:themeColor="text1"/>
        </w:rPr>
        <w:t>procedure of</w:t>
      </w:r>
      <w:r w:rsidR="001C3797" w:rsidRPr="006871D8">
        <w:rPr>
          <w:color w:val="000000" w:themeColor="text1"/>
        </w:rPr>
        <w:t xml:space="preserve"> </w:t>
      </w:r>
      <w:r w:rsidR="001C3797" w:rsidRPr="006871D8">
        <w:rPr>
          <w:noProof/>
          <w:color w:val="000000" w:themeColor="text1"/>
        </w:rPr>
        <w:t>Frühbeck</w:t>
      </w:r>
      <w:r w:rsidR="00E46022">
        <w:rPr>
          <w:noProof/>
          <w:color w:val="000000" w:themeColor="text1"/>
        </w:rPr>
        <w:t xml:space="preserve"> et al.</w:t>
      </w:r>
      <w:r w:rsidR="001C3797" w:rsidRPr="006871D8">
        <w:rPr>
          <w:noProof/>
          <w:color w:val="000000" w:themeColor="text1"/>
        </w:rPr>
        <w:t>,</w:t>
      </w:r>
      <w:r w:rsidR="00BF6B29">
        <w:rPr>
          <w:noProof/>
          <w:color w:val="000000" w:themeColor="text1"/>
        </w:rPr>
        <w:t xml:space="preserve"> </w:t>
      </w:r>
      <w:r w:rsidR="001C3797" w:rsidRPr="006871D8">
        <w:rPr>
          <w:color w:val="000000" w:themeColor="text1"/>
        </w:rPr>
        <w:t>(1995)</w:t>
      </w:r>
      <w:r w:rsidR="006E4911">
        <w:rPr>
          <w:color w:val="000000" w:themeColor="text1"/>
        </w:rPr>
        <w:t xml:space="preserve"> </w:t>
      </w:r>
      <w:r w:rsidR="001E1964">
        <w:rPr>
          <w:color w:val="000000" w:themeColor="text1"/>
        </w:rPr>
        <w:t>based on the method of</w:t>
      </w:r>
      <w:r w:rsidR="006E4911">
        <w:rPr>
          <w:color w:val="000000" w:themeColor="text1"/>
        </w:rPr>
        <w:t xml:space="preserve"> Latta &amp;</w:t>
      </w:r>
      <w:r w:rsidR="009B6E02">
        <w:rPr>
          <w:color w:val="000000" w:themeColor="text1"/>
        </w:rPr>
        <w:t xml:space="preserve"> </w:t>
      </w:r>
      <w:r w:rsidR="006E4911">
        <w:rPr>
          <w:color w:val="000000" w:themeColor="text1"/>
        </w:rPr>
        <w:t xml:space="preserve">Eskin </w:t>
      </w:r>
      <w:r w:rsidR="001E1964">
        <w:rPr>
          <w:color w:val="000000" w:themeColor="text1"/>
        </w:rPr>
        <w:t>(</w:t>
      </w:r>
      <w:r w:rsidR="006E4911">
        <w:rPr>
          <w:color w:val="000000" w:themeColor="text1"/>
        </w:rPr>
        <w:t>1980</w:t>
      </w:r>
      <w:r w:rsidR="001E1964">
        <w:rPr>
          <w:color w:val="000000" w:themeColor="text1"/>
        </w:rPr>
        <w:t>)</w:t>
      </w:r>
      <w:r w:rsidRPr="006871D8">
        <w:rPr>
          <w:color w:val="000000" w:themeColor="text1"/>
        </w:rPr>
        <w:t xml:space="preserve">. </w:t>
      </w:r>
      <w:bookmarkStart w:id="77" w:name="_Hlk535322620"/>
      <w:bookmarkEnd w:id="76"/>
      <w:r w:rsidRPr="006871D8">
        <w:rPr>
          <w:rFonts w:eastAsia="AdvGulliv-R"/>
          <w:color w:val="000000" w:themeColor="text1"/>
        </w:rPr>
        <w:t>Dowex1-anion-exchange resin-AG 1 x 4 (4% Cross-linkage, chloride form, 100-200 mesh</w:t>
      </w:r>
      <w:r w:rsidR="007827D0">
        <w:rPr>
          <w:rFonts w:eastAsia="AdvGulliv-R"/>
          <w:color w:val="000000" w:themeColor="text1"/>
        </w:rPr>
        <w:t xml:space="preserve"> (74-149 μm</w:t>
      </w:r>
      <w:r w:rsidRPr="006871D8">
        <w:rPr>
          <w:rFonts w:eastAsia="AdvGulliv-R"/>
          <w:color w:val="000000" w:themeColor="text1"/>
        </w:rPr>
        <w:t>) in glass barrel Econo-columns,</w:t>
      </w:r>
      <w:r w:rsidR="009B6E02">
        <w:rPr>
          <w:rFonts w:eastAsia="AdvGulliv-R"/>
          <w:color w:val="000000" w:themeColor="text1"/>
        </w:rPr>
        <w:t xml:space="preserve"> </w:t>
      </w:r>
      <w:r w:rsidRPr="006871D8">
        <w:rPr>
          <w:rFonts w:eastAsia="AdvGulliv-R"/>
          <w:color w:val="000000" w:themeColor="text1"/>
        </w:rPr>
        <w:t>7</w:t>
      </w:r>
      <w:r w:rsidR="003C125E">
        <w:rPr>
          <w:rFonts w:eastAsia="AdvGulliv-R"/>
          <w:color w:val="000000" w:themeColor="text1"/>
        </w:rPr>
        <w:t xml:space="preserve"> </w:t>
      </w:r>
      <w:r w:rsidRPr="006871D8">
        <w:rPr>
          <w:rFonts w:eastAsia="AdvGulliv-R"/>
          <w:color w:val="000000" w:themeColor="text1"/>
        </w:rPr>
        <w:t>x</w:t>
      </w:r>
      <w:r w:rsidR="003C125E">
        <w:rPr>
          <w:rFonts w:eastAsia="AdvGulliv-R"/>
          <w:color w:val="000000" w:themeColor="text1"/>
        </w:rPr>
        <w:t xml:space="preserve"> </w:t>
      </w:r>
      <w:r w:rsidRPr="006871D8">
        <w:rPr>
          <w:rFonts w:eastAsia="AdvGulliv-R"/>
          <w:color w:val="000000" w:themeColor="text1"/>
        </w:rPr>
        <w:t>5</w:t>
      </w:r>
      <w:r w:rsidR="007827D0">
        <w:rPr>
          <w:rFonts w:eastAsia="AdvGulliv-R"/>
          <w:color w:val="000000" w:themeColor="text1"/>
        </w:rPr>
        <w:t xml:space="preserve"> </w:t>
      </w:r>
      <w:r w:rsidRPr="006871D8">
        <w:rPr>
          <w:rFonts w:eastAsia="AdvGulliv-R"/>
          <w:color w:val="000000" w:themeColor="text1"/>
        </w:rPr>
        <w:t>m</w:t>
      </w:r>
      <w:r w:rsidR="007827D0">
        <w:rPr>
          <w:rFonts w:eastAsia="AdvGulliv-R"/>
          <w:color w:val="000000" w:themeColor="text1"/>
        </w:rPr>
        <w:t>m</w:t>
      </w:r>
      <w:r w:rsidRPr="006871D8">
        <w:rPr>
          <w:rFonts w:eastAsia="AdvGulliv-R"/>
          <w:color w:val="000000" w:themeColor="text1"/>
        </w:rPr>
        <w:t xml:space="preserve"> was used for purification</w:t>
      </w:r>
      <w:r w:rsidR="001E1964">
        <w:rPr>
          <w:rFonts w:eastAsia="AdvGulliv-R"/>
          <w:color w:val="000000" w:themeColor="text1"/>
        </w:rPr>
        <w:t xml:space="preserve"> of the extracts</w:t>
      </w:r>
      <w:r w:rsidRPr="006871D8">
        <w:rPr>
          <w:rFonts w:eastAsia="AdvGulliv-R"/>
          <w:color w:val="000000" w:themeColor="text1"/>
        </w:rPr>
        <w:t>.</w:t>
      </w:r>
      <w:bookmarkEnd w:id="77"/>
      <w:r w:rsidRPr="006871D8">
        <w:rPr>
          <w:rFonts w:eastAsia="AdvGulliv-R"/>
          <w:color w:val="000000" w:themeColor="text1"/>
        </w:rPr>
        <w:t xml:space="preserve"> </w:t>
      </w:r>
      <w:r w:rsidR="00E25D63">
        <w:rPr>
          <w:rFonts w:eastAsia="AdvGulliv-R"/>
          <w:color w:val="000000" w:themeColor="text1"/>
        </w:rPr>
        <w:t>The standard, s</w:t>
      </w:r>
      <w:r w:rsidRPr="006871D8">
        <w:rPr>
          <w:rFonts w:eastAsia="AdvGulliv-R"/>
          <w:color w:val="000000" w:themeColor="text1"/>
        </w:rPr>
        <w:t>odium phytate</w:t>
      </w:r>
      <w:r w:rsidR="00E25D63">
        <w:rPr>
          <w:rFonts w:eastAsia="AdvGulliv-R"/>
          <w:color w:val="000000" w:themeColor="text1"/>
        </w:rPr>
        <w:t xml:space="preserve"> </w:t>
      </w:r>
      <w:r w:rsidR="005D72C0">
        <w:rPr>
          <w:rFonts w:eastAsia="AdvGulliv-R"/>
          <w:color w:val="000000" w:themeColor="text1"/>
        </w:rPr>
        <w:t>(</w:t>
      </w:r>
      <w:r w:rsidR="009B6E02">
        <w:rPr>
          <w:rFonts w:eastAsia="AdvGulliv-R"/>
          <w:color w:val="000000" w:themeColor="text1"/>
        </w:rPr>
        <w:t xml:space="preserve">P-8810, </w:t>
      </w:r>
      <w:r w:rsidRPr="006871D8">
        <w:rPr>
          <w:rFonts w:eastAsia="AdvGulliv-R"/>
          <w:color w:val="000000" w:themeColor="text1"/>
        </w:rPr>
        <w:t xml:space="preserve">Sigma-Aldrich, </w:t>
      </w:r>
      <w:r w:rsidR="009D119B" w:rsidRPr="006871D8">
        <w:rPr>
          <w:rFonts w:eastAsia="AdvGulliv-R"/>
          <w:color w:val="000000" w:themeColor="text1"/>
        </w:rPr>
        <w:t xml:space="preserve">Johannesburg, </w:t>
      </w:r>
      <w:r w:rsidRPr="006871D8">
        <w:rPr>
          <w:rFonts w:eastAsia="AdvGulliv-R"/>
          <w:color w:val="000000" w:themeColor="text1"/>
        </w:rPr>
        <w:t xml:space="preserve">South Africa) and purified </w:t>
      </w:r>
      <w:r w:rsidR="00555E50">
        <w:rPr>
          <w:color w:val="000000" w:themeColor="text1"/>
        </w:rPr>
        <w:t>extracts</w:t>
      </w:r>
      <w:r w:rsidRPr="006871D8">
        <w:rPr>
          <w:color w:val="000000" w:themeColor="text1"/>
        </w:rPr>
        <w:t xml:space="preserve"> were reacted with Wade reagent</w:t>
      </w:r>
      <w:r w:rsidR="000622C8">
        <w:rPr>
          <w:color w:val="000000" w:themeColor="text1"/>
        </w:rPr>
        <w:t>,</w:t>
      </w:r>
      <w:r w:rsidRPr="006871D8">
        <w:rPr>
          <w:color w:val="000000" w:themeColor="text1"/>
        </w:rPr>
        <w:t xml:space="preserve"> after which absorbance was measured at 500 nm. </w:t>
      </w:r>
    </w:p>
    <w:p w14:paraId="5E24FAE4" w14:textId="4204056B" w:rsidR="00390039" w:rsidRPr="0062679E" w:rsidRDefault="00390039" w:rsidP="0062679E">
      <w:pPr>
        <w:spacing w:after="0"/>
        <w:rPr>
          <w:i/>
          <w:iCs/>
          <w:color w:val="000000" w:themeColor="text1"/>
        </w:rPr>
      </w:pPr>
      <w:r w:rsidRPr="0062679E">
        <w:rPr>
          <w:i/>
          <w:iCs/>
          <w:color w:val="000000" w:themeColor="text1"/>
        </w:rPr>
        <w:t>Condensed tannins</w:t>
      </w:r>
    </w:p>
    <w:p w14:paraId="4BB9DA43" w14:textId="509978EA" w:rsidR="00390039" w:rsidRPr="006871D8" w:rsidRDefault="00390039" w:rsidP="009163EF">
      <w:pPr>
        <w:rPr>
          <w:color w:val="000000" w:themeColor="text1"/>
        </w:rPr>
      </w:pPr>
      <w:r w:rsidRPr="006871D8">
        <w:rPr>
          <w:color w:val="000000" w:themeColor="text1"/>
        </w:rPr>
        <w:t>Condensed tannin</w:t>
      </w:r>
      <w:r w:rsidR="00A00C26">
        <w:rPr>
          <w:color w:val="000000" w:themeColor="text1"/>
        </w:rPr>
        <w:t>s were measured by the Vanillin-</w:t>
      </w:r>
      <w:r w:rsidRPr="006871D8">
        <w:rPr>
          <w:color w:val="000000" w:themeColor="text1"/>
        </w:rPr>
        <w:t xml:space="preserve">HCl method of </w:t>
      </w:r>
      <w:r w:rsidR="00F93201">
        <w:rPr>
          <w:color w:val="000000" w:themeColor="text1"/>
        </w:rPr>
        <w:t>Price</w:t>
      </w:r>
      <w:r w:rsidR="00E46022">
        <w:rPr>
          <w:color w:val="000000" w:themeColor="text1"/>
        </w:rPr>
        <w:t xml:space="preserve"> et al.</w:t>
      </w:r>
      <w:r w:rsidR="00A6439E">
        <w:rPr>
          <w:color w:val="000000" w:themeColor="text1"/>
        </w:rPr>
        <w:t>,</w:t>
      </w:r>
      <w:r w:rsidR="00F93201">
        <w:rPr>
          <w:color w:val="000000" w:themeColor="text1"/>
        </w:rPr>
        <w:t xml:space="preserve"> (1978)</w:t>
      </w:r>
      <w:r w:rsidR="009D119B" w:rsidRPr="006871D8">
        <w:rPr>
          <w:color w:val="000000" w:themeColor="text1"/>
        </w:rPr>
        <w:t>. B</w:t>
      </w:r>
      <w:r w:rsidRPr="006871D8">
        <w:rPr>
          <w:color w:val="000000" w:themeColor="text1"/>
        </w:rPr>
        <w:t xml:space="preserve">lanks were </w:t>
      </w:r>
      <w:r w:rsidR="009D119B" w:rsidRPr="006871D8">
        <w:rPr>
          <w:color w:val="000000" w:themeColor="text1"/>
        </w:rPr>
        <w:t xml:space="preserve">included to </w:t>
      </w:r>
      <w:r w:rsidRPr="006871D8">
        <w:rPr>
          <w:color w:val="000000" w:themeColor="text1"/>
        </w:rPr>
        <w:t>tak</w:t>
      </w:r>
      <w:r w:rsidR="009D119B" w:rsidRPr="006871D8">
        <w:rPr>
          <w:color w:val="000000" w:themeColor="text1"/>
        </w:rPr>
        <w:t>e</w:t>
      </w:r>
      <w:r w:rsidRPr="006871D8">
        <w:rPr>
          <w:color w:val="000000" w:themeColor="text1"/>
        </w:rPr>
        <w:t xml:space="preserve"> into </w:t>
      </w:r>
      <w:r w:rsidR="009D119B" w:rsidRPr="006871D8">
        <w:rPr>
          <w:color w:val="000000" w:themeColor="text1"/>
        </w:rPr>
        <w:t>account the colour of the extracts</w:t>
      </w:r>
      <w:r w:rsidRPr="006871D8">
        <w:rPr>
          <w:color w:val="000000" w:themeColor="text1"/>
        </w:rPr>
        <w:t>. Vanillin reacts with the condensed tannins form</w:t>
      </w:r>
      <w:r w:rsidR="001C3797">
        <w:rPr>
          <w:color w:val="000000" w:themeColor="text1"/>
        </w:rPr>
        <w:t>ing</w:t>
      </w:r>
      <w:r w:rsidR="009A3804">
        <w:rPr>
          <w:color w:val="000000" w:themeColor="text1"/>
        </w:rPr>
        <w:t xml:space="preserve"> </w:t>
      </w:r>
      <w:r w:rsidRPr="006871D8">
        <w:rPr>
          <w:color w:val="000000" w:themeColor="text1"/>
        </w:rPr>
        <w:t>coloured complexes</w:t>
      </w:r>
      <w:r w:rsidR="00E25D63">
        <w:rPr>
          <w:color w:val="000000" w:themeColor="text1"/>
        </w:rPr>
        <w:t>,</w:t>
      </w:r>
      <w:r w:rsidRPr="006871D8">
        <w:rPr>
          <w:color w:val="000000" w:themeColor="text1"/>
        </w:rPr>
        <w:t xml:space="preserve"> which </w:t>
      </w:r>
      <w:r w:rsidR="009D119B" w:rsidRPr="006871D8">
        <w:rPr>
          <w:color w:val="000000" w:themeColor="text1"/>
        </w:rPr>
        <w:t xml:space="preserve">were measured </w:t>
      </w:r>
      <w:r w:rsidRPr="006871D8">
        <w:rPr>
          <w:color w:val="000000" w:themeColor="text1"/>
        </w:rPr>
        <w:t>colorimetrically at 500 nm</w:t>
      </w:r>
      <w:r w:rsidR="0011502A">
        <w:rPr>
          <w:color w:val="000000" w:themeColor="text1"/>
        </w:rPr>
        <w:t>.</w:t>
      </w:r>
    </w:p>
    <w:p w14:paraId="33F72996" w14:textId="03FDDCDB" w:rsidR="00390039" w:rsidRPr="0062679E" w:rsidRDefault="00390039" w:rsidP="0062679E">
      <w:pPr>
        <w:spacing w:after="0"/>
        <w:rPr>
          <w:i/>
          <w:iCs/>
          <w:color w:val="000000" w:themeColor="text1"/>
        </w:rPr>
      </w:pPr>
      <w:r w:rsidRPr="0062679E">
        <w:rPr>
          <w:i/>
          <w:iCs/>
          <w:color w:val="000000" w:themeColor="text1"/>
        </w:rPr>
        <w:t>Organic acids</w:t>
      </w:r>
    </w:p>
    <w:p w14:paraId="2C0332E4" w14:textId="606CDEC6" w:rsidR="00FB6644" w:rsidRDefault="00390039" w:rsidP="009163EF">
      <w:pPr>
        <w:rPr>
          <w:rFonts w:eastAsia="AdvGulliv-I"/>
          <w:color w:val="000000"/>
        </w:rPr>
      </w:pPr>
      <w:r w:rsidRPr="006871D8">
        <w:t>The extraction and quantification of organic acids was done according to the method of</w:t>
      </w:r>
      <w:r w:rsidR="009A3804">
        <w:t xml:space="preserve"> </w:t>
      </w:r>
      <w:r w:rsidR="00A00C26">
        <w:rPr>
          <w:rFonts w:eastAsia="AdvGulliv-I"/>
        </w:rPr>
        <w:t>Tembo et al.</w:t>
      </w:r>
      <w:r w:rsidRPr="006871D8">
        <w:t xml:space="preserve"> (2017) with slight modification</w:t>
      </w:r>
      <w:r w:rsidRPr="006871D8">
        <w:rPr>
          <w:rFonts w:eastAsia="AdvGulliv-I"/>
        </w:rPr>
        <w:t xml:space="preserve">. </w:t>
      </w:r>
      <w:r w:rsidR="001C3797">
        <w:rPr>
          <w:rFonts w:eastAsia="AdvGulliv-I"/>
        </w:rPr>
        <w:t xml:space="preserve">Powdered sample (2 g) </w:t>
      </w:r>
      <w:r w:rsidRPr="006871D8">
        <w:rPr>
          <w:rFonts w:eastAsia="AdvGulliv-I"/>
        </w:rPr>
        <w:t>was extracted in 20 m</w:t>
      </w:r>
      <w:r w:rsidR="005B0896">
        <w:rPr>
          <w:rFonts w:eastAsia="AdvGulliv-I"/>
        </w:rPr>
        <w:t>l</w:t>
      </w:r>
      <w:r w:rsidRPr="006871D8">
        <w:rPr>
          <w:rFonts w:eastAsia="AdvGulliv-I"/>
        </w:rPr>
        <w:t xml:space="preserve"> metaphosphoric acid (0.3 g/</w:t>
      </w:r>
      <w:r w:rsidR="005B0896">
        <w:rPr>
          <w:rFonts w:eastAsia="AdvGulliv-I"/>
        </w:rPr>
        <w:t>litre</w:t>
      </w:r>
      <w:r w:rsidRPr="006871D8">
        <w:rPr>
          <w:rFonts w:eastAsia="AdvGulliv-I"/>
        </w:rPr>
        <w:t xml:space="preserve"> and centrifuged (3500 </w:t>
      </w:r>
      <w:r w:rsidRPr="000622C8">
        <w:rPr>
          <w:rFonts w:eastAsia="AdvGulliv-I"/>
        </w:rPr>
        <w:t>x</w:t>
      </w:r>
      <w:r w:rsidR="006B6C78" w:rsidRPr="0001019F">
        <w:rPr>
          <w:rFonts w:eastAsia="AdvGulliv-I"/>
        </w:rPr>
        <w:t xml:space="preserve"> g</w:t>
      </w:r>
      <w:r w:rsidRPr="006871D8">
        <w:rPr>
          <w:rFonts w:eastAsia="AdvGulliv-I"/>
        </w:rPr>
        <w:t>, at 4</w:t>
      </w:r>
      <w:r w:rsidRPr="006871D8">
        <w:rPr>
          <w:rFonts w:eastAsia="AdvGulliv-I"/>
          <w:vertAlign w:val="superscript"/>
        </w:rPr>
        <w:t>o</w:t>
      </w:r>
      <w:r w:rsidRPr="006871D8">
        <w:rPr>
          <w:rFonts w:eastAsia="AdvGulliv-I"/>
        </w:rPr>
        <w:t>C</w:t>
      </w:r>
      <w:r w:rsidR="009A3804">
        <w:rPr>
          <w:rFonts w:eastAsia="AdvGulliv-I"/>
        </w:rPr>
        <w:t xml:space="preserve"> for 10 min</w:t>
      </w:r>
      <w:r w:rsidRPr="006871D8">
        <w:rPr>
          <w:rFonts w:eastAsia="AdvGulliv-I"/>
        </w:rPr>
        <w:t xml:space="preserve">). The supernatants were filtered through </w:t>
      </w:r>
      <w:r w:rsidRPr="006871D8">
        <w:rPr>
          <w:rFonts w:eastAsia="AdvGulliv-I"/>
          <w:color w:val="000000"/>
        </w:rPr>
        <w:t xml:space="preserve">Millipore </w:t>
      </w:r>
      <w:r w:rsidRPr="006871D8">
        <w:rPr>
          <w:lang w:val="en-US"/>
        </w:rPr>
        <w:t xml:space="preserve">0.45 </w:t>
      </w:r>
      <w:r w:rsidR="00D04BF2" w:rsidRPr="006871D8">
        <w:rPr>
          <w:rFonts w:eastAsia="AdvGulliv-I"/>
          <w:color w:val="000000"/>
        </w:rPr>
        <w:t xml:space="preserve">µm PTFE filters </w:t>
      </w:r>
      <w:r w:rsidR="00E25D63">
        <w:rPr>
          <w:rFonts w:eastAsia="AdvGulliv-I"/>
          <w:color w:val="000000"/>
        </w:rPr>
        <w:t>(Merck</w:t>
      </w:r>
      <w:r w:rsidR="000402F4">
        <w:rPr>
          <w:rFonts w:eastAsia="AdvGulliv-I"/>
          <w:color w:val="000000"/>
        </w:rPr>
        <w:t>-Millipore</w:t>
      </w:r>
      <w:r w:rsidR="00E25D63">
        <w:rPr>
          <w:rFonts w:eastAsia="AdvGulliv-I"/>
          <w:color w:val="000000"/>
        </w:rPr>
        <w:t xml:space="preserve">, Johannesburg, South Africa) </w:t>
      </w:r>
      <w:r w:rsidR="00D04BF2" w:rsidRPr="006871D8">
        <w:rPr>
          <w:rFonts w:eastAsia="AdvGulliv-I"/>
          <w:color w:val="000000"/>
        </w:rPr>
        <w:t>to obtain</w:t>
      </w:r>
      <w:r w:rsidRPr="006871D8">
        <w:rPr>
          <w:rFonts w:eastAsia="AdvGulliv-I"/>
          <w:color w:val="000000"/>
        </w:rPr>
        <w:t xml:space="preserve"> a clear filtrate. Quantification of organic acids was conduc</w:t>
      </w:r>
      <w:r w:rsidR="00D04BF2" w:rsidRPr="006871D8">
        <w:rPr>
          <w:rFonts w:eastAsia="AdvGulliv-I"/>
          <w:color w:val="000000"/>
        </w:rPr>
        <w:t xml:space="preserve">ted </w:t>
      </w:r>
      <w:r w:rsidR="0073272F">
        <w:rPr>
          <w:rFonts w:eastAsia="AdvGulliv-I"/>
          <w:color w:val="000000"/>
        </w:rPr>
        <w:t>by</w:t>
      </w:r>
      <w:r w:rsidR="00E74D62">
        <w:rPr>
          <w:rFonts w:eastAsia="AdvGulliv-I"/>
          <w:color w:val="000000"/>
        </w:rPr>
        <w:t xml:space="preserve"> reversed</w:t>
      </w:r>
      <w:r w:rsidR="00D04BF2" w:rsidRPr="006871D8">
        <w:rPr>
          <w:rFonts w:eastAsia="AdvGulliv-I"/>
          <w:color w:val="000000"/>
        </w:rPr>
        <w:t xml:space="preserve">–HPLC </w:t>
      </w:r>
      <w:r w:rsidR="000622C8">
        <w:rPr>
          <w:rFonts w:eastAsia="AdvGulliv-I"/>
          <w:color w:val="000000"/>
        </w:rPr>
        <w:t>using</w:t>
      </w:r>
      <w:r w:rsidR="00AD101A">
        <w:rPr>
          <w:rFonts w:eastAsia="AdvGulliv-I"/>
          <w:color w:val="000000"/>
        </w:rPr>
        <w:t xml:space="preserve"> acidified (</w:t>
      </w:r>
      <w:r w:rsidR="0073272F">
        <w:rPr>
          <w:rFonts w:eastAsia="AdvGulliv-I"/>
          <w:color w:val="000000"/>
        </w:rPr>
        <w:t xml:space="preserve">pH </w:t>
      </w:r>
      <w:r w:rsidR="00AD101A">
        <w:rPr>
          <w:rFonts w:eastAsia="AdvGulliv-I"/>
          <w:color w:val="000000"/>
        </w:rPr>
        <w:t xml:space="preserve">2.6) </w:t>
      </w:r>
      <w:r w:rsidR="007B5F87">
        <w:rPr>
          <w:rFonts w:eastAsia="AdvGulliv-I"/>
          <w:color w:val="000000"/>
        </w:rPr>
        <w:t xml:space="preserve">0.01 </w:t>
      </w:r>
      <w:r w:rsidR="000402F4">
        <w:rPr>
          <w:rFonts w:eastAsia="AdvGulliv-I"/>
          <w:color w:val="000000"/>
        </w:rPr>
        <w:t>mol/</w:t>
      </w:r>
      <w:r w:rsidR="005B0896">
        <w:rPr>
          <w:rFonts w:eastAsia="AdvGulliv-I"/>
          <w:color w:val="000000"/>
        </w:rPr>
        <w:t>litre</w:t>
      </w:r>
      <w:r w:rsidR="00AD101A">
        <w:rPr>
          <w:rFonts w:eastAsia="AdvGulliv-I"/>
          <w:color w:val="000000"/>
        </w:rPr>
        <w:t xml:space="preserve"> KH</w:t>
      </w:r>
      <w:r w:rsidR="00172DC2" w:rsidRPr="00CA6EBF">
        <w:rPr>
          <w:rFonts w:eastAsia="AdvGulliv-I"/>
          <w:color w:val="000000"/>
          <w:vertAlign w:val="subscript"/>
        </w:rPr>
        <w:t>2</w:t>
      </w:r>
      <w:r w:rsidR="00AD101A">
        <w:rPr>
          <w:rFonts w:eastAsia="AdvGulliv-I"/>
          <w:color w:val="000000"/>
        </w:rPr>
        <w:t>PO</w:t>
      </w:r>
      <w:r w:rsidR="00172DC2" w:rsidRPr="00CA6EBF">
        <w:rPr>
          <w:rFonts w:eastAsia="AdvGulliv-I"/>
          <w:color w:val="000000"/>
          <w:vertAlign w:val="subscript"/>
        </w:rPr>
        <w:t>4</w:t>
      </w:r>
      <w:r w:rsidR="00C92EB9">
        <w:rPr>
          <w:rFonts w:eastAsia="AdvGulliv-I"/>
          <w:color w:val="000000"/>
          <w:vertAlign w:val="subscript"/>
        </w:rPr>
        <w:t xml:space="preserve"> </w:t>
      </w:r>
      <w:r w:rsidR="00AD101A">
        <w:rPr>
          <w:rFonts w:eastAsia="AdvGulliv-I"/>
          <w:color w:val="000000"/>
        </w:rPr>
        <w:t xml:space="preserve">as mobile phase, </w:t>
      </w:r>
      <w:r w:rsidR="00D04BF2" w:rsidRPr="006871D8">
        <w:rPr>
          <w:rFonts w:eastAsia="AdvGulliv-I"/>
          <w:color w:val="000000"/>
        </w:rPr>
        <w:t xml:space="preserve">a </w:t>
      </w:r>
      <w:r w:rsidRPr="006871D8">
        <w:rPr>
          <w:rFonts w:eastAsia="AdvGulliv-I"/>
          <w:color w:val="000000"/>
        </w:rPr>
        <w:t>Phenomenex-C18</w:t>
      </w:r>
      <w:r w:rsidR="00D04BF2" w:rsidRPr="006871D8">
        <w:rPr>
          <w:rFonts w:eastAsia="AdvGulliv-I"/>
          <w:color w:val="000000"/>
        </w:rPr>
        <w:t xml:space="preserve"> column</w:t>
      </w:r>
      <w:r w:rsidR="00C92EB9">
        <w:rPr>
          <w:rFonts w:eastAsia="AdvGulliv-I"/>
          <w:color w:val="000000"/>
        </w:rPr>
        <w:t xml:space="preserve"> </w:t>
      </w:r>
      <w:r w:rsidR="009F268D">
        <w:rPr>
          <w:rFonts w:eastAsia="AdvGulliv-I"/>
          <w:color w:val="000000"/>
        </w:rPr>
        <w:t>(</w:t>
      </w:r>
      <w:r w:rsidRPr="006871D8">
        <w:rPr>
          <w:rFonts w:eastAsia="AdvGulliv-R"/>
        </w:rPr>
        <w:t>250 x 4.6 mm</w:t>
      </w:r>
      <w:r w:rsidR="0001019F">
        <w:rPr>
          <w:rFonts w:eastAsia="AdvGulliv-R"/>
        </w:rPr>
        <w:t xml:space="preserve">, Torrance, </w:t>
      </w:r>
      <w:r w:rsidR="00D476A7">
        <w:rPr>
          <w:rFonts w:eastAsia="AdvGulliv-R"/>
        </w:rPr>
        <w:t>USA</w:t>
      </w:r>
      <w:r w:rsidR="00E174F6">
        <w:rPr>
          <w:rFonts w:eastAsia="AdvGulliv-R"/>
        </w:rPr>
        <w:t>)</w:t>
      </w:r>
      <w:r w:rsidRPr="006871D8">
        <w:rPr>
          <w:rFonts w:eastAsia="AdvGulliv-I"/>
          <w:color w:val="000000"/>
        </w:rPr>
        <w:t xml:space="preserve">, </w:t>
      </w:r>
      <w:r w:rsidR="00D04BF2" w:rsidRPr="006871D8">
        <w:rPr>
          <w:rFonts w:eastAsia="AdvGulliv-I"/>
          <w:color w:val="000000"/>
        </w:rPr>
        <w:t xml:space="preserve">and </w:t>
      </w:r>
      <w:r w:rsidR="00E174F6">
        <w:rPr>
          <w:rFonts w:eastAsia="AdvGulliv-I"/>
          <w:color w:val="000000"/>
        </w:rPr>
        <w:t xml:space="preserve">simultaneous </w:t>
      </w:r>
      <w:r w:rsidR="00D04BF2" w:rsidRPr="006871D8">
        <w:rPr>
          <w:rFonts w:eastAsia="AdvGulliv-I"/>
          <w:color w:val="000000"/>
        </w:rPr>
        <w:t xml:space="preserve">absorbance at </w:t>
      </w:r>
      <w:r w:rsidRPr="006871D8">
        <w:rPr>
          <w:rFonts w:eastAsia="AdvGulliv-I"/>
          <w:color w:val="000000"/>
        </w:rPr>
        <w:t xml:space="preserve">254 nm was used to detect ascorbic acid </w:t>
      </w:r>
      <w:r w:rsidR="00E174F6" w:rsidRPr="00E174F6">
        <w:rPr>
          <w:rFonts w:eastAsia="AdvGulliv-I"/>
          <w:color w:val="000000"/>
        </w:rPr>
        <w:t xml:space="preserve">and </w:t>
      </w:r>
      <w:r w:rsidR="00E174F6">
        <w:rPr>
          <w:rFonts w:eastAsia="AdvGulliv-I"/>
          <w:color w:val="000000"/>
        </w:rPr>
        <w:t xml:space="preserve">at </w:t>
      </w:r>
      <w:r w:rsidR="00E174F6" w:rsidRPr="00E174F6">
        <w:rPr>
          <w:rFonts w:eastAsia="AdvGulliv-I"/>
          <w:color w:val="000000"/>
        </w:rPr>
        <w:t xml:space="preserve">210 nm </w:t>
      </w:r>
      <w:r w:rsidR="00E174F6">
        <w:rPr>
          <w:rFonts w:eastAsia="AdvGulliv-I"/>
          <w:color w:val="000000"/>
        </w:rPr>
        <w:t>to detect c</w:t>
      </w:r>
      <w:r w:rsidR="00D04BF2" w:rsidRPr="006871D8">
        <w:rPr>
          <w:rFonts w:eastAsia="AdvGulliv-I"/>
          <w:color w:val="000000"/>
        </w:rPr>
        <w:t xml:space="preserve">itric, malic and tartaric </w:t>
      </w:r>
      <w:r w:rsidR="00E174F6">
        <w:rPr>
          <w:rFonts w:eastAsia="AdvGulliv-I"/>
          <w:color w:val="000000"/>
        </w:rPr>
        <w:t>acids</w:t>
      </w:r>
      <w:r w:rsidRPr="006871D8">
        <w:rPr>
          <w:rFonts w:eastAsia="AdvGulliv-I"/>
          <w:color w:val="000000"/>
        </w:rPr>
        <w:t>.</w:t>
      </w:r>
      <w:r w:rsidR="00003CBC">
        <w:rPr>
          <w:rFonts w:eastAsia="AdvGulliv-I"/>
          <w:color w:val="000000"/>
        </w:rPr>
        <w:t xml:space="preserve"> The identity and quantification of the individual organic acids was confirmed by spiking with standards of these organic acid standards.</w:t>
      </w:r>
    </w:p>
    <w:p w14:paraId="11C40EAD" w14:textId="330F7227" w:rsidR="00390039" w:rsidRPr="0062679E" w:rsidRDefault="00390039" w:rsidP="0062679E">
      <w:pPr>
        <w:spacing w:after="0"/>
        <w:rPr>
          <w:rFonts w:eastAsia="AdvGulliv-I"/>
          <w:i/>
          <w:iCs/>
          <w:color w:val="000000"/>
        </w:rPr>
      </w:pPr>
      <w:r w:rsidRPr="0062679E">
        <w:rPr>
          <w:i/>
          <w:iCs/>
        </w:rPr>
        <w:t>Mineral</w:t>
      </w:r>
      <w:r w:rsidR="00B5628C" w:rsidRPr="0062679E">
        <w:rPr>
          <w:i/>
          <w:iCs/>
        </w:rPr>
        <w:t>s</w:t>
      </w:r>
    </w:p>
    <w:p w14:paraId="5EA9A385" w14:textId="64461D20" w:rsidR="0062679E" w:rsidRPr="0009779A" w:rsidRDefault="00390039" w:rsidP="0009779A">
      <w:pPr>
        <w:rPr>
          <w:lang w:val="en-ZA"/>
        </w:rPr>
      </w:pPr>
      <w:bookmarkStart w:id="78" w:name="_Hlk535255286"/>
      <w:r w:rsidRPr="006871D8">
        <w:t>Acid dig</w:t>
      </w:r>
      <w:r w:rsidR="00D04BF2" w:rsidRPr="006871D8">
        <w:t xml:space="preserve">estion of </w:t>
      </w:r>
      <w:r w:rsidR="00C152B5">
        <w:t>all the plant food</w:t>
      </w:r>
      <w:r w:rsidR="00D476A7">
        <w:t>s</w:t>
      </w:r>
      <w:r w:rsidR="00D04BF2" w:rsidRPr="006871D8">
        <w:t xml:space="preserve"> was performed </w:t>
      </w:r>
      <w:r w:rsidR="00C152B5">
        <w:t>using conc. nitric acid plus hydrogen peroxide according to</w:t>
      </w:r>
      <w:r w:rsidRPr="006871D8">
        <w:t xml:space="preserve"> EPA</w:t>
      </w:r>
      <w:r w:rsidR="00D04BF2" w:rsidRPr="006871D8">
        <w:t xml:space="preserve"> method</w:t>
      </w:r>
      <w:r w:rsidRPr="006871D8">
        <w:t xml:space="preserve"> 3051A (</w:t>
      </w:r>
      <w:r w:rsidR="00D04BF2" w:rsidRPr="006871D8">
        <w:t xml:space="preserve">U.S. EPA, </w:t>
      </w:r>
      <w:r w:rsidRPr="006871D8">
        <w:t>2007)</w:t>
      </w:r>
      <w:bookmarkEnd w:id="78"/>
      <w:r w:rsidRPr="006871D8">
        <w:t>. Iron, zinc, calcium, magnesium</w:t>
      </w:r>
      <w:r w:rsidR="007626C3" w:rsidRPr="006871D8">
        <w:t>,</w:t>
      </w:r>
      <w:r w:rsidRPr="006871D8">
        <w:t xml:space="preserve"> phosphorus and aluminium contents of the digested flour samples were analysed by EPA </w:t>
      </w:r>
      <w:r w:rsidR="00D04BF2" w:rsidRPr="006871D8">
        <w:t xml:space="preserve">method </w:t>
      </w:r>
      <w:r w:rsidR="0001019F">
        <w:t>200.7</w:t>
      </w:r>
      <w:r w:rsidRPr="006871D8">
        <w:t xml:space="preserve"> </w:t>
      </w:r>
      <w:r w:rsidR="00317AB3">
        <w:t>(</w:t>
      </w:r>
      <w:r w:rsidR="00317AB3" w:rsidRPr="00317AB3">
        <w:t>U.S. EPA, 1994</w:t>
      </w:r>
      <w:r w:rsidR="00317AB3">
        <w:t xml:space="preserve">) </w:t>
      </w:r>
      <w:r w:rsidRPr="006871D8">
        <w:t>using</w:t>
      </w:r>
      <w:r w:rsidR="00233E0D" w:rsidRPr="006871D8">
        <w:t xml:space="preserve"> </w:t>
      </w:r>
      <w:r w:rsidR="00E74D62">
        <w:t>i</w:t>
      </w:r>
      <w:r w:rsidR="00233E0D" w:rsidRPr="006871D8">
        <w:t xml:space="preserve">nductively </w:t>
      </w:r>
      <w:r w:rsidR="00E74D62">
        <w:t>c</w:t>
      </w:r>
      <w:r w:rsidR="00233E0D" w:rsidRPr="006871D8">
        <w:t xml:space="preserve">oupled </w:t>
      </w:r>
      <w:r w:rsidR="00E74D62">
        <w:t>p</w:t>
      </w:r>
      <w:r w:rsidR="00233E0D" w:rsidRPr="006871D8">
        <w:t>lasma-</w:t>
      </w:r>
      <w:r w:rsidR="00E74D62">
        <w:t>a</w:t>
      </w:r>
      <w:r w:rsidR="00233E0D" w:rsidRPr="006871D8">
        <w:t>tomic</w:t>
      </w:r>
      <w:r w:rsidR="00D04BF2" w:rsidRPr="006871D8">
        <w:t xml:space="preserve"> </w:t>
      </w:r>
      <w:r w:rsidR="00E74D62">
        <w:t>e</w:t>
      </w:r>
      <w:r w:rsidR="00D04BF2" w:rsidRPr="006871D8">
        <w:t xml:space="preserve">mission </w:t>
      </w:r>
      <w:r w:rsidR="00E74D62">
        <w:t>s</w:t>
      </w:r>
      <w:r w:rsidR="00D04BF2" w:rsidRPr="006871D8">
        <w:t>pectrometry</w:t>
      </w:r>
      <w:r w:rsidR="00B12386">
        <w:t xml:space="preserve"> (ICP-AES)</w:t>
      </w:r>
      <w:r w:rsidR="00D04BF2" w:rsidRPr="006871D8">
        <w:t xml:space="preserve"> </w:t>
      </w:r>
      <w:r w:rsidR="005D2B8D" w:rsidRPr="00047A12">
        <w:t>(</w:t>
      </w:r>
      <w:r w:rsidR="005D2B8D" w:rsidRPr="00047A12">
        <w:rPr>
          <w:shd w:val="clear" w:color="auto" w:fill="FFFFFF"/>
        </w:rPr>
        <w:t>iCAP 6000 series, Thermo Scientific,</w:t>
      </w:r>
      <w:r w:rsidR="005D2B8D">
        <w:rPr>
          <w:shd w:val="clear" w:color="auto" w:fill="FFFFFF"/>
        </w:rPr>
        <w:t xml:space="preserve"> Bremen, Germany</w:t>
      </w:r>
      <w:r w:rsidR="005D2B8D" w:rsidRPr="00047A12">
        <w:rPr>
          <w:shd w:val="clear" w:color="auto" w:fill="FFFFFF"/>
        </w:rPr>
        <w:t>)</w:t>
      </w:r>
      <w:r w:rsidRPr="006871D8">
        <w:t xml:space="preserve">. Elements were analysed using wavelengths 239.5 nm </w:t>
      </w:r>
      <w:r w:rsidR="00E174F6">
        <w:t>for</w:t>
      </w:r>
      <w:r w:rsidRPr="006871D8">
        <w:t xml:space="preserve"> Fe, 206.7 nm </w:t>
      </w:r>
      <w:r w:rsidR="00E174F6">
        <w:t>for</w:t>
      </w:r>
      <w:r w:rsidRPr="006871D8">
        <w:t xml:space="preserve"> Zn, 315.8 </w:t>
      </w:r>
      <w:r w:rsidR="003C125E">
        <w:t>fo</w:t>
      </w:r>
      <w:r w:rsidR="00E174F6">
        <w:t>r</w:t>
      </w:r>
      <w:r w:rsidRPr="006871D8">
        <w:t xml:space="preserve"> Ca, 285.2 nm </w:t>
      </w:r>
      <w:r w:rsidR="00E174F6">
        <w:t>for</w:t>
      </w:r>
      <w:r w:rsidRPr="006871D8">
        <w:t xml:space="preserve"> Mg</w:t>
      </w:r>
      <w:r w:rsidR="007165C5" w:rsidRPr="006871D8">
        <w:t xml:space="preserve">, 214.9 nm </w:t>
      </w:r>
      <w:r w:rsidR="00E174F6">
        <w:t>for</w:t>
      </w:r>
      <w:r w:rsidR="007165C5" w:rsidRPr="006871D8">
        <w:t xml:space="preserve"> P</w:t>
      </w:r>
      <w:r w:rsidR="00E174F6">
        <w:t xml:space="preserve"> and</w:t>
      </w:r>
      <w:r w:rsidR="007165C5" w:rsidRPr="006871D8">
        <w:t xml:space="preserve"> 308.2 nm </w:t>
      </w:r>
      <w:r w:rsidR="00E174F6">
        <w:t xml:space="preserve">for </w:t>
      </w:r>
      <w:r w:rsidR="007165C5" w:rsidRPr="006871D8">
        <w:t>Al</w:t>
      </w:r>
      <w:r w:rsidRPr="006871D8">
        <w:t>.</w:t>
      </w:r>
      <w:r w:rsidR="00005D50">
        <w:t xml:space="preserve"> </w:t>
      </w:r>
      <w:bookmarkStart w:id="79" w:name="_Hlk535255732"/>
      <w:r w:rsidR="00B23973">
        <w:t>To ensure</w:t>
      </w:r>
      <w:r w:rsidR="00005D50">
        <w:t xml:space="preserve"> accuracy, </w:t>
      </w:r>
      <w:r w:rsidR="00005D50" w:rsidRPr="00704824">
        <w:rPr>
          <w:lang w:val="en-ZA"/>
        </w:rPr>
        <w:t xml:space="preserve">samples were analysed against National Institute for Standards and Technology traceable standards and independent quality control solutions. </w:t>
      </w:r>
      <w:r w:rsidR="00B23973">
        <w:rPr>
          <w:lang w:val="en-ZA"/>
        </w:rPr>
        <w:t>A c</w:t>
      </w:r>
      <w:r w:rsidR="00005D50" w:rsidRPr="00704824">
        <w:rPr>
          <w:lang w:val="en-ZA"/>
        </w:rPr>
        <w:t>alibration acceptance criteria of R</w:t>
      </w:r>
      <w:r w:rsidR="00005D50" w:rsidRPr="00704824">
        <w:rPr>
          <w:vertAlign w:val="superscript"/>
          <w:lang w:val="en-ZA"/>
        </w:rPr>
        <w:t>2</w:t>
      </w:r>
      <w:r w:rsidR="00005D50" w:rsidRPr="00704824">
        <w:rPr>
          <w:lang w:val="en-ZA"/>
        </w:rPr>
        <w:t>&gt; 0.9995 was used</w:t>
      </w:r>
      <w:bookmarkEnd w:id="79"/>
      <w:r w:rsidR="00D75A5B">
        <w:rPr>
          <w:lang w:val="en-ZA"/>
        </w:rPr>
        <w:t xml:space="preserve"> </w:t>
      </w:r>
      <w:r w:rsidR="00D75A5B" w:rsidRPr="00D75A5B">
        <w:rPr>
          <w:lang w:val="en-ZA"/>
        </w:rPr>
        <w:t>and an internal standard technique was also used to ascertain the accuracy of the resu</w:t>
      </w:r>
      <w:r w:rsidR="00D75A5B">
        <w:rPr>
          <w:lang w:val="en-ZA"/>
        </w:rPr>
        <w:t>lts</w:t>
      </w:r>
      <w:r w:rsidR="002B72BA">
        <w:rPr>
          <w:lang w:val="en-ZA"/>
        </w:rPr>
        <w:t>.</w:t>
      </w:r>
    </w:p>
    <w:p w14:paraId="5873D0D2" w14:textId="3250BE84" w:rsidR="00390039" w:rsidRPr="0062679E" w:rsidRDefault="00D5016D" w:rsidP="0062679E">
      <w:pPr>
        <w:spacing w:after="0"/>
        <w:rPr>
          <w:i/>
          <w:iCs/>
          <w:color w:val="000000" w:themeColor="text1"/>
        </w:rPr>
      </w:pPr>
      <w:r w:rsidRPr="0062679E">
        <w:rPr>
          <w:i/>
          <w:iCs/>
        </w:rPr>
        <w:t>In vitro</w:t>
      </w:r>
      <w:r w:rsidR="00390039" w:rsidRPr="0062679E">
        <w:rPr>
          <w:i/>
          <w:iCs/>
        </w:rPr>
        <w:t xml:space="preserve"> dialysability mineral bioaccessibility</w:t>
      </w:r>
    </w:p>
    <w:p w14:paraId="6E1EF65B" w14:textId="1BA67A68" w:rsidR="00390039" w:rsidRDefault="00390039" w:rsidP="009163EF">
      <w:r w:rsidRPr="006871D8">
        <w:t xml:space="preserve">The porridge formulations were subject to </w:t>
      </w:r>
      <w:r w:rsidR="00D5016D">
        <w:rPr>
          <w:i/>
          <w:iCs/>
        </w:rPr>
        <w:t>i</w:t>
      </w:r>
      <w:r w:rsidR="00D5016D" w:rsidRPr="00D5016D">
        <w:rPr>
          <w:i/>
          <w:iCs/>
        </w:rPr>
        <w:t>n vitro</w:t>
      </w:r>
      <w:r w:rsidRPr="006871D8">
        <w:t xml:space="preserve"> digestion to simulate human gastric and intestinal digestion.</w:t>
      </w:r>
      <w:r w:rsidR="00233E0D" w:rsidRPr="006871D8">
        <w:t xml:space="preserve"> The</w:t>
      </w:r>
      <w:r w:rsidR="00FF0F42">
        <w:t xml:space="preserve"> </w:t>
      </w:r>
      <w:r w:rsidR="00D5016D">
        <w:rPr>
          <w:i/>
          <w:iCs/>
        </w:rPr>
        <w:t>i</w:t>
      </w:r>
      <w:r w:rsidR="00D5016D" w:rsidRPr="00D5016D">
        <w:rPr>
          <w:i/>
          <w:iCs/>
        </w:rPr>
        <w:t>n vitro</w:t>
      </w:r>
      <w:r w:rsidR="00FF0F42">
        <w:t xml:space="preserve"> </w:t>
      </w:r>
      <w:r w:rsidRPr="006871D8">
        <w:t xml:space="preserve">dialysability method of </w:t>
      </w:r>
      <w:r w:rsidRPr="006871D8">
        <w:rPr>
          <w:noProof/>
        </w:rPr>
        <w:t>Miller</w:t>
      </w:r>
      <w:r w:rsidR="00E46022">
        <w:rPr>
          <w:noProof/>
        </w:rPr>
        <w:t xml:space="preserve"> et al.</w:t>
      </w:r>
      <w:r w:rsidRPr="006871D8">
        <w:rPr>
          <w:noProof/>
        </w:rPr>
        <w:t>,</w:t>
      </w:r>
      <w:r w:rsidR="00FF0F42">
        <w:rPr>
          <w:noProof/>
        </w:rPr>
        <w:t xml:space="preserve"> </w:t>
      </w:r>
      <w:r w:rsidRPr="006871D8">
        <w:rPr>
          <w:noProof/>
        </w:rPr>
        <w:t>(19</w:t>
      </w:r>
      <w:r w:rsidR="00E46022">
        <w:rPr>
          <w:noProof/>
        </w:rPr>
        <w:t>8</w:t>
      </w:r>
      <w:r w:rsidRPr="006871D8">
        <w:rPr>
          <w:noProof/>
        </w:rPr>
        <w:t xml:space="preserve">1) was used. </w:t>
      </w:r>
      <w:r w:rsidRPr="006871D8">
        <w:t>Digestive enz</w:t>
      </w:r>
      <w:r w:rsidR="0001019F">
        <w:t>ymes and bile salts used were</w:t>
      </w:r>
      <w:r w:rsidRPr="006871D8">
        <w:t xml:space="preserve"> pepsin (P-7000), pancreatin (P-1750), and bile </w:t>
      </w:r>
      <w:r w:rsidR="00233E0D" w:rsidRPr="006871D8">
        <w:t>extract (B-8631) (Sigma-Aldrich</w:t>
      </w:r>
      <w:r w:rsidR="00843A25">
        <w:t>, Johannesburg, South Africa</w:t>
      </w:r>
      <w:r w:rsidRPr="006871D8">
        <w:t>)</w:t>
      </w:r>
      <w:r w:rsidR="0001019F">
        <w:t>. D</w:t>
      </w:r>
      <w:r w:rsidRPr="006871D8">
        <w:t xml:space="preserve">ialysis tubing Spectra/Por 7 (Ø = 20.4 mm) with a molecular weight cut-off of 10 kDa was used (G.I.C. Scientific, Johannesburg, South Africa). Mineral </w:t>
      </w:r>
      <w:r w:rsidRPr="006871D8">
        <w:rPr>
          <w:rFonts w:eastAsia="AdvGulliv-R"/>
          <w:lang w:val="en-US"/>
        </w:rPr>
        <w:t>contents of the dia</w:t>
      </w:r>
      <w:r w:rsidR="00233E0D" w:rsidRPr="006871D8">
        <w:rPr>
          <w:rFonts w:eastAsia="AdvGulliv-R"/>
          <w:lang w:val="en-US"/>
        </w:rPr>
        <w:t>lysates were determined by ICP-A</w:t>
      </w:r>
      <w:r w:rsidRPr="006871D8">
        <w:rPr>
          <w:rFonts w:eastAsia="AdvGulliv-R"/>
          <w:lang w:val="en-US"/>
        </w:rPr>
        <w:t>ES as described above</w:t>
      </w:r>
      <w:r w:rsidR="00FD6DD0">
        <w:rPr>
          <w:rFonts w:eastAsia="AdvGulliv-R"/>
          <w:lang w:val="en-US"/>
        </w:rPr>
        <w:t xml:space="preserve">, but </w:t>
      </w:r>
      <w:r w:rsidR="00317AB3">
        <w:rPr>
          <w:rFonts w:eastAsia="AdvGulliv-R"/>
          <w:lang w:val="en-US"/>
        </w:rPr>
        <w:t xml:space="preserve">without the </w:t>
      </w:r>
      <w:r w:rsidR="00FD6DD0">
        <w:rPr>
          <w:rFonts w:eastAsia="AdvGulliv-R"/>
          <w:lang w:val="en-US"/>
        </w:rPr>
        <w:t>digestion</w:t>
      </w:r>
      <w:r w:rsidR="00317AB3">
        <w:rPr>
          <w:rFonts w:eastAsia="AdvGulliv-R"/>
          <w:lang w:val="en-US"/>
        </w:rPr>
        <w:t xml:space="preserve"> step</w:t>
      </w:r>
      <w:r w:rsidRPr="006871D8">
        <w:rPr>
          <w:rFonts w:eastAsia="AdvGulliv-R"/>
          <w:lang w:val="en-US"/>
        </w:rPr>
        <w:t>.</w:t>
      </w:r>
      <w:r w:rsidR="00FF0F42">
        <w:rPr>
          <w:rFonts w:eastAsia="AdvGulliv-R"/>
          <w:lang w:val="en-US"/>
        </w:rPr>
        <w:t xml:space="preserve"> </w:t>
      </w:r>
      <w:r w:rsidRPr="006871D8">
        <w:t xml:space="preserve">Mineral bioaccessibility (%) was calculated as the percentage of the mineral in the dialysate as compared to the total mineral content in the digest. </w:t>
      </w:r>
    </w:p>
    <w:p w14:paraId="34DDFABE" w14:textId="489815DC" w:rsidR="002079C9" w:rsidRPr="0062679E" w:rsidRDefault="00172DC2" w:rsidP="0062679E">
      <w:pPr>
        <w:spacing w:after="0"/>
        <w:rPr>
          <w:i/>
          <w:iCs/>
        </w:rPr>
      </w:pPr>
      <w:r w:rsidRPr="0062679E">
        <w:rPr>
          <w:i/>
          <w:iCs/>
        </w:rPr>
        <w:t>Assessment of nutrient content in relation to nutrient requirements</w:t>
      </w:r>
    </w:p>
    <w:p w14:paraId="42E92443" w14:textId="76091796" w:rsidR="00D25F7A" w:rsidRPr="00D25F7A" w:rsidRDefault="00D25F7A" w:rsidP="009163EF">
      <w:r>
        <w:t>The contribution</w:t>
      </w:r>
      <w:r w:rsidR="002B72BA">
        <w:t>s</w:t>
      </w:r>
      <w:r>
        <w:t xml:space="preserve"> of iron, zinc, calcium and magnesium from an average portion of porridge to the recommended nutrient intakes (RNI) for women of reproductive age </w:t>
      </w:r>
      <w:r w:rsidR="002B72BA">
        <w:t>were</w:t>
      </w:r>
      <w:r>
        <w:t xml:space="preserve"> calculated and expressed as a percentage of the RNI.</w:t>
      </w:r>
    </w:p>
    <w:p w14:paraId="052104FF" w14:textId="240C3F91" w:rsidR="00390039" w:rsidRPr="0062679E" w:rsidRDefault="00390039" w:rsidP="0062679E">
      <w:pPr>
        <w:spacing w:after="0"/>
        <w:rPr>
          <w:i/>
          <w:iCs/>
        </w:rPr>
      </w:pPr>
      <w:r w:rsidRPr="0062679E">
        <w:rPr>
          <w:i/>
          <w:iCs/>
        </w:rPr>
        <w:t>Statistical analyses</w:t>
      </w:r>
    </w:p>
    <w:p w14:paraId="5EC95844" w14:textId="1E2F0468" w:rsidR="00FD5B91" w:rsidRDefault="00CD0EED" w:rsidP="009163EF">
      <w:pPr>
        <w:rPr>
          <w:lang w:val="en-US"/>
        </w:rPr>
      </w:pPr>
      <w:bookmarkStart w:id="80" w:name="_Hlk788731"/>
      <w:r>
        <w:rPr>
          <w:color w:val="000000" w:themeColor="text1"/>
        </w:rPr>
        <w:t>The c</w:t>
      </w:r>
      <w:r w:rsidR="00E74D62">
        <w:rPr>
          <w:color w:val="000000" w:themeColor="text1"/>
        </w:rPr>
        <w:t xml:space="preserve">ompositional analyses </w:t>
      </w:r>
      <w:r w:rsidR="00736C21">
        <w:rPr>
          <w:color w:val="000000" w:themeColor="text1"/>
        </w:rPr>
        <w:t xml:space="preserve">on the plant foods </w:t>
      </w:r>
      <w:r w:rsidR="00E74D62">
        <w:rPr>
          <w:color w:val="000000" w:themeColor="text1"/>
        </w:rPr>
        <w:t>were conducted</w:t>
      </w:r>
      <w:r w:rsidR="00F36F32">
        <w:rPr>
          <w:color w:val="000000" w:themeColor="text1"/>
        </w:rPr>
        <w:t xml:space="preserve"> </w:t>
      </w:r>
      <w:r w:rsidR="00E74D62" w:rsidRPr="00317AB3">
        <w:rPr>
          <w:color w:val="000000" w:themeColor="text1"/>
        </w:rPr>
        <w:t>in duplicate</w:t>
      </w:r>
      <w:r w:rsidR="00736C21">
        <w:rPr>
          <w:color w:val="000000" w:themeColor="text1"/>
        </w:rPr>
        <w:t xml:space="preserve"> and analysed twice</w:t>
      </w:r>
      <w:bookmarkEnd w:id="80"/>
      <w:r w:rsidR="00E74D62">
        <w:rPr>
          <w:color w:val="000000" w:themeColor="text1"/>
        </w:rPr>
        <w:t xml:space="preserve">.  </w:t>
      </w:r>
      <w:r>
        <w:rPr>
          <w:color w:val="000000" w:themeColor="text1"/>
        </w:rPr>
        <w:t>Independent bioaccessibility experiments were performed two times</w:t>
      </w:r>
      <w:r w:rsidR="00912882">
        <w:rPr>
          <w:color w:val="000000" w:themeColor="text1"/>
        </w:rPr>
        <w:t xml:space="preserve"> </w:t>
      </w:r>
      <w:r w:rsidR="00912882" w:rsidRPr="00912882">
        <w:t xml:space="preserve">with the intestinal step being each time performed </w:t>
      </w:r>
      <w:r w:rsidR="00912882">
        <w:t>three times</w:t>
      </w:r>
      <w:r>
        <w:rPr>
          <w:color w:val="000000" w:themeColor="text1"/>
        </w:rPr>
        <w:t xml:space="preserve">. </w:t>
      </w:r>
      <w:r w:rsidR="00390039" w:rsidRPr="006871D8">
        <w:rPr>
          <w:color w:val="000000" w:themeColor="text1"/>
        </w:rPr>
        <w:t xml:space="preserve">Data were analysed by one-way analysis of variance (ANOVA) using </w:t>
      </w:r>
      <w:r w:rsidR="00390039" w:rsidRPr="006871D8">
        <w:rPr>
          <w:lang w:val="en-US"/>
        </w:rPr>
        <w:t xml:space="preserve">IBM SPSS Statistics 25.0, Armonk, </w:t>
      </w:r>
      <w:r w:rsidR="002B72BA">
        <w:rPr>
          <w:lang w:val="en-US"/>
        </w:rPr>
        <w:t>USA</w:t>
      </w:r>
      <w:r w:rsidR="00390039" w:rsidRPr="006871D8">
        <w:rPr>
          <w:lang w:val="en-US"/>
        </w:rPr>
        <w:t>. Turkey</w:t>
      </w:r>
      <w:r w:rsidR="00233E0D" w:rsidRPr="006871D8">
        <w:rPr>
          <w:lang w:val="en-US"/>
        </w:rPr>
        <w:t>’s</w:t>
      </w:r>
      <w:r w:rsidR="00390039" w:rsidRPr="006871D8">
        <w:rPr>
          <w:lang w:val="en-US"/>
        </w:rPr>
        <w:t xml:space="preserve"> HSD Post-hoc test was applied to determine significant differences between specific means </w:t>
      </w:r>
      <w:r w:rsidR="00C47D65" w:rsidRPr="006871D8">
        <w:rPr>
          <w:lang w:val="en-US"/>
        </w:rPr>
        <w:t>at a confidence level of 95% (</w:t>
      </w:r>
      <w:r w:rsidR="00C47D65" w:rsidRPr="00801015">
        <w:rPr>
          <w:i/>
          <w:iCs/>
          <w:lang w:val="en-US"/>
        </w:rPr>
        <w:t>p</w:t>
      </w:r>
      <w:r w:rsidR="00135DC0">
        <w:rPr>
          <w:lang w:val="en-US"/>
        </w:rPr>
        <w:t>&lt;</w:t>
      </w:r>
      <w:r w:rsidR="00390039" w:rsidRPr="006871D8">
        <w:rPr>
          <w:lang w:val="en-US"/>
        </w:rPr>
        <w:t xml:space="preserve">0.05). </w:t>
      </w:r>
      <w:r w:rsidR="00233E0D" w:rsidRPr="006871D8">
        <w:rPr>
          <w:lang w:val="en-US"/>
        </w:rPr>
        <w:t xml:space="preserve">Fisher’s LSD Post-hoc test was also applied for pair-wise comparison between the control formulation and the treatments. </w:t>
      </w:r>
    </w:p>
    <w:p w14:paraId="1FDA5534" w14:textId="77777777" w:rsidR="00F3680E" w:rsidRDefault="00F3680E" w:rsidP="002E6426">
      <w:pPr>
        <w:pStyle w:val="ListParagraph"/>
        <w:spacing w:after="0"/>
        <w:ind w:left="0"/>
        <w:rPr>
          <w:rFonts w:cs="Times New Roman"/>
          <w:b/>
        </w:rPr>
      </w:pPr>
    </w:p>
    <w:p w14:paraId="1D7EEEBB" w14:textId="26DD16EB" w:rsidR="00FB6644" w:rsidRDefault="00F3680E" w:rsidP="009163EF">
      <w:pPr>
        <w:pStyle w:val="Heading3"/>
        <w:rPr>
          <w:rFonts w:cs="Times New Roman"/>
          <w:b w:val="0"/>
        </w:rPr>
      </w:pPr>
      <w:bookmarkStart w:id="81" w:name="_Toc65253585"/>
      <w:r>
        <w:t>4.1.4</w:t>
      </w:r>
      <w:r w:rsidR="009163EF">
        <w:tab/>
      </w:r>
      <w:r w:rsidR="005A382D" w:rsidRPr="006871D8">
        <w:t>R</w:t>
      </w:r>
      <w:r w:rsidR="009163EF" w:rsidRPr="006871D8">
        <w:t>esults and discussion</w:t>
      </w:r>
      <w:bookmarkEnd w:id="81"/>
    </w:p>
    <w:p w14:paraId="5678E34C" w14:textId="77EFDBF5" w:rsidR="003220CA" w:rsidRDefault="003220CA" w:rsidP="009163EF">
      <w:r>
        <w:t xml:space="preserve">Except where stated otherwise, all composition data from this </w:t>
      </w:r>
      <w:r w:rsidR="00E35196">
        <w:t xml:space="preserve">study </w:t>
      </w:r>
      <w:r>
        <w:t>are given on a dry basis.</w:t>
      </w:r>
    </w:p>
    <w:p w14:paraId="47D62E27" w14:textId="77777777" w:rsidR="00FB6644" w:rsidRPr="006871D8" w:rsidRDefault="00FB6644" w:rsidP="002D64BF">
      <w:pPr>
        <w:pStyle w:val="ListParagraph"/>
        <w:spacing w:after="0"/>
        <w:ind w:left="0"/>
        <w:rPr>
          <w:rFonts w:cs="Times New Roman"/>
        </w:rPr>
      </w:pPr>
    </w:p>
    <w:p w14:paraId="1B99972D" w14:textId="63AFA625" w:rsidR="00390039" w:rsidRPr="005A382D" w:rsidRDefault="00F3680E" w:rsidP="009163EF">
      <w:pPr>
        <w:pStyle w:val="Heading4"/>
      </w:pPr>
      <w:bookmarkStart w:id="82" w:name="_Toc65253586"/>
      <w:r>
        <w:t>4.1.4.</w:t>
      </w:r>
      <w:r w:rsidR="00390039" w:rsidRPr="005A382D">
        <w:t>1</w:t>
      </w:r>
      <w:r w:rsidR="009163EF">
        <w:tab/>
      </w:r>
      <w:r w:rsidR="00390039" w:rsidRPr="005A382D">
        <w:t>Mineral contents</w:t>
      </w:r>
      <w:bookmarkEnd w:id="82"/>
    </w:p>
    <w:p w14:paraId="22ACC3F8" w14:textId="190B76A0" w:rsidR="00EF4B24" w:rsidRDefault="00390039" w:rsidP="009163EF">
      <w:r w:rsidRPr="009163EF">
        <w:t xml:space="preserve">Table </w:t>
      </w:r>
      <w:r w:rsidR="00B4098E">
        <w:t>4.1.</w:t>
      </w:r>
      <w:r w:rsidRPr="009163EF">
        <w:t xml:space="preserve">1 shows that moringa leaf powder </w:t>
      </w:r>
      <w:r w:rsidR="001C5378" w:rsidRPr="009163EF">
        <w:t>contained</w:t>
      </w:r>
      <w:r w:rsidR="00FF0F42" w:rsidRPr="009163EF">
        <w:t xml:space="preserve"> </w:t>
      </w:r>
      <w:r w:rsidR="0099576F" w:rsidRPr="009163EF">
        <w:t xml:space="preserve">more than twice the </w:t>
      </w:r>
      <w:r w:rsidRPr="009163EF">
        <w:t xml:space="preserve">iron </w:t>
      </w:r>
      <w:r w:rsidR="001C5378" w:rsidRPr="009163EF">
        <w:t xml:space="preserve">(19.1 mg/100 g) compared to </w:t>
      </w:r>
      <w:r w:rsidRPr="009163EF">
        <w:t xml:space="preserve">the pearl millet porridge </w:t>
      </w:r>
      <w:r w:rsidR="001C5378" w:rsidRPr="009163EF">
        <w:t>(</w:t>
      </w:r>
      <w:r w:rsidRPr="009163EF">
        <w:t>9.0 mg/100 g</w:t>
      </w:r>
      <w:r w:rsidR="001C5378" w:rsidRPr="009163EF">
        <w:t>)</w:t>
      </w:r>
      <w:r w:rsidR="00FF0F42" w:rsidRPr="009163EF">
        <w:t xml:space="preserve">.  </w:t>
      </w:r>
      <w:r w:rsidR="002B72BA" w:rsidRPr="009163EF">
        <w:t xml:space="preserve">As a result, the iron content of the </w:t>
      </w:r>
      <w:r w:rsidR="005A382D" w:rsidRPr="009163EF">
        <w:t>food-to-food fortified</w:t>
      </w:r>
      <w:r w:rsidR="002B72BA" w:rsidRPr="009163EF">
        <w:t xml:space="preserve"> porridge containing moringa was increased by 19%. </w:t>
      </w:r>
      <w:r w:rsidR="00FF0F42" w:rsidRPr="009163EF">
        <w:t xml:space="preserve">The </w:t>
      </w:r>
      <w:r w:rsidR="002B72BA" w:rsidRPr="009163EF">
        <w:t xml:space="preserve">iron </w:t>
      </w:r>
      <w:r w:rsidR="00FF0F42" w:rsidRPr="009163EF">
        <w:t xml:space="preserve">level in the </w:t>
      </w:r>
      <w:r w:rsidR="00191E7D" w:rsidRPr="009163EF">
        <w:t>moringa</w:t>
      </w:r>
      <w:r w:rsidRPr="009163EF">
        <w:t xml:space="preserve"> was </w:t>
      </w:r>
      <w:r w:rsidR="00B619B7" w:rsidRPr="009163EF">
        <w:t>within the range</w:t>
      </w:r>
      <w:r w:rsidRPr="009163EF">
        <w:t xml:space="preserve"> </w:t>
      </w:r>
      <w:r w:rsidR="004D3C53" w:rsidRPr="009163EF">
        <w:t xml:space="preserve">reported in </w:t>
      </w:r>
      <w:r w:rsidR="00A7419B" w:rsidRPr="009163EF">
        <w:t xml:space="preserve">Leone et al. </w:t>
      </w:r>
      <w:r w:rsidR="004D3C53" w:rsidRPr="009163EF">
        <w:t>(</w:t>
      </w:r>
      <w:r w:rsidR="00A7419B" w:rsidRPr="009163EF">
        <w:t>2015)</w:t>
      </w:r>
      <w:r w:rsidR="00B619B7" w:rsidRPr="009163EF">
        <w:t xml:space="preserve"> and similar to the value </w:t>
      </w:r>
      <w:r w:rsidR="004D3C53" w:rsidRPr="009163EF">
        <w:t xml:space="preserve">in </w:t>
      </w:r>
      <w:r w:rsidR="00B619B7" w:rsidRPr="009163EF">
        <w:t>the</w:t>
      </w:r>
      <w:r w:rsidR="00B619B7">
        <w:t xml:space="preserve"> USDA Food Composition Database (20.0 mg/100 g)</w:t>
      </w:r>
      <w:r w:rsidR="00F36F32">
        <w:t xml:space="preserve"> (USDA, 201</w:t>
      </w:r>
      <w:r w:rsidR="00877310">
        <w:t>9</w:t>
      </w:r>
      <w:r w:rsidR="00F36F32">
        <w:t>)</w:t>
      </w:r>
      <w:r w:rsidR="00A7419B">
        <w:t xml:space="preserve">. </w:t>
      </w:r>
      <w:r w:rsidR="00EF4B24">
        <w:t xml:space="preserve">The </w:t>
      </w:r>
      <w:r w:rsidR="003220CA">
        <w:t>moringa</w:t>
      </w:r>
      <w:r w:rsidR="00674793" w:rsidRPr="006871D8">
        <w:t xml:space="preserve"> was more than 6- and 200-fold</w:t>
      </w:r>
      <w:r w:rsidRPr="006871D8">
        <w:t xml:space="preserve"> higher i</w:t>
      </w:r>
      <w:r w:rsidR="00674793" w:rsidRPr="006871D8">
        <w:t>n magnesium and calcium</w:t>
      </w:r>
      <w:r w:rsidRPr="006871D8">
        <w:t>, respecti</w:t>
      </w:r>
      <w:r w:rsidR="00674793" w:rsidRPr="006871D8">
        <w:t xml:space="preserve">vely compared to </w:t>
      </w:r>
      <w:r w:rsidR="003220CA">
        <w:t>the millet porridge</w:t>
      </w:r>
      <w:r w:rsidR="009E7BCC">
        <w:t>. As a result,</w:t>
      </w:r>
      <w:r w:rsidR="00674793" w:rsidRPr="006871D8">
        <w:t xml:space="preserve"> </w:t>
      </w:r>
      <w:r w:rsidR="0051729E">
        <w:t>addition</w:t>
      </w:r>
      <w:r w:rsidR="00674793" w:rsidRPr="006871D8">
        <w:t xml:space="preserve"> of </w:t>
      </w:r>
      <w:r w:rsidR="003220CA">
        <w:t>moringa</w:t>
      </w:r>
      <w:r w:rsidR="00674793" w:rsidRPr="006871D8">
        <w:t xml:space="preserve"> </w:t>
      </w:r>
      <w:r w:rsidR="00203377">
        <w:t>to</w:t>
      </w:r>
      <w:r w:rsidR="00EF4B24">
        <w:t xml:space="preserve"> </w:t>
      </w:r>
      <w:r w:rsidR="003220CA">
        <w:t>millet porridge</w:t>
      </w:r>
      <w:r w:rsidRPr="006871D8">
        <w:t xml:space="preserve"> greatly increase</w:t>
      </w:r>
      <w:r w:rsidR="009E7BCC">
        <w:t>d</w:t>
      </w:r>
      <w:r w:rsidR="00FF0F42">
        <w:t xml:space="preserve"> </w:t>
      </w:r>
      <w:r w:rsidR="00883058">
        <w:t>its</w:t>
      </w:r>
      <w:r w:rsidR="00674793" w:rsidRPr="006871D8">
        <w:t xml:space="preserve"> </w:t>
      </w:r>
      <w:r w:rsidRPr="006871D8">
        <w:t>magnesium and calcium content</w:t>
      </w:r>
      <w:r w:rsidR="00674793" w:rsidRPr="006871D8">
        <w:t>s</w:t>
      </w:r>
      <w:r w:rsidRPr="006871D8">
        <w:t xml:space="preserve"> </w:t>
      </w:r>
      <w:r w:rsidR="00EF4B24">
        <w:t>by</w:t>
      </w:r>
      <w:r w:rsidR="00883058">
        <w:t xml:space="preserve"> </w:t>
      </w:r>
      <w:r w:rsidR="00883058" w:rsidRPr="006871D8">
        <w:t>more t</w:t>
      </w:r>
      <w:r w:rsidR="00883058">
        <w:t>han 65% and 26-fold, respectively.</w:t>
      </w:r>
      <w:r w:rsidR="00841FDC" w:rsidRPr="006871D8">
        <w:t xml:space="preserve"> </w:t>
      </w:r>
      <w:r w:rsidR="00287F30" w:rsidRPr="006871D8">
        <w:t xml:space="preserve">Brilhante et al. </w:t>
      </w:r>
      <w:r w:rsidR="00287F30">
        <w:t>(</w:t>
      </w:r>
      <w:r w:rsidR="00287F30" w:rsidRPr="006871D8">
        <w:t>2017</w:t>
      </w:r>
      <w:r w:rsidR="00287F30">
        <w:t>)</w:t>
      </w:r>
      <w:r w:rsidRPr="006871D8">
        <w:t xml:space="preserve"> </w:t>
      </w:r>
      <w:r w:rsidR="004B2D64">
        <w:t xml:space="preserve">also </w:t>
      </w:r>
      <w:r w:rsidR="003D43B3">
        <w:t>report</w:t>
      </w:r>
      <w:r w:rsidR="004B2D64">
        <w:t>s</w:t>
      </w:r>
      <w:r w:rsidRPr="006871D8">
        <w:t xml:space="preserve"> levels </w:t>
      </w:r>
      <w:r w:rsidR="004B2D64">
        <w:t xml:space="preserve">as high as 1050 mg/100 g magnesium and </w:t>
      </w:r>
      <w:r w:rsidR="006E5E77">
        <w:t>3</w:t>
      </w:r>
      <w:r w:rsidR="0005155F">
        <w:t xml:space="preserve">650 mg/100 g calcium </w:t>
      </w:r>
      <w:r w:rsidRPr="006871D8">
        <w:t xml:space="preserve">in </w:t>
      </w:r>
      <w:r w:rsidR="003220CA">
        <w:t>moringa</w:t>
      </w:r>
      <w:r w:rsidR="00592205">
        <w:t xml:space="preserve"> </w:t>
      </w:r>
      <w:r w:rsidR="00191E7D">
        <w:t>powder</w:t>
      </w:r>
      <w:r w:rsidRPr="006871D8">
        <w:t xml:space="preserve">). </w:t>
      </w:r>
      <w:r w:rsidR="00EF4B24">
        <w:t>P</w:t>
      </w:r>
      <w:r w:rsidR="00EF4B24" w:rsidRPr="00EF4B24">
        <w:t>orridges containing moringa could substantially increase the contribution of iron, calcium and magnesium to the RNI for women of reproductive age (</w:t>
      </w:r>
      <w:r w:rsidR="00801015">
        <w:t xml:space="preserve">WHO &amp; </w:t>
      </w:r>
      <w:r w:rsidR="00C34C3D">
        <w:t>FAO</w:t>
      </w:r>
      <w:r w:rsidR="00EF4B24" w:rsidRPr="00EF4B24">
        <w:t>, 200</w:t>
      </w:r>
      <w:r w:rsidR="00801015">
        <w:t>4</w:t>
      </w:r>
      <w:r w:rsidR="00EF4B24" w:rsidRPr="00EF4B24">
        <w:t>)</w:t>
      </w:r>
      <w:r w:rsidR="00EF4B24">
        <w:t xml:space="preserve"> (</w:t>
      </w:r>
      <w:r w:rsidR="00EF4B24" w:rsidRPr="00B4098E">
        <w:t xml:space="preserve">Table </w:t>
      </w:r>
      <w:r w:rsidR="00B4098E" w:rsidRPr="00B4098E">
        <w:t>4.1.</w:t>
      </w:r>
      <w:r w:rsidR="00EF4B24" w:rsidRPr="00B4098E">
        <w:t>1)</w:t>
      </w:r>
      <w:r w:rsidR="00EF4B24" w:rsidRPr="00EF4B24">
        <w:t>.</w:t>
      </w:r>
    </w:p>
    <w:p w14:paraId="6E9E74AC" w14:textId="77777777" w:rsidR="00EF4B24" w:rsidRDefault="00EF4B24" w:rsidP="002D64BF">
      <w:pPr>
        <w:spacing w:after="0"/>
      </w:pPr>
    </w:p>
    <w:p w14:paraId="0CB91077" w14:textId="7C2F87A5" w:rsidR="00E67510" w:rsidRDefault="006725DD" w:rsidP="009163EF">
      <w:r w:rsidRPr="006871D8">
        <w:t>The</w:t>
      </w:r>
      <w:r w:rsidR="00390039" w:rsidRPr="006871D8">
        <w:t xml:space="preserve"> baobab fruit powder</w:t>
      </w:r>
      <w:r w:rsidR="00E67510">
        <w:t>,</w:t>
      </w:r>
      <w:r w:rsidRPr="006871D8">
        <w:t xml:space="preserve"> although low in iron</w:t>
      </w:r>
      <w:r w:rsidR="004921DE">
        <w:t>,</w:t>
      </w:r>
      <w:r w:rsidRPr="006871D8">
        <w:t xml:space="preserve"> zinc</w:t>
      </w:r>
      <w:r w:rsidR="004921DE">
        <w:t xml:space="preserve"> and phosphorus</w:t>
      </w:r>
      <w:r w:rsidRPr="006871D8">
        <w:t xml:space="preserve"> contained </w:t>
      </w:r>
      <w:r w:rsidR="00390039" w:rsidRPr="006871D8">
        <w:t xml:space="preserve">substantial </w:t>
      </w:r>
      <w:r w:rsidRPr="006871D8">
        <w:t>levels of magnesium and calcium</w:t>
      </w:r>
      <w:r w:rsidR="00390039" w:rsidRPr="006871D8">
        <w:t xml:space="preserve"> comp</w:t>
      </w:r>
      <w:r w:rsidR="00E67510">
        <w:t xml:space="preserve">ared to </w:t>
      </w:r>
      <w:r w:rsidR="003220CA">
        <w:t>the m</w:t>
      </w:r>
      <w:r w:rsidR="00191E7D">
        <w:t>illet porridge</w:t>
      </w:r>
      <w:r w:rsidR="00E67510">
        <w:t>, 2-fold and 24-</w:t>
      </w:r>
      <w:r w:rsidR="00390039" w:rsidRPr="006871D8">
        <w:t>fold higher, respectively</w:t>
      </w:r>
      <w:r w:rsidR="00E64740">
        <w:t xml:space="preserve"> (</w:t>
      </w:r>
      <w:r w:rsidR="00E64740" w:rsidRPr="00B4098E">
        <w:t xml:space="preserve">Table </w:t>
      </w:r>
      <w:r w:rsidR="00B4098E" w:rsidRPr="00B4098E">
        <w:t>4.1.</w:t>
      </w:r>
      <w:r w:rsidR="00E64740" w:rsidRPr="00B4098E">
        <w:t>1)</w:t>
      </w:r>
      <w:r w:rsidR="00390039" w:rsidRPr="006871D8">
        <w:t xml:space="preserve">. However, </w:t>
      </w:r>
      <w:r w:rsidR="005A382D">
        <w:t xml:space="preserve">food-to-food fortification of the </w:t>
      </w:r>
      <w:r w:rsidR="00191E7D">
        <w:t>millet porridge</w:t>
      </w:r>
      <w:r w:rsidR="00390039" w:rsidRPr="006871D8">
        <w:t xml:space="preserve"> </w:t>
      </w:r>
      <w:r w:rsidR="005A382D">
        <w:t xml:space="preserve">with baobab </w:t>
      </w:r>
      <w:r w:rsidR="00E67510">
        <w:t>only slightly increased the calcium</w:t>
      </w:r>
      <w:r w:rsidR="004921DE">
        <w:t xml:space="preserve"> and magnesium</w:t>
      </w:r>
      <w:r w:rsidR="00E67510">
        <w:t xml:space="preserve"> content</w:t>
      </w:r>
      <w:r w:rsidR="004921DE">
        <w:t>s</w:t>
      </w:r>
      <w:r w:rsidR="00E67510">
        <w:t xml:space="preserve"> </w:t>
      </w:r>
      <w:r w:rsidR="005A5580">
        <w:t>of the composite porridge</w:t>
      </w:r>
      <w:r w:rsidR="00B66A1A">
        <w:t xml:space="preserve"> but was not statistically significant</w:t>
      </w:r>
      <w:r w:rsidR="00390039" w:rsidRPr="006871D8">
        <w:t xml:space="preserve">. </w:t>
      </w:r>
      <w:r w:rsidR="00E60403">
        <w:t>Regarding</w:t>
      </w:r>
      <w:r w:rsidR="00390039" w:rsidRPr="006871D8">
        <w:t xml:space="preserve"> zinc, both </w:t>
      </w:r>
      <w:r w:rsidR="00191E7D">
        <w:t>moringa</w:t>
      </w:r>
      <w:r w:rsidR="00390039" w:rsidRPr="006871D8">
        <w:t xml:space="preserve"> and </w:t>
      </w:r>
      <w:r w:rsidR="00191E7D">
        <w:t>baobab</w:t>
      </w:r>
      <w:r w:rsidR="00390039" w:rsidRPr="006871D8">
        <w:t xml:space="preserve"> had much l</w:t>
      </w:r>
      <w:r w:rsidR="001F3C83" w:rsidRPr="006871D8">
        <w:t xml:space="preserve">ower contents than </w:t>
      </w:r>
      <w:r w:rsidR="00191E7D">
        <w:t>millet porridg</w:t>
      </w:r>
      <w:r w:rsidR="00E64740">
        <w:t>e</w:t>
      </w:r>
      <w:r w:rsidR="00390039" w:rsidRPr="006871D8">
        <w:t xml:space="preserve">. </w:t>
      </w:r>
      <w:r w:rsidR="003D43B3">
        <w:t>Similar l</w:t>
      </w:r>
      <w:r w:rsidR="0081112B" w:rsidRPr="006871D8">
        <w:t xml:space="preserve">ow levels of zinc in </w:t>
      </w:r>
      <w:r w:rsidR="00191E7D">
        <w:t>moringa powder</w:t>
      </w:r>
      <w:r w:rsidR="0081112B" w:rsidRPr="006871D8">
        <w:t xml:space="preserve"> (0.2–3.3 mg/100 g)</w:t>
      </w:r>
      <w:r w:rsidR="0088463A">
        <w:t xml:space="preserve"> </w:t>
      </w:r>
      <w:r w:rsidR="005113F8" w:rsidRPr="006871D8">
        <w:t>(Brilhante et al., 2017)</w:t>
      </w:r>
      <w:r w:rsidR="0088463A">
        <w:t xml:space="preserve"> </w:t>
      </w:r>
      <w:r w:rsidR="0081112B" w:rsidRPr="006871D8">
        <w:t xml:space="preserve">and </w:t>
      </w:r>
      <w:r w:rsidR="003D43B3">
        <w:t>baobab</w:t>
      </w:r>
      <w:r w:rsidR="0081112B" w:rsidRPr="006871D8">
        <w:t xml:space="preserve"> (0.4–2.4 mg/100 g)</w:t>
      </w:r>
      <w:r w:rsidR="005113F8" w:rsidRPr="006871D8">
        <w:t xml:space="preserve"> (Stadlmayr</w:t>
      </w:r>
      <w:r w:rsidR="00801015">
        <w:t xml:space="preserve"> et al.</w:t>
      </w:r>
      <w:r w:rsidR="005113F8" w:rsidRPr="006871D8">
        <w:t>, 2013)</w:t>
      </w:r>
      <w:r w:rsidR="0088463A">
        <w:t xml:space="preserve"> </w:t>
      </w:r>
      <w:r w:rsidR="003D43B3">
        <w:t>are</w:t>
      </w:r>
      <w:r w:rsidR="0088463A">
        <w:t xml:space="preserve"> reported</w:t>
      </w:r>
      <w:r w:rsidR="00E67510">
        <w:t>.</w:t>
      </w:r>
      <w:r w:rsidR="0088463A">
        <w:t xml:space="preserve"> </w:t>
      </w:r>
      <w:r w:rsidR="00390039" w:rsidRPr="006871D8">
        <w:t xml:space="preserve">As a result, </w:t>
      </w:r>
      <w:r w:rsidR="005113F8" w:rsidRPr="006871D8">
        <w:t>the zinc contents of</w:t>
      </w:r>
      <w:r w:rsidR="00390039" w:rsidRPr="006871D8">
        <w:t xml:space="preserve"> the </w:t>
      </w:r>
      <w:r w:rsidR="00191E7D">
        <w:t>millet porridge+moringa</w:t>
      </w:r>
      <w:r w:rsidR="003B5B3A">
        <w:t xml:space="preserve"> and </w:t>
      </w:r>
      <w:r w:rsidR="00191E7D">
        <w:t>millet porridge+baobab</w:t>
      </w:r>
      <w:r w:rsidR="003B5B3A">
        <w:t xml:space="preserve"> </w:t>
      </w:r>
      <w:r w:rsidR="00390039" w:rsidRPr="006871D8">
        <w:t>formulation</w:t>
      </w:r>
      <w:r w:rsidR="005113F8" w:rsidRPr="006871D8">
        <w:t>s</w:t>
      </w:r>
      <w:r w:rsidR="003B5B3A">
        <w:t xml:space="preserve"> were slightly but not significantly lower </w:t>
      </w:r>
      <w:r w:rsidR="009870BE" w:rsidRPr="009870BE">
        <w:t>(</w:t>
      </w:r>
      <w:r w:rsidR="009870BE" w:rsidRPr="00187AE9">
        <w:rPr>
          <w:i/>
          <w:iCs/>
        </w:rPr>
        <w:t>p</w:t>
      </w:r>
      <w:r w:rsidR="00135DC0">
        <w:t>&lt;</w:t>
      </w:r>
      <w:r w:rsidR="009870BE" w:rsidRPr="009870BE">
        <w:t>0.</w:t>
      </w:r>
      <w:r w:rsidR="00190D3E">
        <w:t>0</w:t>
      </w:r>
      <w:r w:rsidR="009870BE" w:rsidRPr="009870BE">
        <w:t xml:space="preserve">5) </w:t>
      </w:r>
      <w:r w:rsidR="002F204C">
        <w:t>than in the</w:t>
      </w:r>
      <w:r w:rsidR="005113F8" w:rsidRPr="006871D8">
        <w:t xml:space="preserve"> </w:t>
      </w:r>
      <w:r w:rsidR="00191E7D">
        <w:t>millet porridge</w:t>
      </w:r>
      <w:r w:rsidR="00390039" w:rsidRPr="006871D8">
        <w:t xml:space="preserve">. </w:t>
      </w:r>
    </w:p>
    <w:p w14:paraId="41EB2EC4" w14:textId="77777777" w:rsidR="00F3680E" w:rsidRDefault="00F3680E" w:rsidP="002D64BF">
      <w:pPr>
        <w:spacing w:after="0"/>
      </w:pPr>
    </w:p>
    <w:p w14:paraId="4AC68E88" w14:textId="30E16D1A" w:rsidR="00B20675" w:rsidRDefault="00D62E03" w:rsidP="009163EF">
      <w:r>
        <w:t>Moringa</w:t>
      </w:r>
      <w:r w:rsidR="002A1995">
        <w:t xml:space="preserve"> was highest in aluminium (12.8 mg/100 g)</w:t>
      </w:r>
      <w:r w:rsidR="00B4098E">
        <w:t xml:space="preserve"> (Table 4.1.1)</w:t>
      </w:r>
      <w:r w:rsidR="002A1995">
        <w:t xml:space="preserve">. </w:t>
      </w:r>
      <w:r w:rsidR="00D46A3B" w:rsidRPr="006871D8">
        <w:t xml:space="preserve">High levels of aluminium </w:t>
      </w:r>
      <w:r w:rsidR="002F204C">
        <w:t>in</w:t>
      </w:r>
      <w:r w:rsidR="00E67510">
        <w:t xml:space="preserve"> plant </w:t>
      </w:r>
      <w:r w:rsidR="00D46A3B" w:rsidRPr="006871D8">
        <w:t xml:space="preserve">foods could be </w:t>
      </w:r>
      <w:r w:rsidR="00E67510">
        <w:t xml:space="preserve">an indication </w:t>
      </w:r>
      <w:r w:rsidR="00D46A3B" w:rsidRPr="006871D8">
        <w:t>of soil contamination</w:t>
      </w:r>
      <w:r w:rsidR="004F59BC" w:rsidRPr="006871D8">
        <w:t xml:space="preserve"> (Salvo et al., 2018)</w:t>
      </w:r>
      <w:r w:rsidR="00E67510">
        <w:t xml:space="preserve">, and hence artificially high levels of </w:t>
      </w:r>
      <w:r w:rsidR="002F204C">
        <w:t xml:space="preserve">essential </w:t>
      </w:r>
      <w:r w:rsidR="00E67510">
        <w:t>minerals</w:t>
      </w:r>
      <w:r w:rsidR="002F204C">
        <w:t>, particularly iron</w:t>
      </w:r>
      <w:r w:rsidR="00E67510">
        <w:t>. However, t</w:t>
      </w:r>
      <w:r w:rsidR="00D46A3B" w:rsidRPr="006871D8">
        <w:t xml:space="preserve">he </w:t>
      </w:r>
      <w:r w:rsidR="003A4CAA">
        <w:t xml:space="preserve">high </w:t>
      </w:r>
      <w:r w:rsidR="00D46A3B" w:rsidRPr="006871D8">
        <w:t>a</w:t>
      </w:r>
      <w:r w:rsidR="00390039" w:rsidRPr="006871D8">
        <w:t xml:space="preserve">luminium </w:t>
      </w:r>
      <w:r w:rsidR="003A4CAA">
        <w:t>in</w:t>
      </w:r>
      <w:r w:rsidR="00390039" w:rsidRPr="006871D8">
        <w:t xml:space="preserve"> </w:t>
      </w:r>
      <w:r>
        <w:t>moringa</w:t>
      </w:r>
      <w:r w:rsidR="00D46A3B" w:rsidRPr="006871D8">
        <w:t xml:space="preserve"> is </w:t>
      </w:r>
      <w:r w:rsidR="00E64740">
        <w:t>un</w:t>
      </w:r>
      <w:r w:rsidR="00D46A3B" w:rsidRPr="006871D8">
        <w:t xml:space="preserve">likely to </w:t>
      </w:r>
      <w:r w:rsidR="00E64740">
        <w:t>be</w:t>
      </w:r>
      <w:r w:rsidR="00D46A3B" w:rsidRPr="006871D8">
        <w:t xml:space="preserve"> from soil contamination </w:t>
      </w:r>
      <w:r w:rsidR="00893288" w:rsidRPr="006871D8">
        <w:t>as</w:t>
      </w:r>
      <w:r w:rsidR="00D46A3B" w:rsidRPr="006871D8">
        <w:t xml:space="preserve"> other researchers have </w:t>
      </w:r>
      <w:r w:rsidR="00E64740">
        <w:t>shown</w:t>
      </w:r>
      <w:r w:rsidR="00D46A3B" w:rsidRPr="006871D8">
        <w:t xml:space="preserve"> </w:t>
      </w:r>
      <w:r w:rsidR="00893288" w:rsidRPr="006871D8">
        <w:t xml:space="preserve">that </w:t>
      </w:r>
      <w:r w:rsidR="003A4CAA">
        <w:t>it</w:t>
      </w:r>
      <w:r w:rsidR="00893288" w:rsidRPr="006871D8">
        <w:t xml:space="preserve"> </w:t>
      </w:r>
      <w:r w:rsidR="003A4CAA">
        <w:t>is high in</w:t>
      </w:r>
      <w:r w:rsidR="00893288" w:rsidRPr="006871D8">
        <w:t xml:space="preserve"> aluminium </w:t>
      </w:r>
      <w:r w:rsidR="00390039" w:rsidRPr="006871D8">
        <w:t>(</w:t>
      </w:r>
      <w:r w:rsidR="00893288" w:rsidRPr="006871D8">
        <w:t>Kawo et al., 2009).</w:t>
      </w:r>
      <w:r w:rsidR="00642C6A">
        <w:t xml:space="preserve"> </w:t>
      </w:r>
      <w:r w:rsidR="00642C6A">
        <w:rPr>
          <w:szCs w:val="24"/>
        </w:rPr>
        <w:t xml:space="preserve">In addition, as stated above, the leaves were </w:t>
      </w:r>
      <w:r w:rsidR="00916328">
        <w:rPr>
          <w:szCs w:val="24"/>
        </w:rPr>
        <w:t xml:space="preserve">thoroughly </w:t>
      </w:r>
      <w:r w:rsidR="00642C6A">
        <w:rPr>
          <w:szCs w:val="24"/>
        </w:rPr>
        <w:t>rinsed with deionised water, which would have removed any contaminating soil.</w:t>
      </w:r>
      <w:r w:rsidR="00B20675">
        <w:br w:type="page"/>
      </w:r>
    </w:p>
    <w:p w14:paraId="48F6F549" w14:textId="77777777" w:rsidR="00C50867" w:rsidRDefault="00C50867" w:rsidP="009163EF">
      <w:pPr>
        <w:rPr>
          <w:rFonts w:eastAsia="Calibri"/>
          <w:b/>
        </w:rPr>
        <w:sectPr w:rsidR="00C50867" w:rsidSect="00460290">
          <w:pgSz w:w="11907" w:h="16839" w:code="9"/>
          <w:pgMar w:top="1440" w:right="1440" w:bottom="1440" w:left="1440" w:header="720" w:footer="720" w:gutter="0"/>
          <w:cols w:space="720"/>
          <w:docGrid w:linePitch="360"/>
        </w:sectPr>
      </w:pPr>
    </w:p>
    <w:p w14:paraId="54A872F2" w14:textId="3F8A466D" w:rsidR="00B20675" w:rsidRPr="00B20675" w:rsidRDefault="00B20675" w:rsidP="00187AE9">
      <w:pPr>
        <w:pStyle w:val="MyTables"/>
        <w:spacing w:line="240" w:lineRule="auto"/>
        <w:rPr>
          <w:b/>
        </w:rPr>
      </w:pPr>
      <w:bookmarkStart w:id="83" w:name="_Toc65253629"/>
      <w:r w:rsidRPr="00B20675">
        <w:rPr>
          <w:b/>
        </w:rPr>
        <w:t xml:space="preserve">Table </w:t>
      </w:r>
      <w:r w:rsidR="00F3680E">
        <w:rPr>
          <w:b/>
        </w:rPr>
        <w:t>4.1.</w:t>
      </w:r>
      <w:r w:rsidRPr="00B20675">
        <w:rPr>
          <w:b/>
        </w:rPr>
        <w:t xml:space="preserve">1: </w:t>
      </w:r>
      <w:r w:rsidRPr="00B20675">
        <w:t xml:space="preserve">Mineral contents (mg/100 g dry basis) of pearl millet porridge, baobab fruit powder, moringa leaf powder and the food-to-food fortified porridges, and their estimated percentage nutrient contribution of an average porridge portion size (100 g dry weight basis) to the daily Recommended </w:t>
      </w:r>
      <w:r w:rsidRPr="00B20675">
        <w:rPr>
          <w:szCs w:val="24"/>
        </w:rPr>
        <w:t>Nutrient Intake (RNI) for women of reproductive age</w:t>
      </w:r>
      <w:bookmarkEnd w:id="83"/>
      <w:r w:rsidRPr="00B20675">
        <w:rPr>
          <w:sz w:val="20"/>
          <w:szCs w:val="20"/>
        </w:rPr>
        <w:t xml:space="preserve"> </w:t>
      </w:r>
    </w:p>
    <w:tbl>
      <w:tblPr>
        <w:tblpPr w:leftFromText="180" w:rightFromText="180" w:vertAnchor="text" w:horzAnchor="margin" w:tblpXSpec="center" w:tblpY="170"/>
        <w:tblW w:w="0" w:type="auto"/>
        <w:tblBorders>
          <w:top w:val="single" w:sz="4" w:space="0" w:color="auto"/>
        </w:tblBorders>
        <w:tblLook w:val="04A0" w:firstRow="1" w:lastRow="0" w:firstColumn="1" w:lastColumn="0" w:noHBand="0" w:noVBand="1"/>
      </w:tblPr>
      <w:tblGrid>
        <w:gridCol w:w="1802"/>
        <w:gridCol w:w="755"/>
        <w:gridCol w:w="703"/>
        <w:gridCol w:w="790"/>
        <w:gridCol w:w="685"/>
        <w:gridCol w:w="809"/>
        <w:gridCol w:w="750"/>
        <w:gridCol w:w="1974"/>
        <w:gridCol w:w="1962"/>
        <w:gridCol w:w="1977"/>
        <w:gridCol w:w="1968"/>
      </w:tblGrid>
      <w:tr w:rsidR="00C50867" w:rsidRPr="00B20675" w14:paraId="6D987DA1" w14:textId="77777777" w:rsidTr="00C50867">
        <w:tc>
          <w:tcPr>
            <w:tcW w:w="0" w:type="auto"/>
            <w:tcBorders>
              <w:bottom w:val="single" w:sz="4" w:space="0" w:color="auto"/>
            </w:tcBorders>
          </w:tcPr>
          <w:p w14:paraId="0951E0CE" w14:textId="77777777" w:rsidR="00C50867" w:rsidRDefault="00EB2848" w:rsidP="007629BE">
            <w:pPr>
              <w:spacing w:after="0" w:line="240" w:lineRule="auto"/>
              <w:rPr>
                <w:rFonts w:eastAsia="Calibri" w:cs="Times New Roman"/>
                <w:b/>
                <w:sz w:val="22"/>
              </w:rPr>
            </w:pPr>
            <w:r w:rsidRPr="00B20675">
              <w:rPr>
                <w:rFonts w:eastAsia="Calibri" w:cs="Times New Roman"/>
                <w:b/>
                <w:sz w:val="22"/>
              </w:rPr>
              <w:t xml:space="preserve">Plant foods and porridge formulations </w:t>
            </w:r>
          </w:p>
          <w:p w14:paraId="2B55AAC8" w14:textId="2529E2E1" w:rsidR="00EB2848" w:rsidRPr="00B20675" w:rsidRDefault="00EB2848" w:rsidP="007629BE">
            <w:pPr>
              <w:spacing w:after="0" w:line="240" w:lineRule="auto"/>
              <w:rPr>
                <w:rFonts w:eastAsia="Calibri" w:cs="Times New Roman"/>
                <w:b/>
                <w:sz w:val="22"/>
              </w:rPr>
            </w:pPr>
            <w:r w:rsidRPr="00B20675">
              <w:rPr>
                <w:rFonts w:eastAsia="Calibri" w:cs="Times New Roman"/>
                <w:b/>
                <w:sz w:val="22"/>
              </w:rPr>
              <w:t>(dry mass ratios)</w:t>
            </w:r>
          </w:p>
        </w:tc>
        <w:tc>
          <w:tcPr>
            <w:tcW w:w="0" w:type="auto"/>
            <w:tcBorders>
              <w:top w:val="single" w:sz="4" w:space="0" w:color="auto"/>
              <w:bottom w:val="single" w:sz="4" w:space="0" w:color="auto"/>
            </w:tcBorders>
          </w:tcPr>
          <w:p w14:paraId="1085970C" w14:textId="3397F24F" w:rsidR="00EB2848" w:rsidRPr="00B20675" w:rsidRDefault="00EB2848" w:rsidP="00C50867">
            <w:pPr>
              <w:spacing w:after="0" w:line="240" w:lineRule="auto"/>
              <w:jc w:val="center"/>
              <w:rPr>
                <w:rFonts w:eastAsia="Calibri" w:cs="Times New Roman"/>
                <w:b/>
                <w:sz w:val="22"/>
              </w:rPr>
            </w:pPr>
            <w:r w:rsidRPr="00B20675">
              <w:rPr>
                <w:rFonts w:eastAsia="Calibri" w:cs="Times New Roman"/>
                <w:b/>
                <w:sz w:val="22"/>
              </w:rPr>
              <w:t>Fe</w:t>
            </w:r>
          </w:p>
        </w:tc>
        <w:tc>
          <w:tcPr>
            <w:tcW w:w="0" w:type="auto"/>
            <w:tcBorders>
              <w:top w:val="single" w:sz="4" w:space="0" w:color="auto"/>
              <w:bottom w:val="single" w:sz="4" w:space="0" w:color="auto"/>
            </w:tcBorders>
          </w:tcPr>
          <w:p w14:paraId="70005969" w14:textId="77777777" w:rsidR="00EB2848" w:rsidRPr="00B20675" w:rsidRDefault="00EB2848" w:rsidP="00C50867">
            <w:pPr>
              <w:spacing w:after="0" w:line="240" w:lineRule="auto"/>
              <w:jc w:val="center"/>
              <w:rPr>
                <w:rFonts w:eastAsia="Calibri" w:cs="Times New Roman"/>
                <w:b/>
                <w:sz w:val="22"/>
              </w:rPr>
            </w:pPr>
            <w:r w:rsidRPr="00B20675">
              <w:rPr>
                <w:rFonts w:eastAsia="Calibri" w:cs="Times New Roman"/>
                <w:b/>
                <w:sz w:val="22"/>
              </w:rPr>
              <w:t>Zn</w:t>
            </w:r>
          </w:p>
        </w:tc>
        <w:tc>
          <w:tcPr>
            <w:tcW w:w="0" w:type="auto"/>
            <w:tcBorders>
              <w:top w:val="single" w:sz="4" w:space="0" w:color="auto"/>
              <w:bottom w:val="single" w:sz="4" w:space="0" w:color="auto"/>
            </w:tcBorders>
          </w:tcPr>
          <w:p w14:paraId="5872F7DF" w14:textId="67378F72" w:rsidR="00EB2848" w:rsidRPr="00B20675" w:rsidRDefault="00EB2848" w:rsidP="00C50867">
            <w:pPr>
              <w:spacing w:after="0" w:line="240" w:lineRule="auto"/>
              <w:jc w:val="center"/>
              <w:rPr>
                <w:rFonts w:eastAsia="Calibri" w:cs="Times New Roman"/>
                <w:b/>
                <w:sz w:val="22"/>
              </w:rPr>
            </w:pPr>
            <w:r w:rsidRPr="00B20675">
              <w:rPr>
                <w:rFonts w:eastAsia="Calibri" w:cs="Times New Roman"/>
                <w:b/>
                <w:sz w:val="22"/>
              </w:rPr>
              <w:t>Ca</w:t>
            </w:r>
          </w:p>
        </w:tc>
        <w:tc>
          <w:tcPr>
            <w:tcW w:w="0" w:type="auto"/>
            <w:tcBorders>
              <w:top w:val="single" w:sz="4" w:space="0" w:color="auto"/>
              <w:bottom w:val="single" w:sz="4" w:space="0" w:color="auto"/>
            </w:tcBorders>
          </w:tcPr>
          <w:p w14:paraId="4D9C010D" w14:textId="598704F2" w:rsidR="00EB2848" w:rsidRPr="00B20675" w:rsidRDefault="00EB2848" w:rsidP="00C50867">
            <w:pPr>
              <w:spacing w:after="0" w:line="240" w:lineRule="auto"/>
              <w:jc w:val="center"/>
              <w:rPr>
                <w:rFonts w:eastAsia="Calibri" w:cs="Times New Roman"/>
                <w:b/>
                <w:sz w:val="22"/>
              </w:rPr>
            </w:pPr>
            <w:r w:rsidRPr="00B20675">
              <w:rPr>
                <w:rFonts w:eastAsia="Calibri" w:cs="Times New Roman"/>
                <w:b/>
                <w:sz w:val="22"/>
              </w:rPr>
              <w:t>Mg</w:t>
            </w:r>
          </w:p>
        </w:tc>
        <w:tc>
          <w:tcPr>
            <w:tcW w:w="0" w:type="auto"/>
            <w:tcBorders>
              <w:top w:val="single" w:sz="4" w:space="0" w:color="auto"/>
              <w:bottom w:val="single" w:sz="4" w:space="0" w:color="auto"/>
            </w:tcBorders>
          </w:tcPr>
          <w:p w14:paraId="74E11DCC" w14:textId="77777777" w:rsidR="00EB2848" w:rsidRPr="00B20675" w:rsidRDefault="00EB2848" w:rsidP="00C50867">
            <w:pPr>
              <w:spacing w:after="0" w:line="240" w:lineRule="auto"/>
              <w:jc w:val="center"/>
              <w:rPr>
                <w:rFonts w:eastAsia="Calibri" w:cs="Times New Roman"/>
                <w:b/>
                <w:sz w:val="22"/>
              </w:rPr>
            </w:pPr>
            <w:r w:rsidRPr="00B20675">
              <w:rPr>
                <w:rFonts w:eastAsia="Calibri" w:cs="Times New Roman"/>
                <w:b/>
                <w:sz w:val="22"/>
              </w:rPr>
              <w:t>P</w:t>
            </w:r>
          </w:p>
        </w:tc>
        <w:tc>
          <w:tcPr>
            <w:tcW w:w="0" w:type="auto"/>
            <w:tcBorders>
              <w:top w:val="single" w:sz="4" w:space="0" w:color="auto"/>
              <w:bottom w:val="single" w:sz="4" w:space="0" w:color="auto"/>
            </w:tcBorders>
          </w:tcPr>
          <w:p w14:paraId="7B40FF49" w14:textId="77777777" w:rsidR="00EB2848" w:rsidRPr="00B20675" w:rsidRDefault="00EB2848" w:rsidP="00C50867">
            <w:pPr>
              <w:spacing w:after="0" w:line="240" w:lineRule="auto"/>
              <w:jc w:val="center"/>
              <w:rPr>
                <w:rFonts w:eastAsia="Calibri" w:cs="Times New Roman"/>
                <w:b/>
                <w:sz w:val="22"/>
              </w:rPr>
            </w:pPr>
            <w:r w:rsidRPr="00B20675">
              <w:rPr>
                <w:rFonts w:eastAsia="Calibri" w:cs="Times New Roman"/>
                <w:b/>
                <w:sz w:val="22"/>
              </w:rPr>
              <w:t>Al</w:t>
            </w:r>
          </w:p>
        </w:tc>
        <w:tc>
          <w:tcPr>
            <w:tcW w:w="0" w:type="auto"/>
            <w:tcBorders>
              <w:top w:val="single" w:sz="4" w:space="0" w:color="auto"/>
              <w:bottom w:val="single" w:sz="4" w:space="0" w:color="auto"/>
            </w:tcBorders>
          </w:tcPr>
          <w:p w14:paraId="078E8E2E" w14:textId="77777777" w:rsidR="00EB2848" w:rsidRPr="00B20675" w:rsidRDefault="00EB2848" w:rsidP="00C50867">
            <w:pPr>
              <w:spacing w:after="0" w:line="240" w:lineRule="auto"/>
              <w:jc w:val="center"/>
              <w:rPr>
                <w:rFonts w:eastAsia="Calibri" w:cs="Times New Roman"/>
                <w:b/>
                <w:sz w:val="22"/>
              </w:rPr>
            </w:pPr>
            <w:r w:rsidRPr="00B20675">
              <w:rPr>
                <w:rFonts w:eastAsia="Calibri" w:cs="Times New Roman"/>
                <w:b/>
                <w:sz w:val="22"/>
              </w:rPr>
              <w:t>Percentage contribution of Fe to RNI (29.4 mg/day)</w:t>
            </w:r>
            <w:r w:rsidRPr="00B20675">
              <w:rPr>
                <w:rFonts w:eastAsia="Calibri" w:cs="Times New Roman"/>
                <w:b/>
                <w:sz w:val="22"/>
                <w:vertAlign w:val="superscript"/>
              </w:rPr>
              <w:t>3</w:t>
            </w:r>
          </w:p>
        </w:tc>
        <w:tc>
          <w:tcPr>
            <w:tcW w:w="0" w:type="auto"/>
            <w:tcBorders>
              <w:top w:val="single" w:sz="4" w:space="0" w:color="auto"/>
              <w:bottom w:val="single" w:sz="4" w:space="0" w:color="auto"/>
            </w:tcBorders>
          </w:tcPr>
          <w:p w14:paraId="02F13B87" w14:textId="77777777" w:rsidR="00EB2848" w:rsidRPr="00B20675" w:rsidRDefault="00EB2848" w:rsidP="00C50867">
            <w:pPr>
              <w:spacing w:after="0" w:line="240" w:lineRule="auto"/>
              <w:jc w:val="center"/>
              <w:rPr>
                <w:rFonts w:eastAsia="Calibri" w:cs="Times New Roman"/>
                <w:b/>
                <w:sz w:val="22"/>
              </w:rPr>
            </w:pPr>
            <w:r w:rsidRPr="00B20675">
              <w:rPr>
                <w:rFonts w:eastAsia="Calibri" w:cs="Times New Roman"/>
                <w:b/>
                <w:sz w:val="22"/>
              </w:rPr>
              <w:t>Percentage contribution of Zn to RNI (9.8 mg/day)</w:t>
            </w:r>
            <w:r w:rsidRPr="00B20675">
              <w:rPr>
                <w:rFonts w:eastAsia="Calibri" w:cs="Times New Roman"/>
                <w:b/>
                <w:sz w:val="22"/>
                <w:vertAlign w:val="superscript"/>
              </w:rPr>
              <w:t>4</w:t>
            </w:r>
          </w:p>
        </w:tc>
        <w:tc>
          <w:tcPr>
            <w:tcW w:w="0" w:type="auto"/>
            <w:tcBorders>
              <w:top w:val="single" w:sz="4" w:space="0" w:color="auto"/>
              <w:bottom w:val="single" w:sz="4" w:space="0" w:color="auto"/>
            </w:tcBorders>
          </w:tcPr>
          <w:p w14:paraId="7B856216" w14:textId="2BD58D69" w:rsidR="00EB2848" w:rsidRPr="00B20675" w:rsidRDefault="00EB2848" w:rsidP="00C50867">
            <w:pPr>
              <w:spacing w:after="0" w:line="240" w:lineRule="auto"/>
              <w:jc w:val="center"/>
              <w:rPr>
                <w:rFonts w:eastAsia="Calibri" w:cs="Times New Roman"/>
                <w:b/>
                <w:sz w:val="22"/>
              </w:rPr>
            </w:pPr>
            <w:r w:rsidRPr="00B20675">
              <w:rPr>
                <w:rFonts w:eastAsia="Calibri" w:cs="Times New Roman"/>
                <w:b/>
                <w:sz w:val="22"/>
              </w:rPr>
              <w:t>Percentage contribution of Ca to RNI (1000 mg/day)</w:t>
            </w:r>
          </w:p>
        </w:tc>
        <w:tc>
          <w:tcPr>
            <w:tcW w:w="0" w:type="auto"/>
            <w:tcBorders>
              <w:top w:val="single" w:sz="4" w:space="0" w:color="auto"/>
              <w:bottom w:val="single" w:sz="4" w:space="0" w:color="auto"/>
            </w:tcBorders>
          </w:tcPr>
          <w:p w14:paraId="4710E11A" w14:textId="77777777" w:rsidR="00EB2848" w:rsidRPr="00B20675" w:rsidRDefault="00EB2848" w:rsidP="00C50867">
            <w:pPr>
              <w:spacing w:after="0" w:line="240" w:lineRule="auto"/>
              <w:jc w:val="center"/>
              <w:rPr>
                <w:rFonts w:eastAsia="Calibri" w:cs="Times New Roman"/>
                <w:b/>
                <w:sz w:val="22"/>
              </w:rPr>
            </w:pPr>
            <w:r w:rsidRPr="00B20675">
              <w:rPr>
                <w:rFonts w:eastAsia="Calibri" w:cs="Times New Roman"/>
                <w:b/>
                <w:sz w:val="22"/>
              </w:rPr>
              <w:t>Percentage contribution of Mg to RNI (220 mg/day)</w:t>
            </w:r>
          </w:p>
        </w:tc>
      </w:tr>
      <w:tr w:rsidR="00C50867" w:rsidRPr="00B20675" w14:paraId="59403F91" w14:textId="77777777" w:rsidTr="00C50867">
        <w:tc>
          <w:tcPr>
            <w:tcW w:w="0" w:type="auto"/>
            <w:tcBorders>
              <w:top w:val="single" w:sz="4" w:space="0" w:color="auto"/>
            </w:tcBorders>
          </w:tcPr>
          <w:p w14:paraId="0E188BDE" w14:textId="77777777" w:rsidR="00B20675" w:rsidRPr="00B20675" w:rsidRDefault="00B20675" w:rsidP="00EB2848">
            <w:pPr>
              <w:spacing w:after="0" w:line="240" w:lineRule="auto"/>
              <w:rPr>
                <w:rFonts w:eastAsia="Calibri" w:cs="Times New Roman"/>
                <w:sz w:val="22"/>
              </w:rPr>
            </w:pPr>
            <w:r w:rsidRPr="00B20675">
              <w:rPr>
                <w:rFonts w:eastAsia="Calibri" w:cs="Times New Roman"/>
                <w:sz w:val="22"/>
              </w:rPr>
              <w:t>Millet porridge</w:t>
            </w:r>
          </w:p>
        </w:tc>
        <w:tc>
          <w:tcPr>
            <w:tcW w:w="0" w:type="auto"/>
            <w:tcBorders>
              <w:top w:val="single" w:sz="4" w:space="0" w:color="auto"/>
            </w:tcBorders>
          </w:tcPr>
          <w:p w14:paraId="5EBA7938" w14:textId="33C136A6"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9.0</w:t>
            </w:r>
            <w:r w:rsidRPr="00B20675">
              <w:rPr>
                <w:rFonts w:eastAsia="Calibri" w:cs="Times New Roman"/>
                <w:sz w:val="22"/>
                <w:vertAlign w:val="superscript"/>
              </w:rPr>
              <w:t>c</w:t>
            </w:r>
            <w:r w:rsidRPr="00B20675">
              <w:rPr>
                <w:rFonts w:eastAsia="Calibri" w:cs="Times New Roman"/>
                <w:sz w:val="22"/>
              </w:rPr>
              <w:t xml:space="preserve"> ± 0.1</w:t>
            </w:r>
            <w:r w:rsidRPr="00B20675">
              <w:rPr>
                <w:rFonts w:eastAsia="Calibri" w:cs="Times New Roman"/>
                <w:sz w:val="22"/>
                <w:vertAlign w:val="superscript"/>
              </w:rPr>
              <w:t>1,2</w:t>
            </w:r>
          </w:p>
        </w:tc>
        <w:tc>
          <w:tcPr>
            <w:tcW w:w="0" w:type="auto"/>
            <w:tcBorders>
              <w:top w:val="single" w:sz="4" w:space="0" w:color="auto"/>
            </w:tcBorders>
          </w:tcPr>
          <w:p w14:paraId="32C954AD"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6.6</w:t>
            </w:r>
            <w:r w:rsidRPr="00B20675">
              <w:rPr>
                <w:rFonts w:eastAsia="Calibri" w:cs="Times New Roman"/>
                <w:sz w:val="22"/>
                <w:vertAlign w:val="superscript"/>
              </w:rPr>
              <w:t>d</w:t>
            </w:r>
            <w:r w:rsidRPr="00B20675">
              <w:rPr>
                <w:rFonts w:eastAsia="Calibri" w:cs="Times New Roman"/>
                <w:sz w:val="22"/>
              </w:rPr>
              <w:t xml:space="preserve"> ± 0.1</w:t>
            </w:r>
          </w:p>
        </w:tc>
        <w:tc>
          <w:tcPr>
            <w:tcW w:w="0" w:type="auto"/>
            <w:tcBorders>
              <w:top w:val="single" w:sz="4" w:space="0" w:color="auto"/>
            </w:tcBorders>
          </w:tcPr>
          <w:p w14:paraId="1765585A" w14:textId="3A9EB249" w:rsidR="007629BE" w:rsidRPr="00C50867" w:rsidRDefault="00B20675" w:rsidP="00C50867">
            <w:pPr>
              <w:spacing w:after="0" w:line="240" w:lineRule="auto"/>
              <w:jc w:val="center"/>
              <w:rPr>
                <w:rFonts w:eastAsia="Calibri" w:cs="Times New Roman"/>
                <w:sz w:val="22"/>
              </w:rPr>
            </w:pPr>
            <w:r w:rsidRPr="00B20675">
              <w:rPr>
                <w:rFonts w:eastAsia="Calibri" w:cs="Times New Roman"/>
                <w:sz w:val="22"/>
              </w:rPr>
              <w:t>20</w:t>
            </w:r>
            <w:r w:rsidRPr="00B20675">
              <w:rPr>
                <w:rFonts w:eastAsia="Calibri" w:cs="Times New Roman"/>
                <w:sz w:val="22"/>
                <w:vertAlign w:val="superscript"/>
              </w:rPr>
              <w:t>a</w:t>
            </w:r>
          </w:p>
          <w:p w14:paraId="70C249EF" w14:textId="42230D4C"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 0</w:t>
            </w:r>
          </w:p>
        </w:tc>
        <w:tc>
          <w:tcPr>
            <w:tcW w:w="0" w:type="auto"/>
            <w:tcBorders>
              <w:top w:val="single" w:sz="4" w:space="0" w:color="auto"/>
            </w:tcBorders>
          </w:tcPr>
          <w:p w14:paraId="689B54E7"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137</w:t>
            </w:r>
            <w:r w:rsidRPr="00B20675">
              <w:rPr>
                <w:rFonts w:eastAsia="Calibri" w:cs="Times New Roman"/>
                <w:sz w:val="22"/>
                <w:vertAlign w:val="superscript"/>
              </w:rPr>
              <w:t>a</w:t>
            </w:r>
            <w:r w:rsidRPr="00B20675">
              <w:rPr>
                <w:rFonts w:eastAsia="Calibri" w:cs="Times New Roman"/>
                <w:sz w:val="22"/>
              </w:rPr>
              <w:t xml:space="preserve"> ± 2</w:t>
            </w:r>
          </w:p>
        </w:tc>
        <w:tc>
          <w:tcPr>
            <w:tcW w:w="0" w:type="auto"/>
            <w:tcBorders>
              <w:top w:val="single" w:sz="4" w:space="0" w:color="auto"/>
            </w:tcBorders>
          </w:tcPr>
          <w:p w14:paraId="2A14FE28"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306</w:t>
            </w:r>
            <w:r w:rsidRPr="00B20675">
              <w:rPr>
                <w:rFonts w:eastAsia="Calibri" w:cs="Times New Roman"/>
                <w:sz w:val="22"/>
                <w:vertAlign w:val="superscript"/>
              </w:rPr>
              <w:t>bcd</w:t>
            </w:r>
            <w:r w:rsidRPr="00B20675">
              <w:rPr>
                <w:rFonts w:eastAsia="Calibri" w:cs="Times New Roman"/>
                <w:sz w:val="22"/>
              </w:rPr>
              <w:t xml:space="preserve"> ± 4</w:t>
            </w:r>
          </w:p>
        </w:tc>
        <w:tc>
          <w:tcPr>
            <w:tcW w:w="0" w:type="auto"/>
            <w:tcBorders>
              <w:top w:val="single" w:sz="4" w:space="0" w:color="auto"/>
            </w:tcBorders>
          </w:tcPr>
          <w:p w14:paraId="52F19360" w14:textId="77777777" w:rsidR="00C50867" w:rsidRDefault="00B20675" w:rsidP="00C50867">
            <w:pPr>
              <w:spacing w:after="0" w:line="240" w:lineRule="auto"/>
              <w:jc w:val="center"/>
              <w:rPr>
                <w:rFonts w:eastAsia="Calibri" w:cs="Times New Roman"/>
                <w:sz w:val="22"/>
              </w:rPr>
            </w:pPr>
            <w:r w:rsidRPr="00B20675">
              <w:rPr>
                <w:rFonts w:eastAsia="Calibri" w:cs="Times New Roman"/>
                <w:sz w:val="22"/>
              </w:rPr>
              <w:t>3.1</w:t>
            </w:r>
            <w:r w:rsidRPr="00B20675">
              <w:rPr>
                <w:rFonts w:eastAsia="Calibri" w:cs="Times New Roman"/>
                <w:sz w:val="22"/>
                <w:vertAlign w:val="superscript"/>
              </w:rPr>
              <w:t>a</w:t>
            </w:r>
            <w:r w:rsidRPr="00B20675">
              <w:rPr>
                <w:rFonts w:eastAsia="Calibri" w:cs="Times New Roman"/>
                <w:sz w:val="22"/>
              </w:rPr>
              <w:t xml:space="preserve"> </w:t>
            </w:r>
          </w:p>
          <w:p w14:paraId="02670F04" w14:textId="18AFA836"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 0.3</w:t>
            </w:r>
          </w:p>
        </w:tc>
        <w:tc>
          <w:tcPr>
            <w:tcW w:w="0" w:type="auto"/>
            <w:tcBorders>
              <w:top w:val="single" w:sz="4" w:space="0" w:color="auto"/>
            </w:tcBorders>
          </w:tcPr>
          <w:p w14:paraId="46B7AEB2"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30.6</w:t>
            </w:r>
          </w:p>
        </w:tc>
        <w:tc>
          <w:tcPr>
            <w:tcW w:w="0" w:type="auto"/>
            <w:tcBorders>
              <w:top w:val="single" w:sz="4" w:space="0" w:color="auto"/>
            </w:tcBorders>
          </w:tcPr>
          <w:p w14:paraId="0FB5BCE2"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67.3</w:t>
            </w:r>
          </w:p>
        </w:tc>
        <w:tc>
          <w:tcPr>
            <w:tcW w:w="0" w:type="auto"/>
            <w:tcBorders>
              <w:top w:val="single" w:sz="4" w:space="0" w:color="auto"/>
            </w:tcBorders>
          </w:tcPr>
          <w:p w14:paraId="4A1BE8E4" w14:textId="49B9BDF2"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2</w:t>
            </w:r>
            <w:r w:rsidR="00EB2848" w:rsidRPr="00C50867">
              <w:rPr>
                <w:rFonts w:eastAsia="Calibri" w:cs="Times New Roman"/>
                <w:sz w:val="22"/>
              </w:rPr>
              <w:t>.0</w:t>
            </w:r>
          </w:p>
        </w:tc>
        <w:tc>
          <w:tcPr>
            <w:tcW w:w="0" w:type="auto"/>
            <w:tcBorders>
              <w:top w:val="single" w:sz="4" w:space="0" w:color="auto"/>
            </w:tcBorders>
          </w:tcPr>
          <w:p w14:paraId="2BC254E9"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62.3</w:t>
            </w:r>
          </w:p>
        </w:tc>
      </w:tr>
      <w:tr w:rsidR="00C50867" w:rsidRPr="00B20675" w14:paraId="0663996D" w14:textId="77777777" w:rsidTr="00C50867">
        <w:tc>
          <w:tcPr>
            <w:tcW w:w="0" w:type="auto"/>
          </w:tcPr>
          <w:p w14:paraId="10D37E1D" w14:textId="77777777" w:rsidR="00B20675" w:rsidRPr="00B20675" w:rsidRDefault="00B20675" w:rsidP="00EB2848">
            <w:pPr>
              <w:spacing w:after="0" w:line="240" w:lineRule="auto"/>
              <w:rPr>
                <w:rFonts w:eastAsia="Calibri" w:cs="Times New Roman"/>
                <w:sz w:val="22"/>
              </w:rPr>
            </w:pPr>
            <w:r w:rsidRPr="00B20675">
              <w:rPr>
                <w:rFonts w:eastAsia="Calibri" w:cs="Times New Roman"/>
                <w:sz w:val="22"/>
              </w:rPr>
              <w:t>Baobab</w:t>
            </w:r>
          </w:p>
        </w:tc>
        <w:tc>
          <w:tcPr>
            <w:tcW w:w="0" w:type="auto"/>
          </w:tcPr>
          <w:p w14:paraId="1C99C93F"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3.7</w:t>
            </w:r>
            <w:r w:rsidRPr="00B20675">
              <w:rPr>
                <w:rFonts w:eastAsia="Calibri" w:cs="Times New Roman"/>
                <w:sz w:val="22"/>
                <w:vertAlign w:val="superscript"/>
              </w:rPr>
              <w:t>a</w:t>
            </w:r>
            <w:r w:rsidRPr="00B20675">
              <w:rPr>
                <w:rFonts w:eastAsia="Calibri" w:cs="Times New Roman"/>
                <w:sz w:val="22"/>
              </w:rPr>
              <w:t xml:space="preserve"> ± 0.2</w:t>
            </w:r>
          </w:p>
        </w:tc>
        <w:tc>
          <w:tcPr>
            <w:tcW w:w="0" w:type="auto"/>
          </w:tcPr>
          <w:p w14:paraId="52CA3DE4" w14:textId="0B693EDA"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0.9</w:t>
            </w:r>
            <w:r w:rsidRPr="00B20675">
              <w:rPr>
                <w:rFonts w:eastAsia="Calibri" w:cs="Times New Roman"/>
                <w:sz w:val="22"/>
                <w:vertAlign w:val="superscript"/>
              </w:rPr>
              <w:t>a</w:t>
            </w:r>
            <w:r w:rsidRPr="00B20675">
              <w:rPr>
                <w:rFonts w:eastAsia="Calibri" w:cs="Times New Roman"/>
                <w:sz w:val="22"/>
              </w:rPr>
              <w:t xml:space="preserve"> ± 0</w:t>
            </w:r>
          </w:p>
        </w:tc>
        <w:tc>
          <w:tcPr>
            <w:tcW w:w="0" w:type="auto"/>
          </w:tcPr>
          <w:p w14:paraId="33B54306"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470</w:t>
            </w:r>
            <w:r w:rsidRPr="00B20675">
              <w:rPr>
                <w:rFonts w:eastAsia="Calibri" w:cs="Times New Roman"/>
                <w:sz w:val="22"/>
                <w:vertAlign w:val="superscript"/>
              </w:rPr>
              <w:t>b</w:t>
            </w:r>
            <w:r w:rsidRPr="00B20675">
              <w:rPr>
                <w:rFonts w:eastAsia="Calibri" w:cs="Times New Roman"/>
                <w:sz w:val="22"/>
              </w:rPr>
              <w:t xml:space="preserve"> ± 11</w:t>
            </w:r>
          </w:p>
        </w:tc>
        <w:tc>
          <w:tcPr>
            <w:tcW w:w="0" w:type="auto"/>
          </w:tcPr>
          <w:p w14:paraId="4BD905EF"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259</w:t>
            </w:r>
            <w:r w:rsidRPr="00B20675">
              <w:rPr>
                <w:rFonts w:eastAsia="Calibri" w:cs="Times New Roman"/>
                <w:sz w:val="22"/>
                <w:vertAlign w:val="superscript"/>
              </w:rPr>
              <w:t>b</w:t>
            </w:r>
            <w:r w:rsidRPr="00B20675">
              <w:rPr>
                <w:rFonts w:eastAsia="Calibri" w:cs="Times New Roman"/>
                <w:sz w:val="22"/>
              </w:rPr>
              <w:t xml:space="preserve"> ± 4</w:t>
            </w:r>
          </w:p>
        </w:tc>
        <w:tc>
          <w:tcPr>
            <w:tcW w:w="0" w:type="auto"/>
          </w:tcPr>
          <w:p w14:paraId="5FC589F9"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50</w:t>
            </w:r>
            <w:r w:rsidRPr="00B20675">
              <w:rPr>
                <w:rFonts w:eastAsia="Calibri" w:cs="Times New Roman"/>
                <w:sz w:val="22"/>
                <w:vertAlign w:val="superscript"/>
              </w:rPr>
              <w:t>a</w:t>
            </w:r>
            <w:r w:rsidRPr="00B20675">
              <w:rPr>
                <w:rFonts w:eastAsia="Calibri" w:cs="Times New Roman"/>
                <w:sz w:val="22"/>
              </w:rPr>
              <w:t xml:space="preserve"> ± 1</w:t>
            </w:r>
          </w:p>
        </w:tc>
        <w:tc>
          <w:tcPr>
            <w:tcW w:w="0" w:type="auto"/>
          </w:tcPr>
          <w:p w14:paraId="384B01BB"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3.1</w:t>
            </w:r>
            <w:r w:rsidRPr="00B20675">
              <w:rPr>
                <w:rFonts w:eastAsia="Calibri" w:cs="Times New Roman"/>
                <w:sz w:val="22"/>
                <w:vertAlign w:val="superscript"/>
              </w:rPr>
              <w:t>a</w:t>
            </w:r>
            <w:r w:rsidRPr="00B20675">
              <w:rPr>
                <w:rFonts w:eastAsia="Calibri" w:cs="Times New Roman"/>
                <w:sz w:val="22"/>
              </w:rPr>
              <w:t xml:space="preserve"> ± 0.3</w:t>
            </w:r>
          </w:p>
        </w:tc>
        <w:tc>
          <w:tcPr>
            <w:tcW w:w="0" w:type="auto"/>
          </w:tcPr>
          <w:p w14:paraId="308E2878"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Not applicable</w:t>
            </w:r>
          </w:p>
        </w:tc>
        <w:tc>
          <w:tcPr>
            <w:tcW w:w="0" w:type="auto"/>
          </w:tcPr>
          <w:p w14:paraId="58B34CA6"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Not applicable</w:t>
            </w:r>
          </w:p>
        </w:tc>
        <w:tc>
          <w:tcPr>
            <w:tcW w:w="0" w:type="auto"/>
          </w:tcPr>
          <w:p w14:paraId="719059F6"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Not applicable</w:t>
            </w:r>
          </w:p>
        </w:tc>
        <w:tc>
          <w:tcPr>
            <w:tcW w:w="0" w:type="auto"/>
          </w:tcPr>
          <w:p w14:paraId="49D83484"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Not applicable</w:t>
            </w:r>
          </w:p>
        </w:tc>
      </w:tr>
      <w:tr w:rsidR="00C50867" w:rsidRPr="00B20675" w14:paraId="4BA94E0B" w14:textId="77777777" w:rsidTr="00C50867">
        <w:tc>
          <w:tcPr>
            <w:tcW w:w="0" w:type="auto"/>
          </w:tcPr>
          <w:p w14:paraId="3601AC89" w14:textId="77777777" w:rsidR="00B20675" w:rsidRPr="00B20675" w:rsidRDefault="00B20675" w:rsidP="00EB2848">
            <w:pPr>
              <w:spacing w:after="0" w:line="240" w:lineRule="auto"/>
              <w:rPr>
                <w:rFonts w:eastAsia="Calibri" w:cs="Times New Roman"/>
                <w:sz w:val="22"/>
              </w:rPr>
            </w:pPr>
            <w:r w:rsidRPr="00B20675">
              <w:rPr>
                <w:rFonts w:eastAsia="Calibri" w:cs="Times New Roman"/>
                <w:sz w:val="22"/>
              </w:rPr>
              <w:t>Moringa</w:t>
            </w:r>
          </w:p>
        </w:tc>
        <w:tc>
          <w:tcPr>
            <w:tcW w:w="0" w:type="auto"/>
          </w:tcPr>
          <w:p w14:paraId="7944D79C"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19.1</w:t>
            </w:r>
            <w:r w:rsidRPr="00B20675">
              <w:rPr>
                <w:rFonts w:eastAsia="Calibri" w:cs="Times New Roman"/>
                <w:sz w:val="22"/>
                <w:vertAlign w:val="superscript"/>
              </w:rPr>
              <w:t>f</w:t>
            </w:r>
            <w:r w:rsidRPr="00B20675">
              <w:rPr>
                <w:rFonts w:eastAsia="Calibri" w:cs="Times New Roman"/>
                <w:sz w:val="22"/>
              </w:rPr>
              <w:t xml:space="preserve"> ± 0.1</w:t>
            </w:r>
          </w:p>
        </w:tc>
        <w:tc>
          <w:tcPr>
            <w:tcW w:w="0" w:type="auto"/>
          </w:tcPr>
          <w:p w14:paraId="611085B0" w14:textId="2192E56F"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2.0</w:t>
            </w:r>
            <w:r w:rsidRPr="00B20675">
              <w:rPr>
                <w:rFonts w:eastAsia="Calibri" w:cs="Times New Roman"/>
                <w:sz w:val="22"/>
                <w:vertAlign w:val="superscript"/>
              </w:rPr>
              <w:t>b</w:t>
            </w:r>
            <w:r w:rsidRPr="00B20675">
              <w:rPr>
                <w:rFonts w:eastAsia="Calibri" w:cs="Times New Roman"/>
                <w:sz w:val="22"/>
              </w:rPr>
              <w:t xml:space="preserve"> ± 0</w:t>
            </w:r>
          </w:p>
        </w:tc>
        <w:tc>
          <w:tcPr>
            <w:tcW w:w="0" w:type="auto"/>
          </w:tcPr>
          <w:p w14:paraId="51E5A141"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4252</w:t>
            </w:r>
            <w:r w:rsidRPr="00B20675">
              <w:rPr>
                <w:rFonts w:eastAsia="Calibri" w:cs="Times New Roman"/>
                <w:sz w:val="22"/>
                <w:vertAlign w:val="superscript"/>
              </w:rPr>
              <w:t>c</w:t>
            </w:r>
            <w:r w:rsidRPr="00B20675">
              <w:rPr>
                <w:rFonts w:eastAsia="Calibri" w:cs="Times New Roman"/>
                <w:sz w:val="22"/>
              </w:rPr>
              <w:t xml:space="preserve"> ± 72</w:t>
            </w:r>
          </w:p>
        </w:tc>
        <w:tc>
          <w:tcPr>
            <w:tcW w:w="0" w:type="auto"/>
          </w:tcPr>
          <w:p w14:paraId="71681F2A"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896</w:t>
            </w:r>
            <w:r w:rsidRPr="00B20675">
              <w:rPr>
                <w:rFonts w:eastAsia="Calibri" w:cs="Times New Roman"/>
                <w:sz w:val="22"/>
                <w:vertAlign w:val="superscript"/>
              </w:rPr>
              <w:t>c</w:t>
            </w:r>
            <w:r w:rsidRPr="00B20675">
              <w:rPr>
                <w:rFonts w:eastAsia="Calibri" w:cs="Times New Roman"/>
                <w:sz w:val="22"/>
              </w:rPr>
              <w:t xml:space="preserve"> ± 28</w:t>
            </w:r>
          </w:p>
        </w:tc>
        <w:tc>
          <w:tcPr>
            <w:tcW w:w="0" w:type="auto"/>
          </w:tcPr>
          <w:p w14:paraId="42808552"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330</w:t>
            </w:r>
            <w:r w:rsidRPr="00B20675">
              <w:rPr>
                <w:rFonts w:eastAsia="Calibri" w:cs="Times New Roman"/>
                <w:sz w:val="22"/>
                <w:vertAlign w:val="superscript"/>
              </w:rPr>
              <w:t>cd</w:t>
            </w:r>
            <w:r w:rsidRPr="00B20675">
              <w:rPr>
                <w:rFonts w:eastAsia="Calibri" w:cs="Times New Roman"/>
                <w:sz w:val="22"/>
              </w:rPr>
              <w:t xml:space="preserve"> ± 3</w:t>
            </w:r>
          </w:p>
        </w:tc>
        <w:tc>
          <w:tcPr>
            <w:tcW w:w="0" w:type="auto"/>
          </w:tcPr>
          <w:p w14:paraId="57876664"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12.8</w:t>
            </w:r>
            <w:r w:rsidRPr="00B20675">
              <w:rPr>
                <w:rFonts w:eastAsia="Calibri" w:cs="Times New Roman"/>
                <w:sz w:val="22"/>
                <w:vertAlign w:val="superscript"/>
              </w:rPr>
              <w:t>b</w:t>
            </w:r>
            <w:r w:rsidRPr="00B20675">
              <w:rPr>
                <w:rFonts w:eastAsia="Calibri" w:cs="Times New Roman"/>
                <w:sz w:val="22"/>
              </w:rPr>
              <w:t xml:space="preserve"> ± 0.1</w:t>
            </w:r>
          </w:p>
        </w:tc>
        <w:tc>
          <w:tcPr>
            <w:tcW w:w="0" w:type="auto"/>
          </w:tcPr>
          <w:p w14:paraId="006FEEBC"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Not applicable</w:t>
            </w:r>
          </w:p>
        </w:tc>
        <w:tc>
          <w:tcPr>
            <w:tcW w:w="0" w:type="auto"/>
          </w:tcPr>
          <w:p w14:paraId="6126650E"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Not applicable</w:t>
            </w:r>
          </w:p>
        </w:tc>
        <w:tc>
          <w:tcPr>
            <w:tcW w:w="0" w:type="auto"/>
          </w:tcPr>
          <w:p w14:paraId="18FFC439"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Not applicable</w:t>
            </w:r>
          </w:p>
        </w:tc>
        <w:tc>
          <w:tcPr>
            <w:tcW w:w="0" w:type="auto"/>
          </w:tcPr>
          <w:p w14:paraId="2717807F"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Not applicable</w:t>
            </w:r>
          </w:p>
        </w:tc>
      </w:tr>
      <w:tr w:rsidR="00C50867" w:rsidRPr="00B20675" w14:paraId="0C8C0ABF" w14:textId="77777777" w:rsidTr="00C50867">
        <w:tc>
          <w:tcPr>
            <w:tcW w:w="0" w:type="auto"/>
          </w:tcPr>
          <w:p w14:paraId="5BF17905" w14:textId="77777777" w:rsidR="007629BE" w:rsidRPr="00C50867" w:rsidRDefault="00B20675" w:rsidP="007629BE">
            <w:pPr>
              <w:spacing w:after="0" w:line="240" w:lineRule="auto"/>
              <w:rPr>
                <w:rFonts w:eastAsia="Calibri" w:cs="Times New Roman"/>
                <w:sz w:val="22"/>
              </w:rPr>
            </w:pPr>
            <w:r w:rsidRPr="00B20675">
              <w:rPr>
                <w:rFonts w:eastAsia="Calibri" w:cs="Times New Roman"/>
                <w:sz w:val="22"/>
              </w:rPr>
              <w:t>Millet porridge</w:t>
            </w:r>
          </w:p>
          <w:p w14:paraId="3923E7E5" w14:textId="59BC95D9" w:rsidR="00B20675" w:rsidRPr="00B20675" w:rsidRDefault="00B20675" w:rsidP="007629BE">
            <w:pPr>
              <w:spacing w:after="0" w:line="240" w:lineRule="auto"/>
              <w:rPr>
                <w:rFonts w:eastAsia="Calibri" w:cs="Times New Roman"/>
                <w:sz w:val="22"/>
              </w:rPr>
            </w:pPr>
            <w:r w:rsidRPr="00B20675">
              <w:rPr>
                <w:rFonts w:eastAsia="Calibri" w:cs="Times New Roman"/>
                <w:sz w:val="22"/>
              </w:rPr>
              <w:t>+Baobab (100:15)</w:t>
            </w:r>
          </w:p>
        </w:tc>
        <w:tc>
          <w:tcPr>
            <w:tcW w:w="0" w:type="auto"/>
          </w:tcPr>
          <w:p w14:paraId="3184053F" w14:textId="752A7CBF"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8.6</w:t>
            </w:r>
            <w:r w:rsidRPr="00B20675">
              <w:rPr>
                <w:rFonts w:eastAsia="Calibri" w:cs="Times New Roman"/>
                <w:sz w:val="22"/>
                <w:vertAlign w:val="superscript"/>
              </w:rPr>
              <w:t>b</w:t>
            </w:r>
            <w:r w:rsidRPr="00B20675">
              <w:rPr>
                <w:rFonts w:eastAsia="Calibri" w:cs="Times New Roman"/>
                <w:sz w:val="22"/>
              </w:rPr>
              <w:t xml:space="preserve">  ± 0.0</w:t>
            </w:r>
          </w:p>
        </w:tc>
        <w:tc>
          <w:tcPr>
            <w:tcW w:w="0" w:type="auto"/>
          </w:tcPr>
          <w:p w14:paraId="30CA1F8C"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6.3</w:t>
            </w:r>
            <w:r w:rsidRPr="00B20675">
              <w:rPr>
                <w:rFonts w:eastAsia="Calibri" w:cs="Times New Roman"/>
                <w:sz w:val="22"/>
                <w:vertAlign w:val="superscript"/>
              </w:rPr>
              <w:t>cd</w:t>
            </w:r>
            <w:r w:rsidRPr="00B20675">
              <w:rPr>
                <w:rFonts w:eastAsia="Calibri" w:cs="Times New Roman"/>
                <w:sz w:val="22"/>
              </w:rPr>
              <w:t xml:space="preserve"> ± 0.2</w:t>
            </w:r>
          </w:p>
        </w:tc>
        <w:tc>
          <w:tcPr>
            <w:tcW w:w="0" w:type="auto"/>
          </w:tcPr>
          <w:p w14:paraId="565FA20B" w14:textId="77777777" w:rsidR="00C50867" w:rsidRDefault="00B20675" w:rsidP="00C50867">
            <w:pPr>
              <w:spacing w:after="0" w:line="240" w:lineRule="auto"/>
              <w:jc w:val="center"/>
              <w:rPr>
                <w:rFonts w:eastAsia="Calibri" w:cs="Times New Roman"/>
                <w:sz w:val="22"/>
              </w:rPr>
            </w:pPr>
            <w:r w:rsidRPr="00B20675">
              <w:rPr>
                <w:rFonts w:eastAsia="Calibri" w:cs="Times New Roman"/>
                <w:sz w:val="22"/>
              </w:rPr>
              <w:t>72</w:t>
            </w:r>
            <w:r w:rsidRPr="00B20675">
              <w:rPr>
                <w:rFonts w:eastAsia="Calibri" w:cs="Times New Roman"/>
                <w:sz w:val="22"/>
                <w:vertAlign w:val="superscript"/>
              </w:rPr>
              <w:t>a</w:t>
            </w:r>
            <w:r w:rsidRPr="00B20675">
              <w:rPr>
                <w:rFonts w:eastAsia="Calibri" w:cs="Times New Roman"/>
                <w:sz w:val="22"/>
              </w:rPr>
              <w:t xml:space="preserve"> </w:t>
            </w:r>
          </w:p>
          <w:p w14:paraId="552919A5" w14:textId="2DD869A6"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 1</w:t>
            </w:r>
          </w:p>
        </w:tc>
        <w:tc>
          <w:tcPr>
            <w:tcW w:w="0" w:type="auto"/>
          </w:tcPr>
          <w:p w14:paraId="24C9BC57"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150</w:t>
            </w:r>
            <w:r w:rsidRPr="00B20675">
              <w:rPr>
                <w:rFonts w:eastAsia="Calibri" w:cs="Times New Roman"/>
                <w:sz w:val="22"/>
                <w:vertAlign w:val="superscript"/>
              </w:rPr>
              <w:t>a</w:t>
            </w:r>
            <w:r w:rsidRPr="00B20675">
              <w:rPr>
                <w:rFonts w:eastAsia="Calibri" w:cs="Times New Roman"/>
                <w:sz w:val="22"/>
              </w:rPr>
              <w:t xml:space="preserve"> ± 6</w:t>
            </w:r>
          </w:p>
        </w:tc>
        <w:tc>
          <w:tcPr>
            <w:tcW w:w="0" w:type="auto"/>
          </w:tcPr>
          <w:p w14:paraId="6259D421" w14:textId="77777777" w:rsidR="00C50867" w:rsidRDefault="00B20675" w:rsidP="00C50867">
            <w:pPr>
              <w:spacing w:after="0" w:line="240" w:lineRule="auto"/>
              <w:jc w:val="center"/>
              <w:rPr>
                <w:rFonts w:eastAsia="Calibri" w:cs="Times New Roman"/>
                <w:sz w:val="22"/>
              </w:rPr>
            </w:pPr>
            <w:r w:rsidRPr="00B20675">
              <w:rPr>
                <w:rFonts w:eastAsia="Calibri" w:cs="Times New Roman"/>
                <w:sz w:val="22"/>
              </w:rPr>
              <w:t>282</w:t>
            </w:r>
            <w:r w:rsidRPr="00B20675">
              <w:rPr>
                <w:rFonts w:eastAsia="Calibri" w:cs="Times New Roman"/>
                <w:sz w:val="22"/>
                <w:vertAlign w:val="superscript"/>
              </w:rPr>
              <w:t>b</w:t>
            </w:r>
            <w:r w:rsidRPr="00B20675">
              <w:rPr>
                <w:rFonts w:eastAsia="Calibri" w:cs="Times New Roman"/>
                <w:sz w:val="22"/>
              </w:rPr>
              <w:t xml:space="preserve"> </w:t>
            </w:r>
          </w:p>
          <w:p w14:paraId="6A4B1092" w14:textId="2B2BD320"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 9</w:t>
            </w:r>
          </w:p>
        </w:tc>
        <w:tc>
          <w:tcPr>
            <w:tcW w:w="0" w:type="auto"/>
          </w:tcPr>
          <w:p w14:paraId="4B4F43FF" w14:textId="77777777" w:rsidR="00C50867" w:rsidRDefault="00B20675" w:rsidP="00C50867">
            <w:pPr>
              <w:spacing w:after="0" w:line="240" w:lineRule="auto"/>
              <w:jc w:val="center"/>
              <w:rPr>
                <w:rFonts w:eastAsia="Calibri" w:cs="Times New Roman"/>
                <w:sz w:val="22"/>
              </w:rPr>
            </w:pPr>
            <w:r w:rsidRPr="00B20675">
              <w:rPr>
                <w:rFonts w:eastAsia="Calibri" w:cs="Times New Roman"/>
                <w:sz w:val="22"/>
              </w:rPr>
              <w:t>3.6</w:t>
            </w:r>
            <w:r w:rsidRPr="00B20675">
              <w:rPr>
                <w:rFonts w:eastAsia="Calibri" w:cs="Times New Roman"/>
                <w:sz w:val="22"/>
                <w:vertAlign w:val="superscript"/>
              </w:rPr>
              <w:t>a</w:t>
            </w:r>
            <w:r w:rsidRPr="00B20675">
              <w:rPr>
                <w:rFonts w:eastAsia="Calibri" w:cs="Times New Roman"/>
                <w:sz w:val="22"/>
              </w:rPr>
              <w:t xml:space="preserve"> </w:t>
            </w:r>
          </w:p>
          <w:p w14:paraId="5CC7AF5E" w14:textId="3AF07184"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 0.3</w:t>
            </w:r>
          </w:p>
        </w:tc>
        <w:tc>
          <w:tcPr>
            <w:tcW w:w="0" w:type="auto"/>
          </w:tcPr>
          <w:p w14:paraId="5B714C70" w14:textId="7A00B09B" w:rsidR="007629BE" w:rsidRPr="00C50867" w:rsidRDefault="00B20675" w:rsidP="00C50867">
            <w:pPr>
              <w:spacing w:after="0" w:line="240" w:lineRule="auto"/>
              <w:jc w:val="center"/>
              <w:rPr>
                <w:rFonts w:eastAsia="Calibri" w:cs="Times New Roman"/>
                <w:sz w:val="22"/>
              </w:rPr>
            </w:pPr>
            <w:r w:rsidRPr="00B20675">
              <w:rPr>
                <w:rFonts w:eastAsia="Calibri" w:cs="Times New Roman"/>
                <w:sz w:val="22"/>
              </w:rPr>
              <w:t>29.3</w:t>
            </w:r>
          </w:p>
          <w:p w14:paraId="739F8C6D" w14:textId="248E5EBF"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(35.1</w:t>
            </w:r>
            <w:r w:rsidRPr="00B20675">
              <w:rPr>
                <w:rFonts w:eastAsia="Calibri" w:cs="Times New Roman"/>
                <w:sz w:val="22"/>
                <w:vertAlign w:val="superscript"/>
              </w:rPr>
              <w:t>5</w:t>
            </w:r>
            <w:r w:rsidRPr="00B20675">
              <w:rPr>
                <w:rFonts w:eastAsia="Calibri" w:cs="Times New Roman"/>
                <w:sz w:val="22"/>
              </w:rPr>
              <w:t>)</w:t>
            </w:r>
          </w:p>
        </w:tc>
        <w:tc>
          <w:tcPr>
            <w:tcW w:w="0" w:type="auto"/>
          </w:tcPr>
          <w:p w14:paraId="4ADB2549"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64.3</w:t>
            </w:r>
          </w:p>
        </w:tc>
        <w:tc>
          <w:tcPr>
            <w:tcW w:w="0" w:type="auto"/>
          </w:tcPr>
          <w:p w14:paraId="54324CBE"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7.2</w:t>
            </w:r>
          </w:p>
        </w:tc>
        <w:tc>
          <w:tcPr>
            <w:tcW w:w="0" w:type="auto"/>
          </w:tcPr>
          <w:p w14:paraId="28B6EC18"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68.2</w:t>
            </w:r>
          </w:p>
        </w:tc>
      </w:tr>
      <w:tr w:rsidR="00C50867" w:rsidRPr="00B20675" w14:paraId="4FA4D1BD" w14:textId="77777777" w:rsidTr="00C50867">
        <w:tc>
          <w:tcPr>
            <w:tcW w:w="0" w:type="auto"/>
            <w:tcBorders>
              <w:bottom w:val="nil"/>
            </w:tcBorders>
          </w:tcPr>
          <w:p w14:paraId="0D7D5DC2" w14:textId="77777777" w:rsidR="007629BE" w:rsidRPr="00C50867" w:rsidRDefault="00B20675" w:rsidP="00EB2848">
            <w:pPr>
              <w:spacing w:after="0" w:line="240" w:lineRule="auto"/>
              <w:rPr>
                <w:rFonts w:eastAsia="Calibri" w:cs="Times New Roman"/>
                <w:sz w:val="22"/>
              </w:rPr>
            </w:pPr>
            <w:r w:rsidRPr="00B20675">
              <w:rPr>
                <w:rFonts w:eastAsia="Calibri" w:cs="Times New Roman"/>
                <w:sz w:val="22"/>
              </w:rPr>
              <w:t>Millet porridge</w:t>
            </w:r>
          </w:p>
          <w:p w14:paraId="7384F370" w14:textId="1D8295D9" w:rsidR="00B20675" w:rsidRPr="00B20675" w:rsidRDefault="00B20675" w:rsidP="00EB2848">
            <w:pPr>
              <w:spacing w:after="0" w:line="240" w:lineRule="auto"/>
              <w:rPr>
                <w:rFonts w:eastAsia="Calibri" w:cs="Times New Roman"/>
                <w:sz w:val="22"/>
              </w:rPr>
            </w:pPr>
            <w:r w:rsidRPr="00B20675">
              <w:rPr>
                <w:rFonts w:eastAsia="Calibri" w:cs="Times New Roman"/>
                <w:sz w:val="22"/>
              </w:rPr>
              <w:t>+Moringa (100:15)</w:t>
            </w:r>
          </w:p>
        </w:tc>
        <w:tc>
          <w:tcPr>
            <w:tcW w:w="0" w:type="auto"/>
            <w:tcBorders>
              <w:bottom w:val="nil"/>
            </w:tcBorders>
          </w:tcPr>
          <w:p w14:paraId="4E7BF66A"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10.7</w:t>
            </w:r>
            <w:r w:rsidRPr="00B20675">
              <w:rPr>
                <w:rFonts w:eastAsia="Calibri" w:cs="Times New Roman"/>
                <w:sz w:val="22"/>
                <w:vertAlign w:val="superscript"/>
              </w:rPr>
              <w:t>e</w:t>
            </w:r>
            <w:r w:rsidRPr="00B20675">
              <w:rPr>
                <w:rFonts w:eastAsia="Calibri" w:cs="Times New Roman"/>
                <w:sz w:val="22"/>
              </w:rPr>
              <w:t xml:space="preserve"> ± 0.6</w:t>
            </w:r>
          </w:p>
        </w:tc>
        <w:tc>
          <w:tcPr>
            <w:tcW w:w="0" w:type="auto"/>
            <w:tcBorders>
              <w:bottom w:val="nil"/>
            </w:tcBorders>
          </w:tcPr>
          <w:p w14:paraId="04A91B8D"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6.4</w:t>
            </w:r>
            <w:r w:rsidRPr="00B20675">
              <w:rPr>
                <w:rFonts w:eastAsia="Calibri" w:cs="Times New Roman"/>
                <w:sz w:val="22"/>
                <w:vertAlign w:val="superscript"/>
              </w:rPr>
              <w:t>cd</w:t>
            </w:r>
            <w:r w:rsidRPr="00B20675">
              <w:rPr>
                <w:rFonts w:eastAsia="Calibri" w:cs="Times New Roman"/>
                <w:sz w:val="22"/>
              </w:rPr>
              <w:t xml:space="preserve"> ± 0.4</w:t>
            </w:r>
          </w:p>
        </w:tc>
        <w:tc>
          <w:tcPr>
            <w:tcW w:w="0" w:type="auto"/>
            <w:tcBorders>
              <w:bottom w:val="nil"/>
            </w:tcBorders>
          </w:tcPr>
          <w:p w14:paraId="669297EF"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547</w:t>
            </w:r>
            <w:r w:rsidRPr="00B20675">
              <w:rPr>
                <w:rFonts w:eastAsia="Calibri" w:cs="Times New Roman"/>
                <w:sz w:val="22"/>
                <w:vertAlign w:val="superscript"/>
              </w:rPr>
              <w:t>b</w:t>
            </w:r>
            <w:r w:rsidRPr="00B20675">
              <w:rPr>
                <w:rFonts w:eastAsia="Calibri" w:cs="Times New Roman"/>
                <w:sz w:val="22"/>
              </w:rPr>
              <w:t xml:space="preserve"> ± 14</w:t>
            </w:r>
          </w:p>
        </w:tc>
        <w:tc>
          <w:tcPr>
            <w:tcW w:w="0" w:type="auto"/>
            <w:tcBorders>
              <w:bottom w:val="nil"/>
            </w:tcBorders>
          </w:tcPr>
          <w:p w14:paraId="20DB9001"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227</w:t>
            </w:r>
            <w:r w:rsidRPr="00B20675">
              <w:rPr>
                <w:rFonts w:eastAsia="Calibri" w:cs="Times New Roman"/>
                <w:sz w:val="22"/>
                <w:vertAlign w:val="superscript"/>
              </w:rPr>
              <w:t>b</w:t>
            </w:r>
            <w:r w:rsidRPr="00B20675">
              <w:rPr>
                <w:rFonts w:eastAsia="Calibri" w:cs="Times New Roman"/>
                <w:sz w:val="22"/>
              </w:rPr>
              <w:t xml:space="preserve"> ± 5</w:t>
            </w:r>
          </w:p>
        </w:tc>
        <w:tc>
          <w:tcPr>
            <w:tcW w:w="0" w:type="auto"/>
            <w:tcBorders>
              <w:bottom w:val="nil"/>
            </w:tcBorders>
          </w:tcPr>
          <w:p w14:paraId="22304A96"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318</w:t>
            </w:r>
            <w:r w:rsidRPr="00B20675">
              <w:rPr>
                <w:rFonts w:eastAsia="Calibri" w:cs="Times New Roman"/>
                <w:sz w:val="22"/>
                <w:vertAlign w:val="superscript"/>
              </w:rPr>
              <w:t>cd</w:t>
            </w:r>
            <w:r w:rsidRPr="00B20675">
              <w:rPr>
                <w:rFonts w:eastAsia="Calibri" w:cs="Times New Roman"/>
                <w:sz w:val="22"/>
              </w:rPr>
              <w:t xml:space="preserve"> ± 11</w:t>
            </w:r>
          </w:p>
        </w:tc>
        <w:tc>
          <w:tcPr>
            <w:tcW w:w="0" w:type="auto"/>
            <w:tcBorders>
              <w:bottom w:val="nil"/>
            </w:tcBorders>
          </w:tcPr>
          <w:p w14:paraId="353FB3AA" w14:textId="77777777" w:rsidR="00C50867" w:rsidRDefault="00B20675" w:rsidP="00C50867">
            <w:pPr>
              <w:spacing w:after="0" w:line="240" w:lineRule="auto"/>
              <w:jc w:val="center"/>
              <w:rPr>
                <w:rFonts w:eastAsia="Calibri" w:cs="Times New Roman"/>
                <w:sz w:val="22"/>
              </w:rPr>
            </w:pPr>
            <w:r w:rsidRPr="00B20675">
              <w:rPr>
                <w:rFonts w:eastAsia="Calibri" w:cs="Times New Roman"/>
                <w:sz w:val="22"/>
              </w:rPr>
              <w:t>4.2</w:t>
            </w:r>
            <w:r w:rsidRPr="00B20675">
              <w:rPr>
                <w:rFonts w:eastAsia="Calibri" w:cs="Times New Roman"/>
                <w:sz w:val="22"/>
                <w:vertAlign w:val="superscript"/>
              </w:rPr>
              <w:t>a</w:t>
            </w:r>
            <w:r w:rsidRPr="00B20675">
              <w:rPr>
                <w:rFonts w:eastAsia="Calibri" w:cs="Times New Roman"/>
                <w:sz w:val="22"/>
              </w:rPr>
              <w:t xml:space="preserve"> </w:t>
            </w:r>
          </w:p>
          <w:p w14:paraId="31AA1643" w14:textId="67DC4B02"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 0.3</w:t>
            </w:r>
          </w:p>
        </w:tc>
        <w:tc>
          <w:tcPr>
            <w:tcW w:w="0" w:type="auto"/>
            <w:tcBorders>
              <w:bottom w:val="nil"/>
            </w:tcBorders>
          </w:tcPr>
          <w:p w14:paraId="6524E3E6"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36.4</w:t>
            </w:r>
          </w:p>
        </w:tc>
        <w:tc>
          <w:tcPr>
            <w:tcW w:w="0" w:type="auto"/>
            <w:tcBorders>
              <w:bottom w:val="nil"/>
            </w:tcBorders>
          </w:tcPr>
          <w:p w14:paraId="5347ED68"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65.3</w:t>
            </w:r>
          </w:p>
        </w:tc>
        <w:tc>
          <w:tcPr>
            <w:tcW w:w="0" w:type="auto"/>
            <w:tcBorders>
              <w:bottom w:val="nil"/>
            </w:tcBorders>
          </w:tcPr>
          <w:p w14:paraId="096B9C7B"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54.7</w:t>
            </w:r>
          </w:p>
        </w:tc>
        <w:tc>
          <w:tcPr>
            <w:tcW w:w="0" w:type="auto"/>
            <w:tcBorders>
              <w:bottom w:val="nil"/>
            </w:tcBorders>
          </w:tcPr>
          <w:p w14:paraId="005ECB2B"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103.2</w:t>
            </w:r>
          </w:p>
        </w:tc>
      </w:tr>
      <w:tr w:rsidR="00C50867" w:rsidRPr="00B20675" w14:paraId="57E7CF33" w14:textId="77777777" w:rsidTr="00C50867">
        <w:tc>
          <w:tcPr>
            <w:tcW w:w="0" w:type="auto"/>
            <w:tcBorders>
              <w:top w:val="nil"/>
              <w:bottom w:val="nil"/>
            </w:tcBorders>
          </w:tcPr>
          <w:p w14:paraId="35BB6C6A" w14:textId="77777777" w:rsidR="007629BE" w:rsidRPr="00C50867" w:rsidRDefault="00B20675" w:rsidP="00EB2848">
            <w:pPr>
              <w:spacing w:after="0" w:line="240" w:lineRule="auto"/>
              <w:rPr>
                <w:rFonts w:eastAsia="Calibri" w:cs="Times New Roman"/>
                <w:sz w:val="22"/>
              </w:rPr>
            </w:pPr>
            <w:r w:rsidRPr="00B20675">
              <w:rPr>
                <w:rFonts w:eastAsia="Calibri" w:cs="Times New Roman"/>
                <w:sz w:val="22"/>
              </w:rPr>
              <w:t>Millet porridge</w:t>
            </w:r>
          </w:p>
          <w:p w14:paraId="19DF9B00" w14:textId="723AFC64" w:rsidR="007629BE" w:rsidRPr="00C50867" w:rsidRDefault="00B20675" w:rsidP="00EB2848">
            <w:pPr>
              <w:spacing w:after="0" w:line="240" w:lineRule="auto"/>
              <w:rPr>
                <w:rFonts w:eastAsia="Calibri" w:cs="Times New Roman"/>
                <w:sz w:val="22"/>
              </w:rPr>
            </w:pPr>
            <w:r w:rsidRPr="00B20675">
              <w:rPr>
                <w:rFonts w:eastAsia="Calibri" w:cs="Times New Roman"/>
                <w:sz w:val="22"/>
              </w:rPr>
              <w:t>+Baobab</w:t>
            </w:r>
          </w:p>
          <w:p w14:paraId="010F2472" w14:textId="3249FEE1" w:rsidR="00B20675" w:rsidRPr="00B20675" w:rsidRDefault="00B20675" w:rsidP="00EB2848">
            <w:pPr>
              <w:spacing w:after="0" w:line="240" w:lineRule="auto"/>
              <w:rPr>
                <w:rFonts w:eastAsia="Calibri" w:cs="Times New Roman"/>
                <w:sz w:val="22"/>
              </w:rPr>
            </w:pPr>
            <w:r w:rsidRPr="00B20675">
              <w:rPr>
                <w:rFonts w:eastAsia="Calibri" w:cs="Times New Roman"/>
                <w:sz w:val="22"/>
              </w:rPr>
              <w:t>+Moringa (100:15:15)</w:t>
            </w:r>
          </w:p>
        </w:tc>
        <w:tc>
          <w:tcPr>
            <w:tcW w:w="0" w:type="auto"/>
            <w:tcBorders>
              <w:top w:val="nil"/>
              <w:bottom w:val="nil"/>
            </w:tcBorders>
          </w:tcPr>
          <w:p w14:paraId="165A5CA4" w14:textId="77777777" w:rsidR="00C50867" w:rsidRDefault="00B20675" w:rsidP="00C50867">
            <w:pPr>
              <w:spacing w:after="0" w:line="240" w:lineRule="auto"/>
              <w:jc w:val="center"/>
              <w:rPr>
                <w:rFonts w:eastAsia="Calibri" w:cs="Times New Roman"/>
                <w:sz w:val="22"/>
              </w:rPr>
            </w:pPr>
            <w:r w:rsidRPr="00B20675">
              <w:rPr>
                <w:rFonts w:eastAsia="Calibri" w:cs="Times New Roman"/>
                <w:sz w:val="22"/>
              </w:rPr>
              <w:t>9.9</w:t>
            </w:r>
            <w:r w:rsidRPr="00B20675">
              <w:rPr>
                <w:rFonts w:eastAsia="Calibri" w:cs="Times New Roman"/>
                <w:sz w:val="22"/>
                <w:vertAlign w:val="superscript"/>
              </w:rPr>
              <w:t>d</w:t>
            </w:r>
            <w:r w:rsidRPr="00B20675">
              <w:rPr>
                <w:rFonts w:eastAsia="Calibri" w:cs="Times New Roman"/>
                <w:sz w:val="22"/>
              </w:rPr>
              <w:t xml:space="preserve"> </w:t>
            </w:r>
          </w:p>
          <w:p w14:paraId="3CF5D0AD" w14:textId="23A0CD5B"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 0</w:t>
            </w:r>
          </w:p>
        </w:tc>
        <w:tc>
          <w:tcPr>
            <w:tcW w:w="0" w:type="auto"/>
            <w:tcBorders>
              <w:top w:val="nil"/>
              <w:bottom w:val="nil"/>
            </w:tcBorders>
          </w:tcPr>
          <w:p w14:paraId="3D535D95"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5.9</w:t>
            </w:r>
            <w:r w:rsidRPr="00B20675">
              <w:rPr>
                <w:rFonts w:eastAsia="Calibri" w:cs="Times New Roman"/>
                <w:sz w:val="22"/>
                <w:vertAlign w:val="superscript"/>
              </w:rPr>
              <w:t>c</w:t>
            </w:r>
            <w:r w:rsidRPr="00B20675">
              <w:rPr>
                <w:rFonts w:eastAsia="Calibri" w:cs="Times New Roman"/>
                <w:sz w:val="22"/>
              </w:rPr>
              <w:t xml:space="preserve"> ± 0.1</w:t>
            </w:r>
          </w:p>
        </w:tc>
        <w:tc>
          <w:tcPr>
            <w:tcW w:w="0" w:type="auto"/>
            <w:tcBorders>
              <w:top w:val="nil"/>
              <w:bottom w:val="nil"/>
            </w:tcBorders>
          </w:tcPr>
          <w:p w14:paraId="4239EF2D" w14:textId="07842904"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547</w:t>
            </w:r>
            <w:r w:rsidRPr="00B20675">
              <w:rPr>
                <w:rFonts w:eastAsia="Calibri" w:cs="Times New Roman"/>
                <w:sz w:val="22"/>
                <w:vertAlign w:val="superscript"/>
              </w:rPr>
              <w:t>b</w:t>
            </w:r>
            <w:r w:rsidRPr="00B20675">
              <w:rPr>
                <w:rFonts w:eastAsia="Calibri" w:cs="Times New Roman"/>
                <w:sz w:val="22"/>
              </w:rPr>
              <w:t xml:space="preserve"> ± 6</w:t>
            </w:r>
          </w:p>
        </w:tc>
        <w:tc>
          <w:tcPr>
            <w:tcW w:w="0" w:type="auto"/>
            <w:tcBorders>
              <w:top w:val="nil"/>
              <w:bottom w:val="nil"/>
            </w:tcBorders>
          </w:tcPr>
          <w:p w14:paraId="43996737"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231</w:t>
            </w:r>
            <w:r w:rsidRPr="00B20675">
              <w:rPr>
                <w:rFonts w:eastAsia="Calibri" w:cs="Times New Roman"/>
                <w:sz w:val="22"/>
                <w:vertAlign w:val="superscript"/>
              </w:rPr>
              <w:t>b</w:t>
            </w:r>
            <w:r w:rsidRPr="00B20675">
              <w:rPr>
                <w:rFonts w:eastAsia="Calibri" w:cs="Times New Roman"/>
                <w:sz w:val="22"/>
              </w:rPr>
              <w:t xml:space="preserve"> ± 1</w:t>
            </w:r>
          </w:p>
        </w:tc>
        <w:tc>
          <w:tcPr>
            <w:tcW w:w="0" w:type="auto"/>
            <w:tcBorders>
              <w:top w:val="nil"/>
              <w:bottom w:val="nil"/>
            </w:tcBorders>
          </w:tcPr>
          <w:p w14:paraId="6F1988F6"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293</w:t>
            </w:r>
            <w:r w:rsidRPr="00B20675">
              <w:rPr>
                <w:rFonts w:eastAsia="Calibri" w:cs="Times New Roman"/>
                <w:sz w:val="22"/>
                <w:vertAlign w:val="superscript"/>
              </w:rPr>
              <w:t>bc</w:t>
            </w:r>
            <w:r w:rsidRPr="00B20675">
              <w:rPr>
                <w:rFonts w:eastAsia="Calibri" w:cs="Times New Roman"/>
                <w:sz w:val="22"/>
              </w:rPr>
              <w:t xml:space="preserve"> ± 3</w:t>
            </w:r>
          </w:p>
        </w:tc>
        <w:tc>
          <w:tcPr>
            <w:tcW w:w="0" w:type="auto"/>
            <w:tcBorders>
              <w:top w:val="nil"/>
              <w:bottom w:val="nil"/>
            </w:tcBorders>
          </w:tcPr>
          <w:p w14:paraId="6AF2E45D" w14:textId="77777777" w:rsidR="00C50867" w:rsidRDefault="00B20675" w:rsidP="00C50867">
            <w:pPr>
              <w:spacing w:after="0" w:line="240" w:lineRule="auto"/>
              <w:jc w:val="center"/>
              <w:rPr>
                <w:rFonts w:eastAsia="Calibri" w:cs="Times New Roman"/>
                <w:sz w:val="22"/>
              </w:rPr>
            </w:pPr>
            <w:r w:rsidRPr="00B20675">
              <w:rPr>
                <w:rFonts w:eastAsia="Calibri" w:cs="Times New Roman"/>
                <w:sz w:val="22"/>
              </w:rPr>
              <w:t>4.5</w:t>
            </w:r>
            <w:r w:rsidRPr="00B20675">
              <w:rPr>
                <w:rFonts w:eastAsia="Calibri" w:cs="Times New Roman"/>
                <w:sz w:val="22"/>
                <w:vertAlign w:val="superscript"/>
              </w:rPr>
              <w:t>a</w:t>
            </w:r>
            <w:r w:rsidRPr="00B20675">
              <w:rPr>
                <w:rFonts w:eastAsia="Calibri" w:cs="Times New Roman"/>
                <w:sz w:val="22"/>
              </w:rPr>
              <w:t xml:space="preserve"> </w:t>
            </w:r>
          </w:p>
          <w:p w14:paraId="41A8395B" w14:textId="032FA87E"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 0.8</w:t>
            </w:r>
          </w:p>
        </w:tc>
        <w:tc>
          <w:tcPr>
            <w:tcW w:w="0" w:type="auto"/>
            <w:tcBorders>
              <w:top w:val="nil"/>
              <w:bottom w:val="nil"/>
            </w:tcBorders>
          </w:tcPr>
          <w:p w14:paraId="6DAD38CA"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33.7</w:t>
            </w:r>
          </w:p>
        </w:tc>
        <w:tc>
          <w:tcPr>
            <w:tcW w:w="0" w:type="auto"/>
            <w:tcBorders>
              <w:top w:val="nil"/>
              <w:bottom w:val="nil"/>
            </w:tcBorders>
          </w:tcPr>
          <w:p w14:paraId="29688A55"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60.2</w:t>
            </w:r>
          </w:p>
        </w:tc>
        <w:tc>
          <w:tcPr>
            <w:tcW w:w="0" w:type="auto"/>
            <w:tcBorders>
              <w:top w:val="nil"/>
              <w:bottom w:val="nil"/>
            </w:tcBorders>
          </w:tcPr>
          <w:p w14:paraId="2A8F968D"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54.7</w:t>
            </w:r>
          </w:p>
        </w:tc>
        <w:tc>
          <w:tcPr>
            <w:tcW w:w="0" w:type="auto"/>
            <w:tcBorders>
              <w:top w:val="nil"/>
              <w:bottom w:val="nil"/>
            </w:tcBorders>
          </w:tcPr>
          <w:p w14:paraId="618F777D"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105</w:t>
            </w:r>
          </w:p>
        </w:tc>
      </w:tr>
      <w:tr w:rsidR="00C50867" w:rsidRPr="00B20675" w14:paraId="6BB91139" w14:textId="77777777" w:rsidTr="00C50867">
        <w:trPr>
          <w:trHeight w:val="318"/>
        </w:trPr>
        <w:tc>
          <w:tcPr>
            <w:tcW w:w="0" w:type="auto"/>
            <w:tcBorders>
              <w:top w:val="nil"/>
              <w:bottom w:val="nil"/>
            </w:tcBorders>
          </w:tcPr>
          <w:p w14:paraId="5BC3DA33" w14:textId="77777777" w:rsidR="007629BE" w:rsidRPr="00C50867" w:rsidRDefault="00B20675" w:rsidP="00EB2848">
            <w:pPr>
              <w:spacing w:after="0" w:line="240" w:lineRule="auto"/>
              <w:rPr>
                <w:rFonts w:eastAsia="Calibri" w:cs="Times New Roman"/>
                <w:sz w:val="22"/>
              </w:rPr>
            </w:pPr>
            <w:r w:rsidRPr="00B20675">
              <w:rPr>
                <w:rFonts w:eastAsia="Calibri" w:cs="Times New Roman"/>
                <w:sz w:val="22"/>
              </w:rPr>
              <w:t>Millet porridge</w:t>
            </w:r>
          </w:p>
          <w:p w14:paraId="7304BABB" w14:textId="0396B5EA" w:rsidR="00B20675" w:rsidRPr="00B20675" w:rsidRDefault="00B20675" w:rsidP="00EB2848">
            <w:pPr>
              <w:spacing w:after="0" w:line="240" w:lineRule="auto"/>
              <w:rPr>
                <w:rFonts w:eastAsia="Calibri" w:cs="Times New Roman"/>
                <w:sz w:val="22"/>
              </w:rPr>
            </w:pPr>
            <w:r w:rsidRPr="00B20675">
              <w:rPr>
                <w:rFonts w:eastAsia="Calibri" w:cs="Times New Roman"/>
                <w:sz w:val="22"/>
              </w:rPr>
              <w:t>+Ascorbic acid</w:t>
            </w:r>
            <w:r w:rsidRPr="00B20675">
              <w:rPr>
                <w:rFonts w:eastAsia="Calibri" w:cs="Times New Roman"/>
                <w:sz w:val="22"/>
                <w:vertAlign w:val="superscript"/>
              </w:rPr>
              <w:t>6</w:t>
            </w:r>
          </w:p>
        </w:tc>
        <w:tc>
          <w:tcPr>
            <w:tcW w:w="0" w:type="auto"/>
            <w:tcBorders>
              <w:top w:val="nil"/>
              <w:bottom w:val="nil"/>
            </w:tcBorders>
          </w:tcPr>
          <w:p w14:paraId="177C84A8"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9.0</w:t>
            </w:r>
          </w:p>
        </w:tc>
        <w:tc>
          <w:tcPr>
            <w:tcW w:w="0" w:type="auto"/>
            <w:tcBorders>
              <w:top w:val="nil"/>
              <w:bottom w:val="nil"/>
            </w:tcBorders>
          </w:tcPr>
          <w:p w14:paraId="1EF9EA17"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6.6</w:t>
            </w:r>
          </w:p>
        </w:tc>
        <w:tc>
          <w:tcPr>
            <w:tcW w:w="0" w:type="auto"/>
            <w:tcBorders>
              <w:top w:val="nil"/>
              <w:bottom w:val="nil"/>
            </w:tcBorders>
          </w:tcPr>
          <w:p w14:paraId="74962BA6"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20</w:t>
            </w:r>
          </w:p>
        </w:tc>
        <w:tc>
          <w:tcPr>
            <w:tcW w:w="0" w:type="auto"/>
            <w:tcBorders>
              <w:top w:val="nil"/>
              <w:bottom w:val="nil"/>
            </w:tcBorders>
          </w:tcPr>
          <w:p w14:paraId="40158175"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137</w:t>
            </w:r>
          </w:p>
        </w:tc>
        <w:tc>
          <w:tcPr>
            <w:tcW w:w="0" w:type="auto"/>
            <w:tcBorders>
              <w:top w:val="nil"/>
              <w:bottom w:val="nil"/>
            </w:tcBorders>
          </w:tcPr>
          <w:p w14:paraId="14142C9D"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306</w:t>
            </w:r>
          </w:p>
        </w:tc>
        <w:tc>
          <w:tcPr>
            <w:tcW w:w="0" w:type="auto"/>
            <w:tcBorders>
              <w:top w:val="nil"/>
              <w:bottom w:val="nil"/>
            </w:tcBorders>
          </w:tcPr>
          <w:p w14:paraId="650044F8"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3.1</w:t>
            </w:r>
          </w:p>
        </w:tc>
        <w:tc>
          <w:tcPr>
            <w:tcW w:w="0" w:type="auto"/>
            <w:tcBorders>
              <w:top w:val="nil"/>
              <w:bottom w:val="nil"/>
            </w:tcBorders>
          </w:tcPr>
          <w:p w14:paraId="04D59B1C" w14:textId="742637EC" w:rsidR="007629BE" w:rsidRPr="00C50867" w:rsidRDefault="00B20675" w:rsidP="00C50867">
            <w:pPr>
              <w:spacing w:after="0" w:line="240" w:lineRule="auto"/>
              <w:jc w:val="center"/>
              <w:rPr>
                <w:rFonts w:eastAsia="Calibri" w:cs="Times New Roman"/>
                <w:sz w:val="22"/>
              </w:rPr>
            </w:pPr>
            <w:r w:rsidRPr="00B20675">
              <w:rPr>
                <w:rFonts w:eastAsia="Calibri" w:cs="Times New Roman"/>
                <w:sz w:val="22"/>
              </w:rPr>
              <w:t>30.6</w:t>
            </w:r>
          </w:p>
          <w:p w14:paraId="5662D84D" w14:textId="11AC2CDC"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(36.7</w:t>
            </w:r>
            <w:r w:rsidRPr="00B20675">
              <w:rPr>
                <w:rFonts w:eastAsia="Calibri" w:cs="Times New Roman"/>
                <w:sz w:val="22"/>
                <w:vertAlign w:val="superscript"/>
              </w:rPr>
              <w:t>5</w:t>
            </w:r>
            <w:r w:rsidRPr="00B20675">
              <w:rPr>
                <w:rFonts w:eastAsia="Calibri" w:cs="Times New Roman"/>
                <w:sz w:val="22"/>
              </w:rPr>
              <w:t>)</w:t>
            </w:r>
          </w:p>
        </w:tc>
        <w:tc>
          <w:tcPr>
            <w:tcW w:w="0" w:type="auto"/>
            <w:tcBorders>
              <w:top w:val="nil"/>
              <w:bottom w:val="nil"/>
            </w:tcBorders>
          </w:tcPr>
          <w:p w14:paraId="2910E5A1"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67.3</w:t>
            </w:r>
          </w:p>
        </w:tc>
        <w:tc>
          <w:tcPr>
            <w:tcW w:w="0" w:type="auto"/>
            <w:tcBorders>
              <w:top w:val="nil"/>
              <w:bottom w:val="nil"/>
            </w:tcBorders>
          </w:tcPr>
          <w:p w14:paraId="08461B4C"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2</w:t>
            </w:r>
          </w:p>
        </w:tc>
        <w:tc>
          <w:tcPr>
            <w:tcW w:w="0" w:type="auto"/>
            <w:tcBorders>
              <w:top w:val="nil"/>
              <w:bottom w:val="nil"/>
            </w:tcBorders>
          </w:tcPr>
          <w:p w14:paraId="0491E2DE"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62.3</w:t>
            </w:r>
          </w:p>
        </w:tc>
      </w:tr>
      <w:tr w:rsidR="00C50867" w:rsidRPr="00B20675" w14:paraId="661CBC44" w14:textId="77777777" w:rsidTr="00C50867">
        <w:tc>
          <w:tcPr>
            <w:tcW w:w="0" w:type="auto"/>
            <w:tcBorders>
              <w:top w:val="nil"/>
              <w:bottom w:val="single" w:sz="4" w:space="0" w:color="auto"/>
            </w:tcBorders>
          </w:tcPr>
          <w:p w14:paraId="09368C28" w14:textId="77777777" w:rsidR="00C50867" w:rsidRDefault="00B20675" w:rsidP="00EB2848">
            <w:pPr>
              <w:spacing w:after="0" w:line="240" w:lineRule="auto"/>
              <w:rPr>
                <w:rFonts w:eastAsia="Calibri" w:cs="Times New Roman"/>
                <w:sz w:val="22"/>
              </w:rPr>
            </w:pPr>
            <w:r w:rsidRPr="00B20675">
              <w:rPr>
                <w:rFonts w:eastAsia="Calibri" w:cs="Times New Roman"/>
                <w:sz w:val="22"/>
              </w:rPr>
              <w:t>Millet porridge</w:t>
            </w:r>
          </w:p>
          <w:p w14:paraId="35D6A8DA" w14:textId="2E5C5E6A" w:rsidR="00B20675" w:rsidRPr="00B20675" w:rsidRDefault="00B20675" w:rsidP="00C50867">
            <w:pPr>
              <w:spacing w:after="0" w:line="240" w:lineRule="auto"/>
              <w:rPr>
                <w:rFonts w:eastAsia="Calibri" w:cs="Times New Roman"/>
                <w:sz w:val="22"/>
              </w:rPr>
            </w:pPr>
            <w:r w:rsidRPr="00B20675">
              <w:rPr>
                <w:rFonts w:eastAsia="Calibri" w:cs="Times New Roman"/>
                <w:sz w:val="22"/>
              </w:rPr>
              <w:t>+Citric acid</w:t>
            </w:r>
            <w:r w:rsidRPr="00B20675">
              <w:rPr>
                <w:rFonts w:eastAsia="Calibri" w:cs="Times New Roman"/>
                <w:sz w:val="22"/>
                <w:vertAlign w:val="superscript"/>
              </w:rPr>
              <w:t>6</w:t>
            </w:r>
          </w:p>
        </w:tc>
        <w:tc>
          <w:tcPr>
            <w:tcW w:w="0" w:type="auto"/>
            <w:tcBorders>
              <w:top w:val="nil"/>
              <w:bottom w:val="single" w:sz="4" w:space="0" w:color="auto"/>
            </w:tcBorders>
          </w:tcPr>
          <w:p w14:paraId="07187177"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9.0</w:t>
            </w:r>
          </w:p>
        </w:tc>
        <w:tc>
          <w:tcPr>
            <w:tcW w:w="0" w:type="auto"/>
            <w:tcBorders>
              <w:top w:val="nil"/>
              <w:bottom w:val="single" w:sz="4" w:space="0" w:color="auto"/>
            </w:tcBorders>
          </w:tcPr>
          <w:p w14:paraId="4FC59388"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6.6</w:t>
            </w:r>
          </w:p>
        </w:tc>
        <w:tc>
          <w:tcPr>
            <w:tcW w:w="0" w:type="auto"/>
            <w:tcBorders>
              <w:top w:val="nil"/>
              <w:bottom w:val="single" w:sz="4" w:space="0" w:color="auto"/>
            </w:tcBorders>
          </w:tcPr>
          <w:p w14:paraId="69B9B62D"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20</w:t>
            </w:r>
          </w:p>
        </w:tc>
        <w:tc>
          <w:tcPr>
            <w:tcW w:w="0" w:type="auto"/>
            <w:tcBorders>
              <w:top w:val="nil"/>
              <w:bottom w:val="single" w:sz="4" w:space="0" w:color="auto"/>
            </w:tcBorders>
          </w:tcPr>
          <w:p w14:paraId="148EBA29"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137</w:t>
            </w:r>
          </w:p>
        </w:tc>
        <w:tc>
          <w:tcPr>
            <w:tcW w:w="0" w:type="auto"/>
            <w:tcBorders>
              <w:top w:val="nil"/>
              <w:bottom w:val="single" w:sz="4" w:space="0" w:color="auto"/>
            </w:tcBorders>
          </w:tcPr>
          <w:p w14:paraId="42887A41"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306</w:t>
            </w:r>
          </w:p>
        </w:tc>
        <w:tc>
          <w:tcPr>
            <w:tcW w:w="0" w:type="auto"/>
            <w:tcBorders>
              <w:top w:val="nil"/>
              <w:bottom w:val="single" w:sz="4" w:space="0" w:color="auto"/>
            </w:tcBorders>
          </w:tcPr>
          <w:p w14:paraId="08C6F4C5"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3.1</w:t>
            </w:r>
          </w:p>
        </w:tc>
        <w:tc>
          <w:tcPr>
            <w:tcW w:w="0" w:type="auto"/>
            <w:tcBorders>
              <w:top w:val="nil"/>
              <w:bottom w:val="single" w:sz="4" w:space="0" w:color="auto"/>
            </w:tcBorders>
          </w:tcPr>
          <w:p w14:paraId="1541A36E" w14:textId="793C3EC9" w:rsidR="007629BE" w:rsidRPr="00C50867" w:rsidRDefault="00B20675" w:rsidP="00C50867">
            <w:pPr>
              <w:spacing w:after="0" w:line="240" w:lineRule="auto"/>
              <w:jc w:val="center"/>
              <w:rPr>
                <w:rFonts w:eastAsia="Calibri" w:cs="Times New Roman"/>
                <w:sz w:val="22"/>
              </w:rPr>
            </w:pPr>
            <w:r w:rsidRPr="00B20675">
              <w:rPr>
                <w:rFonts w:eastAsia="Calibri" w:cs="Times New Roman"/>
                <w:sz w:val="22"/>
              </w:rPr>
              <w:t>30.6</w:t>
            </w:r>
          </w:p>
          <w:p w14:paraId="53A8E549" w14:textId="12276C95"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(36.7</w:t>
            </w:r>
            <w:r w:rsidRPr="00B20675">
              <w:rPr>
                <w:rFonts w:eastAsia="Calibri" w:cs="Times New Roman"/>
                <w:sz w:val="22"/>
                <w:vertAlign w:val="superscript"/>
              </w:rPr>
              <w:t>5</w:t>
            </w:r>
            <w:r w:rsidRPr="00B20675">
              <w:rPr>
                <w:rFonts w:eastAsia="Calibri" w:cs="Times New Roman"/>
                <w:sz w:val="22"/>
              </w:rPr>
              <w:t>)</w:t>
            </w:r>
          </w:p>
        </w:tc>
        <w:tc>
          <w:tcPr>
            <w:tcW w:w="0" w:type="auto"/>
            <w:tcBorders>
              <w:top w:val="nil"/>
              <w:bottom w:val="single" w:sz="4" w:space="0" w:color="auto"/>
            </w:tcBorders>
          </w:tcPr>
          <w:p w14:paraId="1170F272"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67.3</w:t>
            </w:r>
          </w:p>
        </w:tc>
        <w:tc>
          <w:tcPr>
            <w:tcW w:w="0" w:type="auto"/>
            <w:tcBorders>
              <w:top w:val="nil"/>
              <w:bottom w:val="single" w:sz="4" w:space="0" w:color="auto"/>
            </w:tcBorders>
          </w:tcPr>
          <w:p w14:paraId="3511B97C"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2</w:t>
            </w:r>
          </w:p>
        </w:tc>
        <w:tc>
          <w:tcPr>
            <w:tcW w:w="0" w:type="auto"/>
            <w:tcBorders>
              <w:top w:val="nil"/>
              <w:bottom w:val="single" w:sz="4" w:space="0" w:color="auto"/>
            </w:tcBorders>
          </w:tcPr>
          <w:p w14:paraId="04059B20" w14:textId="77777777" w:rsidR="00B20675" w:rsidRPr="00B20675" w:rsidRDefault="00B20675" w:rsidP="00C50867">
            <w:pPr>
              <w:spacing w:after="0" w:line="240" w:lineRule="auto"/>
              <w:jc w:val="center"/>
              <w:rPr>
                <w:rFonts w:eastAsia="Calibri" w:cs="Times New Roman"/>
                <w:sz w:val="22"/>
              </w:rPr>
            </w:pPr>
            <w:r w:rsidRPr="00B20675">
              <w:rPr>
                <w:rFonts w:eastAsia="Calibri" w:cs="Times New Roman"/>
                <w:sz w:val="22"/>
              </w:rPr>
              <w:t>62.3</w:t>
            </w:r>
          </w:p>
        </w:tc>
      </w:tr>
    </w:tbl>
    <w:p w14:paraId="6D9BF439" w14:textId="60B6D303" w:rsidR="00EB2848" w:rsidRDefault="00B20675" w:rsidP="00187AE9">
      <w:pPr>
        <w:spacing w:before="240" w:after="0" w:line="240" w:lineRule="auto"/>
        <w:rPr>
          <w:rFonts w:eastAsia="Calibri" w:cs="Times New Roman"/>
          <w:szCs w:val="24"/>
        </w:rPr>
      </w:pPr>
      <w:r w:rsidRPr="00B20675">
        <w:rPr>
          <w:rFonts w:eastAsia="Calibri"/>
          <w:sz w:val="20"/>
          <w:vertAlign w:val="superscript"/>
        </w:rPr>
        <w:t>1</w:t>
      </w:r>
      <w:r w:rsidRPr="00B20675">
        <w:rPr>
          <w:rFonts w:eastAsia="Calibri"/>
          <w:sz w:val="20"/>
          <w:szCs w:val="20"/>
        </w:rPr>
        <w:t>Values are the means ± 1 SD of at least two samples of each plant food analysed independently in duplicate (n = 4)</w:t>
      </w:r>
      <w:r w:rsidRPr="00B20675">
        <w:rPr>
          <w:rFonts w:eastAsia="Times New Roman" w:cs="Times New Roman"/>
          <w:sz w:val="20"/>
          <w:szCs w:val="20"/>
        </w:rPr>
        <w:t>,</w:t>
      </w:r>
      <w:r w:rsidR="00C50867">
        <w:rPr>
          <w:rFonts w:eastAsia="Times New Roman" w:cs="Times New Roman"/>
          <w:sz w:val="20"/>
          <w:szCs w:val="20"/>
        </w:rPr>
        <w:t xml:space="preserve"> </w:t>
      </w:r>
      <w:r w:rsidRPr="00B20675">
        <w:rPr>
          <w:rFonts w:eastAsia="Calibri"/>
          <w:sz w:val="20"/>
          <w:szCs w:val="20"/>
          <w:vertAlign w:val="superscript"/>
        </w:rPr>
        <w:t>2</w:t>
      </w:r>
      <w:r w:rsidRPr="00B20675">
        <w:rPr>
          <w:rFonts w:eastAsia="Calibri"/>
          <w:sz w:val="20"/>
          <w:szCs w:val="20"/>
        </w:rPr>
        <w:t>Means with different superscripts letters in a column differ significantly (</w:t>
      </w:r>
      <w:r w:rsidRPr="00187AE9">
        <w:rPr>
          <w:rFonts w:eastAsia="Calibri"/>
          <w:i/>
          <w:iCs/>
          <w:sz w:val="20"/>
          <w:szCs w:val="20"/>
        </w:rPr>
        <w:t>p</w:t>
      </w:r>
      <w:r w:rsidRPr="00B20675">
        <w:rPr>
          <w:rFonts w:eastAsia="Calibri" w:cs="Times New Roman"/>
          <w:sz w:val="20"/>
          <w:szCs w:val="20"/>
        </w:rPr>
        <w:t>&lt;</w:t>
      </w:r>
      <w:r w:rsidRPr="00B20675">
        <w:rPr>
          <w:rFonts w:eastAsia="Calibri"/>
          <w:sz w:val="20"/>
          <w:szCs w:val="20"/>
        </w:rPr>
        <w:t>0.05)</w:t>
      </w:r>
      <w:r w:rsidR="00C50867">
        <w:rPr>
          <w:rFonts w:eastAsia="Calibri"/>
          <w:sz w:val="20"/>
          <w:szCs w:val="20"/>
        </w:rPr>
        <w:t xml:space="preserve">, </w:t>
      </w:r>
      <w:r w:rsidRPr="00B20675">
        <w:rPr>
          <w:rFonts w:eastAsia="Calibri" w:cs="Times New Roman"/>
          <w:sz w:val="20"/>
          <w:szCs w:val="20"/>
          <w:vertAlign w:val="superscript"/>
        </w:rPr>
        <w:t>3</w:t>
      </w:r>
      <w:r w:rsidRPr="00B20675">
        <w:rPr>
          <w:rFonts w:eastAsia="Calibri" w:cs="Times New Roman"/>
          <w:sz w:val="20"/>
          <w:szCs w:val="20"/>
        </w:rPr>
        <w:t xml:space="preserve">RNI at 10% iron bioavailability; </w:t>
      </w:r>
      <w:r w:rsidRPr="00B20675">
        <w:rPr>
          <w:rFonts w:eastAsia="Calibri" w:cs="Times New Roman"/>
          <w:sz w:val="20"/>
          <w:szCs w:val="20"/>
          <w:vertAlign w:val="superscript"/>
        </w:rPr>
        <w:t>4</w:t>
      </w:r>
      <w:r w:rsidRPr="00B20675">
        <w:rPr>
          <w:rFonts w:eastAsia="Calibri" w:cs="Times New Roman"/>
          <w:sz w:val="20"/>
          <w:szCs w:val="20"/>
        </w:rPr>
        <w:t xml:space="preserve">Percentage contribution of iron to the RNI at 12% bioavailability (numbers in brackets); </w:t>
      </w:r>
      <w:r w:rsidRPr="00B20675">
        <w:rPr>
          <w:rFonts w:eastAsia="Calibri" w:cs="Times New Roman"/>
          <w:sz w:val="20"/>
          <w:szCs w:val="20"/>
          <w:vertAlign w:val="superscript"/>
        </w:rPr>
        <w:t>5</w:t>
      </w:r>
      <w:r w:rsidRPr="00B20675">
        <w:rPr>
          <w:rFonts w:eastAsia="Calibri" w:cs="Times New Roman"/>
          <w:sz w:val="20"/>
          <w:szCs w:val="20"/>
        </w:rPr>
        <w:t>RNI at low (15%) zinc bioavailability (</w:t>
      </w:r>
      <w:r w:rsidR="00187AE9">
        <w:rPr>
          <w:rFonts w:eastAsia="Calibri" w:cs="Times New Roman"/>
          <w:sz w:val="20"/>
          <w:szCs w:val="20"/>
        </w:rPr>
        <w:t xml:space="preserve">WHO &amp; </w:t>
      </w:r>
      <w:r w:rsidRPr="00B20675">
        <w:rPr>
          <w:rFonts w:eastAsia="Calibri" w:cs="Times New Roman"/>
          <w:sz w:val="20"/>
          <w:szCs w:val="20"/>
        </w:rPr>
        <w:t>FAO, 200</w:t>
      </w:r>
      <w:r w:rsidR="00187AE9">
        <w:rPr>
          <w:rFonts w:eastAsia="Calibri" w:cs="Times New Roman"/>
          <w:sz w:val="20"/>
          <w:szCs w:val="20"/>
        </w:rPr>
        <w:t>4</w:t>
      </w:r>
      <w:r w:rsidRPr="00B20675">
        <w:rPr>
          <w:rFonts w:eastAsia="Calibri" w:cs="Times New Roman"/>
          <w:sz w:val="20"/>
          <w:szCs w:val="20"/>
        </w:rPr>
        <w:t>)</w:t>
      </w:r>
      <w:r w:rsidR="00C50867">
        <w:rPr>
          <w:rFonts w:eastAsia="Calibri" w:cs="Times New Roman"/>
          <w:sz w:val="20"/>
          <w:szCs w:val="20"/>
        </w:rPr>
        <w:t xml:space="preserve">, </w:t>
      </w:r>
      <w:r w:rsidRPr="00B20675">
        <w:rPr>
          <w:rFonts w:eastAsia="Calibri" w:cs="Times New Roman"/>
          <w:sz w:val="18"/>
          <w:szCs w:val="20"/>
          <w:vertAlign w:val="superscript"/>
        </w:rPr>
        <w:t>6</w:t>
      </w:r>
      <w:r w:rsidRPr="00B20675">
        <w:rPr>
          <w:rFonts w:eastAsia="Calibri" w:cs="Times New Roman"/>
          <w:sz w:val="18"/>
          <w:szCs w:val="20"/>
        </w:rPr>
        <w:t>Quantities of ascorbic acid and citric acid used were equivalent to the levels in the baobab fruit powder</w:t>
      </w:r>
      <w:r w:rsidR="00EB2848">
        <w:rPr>
          <w:rFonts w:eastAsia="Calibri" w:cs="Times New Roman"/>
          <w:szCs w:val="24"/>
        </w:rPr>
        <w:br w:type="page"/>
      </w:r>
    </w:p>
    <w:p w14:paraId="63FAE926" w14:textId="77777777" w:rsidR="00C50867" w:rsidRDefault="00C50867" w:rsidP="00187AE9">
      <w:pPr>
        <w:spacing w:after="0" w:line="240" w:lineRule="auto"/>
        <w:rPr>
          <w:rFonts w:eastAsia="Calibri" w:cs="Times New Roman"/>
          <w:szCs w:val="24"/>
        </w:rPr>
        <w:sectPr w:rsidR="00C50867" w:rsidSect="00C50867">
          <w:pgSz w:w="16839" w:h="11907" w:orient="landscape" w:code="9"/>
          <w:pgMar w:top="1440" w:right="1440" w:bottom="1440" w:left="1440" w:header="720" w:footer="720" w:gutter="0"/>
          <w:cols w:space="720"/>
          <w:docGrid w:linePitch="360"/>
        </w:sectPr>
      </w:pPr>
    </w:p>
    <w:p w14:paraId="0E054CFA" w14:textId="23F4290F" w:rsidR="00390039" w:rsidRPr="00FB6644" w:rsidRDefault="00F3680E" w:rsidP="009163EF">
      <w:pPr>
        <w:pStyle w:val="Heading4"/>
      </w:pPr>
      <w:bookmarkStart w:id="84" w:name="_Toc65253587"/>
      <w:r>
        <w:t>4.1.4</w:t>
      </w:r>
      <w:r w:rsidR="00390039" w:rsidRPr="00FB6644">
        <w:t>.</w:t>
      </w:r>
      <w:r w:rsidR="001A7B3E" w:rsidRPr="00FB6644">
        <w:t>2</w:t>
      </w:r>
      <w:r w:rsidR="009163EF">
        <w:tab/>
      </w:r>
      <w:r w:rsidR="00390039" w:rsidRPr="00FB6644">
        <w:t>Inhibitors of mineral bioavailability</w:t>
      </w:r>
      <w:bookmarkEnd w:id="84"/>
    </w:p>
    <w:p w14:paraId="7C66D3EE" w14:textId="6AE84819" w:rsidR="00390039" w:rsidRDefault="001A7B3E" w:rsidP="009163EF">
      <w:r>
        <w:t>As stated,</w:t>
      </w:r>
      <w:r w:rsidR="0088463A">
        <w:t xml:space="preserve"> </w:t>
      </w:r>
      <w:r w:rsidR="00520647" w:rsidRPr="006871D8">
        <w:t>an</w:t>
      </w:r>
      <w:r w:rsidR="00D62E03">
        <w:t>t</w:t>
      </w:r>
      <w:r w:rsidR="00520647" w:rsidRPr="006871D8">
        <w:t>inutritional factors</w:t>
      </w:r>
      <w:r w:rsidR="00520647">
        <w:t xml:space="preserve"> in plant foods</w:t>
      </w:r>
      <w:r w:rsidR="00DB6376">
        <w:t>,</w:t>
      </w:r>
      <w:r w:rsidR="00520647">
        <w:t xml:space="preserve"> such as phytate, polyphenols and tannins</w:t>
      </w:r>
      <w:r w:rsidR="0088463A">
        <w:t xml:space="preserve"> </w:t>
      </w:r>
      <w:r w:rsidR="00520647" w:rsidRPr="006871D8">
        <w:rPr>
          <w:szCs w:val="24"/>
        </w:rPr>
        <w:t>limit bioavailability of essential minerals such as iron and zin</w:t>
      </w:r>
      <w:r w:rsidR="000B70B0">
        <w:rPr>
          <w:szCs w:val="24"/>
        </w:rPr>
        <w:t xml:space="preserve">c </w:t>
      </w:r>
      <w:r>
        <w:rPr>
          <w:szCs w:val="24"/>
        </w:rPr>
        <w:t>(</w:t>
      </w:r>
      <w:r w:rsidR="00EE6233">
        <w:rPr>
          <w:szCs w:val="24"/>
        </w:rPr>
        <w:t>Gabaza</w:t>
      </w:r>
      <w:r w:rsidR="00187AE9">
        <w:rPr>
          <w:szCs w:val="24"/>
        </w:rPr>
        <w:t xml:space="preserve"> et al.</w:t>
      </w:r>
      <w:r w:rsidR="00EE6233">
        <w:rPr>
          <w:szCs w:val="24"/>
        </w:rPr>
        <w:t>,</w:t>
      </w:r>
      <w:r w:rsidR="0088463A">
        <w:rPr>
          <w:szCs w:val="24"/>
        </w:rPr>
        <w:t xml:space="preserve"> </w:t>
      </w:r>
      <w:r w:rsidR="00EE6233">
        <w:rPr>
          <w:szCs w:val="24"/>
        </w:rPr>
        <w:t>2017).</w:t>
      </w:r>
      <w:r w:rsidR="0088463A">
        <w:rPr>
          <w:szCs w:val="24"/>
        </w:rPr>
        <w:t xml:space="preserve"> </w:t>
      </w:r>
      <w:r w:rsidR="001C1C80" w:rsidRPr="00B4098E">
        <w:t xml:space="preserve">Table </w:t>
      </w:r>
      <w:r w:rsidR="00B4098E" w:rsidRPr="00B4098E">
        <w:t>4.1.</w:t>
      </w:r>
      <w:r w:rsidRPr="00B4098E">
        <w:t>2</w:t>
      </w:r>
      <w:r w:rsidR="001C1C80" w:rsidRPr="006871D8">
        <w:t xml:space="preserve"> shows</w:t>
      </w:r>
      <w:r w:rsidR="00390039" w:rsidRPr="006871D8">
        <w:t xml:space="preserve"> that</w:t>
      </w:r>
      <w:r w:rsidR="001C1C80" w:rsidRPr="006871D8">
        <w:t xml:space="preserve"> both</w:t>
      </w:r>
      <w:r w:rsidR="00390039" w:rsidRPr="006871D8">
        <w:t xml:space="preserve"> </w:t>
      </w:r>
      <w:r w:rsidR="00D62E03">
        <w:t>moringa</w:t>
      </w:r>
      <w:r w:rsidR="00390039" w:rsidRPr="006871D8">
        <w:t xml:space="preserve"> and </w:t>
      </w:r>
      <w:r w:rsidR="00D62E03">
        <w:t>baobab</w:t>
      </w:r>
      <w:r w:rsidR="00390039" w:rsidRPr="006871D8">
        <w:t xml:space="preserve"> had high </w:t>
      </w:r>
      <w:r w:rsidR="00D62E03">
        <w:t>total phenolic</w:t>
      </w:r>
      <w:r w:rsidR="00390039" w:rsidRPr="006871D8">
        <w:t xml:space="preserve"> contents, about 10 times </w:t>
      </w:r>
      <w:r w:rsidR="000B70B0">
        <w:t xml:space="preserve">higher than </w:t>
      </w:r>
      <w:r w:rsidR="00D62E03">
        <w:t>the millet porridge</w:t>
      </w:r>
      <w:r w:rsidR="00390039" w:rsidRPr="006871D8">
        <w:t xml:space="preserve">. The </w:t>
      </w:r>
      <w:r w:rsidR="003D43B3">
        <w:t>total phenolic</w:t>
      </w:r>
      <w:r w:rsidR="00390039" w:rsidRPr="006871D8">
        <w:t xml:space="preserve"> contents</w:t>
      </w:r>
      <w:r w:rsidR="000B70B0">
        <w:t xml:space="preserve"> of</w:t>
      </w:r>
      <w:r w:rsidR="00CB5635" w:rsidRPr="006871D8">
        <w:t xml:space="preserve"> </w:t>
      </w:r>
      <w:r w:rsidR="00D62E03">
        <w:t>moringa</w:t>
      </w:r>
      <w:r w:rsidR="00390039" w:rsidRPr="006871D8">
        <w:t xml:space="preserve"> and </w:t>
      </w:r>
      <w:r w:rsidR="00D62E03">
        <w:t>baobab powders</w:t>
      </w:r>
      <w:r w:rsidR="00CB5635" w:rsidRPr="006871D8">
        <w:t xml:space="preserve"> </w:t>
      </w:r>
      <w:r w:rsidR="00390039" w:rsidRPr="006871D8">
        <w:t xml:space="preserve">were in the ranges </w:t>
      </w:r>
      <w:r w:rsidR="003D43B3">
        <w:t>of</w:t>
      </w:r>
      <w:r w:rsidR="00390039" w:rsidRPr="006871D8">
        <w:t xml:space="preserve"> other s</w:t>
      </w:r>
      <w:r w:rsidR="001C1C80" w:rsidRPr="006871D8">
        <w:t>tudies</w:t>
      </w:r>
      <w:r w:rsidR="003A4CAA">
        <w:t>,</w:t>
      </w:r>
      <w:r w:rsidR="001C1C80" w:rsidRPr="006871D8">
        <w:t xml:space="preserve"> 1390–5350 mg/100 g (Vongsak et al., 2013) </w:t>
      </w:r>
      <w:r w:rsidR="00CB5635" w:rsidRPr="006871D8">
        <w:t xml:space="preserve">and </w:t>
      </w:r>
      <w:r w:rsidR="001C1C80" w:rsidRPr="006871D8">
        <w:t>1560–4075 mg/100 g (Kamatou</w:t>
      </w:r>
      <w:r w:rsidR="00187AE9">
        <w:t xml:space="preserve"> et al.</w:t>
      </w:r>
      <w:r w:rsidR="001C1C80" w:rsidRPr="006871D8">
        <w:t>, 2011; Tembo et al., 2017)</w:t>
      </w:r>
      <w:r w:rsidR="00946E98" w:rsidRPr="006871D8">
        <w:t>, respectively</w:t>
      </w:r>
      <w:r w:rsidR="00390039" w:rsidRPr="006871D8">
        <w:t xml:space="preserve">. </w:t>
      </w:r>
      <w:r w:rsidR="00BF0BD0" w:rsidRPr="006871D8">
        <w:t xml:space="preserve">The </w:t>
      </w:r>
      <w:r w:rsidR="00D03CD4">
        <w:t>baobab</w:t>
      </w:r>
      <w:r w:rsidR="00390039" w:rsidRPr="006871D8">
        <w:t xml:space="preserve"> </w:t>
      </w:r>
      <w:r w:rsidR="00BF0BD0" w:rsidRPr="006871D8">
        <w:t xml:space="preserve">also </w:t>
      </w:r>
      <w:r w:rsidR="00390039" w:rsidRPr="006871D8">
        <w:t xml:space="preserve">had </w:t>
      </w:r>
      <w:r w:rsidR="002F204C">
        <w:t xml:space="preserve">a </w:t>
      </w:r>
      <w:r w:rsidR="000B70B0">
        <w:t xml:space="preserve">very </w:t>
      </w:r>
      <w:r w:rsidR="00946E98" w:rsidRPr="006871D8">
        <w:t>high</w:t>
      </w:r>
      <w:r w:rsidR="0088463A">
        <w:t xml:space="preserve"> </w:t>
      </w:r>
      <w:r w:rsidR="000B70B0">
        <w:t xml:space="preserve">apparent </w:t>
      </w:r>
      <w:r w:rsidR="00BF0BD0" w:rsidRPr="006871D8">
        <w:t>tannin content (approximately 8000 mg/100 g)</w:t>
      </w:r>
      <w:r w:rsidR="00390039" w:rsidRPr="006871D8">
        <w:t xml:space="preserve">. </w:t>
      </w:r>
      <w:r w:rsidR="00BF0BD0" w:rsidRPr="006871D8">
        <w:t xml:space="preserve">This was </w:t>
      </w:r>
      <w:r w:rsidR="00223834">
        <w:t>likely</w:t>
      </w:r>
      <w:r w:rsidR="00BF0BD0" w:rsidRPr="006871D8">
        <w:t xml:space="preserve"> </w:t>
      </w:r>
      <w:r w:rsidR="002F204C">
        <w:t>due to</w:t>
      </w:r>
      <w:r w:rsidR="00BF0BD0" w:rsidRPr="006871D8">
        <w:t xml:space="preserve"> contamination of the fruit pulp with seed fragments, which were observed</w:t>
      </w:r>
      <w:r w:rsidR="003A4CAA">
        <w:t xml:space="preserve"> in this study</w:t>
      </w:r>
      <w:r w:rsidR="009A4A34">
        <w:t xml:space="preserve"> and </w:t>
      </w:r>
      <w:r w:rsidR="003A4CAA">
        <w:t>are</w:t>
      </w:r>
      <w:r w:rsidR="009A4A34">
        <w:t xml:space="preserve"> unusually high in tannins (Osman, 2004)</w:t>
      </w:r>
      <w:r w:rsidR="00390039" w:rsidRPr="006871D8">
        <w:t xml:space="preserve">. </w:t>
      </w:r>
      <w:r w:rsidR="003A4CAA">
        <w:t>Concerning phytate</w:t>
      </w:r>
      <w:r w:rsidR="00390039" w:rsidRPr="006871D8">
        <w:t xml:space="preserve">, </w:t>
      </w:r>
      <w:r w:rsidR="00D03CD4">
        <w:t>millet porridge</w:t>
      </w:r>
      <w:r w:rsidR="00390039" w:rsidRPr="006871D8">
        <w:t xml:space="preserve"> had </w:t>
      </w:r>
      <w:r w:rsidR="00F7594D" w:rsidRPr="006871D8">
        <w:t>much</w:t>
      </w:r>
      <w:r w:rsidR="00390039" w:rsidRPr="006871D8">
        <w:t xml:space="preserve"> hig</w:t>
      </w:r>
      <w:r w:rsidR="000F72A4" w:rsidRPr="006871D8">
        <w:t>her phytate content, more than five</w:t>
      </w:r>
      <w:r w:rsidR="00390039" w:rsidRPr="006871D8">
        <w:t xml:space="preserve"> times higher than</w:t>
      </w:r>
      <w:r w:rsidR="000F72A4" w:rsidRPr="006871D8">
        <w:t xml:space="preserve"> </w:t>
      </w:r>
      <w:r w:rsidR="00390039" w:rsidRPr="006871D8">
        <w:t xml:space="preserve">in </w:t>
      </w:r>
      <w:r w:rsidR="00D03CD4">
        <w:t>moringa</w:t>
      </w:r>
      <w:r w:rsidR="00390039" w:rsidRPr="006871D8">
        <w:t xml:space="preserve"> and </w:t>
      </w:r>
      <w:r w:rsidR="00D03CD4">
        <w:t>baobab</w:t>
      </w:r>
      <w:r w:rsidR="00390039" w:rsidRPr="006871D8">
        <w:t xml:space="preserve">. </w:t>
      </w:r>
    </w:p>
    <w:p w14:paraId="14BC3F98" w14:textId="77777777" w:rsidR="005A1E42" w:rsidRDefault="005A1E42" w:rsidP="00187AE9">
      <w:pPr>
        <w:spacing w:after="0"/>
        <w:rPr>
          <w:rFonts w:cs="Times New Roman"/>
          <w:b/>
          <w:szCs w:val="24"/>
        </w:rPr>
      </w:pPr>
    </w:p>
    <w:p w14:paraId="7E0FCBFD" w14:textId="6E278783" w:rsidR="005A1E42" w:rsidRPr="00475EBE" w:rsidRDefault="005A1E42" w:rsidP="00351D12">
      <w:pPr>
        <w:pStyle w:val="MyTables"/>
      </w:pPr>
      <w:bookmarkStart w:id="85" w:name="_Toc65253630"/>
      <w:r w:rsidRPr="00D4773E">
        <w:rPr>
          <w:rFonts w:cs="Times New Roman"/>
          <w:b/>
          <w:szCs w:val="24"/>
        </w:rPr>
        <w:t xml:space="preserve">Table </w:t>
      </w:r>
      <w:r w:rsidR="00F3680E">
        <w:rPr>
          <w:rFonts w:cs="Times New Roman"/>
          <w:b/>
          <w:szCs w:val="24"/>
        </w:rPr>
        <w:t>4.1.2</w:t>
      </w:r>
      <w:r w:rsidR="00EF575B">
        <w:rPr>
          <w:rFonts w:cs="Times New Roman"/>
          <w:b/>
          <w:szCs w:val="24"/>
        </w:rPr>
        <w:t>:</w:t>
      </w:r>
      <w:r>
        <w:rPr>
          <w:rFonts w:cs="Times New Roman"/>
          <w:b/>
          <w:szCs w:val="24"/>
        </w:rPr>
        <w:t xml:space="preserve"> </w:t>
      </w:r>
      <w:r w:rsidRPr="00000361">
        <w:rPr>
          <w:rFonts w:cs="Times New Roman"/>
          <w:szCs w:val="24"/>
        </w:rPr>
        <w:t xml:space="preserve">Total phenolic, tannin and phytate contents of pearl millet porridge, </w:t>
      </w:r>
      <w:r>
        <w:t>baobab fruit powder and moringa leaf powder (mg/100 g dry basis), and their phytate:iron molar ratios</w:t>
      </w:r>
      <w:bookmarkEnd w:id="85"/>
    </w:p>
    <w:tbl>
      <w:tblPr>
        <w:tblW w:w="0" w:type="auto"/>
        <w:tblLook w:val="04A0" w:firstRow="1" w:lastRow="0" w:firstColumn="1" w:lastColumn="0" w:noHBand="0" w:noVBand="1"/>
      </w:tblPr>
      <w:tblGrid>
        <w:gridCol w:w="1845"/>
        <w:gridCol w:w="1618"/>
        <w:gridCol w:w="2090"/>
        <w:gridCol w:w="1616"/>
        <w:gridCol w:w="2074"/>
      </w:tblGrid>
      <w:tr w:rsidR="005A1E42" w:rsidRPr="00B66A1A" w14:paraId="20AE5126" w14:textId="77777777" w:rsidTr="001A1CC8">
        <w:trPr>
          <w:trHeight w:val="996"/>
        </w:trPr>
        <w:tc>
          <w:tcPr>
            <w:tcW w:w="1750" w:type="dxa"/>
            <w:tcBorders>
              <w:top w:val="single" w:sz="4" w:space="0" w:color="auto"/>
              <w:bottom w:val="single" w:sz="4" w:space="0" w:color="auto"/>
            </w:tcBorders>
          </w:tcPr>
          <w:p w14:paraId="3F11A391" w14:textId="77777777" w:rsidR="005A1E42" w:rsidRPr="00B66A1A" w:rsidRDefault="005A1E42" w:rsidP="00B66A1A">
            <w:pPr>
              <w:spacing w:after="0" w:line="240" w:lineRule="auto"/>
              <w:jc w:val="left"/>
              <w:rPr>
                <w:rFonts w:cs="Times New Roman"/>
                <w:b/>
                <w:sz w:val="22"/>
              </w:rPr>
            </w:pPr>
            <w:r w:rsidRPr="00B66A1A">
              <w:rPr>
                <w:rFonts w:cs="Times New Roman"/>
                <w:b/>
                <w:sz w:val="22"/>
              </w:rPr>
              <w:t>Plant foods and porridge formulations (dry mass ratios)</w:t>
            </w:r>
          </w:p>
        </w:tc>
        <w:tc>
          <w:tcPr>
            <w:tcW w:w="1688" w:type="dxa"/>
            <w:tcBorders>
              <w:top w:val="single" w:sz="4" w:space="0" w:color="auto"/>
              <w:bottom w:val="single" w:sz="4" w:space="0" w:color="auto"/>
            </w:tcBorders>
          </w:tcPr>
          <w:p w14:paraId="22BCD8DB" w14:textId="77777777" w:rsidR="005A1E42" w:rsidRPr="00B66A1A" w:rsidRDefault="005A1E42" w:rsidP="001A1CC8">
            <w:pPr>
              <w:spacing w:after="0" w:line="240" w:lineRule="auto"/>
              <w:jc w:val="center"/>
              <w:rPr>
                <w:rFonts w:cs="Times New Roman"/>
                <w:b/>
                <w:sz w:val="22"/>
              </w:rPr>
            </w:pPr>
            <w:r w:rsidRPr="00B66A1A">
              <w:rPr>
                <w:rFonts w:cs="Times New Roman"/>
                <w:b/>
                <w:sz w:val="22"/>
              </w:rPr>
              <w:t>Total phenolics</w:t>
            </w:r>
            <w:r w:rsidRPr="00B66A1A">
              <w:rPr>
                <w:rFonts w:cs="Times New Roman"/>
                <w:b/>
                <w:sz w:val="22"/>
                <w:vertAlign w:val="superscript"/>
              </w:rPr>
              <w:t>2</w:t>
            </w:r>
          </w:p>
        </w:tc>
        <w:tc>
          <w:tcPr>
            <w:tcW w:w="2250" w:type="dxa"/>
            <w:tcBorders>
              <w:top w:val="single" w:sz="4" w:space="0" w:color="auto"/>
              <w:bottom w:val="single" w:sz="4" w:space="0" w:color="auto"/>
            </w:tcBorders>
          </w:tcPr>
          <w:p w14:paraId="41D8019B" w14:textId="77777777" w:rsidR="005A1E42" w:rsidRPr="00B66A1A" w:rsidRDefault="005A1E42" w:rsidP="001A1CC8">
            <w:pPr>
              <w:spacing w:after="0" w:line="240" w:lineRule="auto"/>
              <w:jc w:val="center"/>
              <w:rPr>
                <w:rFonts w:cs="Times New Roman"/>
                <w:b/>
                <w:sz w:val="22"/>
              </w:rPr>
            </w:pPr>
            <w:r w:rsidRPr="00B66A1A">
              <w:rPr>
                <w:rFonts w:cs="Times New Roman"/>
                <w:b/>
                <w:sz w:val="22"/>
              </w:rPr>
              <w:t>Tannins</w:t>
            </w:r>
            <w:r w:rsidRPr="00B66A1A">
              <w:rPr>
                <w:rFonts w:cs="Times New Roman"/>
                <w:b/>
                <w:sz w:val="22"/>
                <w:vertAlign w:val="superscript"/>
              </w:rPr>
              <w:t>3</w:t>
            </w:r>
          </w:p>
        </w:tc>
        <w:tc>
          <w:tcPr>
            <w:tcW w:w="1710" w:type="dxa"/>
            <w:tcBorders>
              <w:top w:val="single" w:sz="4" w:space="0" w:color="auto"/>
              <w:bottom w:val="single" w:sz="4" w:space="0" w:color="auto"/>
            </w:tcBorders>
          </w:tcPr>
          <w:p w14:paraId="16C26C0E" w14:textId="77777777" w:rsidR="005A1E42" w:rsidRPr="00B66A1A" w:rsidRDefault="005A1E42" w:rsidP="001A1CC8">
            <w:pPr>
              <w:spacing w:after="0" w:line="240" w:lineRule="auto"/>
              <w:jc w:val="center"/>
              <w:rPr>
                <w:rFonts w:cs="Times New Roman"/>
                <w:b/>
                <w:sz w:val="22"/>
              </w:rPr>
            </w:pPr>
            <w:r w:rsidRPr="00B66A1A">
              <w:rPr>
                <w:rFonts w:cs="Times New Roman"/>
                <w:b/>
                <w:sz w:val="22"/>
              </w:rPr>
              <w:t>Phytate</w:t>
            </w:r>
            <w:r w:rsidRPr="00B66A1A">
              <w:rPr>
                <w:rFonts w:cs="Times New Roman"/>
                <w:b/>
                <w:sz w:val="22"/>
                <w:vertAlign w:val="superscript"/>
              </w:rPr>
              <w:t>2</w:t>
            </w:r>
          </w:p>
        </w:tc>
        <w:tc>
          <w:tcPr>
            <w:tcW w:w="2178" w:type="dxa"/>
            <w:tcBorders>
              <w:top w:val="single" w:sz="4" w:space="0" w:color="auto"/>
              <w:bottom w:val="single" w:sz="4" w:space="0" w:color="auto"/>
            </w:tcBorders>
          </w:tcPr>
          <w:p w14:paraId="3BB81945" w14:textId="77777777" w:rsidR="005A1E42" w:rsidRPr="00B66A1A" w:rsidRDefault="005A1E42" w:rsidP="001A1CC8">
            <w:pPr>
              <w:spacing w:after="0" w:line="240" w:lineRule="auto"/>
              <w:jc w:val="center"/>
              <w:rPr>
                <w:rFonts w:cs="Times New Roman"/>
                <w:b/>
                <w:sz w:val="22"/>
              </w:rPr>
            </w:pPr>
            <w:r w:rsidRPr="00B66A1A">
              <w:rPr>
                <w:rFonts w:cs="Times New Roman"/>
                <w:b/>
                <w:sz w:val="22"/>
              </w:rPr>
              <w:t>Phytate:iron molar ratio</w:t>
            </w:r>
          </w:p>
        </w:tc>
      </w:tr>
      <w:tr w:rsidR="005A1E42" w:rsidRPr="00B66A1A" w14:paraId="21E1C6DB" w14:textId="77777777" w:rsidTr="001A1CC8">
        <w:tc>
          <w:tcPr>
            <w:tcW w:w="1750" w:type="dxa"/>
            <w:tcBorders>
              <w:top w:val="single" w:sz="4" w:space="0" w:color="auto"/>
            </w:tcBorders>
          </w:tcPr>
          <w:p w14:paraId="5A6BD38E" w14:textId="77777777" w:rsidR="005A1E42" w:rsidRPr="00B66A1A" w:rsidRDefault="005A1E42" w:rsidP="001A1CC8">
            <w:pPr>
              <w:spacing w:after="0" w:line="240" w:lineRule="auto"/>
              <w:rPr>
                <w:rFonts w:cs="Times New Roman"/>
                <w:sz w:val="22"/>
              </w:rPr>
            </w:pPr>
            <w:r w:rsidRPr="00B66A1A">
              <w:rPr>
                <w:rFonts w:cs="Times New Roman"/>
                <w:sz w:val="22"/>
              </w:rPr>
              <w:t>Millet porridge</w:t>
            </w:r>
          </w:p>
        </w:tc>
        <w:tc>
          <w:tcPr>
            <w:tcW w:w="1688" w:type="dxa"/>
            <w:tcBorders>
              <w:top w:val="single" w:sz="4" w:space="0" w:color="auto"/>
            </w:tcBorders>
          </w:tcPr>
          <w:p w14:paraId="759FC3A0" w14:textId="77777777" w:rsidR="005A1E42" w:rsidRPr="00B66A1A" w:rsidRDefault="005A1E42" w:rsidP="001A1CC8">
            <w:pPr>
              <w:spacing w:after="0" w:line="240" w:lineRule="auto"/>
              <w:jc w:val="center"/>
              <w:rPr>
                <w:rFonts w:cs="Times New Roman"/>
                <w:sz w:val="22"/>
              </w:rPr>
            </w:pPr>
            <w:r w:rsidRPr="00B66A1A">
              <w:rPr>
                <w:rFonts w:cs="Times New Roman"/>
                <w:sz w:val="22"/>
              </w:rPr>
              <w:t>278</w:t>
            </w:r>
            <w:r w:rsidRPr="00B66A1A">
              <w:rPr>
                <w:rFonts w:cs="Times New Roman"/>
                <w:sz w:val="22"/>
                <w:vertAlign w:val="superscript"/>
              </w:rPr>
              <w:t>a</w:t>
            </w:r>
            <w:r w:rsidRPr="00B66A1A">
              <w:rPr>
                <w:rFonts w:cs="Times New Roman"/>
                <w:sz w:val="22"/>
              </w:rPr>
              <w:t xml:space="preserve"> ± 42</w:t>
            </w:r>
            <w:r w:rsidRPr="00B66A1A">
              <w:rPr>
                <w:rFonts w:cs="Times New Roman"/>
                <w:sz w:val="22"/>
                <w:vertAlign w:val="superscript"/>
              </w:rPr>
              <w:t>1</w:t>
            </w:r>
          </w:p>
        </w:tc>
        <w:tc>
          <w:tcPr>
            <w:tcW w:w="2250" w:type="dxa"/>
            <w:tcBorders>
              <w:top w:val="single" w:sz="4" w:space="0" w:color="auto"/>
            </w:tcBorders>
          </w:tcPr>
          <w:p w14:paraId="0D20D78D" w14:textId="77777777" w:rsidR="005A1E42" w:rsidRPr="00B66A1A" w:rsidRDefault="005A1E42" w:rsidP="001A1CC8">
            <w:pPr>
              <w:spacing w:after="0" w:line="240" w:lineRule="auto"/>
              <w:jc w:val="center"/>
              <w:rPr>
                <w:rFonts w:cs="Times New Roman"/>
                <w:sz w:val="22"/>
              </w:rPr>
            </w:pPr>
            <w:r w:rsidRPr="00B66A1A">
              <w:rPr>
                <w:rFonts w:cs="Times New Roman"/>
                <w:sz w:val="22"/>
              </w:rPr>
              <w:t>Not detected</w:t>
            </w:r>
          </w:p>
        </w:tc>
        <w:tc>
          <w:tcPr>
            <w:tcW w:w="1710" w:type="dxa"/>
            <w:tcBorders>
              <w:top w:val="single" w:sz="4" w:space="0" w:color="auto"/>
            </w:tcBorders>
          </w:tcPr>
          <w:p w14:paraId="3FF9EA9B" w14:textId="77777777" w:rsidR="005A1E42" w:rsidRPr="00B66A1A" w:rsidRDefault="005A1E42" w:rsidP="001A1CC8">
            <w:pPr>
              <w:spacing w:after="0" w:line="240" w:lineRule="auto"/>
              <w:jc w:val="center"/>
              <w:rPr>
                <w:rFonts w:cs="Times New Roman"/>
                <w:sz w:val="22"/>
              </w:rPr>
            </w:pPr>
            <w:r w:rsidRPr="00B66A1A">
              <w:rPr>
                <w:rFonts w:cs="Times New Roman"/>
                <w:sz w:val="22"/>
              </w:rPr>
              <w:t>1417</w:t>
            </w:r>
            <w:r w:rsidRPr="00B66A1A">
              <w:rPr>
                <w:rFonts w:cs="Times New Roman"/>
                <w:sz w:val="22"/>
                <w:vertAlign w:val="superscript"/>
              </w:rPr>
              <w:t>b</w:t>
            </w:r>
            <w:r w:rsidRPr="00B66A1A">
              <w:rPr>
                <w:rFonts w:cs="Times New Roman"/>
                <w:sz w:val="22"/>
              </w:rPr>
              <w:t>± 65</w:t>
            </w:r>
          </w:p>
        </w:tc>
        <w:tc>
          <w:tcPr>
            <w:tcW w:w="2178" w:type="dxa"/>
            <w:tcBorders>
              <w:top w:val="single" w:sz="4" w:space="0" w:color="auto"/>
            </w:tcBorders>
          </w:tcPr>
          <w:p w14:paraId="71AA007E" w14:textId="77777777" w:rsidR="005A1E42" w:rsidRPr="00B66A1A" w:rsidRDefault="005A1E42" w:rsidP="001A1CC8">
            <w:pPr>
              <w:spacing w:after="0" w:line="240" w:lineRule="auto"/>
              <w:jc w:val="center"/>
              <w:rPr>
                <w:rFonts w:cs="Times New Roman"/>
                <w:sz w:val="22"/>
              </w:rPr>
            </w:pPr>
            <w:r w:rsidRPr="00B66A1A">
              <w:rPr>
                <w:rFonts w:cs="Times New Roman"/>
                <w:sz w:val="22"/>
              </w:rPr>
              <w:t>13:1</w:t>
            </w:r>
          </w:p>
        </w:tc>
      </w:tr>
      <w:tr w:rsidR="005A1E42" w:rsidRPr="00B66A1A" w14:paraId="5E6DC4BA" w14:textId="77777777" w:rsidTr="001A1CC8">
        <w:tc>
          <w:tcPr>
            <w:tcW w:w="1750" w:type="dxa"/>
          </w:tcPr>
          <w:p w14:paraId="6D967461" w14:textId="77777777" w:rsidR="005A1E42" w:rsidRPr="00B66A1A" w:rsidRDefault="005A1E42" w:rsidP="001A1CC8">
            <w:pPr>
              <w:spacing w:after="0" w:line="240" w:lineRule="auto"/>
              <w:rPr>
                <w:rFonts w:cs="Times New Roman"/>
                <w:sz w:val="22"/>
              </w:rPr>
            </w:pPr>
            <w:r w:rsidRPr="00B66A1A">
              <w:rPr>
                <w:rFonts w:cs="Times New Roman"/>
                <w:sz w:val="22"/>
              </w:rPr>
              <w:t>Baobab</w:t>
            </w:r>
          </w:p>
        </w:tc>
        <w:tc>
          <w:tcPr>
            <w:tcW w:w="1688" w:type="dxa"/>
          </w:tcPr>
          <w:p w14:paraId="3FFBAF9D" w14:textId="77777777" w:rsidR="005A1E42" w:rsidRPr="00B66A1A" w:rsidRDefault="005A1E42" w:rsidP="001A1CC8">
            <w:pPr>
              <w:spacing w:after="0" w:line="240" w:lineRule="auto"/>
              <w:jc w:val="center"/>
              <w:rPr>
                <w:rFonts w:cs="Times New Roman"/>
                <w:sz w:val="22"/>
              </w:rPr>
            </w:pPr>
            <w:r w:rsidRPr="00B66A1A">
              <w:rPr>
                <w:rFonts w:cs="Times New Roman"/>
                <w:sz w:val="22"/>
              </w:rPr>
              <w:t>2560</w:t>
            </w:r>
            <w:r w:rsidRPr="00B66A1A">
              <w:rPr>
                <w:rFonts w:cs="Times New Roman"/>
                <w:sz w:val="22"/>
                <w:vertAlign w:val="superscript"/>
              </w:rPr>
              <w:t>b</w:t>
            </w:r>
            <w:r w:rsidRPr="00B66A1A">
              <w:rPr>
                <w:rFonts w:cs="Times New Roman"/>
                <w:sz w:val="22"/>
              </w:rPr>
              <w:t xml:space="preserve"> ± 156</w:t>
            </w:r>
          </w:p>
        </w:tc>
        <w:tc>
          <w:tcPr>
            <w:tcW w:w="2250" w:type="dxa"/>
          </w:tcPr>
          <w:p w14:paraId="358CF5F9" w14:textId="77777777" w:rsidR="005A1E42" w:rsidRPr="00B66A1A" w:rsidRDefault="005A1E42" w:rsidP="001A1CC8">
            <w:pPr>
              <w:spacing w:after="0" w:line="240" w:lineRule="auto"/>
              <w:jc w:val="center"/>
              <w:rPr>
                <w:rFonts w:cs="Times New Roman"/>
                <w:sz w:val="22"/>
              </w:rPr>
            </w:pPr>
            <w:r w:rsidRPr="00B66A1A">
              <w:rPr>
                <w:rFonts w:cs="Times New Roman"/>
                <w:sz w:val="22"/>
              </w:rPr>
              <w:t>8353 ± 201</w:t>
            </w:r>
          </w:p>
        </w:tc>
        <w:tc>
          <w:tcPr>
            <w:tcW w:w="1710" w:type="dxa"/>
          </w:tcPr>
          <w:p w14:paraId="7BC5266C" w14:textId="77777777" w:rsidR="005A1E42" w:rsidRPr="00B66A1A" w:rsidRDefault="005A1E42" w:rsidP="001A1CC8">
            <w:pPr>
              <w:spacing w:after="0" w:line="240" w:lineRule="auto"/>
              <w:jc w:val="center"/>
              <w:rPr>
                <w:rFonts w:cs="Times New Roman"/>
                <w:sz w:val="22"/>
              </w:rPr>
            </w:pPr>
            <w:r w:rsidRPr="00B66A1A">
              <w:rPr>
                <w:rFonts w:cs="Times New Roman"/>
                <w:sz w:val="22"/>
              </w:rPr>
              <w:t>254</w:t>
            </w:r>
            <w:r w:rsidRPr="00B66A1A">
              <w:rPr>
                <w:rFonts w:cs="Times New Roman"/>
                <w:sz w:val="22"/>
                <w:vertAlign w:val="superscript"/>
              </w:rPr>
              <w:t>a</w:t>
            </w:r>
            <w:r w:rsidRPr="00B66A1A">
              <w:rPr>
                <w:rFonts w:cs="Times New Roman"/>
                <w:sz w:val="22"/>
              </w:rPr>
              <w:t>± 1</w:t>
            </w:r>
          </w:p>
        </w:tc>
        <w:tc>
          <w:tcPr>
            <w:tcW w:w="2178" w:type="dxa"/>
          </w:tcPr>
          <w:p w14:paraId="555FFCB0" w14:textId="77777777" w:rsidR="005A1E42" w:rsidRPr="00B66A1A" w:rsidRDefault="005A1E42" w:rsidP="001A1CC8">
            <w:pPr>
              <w:spacing w:after="0" w:line="240" w:lineRule="auto"/>
              <w:jc w:val="center"/>
              <w:rPr>
                <w:rFonts w:cs="Times New Roman"/>
                <w:sz w:val="22"/>
              </w:rPr>
            </w:pPr>
            <w:r w:rsidRPr="00B66A1A">
              <w:rPr>
                <w:rFonts w:cs="Times New Roman"/>
                <w:sz w:val="22"/>
              </w:rPr>
              <w:t>5.8</w:t>
            </w:r>
          </w:p>
        </w:tc>
      </w:tr>
      <w:tr w:rsidR="005A1E42" w:rsidRPr="00B66A1A" w14:paraId="0B0A5A4D" w14:textId="77777777" w:rsidTr="001A1CC8">
        <w:tc>
          <w:tcPr>
            <w:tcW w:w="1750" w:type="dxa"/>
          </w:tcPr>
          <w:p w14:paraId="3420F6C7" w14:textId="77777777" w:rsidR="005A1E42" w:rsidRPr="00B66A1A" w:rsidRDefault="005A1E42" w:rsidP="001A1CC8">
            <w:pPr>
              <w:spacing w:after="0" w:line="240" w:lineRule="auto"/>
              <w:rPr>
                <w:rFonts w:cs="Times New Roman"/>
                <w:sz w:val="22"/>
              </w:rPr>
            </w:pPr>
            <w:r w:rsidRPr="00B66A1A">
              <w:rPr>
                <w:rFonts w:cs="Times New Roman"/>
                <w:sz w:val="22"/>
              </w:rPr>
              <w:t>Moringa</w:t>
            </w:r>
          </w:p>
        </w:tc>
        <w:tc>
          <w:tcPr>
            <w:tcW w:w="1688" w:type="dxa"/>
          </w:tcPr>
          <w:p w14:paraId="6FA7F6A6" w14:textId="77777777" w:rsidR="005A1E42" w:rsidRPr="00B66A1A" w:rsidRDefault="005A1E42" w:rsidP="001A1CC8">
            <w:pPr>
              <w:spacing w:after="0" w:line="240" w:lineRule="auto"/>
              <w:jc w:val="center"/>
              <w:rPr>
                <w:rFonts w:cs="Times New Roman"/>
                <w:sz w:val="22"/>
              </w:rPr>
            </w:pPr>
            <w:r w:rsidRPr="00B66A1A">
              <w:rPr>
                <w:rFonts w:cs="Times New Roman"/>
                <w:sz w:val="22"/>
              </w:rPr>
              <w:t>2650</w:t>
            </w:r>
            <w:r w:rsidRPr="00B66A1A">
              <w:rPr>
                <w:rFonts w:cs="Times New Roman"/>
                <w:sz w:val="22"/>
                <w:vertAlign w:val="superscript"/>
              </w:rPr>
              <w:t>b</w:t>
            </w:r>
            <w:r w:rsidRPr="00B66A1A">
              <w:rPr>
                <w:rFonts w:cs="Times New Roman"/>
                <w:sz w:val="22"/>
              </w:rPr>
              <w:t>± 42</w:t>
            </w:r>
          </w:p>
        </w:tc>
        <w:tc>
          <w:tcPr>
            <w:tcW w:w="2250" w:type="dxa"/>
          </w:tcPr>
          <w:p w14:paraId="19AE2DA7" w14:textId="77777777" w:rsidR="005A1E42" w:rsidRPr="00B66A1A" w:rsidRDefault="005A1E42" w:rsidP="001A1CC8">
            <w:pPr>
              <w:spacing w:after="0" w:line="240" w:lineRule="auto"/>
              <w:jc w:val="center"/>
              <w:rPr>
                <w:rFonts w:cs="Times New Roman"/>
                <w:sz w:val="22"/>
              </w:rPr>
            </w:pPr>
            <w:r w:rsidRPr="00B66A1A">
              <w:rPr>
                <w:rFonts w:cs="Times New Roman"/>
                <w:sz w:val="22"/>
              </w:rPr>
              <w:t>37 ± 1</w:t>
            </w:r>
          </w:p>
        </w:tc>
        <w:tc>
          <w:tcPr>
            <w:tcW w:w="1710" w:type="dxa"/>
          </w:tcPr>
          <w:p w14:paraId="4A1A1025" w14:textId="77777777" w:rsidR="005A1E42" w:rsidRPr="00B66A1A" w:rsidRDefault="005A1E42" w:rsidP="001A1CC8">
            <w:pPr>
              <w:spacing w:after="0" w:line="240" w:lineRule="auto"/>
              <w:jc w:val="center"/>
              <w:rPr>
                <w:rFonts w:cs="Times New Roman"/>
                <w:sz w:val="22"/>
              </w:rPr>
            </w:pPr>
            <w:r w:rsidRPr="00B66A1A">
              <w:rPr>
                <w:rFonts w:cs="Times New Roman"/>
                <w:sz w:val="22"/>
              </w:rPr>
              <w:t>268</w:t>
            </w:r>
            <w:r w:rsidRPr="00B66A1A">
              <w:rPr>
                <w:rFonts w:cs="Times New Roman"/>
                <w:sz w:val="22"/>
                <w:vertAlign w:val="superscript"/>
              </w:rPr>
              <w:t>a</w:t>
            </w:r>
            <w:r w:rsidRPr="00B66A1A">
              <w:rPr>
                <w:rFonts w:cs="Times New Roman"/>
                <w:sz w:val="22"/>
              </w:rPr>
              <w:t>± 11</w:t>
            </w:r>
          </w:p>
        </w:tc>
        <w:tc>
          <w:tcPr>
            <w:tcW w:w="2178" w:type="dxa"/>
          </w:tcPr>
          <w:p w14:paraId="64EA4949" w14:textId="77777777" w:rsidR="005A1E42" w:rsidRPr="00B66A1A" w:rsidRDefault="005A1E42" w:rsidP="001A1CC8">
            <w:pPr>
              <w:spacing w:after="0" w:line="240" w:lineRule="auto"/>
              <w:jc w:val="center"/>
              <w:rPr>
                <w:rFonts w:cs="Times New Roman"/>
                <w:sz w:val="22"/>
              </w:rPr>
            </w:pPr>
            <w:r w:rsidRPr="00B66A1A">
              <w:rPr>
                <w:rFonts w:cs="Times New Roman"/>
                <w:sz w:val="22"/>
              </w:rPr>
              <w:t>1.2</w:t>
            </w:r>
          </w:p>
        </w:tc>
      </w:tr>
      <w:tr w:rsidR="005A1E42" w:rsidRPr="00B66A1A" w14:paraId="60639713" w14:textId="77777777" w:rsidTr="001A1CC8">
        <w:tc>
          <w:tcPr>
            <w:tcW w:w="1750" w:type="dxa"/>
          </w:tcPr>
          <w:p w14:paraId="2736FB37" w14:textId="77777777" w:rsidR="005A1E42" w:rsidRPr="00B66A1A" w:rsidRDefault="005A1E42" w:rsidP="001A1CC8">
            <w:pPr>
              <w:spacing w:after="0" w:line="240" w:lineRule="auto"/>
              <w:rPr>
                <w:rFonts w:cs="Times New Roman"/>
                <w:sz w:val="22"/>
              </w:rPr>
            </w:pPr>
            <w:r w:rsidRPr="00B66A1A">
              <w:rPr>
                <w:rFonts w:cs="Times New Roman"/>
                <w:sz w:val="22"/>
              </w:rPr>
              <w:t>Millet porridge+Baobab (100:15)</w:t>
            </w:r>
            <w:r w:rsidRPr="00B66A1A">
              <w:rPr>
                <w:rFonts w:cs="Times New Roman"/>
                <w:sz w:val="22"/>
                <w:vertAlign w:val="superscript"/>
              </w:rPr>
              <w:t>4</w:t>
            </w:r>
          </w:p>
        </w:tc>
        <w:tc>
          <w:tcPr>
            <w:tcW w:w="1688" w:type="dxa"/>
          </w:tcPr>
          <w:p w14:paraId="03502C26" w14:textId="77777777" w:rsidR="005A1E42" w:rsidRPr="00B66A1A" w:rsidRDefault="005A1E42" w:rsidP="001A1CC8">
            <w:pPr>
              <w:spacing w:after="0" w:line="240" w:lineRule="auto"/>
              <w:jc w:val="center"/>
              <w:rPr>
                <w:rFonts w:cs="Times New Roman"/>
                <w:sz w:val="22"/>
              </w:rPr>
            </w:pPr>
            <w:r w:rsidRPr="00B66A1A">
              <w:rPr>
                <w:rFonts w:cs="Times New Roman"/>
                <w:sz w:val="22"/>
              </w:rPr>
              <w:t>573</w:t>
            </w:r>
          </w:p>
        </w:tc>
        <w:tc>
          <w:tcPr>
            <w:tcW w:w="2250" w:type="dxa"/>
          </w:tcPr>
          <w:p w14:paraId="35BA6600" w14:textId="77777777" w:rsidR="005A1E42" w:rsidRPr="00B66A1A" w:rsidRDefault="005A1E42" w:rsidP="001A1CC8">
            <w:pPr>
              <w:spacing w:after="0" w:line="240" w:lineRule="auto"/>
              <w:jc w:val="center"/>
              <w:rPr>
                <w:rFonts w:cs="Times New Roman"/>
                <w:sz w:val="22"/>
              </w:rPr>
            </w:pPr>
            <w:r w:rsidRPr="00B66A1A">
              <w:rPr>
                <w:rFonts w:cs="Times New Roman"/>
                <w:sz w:val="22"/>
              </w:rPr>
              <w:t>1090</w:t>
            </w:r>
          </w:p>
        </w:tc>
        <w:tc>
          <w:tcPr>
            <w:tcW w:w="1710" w:type="dxa"/>
          </w:tcPr>
          <w:p w14:paraId="4AE7F0AF" w14:textId="77777777" w:rsidR="005A1E42" w:rsidRPr="00B66A1A" w:rsidRDefault="005A1E42" w:rsidP="001A1CC8">
            <w:pPr>
              <w:spacing w:after="0" w:line="240" w:lineRule="auto"/>
              <w:jc w:val="center"/>
              <w:rPr>
                <w:rFonts w:cs="Times New Roman"/>
                <w:sz w:val="22"/>
              </w:rPr>
            </w:pPr>
            <w:r w:rsidRPr="00B66A1A">
              <w:rPr>
                <w:rFonts w:cs="Times New Roman"/>
                <w:sz w:val="22"/>
              </w:rPr>
              <w:t>1265</w:t>
            </w:r>
          </w:p>
        </w:tc>
        <w:tc>
          <w:tcPr>
            <w:tcW w:w="2178" w:type="dxa"/>
          </w:tcPr>
          <w:p w14:paraId="3F093C85" w14:textId="77777777" w:rsidR="005A1E42" w:rsidRPr="00B66A1A" w:rsidRDefault="005A1E42" w:rsidP="001A1CC8">
            <w:pPr>
              <w:spacing w:after="0" w:line="240" w:lineRule="auto"/>
              <w:jc w:val="center"/>
              <w:rPr>
                <w:rFonts w:cs="Times New Roman"/>
                <w:sz w:val="22"/>
              </w:rPr>
            </w:pPr>
            <w:r w:rsidRPr="00B66A1A">
              <w:rPr>
                <w:rFonts w:cs="Times New Roman"/>
                <w:sz w:val="22"/>
              </w:rPr>
              <w:t>12:1</w:t>
            </w:r>
          </w:p>
        </w:tc>
      </w:tr>
      <w:tr w:rsidR="005A1E42" w:rsidRPr="00B66A1A" w14:paraId="16DE51A4" w14:textId="77777777" w:rsidTr="001A1CC8">
        <w:tc>
          <w:tcPr>
            <w:tcW w:w="1750" w:type="dxa"/>
          </w:tcPr>
          <w:p w14:paraId="67A7AF28" w14:textId="77777777" w:rsidR="005A1E42" w:rsidRPr="00B66A1A" w:rsidRDefault="005A1E42" w:rsidP="001A1CC8">
            <w:pPr>
              <w:spacing w:after="0" w:line="240" w:lineRule="auto"/>
              <w:rPr>
                <w:rFonts w:cs="Times New Roman"/>
                <w:sz w:val="22"/>
              </w:rPr>
            </w:pPr>
            <w:r w:rsidRPr="00B66A1A">
              <w:rPr>
                <w:rFonts w:cs="Times New Roman"/>
                <w:sz w:val="22"/>
              </w:rPr>
              <w:t>Millet porridge+Moringa (100:15)</w:t>
            </w:r>
            <w:r w:rsidRPr="00B66A1A">
              <w:rPr>
                <w:rFonts w:cs="Times New Roman"/>
                <w:sz w:val="22"/>
                <w:vertAlign w:val="superscript"/>
              </w:rPr>
              <w:t>4</w:t>
            </w:r>
          </w:p>
        </w:tc>
        <w:tc>
          <w:tcPr>
            <w:tcW w:w="1688" w:type="dxa"/>
          </w:tcPr>
          <w:p w14:paraId="26F78A05" w14:textId="77777777" w:rsidR="005A1E42" w:rsidRPr="00B66A1A" w:rsidRDefault="005A1E42" w:rsidP="001A1CC8">
            <w:pPr>
              <w:spacing w:after="0" w:line="240" w:lineRule="auto"/>
              <w:jc w:val="center"/>
              <w:rPr>
                <w:rFonts w:cs="Times New Roman"/>
                <w:sz w:val="22"/>
              </w:rPr>
            </w:pPr>
            <w:r w:rsidRPr="00B66A1A">
              <w:rPr>
                <w:rFonts w:cs="Times New Roman"/>
                <w:sz w:val="22"/>
              </w:rPr>
              <w:t>587</w:t>
            </w:r>
          </w:p>
        </w:tc>
        <w:tc>
          <w:tcPr>
            <w:tcW w:w="2250" w:type="dxa"/>
          </w:tcPr>
          <w:p w14:paraId="0176984B" w14:textId="77777777" w:rsidR="005A1E42" w:rsidRPr="00B66A1A" w:rsidRDefault="005A1E42" w:rsidP="001A1CC8">
            <w:pPr>
              <w:spacing w:after="0" w:line="240" w:lineRule="auto"/>
              <w:jc w:val="center"/>
              <w:rPr>
                <w:rFonts w:cs="Times New Roman"/>
                <w:sz w:val="22"/>
              </w:rPr>
            </w:pPr>
            <w:r w:rsidRPr="00B66A1A">
              <w:rPr>
                <w:rFonts w:cs="Times New Roman"/>
                <w:sz w:val="22"/>
              </w:rPr>
              <w:t>5</w:t>
            </w:r>
          </w:p>
        </w:tc>
        <w:tc>
          <w:tcPr>
            <w:tcW w:w="1710" w:type="dxa"/>
          </w:tcPr>
          <w:p w14:paraId="3DBD2ABF" w14:textId="77777777" w:rsidR="005A1E42" w:rsidRPr="00B66A1A" w:rsidRDefault="005A1E42" w:rsidP="001A1CC8">
            <w:pPr>
              <w:spacing w:after="0" w:line="240" w:lineRule="auto"/>
              <w:jc w:val="center"/>
              <w:rPr>
                <w:rFonts w:cs="Times New Roman"/>
                <w:sz w:val="22"/>
              </w:rPr>
            </w:pPr>
            <w:r w:rsidRPr="00B66A1A">
              <w:rPr>
                <w:rFonts w:cs="Times New Roman"/>
                <w:sz w:val="22"/>
              </w:rPr>
              <w:t>1267</w:t>
            </w:r>
          </w:p>
        </w:tc>
        <w:tc>
          <w:tcPr>
            <w:tcW w:w="2178" w:type="dxa"/>
          </w:tcPr>
          <w:p w14:paraId="1D1DAF64" w14:textId="77777777" w:rsidR="005A1E42" w:rsidRPr="00B66A1A" w:rsidRDefault="005A1E42" w:rsidP="001A1CC8">
            <w:pPr>
              <w:spacing w:after="0" w:line="240" w:lineRule="auto"/>
              <w:jc w:val="center"/>
              <w:rPr>
                <w:rFonts w:cs="Times New Roman"/>
                <w:sz w:val="22"/>
              </w:rPr>
            </w:pPr>
            <w:r w:rsidRPr="00B66A1A">
              <w:rPr>
                <w:rFonts w:cs="Times New Roman"/>
                <w:sz w:val="22"/>
              </w:rPr>
              <w:t>10:1</w:t>
            </w:r>
          </w:p>
        </w:tc>
      </w:tr>
      <w:tr w:rsidR="005A1E42" w:rsidRPr="00B66A1A" w14:paraId="43E8F927" w14:textId="77777777" w:rsidTr="001A1CC8">
        <w:tc>
          <w:tcPr>
            <w:tcW w:w="1750" w:type="dxa"/>
            <w:tcBorders>
              <w:bottom w:val="single" w:sz="4" w:space="0" w:color="auto"/>
            </w:tcBorders>
          </w:tcPr>
          <w:p w14:paraId="69EED0E6" w14:textId="77777777" w:rsidR="005A1E42" w:rsidRPr="00B66A1A" w:rsidRDefault="005A1E42" w:rsidP="001A1CC8">
            <w:pPr>
              <w:spacing w:after="0" w:line="240" w:lineRule="auto"/>
              <w:rPr>
                <w:rFonts w:cs="Times New Roman"/>
                <w:sz w:val="22"/>
              </w:rPr>
            </w:pPr>
            <w:r w:rsidRPr="00B66A1A">
              <w:rPr>
                <w:rFonts w:cs="Times New Roman"/>
                <w:sz w:val="22"/>
              </w:rPr>
              <w:t>Millet porridge+Baobab</w:t>
            </w:r>
          </w:p>
          <w:p w14:paraId="09D0FCF9" w14:textId="77777777" w:rsidR="005A1E42" w:rsidRPr="00B66A1A" w:rsidRDefault="005A1E42" w:rsidP="001A1CC8">
            <w:pPr>
              <w:spacing w:after="0" w:line="240" w:lineRule="auto"/>
              <w:rPr>
                <w:rFonts w:cs="Times New Roman"/>
                <w:sz w:val="22"/>
              </w:rPr>
            </w:pPr>
            <w:r w:rsidRPr="00B66A1A">
              <w:rPr>
                <w:rFonts w:cs="Times New Roman"/>
                <w:sz w:val="22"/>
              </w:rPr>
              <w:t>+Moringa (100:15:15)</w:t>
            </w:r>
            <w:r w:rsidRPr="00B66A1A">
              <w:rPr>
                <w:rFonts w:cs="Times New Roman"/>
                <w:sz w:val="22"/>
                <w:vertAlign w:val="superscript"/>
              </w:rPr>
              <w:t>4</w:t>
            </w:r>
          </w:p>
        </w:tc>
        <w:tc>
          <w:tcPr>
            <w:tcW w:w="1688" w:type="dxa"/>
            <w:tcBorders>
              <w:bottom w:val="single" w:sz="4" w:space="0" w:color="auto"/>
            </w:tcBorders>
          </w:tcPr>
          <w:p w14:paraId="318581C6" w14:textId="77777777" w:rsidR="005A1E42" w:rsidRPr="00B66A1A" w:rsidRDefault="005A1E42" w:rsidP="001A1CC8">
            <w:pPr>
              <w:spacing w:after="0" w:line="240" w:lineRule="auto"/>
              <w:jc w:val="center"/>
              <w:rPr>
                <w:rFonts w:cs="Times New Roman"/>
                <w:sz w:val="22"/>
              </w:rPr>
            </w:pPr>
            <w:r w:rsidRPr="00B66A1A">
              <w:rPr>
                <w:rFonts w:cs="Times New Roman"/>
                <w:sz w:val="22"/>
              </w:rPr>
              <w:t>813</w:t>
            </w:r>
          </w:p>
        </w:tc>
        <w:tc>
          <w:tcPr>
            <w:tcW w:w="2250" w:type="dxa"/>
            <w:tcBorders>
              <w:bottom w:val="single" w:sz="4" w:space="0" w:color="auto"/>
            </w:tcBorders>
          </w:tcPr>
          <w:p w14:paraId="69D04DF0" w14:textId="77777777" w:rsidR="005A1E42" w:rsidRPr="00B66A1A" w:rsidRDefault="005A1E42" w:rsidP="001A1CC8">
            <w:pPr>
              <w:spacing w:after="0" w:line="240" w:lineRule="auto"/>
              <w:jc w:val="center"/>
              <w:rPr>
                <w:rFonts w:cs="Times New Roman"/>
                <w:sz w:val="22"/>
              </w:rPr>
            </w:pPr>
            <w:r w:rsidRPr="00B66A1A">
              <w:rPr>
                <w:rFonts w:cs="Times New Roman"/>
                <w:sz w:val="22"/>
              </w:rPr>
              <w:t>968</w:t>
            </w:r>
          </w:p>
        </w:tc>
        <w:tc>
          <w:tcPr>
            <w:tcW w:w="1710" w:type="dxa"/>
            <w:tcBorders>
              <w:bottom w:val="single" w:sz="4" w:space="0" w:color="auto"/>
            </w:tcBorders>
          </w:tcPr>
          <w:p w14:paraId="774AD530" w14:textId="77777777" w:rsidR="005A1E42" w:rsidRPr="00B66A1A" w:rsidRDefault="005A1E42" w:rsidP="001A1CC8">
            <w:pPr>
              <w:spacing w:after="0" w:line="240" w:lineRule="auto"/>
              <w:jc w:val="center"/>
              <w:rPr>
                <w:rFonts w:cs="Times New Roman"/>
                <w:sz w:val="22"/>
              </w:rPr>
            </w:pPr>
            <w:r w:rsidRPr="00B66A1A">
              <w:rPr>
                <w:rFonts w:cs="Times New Roman"/>
                <w:sz w:val="22"/>
              </w:rPr>
              <w:t>1150</w:t>
            </w:r>
          </w:p>
        </w:tc>
        <w:tc>
          <w:tcPr>
            <w:tcW w:w="2178" w:type="dxa"/>
            <w:tcBorders>
              <w:bottom w:val="single" w:sz="4" w:space="0" w:color="auto"/>
            </w:tcBorders>
          </w:tcPr>
          <w:p w14:paraId="0CE18CF3" w14:textId="77777777" w:rsidR="005A1E42" w:rsidRPr="00B66A1A" w:rsidRDefault="005A1E42" w:rsidP="001A1CC8">
            <w:pPr>
              <w:spacing w:after="0" w:line="240" w:lineRule="auto"/>
              <w:jc w:val="center"/>
              <w:rPr>
                <w:rFonts w:cs="Times New Roman"/>
                <w:sz w:val="22"/>
              </w:rPr>
            </w:pPr>
            <w:r w:rsidRPr="00B66A1A">
              <w:rPr>
                <w:rFonts w:cs="Times New Roman"/>
                <w:sz w:val="22"/>
              </w:rPr>
              <w:t>10:1</w:t>
            </w:r>
          </w:p>
        </w:tc>
      </w:tr>
    </w:tbl>
    <w:p w14:paraId="5BAB33D2" w14:textId="06576BD1" w:rsidR="005A1E42" w:rsidRPr="005A1E42" w:rsidRDefault="005A1E42" w:rsidP="00187AE9">
      <w:pPr>
        <w:spacing w:before="240" w:after="0" w:line="240" w:lineRule="auto"/>
        <w:rPr>
          <w:sz w:val="20"/>
        </w:rPr>
      </w:pPr>
      <w:r w:rsidRPr="005A1E42">
        <w:rPr>
          <w:sz w:val="20"/>
          <w:vertAlign w:val="superscript"/>
        </w:rPr>
        <w:t>1</w:t>
      </w:r>
      <w:r w:rsidRPr="005A1E42">
        <w:rPr>
          <w:sz w:val="20"/>
        </w:rPr>
        <w:t>Values are the means ± 1 SD of at least two samples of each plant food analysed independently in duplicate (n = 4)</w:t>
      </w:r>
      <w:r w:rsidRPr="005A1E42">
        <w:rPr>
          <w:rFonts w:eastAsia="Times New Roman" w:cs="Times New Roman"/>
          <w:sz w:val="20"/>
        </w:rPr>
        <w:t xml:space="preserve">, </w:t>
      </w:r>
      <w:r w:rsidRPr="005A1E42">
        <w:rPr>
          <w:sz w:val="20"/>
          <w:vertAlign w:val="superscript"/>
        </w:rPr>
        <w:t>2</w:t>
      </w:r>
      <w:r w:rsidRPr="005A1E42">
        <w:rPr>
          <w:sz w:val="20"/>
        </w:rPr>
        <w:t>Tannin content values are the mean ± 1 SD of four samples of each food analysed independently in duplicate (n = 8)</w:t>
      </w:r>
      <w:r>
        <w:rPr>
          <w:sz w:val="20"/>
        </w:rPr>
        <w:t xml:space="preserve">, </w:t>
      </w:r>
      <w:r w:rsidRPr="005A1E42">
        <w:rPr>
          <w:sz w:val="20"/>
          <w:vertAlign w:val="superscript"/>
        </w:rPr>
        <w:t>3</w:t>
      </w:r>
      <w:r w:rsidRPr="005A1E42">
        <w:rPr>
          <w:sz w:val="20"/>
        </w:rPr>
        <w:t>Means with different superscripts letters in a column differ significantly (</w:t>
      </w:r>
      <w:r w:rsidRPr="00187AE9">
        <w:rPr>
          <w:i/>
          <w:iCs/>
          <w:sz w:val="20"/>
        </w:rPr>
        <w:t>p</w:t>
      </w:r>
      <w:r w:rsidRPr="005A1E42">
        <w:rPr>
          <w:rFonts w:cs="Times New Roman"/>
          <w:sz w:val="20"/>
        </w:rPr>
        <w:t>&lt;</w:t>
      </w:r>
      <w:r w:rsidRPr="005A1E42">
        <w:rPr>
          <w:sz w:val="20"/>
        </w:rPr>
        <w:t>0.05)</w:t>
      </w:r>
      <w:r>
        <w:rPr>
          <w:sz w:val="20"/>
        </w:rPr>
        <w:t xml:space="preserve">, </w:t>
      </w:r>
      <w:r w:rsidRPr="005A1E42">
        <w:rPr>
          <w:sz w:val="20"/>
          <w:vertAlign w:val="superscript"/>
        </w:rPr>
        <w:t>4</w:t>
      </w:r>
      <w:r w:rsidRPr="005A1E42">
        <w:rPr>
          <w:sz w:val="20"/>
        </w:rPr>
        <w:t>Total phenolics, tannins and phytate values of porridge formulations were calculated from the individual plant food values</w:t>
      </w:r>
    </w:p>
    <w:p w14:paraId="422DDE62" w14:textId="51EFD348" w:rsidR="005A1E42" w:rsidRDefault="005A1E42">
      <w:pPr>
        <w:spacing w:after="160" w:line="259" w:lineRule="auto"/>
        <w:rPr>
          <w:rFonts w:cs="Times New Roman"/>
        </w:rPr>
      </w:pPr>
      <w:r>
        <w:rPr>
          <w:rFonts w:cs="Times New Roman"/>
        </w:rPr>
        <w:br w:type="page"/>
      </w:r>
    </w:p>
    <w:p w14:paraId="0FDD4BBF" w14:textId="787EBF34" w:rsidR="001A7B3E" w:rsidRPr="00FB6644" w:rsidRDefault="00F3680E" w:rsidP="009163EF">
      <w:pPr>
        <w:pStyle w:val="Heading4"/>
      </w:pPr>
      <w:bookmarkStart w:id="86" w:name="_Toc65253588"/>
      <w:r>
        <w:t>4.1.4.</w:t>
      </w:r>
      <w:r w:rsidR="001A7B3E" w:rsidRPr="00FB6644">
        <w:t>3 Enhancers of mineral bioavailability</w:t>
      </w:r>
      <w:bookmarkEnd w:id="86"/>
    </w:p>
    <w:p w14:paraId="2931C33C" w14:textId="27BE59E2" w:rsidR="005A1E42" w:rsidRDefault="00DE1ADE" w:rsidP="009163EF">
      <w:pPr>
        <w:rPr>
          <w:rFonts w:eastAsia="Times New Roman"/>
          <w:szCs w:val="24"/>
        </w:rPr>
      </w:pPr>
      <w:r w:rsidRPr="00B4098E">
        <w:t xml:space="preserve">Table </w:t>
      </w:r>
      <w:r w:rsidR="00B4098E" w:rsidRPr="00B4098E">
        <w:t>4.1.</w:t>
      </w:r>
      <w:r w:rsidRPr="00B4098E">
        <w:t>3</w:t>
      </w:r>
      <w:r w:rsidR="001A7B3E" w:rsidRPr="006871D8">
        <w:t xml:space="preserve"> shows that </w:t>
      </w:r>
      <w:r w:rsidR="00D03CD4">
        <w:t>baobab</w:t>
      </w:r>
      <w:r w:rsidR="001A7B3E" w:rsidRPr="006871D8">
        <w:t xml:space="preserve"> </w:t>
      </w:r>
      <w:r w:rsidR="002F204C">
        <w:t>was high</w:t>
      </w:r>
      <w:r w:rsidR="00B619B7">
        <w:t xml:space="preserve"> </w:t>
      </w:r>
      <w:r w:rsidR="002F204C">
        <w:t>in</w:t>
      </w:r>
      <w:r w:rsidR="001A7B3E" w:rsidRPr="006871D8">
        <w:t xml:space="preserve"> organic acids, especially ascorbic acid</w:t>
      </w:r>
      <w:r w:rsidR="00B619B7">
        <w:t xml:space="preserve"> (140 mg/100 g)</w:t>
      </w:r>
      <w:r w:rsidR="001A7B3E" w:rsidRPr="006871D8">
        <w:t xml:space="preserve"> and citric acid </w:t>
      </w:r>
      <w:r w:rsidR="00B619B7">
        <w:t xml:space="preserve">(3345 mg/100 g) </w:t>
      </w:r>
      <w:r w:rsidR="002F204C">
        <w:t xml:space="preserve">when </w:t>
      </w:r>
      <w:r w:rsidR="001A7B3E" w:rsidRPr="006871D8">
        <w:t xml:space="preserve">compared to </w:t>
      </w:r>
      <w:r w:rsidR="00D03CD4">
        <w:t>the millet porridge</w:t>
      </w:r>
      <w:r w:rsidR="001A7B3E">
        <w:t>,</w:t>
      </w:r>
      <w:r w:rsidR="001A7B3E" w:rsidRPr="006871D8">
        <w:t xml:space="preserve"> which contained no </w:t>
      </w:r>
      <w:r w:rsidR="00D03CD4">
        <w:t xml:space="preserve">detectable </w:t>
      </w:r>
      <w:r w:rsidR="001A7B3E">
        <w:t>ascorbic acid</w:t>
      </w:r>
      <w:r w:rsidR="001A7B3E" w:rsidRPr="006871D8">
        <w:t xml:space="preserve">. </w:t>
      </w:r>
      <w:r w:rsidR="002F204C">
        <w:t>The c</w:t>
      </w:r>
      <w:r w:rsidR="001A7B3E">
        <w:t>itric acid</w:t>
      </w:r>
      <w:r w:rsidR="00B619B7">
        <w:t xml:space="preserve"> </w:t>
      </w:r>
      <w:r w:rsidR="001A7B3E">
        <w:t xml:space="preserve">content of </w:t>
      </w:r>
      <w:r w:rsidR="00D03CD4">
        <w:t>baobab</w:t>
      </w:r>
      <w:r w:rsidR="001A7B3E" w:rsidRPr="006871D8">
        <w:t xml:space="preserve"> w</w:t>
      </w:r>
      <w:r w:rsidR="001A7B3E">
        <w:t>as</w:t>
      </w:r>
      <w:r w:rsidR="009076FE">
        <w:t xml:space="preserve"> </w:t>
      </w:r>
      <w:r w:rsidR="002F204C">
        <w:t>approx</w:t>
      </w:r>
      <w:r w:rsidR="00D03CD4">
        <w:t>imately</w:t>
      </w:r>
      <w:r w:rsidR="001A7B3E" w:rsidRPr="006871D8">
        <w:t xml:space="preserve"> 22-fold higher compared to </w:t>
      </w:r>
      <w:r w:rsidR="00D03CD4">
        <w:t>the millet porridge</w:t>
      </w:r>
      <w:r w:rsidR="001A7B3E" w:rsidRPr="006871D8">
        <w:t xml:space="preserve">. </w:t>
      </w:r>
      <w:r w:rsidR="00074C73" w:rsidRPr="006871D8">
        <w:rPr>
          <w:rFonts w:eastAsia="Times New Roman"/>
          <w:szCs w:val="24"/>
        </w:rPr>
        <w:t xml:space="preserve">Standlmayr et al. </w:t>
      </w:r>
      <w:r w:rsidR="00074C73">
        <w:rPr>
          <w:rFonts w:eastAsia="Times New Roman"/>
          <w:szCs w:val="24"/>
        </w:rPr>
        <w:t>(</w:t>
      </w:r>
      <w:r w:rsidR="00074C73" w:rsidRPr="006871D8">
        <w:rPr>
          <w:rFonts w:eastAsia="Times New Roman"/>
          <w:szCs w:val="24"/>
        </w:rPr>
        <w:t>2013</w:t>
      </w:r>
      <w:r w:rsidR="00074C73">
        <w:rPr>
          <w:rFonts w:eastAsia="Times New Roman"/>
          <w:szCs w:val="24"/>
        </w:rPr>
        <w:t xml:space="preserve">) </w:t>
      </w:r>
      <w:r w:rsidR="001A7B3E" w:rsidRPr="006871D8">
        <w:t>also report</w:t>
      </w:r>
      <w:r w:rsidR="00074C73">
        <w:t>ed</w:t>
      </w:r>
      <w:r w:rsidR="001A7B3E" w:rsidRPr="006871D8">
        <w:t xml:space="preserve"> high levels of </w:t>
      </w:r>
      <w:r w:rsidR="001A7B3E">
        <w:t>ascorbic acid</w:t>
      </w:r>
      <w:r w:rsidR="001A7B3E" w:rsidRPr="006871D8">
        <w:t xml:space="preserve"> in </w:t>
      </w:r>
      <w:r w:rsidR="00D03CD4">
        <w:t>baobab powder</w:t>
      </w:r>
      <w:r w:rsidR="001A7B3E" w:rsidRPr="006871D8">
        <w:t xml:space="preserve"> </w:t>
      </w:r>
      <w:r w:rsidR="001A7B3E" w:rsidRPr="006871D8">
        <w:rPr>
          <w:rFonts w:eastAsia="Times New Roman"/>
          <w:szCs w:val="24"/>
        </w:rPr>
        <w:t>(1</w:t>
      </w:r>
      <w:r w:rsidR="00074C73">
        <w:rPr>
          <w:rFonts w:eastAsia="Times New Roman"/>
          <w:szCs w:val="24"/>
        </w:rPr>
        <w:t>26</w:t>
      </w:r>
      <w:r w:rsidR="001A7B3E" w:rsidRPr="006871D8">
        <w:rPr>
          <w:rFonts w:eastAsia="Times New Roman"/>
          <w:szCs w:val="24"/>
        </w:rPr>
        <w:t>–5</w:t>
      </w:r>
      <w:r w:rsidR="00074C73">
        <w:rPr>
          <w:rFonts w:eastAsia="Times New Roman"/>
          <w:szCs w:val="24"/>
        </w:rPr>
        <w:t>09</w:t>
      </w:r>
      <w:r w:rsidR="001A7B3E" w:rsidRPr="006871D8">
        <w:rPr>
          <w:rFonts w:eastAsia="Times New Roman"/>
          <w:szCs w:val="24"/>
        </w:rPr>
        <w:t xml:space="preserve"> mg/100 g)</w:t>
      </w:r>
      <w:r w:rsidR="00D03CD4">
        <w:rPr>
          <w:rFonts w:eastAsia="Times New Roman"/>
          <w:szCs w:val="24"/>
        </w:rPr>
        <w:t>.</w:t>
      </w:r>
      <w:r w:rsidR="00B619B7">
        <w:rPr>
          <w:rFonts w:eastAsia="Times New Roman"/>
          <w:szCs w:val="24"/>
        </w:rPr>
        <w:t xml:space="preserve"> </w:t>
      </w:r>
      <w:r w:rsidR="00D03CD4">
        <w:rPr>
          <w:rFonts w:eastAsia="Times New Roman"/>
          <w:szCs w:val="24"/>
        </w:rPr>
        <w:t>Also</w:t>
      </w:r>
      <w:r w:rsidR="00042AE6">
        <w:rPr>
          <w:rFonts w:eastAsia="Times New Roman"/>
          <w:szCs w:val="24"/>
        </w:rPr>
        <w:t>,</w:t>
      </w:r>
      <w:r w:rsidR="00D03CD4">
        <w:rPr>
          <w:rFonts w:eastAsia="Times New Roman"/>
          <w:szCs w:val="24"/>
        </w:rPr>
        <w:t xml:space="preserve"> </w:t>
      </w:r>
      <w:r w:rsidR="00B619B7">
        <w:rPr>
          <w:rFonts w:eastAsia="Times New Roman"/>
          <w:szCs w:val="24"/>
        </w:rPr>
        <w:t>the level is similar to those in the USD</w:t>
      </w:r>
      <w:r w:rsidR="00D03CD4">
        <w:rPr>
          <w:rFonts w:eastAsia="Times New Roman"/>
          <w:szCs w:val="24"/>
        </w:rPr>
        <w:t>A</w:t>
      </w:r>
      <w:r w:rsidR="00B619B7">
        <w:rPr>
          <w:rFonts w:eastAsia="Times New Roman"/>
          <w:szCs w:val="24"/>
        </w:rPr>
        <w:t xml:space="preserve"> Food Composition Database (150.0 and 272.7 mg/100 </w:t>
      </w:r>
      <w:r w:rsidR="00D03CD4">
        <w:rPr>
          <w:rFonts w:eastAsia="Times New Roman"/>
          <w:szCs w:val="24"/>
        </w:rPr>
        <w:t>g</w:t>
      </w:r>
      <w:r w:rsidR="00B619B7">
        <w:rPr>
          <w:rFonts w:eastAsia="Times New Roman"/>
          <w:szCs w:val="24"/>
        </w:rPr>
        <w:t xml:space="preserve">) </w:t>
      </w:r>
      <w:r w:rsidR="00F36F32">
        <w:rPr>
          <w:rFonts w:eastAsia="Times New Roman"/>
          <w:szCs w:val="24"/>
        </w:rPr>
        <w:t>(USDA, 201</w:t>
      </w:r>
      <w:r w:rsidR="00F440FA">
        <w:rPr>
          <w:rFonts w:eastAsia="Times New Roman"/>
          <w:szCs w:val="24"/>
        </w:rPr>
        <w:t>9</w:t>
      </w:r>
      <w:r w:rsidR="00F36F32">
        <w:rPr>
          <w:rFonts w:eastAsia="Times New Roman"/>
          <w:szCs w:val="24"/>
        </w:rPr>
        <w:t>)</w:t>
      </w:r>
      <w:r w:rsidR="001A7B3E" w:rsidRPr="006871D8">
        <w:rPr>
          <w:rFonts w:eastAsia="Times New Roman"/>
          <w:szCs w:val="24"/>
        </w:rPr>
        <w:t xml:space="preserve">. Likewise, the </w:t>
      </w:r>
      <w:r w:rsidR="001A7B3E">
        <w:rPr>
          <w:rFonts w:eastAsia="Times New Roman"/>
          <w:szCs w:val="24"/>
        </w:rPr>
        <w:t>citric, tartaric and malic acid contents</w:t>
      </w:r>
      <w:r w:rsidR="001A7B3E" w:rsidRPr="006871D8">
        <w:rPr>
          <w:rFonts w:eastAsia="Times New Roman"/>
          <w:szCs w:val="24"/>
        </w:rPr>
        <w:t xml:space="preserve"> of </w:t>
      </w:r>
      <w:r w:rsidR="006D4983">
        <w:rPr>
          <w:rFonts w:eastAsia="Times New Roman"/>
          <w:szCs w:val="24"/>
        </w:rPr>
        <w:t>baobab powder</w:t>
      </w:r>
      <w:r w:rsidR="001A7B3E" w:rsidRPr="006871D8">
        <w:rPr>
          <w:rFonts w:eastAsia="Times New Roman"/>
          <w:szCs w:val="24"/>
        </w:rPr>
        <w:t xml:space="preserve"> </w:t>
      </w:r>
      <w:r w:rsidR="00F15B5B">
        <w:rPr>
          <w:rFonts w:eastAsia="Times New Roman"/>
          <w:szCs w:val="24"/>
        </w:rPr>
        <w:t xml:space="preserve">found </w:t>
      </w:r>
      <w:r w:rsidR="002F204C">
        <w:rPr>
          <w:rFonts w:eastAsia="Times New Roman"/>
          <w:szCs w:val="24"/>
        </w:rPr>
        <w:t>here</w:t>
      </w:r>
      <w:r w:rsidR="009076FE">
        <w:rPr>
          <w:rFonts w:eastAsia="Times New Roman"/>
          <w:szCs w:val="24"/>
        </w:rPr>
        <w:t xml:space="preserve"> </w:t>
      </w:r>
      <w:r w:rsidR="00E35B41">
        <w:rPr>
          <w:rFonts w:eastAsia="Times New Roman"/>
          <w:szCs w:val="24"/>
        </w:rPr>
        <w:t>are</w:t>
      </w:r>
      <w:r w:rsidR="001A7B3E" w:rsidRPr="006871D8">
        <w:rPr>
          <w:rFonts w:eastAsia="Times New Roman"/>
          <w:szCs w:val="24"/>
        </w:rPr>
        <w:t xml:space="preserve"> similar to </w:t>
      </w:r>
      <w:r w:rsidR="002F204C">
        <w:rPr>
          <w:rFonts w:eastAsia="Times New Roman"/>
          <w:szCs w:val="24"/>
        </w:rPr>
        <w:t>literature</w:t>
      </w:r>
      <w:r w:rsidR="001A7B3E" w:rsidRPr="006871D8">
        <w:rPr>
          <w:rFonts w:eastAsia="Times New Roman"/>
          <w:szCs w:val="24"/>
        </w:rPr>
        <w:t xml:space="preserve"> values</w:t>
      </w:r>
      <w:r w:rsidR="00E35B41">
        <w:rPr>
          <w:rFonts w:eastAsia="Times New Roman"/>
          <w:szCs w:val="24"/>
        </w:rPr>
        <w:t>,</w:t>
      </w:r>
      <w:r w:rsidR="001A7B3E" w:rsidRPr="006871D8">
        <w:rPr>
          <w:rFonts w:eastAsia="Times New Roman"/>
          <w:szCs w:val="24"/>
        </w:rPr>
        <w:t xml:space="preserve"> 3300</w:t>
      </w:r>
      <w:r w:rsidR="00393665">
        <w:rPr>
          <w:rFonts w:eastAsia="Times New Roman"/>
          <w:szCs w:val="24"/>
        </w:rPr>
        <w:t xml:space="preserve"> mg/100 g (</w:t>
      </w:r>
      <w:r w:rsidR="00393665" w:rsidRPr="006871D8">
        <w:rPr>
          <w:rFonts w:eastAsia="Times New Roman"/>
          <w:szCs w:val="24"/>
        </w:rPr>
        <w:t>Tembo et al., 2017</w:t>
      </w:r>
      <w:r w:rsidR="00393665">
        <w:rPr>
          <w:rFonts w:eastAsia="Times New Roman"/>
          <w:szCs w:val="24"/>
        </w:rPr>
        <w:t>)</w:t>
      </w:r>
      <w:r w:rsidR="001A7B3E" w:rsidRPr="006871D8">
        <w:rPr>
          <w:rFonts w:eastAsia="Times New Roman"/>
          <w:szCs w:val="24"/>
        </w:rPr>
        <w:t xml:space="preserve">, </w:t>
      </w:r>
      <w:r w:rsidR="00393665">
        <w:rPr>
          <w:rFonts w:eastAsia="Times New Roman"/>
          <w:szCs w:val="24"/>
        </w:rPr>
        <w:t>not detected</w:t>
      </w:r>
      <w:r w:rsidR="001A7B3E" w:rsidRPr="006871D8">
        <w:rPr>
          <w:rFonts w:eastAsia="Times New Roman"/>
          <w:szCs w:val="24"/>
        </w:rPr>
        <w:t xml:space="preserve"> and 160 mg/100 g</w:t>
      </w:r>
      <w:r w:rsidR="00393665">
        <w:rPr>
          <w:rFonts w:eastAsia="Times New Roman"/>
          <w:szCs w:val="24"/>
        </w:rPr>
        <w:t xml:space="preserve"> (</w:t>
      </w:r>
      <w:r w:rsidR="00393665" w:rsidRPr="006871D8">
        <w:rPr>
          <w:rFonts w:eastAsia="Times New Roman"/>
          <w:szCs w:val="24"/>
        </w:rPr>
        <w:t>Magaia</w:t>
      </w:r>
      <w:r w:rsidR="00187AE9">
        <w:rPr>
          <w:rFonts w:eastAsia="Times New Roman"/>
          <w:szCs w:val="24"/>
        </w:rPr>
        <w:t xml:space="preserve"> et al.</w:t>
      </w:r>
      <w:r w:rsidR="00393665" w:rsidRPr="006871D8">
        <w:rPr>
          <w:rFonts w:eastAsia="Times New Roman"/>
          <w:szCs w:val="24"/>
        </w:rPr>
        <w:t>, 2013</w:t>
      </w:r>
      <w:r w:rsidR="00393665">
        <w:rPr>
          <w:rFonts w:eastAsia="Times New Roman"/>
          <w:szCs w:val="24"/>
        </w:rPr>
        <w:t>)</w:t>
      </w:r>
      <w:r w:rsidR="001A7B3E" w:rsidRPr="006871D8">
        <w:rPr>
          <w:rFonts w:eastAsia="Times New Roman"/>
          <w:szCs w:val="24"/>
        </w:rPr>
        <w:t>, respectively</w:t>
      </w:r>
      <w:r w:rsidR="00393665">
        <w:rPr>
          <w:rFonts w:eastAsia="Times New Roman"/>
          <w:szCs w:val="24"/>
        </w:rPr>
        <w:t>.</w:t>
      </w:r>
      <w:r w:rsidR="002F204C">
        <w:rPr>
          <w:rFonts w:eastAsia="Times New Roman"/>
          <w:szCs w:val="24"/>
        </w:rPr>
        <w:t xml:space="preserve"> </w:t>
      </w:r>
      <w:r w:rsidR="001A7B3E" w:rsidRPr="006871D8">
        <w:t>Therefore</w:t>
      </w:r>
      <w:r w:rsidR="001A7B3E">
        <w:t>,</w:t>
      </w:r>
      <w:r w:rsidR="001A7B3E" w:rsidRPr="006871D8">
        <w:t xml:space="preserve"> the</w:t>
      </w:r>
      <w:r w:rsidR="009076FE">
        <w:t xml:space="preserve"> </w:t>
      </w:r>
      <w:r w:rsidR="001A7B3E" w:rsidRPr="006871D8">
        <w:t xml:space="preserve">calculated levels of </w:t>
      </w:r>
      <w:r w:rsidR="001A7B3E">
        <w:t xml:space="preserve">ascorbic </w:t>
      </w:r>
      <w:r w:rsidR="001A7B3E" w:rsidRPr="006871D8">
        <w:t xml:space="preserve">and </w:t>
      </w:r>
      <w:r w:rsidR="001A7B3E">
        <w:t>citric acid</w:t>
      </w:r>
      <w:r w:rsidR="001A7B3E" w:rsidRPr="006871D8">
        <w:t xml:space="preserve"> in the composite porridges including </w:t>
      </w:r>
      <w:r w:rsidR="006D4983">
        <w:t>baobab</w:t>
      </w:r>
      <w:r w:rsidR="001A7B3E" w:rsidRPr="006871D8">
        <w:t xml:space="preserve"> increased substantially</w:t>
      </w:r>
      <w:r w:rsidR="001A7B3E">
        <w:t xml:space="preserve"> to</w:t>
      </w:r>
      <w:r w:rsidR="001A7B3E" w:rsidRPr="006871D8">
        <w:t xml:space="preserve"> 17–18 mg/100 g and </w:t>
      </w:r>
      <w:r w:rsidR="001A7B3E">
        <w:t xml:space="preserve">more than 500 mg/100 g, respectively.  </w:t>
      </w:r>
      <w:r w:rsidR="006D4983">
        <w:t>Moringa</w:t>
      </w:r>
      <w:r w:rsidR="001A7B3E">
        <w:t xml:space="preserve"> was also much higher in citric acid compared to </w:t>
      </w:r>
      <w:r w:rsidR="006D4983">
        <w:t>millet porridge</w:t>
      </w:r>
      <w:r w:rsidR="001A7B3E">
        <w:t>, som</w:t>
      </w:r>
      <w:r w:rsidR="009076FE">
        <w:t xml:space="preserve">e 13 times higher but unlike </w:t>
      </w:r>
      <w:r w:rsidR="006D4983">
        <w:t>baobab</w:t>
      </w:r>
      <w:r w:rsidR="001A7B3E">
        <w:t xml:space="preserve"> contained </w:t>
      </w:r>
      <w:r w:rsidR="002F204C">
        <w:t>low level</w:t>
      </w:r>
      <w:r w:rsidR="001A7B3E">
        <w:t xml:space="preserve"> ascorbic acid (10 mg/100 g), slightly </w:t>
      </w:r>
      <w:r w:rsidR="001A7B3E">
        <w:rPr>
          <w:rFonts w:eastAsia="Times New Roman"/>
          <w:szCs w:val="24"/>
        </w:rPr>
        <w:t xml:space="preserve">lower than </w:t>
      </w:r>
      <w:r w:rsidR="005D72C0">
        <w:rPr>
          <w:rFonts w:eastAsia="Times New Roman"/>
          <w:szCs w:val="24"/>
        </w:rPr>
        <w:t xml:space="preserve">the </w:t>
      </w:r>
      <w:r w:rsidR="001A7B3E">
        <w:rPr>
          <w:rFonts w:eastAsia="Times New Roman"/>
          <w:szCs w:val="24"/>
        </w:rPr>
        <w:t xml:space="preserve">17 mg/100 g </w:t>
      </w:r>
      <w:r w:rsidR="00AD262B">
        <w:rPr>
          <w:rFonts w:eastAsia="Times New Roman"/>
          <w:szCs w:val="24"/>
        </w:rPr>
        <w:t>in the literature</w:t>
      </w:r>
      <w:r w:rsidR="001A7B3E">
        <w:rPr>
          <w:rFonts w:eastAsia="Times New Roman"/>
          <w:szCs w:val="24"/>
        </w:rPr>
        <w:t xml:space="preserve"> </w:t>
      </w:r>
      <w:r w:rsidR="00AD262B">
        <w:rPr>
          <w:rFonts w:eastAsia="Times New Roman"/>
          <w:szCs w:val="24"/>
        </w:rPr>
        <w:t>(</w:t>
      </w:r>
      <w:r w:rsidR="001A7B3E">
        <w:rPr>
          <w:rFonts w:eastAsia="Times New Roman"/>
          <w:szCs w:val="24"/>
        </w:rPr>
        <w:t>Gopalakrishnan et a</w:t>
      </w:r>
      <w:r w:rsidR="005D72C0">
        <w:rPr>
          <w:rFonts w:eastAsia="Times New Roman"/>
          <w:szCs w:val="24"/>
        </w:rPr>
        <w:t>l</w:t>
      </w:r>
      <w:r w:rsidR="009076FE">
        <w:rPr>
          <w:rFonts w:eastAsia="Times New Roman"/>
          <w:szCs w:val="24"/>
        </w:rPr>
        <w:t>.</w:t>
      </w:r>
      <w:r w:rsidR="00AD262B">
        <w:rPr>
          <w:rFonts w:eastAsia="Times New Roman"/>
          <w:szCs w:val="24"/>
        </w:rPr>
        <w:t>,</w:t>
      </w:r>
      <w:r w:rsidR="001A7B3E">
        <w:rPr>
          <w:rFonts w:eastAsia="Times New Roman"/>
          <w:szCs w:val="24"/>
        </w:rPr>
        <w:t xml:space="preserve"> 2016). </w:t>
      </w:r>
    </w:p>
    <w:p w14:paraId="34CA9350" w14:textId="5AE7786F" w:rsidR="005A1E42" w:rsidRDefault="005A1E42" w:rsidP="0062679E">
      <w:pPr>
        <w:spacing w:after="0"/>
        <w:rPr>
          <w:rFonts w:eastAsia="Times New Roman"/>
          <w:szCs w:val="24"/>
        </w:rPr>
      </w:pPr>
    </w:p>
    <w:p w14:paraId="670EF5D3" w14:textId="6AAB25DE" w:rsidR="005A1E42" w:rsidRPr="005A1E42" w:rsidRDefault="005A1E42" w:rsidP="009163EF">
      <w:pPr>
        <w:rPr>
          <w:szCs w:val="24"/>
        </w:rPr>
      </w:pPr>
      <w:r w:rsidRPr="005A1E42">
        <w:rPr>
          <w:szCs w:val="24"/>
        </w:rPr>
        <w:t>Ascorbic acid and citric acid are known to be potent enhancers of mineral bioavailability in foods. They chelate minerals and keep them in a soluble and absorbable form (Lönnerdal, 2000; Iyengar</w:t>
      </w:r>
      <w:r w:rsidR="00187AE9">
        <w:rPr>
          <w:szCs w:val="24"/>
        </w:rPr>
        <w:t xml:space="preserve"> et al.</w:t>
      </w:r>
      <w:r w:rsidRPr="005A1E42">
        <w:rPr>
          <w:szCs w:val="24"/>
        </w:rPr>
        <w:t xml:space="preserve">, 2010). Furthermore, ascorbic acid acts as a reducing agent </w:t>
      </w:r>
      <w:r w:rsidR="00B4098E">
        <w:rPr>
          <w:szCs w:val="24"/>
        </w:rPr>
        <w:t>like</w:t>
      </w:r>
      <w:r w:rsidRPr="005A1E42">
        <w:rPr>
          <w:szCs w:val="24"/>
        </w:rPr>
        <w:t xml:space="preserve"> apical membrane-bound ferrireductase which reduces Fe</w:t>
      </w:r>
      <w:r w:rsidRPr="005A1E42">
        <w:rPr>
          <w:szCs w:val="24"/>
          <w:vertAlign w:val="superscript"/>
        </w:rPr>
        <w:t>3+</w:t>
      </w:r>
      <w:r w:rsidRPr="005A1E42">
        <w:rPr>
          <w:szCs w:val="24"/>
        </w:rPr>
        <w:t xml:space="preserve"> to Fe</w:t>
      </w:r>
      <w:r w:rsidRPr="005A1E42">
        <w:rPr>
          <w:szCs w:val="24"/>
          <w:vertAlign w:val="superscript"/>
        </w:rPr>
        <w:t>2+</w:t>
      </w:r>
      <w:r w:rsidRPr="005A1E42">
        <w:rPr>
          <w:szCs w:val="24"/>
        </w:rPr>
        <w:t>, the only form in which non-haem iron is transported across the intestinal membrane (Mackenzie &amp; Garrick, 2005).</w:t>
      </w:r>
    </w:p>
    <w:p w14:paraId="67E824BF" w14:textId="77777777" w:rsidR="00902C80" w:rsidRDefault="00902C80" w:rsidP="009163EF">
      <w:pPr>
        <w:rPr>
          <w:b/>
          <w:szCs w:val="24"/>
        </w:rPr>
        <w:sectPr w:rsidR="00902C80" w:rsidSect="00C50867">
          <w:pgSz w:w="11907" w:h="16839" w:code="9"/>
          <w:pgMar w:top="1440" w:right="1440" w:bottom="1440" w:left="1440" w:header="720" w:footer="720" w:gutter="0"/>
          <w:cols w:space="720"/>
          <w:docGrid w:linePitch="360"/>
        </w:sectPr>
      </w:pPr>
    </w:p>
    <w:p w14:paraId="5297EACC" w14:textId="5DAF8DB1" w:rsidR="00902C80" w:rsidRPr="00000361" w:rsidRDefault="00902C80" w:rsidP="00351D12">
      <w:pPr>
        <w:pStyle w:val="MyTables"/>
        <w:rPr>
          <w:rFonts w:cs="Times New Roman"/>
        </w:rPr>
      </w:pPr>
      <w:bookmarkStart w:id="87" w:name="_Toc65253631"/>
      <w:r w:rsidRPr="00DF7F3E">
        <w:rPr>
          <w:b/>
        </w:rPr>
        <w:t xml:space="preserve">Table </w:t>
      </w:r>
      <w:r w:rsidR="00F3680E">
        <w:rPr>
          <w:b/>
        </w:rPr>
        <w:t>4.1.</w:t>
      </w:r>
      <w:r w:rsidRPr="00DF7F3E">
        <w:rPr>
          <w:b/>
        </w:rPr>
        <w:t>3</w:t>
      </w:r>
      <w:r>
        <w:rPr>
          <w:b/>
        </w:rPr>
        <w:t xml:space="preserve">: </w:t>
      </w:r>
      <w:r w:rsidRPr="00000361">
        <w:t xml:space="preserve">Organic acid contents </w:t>
      </w:r>
      <w:r>
        <w:t xml:space="preserve">(mg/100 g dry basis) </w:t>
      </w:r>
      <w:r w:rsidRPr="00000361">
        <w:t>of pearl millet porridge, baobab fruit powder and moringa leaf powder</w:t>
      </w:r>
      <w:r>
        <w:t xml:space="preserve"> and </w:t>
      </w:r>
      <w:r w:rsidR="00BB2C01" w:rsidRPr="00BB2C01">
        <w:t>the food-to-food fortified porridges</w:t>
      </w:r>
      <w:r w:rsidR="00BB2C01">
        <w:t>, plus</w:t>
      </w:r>
      <w:r>
        <w:t xml:space="preserve"> organic acid:iron molar ratios</w:t>
      </w:r>
      <w:bookmarkEnd w:id="87"/>
    </w:p>
    <w:tbl>
      <w:tblPr>
        <w:tblW w:w="5000" w:type="pct"/>
        <w:tblBorders>
          <w:top w:val="single" w:sz="4" w:space="0" w:color="auto"/>
          <w:bottom w:val="single" w:sz="4" w:space="0" w:color="auto"/>
        </w:tblBorders>
        <w:tblLook w:val="04A0" w:firstRow="1" w:lastRow="0" w:firstColumn="1" w:lastColumn="0" w:noHBand="0" w:noVBand="1"/>
      </w:tblPr>
      <w:tblGrid>
        <w:gridCol w:w="3574"/>
        <w:gridCol w:w="1902"/>
        <w:gridCol w:w="1727"/>
        <w:gridCol w:w="1829"/>
        <w:gridCol w:w="1829"/>
        <w:gridCol w:w="1792"/>
        <w:gridCol w:w="1522"/>
      </w:tblGrid>
      <w:tr w:rsidR="00902C80" w:rsidRPr="007C3DC9" w14:paraId="5E9377F5" w14:textId="77777777" w:rsidTr="001A1CC8">
        <w:tc>
          <w:tcPr>
            <w:tcW w:w="1261" w:type="pct"/>
            <w:tcBorders>
              <w:top w:val="single" w:sz="4" w:space="0" w:color="auto"/>
              <w:bottom w:val="single" w:sz="4" w:space="0" w:color="auto"/>
            </w:tcBorders>
          </w:tcPr>
          <w:p w14:paraId="29177332" w14:textId="77777777" w:rsidR="00902C80" w:rsidRPr="007C3DC9" w:rsidRDefault="00902C80" w:rsidP="00583F8A">
            <w:pPr>
              <w:spacing w:after="0" w:line="240" w:lineRule="auto"/>
              <w:jc w:val="left"/>
              <w:rPr>
                <w:rFonts w:cs="Times New Roman"/>
                <w:b/>
                <w:sz w:val="22"/>
              </w:rPr>
            </w:pPr>
            <w:r w:rsidRPr="007C3DC9">
              <w:rPr>
                <w:rFonts w:cs="Times New Roman"/>
                <w:b/>
                <w:sz w:val="22"/>
              </w:rPr>
              <w:t>Plant food and porridge formulations (dry mass ratios)</w:t>
            </w:r>
          </w:p>
        </w:tc>
        <w:tc>
          <w:tcPr>
            <w:tcW w:w="671" w:type="pct"/>
            <w:tcBorders>
              <w:top w:val="single" w:sz="4" w:space="0" w:color="auto"/>
              <w:bottom w:val="single" w:sz="4" w:space="0" w:color="auto"/>
            </w:tcBorders>
          </w:tcPr>
          <w:p w14:paraId="03AB0BE6" w14:textId="77777777" w:rsidR="00902C80" w:rsidRPr="007C3DC9" w:rsidRDefault="00902C80" w:rsidP="00856436">
            <w:pPr>
              <w:spacing w:after="0" w:line="240" w:lineRule="auto"/>
              <w:jc w:val="center"/>
              <w:rPr>
                <w:rFonts w:cs="Times New Roman"/>
                <w:b/>
                <w:sz w:val="22"/>
              </w:rPr>
            </w:pPr>
            <w:r w:rsidRPr="007C3DC9">
              <w:rPr>
                <w:rFonts w:cs="Times New Roman"/>
                <w:b/>
                <w:sz w:val="22"/>
              </w:rPr>
              <w:t>Ascorbic acid</w:t>
            </w:r>
          </w:p>
        </w:tc>
        <w:tc>
          <w:tcPr>
            <w:tcW w:w="609" w:type="pct"/>
            <w:tcBorders>
              <w:top w:val="single" w:sz="4" w:space="0" w:color="auto"/>
              <w:bottom w:val="single" w:sz="4" w:space="0" w:color="auto"/>
            </w:tcBorders>
          </w:tcPr>
          <w:p w14:paraId="53F43C03" w14:textId="77777777" w:rsidR="00902C80" w:rsidRPr="007C3DC9" w:rsidRDefault="00902C80" w:rsidP="00856436">
            <w:pPr>
              <w:spacing w:after="0" w:line="240" w:lineRule="auto"/>
              <w:jc w:val="center"/>
              <w:rPr>
                <w:rFonts w:cs="Times New Roman"/>
                <w:b/>
                <w:sz w:val="22"/>
              </w:rPr>
            </w:pPr>
            <w:r w:rsidRPr="007C3DC9">
              <w:rPr>
                <w:rFonts w:cs="Times New Roman"/>
                <w:b/>
                <w:sz w:val="22"/>
              </w:rPr>
              <w:t>Citric acid</w:t>
            </w:r>
          </w:p>
        </w:tc>
        <w:tc>
          <w:tcPr>
            <w:tcW w:w="645" w:type="pct"/>
            <w:tcBorders>
              <w:top w:val="single" w:sz="4" w:space="0" w:color="auto"/>
              <w:bottom w:val="single" w:sz="4" w:space="0" w:color="auto"/>
            </w:tcBorders>
          </w:tcPr>
          <w:p w14:paraId="5BAF278A" w14:textId="77777777" w:rsidR="00902C80" w:rsidRPr="007C3DC9" w:rsidRDefault="00902C80" w:rsidP="00856436">
            <w:pPr>
              <w:spacing w:after="0" w:line="240" w:lineRule="auto"/>
              <w:jc w:val="center"/>
              <w:rPr>
                <w:rFonts w:cs="Times New Roman"/>
                <w:b/>
                <w:sz w:val="22"/>
              </w:rPr>
            </w:pPr>
            <w:r w:rsidRPr="007C3DC9">
              <w:rPr>
                <w:rFonts w:cs="Times New Roman"/>
                <w:b/>
                <w:sz w:val="22"/>
              </w:rPr>
              <w:t>Tartaric acid</w:t>
            </w:r>
          </w:p>
        </w:tc>
        <w:tc>
          <w:tcPr>
            <w:tcW w:w="645" w:type="pct"/>
            <w:tcBorders>
              <w:top w:val="single" w:sz="4" w:space="0" w:color="auto"/>
              <w:bottom w:val="single" w:sz="4" w:space="0" w:color="auto"/>
            </w:tcBorders>
          </w:tcPr>
          <w:p w14:paraId="698CBAE9" w14:textId="77777777" w:rsidR="00902C80" w:rsidRPr="007C3DC9" w:rsidRDefault="00902C80" w:rsidP="00856436">
            <w:pPr>
              <w:spacing w:after="0" w:line="240" w:lineRule="auto"/>
              <w:jc w:val="center"/>
              <w:rPr>
                <w:rFonts w:cs="Times New Roman"/>
                <w:b/>
                <w:sz w:val="22"/>
              </w:rPr>
            </w:pPr>
            <w:r w:rsidRPr="007C3DC9">
              <w:rPr>
                <w:rFonts w:cs="Times New Roman"/>
                <w:b/>
                <w:sz w:val="22"/>
              </w:rPr>
              <w:t>Malic acid</w:t>
            </w:r>
          </w:p>
        </w:tc>
        <w:tc>
          <w:tcPr>
            <w:tcW w:w="632" w:type="pct"/>
            <w:tcBorders>
              <w:top w:val="single" w:sz="4" w:space="0" w:color="auto"/>
              <w:bottom w:val="single" w:sz="4" w:space="0" w:color="auto"/>
            </w:tcBorders>
          </w:tcPr>
          <w:p w14:paraId="56EB7E6B" w14:textId="77777777" w:rsidR="00902C80" w:rsidRPr="007C3DC9" w:rsidRDefault="00902C80" w:rsidP="00856436">
            <w:pPr>
              <w:spacing w:after="0" w:line="240" w:lineRule="auto"/>
              <w:jc w:val="center"/>
              <w:rPr>
                <w:rFonts w:cs="Times New Roman"/>
                <w:b/>
                <w:sz w:val="22"/>
              </w:rPr>
            </w:pPr>
            <w:r w:rsidRPr="007C3DC9">
              <w:rPr>
                <w:rFonts w:cs="Times New Roman"/>
                <w:b/>
                <w:sz w:val="22"/>
              </w:rPr>
              <w:t>Ascorbic acid:iron molar ratio</w:t>
            </w:r>
          </w:p>
        </w:tc>
        <w:tc>
          <w:tcPr>
            <w:tcW w:w="538" w:type="pct"/>
            <w:tcBorders>
              <w:top w:val="single" w:sz="4" w:space="0" w:color="auto"/>
              <w:bottom w:val="single" w:sz="4" w:space="0" w:color="auto"/>
            </w:tcBorders>
          </w:tcPr>
          <w:p w14:paraId="235DBFCA" w14:textId="77777777" w:rsidR="00902C80" w:rsidRPr="007C3DC9" w:rsidRDefault="00902C80" w:rsidP="00856436">
            <w:pPr>
              <w:spacing w:after="0" w:line="240" w:lineRule="auto"/>
              <w:jc w:val="center"/>
              <w:rPr>
                <w:rFonts w:cs="Times New Roman"/>
                <w:b/>
                <w:sz w:val="22"/>
              </w:rPr>
            </w:pPr>
            <w:r w:rsidRPr="007C3DC9">
              <w:rPr>
                <w:rFonts w:cs="Times New Roman"/>
                <w:b/>
                <w:sz w:val="22"/>
              </w:rPr>
              <w:t>Citric acid:iron molar ratio</w:t>
            </w:r>
          </w:p>
        </w:tc>
      </w:tr>
      <w:tr w:rsidR="00902C80" w:rsidRPr="007C3DC9" w14:paraId="01C9C80C" w14:textId="77777777" w:rsidTr="001A1CC8">
        <w:tc>
          <w:tcPr>
            <w:tcW w:w="1261" w:type="pct"/>
            <w:tcBorders>
              <w:top w:val="single" w:sz="4" w:space="0" w:color="auto"/>
            </w:tcBorders>
          </w:tcPr>
          <w:p w14:paraId="5A6DC818" w14:textId="77777777" w:rsidR="00902C80" w:rsidRPr="007C3DC9" w:rsidRDefault="00902C80" w:rsidP="00583F8A">
            <w:pPr>
              <w:spacing w:after="0" w:line="240" w:lineRule="auto"/>
              <w:jc w:val="left"/>
              <w:rPr>
                <w:rFonts w:cs="Times New Roman"/>
                <w:sz w:val="22"/>
              </w:rPr>
            </w:pPr>
            <w:r w:rsidRPr="007C3DC9">
              <w:rPr>
                <w:rFonts w:cs="Times New Roman"/>
                <w:sz w:val="22"/>
              </w:rPr>
              <w:t xml:space="preserve">Millet porridge </w:t>
            </w:r>
          </w:p>
        </w:tc>
        <w:tc>
          <w:tcPr>
            <w:tcW w:w="671" w:type="pct"/>
            <w:tcBorders>
              <w:top w:val="single" w:sz="4" w:space="0" w:color="auto"/>
            </w:tcBorders>
          </w:tcPr>
          <w:p w14:paraId="40A2359B" w14:textId="77777777" w:rsidR="00902C80" w:rsidRPr="007C3DC9" w:rsidRDefault="00902C80" w:rsidP="00856436">
            <w:pPr>
              <w:spacing w:after="0" w:line="240" w:lineRule="auto"/>
              <w:jc w:val="center"/>
              <w:rPr>
                <w:rFonts w:cs="Times New Roman"/>
                <w:sz w:val="22"/>
              </w:rPr>
            </w:pPr>
            <w:r w:rsidRPr="007C3DC9">
              <w:rPr>
                <w:rFonts w:cs="Times New Roman"/>
                <w:sz w:val="22"/>
              </w:rPr>
              <w:t>Not detected</w:t>
            </w:r>
          </w:p>
        </w:tc>
        <w:tc>
          <w:tcPr>
            <w:tcW w:w="609" w:type="pct"/>
            <w:tcBorders>
              <w:top w:val="single" w:sz="4" w:space="0" w:color="auto"/>
            </w:tcBorders>
          </w:tcPr>
          <w:p w14:paraId="29EF62F0" w14:textId="77777777" w:rsidR="00902C80" w:rsidRPr="007C3DC9" w:rsidRDefault="00902C80" w:rsidP="00856436">
            <w:pPr>
              <w:spacing w:after="0" w:line="240" w:lineRule="auto"/>
              <w:jc w:val="center"/>
              <w:rPr>
                <w:rFonts w:cs="Times New Roman"/>
                <w:sz w:val="22"/>
              </w:rPr>
            </w:pPr>
            <w:r w:rsidRPr="007C3DC9">
              <w:rPr>
                <w:rFonts w:cs="Times New Roman"/>
                <w:sz w:val="22"/>
              </w:rPr>
              <w:t>150</w:t>
            </w:r>
            <w:r w:rsidRPr="007C3DC9">
              <w:rPr>
                <w:rFonts w:cs="Times New Roman"/>
                <w:sz w:val="22"/>
                <w:vertAlign w:val="superscript"/>
              </w:rPr>
              <w:t>a</w:t>
            </w:r>
            <w:r w:rsidRPr="007C3DC9">
              <w:rPr>
                <w:rFonts w:cs="Times New Roman"/>
                <w:sz w:val="22"/>
              </w:rPr>
              <w:t>± 9</w:t>
            </w:r>
            <w:r w:rsidRPr="007C3DC9">
              <w:rPr>
                <w:rFonts w:cs="Times New Roman"/>
                <w:sz w:val="22"/>
                <w:vertAlign w:val="superscript"/>
              </w:rPr>
              <w:t>1,2</w:t>
            </w:r>
          </w:p>
        </w:tc>
        <w:tc>
          <w:tcPr>
            <w:tcW w:w="645" w:type="pct"/>
            <w:tcBorders>
              <w:top w:val="single" w:sz="4" w:space="0" w:color="auto"/>
            </w:tcBorders>
          </w:tcPr>
          <w:p w14:paraId="5FB34CAE" w14:textId="77777777" w:rsidR="00902C80" w:rsidRPr="007C3DC9" w:rsidRDefault="00902C80" w:rsidP="00856436">
            <w:pPr>
              <w:spacing w:after="0" w:line="240" w:lineRule="auto"/>
              <w:jc w:val="center"/>
              <w:rPr>
                <w:rFonts w:cs="Times New Roman"/>
                <w:sz w:val="22"/>
              </w:rPr>
            </w:pPr>
            <w:r w:rsidRPr="007C3DC9">
              <w:rPr>
                <w:rFonts w:cs="Times New Roman"/>
                <w:sz w:val="22"/>
              </w:rPr>
              <w:t>713</w:t>
            </w:r>
            <w:r w:rsidRPr="007C3DC9">
              <w:rPr>
                <w:rFonts w:cs="Times New Roman"/>
                <w:sz w:val="22"/>
                <w:vertAlign w:val="superscript"/>
              </w:rPr>
              <w:t>b</w:t>
            </w:r>
            <w:r w:rsidRPr="007C3DC9">
              <w:rPr>
                <w:rFonts w:cs="Times New Roman"/>
                <w:sz w:val="22"/>
              </w:rPr>
              <w:t>± 66</w:t>
            </w:r>
          </w:p>
        </w:tc>
        <w:tc>
          <w:tcPr>
            <w:tcW w:w="645" w:type="pct"/>
            <w:tcBorders>
              <w:top w:val="single" w:sz="4" w:space="0" w:color="auto"/>
            </w:tcBorders>
          </w:tcPr>
          <w:p w14:paraId="7C919197" w14:textId="77777777" w:rsidR="00902C80" w:rsidRPr="007C3DC9" w:rsidRDefault="00902C80" w:rsidP="00856436">
            <w:pPr>
              <w:spacing w:after="0" w:line="240" w:lineRule="auto"/>
              <w:jc w:val="center"/>
              <w:rPr>
                <w:rFonts w:cs="Times New Roman"/>
                <w:sz w:val="22"/>
              </w:rPr>
            </w:pPr>
            <w:r w:rsidRPr="007C3DC9">
              <w:rPr>
                <w:rFonts w:cs="Times New Roman"/>
                <w:sz w:val="22"/>
              </w:rPr>
              <w:t>194</w:t>
            </w:r>
            <w:r w:rsidRPr="007C3DC9">
              <w:rPr>
                <w:rFonts w:cs="Times New Roman"/>
                <w:sz w:val="22"/>
                <w:vertAlign w:val="superscript"/>
              </w:rPr>
              <w:t>a</w:t>
            </w:r>
            <w:r w:rsidRPr="007C3DC9">
              <w:rPr>
                <w:rFonts w:cs="Times New Roman"/>
                <w:sz w:val="22"/>
              </w:rPr>
              <w:t>± 9</w:t>
            </w:r>
          </w:p>
        </w:tc>
        <w:tc>
          <w:tcPr>
            <w:tcW w:w="632" w:type="pct"/>
            <w:tcBorders>
              <w:top w:val="single" w:sz="4" w:space="0" w:color="auto"/>
            </w:tcBorders>
          </w:tcPr>
          <w:p w14:paraId="778B3AA6" w14:textId="77777777" w:rsidR="00902C80" w:rsidRPr="007C3DC9" w:rsidRDefault="00902C80" w:rsidP="00856436">
            <w:pPr>
              <w:spacing w:after="0" w:line="240" w:lineRule="auto"/>
              <w:jc w:val="center"/>
              <w:rPr>
                <w:rFonts w:cs="Times New Roman"/>
                <w:sz w:val="22"/>
              </w:rPr>
            </w:pPr>
            <w:r w:rsidRPr="007C3DC9">
              <w:rPr>
                <w:rFonts w:cs="Times New Roman"/>
                <w:sz w:val="22"/>
              </w:rPr>
              <w:t>0.0:1</w:t>
            </w:r>
          </w:p>
        </w:tc>
        <w:tc>
          <w:tcPr>
            <w:tcW w:w="538" w:type="pct"/>
            <w:tcBorders>
              <w:top w:val="single" w:sz="4" w:space="0" w:color="auto"/>
            </w:tcBorders>
          </w:tcPr>
          <w:p w14:paraId="3355E89E" w14:textId="77777777" w:rsidR="00902C80" w:rsidRPr="007C3DC9" w:rsidRDefault="00902C80" w:rsidP="00856436">
            <w:pPr>
              <w:spacing w:after="0" w:line="240" w:lineRule="auto"/>
              <w:jc w:val="center"/>
              <w:rPr>
                <w:rFonts w:cs="Times New Roman"/>
                <w:sz w:val="22"/>
              </w:rPr>
            </w:pPr>
            <w:r w:rsidRPr="007C3DC9">
              <w:rPr>
                <w:rFonts w:cs="Times New Roman"/>
                <w:sz w:val="22"/>
              </w:rPr>
              <w:t>5:1</w:t>
            </w:r>
          </w:p>
        </w:tc>
      </w:tr>
      <w:tr w:rsidR="00902C80" w:rsidRPr="007C3DC9" w14:paraId="7A6B41E0" w14:textId="77777777" w:rsidTr="001A1CC8">
        <w:tc>
          <w:tcPr>
            <w:tcW w:w="1261" w:type="pct"/>
          </w:tcPr>
          <w:p w14:paraId="350C3540" w14:textId="77777777" w:rsidR="00902C80" w:rsidRPr="007C3DC9" w:rsidRDefault="00902C80" w:rsidP="00583F8A">
            <w:pPr>
              <w:spacing w:after="0" w:line="240" w:lineRule="auto"/>
              <w:jc w:val="left"/>
              <w:rPr>
                <w:rFonts w:cs="Times New Roman"/>
                <w:sz w:val="22"/>
              </w:rPr>
            </w:pPr>
            <w:r w:rsidRPr="007C3DC9">
              <w:rPr>
                <w:rFonts w:cs="Times New Roman"/>
                <w:sz w:val="22"/>
              </w:rPr>
              <w:t>Baobab</w:t>
            </w:r>
          </w:p>
        </w:tc>
        <w:tc>
          <w:tcPr>
            <w:tcW w:w="671" w:type="pct"/>
          </w:tcPr>
          <w:p w14:paraId="30639745" w14:textId="77777777" w:rsidR="00902C80" w:rsidRPr="007C3DC9" w:rsidRDefault="00902C80" w:rsidP="00856436">
            <w:pPr>
              <w:spacing w:after="0" w:line="240" w:lineRule="auto"/>
              <w:jc w:val="center"/>
              <w:rPr>
                <w:rFonts w:cs="Times New Roman"/>
                <w:sz w:val="22"/>
              </w:rPr>
            </w:pPr>
            <w:r w:rsidRPr="007C3DC9">
              <w:rPr>
                <w:rFonts w:cs="Times New Roman"/>
                <w:sz w:val="22"/>
              </w:rPr>
              <w:t>140</w:t>
            </w:r>
            <w:r w:rsidRPr="007C3DC9">
              <w:rPr>
                <w:rFonts w:cs="Times New Roman"/>
                <w:sz w:val="22"/>
                <w:vertAlign w:val="superscript"/>
              </w:rPr>
              <w:t>b</w:t>
            </w:r>
            <w:r w:rsidRPr="007C3DC9">
              <w:rPr>
                <w:rFonts w:cs="Times New Roman"/>
                <w:sz w:val="22"/>
              </w:rPr>
              <w:t>± 7</w:t>
            </w:r>
          </w:p>
        </w:tc>
        <w:tc>
          <w:tcPr>
            <w:tcW w:w="609" w:type="pct"/>
          </w:tcPr>
          <w:p w14:paraId="77AEF353" w14:textId="77777777" w:rsidR="00902C80" w:rsidRPr="007C3DC9" w:rsidRDefault="00902C80" w:rsidP="00856436">
            <w:pPr>
              <w:spacing w:after="0" w:line="240" w:lineRule="auto"/>
              <w:jc w:val="center"/>
              <w:rPr>
                <w:rFonts w:cs="Times New Roman"/>
                <w:sz w:val="22"/>
              </w:rPr>
            </w:pPr>
            <w:r w:rsidRPr="007C3DC9">
              <w:rPr>
                <w:rFonts w:cs="Times New Roman"/>
                <w:sz w:val="22"/>
              </w:rPr>
              <w:t>3345</w:t>
            </w:r>
            <w:r w:rsidRPr="007C3DC9">
              <w:rPr>
                <w:rFonts w:cs="Times New Roman"/>
                <w:sz w:val="22"/>
                <w:vertAlign w:val="superscript"/>
              </w:rPr>
              <w:t>c</w:t>
            </w:r>
            <w:r w:rsidRPr="007C3DC9">
              <w:rPr>
                <w:rFonts w:cs="Times New Roman"/>
                <w:sz w:val="22"/>
              </w:rPr>
              <w:t>± 63</w:t>
            </w:r>
          </w:p>
        </w:tc>
        <w:tc>
          <w:tcPr>
            <w:tcW w:w="645" w:type="pct"/>
          </w:tcPr>
          <w:p w14:paraId="0DB9BF60" w14:textId="77777777" w:rsidR="00902C80" w:rsidRPr="007C3DC9" w:rsidRDefault="00902C80" w:rsidP="00856436">
            <w:pPr>
              <w:spacing w:after="0" w:line="240" w:lineRule="auto"/>
              <w:jc w:val="center"/>
              <w:rPr>
                <w:rFonts w:cs="Times New Roman"/>
                <w:sz w:val="22"/>
              </w:rPr>
            </w:pPr>
            <w:r w:rsidRPr="007C3DC9">
              <w:rPr>
                <w:rFonts w:cs="Times New Roman"/>
                <w:sz w:val="22"/>
              </w:rPr>
              <w:t>Not detected</w:t>
            </w:r>
          </w:p>
        </w:tc>
        <w:tc>
          <w:tcPr>
            <w:tcW w:w="645" w:type="pct"/>
          </w:tcPr>
          <w:p w14:paraId="29EF820B" w14:textId="77777777" w:rsidR="00902C80" w:rsidRPr="007C3DC9" w:rsidRDefault="00902C80" w:rsidP="00856436">
            <w:pPr>
              <w:spacing w:after="0" w:line="240" w:lineRule="auto"/>
              <w:jc w:val="center"/>
              <w:rPr>
                <w:rFonts w:cs="Times New Roman"/>
                <w:sz w:val="22"/>
              </w:rPr>
            </w:pPr>
            <w:r w:rsidRPr="007C3DC9">
              <w:rPr>
                <w:rFonts w:cs="Times New Roman"/>
                <w:sz w:val="22"/>
              </w:rPr>
              <w:t>210</w:t>
            </w:r>
            <w:r w:rsidRPr="007C3DC9">
              <w:rPr>
                <w:rFonts w:cs="Times New Roman"/>
                <w:sz w:val="22"/>
                <w:vertAlign w:val="superscript"/>
              </w:rPr>
              <w:t>b</w:t>
            </w:r>
            <w:r w:rsidRPr="007C3DC9">
              <w:rPr>
                <w:rFonts w:cs="Times New Roman"/>
                <w:sz w:val="22"/>
              </w:rPr>
              <w:t>± 9</w:t>
            </w:r>
          </w:p>
        </w:tc>
        <w:tc>
          <w:tcPr>
            <w:tcW w:w="632" w:type="pct"/>
          </w:tcPr>
          <w:p w14:paraId="645CB45D" w14:textId="77777777" w:rsidR="00902C80" w:rsidRPr="007C3DC9" w:rsidRDefault="00902C80" w:rsidP="00856436">
            <w:pPr>
              <w:spacing w:after="0" w:line="240" w:lineRule="auto"/>
              <w:jc w:val="center"/>
              <w:rPr>
                <w:rFonts w:cs="Times New Roman"/>
                <w:sz w:val="22"/>
              </w:rPr>
            </w:pPr>
            <w:r w:rsidRPr="007C3DC9">
              <w:rPr>
                <w:rFonts w:cs="Times New Roman"/>
                <w:sz w:val="22"/>
              </w:rPr>
              <w:t>12.0:1</w:t>
            </w:r>
          </w:p>
        </w:tc>
        <w:tc>
          <w:tcPr>
            <w:tcW w:w="538" w:type="pct"/>
          </w:tcPr>
          <w:p w14:paraId="538041DB" w14:textId="77777777" w:rsidR="00902C80" w:rsidRPr="007C3DC9" w:rsidRDefault="00902C80" w:rsidP="00856436">
            <w:pPr>
              <w:spacing w:after="0" w:line="240" w:lineRule="auto"/>
              <w:jc w:val="center"/>
              <w:rPr>
                <w:rFonts w:cs="Times New Roman"/>
                <w:sz w:val="22"/>
              </w:rPr>
            </w:pPr>
            <w:r w:rsidRPr="007C3DC9">
              <w:rPr>
                <w:rFonts w:cs="Times New Roman"/>
                <w:sz w:val="22"/>
              </w:rPr>
              <w:t>263:1</w:t>
            </w:r>
          </w:p>
        </w:tc>
      </w:tr>
      <w:tr w:rsidR="00902C80" w:rsidRPr="007C3DC9" w14:paraId="71F84738" w14:textId="77777777" w:rsidTr="001A1CC8">
        <w:tc>
          <w:tcPr>
            <w:tcW w:w="1261" w:type="pct"/>
          </w:tcPr>
          <w:p w14:paraId="7FCB2DF9" w14:textId="77777777" w:rsidR="00902C80" w:rsidRPr="007C3DC9" w:rsidRDefault="00902C80" w:rsidP="00583F8A">
            <w:pPr>
              <w:spacing w:after="0" w:line="240" w:lineRule="auto"/>
              <w:jc w:val="left"/>
              <w:rPr>
                <w:rFonts w:cs="Times New Roman"/>
                <w:sz w:val="22"/>
              </w:rPr>
            </w:pPr>
            <w:r w:rsidRPr="007C3DC9">
              <w:rPr>
                <w:rFonts w:cs="Times New Roman"/>
                <w:sz w:val="22"/>
              </w:rPr>
              <w:t>Moringa</w:t>
            </w:r>
          </w:p>
        </w:tc>
        <w:tc>
          <w:tcPr>
            <w:tcW w:w="671" w:type="pct"/>
          </w:tcPr>
          <w:p w14:paraId="30AFB68C" w14:textId="77777777" w:rsidR="00902C80" w:rsidRPr="007C3DC9" w:rsidRDefault="00902C80" w:rsidP="00856436">
            <w:pPr>
              <w:spacing w:after="0" w:line="240" w:lineRule="auto"/>
              <w:jc w:val="center"/>
              <w:rPr>
                <w:rFonts w:cs="Times New Roman"/>
                <w:sz w:val="22"/>
              </w:rPr>
            </w:pPr>
            <w:r w:rsidRPr="007C3DC9">
              <w:rPr>
                <w:rFonts w:cs="Times New Roman"/>
                <w:sz w:val="22"/>
              </w:rPr>
              <w:t>10</w:t>
            </w:r>
            <w:r w:rsidRPr="007C3DC9">
              <w:rPr>
                <w:rFonts w:cs="Times New Roman"/>
                <w:sz w:val="22"/>
                <w:vertAlign w:val="superscript"/>
              </w:rPr>
              <w:t>a</w:t>
            </w:r>
            <w:r w:rsidRPr="007C3DC9">
              <w:rPr>
                <w:rFonts w:cs="Times New Roman"/>
                <w:sz w:val="22"/>
              </w:rPr>
              <w:t>± 1</w:t>
            </w:r>
          </w:p>
        </w:tc>
        <w:tc>
          <w:tcPr>
            <w:tcW w:w="609" w:type="pct"/>
          </w:tcPr>
          <w:p w14:paraId="5FFAF3E5" w14:textId="77777777" w:rsidR="00902C80" w:rsidRPr="007C3DC9" w:rsidRDefault="00902C80" w:rsidP="00856436">
            <w:pPr>
              <w:spacing w:after="0" w:line="240" w:lineRule="auto"/>
              <w:jc w:val="center"/>
              <w:rPr>
                <w:rFonts w:cs="Times New Roman"/>
                <w:sz w:val="22"/>
              </w:rPr>
            </w:pPr>
            <w:r w:rsidRPr="007C3DC9">
              <w:rPr>
                <w:rFonts w:cs="Times New Roman"/>
                <w:sz w:val="22"/>
              </w:rPr>
              <w:t>2017</w:t>
            </w:r>
            <w:r w:rsidRPr="007C3DC9">
              <w:rPr>
                <w:rFonts w:cs="Times New Roman"/>
                <w:sz w:val="22"/>
                <w:vertAlign w:val="superscript"/>
              </w:rPr>
              <w:t>b</w:t>
            </w:r>
            <w:r w:rsidRPr="007C3DC9">
              <w:rPr>
                <w:rFonts w:cs="Times New Roman"/>
                <w:sz w:val="22"/>
              </w:rPr>
              <w:t>± 113</w:t>
            </w:r>
          </w:p>
        </w:tc>
        <w:tc>
          <w:tcPr>
            <w:tcW w:w="645" w:type="pct"/>
          </w:tcPr>
          <w:p w14:paraId="396B8CA1" w14:textId="77777777" w:rsidR="00902C80" w:rsidRPr="007C3DC9" w:rsidRDefault="00902C80" w:rsidP="00856436">
            <w:pPr>
              <w:spacing w:after="0" w:line="240" w:lineRule="auto"/>
              <w:jc w:val="center"/>
              <w:rPr>
                <w:rFonts w:cs="Times New Roman"/>
                <w:sz w:val="22"/>
              </w:rPr>
            </w:pPr>
            <w:r w:rsidRPr="007C3DC9">
              <w:rPr>
                <w:rFonts w:cs="Times New Roman"/>
                <w:sz w:val="22"/>
              </w:rPr>
              <w:t>228</w:t>
            </w:r>
            <w:r w:rsidRPr="007C3DC9">
              <w:rPr>
                <w:rFonts w:cs="Times New Roman"/>
                <w:sz w:val="22"/>
                <w:vertAlign w:val="superscript"/>
              </w:rPr>
              <w:t>a</w:t>
            </w:r>
            <w:r w:rsidRPr="007C3DC9">
              <w:rPr>
                <w:rFonts w:cs="Times New Roman"/>
                <w:sz w:val="22"/>
              </w:rPr>
              <w:t>± 26</w:t>
            </w:r>
          </w:p>
        </w:tc>
        <w:tc>
          <w:tcPr>
            <w:tcW w:w="645" w:type="pct"/>
          </w:tcPr>
          <w:p w14:paraId="6DFEE0AA" w14:textId="77777777" w:rsidR="00902C80" w:rsidRPr="007C3DC9" w:rsidRDefault="00902C80" w:rsidP="00856436">
            <w:pPr>
              <w:spacing w:after="0" w:line="240" w:lineRule="auto"/>
              <w:jc w:val="center"/>
              <w:rPr>
                <w:rFonts w:cs="Times New Roman"/>
                <w:sz w:val="22"/>
              </w:rPr>
            </w:pPr>
            <w:r w:rsidRPr="007C3DC9">
              <w:rPr>
                <w:rFonts w:cs="Times New Roman"/>
                <w:sz w:val="22"/>
              </w:rPr>
              <w:t>Not detected</w:t>
            </w:r>
          </w:p>
        </w:tc>
        <w:tc>
          <w:tcPr>
            <w:tcW w:w="632" w:type="pct"/>
          </w:tcPr>
          <w:p w14:paraId="65FDD457" w14:textId="77777777" w:rsidR="00902C80" w:rsidRPr="007C3DC9" w:rsidRDefault="00902C80" w:rsidP="00856436">
            <w:pPr>
              <w:spacing w:after="0" w:line="240" w:lineRule="auto"/>
              <w:jc w:val="center"/>
              <w:rPr>
                <w:rFonts w:cs="Times New Roman"/>
                <w:sz w:val="22"/>
              </w:rPr>
            </w:pPr>
            <w:r w:rsidRPr="007C3DC9">
              <w:rPr>
                <w:rFonts w:cs="Times New Roman"/>
                <w:sz w:val="22"/>
              </w:rPr>
              <w:t>0.2:1</w:t>
            </w:r>
          </w:p>
        </w:tc>
        <w:tc>
          <w:tcPr>
            <w:tcW w:w="538" w:type="pct"/>
          </w:tcPr>
          <w:p w14:paraId="55C7EDBD" w14:textId="77777777" w:rsidR="00902C80" w:rsidRPr="007C3DC9" w:rsidRDefault="00902C80" w:rsidP="00856436">
            <w:pPr>
              <w:spacing w:after="0" w:line="240" w:lineRule="auto"/>
              <w:jc w:val="center"/>
              <w:rPr>
                <w:rFonts w:cs="Times New Roman"/>
                <w:sz w:val="22"/>
              </w:rPr>
            </w:pPr>
            <w:r w:rsidRPr="007C3DC9">
              <w:rPr>
                <w:rFonts w:cs="Times New Roman"/>
                <w:sz w:val="22"/>
              </w:rPr>
              <w:t>31:1</w:t>
            </w:r>
          </w:p>
        </w:tc>
      </w:tr>
      <w:tr w:rsidR="00902C80" w:rsidRPr="007C3DC9" w14:paraId="6AC2BF4C" w14:textId="77777777" w:rsidTr="001A1CC8">
        <w:tc>
          <w:tcPr>
            <w:tcW w:w="1261" w:type="pct"/>
          </w:tcPr>
          <w:p w14:paraId="5CD12E32" w14:textId="77777777" w:rsidR="00902C80" w:rsidRPr="007C3DC9" w:rsidRDefault="00902C80" w:rsidP="00583F8A">
            <w:pPr>
              <w:spacing w:after="0" w:line="240" w:lineRule="auto"/>
              <w:jc w:val="left"/>
              <w:rPr>
                <w:rFonts w:cs="Times New Roman"/>
                <w:sz w:val="22"/>
              </w:rPr>
            </w:pPr>
            <w:r w:rsidRPr="007C3DC9">
              <w:rPr>
                <w:rFonts w:cs="Times New Roman"/>
                <w:sz w:val="22"/>
              </w:rPr>
              <w:t>Millet porridge+Baobab (100:15)</w:t>
            </w:r>
            <w:r w:rsidRPr="007C3DC9">
              <w:rPr>
                <w:rFonts w:cs="Times New Roman"/>
                <w:sz w:val="22"/>
                <w:vertAlign w:val="superscript"/>
              </w:rPr>
              <w:t>3</w:t>
            </w:r>
          </w:p>
        </w:tc>
        <w:tc>
          <w:tcPr>
            <w:tcW w:w="671" w:type="pct"/>
          </w:tcPr>
          <w:p w14:paraId="5FE621EF" w14:textId="77777777" w:rsidR="00902C80" w:rsidRPr="007C3DC9" w:rsidRDefault="00902C80" w:rsidP="00856436">
            <w:pPr>
              <w:spacing w:after="0" w:line="240" w:lineRule="auto"/>
              <w:jc w:val="center"/>
              <w:rPr>
                <w:rFonts w:cs="Times New Roman"/>
                <w:sz w:val="22"/>
              </w:rPr>
            </w:pPr>
            <w:r w:rsidRPr="007C3DC9">
              <w:rPr>
                <w:rFonts w:cs="Times New Roman"/>
                <w:sz w:val="22"/>
              </w:rPr>
              <w:t>18</w:t>
            </w:r>
          </w:p>
        </w:tc>
        <w:tc>
          <w:tcPr>
            <w:tcW w:w="609" w:type="pct"/>
          </w:tcPr>
          <w:p w14:paraId="1AB0ABA3" w14:textId="77777777" w:rsidR="00902C80" w:rsidRPr="007C3DC9" w:rsidRDefault="00902C80" w:rsidP="00856436">
            <w:pPr>
              <w:spacing w:after="0" w:line="240" w:lineRule="auto"/>
              <w:jc w:val="center"/>
              <w:rPr>
                <w:rFonts w:cs="Times New Roman"/>
                <w:sz w:val="22"/>
              </w:rPr>
            </w:pPr>
            <w:r w:rsidRPr="007C3DC9">
              <w:rPr>
                <w:rFonts w:cs="Times New Roman"/>
                <w:sz w:val="22"/>
              </w:rPr>
              <w:t>567</w:t>
            </w:r>
          </w:p>
        </w:tc>
        <w:tc>
          <w:tcPr>
            <w:tcW w:w="645" w:type="pct"/>
          </w:tcPr>
          <w:p w14:paraId="06B54F94" w14:textId="77777777" w:rsidR="00902C80" w:rsidRPr="007C3DC9" w:rsidRDefault="00902C80" w:rsidP="00856436">
            <w:pPr>
              <w:spacing w:after="0" w:line="240" w:lineRule="auto"/>
              <w:jc w:val="center"/>
              <w:rPr>
                <w:rFonts w:cs="Times New Roman"/>
                <w:sz w:val="22"/>
              </w:rPr>
            </w:pPr>
            <w:r w:rsidRPr="007C3DC9">
              <w:rPr>
                <w:rFonts w:cs="Times New Roman"/>
                <w:sz w:val="22"/>
              </w:rPr>
              <w:t>620</w:t>
            </w:r>
          </w:p>
        </w:tc>
        <w:tc>
          <w:tcPr>
            <w:tcW w:w="645" w:type="pct"/>
          </w:tcPr>
          <w:p w14:paraId="74BA9F8D" w14:textId="77777777" w:rsidR="00902C80" w:rsidRPr="007C3DC9" w:rsidRDefault="00902C80" w:rsidP="00856436">
            <w:pPr>
              <w:spacing w:after="0" w:line="240" w:lineRule="auto"/>
              <w:jc w:val="center"/>
              <w:rPr>
                <w:rFonts w:cs="Times New Roman"/>
                <w:sz w:val="22"/>
              </w:rPr>
            </w:pPr>
            <w:r w:rsidRPr="007C3DC9">
              <w:rPr>
                <w:rFonts w:cs="Times New Roman"/>
                <w:sz w:val="22"/>
              </w:rPr>
              <w:t>196</w:t>
            </w:r>
          </w:p>
        </w:tc>
        <w:tc>
          <w:tcPr>
            <w:tcW w:w="632" w:type="pct"/>
          </w:tcPr>
          <w:p w14:paraId="3687ECAB" w14:textId="77777777" w:rsidR="00902C80" w:rsidRPr="007C3DC9" w:rsidRDefault="00902C80" w:rsidP="00856436">
            <w:pPr>
              <w:spacing w:after="0" w:line="240" w:lineRule="auto"/>
              <w:jc w:val="center"/>
              <w:rPr>
                <w:rFonts w:cs="Times New Roman"/>
                <w:sz w:val="22"/>
              </w:rPr>
            </w:pPr>
            <w:r w:rsidRPr="007C3DC9">
              <w:rPr>
                <w:rFonts w:cs="Times New Roman"/>
                <w:sz w:val="22"/>
              </w:rPr>
              <w:t>0.7:1</w:t>
            </w:r>
          </w:p>
        </w:tc>
        <w:tc>
          <w:tcPr>
            <w:tcW w:w="538" w:type="pct"/>
          </w:tcPr>
          <w:p w14:paraId="178F2D1F" w14:textId="77777777" w:rsidR="00902C80" w:rsidRPr="007C3DC9" w:rsidRDefault="00902C80" w:rsidP="00856436">
            <w:pPr>
              <w:spacing w:after="0" w:line="240" w:lineRule="auto"/>
              <w:jc w:val="center"/>
              <w:rPr>
                <w:rFonts w:cs="Times New Roman"/>
                <w:sz w:val="22"/>
              </w:rPr>
            </w:pPr>
            <w:r w:rsidRPr="007C3DC9">
              <w:rPr>
                <w:rFonts w:cs="Times New Roman"/>
                <w:sz w:val="22"/>
              </w:rPr>
              <w:t>19:1</w:t>
            </w:r>
          </w:p>
        </w:tc>
      </w:tr>
      <w:tr w:rsidR="00902C80" w:rsidRPr="007C3DC9" w14:paraId="3FD77DB2" w14:textId="77777777" w:rsidTr="001A1CC8">
        <w:tc>
          <w:tcPr>
            <w:tcW w:w="1261" w:type="pct"/>
          </w:tcPr>
          <w:p w14:paraId="4C31B9EC" w14:textId="77777777" w:rsidR="00902C80" w:rsidRPr="007C3DC9" w:rsidRDefault="00902C80" w:rsidP="00583F8A">
            <w:pPr>
              <w:spacing w:after="0" w:line="240" w:lineRule="auto"/>
              <w:jc w:val="left"/>
              <w:rPr>
                <w:rFonts w:cs="Times New Roman"/>
                <w:sz w:val="22"/>
              </w:rPr>
            </w:pPr>
            <w:r w:rsidRPr="007C3DC9">
              <w:rPr>
                <w:rFonts w:cs="Times New Roman"/>
                <w:sz w:val="22"/>
              </w:rPr>
              <w:t>Millet porridge+Moringa (100:15)</w:t>
            </w:r>
            <w:r w:rsidRPr="007C3DC9">
              <w:rPr>
                <w:rFonts w:cs="Times New Roman"/>
                <w:sz w:val="22"/>
                <w:vertAlign w:val="superscript"/>
              </w:rPr>
              <w:t>3</w:t>
            </w:r>
          </w:p>
        </w:tc>
        <w:tc>
          <w:tcPr>
            <w:tcW w:w="671" w:type="pct"/>
          </w:tcPr>
          <w:p w14:paraId="2AB6817B" w14:textId="77777777" w:rsidR="00902C80" w:rsidRPr="007C3DC9" w:rsidRDefault="00902C80" w:rsidP="00856436">
            <w:pPr>
              <w:spacing w:after="0" w:line="240" w:lineRule="auto"/>
              <w:jc w:val="center"/>
              <w:rPr>
                <w:rFonts w:cs="Times New Roman"/>
                <w:sz w:val="22"/>
              </w:rPr>
            </w:pPr>
            <w:r w:rsidRPr="007C3DC9">
              <w:rPr>
                <w:rFonts w:cs="Times New Roman"/>
                <w:sz w:val="22"/>
              </w:rPr>
              <w:t>1</w:t>
            </w:r>
          </w:p>
        </w:tc>
        <w:tc>
          <w:tcPr>
            <w:tcW w:w="609" w:type="pct"/>
          </w:tcPr>
          <w:p w14:paraId="369210FE" w14:textId="77777777" w:rsidR="00902C80" w:rsidRPr="007C3DC9" w:rsidRDefault="00902C80" w:rsidP="00856436">
            <w:pPr>
              <w:spacing w:after="0" w:line="240" w:lineRule="auto"/>
              <w:jc w:val="center"/>
              <w:rPr>
                <w:rFonts w:cs="Times New Roman"/>
                <w:sz w:val="22"/>
              </w:rPr>
            </w:pPr>
            <w:r w:rsidRPr="007C3DC9">
              <w:rPr>
                <w:rFonts w:cs="Times New Roman"/>
                <w:sz w:val="22"/>
              </w:rPr>
              <w:t>393</w:t>
            </w:r>
          </w:p>
        </w:tc>
        <w:tc>
          <w:tcPr>
            <w:tcW w:w="645" w:type="pct"/>
          </w:tcPr>
          <w:p w14:paraId="1CA2BACA" w14:textId="77777777" w:rsidR="00902C80" w:rsidRPr="007C3DC9" w:rsidRDefault="00902C80" w:rsidP="00856436">
            <w:pPr>
              <w:spacing w:after="0" w:line="240" w:lineRule="auto"/>
              <w:jc w:val="center"/>
              <w:rPr>
                <w:rFonts w:cs="Times New Roman"/>
                <w:sz w:val="22"/>
              </w:rPr>
            </w:pPr>
            <w:r w:rsidRPr="007C3DC9">
              <w:rPr>
                <w:rFonts w:cs="Times New Roman"/>
                <w:sz w:val="22"/>
              </w:rPr>
              <w:t>650</w:t>
            </w:r>
          </w:p>
        </w:tc>
        <w:tc>
          <w:tcPr>
            <w:tcW w:w="645" w:type="pct"/>
          </w:tcPr>
          <w:p w14:paraId="29E49B0B" w14:textId="77777777" w:rsidR="00902C80" w:rsidRPr="007C3DC9" w:rsidRDefault="00902C80" w:rsidP="00856436">
            <w:pPr>
              <w:spacing w:after="0" w:line="240" w:lineRule="auto"/>
              <w:jc w:val="center"/>
              <w:rPr>
                <w:rFonts w:cs="Times New Roman"/>
                <w:sz w:val="22"/>
              </w:rPr>
            </w:pPr>
            <w:r w:rsidRPr="007C3DC9">
              <w:rPr>
                <w:rFonts w:cs="Times New Roman"/>
                <w:sz w:val="22"/>
              </w:rPr>
              <w:t>169</w:t>
            </w:r>
          </w:p>
        </w:tc>
        <w:tc>
          <w:tcPr>
            <w:tcW w:w="632" w:type="pct"/>
          </w:tcPr>
          <w:p w14:paraId="421CCFA9" w14:textId="77777777" w:rsidR="00902C80" w:rsidRPr="007C3DC9" w:rsidRDefault="00902C80" w:rsidP="00856436">
            <w:pPr>
              <w:spacing w:after="0" w:line="240" w:lineRule="auto"/>
              <w:jc w:val="center"/>
              <w:rPr>
                <w:rFonts w:cs="Times New Roman"/>
                <w:sz w:val="22"/>
              </w:rPr>
            </w:pPr>
            <w:r w:rsidRPr="007C3DC9">
              <w:rPr>
                <w:rFonts w:cs="Times New Roman"/>
                <w:sz w:val="22"/>
              </w:rPr>
              <w:t>0.0:1</w:t>
            </w:r>
          </w:p>
        </w:tc>
        <w:tc>
          <w:tcPr>
            <w:tcW w:w="538" w:type="pct"/>
          </w:tcPr>
          <w:p w14:paraId="665757FD" w14:textId="77777777" w:rsidR="00902C80" w:rsidRPr="007C3DC9" w:rsidRDefault="00902C80" w:rsidP="00856436">
            <w:pPr>
              <w:spacing w:after="0" w:line="240" w:lineRule="auto"/>
              <w:jc w:val="center"/>
              <w:rPr>
                <w:rFonts w:cs="Times New Roman"/>
                <w:sz w:val="22"/>
              </w:rPr>
            </w:pPr>
            <w:r w:rsidRPr="007C3DC9">
              <w:rPr>
                <w:rFonts w:cs="Times New Roman"/>
                <w:sz w:val="22"/>
              </w:rPr>
              <w:t>11:1</w:t>
            </w:r>
          </w:p>
        </w:tc>
      </w:tr>
      <w:tr w:rsidR="00902C80" w:rsidRPr="007C3DC9" w14:paraId="4B0E15AD" w14:textId="77777777" w:rsidTr="001A1CC8">
        <w:tc>
          <w:tcPr>
            <w:tcW w:w="1261" w:type="pct"/>
          </w:tcPr>
          <w:p w14:paraId="48FDE803" w14:textId="77777777" w:rsidR="00902C80" w:rsidRPr="007C3DC9" w:rsidRDefault="00902C80" w:rsidP="00583F8A">
            <w:pPr>
              <w:spacing w:after="0" w:line="240" w:lineRule="auto"/>
              <w:jc w:val="left"/>
              <w:rPr>
                <w:rFonts w:cs="Times New Roman"/>
                <w:sz w:val="22"/>
              </w:rPr>
            </w:pPr>
            <w:r w:rsidRPr="007C3DC9">
              <w:rPr>
                <w:rFonts w:cs="Times New Roman"/>
                <w:sz w:val="22"/>
              </w:rPr>
              <w:t>Millet porridge+Baobab+Moringa (100:15:15)</w:t>
            </w:r>
            <w:r w:rsidRPr="007C3DC9">
              <w:rPr>
                <w:rFonts w:cs="Times New Roman"/>
                <w:sz w:val="22"/>
                <w:vertAlign w:val="superscript"/>
              </w:rPr>
              <w:t>3</w:t>
            </w:r>
          </w:p>
        </w:tc>
        <w:tc>
          <w:tcPr>
            <w:tcW w:w="671" w:type="pct"/>
          </w:tcPr>
          <w:p w14:paraId="4FBA8678" w14:textId="77777777" w:rsidR="00902C80" w:rsidRPr="007C3DC9" w:rsidRDefault="00902C80" w:rsidP="00856436">
            <w:pPr>
              <w:spacing w:after="0" w:line="240" w:lineRule="auto"/>
              <w:jc w:val="center"/>
              <w:rPr>
                <w:rFonts w:cs="Times New Roman"/>
                <w:sz w:val="22"/>
              </w:rPr>
            </w:pPr>
            <w:r w:rsidRPr="007C3DC9">
              <w:rPr>
                <w:rFonts w:cs="Times New Roman"/>
                <w:sz w:val="22"/>
              </w:rPr>
              <w:t>17</w:t>
            </w:r>
          </w:p>
        </w:tc>
        <w:tc>
          <w:tcPr>
            <w:tcW w:w="609" w:type="pct"/>
          </w:tcPr>
          <w:p w14:paraId="41C57918" w14:textId="77777777" w:rsidR="00902C80" w:rsidRPr="007C3DC9" w:rsidRDefault="00902C80" w:rsidP="00856436">
            <w:pPr>
              <w:spacing w:after="0" w:line="240" w:lineRule="auto"/>
              <w:jc w:val="center"/>
              <w:rPr>
                <w:rFonts w:cs="Times New Roman"/>
                <w:sz w:val="22"/>
              </w:rPr>
            </w:pPr>
            <w:r w:rsidRPr="007C3DC9">
              <w:rPr>
                <w:rFonts w:cs="Times New Roman"/>
                <w:sz w:val="22"/>
              </w:rPr>
              <w:t>734</w:t>
            </w:r>
          </w:p>
        </w:tc>
        <w:tc>
          <w:tcPr>
            <w:tcW w:w="645" w:type="pct"/>
          </w:tcPr>
          <w:p w14:paraId="4FC35CD8" w14:textId="77777777" w:rsidR="00902C80" w:rsidRPr="007C3DC9" w:rsidRDefault="00902C80" w:rsidP="00856436">
            <w:pPr>
              <w:spacing w:after="0" w:line="240" w:lineRule="auto"/>
              <w:jc w:val="center"/>
              <w:rPr>
                <w:rFonts w:cs="Times New Roman"/>
                <w:sz w:val="22"/>
              </w:rPr>
            </w:pPr>
            <w:r w:rsidRPr="007C3DC9">
              <w:rPr>
                <w:rFonts w:cs="Times New Roman"/>
                <w:sz w:val="22"/>
              </w:rPr>
              <w:t>575</w:t>
            </w:r>
          </w:p>
        </w:tc>
        <w:tc>
          <w:tcPr>
            <w:tcW w:w="645" w:type="pct"/>
          </w:tcPr>
          <w:p w14:paraId="14CD9D1E" w14:textId="77777777" w:rsidR="00902C80" w:rsidRPr="007C3DC9" w:rsidRDefault="00902C80" w:rsidP="00856436">
            <w:pPr>
              <w:spacing w:after="0" w:line="240" w:lineRule="auto"/>
              <w:jc w:val="center"/>
              <w:rPr>
                <w:rFonts w:cs="Times New Roman"/>
                <w:sz w:val="22"/>
              </w:rPr>
            </w:pPr>
            <w:r w:rsidRPr="007C3DC9">
              <w:rPr>
                <w:rFonts w:cs="Times New Roman"/>
                <w:sz w:val="22"/>
              </w:rPr>
              <w:t>173</w:t>
            </w:r>
          </w:p>
        </w:tc>
        <w:tc>
          <w:tcPr>
            <w:tcW w:w="632" w:type="pct"/>
          </w:tcPr>
          <w:p w14:paraId="2F1148CA" w14:textId="77777777" w:rsidR="00902C80" w:rsidRPr="007C3DC9" w:rsidRDefault="00902C80" w:rsidP="00856436">
            <w:pPr>
              <w:spacing w:after="0" w:line="240" w:lineRule="auto"/>
              <w:jc w:val="center"/>
              <w:rPr>
                <w:rFonts w:cs="Times New Roman"/>
                <w:sz w:val="22"/>
              </w:rPr>
            </w:pPr>
            <w:r w:rsidRPr="007C3DC9">
              <w:rPr>
                <w:rFonts w:cs="Times New Roman"/>
                <w:sz w:val="22"/>
              </w:rPr>
              <w:t>0.6:1</w:t>
            </w:r>
          </w:p>
        </w:tc>
        <w:tc>
          <w:tcPr>
            <w:tcW w:w="538" w:type="pct"/>
          </w:tcPr>
          <w:p w14:paraId="45222C66" w14:textId="77777777" w:rsidR="00902C80" w:rsidRPr="007C3DC9" w:rsidRDefault="00902C80" w:rsidP="00856436">
            <w:pPr>
              <w:spacing w:after="0" w:line="240" w:lineRule="auto"/>
              <w:jc w:val="center"/>
              <w:rPr>
                <w:rFonts w:cs="Times New Roman"/>
                <w:sz w:val="22"/>
              </w:rPr>
            </w:pPr>
            <w:r w:rsidRPr="007C3DC9">
              <w:rPr>
                <w:rFonts w:cs="Times New Roman"/>
                <w:sz w:val="22"/>
              </w:rPr>
              <w:t>22:1</w:t>
            </w:r>
          </w:p>
        </w:tc>
      </w:tr>
    </w:tbl>
    <w:p w14:paraId="2D27F003" w14:textId="62AB10A0" w:rsidR="00902C80" w:rsidRPr="00583F8A" w:rsidRDefault="00902C80" w:rsidP="00583F8A">
      <w:pPr>
        <w:spacing w:before="240" w:after="0" w:line="240" w:lineRule="auto"/>
        <w:rPr>
          <w:sz w:val="20"/>
          <w:szCs w:val="20"/>
        </w:rPr>
      </w:pPr>
      <w:r w:rsidRPr="00583F8A">
        <w:rPr>
          <w:sz w:val="20"/>
          <w:szCs w:val="20"/>
          <w:vertAlign w:val="superscript"/>
        </w:rPr>
        <w:t>1</w:t>
      </w:r>
      <w:r w:rsidRPr="00583F8A">
        <w:rPr>
          <w:sz w:val="20"/>
          <w:szCs w:val="20"/>
        </w:rPr>
        <w:t>Values are the means ± 1 SD of at least two samples of each plant food analysed independently in duplicate (n = 4)</w:t>
      </w:r>
      <w:r w:rsidRPr="00583F8A">
        <w:rPr>
          <w:rFonts w:eastAsia="Times New Roman" w:cs="Times New Roman"/>
          <w:sz w:val="20"/>
          <w:szCs w:val="20"/>
        </w:rPr>
        <w:t xml:space="preserve">, </w:t>
      </w:r>
      <w:r w:rsidRPr="00583F8A">
        <w:rPr>
          <w:sz w:val="20"/>
          <w:szCs w:val="20"/>
          <w:vertAlign w:val="superscript"/>
        </w:rPr>
        <w:t>2</w:t>
      </w:r>
      <w:r w:rsidRPr="00583F8A">
        <w:rPr>
          <w:sz w:val="20"/>
          <w:szCs w:val="20"/>
        </w:rPr>
        <w:t>Means with different superscripts letters in a column differ significantly (</w:t>
      </w:r>
      <w:r w:rsidRPr="00D921B4">
        <w:rPr>
          <w:i/>
          <w:iCs/>
          <w:sz w:val="20"/>
          <w:szCs w:val="20"/>
        </w:rPr>
        <w:t>p</w:t>
      </w:r>
      <w:r w:rsidRPr="00583F8A">
        <w:rPr>
          <w:sz w:val="20"/>
          <w:szCs w:val="20"/>
        </w:rPr>
        <w:t>&lt;0.05)</w:t>
      </w:r>
      <w:r w:rsidR="00BB2C01" w:rsidRPr="00583F8A">
        <w:rPr>
          <w:sz w:val="20"/>
          <w:szCs w:val="20"/>
        </w:rPr>
        <w:t xml:space="preserve">, </w:t>
      </w:r>
      <w:r w:rsidRPr="00583F8A">
        <w:rPr>
          <w:sz w:val="20"/>
          <w:szCs w:val="20"/>
          <w:vertAlign w:val="superscript"/>
        </w:rPr>
        <w:t>3</w:t>
      </w:r>
      <w:r w:rsidRPr="00583F8A">
        <w:rPr>
          <w:sz w:val="20"/>
          <w:szCs w:val="20"/>
        </w:rPr>
        <w:t>Organic acid values of porridge formulations were calculated from the individual plant food values</w:t>
      </w:r>
    </w:p>
    <w:p w14:paraId="7CFF0AAF" w14:textId="42378B4F" w:rsidR="005A1E42" w:rsidRDefault="005A1E42" w:rsidP="005A1E42">
      <w:pPr>
        <w:spacing w:after="0" w:line="240" w:lineRule="auto"/>
        <w:rPr>
          <w:rFonts w:cs="Times New Roman"/>
          <w:b/>
          <w:szCs w:val="24"/>
        </w:rPr>
      </w:pPr>
    </w:p>
    <w:p w14:paraId="631CDD86" w14:textId="77777777" w:rsidR="00BB2C01" w:rsidRDefault="00BB2C01">
      <w:pPr>
        <w:spacing w:after="160" w:line="259" w:lineRule="auto"/>
        <w:rPr>
          <w:rFonts w:cs="Times New Roman"/>
        </w:rPr>
        <w:sectPr w:rsidR="00BB2C01" w:rsidSect="00902C80">
          <w:pgSz w:w="16839" w:h="11907" w:orient="landscape" w:code="9"/>
          <w:pgMar w:top="1440" w:right="1440" w:bottom="1440" w:left="1440" w:header="720" w:footer="720" w:gutter="0"/>
          <w:cols w:space="720"/>
          <w:docGrid w:linePitch="360"/>
        </w:sectPr>
      </w:pPr>
    </w:p>
    <w:p w14:paraId="0E7CEA57" w14:textId="027DCBBD" w:rsidR="00390039" w:rsidRPr="00FB6644" w:rsidRDefault="00F3680E" w:rsidP="009163EF">
      <w:pPr>
        <w:pStyle w:val="Heading4"/>
      </w:pPr>
      <w:bookmarkStart w:id="88" w:name="_Toc65253589"/>
      <w:r>
        <w:rPr>
          <w:rFonts w:eastAsia="Times New Roman"/>
        </w:rPr>
        <w:t>4.1</w:t>
      </w:r>
      <w:r w:rsidR="00390039" w:rsidRPr="00FB6644">
        <w:rPr>
          <w:rFonts w:eastAsia="Times New Roman"/>
        </w:rPr>
        <w:t>.4</w:t>
      </w:r>
      <w:r>
        <w:rPr>
          <w:rFonts w:eastAsia="Times New Roman"/>
        </w:rPr>
        <w:t>.4</w:t>
      </w:r>
      <w:r w:rsidR="00144C18">
        <w:rPr>
          <w:rFonts w:eastAsia="Times New Roman"/>
        </w:rPr>
        <w:tab/>
      </w:r>
      <w:r w:rsidR="00390039" w:rsidRPr="00FB6644">
        <w:rPr>
          <w:rFonts w:eastAsia="Times New Roman"/>
        </w:rPr>
        <w:t>Mineral bioaccessibility</w:t>
      </w:r>
      <w:bookmarkEnd w:id="88"/>
    </w:p>
    <w:p w14:paraId="6936C1C7" w14:textId="17A3FC16" w:rsidR="002D433A" w:rsidRDefault="004F59BC" w:rsidP="009163EF">
      <w:pPr>
        <w:rPr>
          <w:szCs w:val="24"/>
        </w:rPr>
      </w:pPr>
      <w:r w:rsidRPr="006871D8">
        <w:t>As indicated, m</w:t>
      </w:r>
      <w:r w:rsidR="00390039" w:rsidRPr="006871D8">
        <w:t xml:space="preserve">ineral bioaccessibility from foods depends on </w:t>
      </w:r>
      <w:r w:rsidR="00D67E86" w:rsidRPr="006871D8">
        <w:t>modifie</w:t>
      </w:r>
      <w:r w:rsidR="00F7594D">
        <w:t>r</w:t>
      </w:r>
      <w:r w:rsidR="00D67E86" w:rsidRPr="006871D8">
        <w:t>s of</w:t>
      </w:r>
      <w:r w:rsidR="00390039" w:rsidRPr="006871D8">
        <w:t xml:space="preserve"> absorption </w:t>
      </w:r>
      <w:r w:rsidR="00D67E86" w:rsidRPr="006871D8">
        <w:t xml:space="preserve">as well as </w:t>
      </w:r>
      <w:r w:rsidR="00F7594D">
        <w:t>their mineral content</w:t>
      </w:r>
      <w:r w:rsidR="00390039" w:rsidRPr="006871D8">
        <w:t xml:space="preserve"> (</w:t>
      </w:r>
      <w:r w:rsidR="00390039" w:rsidRPr="00A8209F">
        <w:t>Krishnan</w:t>
      </w:r>
      <w:r w:rsidR="00583F8A">
        <w:t xml:space="preserve"> et al.</w:t>
      </w:r>
      <w:r w:rsidR="00390039" w:rsidRPr="00A8209F">
        <w:t xml:space="preserve">, 2012). </w:t>
      </w:r>
      <w:r w:rsidR="00390039" w:rsidRPr="00B4098E">
        <w:t>Table 4</w:t>
      </w:r>
      <w:r w:rsidR="00B4098E">
        <w:t>.1.4</w:t>
      </w:r>
      <w:r w:rsidR="00390039" w:rsidRPr="00A8209F">
        <w:t xml:space="preserve"> shows that </w:t>
      </w:r>
      <w:r w:rsidR="00D67E86" w:rsidRPr="00A8209F">
        <w:t>the p</w:t>
      </w:r>
      <w:r w:rsidR="00F7594D" w:rsidRPr="00A8209F">
        <w:t>ercentage</w:t>
      </w:r>
      <w:r w:rsidR="00547619" w:rsidRPr="00A8209F">
        <w:t xml:space="preserve"> </w:t>
      </w:r>
      <w:r w:rsidR="00390039" w:rsidRPr="00A8209F">
        <w:rPr>
          <w:szCs w:val="24"/>
        </w:rPr>
        <w:t>iron bioaccessibility</w:t>
      </w:r>
      <w:r w:rsidR="00D67E86" w:rsidRPr="00A8209F">
        <w:rPr>
          <w:szCs w:val="24"/>
        </w:rPr>
        <w:t xml:space="preserve"> was</w:t>
      </w:r>
      <w:r w:rsidR="00F7594D" w:rsidRPr="00A8209F">
        <w:rPr>
          <w:szCs w:val="24"/>
        </w:rPr>
        <w:t xml:space="preserve"> significantly</w:t>
      </w:r>
      <w:r w:rsidR="00D67E86" w:rsidRPr="00A8209F">
        <w:rPr>
          <w:szCs w:val="24"/>
        </w:rPr>
        <w:t xml:space="preserve"> increased (</w:t>
      </w:r>
      <w:r w:rsidR="00D67E86" w:rsidRPr="00583F8A">
        <w:rPr>
          <w:i/>
          <w:iCs/>
          <w:szCs w:val="24"/>
        </w:rPr>
        <w:t>p</w:t>
      </w:r>
      <w:r w:rsidR="002C4F9B">
        <w:rPr>
          <w:szCs w:val="24"/>
        </w:rPr>
        <w:t>&lt;</w:t>
      </w:r>
      <w:r w:rsidR="00D67E86" w:rsidRPr="00A8209F">
        <w:rPr>
          <w:szCs w:val="24"/>
        </w:rPr>
        <w:t xml:space="preserve">0.05) only in </w:t>
      </w:r>
      <w:r w:rsidR="005D72C0" w:rsidRPr="00A8209F">
        <w:rPr>
          <w:szCs w:val="24"/>
        </w:rPr>
        <w:t xml:space="preserve">the </w:t>
      </w:r>
      <w:r w:rsidR="006D4983" w:rsidRPr="00A8209F">
        <w:rPr>
          <w:szCs w:val="24"/>
        </w:rPr>
        <w:t>baobab</w:t>
      </w:r>
      <w:r w:rsidR="00D67E86" w:rsidRPr="00A8209F">
        <w:rPr>
          <w:szCs w:val="24"/>
        </w:rPr>
        <w:t xml:space="preserve">- and </w:t>
      </w:r>
      <w:r w:rsidR="00DE1ADE" w:rsidRPr="00A8209F">
        <w:rPr>
          <w:szCs w:val="24"/>
        </w:rPr>
        <w:t>citric acid</w:t>
      </w:r>
      <w:r w:rsidR="00D67E86" w:rsidRPr="00A8209F">
        <w:rPr>
          <w:szCs w:val="24"/>
        </w:rPr>
        <w:t>-fortified</w:t>
      </w:r>
      <w:r w:rsidR="00547619" w:rsidRPr="00A8209F">
        <w:rPr>
          <w:szCs w:val="24"/>
        </w:rPr>
        <w:t xml:space="preserve"> </w:t>
      </w:r>
      <w:r w:rsidR="006D4983" w:rsidRPr="00A8209F">
        <w:rPr>
          <w:szCs w:val="24"/>
        </w:rPr>
        <w:t>millet porridges</w:t>
      </w:r>
      <w:r w:rsidR="00F7594D" w:rsidRPr="00A8209F">
        <w:rPr>
          <w:szCs w:val="24"/>
        </w:rPr>
        <w:t xml:space="preserve">, </w:t>
      </w:r>
      <w:r w:rsidR="005D72C0" w:rsidRPr="00A8209F">
        <w:rPr>
          <w:szCs w:val="24"/>
        </w:rPr>
        <w:t>in terms of</w:t>
      </w:r>
      <w:r w:rsidR="00F7594D" w:rsidRPr="00A8209F">
        <w:rPr>
          <w:szCs w:val="24"/>
        </w:rPr>
        <w:t xml:space="preserve"> percentage</w:t>
      </w:r>
      <w:r w:rsidR="00390039" w:rsidRPr="00A8209F">
        <w:rPr>
          <w:szCs w:val="24"/>
        </w:rPr>
        <w:t xml:space="preserve"> by 3</w:t>
      </w:r>
      <w:r w:rsidR="00A8209F" w:rsidRPr="00797366">
        <w:rPr>
          <w:szCs w:val="24"/>
        </w:rPr>
        <w:t>6</w:t>
      </w:r>
      <w:r w:rsidR="00390039" w:rsidRPr="00A8209F">
        <w:rPr>
          <w:szCs w:val="24"/>
        </w:rPr>
        <w:t xml:space="preserve"> and 5</w:t>
      </w:r>
      <w:r w:rsidR="00A8209F" w:rsidRPr="00A8209F">
        <w:rPr>
          <w:szCs w:val="24"/>
        </w:rPr>
        <w:t>2</w:t>
      </w:r>
      <w:r w:rsidR="00390039" w:rsidRPr="00A8209F">
        <w:rPr>
          <w:szCs w:val="24"/>
        </w:rPr>
        <w:t>%, respectively</w:t>
      </w:r>
      <w:r w:rsidR="00E51206">
        <w:rPr>
          <w:szCs w:val="24"/>
        </w:rPr>
        <w:t xml:space="preserve">, and in terms of </w:t>
      </w:r>
      <w:r w:rsidR="00E51206" w:rsidRPr="00A8209F">
        <w:rPr>
          <w:szCs w:val="24"/>
        </w:rPr>
        <w:t xml:space="preserve">amount by </w:t>
      </w:r>
      <w:r w:rsidR="00A8209F" w:rsidRPr="00797366">
        <w:rPr>
          <w:szCs w:val="24"/>
        </w:rPr>
        <w:t>30</w:t>
      </w:r>
      <w:r w:rsidR="00E51206" w:rsidRPr="00797366">
        <w:rPr>
          <w:szCs w:val="24"/>
        </w:rPr>
        <w:t>% and 5</w:t>
      </w:r>
      <w:r w:rsidR="00A8209F" w:rsidRPr="00797366">
        <w:rPr>
          <w:szCs w:val="24"/>
        </w:rPr>
        <w:t>2</w:t>
      </w:r>
      <w:r w:rsidR="00E51206" w:rsidRPr="00797366">
        <w:rPr>
          <w:szCs w:val="24"/>
        </w:rPr>
        <w:t>%</w:t>
      </w:r>
      <w:r w:rsidR="00E51206">
        <w:rPr>
          <w:szCs w:val="24"/>
        </w:rPr>
        <w:t>, respectively</w:t>
      </w:r>
      <w:r w:rsidR="005B1109">
        <w:rPr>
          <w:szCs w:val="24"/>
        </w:rPr>
        <w:t xml:space="preserve"> compared to </w:t>
      </w:r>
      <w:r w:rsidR="006D4983">
        <w:rPr>
          <w:szCs w:val="24"/>
        </w:rPr>
        <w:t>millet porridge</w:t>
      </w:r>
      <w:r w:rsidR="005B1109">
        <w:rPr>
          <w:szCs w:val="24"/>
        </w:rPr>
        <w:t xml:space="preserve"> alone</w:t>
      </w:r>
      <w:r w:rsidR="005D72C0">
        <w:rPr>
          <w:szCs w:val="24"/>
        </w:rPr>
        <w:t xml:space="preserve">.  </w:t>
      </w:r>
      <w:r w:rsidR="00D921B4">
        <w:t xml:space="preserve">Although, in the </w:t>
      </w:r>
      <w:r w:rsidR="00D921B4">
        <w:rPr>
          <w:i/>
          <w:iCs/>
        </w:rPr>
        <w:t>i</w:t>
      </w:r>
      <w:r w:rsidR="00D921B4" w:rsidRPr="00D5016D">
        <w:rPr>
          <w:i/>
          <w:iCs/>
        </w:rPr>
        <w:t>n vitro</w:t>
      </w:r>
      <w:r w:rsidR="00D921B4">
        <w:t xml:space="preserve"> dialysability bioaccessibility assay, the exact bioaccessible mineral is not directly comparable to bioavailable mineral in humans, its prediction of the direction of effect is likely reliable</w:t>
      </w:r>
      <w:r w:rsidR="00D921B4">
        <w:rPr>
          <w:szCs w:val="24"/>
        </w:rPr>
        <w:t xml:space="preserve"> </w:t>
      </w:r>
      <w:r w:rsidR="00E51206">
        <w:rPr>
          <w:szCs w:val="24"/>
        </w:rPr>
        <w:t>(Fairweather-Tait</w:t>
      </w:r>
      <w:r w:rsidR="00547619">
        <w:rPr>
          <w:szCs w:val="24"/>
        </w:rPr>
        <w:t xml:space="preserve"> </w:t>
      </w:r>
      <w:r w:rsidR="00867015" w:rsidRPr="006871D8">
        <w:rPr>
          <w:szCs w:val="24"/>
        </w:rPr>
        <w:t>et</w:t>
      </w:r>
      <w:r w:rsidR="00547619">
        <w:rPr>
          <w:szCs w:val="24"/>
        </w:rPr>
        <w:t xml:space="preserve"> </w:t>
      </w:r>
      <w:r w:rsidR="00101CEE" w:rsidRPr="006871D8">
        <w:rPr>
          <w:szCs w:val="24"/>
        </w:rPr>
        <w:t>al., 2005). Thus,</w:t>
      </w:r>
      <w:r w:rsidR="00E51206">
        <w:rPr>
          <w:szCs w:val="24"/>
        </w:rPr>
        <w:t xml:space="preserve"> it seems</w:t>
      </w:r>
      <w:r w:rsidR="00101CEE" w:rsidRPr="006871D8">
        <w:rPr>
          <w:szCs w:val="24"/>
        </w:rPr>
        <w:t xml:space="preserve"> </w:t>
      </w:r>
      <w:r w:rsidR="00E35B41">
        <w:rPr>
          <w:szCs w:val="24"/>
        </w:rPr>
        <w:t xml:space="preserve">that </w:t>
      </w:r>
      <w:r w:rsidR="00E51206">
        <w:rPr>
          <w:szCs w:val="24"/>
        </w:rPr>
        <w:t>addition</w:t>
      </w:r>
      <w:r w:rsidR="007429BA" w:rsidRPr="006871D8">
        <w:rPr>
          <w:szCs w:val="24"/>
        </w:rPr>
        <w:t xml:space="preserve"> of </w:t>
      </w:r>
      <w:r w:rsidR="006D4983">
        <w:rPr>
          <w:szCs w:val="24"/>
        </w:rPr>
        <w:t>baobab</w:t>
      </w:r>
      <w:r w:rsidR="007429BA" w:rsidRPr="006871D8">
        <w:rPr>
          <w:szCs w:val="24"/>
        </w:rPr>
        <w:t xml:space="preserve"> and </w:t>
      </w:r>
      <w:r w:rsidR="005B1109">
        <w:rPr>
          <w:szCs w:val="24"/>
        </w:rPr>
        <w:t>citric acid</w:t>
      </w:r>
      <w:r w:rsidR="00547619">
        <w:rPr>
          <w:szCs w:val="24"/>
        </w:rPr>
        <w:t xml:space="preserve"> </w:t>
      </w:r>
      <w:r w:rsidR="0076628A" w:rsidRPr="006871D8">
        <w:rPr>
          <w:szCs w:val="24"/>
        </w:rPr>
        <w:t>to</w:t>
      </w:r>
      <w:r w:rsidR="007429BA" w:rsidRPr="006871D8">
        <w:rPr>
          <w:szCs w:val="24"/>
        </w:rPr>
        <w:t xml:space="preserve"> </w:t>
      </w:r>
      <w:r w:rsidR="006D4983">
        <w:rPr>
          <w:szCs w:val="24"/>
        </w:rPr>
        <w:t>millet porridge</w:t>
      </w:r>
      <w:r w:rsidR="007429BA" w:rsidRPr="006871D8">
        <w:rPr>
          <w:szCs w:val="24"/>
        </w:rPr>
        <w:t xml:space="preserve"> </w:t>
      </w:r>
      <w:r w:rsidR="00E51206">
        <w:rPr>
          <w:szCs w:val="24"/>
        </w:rPr>
        <w:t>w</w:t>
      </w:r>
      <w:r w:rsidR="00DB6376">
        <w:rPr>
          <w:szCs w:val="24"/>
        </w:rPr>
        <w:t>ould</w:t>
      </w:r>
      <w:r w:rsidR="00E51206">
        <w:rPr>
          <w:szCs w:val="24"/>
        </w:rPr>
        <w:t xml:space="preserve"> have a</w:t>
      </w:r>
      <w:r w:rsidR="0076628A" w:rsidRPr="006871D8">
        <w:rPr>
          <w:szCs w:val="24"/>
        </w:rPr>
        <w:t xml:space="preserve"> positive </w:t>
      </w:r>
      <w:r w:rsidR="005B1109">
        <w:rPr>
          <w:szCs w:val="24"/>
        </w:rPr>
        <w:t xml:space="preserve">effect </w:t>
      </w:r>
      <w:r w:rsidR="00E51206">
        <w:rPr>
          <w:szCs w:val="24"/>
        </w:rPr>
        <w:t xml:space="preserve">on iron bioavailability. Assuming that this positive effect would be to improve mineral bioavailability </w:t>
      </w:r>
      <w:r w:rsidR="00101CEE" w:rsidRPr="006871D8">
        <w:rPr>
          <w:szCs w:val="24"/>
        </w:rPr>
        <w:t xml:space="preserve">from low to moderate, the </w:t>
      </w:r>
      <w:r w:rsidR="0076628A" w:rsidRPr="006871D8">
        <w:rPr>
          <w:szCs w:val="24"/>
        </w:rPr>
        <w:t xml:space="preserve">contribution of iron </w:t>
      </w:r>
      <w:r w:rsidR="00E51206">
        <w:rPr>
          <w:szCs w:val="24"/>
        </w:rPr>
        <w:t xml:space="preserve">from 100 g of porridge </w:t>
      </w:r>
      <w:r w:rsidR="0076628A" w:rsidRPr="006871D8">
        <w:rPr>
          <w:szCs w:val="24"/>
        </w:rPr>
        <w:t>to</w:t>
      </w:r>
      <w:r w:rsidR="00547619">
        <w:rPr>
          <w:szCs w:val="24"/>
        </w:rPr>
        <w:t xml:space="preserve"> </w:t>
      </w:r>
      <w:r w:rsidR="0076628A" w:rsidRPr="006871D8">
        <w:rPr>
          <w:szCs w:val="24"/>
        </w:rPr>
        <w:t>the RNI</w:t>
      </w:r>
      <w:r w:rsidR="00547619">
        <w:rPr>
          <w:szCs w:val="24"/>
        </w:rPr>
        <w:t xml:space="preserve"> </w:t>
      </w:r>
      <w:r w:rsidR="0076628A" w:rsidRPr="006871D8">
        <w:rPr>
          <w:szCs w:val="24"/>
        </w:rPr>
        <w:t xml:space="preserve">for women of </w:t>
      </w:r>
      <w:r w:rsidR="00E233C7">
        <w:rPr>
          <w:szCs w:val="24"/>
        </w:rPr>
        <w:t>reproductive age</w:t>
      </w:r>
      <w:r w:rsidR="00101CEE" w:rsidRPr="006871D8">
        <w:rPr>
          <w:szCs w:val="24"/>
        </w:rPr>
        <w:t xml:space="preserve"> (</w:t>
      </w:r>
      <w:r w:rsidR="00D921B4">
        <w:rPr>
          <w:szCs w:val="24"/>
        </w:rPr>
        <w:t xml:space="preserve">WHO &amp; </w:t>
      </w:r>
      <w:r w:rsidR="00B05DE1">
        <w:rPr>
          <w:szCs w:val="24"/>
        </w:rPr>
        <w:t>FAO</w:t>
      </w:r>
      <w:r w:rsidR="00101CEE" w:rsidRPr="006871D8">
        <w:rPr>
          <w:szCs w:val="24"/>
        </w:rPr>
        <w:t>, 200</w:t>
      </w:r>
      <w:r w:rsidR="00D921B4">
        <w:rPr>
          <w:szCs w:val="24"/>
        </w:rPr>
        <w:t>4</w:t>
      </w:r>
      <w:r w:rsidR="00101CEE" w:rsidRPr="006871D8">
        <w:rPr>
          <w:szCs w:val="24"/>
        </w:rPr>
        <w:t>)</w:t>
      </w:r>
      <w:r w:rsidR="00547619">
        <w:rPr>
          <w:szCs w:val="24"/>
        </w:rPr>
        <w:t xml:space="preserve"> </w:t>
      </w:r>
      <w:r w:rsidR="00E51206">
        <w:rPr>
          <w:szCs w:val="24"/>
        </w:rPr>
        <w:t>would increase from 29.3% to 3</w:t>
      </w:r>
      <w:r w:rsidR="002D433A">
        <w:rPr>
          <w:szCs w:val="24"/>
        </w:rPr>
        <w:t xml:space="preserve">5.1% for </w:t>
      </w:r>
      <w:r w:rsidR="003D090C">
        <w:rPr>
          <w:szCs w:val="24"/>
        </w:rPr>
        <w:t>millet porridge+baobab</w:t>
      </w:r>
      <w:r w:rsidR="002D433A">
        <w:rPr>
          <w:szCs w:val="24"/>
        </w:rPr>
        <w:t xml:space="preserve"> and similarly from 30.6% to 36.7% for </w:t>
      </w:r>
      <w:r w:rsidR="003D090C">
        <w:rPr>
          <w:szCs w:val="24"/>
        </w:rPr>
        <w:t>millet porridge</w:t>
      </w:r>
      <w:r w:rsidR="002D433A">
        <w:rPr>
          <w:szCs w:val="24"/>
        </w:rPr>
        <w:t>+</w:t>
      </w:r>
      <w:r w:rsidR="001809EC">
        <w:rPr>
          <w:szCs w:val="24"/>
        </w:rPr>
        <w:t>citric acid</w:t>
      </w:r>
      <w:r w:rsidR="00547619">
        <w:rPr>
          <w:szCs w:val="24"/>
        </w:rPr>
        <w:t xml:space="preserve"> </w:t>
      </w:r>
      <w:r w:rsidR="002D433A">
        <w:rPr>
          <w:szCs w:val="24"/>
        </w:rPr>
        <w:t xml:space="preserve">(Table </w:t>
      </w:r>
      <w:r w:rsidR="00292ABA">
        <w:rPr>
          <w:szCs w:val="24"/>
        </w:rPr>
        <w:t>4.1.</w:t>
      </w:r>
      <w:r w:rsidR="002D433A">
        <w:rPr>
          <w:szCs w:val="24"/>
        </w:rPr>
        <w:t>1)</w:t>
      </w:r>
      <w:r w:rsidR="0076628A" w:rsidRPr="006871D8">
        <w:rPr>
          <w:szCs w:val="24"/>
        </w:rPr>
        <w:t>.</w:t>
      </w:r>
      <w:r w:rsidR="00547619">
        <w:rPr>
          <w:szCs w:val="24"/>
        </w:rPr>
        <w:t xml:space="preserve"> </w:t>
      </w:r>
    </w:p>
    <w:p w14:paraId="13BE7619" w14:textId="77777777" w:rsidR="00F3680E" w:rsidRDefault="00F3680E" w:rsidP="002D64BF">
      <w:pPr>
        <w:spacing w:after="0"/>
        <w:rPr>
          <w:szCs w:val="24"/>
        </w:rPr>
      </w:pPr>
    </w:p>
    <w:p w14:paraId="2414552F" w14:textId="04F283D4" w:rsidR="00BB2C01" w:rsidRDefault="0051729E" w:rsidP="009163EF">
      <w:pPr>
        <w:rPr>
          <w:szCs w:val="24"/>
        </w:rPr>
      </w:pPr>
      <w:r>
        <w:rPr>
          <w:szCs w:val="24"/>
        </w:rPr>
        <w:t>As addition</w:t>
      </w:r>
      <w:r w:rsidR="005D72C0">
        <w:rPr>
          <w:szCs w:val="24"/>
        </w:rPr>
        <w:t xml:space="preserve"> of citric acid increased iron bioaccessibility</w:t>
      </w:r>
      <w:r w:rsidR="003D090C">
        <w:rPr>
          <w:szCs w:val="24"/>
        </w:rPr>
        <w:t>,</w:t>
      </w:r>
      <w:r w:rsidR="005D72C0">
        <w:rPr>
          <w:szCs w:val="24"/>
        </w:rPr>
        <w:t xml:space="preserve"> whereas </w:t>
      </w:r>
      <w:r>
        <w:rPr>
          <w:szCs w:val="24"/>
        </w:rPr>
        <w:t>addition</w:t>
      </w:r>
      <w:r w:rsidR="005D72C0">
        <w:rPr>
          <w:szCs w:val="24"/>
        </w:rPr>
        <w:t xml:space="preserve"> of ascorbic acid had no </w:t>
      </w:r>
      <w:r w:rsidR="00827438">
        <w:rPr>
          <w:szCs w:val="24"/>
        </w:rPr>
        <w:t xml:space="preserve">significant </w:t>
      </w:r>
      <w:r w:rsidR="005D72C0">
        <w:rPr>
          <w:szCs w:val="24"/>
        </w:rPr>
        <w:t xml:space="preserve">effect </w:t>
      </w:r>
      <w:r w:rsidR="00827438" w:rsidRPr="00827438">
        <w:rPr>
          <w:szCs w:val="24"/>
        </w:rPr>
        <w:t>(</w:t>
      </w:r>
      <w:r w:rsidR="00827438" w:rsidRPr="00D921B4">
        <w:rPr>
          <w:i/>
          <w:iCs/>
          <w:szCs w:val="24"/>
        </w:rPr>
        <w:t>p</w:t>
      </w:r>
      <w:r w:rsidR="00BB2C01">
        <w:rPr>
          <w:szCs w:val="24"/>
        </w:rPr>
        <w:t>&gt;</w:t>
      </w:r>
      <w:r w:rsidR="00827438" w:rsidRPr="00827438">
        <w:rPr>
          <w:szCs w:val="24"/>
        </w:rPr>
        <w:t xml:space="preserve">0.05) </w:t>
      </w:r>
      <w:r w:rsidR="005D72C0" w:rsidRPr="00B4098E">
        <w:rPr>
          <w:szCs w:val="24"/>
        </w:rPr>
        <w:t>(Table 4</w:t>
      </w:r>
      <w:r w:rsidR="00B4098E" w:rsidRPr="00B4098E">
        <w:rPr>
          <w:szCs w:val="24"/>
        </w:rPr>
        <w:t>.</w:t>
      </w:r>
      <w:r w:rsidR="00B4098E">
        <w:rPr>
          <w:szCs w:val="24"/>
        </w:rPr>
        <w:t>1.4</w:t>
      </w:r>
      <w:r w:rsidR="005D72C0">
        <w:rPr>
          <w:szCs w:val="24"/>
        </w:rPr>
        <w:t>), t</w:t>
      </w:r>
      <w:r w:rsidR="00D67E86" w:rsidRPr="006871D8">
        <w:rPr>
          <w:szCs w:val="24"/>
        </w:rPr>
        <w:t>he positive effect</w:t>
      </w:r>
      <w:r w:rsidR="00390039" w:rsidRPr="006871D8">
        <w:rPr>
          <w:szCs w:val="24"/>
        </w:rPr>
        <w:t xml:space="preserve"> of </w:t>
      </w:r>
      <w:r w:rsidR="003D090C">
        <w:rPr>
          <w:szCs w:val="24"/>
        </w:rPr>
        <w:t>baobab</w:t>
      </w:r>
      <w:r w:rsidR="00390039" w:rsidRPr="006871D8">
        <w:rPr>
          <w:szCs w:val="24"/>
        </w:rPr>
        <w:t xml:space="preserve"> </w:t>
      </w:r>
      <w:r>
        <w:rPr>
          <w:szCs w:val="24"/>
        </w:rPr>
        <w:t>addition</w:t>
      </w:r>
      <w:r w:rsidR="005D72C0">
        <w:rPr>
          <w:szCs w:val="24"/>
        </w:rPr>
        <w:t xml:space="preserve"> </w:t>
      </w:r>
      <w:r w:rsidR="00D67E86" w:rsidRPr="006871D8">
        <w:rPr>
          <w:szCs w:val="24"/>
        </w:rPr>
        <w:t>is</w:t>
      </w:r>
      <w:r w:rsidR="00057D92">
        <w:rPr>
          <w:szCs w:val="24"/>
        </w:rPr>
        <w:t xml:space="preserve"> </w:t>
      </w:r>
      <w:r w:rsidR="004B1023">
        <w:rPr>
          <w:szCs w:val="24"/>
        </w:rPr>
        <w:t>likely</w:t>
      </w:r>
      <w:r w:rsidR="00057D92">
        <w:rPr>
          <w:szCs w:val="24"/>
        </w:rPr>
        <w:t xml:space="preserve"> </w:t>
      </w:r>
      <w:r w:rsidR="00827438">
        <w:rPr>
          <w:szCs w:val="24"/>
        </w:rPr>
        <w:t xml:space="preserve">mainly </w:t>
      </w:r>
      <w:r w:rsidR="00390039" w:rsidRPr="006871D8">
        <w:rPr>
          <w:szCs w:val="24"/>
        </w:rPr>
        <w:t xml:space="preserve">due to its high </w:t>
      </w:r>
      <w:r w:rsidR="004B1023">
        <w:rPr>
          <w:szCs w:val="24"/>
        </w:rPr>
        <w:t>citric acid</w:t>
      </w:r>
      <w:r w:rsidR="00057D92">
        <w:rPr>
          <w:szCs w:val="24"/>
        </w:rPr>
        <w:t xml:space="preserve"> </w:t>
      </w:r>
      <w:r w:rsidR="00390039" w:rsidRPr="006871D8">
        <w:rPr>
          <w:szCs w:val="24"/>
        </w:rPr>
        <w:t xml:space="preserve">content. </w:t>
      </w:r>
      <w:r w:rsidR="00495D7A">
        <w:rPr>
          <w:szCs w:val="24"/>
        </w:rPr>
        <w:t>This is notwithstanding the fact that the</w:t>
      </w:r>
      <w:r w:rsidR="00495D7A" w:rsidRPr="00E67C55">
        <w:rPr>
          <w:szCs w:val="24"/>
        </w:rPr>
        <w:t xml:space="preserve"> molar ratios of</w:t>
      </w:r>
      <w:r w:rsidR="00057D92">
        <w:rPr>
          <w:szCs w:val="24"/>
        </w:rPr>
        <w:t xml:space="preserve"> </w:t>
      </w:r>
      <w:r w:rsidR="00827438">
        <w:t>citric acid</w:t>
      </w:r>
      <w:r w:rsidR="00827438" w:rsidRPr="00827438">
        <w:rPr>
          <w:szCs w:val="24"/>
        </w:rPr>
        <w:t>:iron (19:1)</w:t>
      </w:r>
      <w:r w:rsidR="00057D92">
        <w:rPr>
          <w:szCs w:val="24"/>
        </w:rPr>
        <w:t xml:space="preserve"> and ascorbic acid:</w:t>
      </w:r>
      <w:r w:rsidR="00495D7A" w:rsidRPr="00E67C55">
        <w:rPr>
          <w:szCs w:val="24"/>
        </w:rPr>
        <w:t xml:space="preserve">iron (0.7:1) in </w:t>
      </w:r>
      <w:r w:rsidR="003D090C">
        <w:rPr>
          <w:szCs w:val="24"/>
        </w:rPr>
        <w:t>the millet porridge+baobab</w:t>
      </w:r>
      <w:r w:rsidR="00495D7A" w:rsidRPr="00E67C55">
        <w:rPr>
          <w:szCs w:val="24"/>
        </w:rPr>
        <w:t xml:space="preserve"> were below the </w:t>
      </w:r>
      <w:r w:rsidR="00827438">
        <w:rPr>
          <w:szCs w:val="24"/>
        </w:rPr>
        <w:t>citric acid</w:t>
      </w:r>
      <w:r w:rsidR="00495D7A" w:rsidRPr="00E67C55">
        <w:rPr>
          <w:szCs w:val="24"/>
        </w:rPr>
        <w:t xml:space="preserve">:iron and </w:t>
      </w:r>
      <w:r w:rsidR="00827438">
        <w:rPr>
          <w:szCs w:val="24"/>
        </w:rPr>
        <w:t>ascorbic acid</w:t>
      </w:r>
      <w:r w:rsidR="00495D7A" w:rsidRPr="00E67C55">
        <w:rPr>
          <w:szCs w:val="24"/>
        </w:rPr>
        <w:t>:iron ratio</w:t>
      </w:r>
      <w:r w:rsidR="00827438">
        <w:rPr>
          <w:szCs w:val="24"/>
        </w:rPr>
        <w:t>s</w:t>
      </w:r>
      <w:r w:rsidR="00057D92">
        <w:rPr>
          <w:szCs w:val="24"/>
        </w:rPr>
        <w:t xml:space="preserve"> </w:t>
      </w:r>
      <w:r w:rsidR="00827438">
        <w:rPr>
          <w:szCs w:val="24"/>
        </w:rPr>
        <w:t xml:space="preserve">of 100:1 and </w:t>
      </w:r>
      <w:r w:rsidR="00495D7A" w:rsidRPr="00E67C55">
        <w:rPr>
          <w:szCs w:val="24"/>
        </w:rPr>
        <w:t>2:1, respectively required for optimal iron absorption in cereal foods</w:t>
      </w:r>
      <w:r w:rsidR="00495D7A">
        <w:rPr>
          <w:szCs w:val="24"/>
        </w:rPr>
        <w:t xml:space="preserve"> (Hunt, 2005</w:t>
      </w:r>
      <w:r w:rsidR="00007611">
        <w:rPr>
          <w:szCs w:val="24"/>
        </w:rPr>
        <w:t xml:space="preserve">; </w:t>
      </w:r>
      <w:r w:rsidR="00007611">
        <w:t>Troesch et al., 2011</w:t>
      </w:r>
      <w:r w:rsidR="00495D7A">
        <w:rPr>
          <w:szCs w:val="24"/>
        </w:rPr>
        <w:t xml:space="preserve">). </w:t>
      </w:r>
      <w:r w:rsidR="00311CCC">
        <w:rPr>
          <w:szCs w:val="24"/>
        </w:rPr>
        <w:t>However, o</w:t>
      </w:r>
      <w:r w:rsidR="009E0C63">
        <w:rPr>
          <w:szCs w:val="24"/>
        </w:rPr>
        <w:t>rganic acids at lower ratio</w:t>
      </w:r>
      <w:r w:rsidR="00311CCC">
        <w:rPr>
          <w:szCs w:val="24"/>
        </w:rPr>
        <w:t>s</w:t>
      </w:r>
      <w:r w:rsidR="009E0C63">
        <w:rPr>
          <w:szCs w:val="24"/>
        </w:rPr>
        <w:t xml:space="preserve"> have been found to improve iron bioaccessibility. </w:t>
      </w:r>
      <w:r w:rsidR="00495D7A">
        <w:rPr>
          <w:szCs w:val="24"/>
        </w:rPr>
        <w:t>Porres</w:t>
      </w:r>
      <w:r w:rsidR="008D7F06">
        <w:rPr>
          <w:szCs w:val="24"/>
        </w:rPr>
        <w:t xml:space="preserve"> et al.</w:t>
      </w:r>
      <w:r w:rsidR="00495D7A">
        <w:rPr>
          <w:szCs w:val="24"/>
        </w:rPr>
        <w:t xml:space="preserve">, </w:t>
      </w:r>
      <w:r w:rsidR="00390039" w:rsidRPr="006871D8">
        <w:rPr>
          <w:szCs w:val="24"/>
        </w:rPr>
        <w:t xml:space="preserve">(2001) showed that addition of 600–800 mg </w:t>
      </w:r>
      <w:r w:rsidR="00827438">
        <w:rPr>
          <w:szCs w:val="24"/>
        </w:rPr>
        <w:t xml:space="preserve">citric acid </w:t>
      </w:r>
      <w:r w:rsidR="00390039" w:rsidRPr="006871D8">
        <w:rPr>
          <w:szCs w:val="24"/>
        </w:rPr>
        <w:t xml:space="preserve">to 100 g </w:t>
      </w:r>
      <w:r w:rsidR="00311CCC">
        <w:rPr>
          <w:szCs w:val="24"/>
        </w:rPr>
        <w:t xml:space="preserve">of </w:t>
      </w:r>
      <w:r w:rsidR="003D090C">
        <w:rPr>
          <w:szCs w:val="24"/>
        </w:rPr>
        <w:t xml:space="preserve">a </w:t>
      </w:r>
      <w:r w:rsidR="00390039" w:rsidRPr="006871D8">
        <w:rPr>
          <w:szCs w:val="24"/>
        </w:rPr>
        <w:t>wheat-bas</w:t>
      </w:r>
      <w:r w:rsidR="00D67E86" w:rsidRPr="006871D8">
        <w:rPr>
          <w:szCs w:val="24"/>
        </w:rPr>
        <w:t>ed food</w:t>
      </w:r>
      <w:r w:rsidR="00827438">
        <w:rPr>
          <w:szCs w:val="24"/>
        </w:rPr>
        <w:t>, similar to the 567 mg citric acid/100 g porridge in this present study,</w:t>
      </w:r>
      <w:r w:rsidR="00D67E86" w:rsidRPr="006871D8">
        <w:rPr>
          <w:szCs w:val="24"/>
        </w:rPr>
        <w:t xml:space="preserve"> im</w:t>
      </w:r>
      <w:r w:rsidR="00495D7A">
        <w:rPr>
          <w:szCs w:val="24"/>
        </w:rPr>
        <w:t>proved iron dialysability by 12-</w:t>
      </w:r>
      <w:r w:rsidR="00D67E86" w:rsidRPr="006871D8">
        <w:rPr>
          <w:szCs w:val="24"/>
        </w:rPr>
        <w:t>fold</w:t>
      </w:r>
      <w:r w:rsidR="00495D7A">
        <w:rPr>
          <w:szCs w:val="24"/>
        </w:rPr>
        <w:t>. The findings of this present study are in apparent contrast to those of</w:t>
      </w:r>
      <w:r w:rsidR="00057D92">
        <w:rPr>
          <w:szCs w:val="24"/>
        </w:rPr>
        <w:t xml:space="preserve"> </w:t>
      </w:r>
      <w:r w:rsidR="00390039" w:rsidRPr="006871D8">
        <w:rPr>
          <w:szCs w:val="24"/>
        </w:rPr>
        <w:t>Gabaza et al. (2018)</w:t>
      </w:r>
      <w:r w:rsidR="00495D7A">
        <w:rPr>
          <w:szCs w:val="24"/>
        </w:rPr>
        <w:t xml:space="preserve"> who</w:t>
      </w:r>
      <w:r w:rsidR="00390039" w:rsidRPr="006871D8">
        <w:rPr>
          <w:szCs w:val="24"/>
        </w:rPr>
        <w:t xml:space="preserve"> </w:t>
      </w:r>
      <w:r w:rsidR="003D090C">
        <w:rPr>
          <w:szCs w:val="24"/>
        </w:rPr>
        <w:t xml:space="preserve">found </w:t>
      </w:r>
      <w:r w:rsidR="00BB2C01">
        <w:rPr>
          <w:szCs w:val="24"/>
        </w:rPr>
        <w:t>percentage</w:t>
      </w:r>
      <w:r w:rsidR="00390039" w:rsidRPr="006871D8">
        <w:rPr>
          <w:szCs w:val="24"/>
        </w:rPr>
        <w:t xml:space="preserve"> iron bioaccessibility </w:t>
      </w:r>
      <w:r w:rsidR="007B6AF6">
        <w:rPr>
          <w:szCs w:val="24"/>
        </w:rPr>
        <w:t xml:space="preserve">was not improved </w:t>
      </w:r>
      <w:r w:rsidR="00390039" w:rsidRPr="006871D8">
        <w:rPr>
          <w:szCs w:val="24"/>
        </w:rPr>
        <w:t xml:space="preserve">when fermented pearl millet was </w:t>
      </w:r>
      <w:r w:rsidR="00BB2C01">
        <w:rPr>
          <w:szCs w:val="24"/>
        </w:rPr>
        <w:t>fortified</w:t>
      </w:r>
      <w:r w:rsidR="00390039" w:rsidRPr="006871D8">
        <w:rPr>
          <w:szCs w:val="24"/>
        </w:rPr>
        <w:t xml:space="preserve"> with </w:t>
      </w:r>
      <w:r w:rsidR="003D090C">
        <w:rPr>
          <w:szCs w:val="24"/>
        </w:rPr>
        <w:t>baobab</w:t>
      </w:r>
      <w:r w:rsidR="00390039" w:rsidRPr="006871D8">
        <w:rPr>
          <w:szCs w:val="24"/>
        </w:rPr>
        <w:t xml:space="preserve"> at a ratio 100:10. </w:t>
      </w:r>
      <w:r w:rsidR="00D67E86" w:rsidRPr="006871D8">
        <w:rPr>
          <w:szCs w:val="24"/>
        </w:rPr>
        <w:t xml:space="preserve">The difference </w:t>
      </w:r>
      <w:r w:rsidR="00CF3E8A" w:rsidRPr="006871D8">
        <w:rPr>
          <w:szCs w:val="24"/>
        </w:rPr>
        <w:t xml:space="preserve">is </w:t>
      </w:r>
      <w:r w:rsidR="00223834">
        <w:rPr>
          <w:szCs w:val="24"/>
        </w:rPr>
        <w:t>likely</w:t>
      </w:r>
      <w:r w:rsidR="00CF3E8A" w:rsidRPr="006871D8">
        <w:rPr>
          <w:szCs w:val="24"/>
        </w:rPr>
        <w:t xml:space="preserve"> due to the effect of the organic acids in </w:t>
      </w:r>
      <w:r w:rsidR="007B6AF6">
        <w:rPr>
          <w:szCs w:val="24"/>
        </w:rPr>
        <w:t>baobab</w:t>
      </w:r>
      <w:r w:rsidR="00CF3E8A" w:rsidRPr="006871D8">
        <w:rPr>
          <w:szCs w:val="24"/>
        </w:rPr>
        <w:t xml:space="preserve"> being obscured in the study </w:t>
      </w:r>
      <w:r w:rsidR="00827438">
        <w:rPr>
          <w:szCs w:val="24"/>
        </w:rPr>
        <w:t xml:space="preserve">of Gabaza et al. (2018) </w:t>
      </w:r>
      <w:r w:rsidR="00CF3E8A" w:rsidRPr="006871D8">
        <w:rPr>
          <w:szCs w:val="24"/>
        </w:rPr>
        <w:t xml:space="preserve">by the effect of fermentation, which is </w:t>
      </w:r>
      <w:r w:rsidR="004231F0">
        <w:rPr>
          <w:szCs w:val="24"/>
        </w:rPr>
        <w:t xml:space="preserve">well </w:t>
      </w:r>
      <w:r w:rsidR="00CF3E8A" w:rsidRPr="006871D8">
        <w:rPr>
          <w:szCs w:val="24"/>
        </w:rPr>
        <w:t>known to improve i</w:t>
      </w:r>
      <w:r w:rsidR="00946E98" w:rsidRPr="006871D8">
        <w:rPr>
          <w:szCs w:val="24"/>
        </w:rPr>
        <w:t xml:space="preserve">ron </w:t>
      </w:r>
      <w:r w:rsidR="009E0C63">
        <w:rPr>
          <w:szCs w:val="24"/>
        </w:rPr>
        <w:t xml:space="preserve">bioavailability </w:t>
      </w:r>
      <w:r w:rsidR="00495D7A">
        <w:rPr>
          <w:szCs w:val="24"/>
        </w:rPr>
        <w:t>(</w:t>
      </w:r>
      <w:r w:rsidR="003E1950">
        <w:rPr>
          <w:szCs w:val="24"/>
        </w:rPr>
        <w:t>Proulx</w:t>
      </w:r>
      <w:r w:rsidR="007B6AF6">
        <w:rPr>
          <w:szCs w:val="24"/>
        </w:rPr>
        <w:t xml:space="preserve"> </w:t>
      </w:r>
      <w:r w:rsidR="003E1950" w:rsidRPr="001957B1">
        <w:rPr>
          <w:szCs w:val="24"/>
        </w:rPr>
        <w:t>&amp; Reddy</w:t>
      </w:r>
      <w:r w:rsidR="003E1950">
        <w:rPr>
          <w:szCs w:val="24"/>
        </w:rPr>
        <w:t>,</w:t>
      </w:r>
      <w:r w:rsidR="00974910">
        <w:rPr>
          <w:szCs w:val="24"/>
        </w:rPr>
        <w:t xml:space="preserve"> </w:t>
      </w:r>
      <w:r w:rsidR="003E1950">
        <w:rPr>
          <w:szCs w:val="24"/>
        </w:rPr>
        <w:t>2007</w:t>
      </w:r>
      <w:r w:rsidR="00CF3E8A" w:rsidRPr="006871D8">
        <w:rPr>
          <w:szCs w:val="24"/>
        </w:rPr>
        <w:t>)</w:t>
      </w:r>
      <w:r w:rsidR="0098004F" w:rsidRPr="006871D8">
        <w:rPr>
          <w:szCs w:val="24"/>
        </w:rPr>
        <w:t>.</w:t>
      </w:r>
    </w:p>
    <w:p w14:paraId="3B14A6BE" w14:textId="77777777" w:rsidR="00BB2C01" w:rsidRDefault="00BB2C01" w:rsidP="009163EF">
      <w:pPr>
        <w:rPr>
          <w:szCs w:val="24"/>
        </w:rPr>
        <w:sectPr w:rsidR="00BB2C01" w:rsidSect="00BB2C01">
          <w:pgSz w:w="11907" w:h="16839" w:code="9"/>
          <w:pgMar w:top="1440" w:right="1440" w:bottom="1440" w:left="1440" w:header="720" w:footer="720" w:gutter="0"/>
          <w:cols w:space="720"/>
          <w:docGrid w:linePitch="360"/>
        </w:sectPr>
      </w:pPr>
    </w:p>
    <w:p w14:paraId="48C0C01A" w14:textId="79E7B10A" w:rsidR="00856436" w:rsidRPr="0020188E" w:rsidRDefault="00BB2C01" w:rsidP="00351D12">
      <w:pPr>
        <w:pStyle w:val="MyTables"/>
        <w:rPr>
          <w:rFonts w:cs="Times New Roman"/>
          <w:szCs w:val="24"/>
        </w:rPr>
      </w:pPr>
      <w:bookmarkStart w:id="89" w:name="_Toc65253632"/>
      <w:r w:rsidRPr="00724D1C">
        <w:rPr>
          <w:b/>
        </w:rPr>
        <w:t xml:space="preserve">Table </w:t>
      </w:r>
      <w:r w:rsidR="00F3680E">
        <w:rPr>
          <w:b/>
        </w:rPr>
        <w:t>4.1.</w:t>
      </w:r>
      <w:r w:rsidRPr="00724D1C">
        <w:rPr>
          <w:b/>
        </w:rPr>
        <w:t>4</w:t>
      </w:r>
      <w:r>
        <w:rPr>
          <w:b/>
        </w:rPr>
        <w:t xml:space="preserve">: </w:t>
      </w:r>
      <w:r w:rsidRPr="00000361">
        <w:t>Effect</w:t>
      </w:r>
      <w:r>
        <w:t>s</w:t>
      </w:r>
      <w:r w:rsidRPr="00000361">
        <w:t xml:space="preserve"> of </w:t>
      </w:r>
      <w:r w:rsidR="00856436">
        <w:t>fortification with</w:t>
      </w:r>
      <w:r w:rsidRPr="00000361">
        <w:t xml:space="preserve"> baobab fru</w:t>
      </w:r>
      <w:r>
        <w:t>it powder and moringa leaf</w:t>
      </w:r>
      <w:r w:rsidRPr="00000361">
        <w:t xml:space="preserve"> powder alone</w:t>
      </w:r>
      <w:r>
        <w:t>,</w:t>
      </w:r>
      <w:r w:rsidRPr="00000361">
        <w:t xml:space="preserve"> and in combination</w:t>
      </w:r>
      <w:r>
        <w:t>,</w:t>
      </w:r>
      <w:r w:rsidRPr="00000361">
        <w:t xml:space="preserve"> to pearl millet porridge on </w:t>
      </w:r>
      <w:r>
        <w:t xml:space="preserve">percentage and total </w:t>
      </w:r>
      <w:r w:rsidRPr="00000361">
        <w:t>iron and zinc bioaccessibilities</w:t>
      </w:r>
      <w:r>
        <w:t xml:space="preserve"> of the porridges</w:t>
      </w:r>
      <w:bookmarkEnd w:id="89"/>
    </w:p>
    <w:tbl>
      <w:tblPr>
        <w:tblW w:w="0" w:type="auto"/>
        <w:tblBorders>
          <w:top w:val="single" w:sz="4" w:space="0" w:color="auto"/>
          <w:bottom w:val="single" w:sz="4" w:space="0" w:color="auto"/>
        </w:tblBorders>
        <w:tblLook w:val="04A0" w:firstRow="1" w:lastRow="0" w:firstColumn="1" w:lastColumn="0" w:noHBand="0" w:noVBand="1"/>
      </w:tblPr>
      <w:tblGrid>
        <w:gridCol w:w="2695"/>
        <w:gridCol w:w="2485"/>
        <w:gridCol w:w="2590"/>
        <w:gridCol w:w="2590"/>
        <w:gridCol w:w="2590"/>
      </w:tblGrid>
      <w:tr w:rsidR="00BB2C01" w:rsidRPr="007C3DC9" w14:paraId="38E1ADCA" w14:textId="77777777" w:rsidTr="001A1CC8">
        <w:tc>
          <w:tcPr>
            <w:tcW w:w="2695" w:type="dxa"/>
            <w:tcBorders>
              <w:top w:val="single" w:sz="4" w:space="0" w:color="auto"/>
              <w:bottom w:val="single" w:sz="4" w:space="0" w:color="auto"/>
            </w:tcBorders>
          </w:tcPr>
          <w:p w14:paraId="32BD60D7" w14:textId="77777777" w:rsidR="00BB2C01" w:rsidRPr="007C3DC9" w:rsidRDefault="00BB2C01" w:rsidP="007C3DC9">
            <w:pPr>
              <w:spacing w:after="0" w:line="240" w:lineRule="auto"/>
              <w:jc w:val="left"/>
              <w:rPr>
                <w:rFonts w:cs="Times New Roman"/>
                <w:b/>
                <w:sz w:val="22"/>
              </w:rPr>
            </w:pPr>
            <w:r w:rsidRPr="007C3DC9">
              <w:rPr>
                <w:rFonts w:cs="Times New Roman"/>
                <w:b/>
                <w:sz w:val="22"/>
              </w:rPr>
              <w:t>Porridge formulation (dry mass ratios)</w:t>
            </w:r>
          </w:p>
        </w:tc>
        <w:tc>
          <w:tcPr>
            <w:tcW w:w="2485" w:type="dxa"/>
            <w:tcBorders>
              <w:top w:val="single" w:sz="4" w:space="0" w:color="auto"/>
              <w:bottom w:val="single" w:sz="4" w:space="0" w:color="auto"/>
            </w:tcBorders>
          </w:tcPr>
          <w:p w14:paraId="2638EDD3" w14:textId="77777777" w:rsidR="00BB2C01" w:rsidRPr="007C3DC9" w:rsidRDefault="00BB2C01" w:rsidP="00856436">
            <w:pPr>
              <w:spacing w:after="0" w:line="240" w:lineRule="auto"/>
              <w:jc w:val="center"/>
              <w:rPr>
                <w:rFonts w:cs="Times New Roman"/>
                <w:b/>
                <w:sz w:val="22"/>
              </w:rPr>
            </w:pPr>
            <w:r w:rsidRPr="007C3DC9">
              <w:rPr>
                <w:rFonts w:cs="Times New Roman"/>
                <w:b/>
                <w:sz w:val="22"/>
              </w:rPr>
              <w:t>Percentage bioaccessible iron</w:t>
            </w:r>
          </w:p>
        </w:tc>
        <w:tc>
          <w:tcPr>
            <w:tcW w:w="2590" w:type="dxa"/>
            <w:tcBorders>
              <w:top w:val="single" w:sz="4" w:space="0" w:color="auto"/>
              <w:bottom w:val="single" w:sz="4" w:space="0" w:color="auto"/>
            </w:tcBorders>
          </w:tcPr>
          <w:p w14:paraId="710889B2" w14:textId="77777777" w:rsidR="00BB2C01" w:rsidRPr="007C3DC9" w:rsidRDefault="00BB2C01" w:rsidP="00856436">
            <w:pPr>
              <w:spacing w:after="0" w:line="240" w:lineRule="auto"/>
              <w:jc w:val="center"/>
              <w:rPr>
                <w:rFonts w:cs="Times New Roman"/>
                <w:b/>
                <w:sz w:val="22"/>
              </w:rPr>
            </w:pPr>
            <w:r w:rsidRPr="007C3DC9">
              <w:rPr>
                <w:rFonts w:cs="Times New Roman"/>
                <w:b/>
                <w:sz w:val="22"/>
              </w:rPr>
              <w:t>Amount of bioaccessible iron (mg/100 g, dry basis)</w:t>
            </w:r>
          </w:p>
        </w:tc>
        <w:tc>
          <w:tcPr>
            <w:tcW w:w="2590" w:type="dxa"/>
            <w:tcBorders>
              <w:top w:val="single" w:sz="4" w:space="0" w:color="auto"/>
              <w:bottom w:val="single" w:sz="4" w:space="0" w:color="auto"/>
            </w:tcBorders>
          </w:tcPr>
          <w:p w14:paraId="6F976DE5" w14:textId="77777777" w:rsidR="00BB2C01" w:rsidRPr="007C3DC9" w:rsidRDefault="00BB2C01" w:rsidP="00856436">
            <w:pPr>
              <w:spacing w:after="0" w:line="240" w:lineRule="auto"/>
              <w:jc w:val="center"/>
              <w:rPr>
                <w:rFonts w:cs="Times New Roman"/>
                <w:b/>
                <w:sz w:val="22"/>
              </w:rPr>
            </w:pPr>
            <w:r w:rsidRPr="007C3DC9">
              <w:rPr>
                <w:rFonts w:cs="Times New Roman"/>
                <w:b/>
                <w:sz w:val="22"/>
              </w:rPr>
              <w:t>Percentage bioaccessible zinc</w:t>
            </w:r>
          </w:p>
        </w:tc>
        <w:tc>
          <w:tcPr>
            <w:tcW w:w="2590" w:type="dxa"/>
            <w:tcBorders>
              <w:top w:val="single" w:sz="4" w:space="0" w:color="auto"/>
              <w:bottom w:val="single" w:sz="4" w:space="0" w:color="auto"/>
            </w:tcBorders>
          </w:tcPr>
          <w:p w14:paraId="1F5FCA54" w14:textId="77777777" w:rsidR="00BB2C01" w:rsidRPr="007C3DC9" w:rsidRDefault="00BB2C01" w:rsidP="00856436">
            <w:pPr>
              <w:spacing w:after="0" w:line="240" w:lineRule="auto"/>
              <w:jc w:val="center"/>
              <w:rPr>
                <w:rFonts w:cs="Times New Roman"/>
                <w:b/>
                <w:sz w:val="22"/>
              </w:rPr>
            </w:pPr>
            <w:r w:rsidRPr="007C3DC9">
              <w:rPr>
                <w:rFonts w:cs="Times New Roman"/>
                <w:b/>
                <w:sz w:val="22"/>
              </w:rPr>
              <w:t>Amount of bioaccessible zinc (mg/100 g, dry basis)</w:t>
            </w:r>
          </w:p>
        </w:tc>
      </w:tr>
      <w:tr w:rsidR="00BB2C01" w:rsidRPr="007C3DC9" w14:paraId="628337C1" w14:textId="77777777" w:rsidTr="001A1CC8">
        <w:tc>
          <w:tcPr>
            <w:tcW w:w="2695" w:type="dxa"/>
            <w:tcBorders>
              <w:top w:val="single" w:sz="4" w:space="0" w:color="auto"/>
            </w:tcBorders>
          </w:tcPr>
          <w:p w14:paraId="44D4FDD7" w14:textId="77777777" w:rsidR="00BB2C01" w:rsidRPr="007C3DC9" w:rsidRDefault="00BB2C01" w:rsidP="007C3DC9">
            <w:pPr>
              <w:spacing w:after="0" w:line="240" w:lineRule="auto"/>
              <w:jc w:val="left"/>
              <w:rPr>
                <w:rFonts w:cs="Times New Roman"/>
                <w:sz w:val="22"/>
              </w:rPr>
            </w:pPr>
            <w:r w:rsidRPr="007C3DC9">
              <w:rPr>
                <w:rFonts w:cs="Times New Roman"/>
                <w:sz w:val="22"/>
              </w:rPr>
              <w:t>Millet Porridge</w:t>
            </w:r>
          </w:p>
        </w:tc>
        <w:tc>
          <w:tcPr>
            <w:tcW w:w="2485" w:type="dxa"/>
            <w:tcBorders>
              <w:top w:val="single" w:sz="4" w:space="0" w:color="auto"/>
            </w:tcBorders>
          </w:tcPr>
          <w:p w14:paraId="3A1B0AAE" w14:textId="77777777" w:rsidR="00BB2C01" w:rsidRPr="007C3DC9" w:rsidRDefault="00BB2C01" w:rsidP="00856436">
            <w:pPr>
              <w:spacing w:after="0" w:line="240" w:lineRule="auto"/>
              <w:jc w:val="center"/>
              <w:rPr>
                <w:rFonts w:cs="Times New Roman"/>
                <w:sz w:val="22"/>
              </w:rPr>
            </w:pPr>
            <w:r w:rsidRPr="007C3DC9">
              <w:rPr>
                <w:rFonts w:cs="Times New Roman"/>
                <w:sz w:val="22"/>
              </w:rPr>
              <w:t>6.66</w:t>
            </w:r>
            <w:r w:rsidRPr="007C3DC9">
              <w:rPr>
                <w:rFonts w:cs="Times New Roman"/>
                <w:sz w:val="22"/>
                <w:vertAlign w:val="superscript"/>
              </w:rPr>
              <w:t xml:space="preserve"> ab</w:t>
            </w:r>
            <w:r w:rsidRPr="007C3DC9">
              <w:rPr>
                <w:rFonts w:cs="Times New Roman"/>
                <w:sz w:val="22"/>
              </w:rPr>
              <w:t xml:space="preserve"> ± 0.47</w:t>
            </w:r>
            <w:r w:rsidRPr="007C3DC9">
              <w:rPr>
                <w:rFonts w:cs="Times New Roman"/>
                <w:sz w:val="22"/>
                <w:vertAlign w:val="superscript"/>
              </w:rPr>
              <w:t>1,2</w:t>
            </w:r>
          </w:p>
        </w:tc>
        <w:tc>
          <w:tcPr>
            <w:tcW w:w="2590" w:type="dxa"/>
            <w:tcBorders>
              <w:top w:val="single" w:sz="4" w:space="0" w:color="auto"/>
            </w:tcBorders>
          </w:tcPr>
          <w:p w14:paraId="3A758C6E" w14:textId="25968F2C" w:rsidR="00BB2C01" w:rsidRPr="007C3DC9" w:rsidRDefault="00BB2C01" w:rsidP="00856436">
            <w:pPr>
              <w:spacing w:after="0" w:line="240" w:lineRule="auto"/>
              <w:jc w:val="center"/>
              <w:rPr>
                <w:rFonts w:cs="Times New Roman"/>
                <w:sz w:val="22"/>
              </w:rPr>
            </w:pPr>
            <w:r w:rsidRPr="007C3DC9">
              <w:rPr>
                <w:rFonts w:cs="Times New Roman"/>
                <w:sz w:val="22"/>
              </w:rPr>
              <w:t>0.60</w:t>
            </w:r>
            <w:r w:rsidRPr="007C3DC9">
              <w:rPr>
                <w:rFonts w:cs="Times New Roman"/>
                <w:sz w:val="22"/>
                <w:vertAlign w:val="superscript"/>
              </w:rPr>
              <w:t>a</w:t>
            </w:r>
            <w:r w:rsidRPr="007C3DC9">
              <w:rPr>
                <w:rFonts w:cs="Times New Roman"/>
                <w:sz w:val="22"/>
              </w:rPr>
              <w:t xml:space="preserve"> ± 0.04</w:t>
            </w:r>
          </w:p>
        </w:tc>
        <w:tc>
          <w:tcPr>
            <w:tcW w:w="2590" w:type="dxa"/>
            <w:tcBorders>
              <w:top w:val="single" w:sz="4" w:space="0" w:color="auto"/>
            </w:tcBorders>
          </w:tcPr>
          <w:p w14:paraId="4A991BEC" w14:textId="77777777" w:rsidR="00BB2C01" w:rsidRPr="007C3DC9" w:rsidRDefault="00BB2C01" w:rsidP="00856436">
            <w:pPr>
              <w:spacing w:after="0" w:line="240" w:lineRule="auto"/>
              <w:jc w:val="center"/>
              <w:rPr>
                <w:rFonts w:cs="Times New Roman"/>
                <w:sz w:val="22"/>
              </w:rPr>
            </w:pPr>
            <w:r w:rsidRPr="007C3DC9">
              <w:rPr>
                <w:rFonts w:cs="Times New Roman"/>
                <w:sz w:val="22"/>
              </w:rPr>
              <w:t>30.5</w:t>
            </w:r>
            <w:r w:rsidRPr="007C3DC9">
              <w:rPr>
                <w:rFonts w:cs="Times New Roman"/>
                <w:sz w:val="22"/>
                <w:vertAlign w:val="superscript"/>
              </w:rPr>
              <w:t>bc</w:t>
            </w:r>
            <w:r w:rsidRPr="007C3DC9">
              <w:rPr>
                <w:rFonts w:cs="Times New Roman"/>
                <w:sz w:val="22"/>
              </w:rPr>
              <w:t xml:space="preserve"> ± 3.9</w:t>
            </w:r>
          </w:p>
        </w:tc>
        <w:tc>
          <w:tcPr>
            <w:tcW w:w="2590" w:type="dxa"/>
            <w:tcBorders>
              <w:top w:val="single" w:sz="4" w:space="0" w:color="auto"/>
            </w:tcBorders>
          </w:tcPr>
          <w:p w14:paraId="6ED0FCE8" w14:textId="77777777" w:rsidR="00BB2C01" w:rsidRPr="007C3DC9" w:rsidRDefault="00BB2C01" w:rsidP="00856436">
            <w:pPr>
              <w:spacing w:after="0" w:line="240" w:lineRule="auto"/>
              <w:jc w:val="center"/>
              <w:rPr>
                <w:rFonts w:cs="Times New Roman"/>
                <w:sz w:val="22"/>
              </w:rPr>
            </w:pPr>
            <w:r w:rsidRPr="007C3DC9">
              <w:rPr>
                <w:rFonts w:cs="Times New Roman"/>
                <w:sz w:val="22"/>
              </w:rPr>
              <w:t>2.01</w:t>
            </w:r>
            <w:r w:rsidRPr="007C3DC9">
              <w:rPr>
                <w:rFonts w:cs="Times New Roman"/>
                <w:sz w:val="22"/>
                <w:vertAlign w:val="superscript"/>
              </w:rPr>
              <w:t>bc</w:t>
            </w:r>
            <w:r w:rsidRPr="007C3DC9">
              <w:rPr>
                <w:rFonts w:cs="Times New Roman"/>
                <w:sz w:val="22"/>
              </w:rPr>
              <w:t xml:space="preserve"> ± 0.26</w:t>
            </w:r>
          </w:p>
        </w:tc>
      </w:tr>
      <w:tr w:rsidR="00BB2C01" w:rsidRPr="007C3DC9" w14:paraId="2A639E2F" w14:textId="77777777" w:rsidTr="001A1CC8">
        <w:tc>
          <w:tcPr>
            <w:tcW w:w="2695" w:type="dxa"/>
          </w:tcPr>
          <w:p w14:paraId="5EFEE178" w14:textId="77777777" w:rsidR="00BB2C01" w:rsidRPr="007C3DC9" w:rsidRDefault="00BB2C01" w:rsidP="007C3DC9">
            <w:pPr>
              <w:spacing w:after="0" w:line="240" w:lineRule="auto"/>
              <w:jc w:val="left"/>
              <w:rPr>
                <w:rFonts w:cs="Times New Roman"/>
                <w:sz w:val="22"/>
              </w:rPr>
            </w:pPr>
            <w:r w:rsidRPr="007C3DC9">
              <w:rPr>
                <w:rFonts w:cs="Times New Roman"/>
                <w:sz w:val="22"/>
              </w:rPr>
              <w:t>Millet porridge+Baobab (100:15)</w:t>
            </w:r>
          </w:p>
        </w:tc>
        <w:tc>
          <w:tcPr>
            <w:tcW w:w="2485" w:type="dxa"/>
          </w:tcPr>
          <w:p w14:paraId="5F0B5917" w14:textId="77777777" w:rsidR="00856436" w:rsidRPr="007C3DC9" w:rsidRDefault="00BB2C01" w:rsidP="00856436">
            <w:pPr>
              <w:spacing w:after="0" w:line="240" w:lineRule="auto"/>
              <w:jc w:val="center"/>
              <w:rPr>
                <w:rFonts w:cs="Times New Roman"/>
                <w:sz w:val="22"/>
              </w:rPr>
            </w:pPr>
            <w:r w:rsidRPr="007C3DC9">
              <w:rPr>
                <w:rFonts w:cs="Times New Roman"/>
                <w:sz w:val="22"/>
              </w:rPr>
              <w:t>9.05</w:t>
            </w:r>
            <w:r w:rsidRPr="007C3DC9">
              <w:rPr>
                <w:rFonts w:cs="Times New Roman"/>
                <w:sz w:val="22"/>
                <w:vertAlign w:val="superscript"/>
              </w:rPr>
              <w:t>cd</w:t>
            </w:r>
            <w:r w:rsidRPr="007C3DC9">
              <w:rPr>
                <w:rFonts w:cs="Times New Roman"/>
                <w:sz w:val="22"/>
              </w:rPr>
              <w:t xml:space="preserve"> ± 1.94 </w:t>
            </w:r>
          </w:p>
          <w:p w14:paraId="731CAA2F" w14:textId="5165B679" w:rsidR="00BB2C01" w:rsidRPr="007C3DC9" w:rsidRDefault="00BB2C01" w:rsidP="00856436">
            <w:pPr>
              <w:spacing w:after="0" w:line="240" w:lineRule="auto"/>
              <w:jc w:val="center"/>
              <w:rPr>
                <w:rFonts w:cs="Times New Roman"/>
                <w:sz w:val="22"/>
              </w:rPr>
            </w:pPr>
            <w:r w:rsidRPr="007C3DC9">
              <w:rPr>
                <w:rFonts w:cs="Times New Roman"/>
                <w:sz w:val="22"/>
              </w:rPr>
              <w:t>(36%)</w:t>
            </w:r>
            <w:r w:rsidRPr="007C3DC9">
              <w:rPr>
                <w:rFonts w:cs="Times New Roman"/>
                <w:sz w:val="22"/>
                <w:vertAlign w:val="superscript"/>
              </w:rPr>
              <w:t>3</w:t>
            </w:r>
          </w:p>
        </w:tc>
        <w:tc>
          <w:tcPr>
            <w:tcW w:w="2590" w:type="dxa"/>
          </w:tcPr>
          <w:p w14:paraId="3076CFC1" w14:textId="77777777" w:rsidR="00856436" w:rsidRPr="007C3DC9" w:rsidRDefault="00BB2C01" w:rsidP="00856436">
            <w:pPr>
              <w:spacing w:after="0" w:line="240" w:lineRule="auto"/>
              <w:jc w:val="center"/>
              <w:rPr>
                <w:rFonts w:cs="Times New Roman"/>
                <w:sz w:val="22"/>
              </w:rPr>
            </w:pPr>
            <w:r w:rsidRPr="007C3DC9">
              <w:rPr>
                <w:rFonts w:cs="Times New Roman"/>
                <w:sz w:val="22"/>
              </w:rPr>
              <w:t>0.77</w:t>
            </w:r>
            <w:r w:rsidRPr="007C3DC9">
              <w:rPr>
                <w:rFonts w:cs="Times New Roman"/>
                <w:sz w:val="22"/>
                <w:vertAlign w:val="superscript"/>
              </w:rPr>
              <w:t>bc</w:t>
            </w:r>
            <w:r w:rsidRPr="007C3DC9">
              <w:rPr>
                <w:rFonts w:cs="Times New Roman"/>
                <w:sz w:val="22"/>
              </w:rPr>
              <w:t xml:space="preserve"> ± 0.17 </w:t>
            </w:r>
          </w:p>
          <w:p w14:paraId="2DB9B500" w14:textId="590CE71E" w:rsidR="00BB2C01" w:rsidRPr="007C3DC9" w:rsidRDefault="00BB2C01" w:rsidP="00856436">
            <w:pPr>
              <w:spacing w:after="0" w:line="240" w:lineRule="auto"/>
              <w:jc w:val="center"/>
              <w:rPr>
                <w:rFonts w:cs="Times New Roman"/>
                <w:sz w:val="22"/>
              </w:rPr>
            </w:pPr>
            <w:r w:rsidRPr="007C3DC9">
              <w:rPr>
                <w:rFonts w:cs="Times New Roman"/>
                <w:sz w:val="22"/>
              </w:rPr>
              <w:t>(30%)</w:t>
            </w:r>
          </w:p>
        </w:tc>
        <w:tc>
          <w:tcPr>
            <w:tcW w:w="2590" w:type="dxa"/>
          </w:tcPr>
          <w:p w14:paraId="48619871" w14:textId="77777777" w:rsidR="00BB2C01" w:rsidRPr="007C3DC9" w:rsidRDefault="00BB2C01" w:rsidP="00856436">
            <w:pPr>
              <w:spacing w:after="0" w:line="240" w:lineRule="auto"/>
              <w:jc w:val="center"/>
              <w:rPr>
                <w:rFonts w:cs="Times New Roman"/>
                <w:sz w:val="22"/>
              </w:rPr>
            </w:pPr>
            <w:r w:rsidRPr="007C3DC9">
              <w:rPr>
                <w:rFonts w:cs="Times New Roman"/>
                <w:sz w:val="22"/>
              </w:rPr>
              <w:t>33.1</w:t>
            </w:r>
            <w:r w:rsidRPr="007C3DC9">
              <w:rPr>
                <w:rFonts w:cs="Times New Roman"/>
                <w:sz w:val="22"/>
                <w:vertAlign w:val="superscript"/>
              </w:rPr>
              <w:t>c</w:t>
            </w:r>
            <w:r w:rsidRPr="007C3DC9">
              <w:rPr>
                <w:rFonts w:cs="Times New Roman"/>
                <w:sz w:val="22"/>
              </w:rPr>
              <w:t xml:space="preserve"> ± 3.9</w:t>
            </w:r>
          </w:p>
        </w:tc>
        <w:tc>
          <w:tcPr>
            <w:tcW w:w="2590" w:type="dxa"/>
          </w:tcPr>
          <w:p w14:paraId="6321FFEA" w14:textId="77777777" w:rsidR="00BB2C01" w:rsidRPr="007C3DC9" w:rsidRDefault="00BB2C01" w:rsidP="00856436">
            <w:pPr>
              <w:spacing w:after="0" w:line="240" w:lineRule="auto"/>
              <w:jc w:val="center"/>
              <w:rPr>
                <w:rFonts w:cs="Times New Roman"/>
                <w:sz w:val="22"/>
              </w:rPr>
            </w:pPr>
            <w:r w:rsidRPr="007C3DC9">
              <w:rPr>
                <w:rFonts w:cs="Times New Roman"/>
                <w:sz w:val="22"/>
              </w:rPr>
              <w:t>2.07</w:t>
            </w:r>
            <w:r w:rsidRPr="007C3DC9">
              <w:rPr>
                <w:rFonts w:cs="Times New Roman"/>
                <w:sz w:val="22"/>
                <w:vertAlign w:val="superscript"/>
              </w:rPr>
              <w:t>bc</w:t>
            </w:r>
            <w:r w:rsidRPr="007C3DC9">
              <w:rPr>
                <w:rFonts w:cs="Times New Roman"/>
                <w:sz w:val="22"/>
              </w:rPr>
              <w:t xml:space="preserve"> ± 0.24</w:t>
            </w:r>
          </w:p>
        </w:tc>
      </w:tr>
      <w:tr w:rsidR="00BB2C01" w:rsidRPr="007C3DC9" w14:paraId="2034D41C" w14:textId="77777777" w:rsidTr="001A1CC8">
        <w:tc>
          <w:tcPr>
            <w:tcW w:w="2695" w:type="dxa"/>
          </w:tcPr>
          <w:p w14:paraId="0143A300" w14:textId="77777777" w:rsidR="00856436" w:rsidRPr="007C3DC9" w:rsidRDefault="00BB2C01" w:rsidP="007C3DC9">
            <w:pPr>
              <w:spacing w:after="0" w:line="240" w:lineRule="auto"/>
              <w:jc w:val="left"/>
              <w:rPr>
                <w:rFonts w:cs="Times New Roman"/>
                <w:sz w:val="22"/>
              </w:rPr>
            </w:pPr>
            <w:r w:rsidRPr="007C3DC9">
              <w:rPr>
                <w:rFonts w:cs="Times New Roman"/>
                <w:sz w:val="22"/>
              </w:rPr>
              <w:t>Millet porridge</w:t>
            </w:r>
          </w:p>
          <w:p w14:paraId="4AB8334F" w14:textId="1AD0EA1B" w:rsidR="00BB2C01" w:rsidRPr="007C3DC9" w:rsidRDefault="00BB2C01" w:rsidP="007C3DC9">
            <w:pPr>
              <w:spacing w:after="0" w:line="240" w:lineRule="auto"/>
              <w:jc w:val="left"/>
              <w:rPr>
                <w:rFonts w:cs="Times New Roman"/>
                <w:sz w:val="22"/>
              </w:rPr>
            </w:pPr>
            <w:r w:rsidRPr="007C3DC9">
              <w:rPr>
                <w:rFonts w:cs="Times New Roman"/>
                <w:sz w:val="22"/>
              </w:rPr>
              <w:t>+Moringa (100:15)</w:t>
            </w:r>
          </w:p>
        </w:tc>
        <w:tc>
          <w:tcPr>
            <w:tcW w:w="2485" w:type="dxa"/>
          </w:tcPr>
          <w:p w14:paraId="4616281B" w14:textId="77777777" w:rsidR="00856436" w:rsidRPr="007C3DC9" w:rsidRDefault="00BB2C01" w:rsidP="00856436">
            <w:pPr>
              <w:spacing w:after="0" w:line="240" w:lineRule="auto"/>
              <w:jc w:val="center"/>
              <w:rPr>
                <w:rFonts w:cs="Times New Roman"/>
                <w:sz w:val="22"/>
              </w:rPr>
            </w:pPr>
            <w:r w:rsidRPr="007C3DC9">
              <w:rPr>
                <w:rFonts w:cs="Times New Roman"/>
                <w:sz w:val="22"/>
              </w:rPr>
              <w:t>5.00</w:t>
            </w:r>
            <w:r w:rsidRPr="007C3DC9">
              <w:rPr>
                <w:rFonts w:cs="Times New Roman"/>
                <w:sz w:val="22"/>
                <w:vertAlign w:val="superscript"/>
              </w:rPr>
              <w:t>a</w:t>
            </w:r>
            <w:r w:rsidRPr="007C3DC9">
              <w:rPr>
                <w:rFonts w:cs="Times New Roman"/>
                <w:sz w:val="22"/>
              </w:rPr>
              <w:t xml:space="preserve"> ± 0.28 </w:t>
            </w:r>
          </w:p>
          <w:p w14:paraId="17954D6C" w14:textId="5B0D8014" w:rsidR="00BB2C01" w:rsidRPr="007C3DC9" w:rsidRDefault="00BB2C01" w:rsidP="00856436">
            <w:pPr>
              <w:spacing w:after="0" w:line="240" w:lineRule="auto"/>
              <w:jc w:val="center"/>
              <w:rPr>
                <w:rFonts w:cs="Times New Roman"/>
                <w:sz w:val="22"/>
              </w:rPr>
            </w:pPr>
            <w:r w:rsidRPr="007C3DC9">
              <w:rPr>
                <w:rFonts w:cs="Times New Roman"/>
                <w:sz w:val="22"/>
              </w:rPr>
              <w:t>(-24%)</w:t>
            </w:r>
          </w:p>
        </w:tc>
        <w:tc>
          <w:tcPr>
            <w:tcW w:w="2590" w:type="dxa"/>
          </w:tcPr>
          <w:p w14:paraId="55C7D50A" w14:textId="77777777" w:rsidR="00BB2C01" w:rsidRPr="007C3DC9" w:rsidRDefault="00BB2C01" w:rsidP="00856436">
            <w:pPr>
              <w:spacing w:after="0" w:line="240" w:lineRule="auto"/>
              <w:jc w:val="center"/>
              <w:rPr>
                <w:rFonts w:cs="Times New Roman"/>
                <w:sz w:val="22"/>
              </w:rPr>
            </w:pPr>
            <w:r w:rsidRPr="007C3DC9">
              <w:rPr>
                <w:rFonts w:cs="Times New Roman"/>
                <w:sz w:val="22"/>
              </w:rPr>
              <w:t>0.53</w:t>
            </w:r>
            <w:r w:rsidRPr="007C3DC9">
              <w:rPr>
                <w:rFonts w:cs="Times New Roman"/>
                <w:sz w:val="22"/>
                <w:vertAlign w:val="superscript"/>
              </w:rPr>
              <w:t>a</w:t>
            </w:r>
            <w:r w:rsidRPr="007C3DC9">
              <w:rPr>
                <w:rFonts w:cs="Times New Roman"/>
                <w:sz w:val="22"/>
              </w:rPr>
              <w:t xml:space="preserve"> ± 0.03</w:t>
            </w:r>
          </w:p>
        </w:tc>
        <w:tc>
          <w:tcPr>
            <w:tcW w:w="2590" w:type="dxa"/>
          </w:tcPr>
          <w:p w14:paraId="35EC2B03" w14:textId="77777777" w:rsidR="00856436" w:rsidRPr="007C3DC9" w:rsidRDefault="00BB2C01" w:rsidP="00856436">
            <w:pPr>
              <w:spacing w:after="0" w:line="240" w:lineRule="auto"/>
              <w:jc w:val="center"/>
              <w:rPr>
                <w:rFonts w:cs="Times New Roman"/>
                <w:sz w:val="22"/>
              </w:rPr>
            </w:pPr>
            <w:r w:rsidRPr="007C3DC9">
              <w:rPr>
                <w:rFonts w:cs="Times New Roman"/>
                <w:sz w:val="22"/>
              </w:rPr>
              <w:t>23.8</w:t>
            </w:r>
            <w:r w:rsidRPr="007C3DC9">
              <w:rPr>
                <w:rFonts w:cs="Times New Roman"/>
                <w:sz w:val="22"/>
                <w:vertAlign w:val="superscript"/>
              </w:rPr>
              <w:t>a</w:t>
            </w:r>
            <w:r w:rsidRPr="007C3DC9">
              <w:rPr>
                <w:rFonts w:cs="Times New Roman"/>
                <w:sz w:val="22"/>
              </w:rPr>
              <w:t xml:space="preserve"> ± 3.8 </w:t>
            </w:r>
          </w:p>
          <w:p w14:paraId="6E44D24C" w14:textId="403AF286" w:rsidR="00BB2C01" w:rsidRPr="007C3DC9" w:rsidRDefault="00BB2C01" w:rsidP="00856436">
            <w:pPr>
              <w:spacing w:after="0" w:line="240" w:lineRule="auto"/>
              <w:jc w:val="center"/>
              <w:rPr>
                <w:rFonts w:cs="Times New Roman"/>
                <w:sz w:val="22"/>
              </w:rPr>
            </w:pPr>
            <w:r w:rsidRPr="007C3DC9">
              <w:rPr>
                <w:rFonts w:cs="Times New Roman"/>
                <w:sz w:val="22"/>
              </w:rPr>
              <w:t>(-22%)</w:t>
            </w:r>
          </w:p>
        </w:tc>
        <w:tc>
          <w:tcPr>
            <w:tcW w:w="2590" w:type="dxa"/>
          </w:tcPr>
          <w:p w14:paraId="6F36FAFF" w14:textId="77777777" w:rsidR="00856436" w:rsidRPr="007C3DC9" w:rsidRDefault="00BB2C01" w:rsidP="00856436">
            <w:pPr>
              <w:spacing w:after="0" w:line="240" w:lineRule="auto"/>
              <w:jc w:val="center"/>
              <w:rPr>
                <w:rFonts w:cs="Times New Roman"/>
                <w:sz w:val="22"/>
              </w:rPr>
            </w:pPr>
            <w:r w:rsidRPr="007C3DC9">
              <w:rPr>
                <w:rFonts w:cs="Times New Roman"/>
                <w:sz w:val="22"/>
              </w:rPr>
              <w:t>1.52</w:t>
            </w:r>
            <w:r w:rsidRPr="007C3DC9">
              <w:rPr>
                <w:rFonts w:cs="Times New Roman"/>
                <w:sz w:val="22"/>
                <w:vertAlign w:val="superscript"/>
              </w:rPr>
              <w:t>a</w:t>
            </w:r>
            <w:r w:rsidRPr="007C3DC9">
              <w:rPr>
                <w:rFonts w:cs="Times New Roman"/>
                <w:sz w:val="22"/>
              </w:rPr>
              <w:t xml:space="preserve"> ±0.24 </w:t>
            </w:r>
          </w:p>
          <w:p w14:paraId="61449C80" w14:textId="2B47EC5E" w:rsidR="00BB2C01" w:rsidRPr="007C3DC9" w:rsidRDefault="00BB2C01" w:rsidP="00856436">
            <w:pPr>
              <w:spacing w:after="0" w:line="240" w:lineRule="auto"/>
              <w:jc w:val="center"/>
              <w:rPr>
                <w:rFonts w:cs="Times New Roman"/>
                <w:sz w:val="22"/>
              </w:rPr>
            </w:pPr>
            <w:r w:rsidRPr="007C3DC9">
              <w:rPr>
                <w:rFonts w:cs="Times New Roman"/>
                <w:sz w:val="22"/>
              </w:rPr>
              <w:t>(-24%)</w:t>
            </w:r>
          </w:p>
        </w:tc>
      </w:tr>
      <w:tr w:rsidR="00BB2C01" w:rsidRPr="007C3DC9" w14:paraId="03109663" w14:textId="77777777" w:rsidTr="001A1CC8">
        <w:tc>
          <w:tcPr>
            <w:tcW w:w="2695" w:type="dxa"/>
          </w:tcPr>
          <w:p w14:paraId="5BB1BCA3" w14:textId="77777777" w:rsidR="00856436" w:rsidRPr="007C3DC9" w:rsidRDefault="00BB2C01" w:rsidP="007C3DC9">
            <w:pPr>
              <w:spacing w:after="0" w:line="240" w:lineRule="auto"/>
              <w:jc w:val="left"/>
              <w:rPr>
                <w:rFonts w:cs="Times New Roman"/>
                <w:sz w:val="22"/>
              </w:rPr>
            </w:pPr>
            <w:r w:rsidRPr="007C3DC9">
              <w:rPr>
                <w:rFonts w:cs="Times New Roman"/>
                <w:sz w:val="22"/>
              </w:rPr>
              <w:t>Millet porridge+Baobab</w:t>
            </w:r>
          </w:p>
          <w:p w14:paraId="25BA0872" w14:textId="4C9EB2B6" w:rsidR="00BB2C01" w:rsidRPr="007C3DC9" w:rsidRDefault="00BB2C01" w:rsidP="007C3DC9">
            <w:pPr>
              <w:spacing w:after="0" w:line="240" w:lineRule="auto"/>
              <w:jc w:val="left"/>
              <w:rPr>
                <w:rFonts w:cs="Times New Roman"/>
                <w:sz w:val="22"/>
              </w:rPr>
            </w:pPr>
            <w:r w:rsidRPr="007C3DC9">
              <w:rPr>
                <w:rFonts w:cs="Times New Roman"/>
                <w:sz w:val="22"/>
              </w:rPr>
              <w:t>+Moringa (100:15:15)</w:t>
            </w:r>
          </w:p>
        </w:tc>
        <w:tc>
          <w:tcPr>
            <w:tcW w:w="2485" w:type="dxa"/>
          </w:tcPr>
          <w:p w14:paraId="6CE2C1D2" w14:textId="77777777" w:rsidR="00BB2C01" w:rsidRPr="007C3DC9" w:rsidRDefault="00BB2C01" w:rsidP="00856436">
            <w:pPr>
              <w:spacing w:after="0" w:line="240" w:lineRule="auto"/>
              <w:jc w:val="center"/>
              <w:rPr>
                <w:rFonts w:cs="Times New Roman"/>
                <w:sz w:val="22"/>
              </w:rPr>
            </w:pPr>
            <w:r w:rsidRPr="007C3DC9">
              <w:rPr>
                <w:rFonts w:cs="Times New Roman"/>
                <w:sz w:val="22"/>
              </w:rPr>
              <w:t>6.07</w:t>
            </w:r>
            <w:r w:rsidRPr="007C3DC9">
              <w:rPr>
                <w:rFonts w:cs="Times New Roman"/>
                <w:sz w:val="22"/>
                <w:vertAlign w:val="superscript"/>
              </w:rPr>
              <w:t xml:space="preserve"> ab</w:t>
            </w:r>
            <w:r w:rsidRPr="007C3DC9">
              <w:rPr>
                <w:rFonts w:cs="Times New Roman"/>
                <w:sz w:val="22"/>
              </w:rPr>
              <w:t xml:space="preserve"> ± 0.44</w:t>
            </w:r>
          </w:p>
        </w:tc>
        <w:tc>
          <w:tcPr>
            <w:tcW w:w="2590" w:type="dxa"/>
          </w:tcPr>
          <w:p w14:paraId="52328F46" w14:textId="77777777" w:rsidR="00BB2C01" w:rsidRPr="007C3DC9" w:rsidRDefault="00BB2C01" w:rsidP="00856436">
            <w:pPr>
              <w:spacing w:after="0" w:line="240" w:lineRule="auto"/>
              <w:jc w:val="center"/>
              <w:rPr>
                <w:rFonts w:cs="Times New Roman"/>
                <w:sz w:val="22"/>
              </w:rPr>
            </w:pPr>
            <w:r w:rsidRPr="007C3DC9">
              <w:rPr>
                <w:rFonts w:cs="Times New Roman"/>
                <w:sz w:val="22"/>
              </w:rPr>
              <w:t>0.60</w:t>
            </w:r>
            <w:r w:rsidRPr="007C3DC9">
              <w:rPr>
                <w:rFonts w:cs="Times New Roman"/>
                <w:sz w:val="22"/>
                <w:vertAlign w:val="superscript"/>
              </w:rPr>
              <w:t>a</w:t>
            </w:r>
            <w:r w:rsidRPr="007C3DC9">
              <w:rPr>
                <w:rFonts w:cs="Times New Roman"/>
                <w:sz w:val="22"/>
              </w:rPr>
              <w:t xml:space="preserve"> ± 0.04</w:t>
            </w:r>
          </w:p>
        </w:tc>
        <w:tc>
          <w:tcPr>
            <w:tcW w:w="2590" w:type="dxa"/>
          </w:tcPr>
          <w:p w14:paraId="78AF3F2D" w14:textId="77777777" w:rsidR="00BB2C01" w:rsidRPr="007C3DC9" w:rsidRDefault="00BB2C01" w:rsidP="00856436">
            <w:pPr>
              <w:spacing w:after="0" w:line="240" w:lineRule="auto"/>
              <w:jc w:val="center"/>
              <w:rPr>
                <w:rFonts w:cs="Times New Roman"/>
                <w:sz w:val="22"/>
              </w:rPr>
            </w:pPr>
            <w:r w:rsidRPr="007C3DC9">
              <w:rPr>
                <w:rFonts w:cs="Times New Roman"/>
                <w:sz w:val="22"/>
              </w:rPr>
              <w:t>31.7</w:t>
            </w:r>
            <w:r w:rsidRPr="007C3DC9">
              <w:rPr>
                <w:rFonts w:cs="Times New Roman"/>
                <w:sz w:val="22"/>
                <w:vertAlign w:val="superscript"/>
              </w:rPr>
              <w:t>bc</w:t>
            </w:r>
            <w:r w:rsidRPr="007C3DC9">
              <w:rPr>
                <w:rFonts w:cs="Times New Roman"/>
                <w:sz w:val="22"/>
              </w:rPr>
              <w:t xml:space="preserve"> ± 2.2</w:t>
            </w:r>
          </w:p>
        </w:tc>
        <w:tc>
          <w:tcPr>
            <w:tcW w:w="2590" w:type="dxa"/>
          </w:tcPr>
          <w:p w14:paraId="76179DE0" w14:textId="77777777" w:rsidR="00BB2C01" w:rsidRPr="007C3DC9" w:rsidRDefault="00BB2C01" w:rsidP="00856436">
            <w:pPr>
              <w:spacing w:after="0" w:line="240" w:lineRule="auto"/>
              <w:jc w:val="center"/>
              <w:rPr>
                <w:rFonts w:cs="Times New Roman"/>
                <w:sz w:val="22"/>
              </w:rPr>
            </w:pPr>
            <w:r w:rsidRPr="007C3DC9">
              <w:rPr>
                <w:rFonts w:cs="Times New Roman"/>
                <w:sz w:val="22"/>
              </w:rPr>
              <w:t>1.87</w:t>
            </w:r>
            <w:r w:rsidRPr="007C3DC9">
              <w:rPr>
                <w:rFonts w:cs="Times New Roman"/>
                <w:sz w:val="22"/>
                <w:vertAlign w:val="superscript"/>
              </w:rPr>
              <w:t>ab</w:t>
            </w:r>
            <w:r w:rsidRPr="007C3DC9">
              <w:rPr>
                <w:rFonts w:cs="Times New Roman"/>
                <w:sz w:val="22"/>
              </w:rPr>
              <w:t xml:space="preserve"> ± 0.13</w:t>
            </w:r>
          </w:p>
        </w:tc>
      </w:tr>
      <w:tr w:rsidR="00BB2C01" w:rsidRPr="007C3DC9" w14:paraId="0551A914" w14:textId="77777777" w:rsidTr="001A1CC8">
        <w:tc>
          <w:tcPr>
            <w:tcW w:w="2695" w:type="dxa"/>
          </w:tcPr>
          <w:p w14:paraId="7F3ACB14" w14:textId="77777777" w:rsidR="00856436" w:rsidRPr="007C3DC9" w:rsidRDefault="00BB2C01" w:rsidP="007C3DC9">
            <w:pPr>
              <w:spacing w:after="0" w:line="240" w:lineRule="auto"/>
              <w:jc w:val="left"/>
              <w:rPr>
                <w:rFonts w:cs="Times New Roman"/>
                <w:sz w:val="22"/>
              </w:rPr>
            </w:pPr>
            <w:r w:rsidRPr="007C3DC9">
              <w:rPr>
                <w:rFonts w:cs="Times New Roman"/>
                <w:sz w:val="22"/>
              </w:rPr>
              <w:t>Millet porridge</w:t>
            </w:r>
          </w:p>
          <w:p w14:paraId="2E65F8C2" w14:textId="0D8DABBD" w:rsidR="00BB2C01" w:rsidRPr="007C3DC9" w:rsidRDefault="00BB2C01" w:rsidP="007C3DC9">
            <w:pPr>
              <w:spacing w:after="0" w:line="240" w:lineRule="auto"/>
              <w:jc w:val="left"/>
              <w:rPr>
                <w:rFonts w:cs="Times New Roman"/>
                <w:sz w:val="22"/>
              </w:rPr>
            </w:pPr>
            <w:r w:rsidRPr="007C3DC9">
              <w:rPr>
                <w:rFonts w:cs="Times New Roman"/>
                <w:sz w:val="22"/>
              </w:rPr>
              <w:t>+Ascorbic acid</w:t>
            </w:r>
            <w:r w:rsidRPr="007C3DC9">
              <w:rPr>
                <w:rFonts w:cs="Times New Roman"/>
                <w:sz w:val="22"/>
                <w:vertAlign w:val="superscript"/>
              </w:rPr>
              <w:t>4</w:t>
            </w:r>
          </w:p>
        </w:tc>
        <w:tc>
          <w:tcPr>
            <w:tcW w:w="2485" w:type="dxa"/>
          </w:tcPr>
          <w:p w14:paraId="1904E513" w14:textId="77777777" w:rsidR="00BB2C01" w:rsidRPr="007C3DC9" w:rsidRDefault="00BB2C01" w:rsidP="00856436">
            <w:pPr>
              <w:spacing w:after="0" w:line="240" w:lineRule="auto"/>
              <w:jc w:val="center"/>
              <w:rPr>
                <w:rFonts w:cs="Times New Roman"/>
                <w:sz w:val="22"/>
              </w:rPr>
            </w:pPr>
            <w:r w:rsidRPr="007C3DC9">
              <w:rPr>
                <w:rFonts w:cs="Times New Roman"/>
                <w:sz w:val="22"/>
              </w:rPr>
              <w:t>7.53</w:t>
            </w:r>
            <w:r w:rsidRPr="007C3DC9">
              <w:rPr>
                <w:rFonts w:cs="Times New Roman"/>
                <w:sz w:val="22"/>
                <w:vertAlign w:val="superscript"/>
              </w:rPr>
              <w:t>bc</w:t>
            </w:r>
            <w:r w:rsidRPr="007C3DC9">
              <w:rPr>
                <w:rFonts w:cs="Times New Roman"/>
                <w:sz w:val="22"/>
              </w:rPr>
              <w:t xml:space="preserve"> ± 0.35</w:t>
            </w:r>
          </w:p>
        </w:tc>
        <w:tc>
          <w:tcPr>
            <w:tcW w:w="2590" w:type="dxa"/>
          </w:tcPr>
          <w:p w14:paraId="6BD4D607" w14:textId="77777777" w:rsidR="00BB2C01" w:rsidRPr="007C3DC9" w:rsidRDefault="00BB2C01" w:rsidP="00856436">
            <w:pPr>
              <w:spacing w:after="0" w:line="240" w:lineRule="auto"/>
              <w:jc w:val="center"/>
              <w:rPr>
                <w:rFonts w:cs="Times New Roman"/>
                <w:sz w:val="22"/>
              </w:rPr>
            </w:pPr>
            <w:r w:rsidRPr="007C3DC9">
              <w:rPr>
                <w:rFonts w:cs="Times New Roman"/>
                <w:sz w:val="22"/>
              </w:rPr>
              <w:t>0.68</w:t>
            </w:r>
            <w:r w:rsidRPr="007C3DC9">
              <w:rPr>
                <w:rFonts w:cs="Times New Roman"/>
                <w:sz w:val="22"/>
                <w:vertAlign w:val="superscript"/>
              </w:rPr>
              <w:t>ab</w:t>
            </w:r>
            <w:r w:rsidRPr="007C3DC9">
              <w:rPr>
                <w:rFonts w:cs="Times New Roman"/>
                <w:sz w:val="22"/>
              </w:rPr>
              <w:t xml:space="preserve"> ± 0.03</w:t>
            </w:r>
          </w:p>
        </w:tc>
        <w:tc>
          <w:tcPr>
            <w:tcW w:w="2590" w:type="dxa"/>
          </w:tcPr>
          <w:p w14:paraId="5F23B95C" w14:textId="77777777" w:rsidR="00BB2C01" w:rsidRPr="007C3DC9" w:rsidRDefault="00BB2C01" w:rsidP="00856436">
            <w:pPr>
              <w:spacing w:after="0" w:line="240" w:lineRule="auto"/>
              <w:jc w:val="center"/>
              <w:rPr>
                <w:rFonts w:cs="Times New Roman"/>
                <w:sz w:val="22"/>
              </w:rPr>
            </w:pPr>
            <w:r w:rsidRPr="007C3DC9">
              <w:rPr>
                <w:rFonts w:cs="Times New Roman"/>
                <w:sz w:val="22"/>
              </w:rPr>
              <w:t>27.5</w:t>
            </w:r>
            <w:r w:rsidRPr="007C3DC9">
              <w:rPr>
                <w:rFonts w:cs="Times New Roman"/>
                <w:sz w:val="22"/>
                <w:vertAlign w:val="superscript"/>
              </w:rPr>
              <w:t>ab</w:t>
            </w:r>
            <w:r w:rsidRPr="007C3DC9">
              <w:rPr>
                <w:rFonts w:cs="Times New Roman"/>
                <w:sz w:val="22"/>
              </w:rPr>
              <w:t xml:space="preserve"> ± 2.7</w:t>
            </w:r>
          </w:p>
        </w:tc>
        <w:tc>
          <w:tcPr>
            <w:tcW w:w="2590" w:type="dxa"/>
          </w:tcPr>
          <w:p w14:paraId="788AF122" w14:textId="77777777" w:rsidR="00BB2C01" w:rsidRPr="007C3DC9" w:rsidRDefault="00BB2C01" w:rsidP="00856436">
            <w:pPr>
              <w:spacing w:after="0" w:line="240" w:lineRule="auto"/>
              <w:jc w:val="center"/>
              <w:rPr>
                <w:rFonts w:cs="Times New Roman"/>
                <w:sz w:val="22"/>
              </w:rPr>
            </w:pPr>
            <w:r w:rsidRPr="007C3DC9">
              <w:rPr>
                <w:rFonts w:cs="Times New Roman"/>
                <w:sz w:val="22"/>
              </w:rPr>
              <w:t>1.81</w:t>
            </w:r>
            <w:r w:rsidRPr="007C3DC9">
              <w:rPr>
                <w:rFonts w:cs="Times New Roman"/>
                <w:sz w:val="22"/>
                <w:vertAlign w:val="superscript"/>
              </w:rPr>
              <w:t>ab</w:t>
            </w:r>
            <w:r w:rsidRPr="007C3DC9">
              <w:rPr>
                <w:rFonts w:cs="Times New Roman"/>
                <w:sz w:val="22"/>
              </w:rPr>
              <w:t xml:space="preserve"> ± 0.18</w:t>
            </w:r>
          </w:p>
        </w:tc>
      </w:tr>
      <w:tr w:rsidR="00BB2C01" w:rsidRPr="007C3DC9" w14:paraId="5BB1602F" w14:textId="77777777" w:rsidTr="001A1CC8">
        <w:tc>
          <w:tcPr>
            <w:tcW w:w="2695" w:type="dxa"/>
          </w:tcPr>
          <w:p w14:paraId="0F0233AD" w14:textId="77777777" w:rsidR="00856436" w:rsidRPr="007C3DC9" w:rsidRDefault="00BB2C01" w:rsidP="007C3DC9">
            <w:pPr>
              <w:spacing w:after="0" w:line="240" w:lineRule="auto"/>
              <w:jc w:val="left"/>
              <w:rPr>
                <w:rFonts w:cs="Times New Roman"/>
                <w:sz w:val="22"/>
              </w:rPr>
            </w:pPr>
            <w:r w:rsidRPr="007C3DC9">
              <w:rPr>
                <w:rFonts w:cs="Times New Roman"/>
                <w:sz w:val="22"/>
              </w:rPr>
              <w:t>Millet porridge</w:t>
            </w:r>
          </w:p>
          <w:p w14:paraId="28D02455" w14:textId="6285284C" w:rsidR="00BB2C01" w:rsidRPr="007C3DC9" w:rsidRDefault="00BB2C01" w:rsidP="007C3DC9">
            <w:pPr>
              <w:spacing w:after="0" w:line="240" w:lineRule="auto"/>
              <w:jc w:val="left"/>
              <w:rPr>
                <w:rFonts w:cs="Times New Roman"/>
                <w:sz w:val="22"/>
              </w:rPr>
            </w:pPr>
            <w:r w:rsidRPr="007C3DC9">
              <w:rPr>
                <w:rFonts w:cs="Times New Roman"/>
                <w:sz w:val="22"/>
              </w:rPr>
              <w:t>+Citric acid</w:t>
            </w:r>
            <w:r w:rsidRPr="007C3DC9">
              <w:rPr>
                <w:rFonts w:cs="Times New Roman"/>
                <w:sz w:val="22"/>
                <w:vertAlign w:val="superscript"/>
              </w:rPr>
              <w:t>4</w:t>
            </w:r>
          </w:p>
        </w:tc>
        <w:tc>
          <w:tcPr>
            <w:tcW w:w="2485" w:type="dxa"/>
          </w:tcPr>
          <w:p w14:paraId="2FF76B2A" w14:textId="77777777" w:rsidR="00856436" w:rsidRPr="007C3DC9" w:rsidRDefault="00BB2C01" w:rsidP="00856436">
            <w:pPr>
              <w:spacing w:after="0" w:line="240" w:lineRule="auto"/>
              <w:jc w:val="center"/>
              <w:rPr>
                <w:rFonts w:cs="Times New Roman"/>
                <w:sz w:val="22"/>
              </w:rPr>
            </w:pPr>
            <w:r w:rsidRPr="007C3DC9">
              <w:rPr>
                <w:rFonts w:cs="Times New Roman"/>
                <w:sz w:val="22"/>
              </w:rPr>
              <w:t>10.11</w:t>
            </w:r>
            <w:r w:rsidRPr="007C3DC9">
              <w:rPr>
                <w:rFonts w:cs="Times New Roman"/>
                <w:sz w:val="22"/>
                <w:vertAlign w:val="superscript"/>
              </w:rPr>
              <w:t>d</w:t>
            </w:r>
            <w:r w:rsidRPr="007C3DC9">
              <w:rPr>
                <w:rFonts w:cs="Times New Roman"/>
                <w:sz w:val="22"/>
              </w:rPr>
              <w:t xml:space="preserve"> ± 1.40 </w:t>
            </w:r>
          </w:p>
          <w:p w14:paraId="540E8FF8" w14:textId="41D6F350" w:rsidR="00BB2C01" w:rsidRPr="007C3DC9" w:rsidRDefault="00BB2C01" w:rsidP="00856436">
            <w:pPr>
              <w:spacing w:after="0" w:line="240" w:lineRule="auto"/>
              <w:jc w:val="center"/>
              <w:rPr>
                <w:rFonts w:cs="Times New Roman"/>
                <w:sz w:val="22"/>
              </w:rPr>
            </w:pPr>
            <w:r w:rsidRPr="007C3DC9">
              <w:rPr>
                <w:rFonts w:cs="Times New Roman"/>
                <w:sz w:val="22"/>
              </w:rPr>
              <w:t>(52%)</w:t>
            </w:r>
          </w:p>
        </w:tc>
        <w:tc>
          <w:tcPr>
            <w:tcW w:w="2590" w:type="dxa"/>
          </w:tcPr>
          <w:p w14:paraId="6E4121B8" w14:textId="77777777" w:rsidR="00856436" w:rsidRPr="007C3DC9" w:rsidRDefault="00BB2C01" w:rsidP="00856436">
            <w:pPr>
              <w:spacing w:after="0" w:line="240" w:lineRule="auto"/>
              <w:jc w:val="center"/>
              <w:rPr>
                <w:rFonts w:cs="Times New Roman"/>
                <w:sz w:val="22"/>
              </w:rPr>
            </w:pPr>
            <w:r w:rsidRPr="007C3DC9">
              <w:rPr>
                <w:rFonts w:cs="Times New Roman"/>
                <w:sz w:val="22"/>
              </w:rPr>
              <w:t>0.91</w:t>
            </w:r>
            <w:r w:rsidRPr="007C3DC9">
              <w:rPr>
                <w:rFonts w:cs="Times New Roman"/>
                <w:sz w:val="22"/>
                <w:vertAlign w:val="superscript"/>
              </w:rPr>
              <w:t>c</w:t>
            </w:r>
            <w:r w:rsidRPr="007C3DC9">
              <w:rPr>
                <w:rFonts w:cs="Times New Roman"/>
                <w:sz w:val="22"/>
              </w:rPr>
              <w:t xml:space="preserve"> ± 0.13 </w:t>
            </w:r>
          </w:p>
          <w:p w14:paraId="4DB5F4AF" w14:textId="53B791FE" w:rsidR="00BB2C01" w:rsidRPr="007C3DC9" w:rsidRDefault="00BB2C01" w:rsidP="00856436">
            <w:pPr>
              <w:spacing w:after="0" w:line="240" w:lineRule="auto"/>
              <w:jc w:val="center"/>
              <w:rPr>
                <w:rFonts w:cs="Times New Roman"/>
                <w:sz w:val="22"/>
              </w:rPr>
            </w:pPr>
            <w:r w:rsidRPr="007C3DC9">
              <w:rPr>
                <w:rFonts w:cs="Times New Roman"/>
                <w:sz w:val="22"/>
              </w:rPr>
              <w:t>(52%)</w:t>
            </w:r>
          </w:p>
        </w:tc>
        <w:tc>
          <w:tcPr>
            <w:tcW w:w="2590" w:type="dxa"/>
          </w:tcPr>
          <w:p w14:paraId="4468AABE" w14:textId="77777777" w:rsidR="00856436" w:rsidRPr="007C3DC9" w:rsidRDefault="00BB2C01" w:rsidP="00856436">
            <w:pPr>
              <w:spacing w:after="0" w:line="240" w:lineRule="auto"/>
              <w:jc w:val="center"/>
              <w:rPr>
                <w:rFonts w:cs="Times New Roman"/>
                <w:sz w:val="22"/>
              </w:rPr>
            </w:pPr>
            <w:r w:rsidRPr="007C3DC9">
              <w:rPr>
                <w:rFonts w:cs="Times New Roman"/>
                <w:sz w:val="22"/>
              </w:rPr>
              <w:t>35.8</w:t>
            </w:r>
            <w:r w:rsidRPr="007C3DC9">
              <w:rPr>
                <w:rFonts w:cs="Times New Roman"/>
                <w:sz w:val="22"/>
                <w:vertAlign w:val="superscript"/>
              </w:rPr>
              <w:t>c</w:t>
            </w:r>
            <w:r w:rsidRPr="007C3DC9">
              <w:rPr>
                <w:rFonts w:cs="Times New Roman"/>
                <w:sz w:val="22"/>
              </w:rPr>
              <w:t xml:space="preserve"> ± 1.8 </w:t>
            </w:r>
          </w:p>
          <w:p w14:paraId="5878C460" w14:textId="7E6B2352" w:rsidR="00BB2C01" w:rsidRPr="007C3DC9" w:rsidRDefault="00BB2C01" w:rsidP="00856436">
            <w:pPr>
              <w:spacing w:after="0" w:line="240" w:lineRule="auto"/>
              <w:jc w:val="center"/>
              <w:rPr>
                <w:rFonts w:cs="Times New Roman"/>
                <w:sz w:val="22"/>
              </w:rPr>
            </w:pPr>
            <w:r w:rsidRPr="007C3DC9">
              <w:rPr>
                <w:rFonts w:cs="Times New Roman"/>
                <w:sz w:val="22"/>
              </w:rPr>
              <w:t>(17%)</w:t>
            </w:r>
          </w:p>
        </w:tc>
        <w:tc>
          <w:tcPr>
            <w:tcW w:w="2590" w:type="dxa"/>
          </w:tcPr>
          <w:p w14:paraId="1BFF49C7" w14:textId="77777777" w:rsidR="00856436" w:rsidRPr="007C3DC9" w:rsidRDefault="00BB2C01" w:rsidP="00856436">
            <w:pPr>
              <w:spacing w:after="0" w:line="240" w:lineRule="auto"/>
              <w:jc w:val="center"/>
              <w:rPr>
                <w:rFonts w:cs="Times New Roman"/>
                <w:sz w:val="22"/>
              </w:rPr>
            </w:pPr>
            <w:r w:rsidRPr="007C3DC9">
              <w:rPr>
                <w:rFonts w:cs="Times New Roman"/>
                <w:sz w:val="22"/>
              </w:rPr>
              <w:t>2.36</w:t>
            </w:r>
            <w:r w:rsidRPr="007C3DC9">
              <w:rPr>
                <w:rFonts w:cs="Times New Roman"/>
                <w:sz w:val="22"/>
                <w:vertAlign w:val="superscript"/>
              </w:rPr>
              <w:t>c</w:t>
            </w:r>
            <w:r w:rsidRPr="007C3DC9">
              <w:rPr>
                <w:rFonts w:cs="Times New Roman"/>
                <w:sz w:val="22"/>
              </w:rPr>
              <w:t xml:space="preserve"> ± 0.12 </w:t>
            </w:r>
          </w:p>
          <w:p w14:paraId="2C1278CF" w14:textId="2BBE1303" w:rsidR="00BB2C01" w:rsidRPr="007C3DC9" w:rsidRDefault="00BB2C01" w:rsidP="00856436">
            <w:pPr>
              <w:spacing w:after="0" w:line="240" w:lineRule="auto"/>
              <w:jc w:val="center"/>
              <w:rPr>
                <w:rFonts w:cs="Times New Roman"/>
                <w:sz w:val="22"/>
              </w:rPr>
            </w:pPr>
            <w:r w:rsidRPr="007C3DC9">
              <w:rPr>
                <w:rFonts w:cs="Times New Roman"/>
                <w:sz w:val="22"/>
              </w:rPr>
              <w:t>(17%)</w:t>
            </w:r>
          </w:p>
        </w:tc>
      </w:tr>
    </w:tbl>
    <w:p w14:paraId="54763262" w14:textId="77777777" w:rsidR="00856436" w:rsidRPr="008D7F06" w:rsidRDefault="00BB2C01" w:rsidP="008D7F06">
      <w:pPr>
        <w:spacing w:before="240" w:after="0" w:line="240" w:lineRule="auto"/>
        <w:rPr>
          <w:sz w:val="20"/>
          <w:szCs w:val="20"/>
        </w:rPr>
      </w:pPr>
      <w:r w:rsidRPr="008D7F06">
        <w:rPr>
          <w:sz w:val="20"/>
          <w:szCs w:val="20"/>
          <w:vertAlign w:val="superscript"/>
        </w:rPr>
        <w:t>1</w:t>
      </w:r>
      <w:r w:rsidRPr="008D7F06">
        <w:rPr>
          <w:sz w:val="20"/>
          <w:szCs w:val="20"/>
        </w:rPr>
        <w:t xml:space="preserve">Values are the means ± 1 SD of two completely independent dialysability experiments, with the intestinal step being each time performed in triplicate </w:t>
      </w:r>
    </w:p>
    <w:p w14:paraId="450BAABE" w14:textId="6C677B58" w:rsidR="00BB2C01" w:rsidRPr="004152C4" w:rsidRDefault="00BB2C01" w:rsidP="00856436">
      <w:pPr>
        <w:spacing w:after="0" w:line="240" w:lineRule="auto"/>
        <w:rPr>
          <w:sz w:val="22"/>
        </w:rPr>
      </w:pPr>
      <w:r w:rsidRPr="008D7F06">
        <w:rPr>
          <w:sz w:val="20"/>
          <w:szCs w:val="20"/>
        </w:rPr>
        <w:t>(n = 6)</w:t>
      </w:r>
      <w:r w:rsidR="00856436" w:rsidRPr="008D7F06">
        <w:rPr>
          <w:sz w:val="20"/>
          <w:szCs w:val="20"/>
        </w:rPr>
        <w:t xml:space="preserve">, </w:t>
      </w:r>
      <w:r w:rsidRPr="008D7F06">
        <w:rPr>
          <w:sz w:val="20"/>
          <w:szCs w:val="20"/>
          <w:vertAlign w:val="superscript"/>
        </w:rPr>
        <w:t>2</w:t>
      </w:r>
      <w:r w:rsidRPr="008D7F06">
        <w:rPr>
          <w:sz w:val="20"/>
          <w:szCs w:val="20"/>
        </w:rPr>
        <w:t>Means with different superscripts letters in a column differ significantly (</w:t>
      </w:r>
      <w:r w:rsidRPr="00843E4B">
        <w:rPr>
          <w:i/>
          <w:iCs/>
          <w:sz w:val="20"/>
          <w:szCs w:val="20"/>
        </w:rPr>
        <w:t>p</w:t>
      </w:r>
      <w:r w:rsidRPr="008D7F06">
        <w:rPr>
          <w:sz w:val="20"/>
          <w:szCs w:val="20"/>
        </w:rPr>
        <w:t>&lt;0.05)</w:t>
      </w:r>
      <w:r w:rsidR="00856436" w:rsidRPr="008D7F06">
        <w:rPr>
          <w:sz w:val="20"/>
          <w:szCs w:val="20"/>
        </w:rPr>
        <w:t xml:space="preserve">, </w:t>
      </w:r>
      <w:r w:rsidRPr="008D7F06">
        <w:rPr>
          <w:sz w:val="20"/>
          <w:szCs w:val="20"/>
          <w:vertAlign w:val="superscript"/>
        </w:rPr>
        <w:t>3</w:t>
      </w:r>
      <w:r w:rsidRPr="008D7F06">
        <w:rPr>
          <w:sz w:val="20"/>
          <w:szCs w:val="20"/>
        </w:rPr>
        <w:t xml:space="preserve">Percentage difference in brackets is significantly different when compared to millet porridge alone </w:t>
      </w:r>
      <w:r w:rsidR="00F3680E" w:rsidRPr="008D7F06">
        <w:rPr>
          <w:sz w:val="20"/>
          <w:szCs w:val="20"/>
        </w:rPr>
        <w:t xml:space="preserve">with pairwise comparison test </w:t>
      </w:r>
      <w:r w:rsidRPr="008D7F06">
        <w:rPr>
          <w:sz w:val="20"/>
          <w:szCs w:val="20"/>
        </w:rPr>
        <w:t>using Fisher’s LSD test (</w:t>
      </w:r>
      <w:r w:rsidRPr="008D7F06">
        <w:rPr>
          <w:i/>
          <w:iCs/>
          <w:sz w:val="20"/>
          <w:szCs w:val="20"/>
        </w:rPr>
        <w:t>p</w:t>
      </w:r>
      <w:r w:rsidRPr="008D7F06">
        <w:rPr>
          <w:rFonts w:cs="Times New Roman"/>
          <w:sz w:val="20"/>
          <w:szCs w:val="20"/>
        </w:rPr>
        <w:t>&lt;</w:t>
      </w:r>
      <w:r w:rsidRPr="008D7F06">
        <w:rPr>
          <w:sz w:val="20"/>
          <w:szCs w:val="20"/>
        </w:rPr>
        <w:t>0.05)</w:t>
      </w:r>
      <w:r w:rsidR="00856436" w:rsidRPr="008D7F06">
        <w:rPr>
          <w:sz w:val="20"/>
          <w:szCs w:val="20"/>
        </w:rPr>
        <w:t xml:space="preserve">, </w:t>
      </w:r>
      <w:r w:rsidRPr="008D7F06">
        <w:rPr>
          <w:sz w:val="20"/>
          <w:szCs w:val="20"/>
          <w:vertAlign w:val="superscript"/>
        </w:rPr>
        <w:t>4</w:t>
      </w:r>
      <w:r w:rsidRPr="008D7F06">
        <w:rPr>
          <w:sz w:val="20"/>
          <w:szCs w:val="20"/>
        </w:rPr>
        <w:t>Quantities of ascorbic acid and citric acid used were equivalent to the levels in the baobab fruit powder</w:t>
      </w:r>
      <w:r w:rsidR="00856436" w:rsidRPr="008D7F06">
        <w:rPr>
          <w:sz w:val="20"/>
          <w:szCs w:val="20"/>
        </w:rPr>
        <w:t>.</w:t>
      </w:r>
    </w:p>
    <w:p w14:paraId="6087DA15" w14:textId="77777777" w:rsidR="00856436" w:rsidRDefault="00856436" w:rsidP="00B20675">
      <w:pPr>
        <w:spacing w:before="240"/>
        <w:rPr>
          <w:rFonts w:cs="Times New Roman"/>
          <w:szCs w:val="24"/>
        </w:rPr>
        <w:sectPr w:rsidR="00856436" w:rsidSect="00BB2C01">
          <w:pgSz w:w="16839" w:h="11907" w:orient="landscape" w:code="9"/>
          <w:pgMar w:top="1440" w:right="1440" w:bottom="1440" w:left="1440" w:header="720" w:footer="720" w:gutter="0"/>
          <w:cols w:space="720"/>
          <w:docGrid w:linePitch="360"/>
        </w:sectPr>
      </w:pPr>
    </w:p>
    <w:p w14:paraId="5874F96D" w14:textId="33EF4D71" w:rsidR="00EB1117" w:rsidRDefault="00956D9B" w:rsidP="009163EF">
      <w:r>
        <w:t xml:space="preserve">As </w:t>
      </w:r>
      <w:r w:rsidR="007B6AF6">
        <w:t>baobab</w:t>
      </w:r>
      <w:r>
        <w:t xml:space="preserve"> and </w:t>
      </w:r>
      <w:r w:rsidR="007B6AF6">
        <w:t>moringa</w:t>
      </w:r>
      <w:r>
        <w:t xml:space="preserve"> contained high </w:t>
      </w:r>
      <w:r w:rsidR="00856436">
        <w:t>amounts</w:t>
      </w:r>
      <w:r>
        <w:t xml:space="preserve"> of </w:t>
      </w:r>
      <w:r w:rsidR="007B6AF6">
        <w:t>total phenolics</w:t>
      </w:r>
      <w:r w:rsidR="00057D92">
        <w:t xml:space="preserve"> </w:t>
      </w:r>
      <w:r w:rsidR="00827438">
        <w:t>and tannins</w:t>
      </w:r>
      <w:r w:rsidR="007B6AF6">
        <w:t>, especially</w:t>
      </w:r>
      <w:r w:rsidR="00827438">
        <w:t xml:space="preserve"> </w:t>
      </w:r>
      <w:r w:rsidR="007B6AF6">
        <w:t>baobab</w:t>
      </w:r>
      <w:r w:rsidR="00AD262B">
        <w:t>,</w:t>
      </w:r>
      <w:r w:rsidR="00F15B5B">
        <w:t xml:space="preserve"> and </w:t>
      </w:r>
      <w:r>
        <w:t xml:space="preserve">significant </w:t>
      </w:r>
      <w:r w:rsidR="00856436">
        <w:t>amount</w:t>
      </w:r>
      <w:r w:rsidR="001A1CC8">
        <w:t>s</w:t>
      </w:r>
      <w:r>
        <w:t xml:space="preserve"> of phytate (</w:t>
      </w:r>
      <w:r w:rsidRPr="00B4098E">
        <w:t xml:space="preserve">Table </w:t>
      </w:r>
      <w:r w:rsidR="00B4098E" w:rsidRPr="00B4098E">
        <w:t>4.1.</w:t>
      </w:r>
      <w:r w:rsidR="00F15B5B" w:rsidRPr="00B4098E">
        <w:t>2</w:t>
      </w:r>
      <w:r w:rsidRPr="00B4098E">
        <w:t>)</w:t>
      </w:r>
      <w:r>
        <w:t>, the</w:t>
      </w:r>
      <w:r w:rsidR="00B51E54">
        <w:t xml:space="preserve"> presence of </w:t>
      </w:r>
      <w:r>
        <w:t xml:space="preserve">these </w:t>
      </w:r>
      <w:r w:rsidR="00390039" w:rsidRPr="006871D8">
        <w:t xml:space="preserve">antinutritional factors </w:t>
      </w:r>
      <w:r w:rsidR="007B6AF6">
        <w:t>likely</w:t>
      </w:r>
      <w:r w:rsidR="003D0D63" w:rsidRPr="006871D8">
        <w:t xml:space="preserve"> </w:t>
      </w:r>
      <w:r>
        <w:t>affected</w:t>
      </w:r>
      <w:r w:rsidR="003D0D63" w:rsidRPr="006871D8">
        <w:t xml:space="preserve"> iron bioaccessibility</w:t>
      </w:r>
      <w:r w:rsidR="00390039" w:rsidRPr="006871D8">
        <w:t>. F</w:t>
      </w:r>
      <w:r w:rsidR="003D0D63" w:rsidRPr="006871D8">
        <w:t>or example, the</w:t>
      </w:r>
      <w:r w:rsidR="00057D92">
        <w:t xml:space="preserve"> </w:t>
      </w:r>
      <w:r w:rsidR="003D0D63" w:rsidRPr="006871D8">
        <w:t>phytate:iron molar ratios for</w:t>
      </w:r>
      <w:r w:rsidR="00390039" w:rsidRPr="006871D8">
        <w:t xml:space="preserve"> the fo</w:t>
      </w:r>
      <w:r w:rsidR="003D0D63" w:rsidRPr="006871D8">
        <w:t xml:space="preserve">rmulations </w:t>
      </w:r>
      <w:r w:rsidR="001A1CC8">
        <w:t>fortified with both</w:t>
      </w:r>
      <w:r w:rsidR="00DC68B9">
        <w:t xml:space="preserve"> </w:t>
      </w:r>
      <w:r w:rsidR="007B6AF6">
        <w:t>baobab</w:t>
      </w:r>
      <w:r w:rsidR="00DC68B9">
        <w:t xml:space="preserve"> and</w:t>
      </w:r>
      <w:r w:rsidR="007B6AF6">
        <w:t xml:space="preserve"> moringa</w:t>
      </w:r>
      <w:r w:rsidR="00DC68B9">
        <w:t xml:space="preserve"> were </w:t>
      </w:r>
      <w:r w:rsidR="008310EF">
        <w:t xml:space="preserve">high, </w:t>
      </w:r>
      <w:r w:rsidR="00DC68B9">
        <w:t>in the range 10:1 to 12</w:t>
      </w:r>
      <w:r w:rsidR="003D0D63" w:rsidRPr="006871D8">
        <w:t>:1.</w:t>
      </w:r>
      <w:r w:rsidR="00057D92">
        <w:t xml:space="preserve"> </w:t>
      </w:r>
      <w:r w:rsidR="003D0D63" w:rsidRPr="006871D8">
        <w:t>I</w:t>
      </w:r>
      <w:r w:rsidR="00390039" w:rsidRPr="006871D8">
        <w:t xml:space="preserve">ron availability </w:t>
      </w:r>
      <w:r w:rsidR="004231F0">
        <w:t>can</w:t>
      </w:r>
      <w:r w:rsidR="00390039" w:rsidRPr="006871D8">
        <w:t xml:space="preserve"> be seriously impaired at phytate:iron molar ratios ≥1 (Hurrell, 2003). </w:t>
      </w:r>
      <w:r w:rsidR="00E02D3B">
        <w:t>A</w:t>
      </w:r>
      <w:r w:rsidR="00390039" w:rsidRPr="006871D8">
        <w:t xml:space="preserve">lthough </w:t>
      </w:r>
      <w:r w:rsidR="003D0D63" w:rsidRPr="006871D8">
        <w:t xml:space="preserve">the </w:t>
      </w:r>
      <w:r w:rsidR="00390039" w:rsidRPr="006871D8">
        <w:t xml:space="preserve">porridge formulations including </w:t>
      </w:r>
      <w:r w:rsidR="008310EF">
        <w:t>moringa</w:t>
      </w:r>
      <w:r w:rsidR="00390039" w:rsidRPr="006871D8">
        <w:t xml:space="preserve"> had the highest iron contents</w:t>
      </w:r>
      <w:r w:rsidR="003D0D63" w:rsidRPr="006871D8">
        <w:t xml:space="preserve"> (</w:t>
      </w:r>
      <w:r w:rsidR="003D0D63" w:rsidRPr="00B4098E">
        <w:t xml:space="preserve">Table </w:t>
      </w:r>
      <w:r w:rsidR="00B4098E" w:rsidRPr="00B4098E">
        <w:t>4.1.</w:t>
      </w:r>
      <w:r w:rsidR="003D0D63" w:rsidRPr="00B4098E">
        <w:t>1)</w:t>
      </w:r>
      <w:r w:rsidR="00390039" w:rsidRPr="006871D8">
        <w:t xml:space="preserve">, </w:t>
      </w:r>
      <w:r w:rsidR="003D0D63" w:rsidRPr="006871D8">
        <w:t xml:space="preserve">there was </w:t>
      </w:r>
      <w:r w:rsidR="00E4177D" w:rsidRPr="006871D8">
        <w:t xml:space="preserve">a </w:t>
      </w:r>
      <w:r>
        <w:t xml:space="preserve">significant </w:t>
      </w:r>
      <w:r w:rsidR="00E4177D" w:rsidRPr="006871D8">
        <w:t>reduction in % iron bioaccessibility (</w:t>
      </w:r>
      <w:r w:rsidR="007B6AF6">
        <w:t xml:space="preserve">by </w:t>
      </w:r>
      <w:r w:rsidR="00E4177D" w:rsidRPr="006871D8">
        <w:t xml:space="preserve">24% compared to </w:t>
      </w:r>
      <w:r w:rsidR="007B6AF6">
        <w:t>millet porridge</w:t>
      </w:r>
      <w:r w:rsidR="00E4177D" w:rsidRPr="006871D8">
        <w:t xml:space="preserve"> </w:t>
      </w:r>
      <w:r w:rsidR="00DC68B9">
        <w:t>only</w:t>
      </w:r>
      <w:r w:rsidR="008310EF">
        <w:t>)</w:t>
      </w:r>
      <w:r w:rsidR="00DC68B9">
        <w:t xml:space="preserve"> </w:t>
      </w:r>
      <w:r w:rsidR="00E4177D" w:rsidRPr="006871D8">
        <w:t>(Table 4</w:t>
      </w:r>
      <w:r w:rsidR="00B4098E">
        <w:t>.1.4</w:t>
      </w:r>
      <w:r w:rsidR="00E4177D" w:rsidRPr="006871D8">
        <w:t>). This</w:t>
      </w:r>
      <w:r w:rsidR="00DC68B9">
        <w:t xml:space="preserve"> could also have been </w:t>
      </w:r>
      <w:r>
        <w:t>due to</w:t>
      </w:r>
      <w:r w:rsidR="00DC68B9">
        <w:t xml:space="preserve"> its</w:t>
      </w:r>
      <w:r w:rsidR="00E4177D" w:rsidRPr="006871D8">
        <w:t xml:space="preserve"> high calcium content (Table </w:t>
      </w:r>
      <w:r w:rsidR="00B4098E">
        <w:t>4.1.</w:t>
      </w:r>
      <w:r w:rsidR="00E4177D" w:rsidRPr="006871D8">
        <w:t>1)</w:t>
      </w:r>
      <w:r>
        <w:t>,</w:t>
      </w:r>
      <w:r w:rsidR="00DC68B9">
        <w:t xml:space="preserve"> which was</w:t>
      </w:r>
      <w:r w:rsidR="00390039" w:rsidRPr="006871D8">
        <w:t xml:space="preserve"> more than 10 times higher than </w:t>
      </w:r>
      <w:r w:rsidR="00DC68B9">
        <w:t xml:space="preserve">the </w:t>
      </w:r>
      <w:r w:rsidR="00390039" w:rsidRPr="006871D8">
        <w:t xml:space="preserve">50 mg/100 g </w:t>
      </w:r>
      <w:r w:rsidR="00E4177D" w:rsidRPr="006871D8">
        <w:t>reported to inhibit non-haem</w:t>
      </w:r>
      <w:r w:rsidR="00390039" w:rsidRPr="006871D8">
        <w:t xml:space="preserve"> iron </w:t>
      </w:r>
      <w:r w:rsidR="00EB1117">
        <w:t xml:space="preserve">absorption </w:t>
      </w:r>
      <w:r w:rsidR="00390039" w:rsidRPr="006871D8">
        <w:t xml:space="preserve">in plant foods </w:t>
      </w:r>
      <w:r w:rsidR="008D7F06">
        <w:t>(</w:t>
      </w:r>
      <w:r w:rsidR="008D7F06" w:rsidRPr="00A967D7">
        <w:t xml:space="preserve">Hallberg </w:t>
      </w:r>
      <w:r w:rsidR="008D7F06">
        <w:t>&amp;</w:t>
      </w:r>
      <w:r w:rsidR="008D7F06" w:rsidRPr="00A967D7">
        <w:t xml:space="preserve"> </w:t>
      </w:r>
      <w:r w:rsidR="008D7F06" w:rsidRPr="00A967D7">
        <w:rPr>
          <w:shd w:val="clear" w:color="auto" w:fill="FFFFFF"/>
        </w:rPr>
        <w:t xml:space="preserve">Hulthén </w:t>
      </w:r>
      <w:r w:rsidR="008D7F06" w:rsidRPr="00A967D7">
        <w:t>2000</w:t>
      </w:r>
      <w:r w:rsidR="008D7F06">
        <w:t>)</w:t>
      </w:r>
      <w:r w:rsidR="00390039" w:rsidRPr="006871D8">
        <w:t>.</w:t>
      </w:r>
      <w:r w:rsidR="00057D92">
        <w:t xml:space="preserve"> </w:t>
      </w:r>
      <w:r w:rsidR="00C131F9">
        <w:t>Even though</w:t>
      </w:r>
      <w:r w:rsidR="00DC68B9">
        <w:t xml:space="preserve"> </w:t>
      </w:r>
      <w:r w:rsidR="007B6AF6">
        <w:t>baobab</w:t>
      </w:r>
      <w:r w:rsidR="00DC68B9">
        <w:t xml:space="preserve"> contained high levels of </w:t>
      </w:r>
      <w:r w:rsidR="007B6AF6">
        <w:t>total phenolics</w:t>
      </w:r>
      <w:r w:rsidR="00DC68B9">
        <w:t xml:space="preserve"> and tannins (</w:t>
      </w:r>
      <w:r w:rsidR="00DC68B9" w:rsidRPr="002D64BF">
        <w:t xml:space="preserve">Table </w:t>
      </w:r>
      <w:r w:rsidR="002D64BF" w:rsidRPr="002D64BF">
        <w:t>4.1.</w:t>
      </w:r>
      <w:r w:rsidR="00E02D3B" w:rsidRPr="002D64BF">
        <w:t>2</w:t>
      </w:r>
      <w:r w:rsidR="00DC68B9" w:rsidRPr="002D64BF">
        <w:t>)</w:t>
      </w:r>
      <w:r w:rsidR="00DC68B9">
        <w:t xml:space="preserve">, their potential negative effect on iron bioaccessibility was presumably counteracted by its high levels of organic acids. </w:t>
      </w:r>
    </w:p>
    <w:p w14:paraId="2D522FE3" w14:textId="77777777" w:rsidR="00F3680E" w:rsidRDefault="00F3680E" w:rsidP="002D64BF">
      <w:pPr>
        <w:spacing w:after="0"/>
      </w:pPr>
    </w:p>
    <w:p w14:paraId="1A91A663" w14:textId="2A989900" w:rsidR="00393D07" w:rsidRPr="006871D8" w:rsidRDefault="00390039" w:rsidP="009163EF">
      <w:pPr>
        <w:rPr>
          <w:rFonts w:cs="Times New Roman"/>
          <w:szCs w:val="24"/>
        </w:rPr>
      </w:pPr>
      <w:r w:rsidRPr="006871D8">
        <w:rPr>
          <w:rFonts w:cs="Times New Roman"/>
          <w:szCs w:val="24"/>
        </w:rPr>
        <w:t xml:space="preserve">Concerning zinc bioaccessibility, </w:t>
      </w:r>
      <w:r w:rsidR="00EB4A81">
        <w:rPr>
          <w:rFonts w:cs="Times New Roman"/>
          <w:szCs w:val="24"/>
        </w:rPr>
        <w:t xml:space="preserve">the </w:t>
      </w:r>
      <w:r w:rsidR="00283573" w:rsidRPr="006871D8">
        <w:rPr>
          <w:rFonts w:cs="Times New Roman"/>
          <w:szCs w:val="24"/>
        </w:rPr>
        <w:t>only</w:t>
      </w:r>
      <w:r w:rsidR="00EB4A81">
        <w:rPr>
          <w:rFonts w:cs="Times New Roman"/>
          <w:szCs w:val="24"/>
        </w:rPr>
        <w:t xml:space="preserve"> significant (</w:t>
      </w:r>
      <w:r w:rsidR="00EB4A81" w:rsidRPr="00843E4B">
        <w:rPr>
          <w:rFonts w:cs="Times New Roman"/>
          <w:i/>
          <w:iCs/>
          <w:szCs w:val="24"/>
        </w:rPr>
        <w:t>p</w:t>
      </w:r>
      <w:r w:rsidR="004E2966">
        <w:rPr>
          <w:rFonts w:cs="Times New Roman"/>
          <w:szCs w:val="24"/>
        </w:rPr>
        <w:t>&lt;</w:t>
      </w:r>
      <w:r w:rsidR="00EB4A81">
        <w:rPr>
          <w:rFonts w:cs="Times New Roman"/>
          <w:szCs w:val="24"/>
        </w:rPr>
        <w:t xml:space="preserve">0.05) improvement </w:t>
      </w:r>
      <w:r w:rsidR="00EB1117">
        <w:rPr>
          <w:rFonts w:cs="Times New Roman"/>
          <w:szCs w:val="24"/>
        </w:rPr>
        <w:t xml:space="preserve">compared to </w:t>
      </w:r>
      <w:r w:rsidR="00006AF2">
        <w:rPr>
          <w:rFonts w:cs="Times New Roman"/>
          <w:szCs w:val="24"/>
        </w:rPr>
        <w:t>millet porridge</w:t>
      </w:r>
      <w:r w:rsidR="00EB1117">
        <w:rPr>
          <w:rFonts w:cs="Times New Roman"/>
          <w:szCs w:val="24"/>
        </w:rPr>
        <w:t xml:space="preserve"> alone </w:t>
      </w:r>
      <w:r w:rsidR="00EB4A81">
        <w:rPr>
          <w:rFonts w:cs="Times New Roman"/>
          <w:szCs w:val="24"/>
        </w:rPr>
        <w:t xml:space="preserve">was </w:t>
      </w:r>
      <w:r w:rsidR="00EB1117">
        <w:rPr>
          <w:rFonts w:cs="Times New Roman"/>
          <w:szCs w:val="24"/>
        </w:rPr>
        <w:t xml:space="preserve">with </w:t>
      </w:r>
      <w:r w:rsidR="00915BE6">
        <w:rPr>
          <w:rFonts w:cs="Times New Roman"/>
          <w:szCs w:val="24"/>
        </w:rPr>
        <w:t>citric acid</w:t>
      </w:r>
      <w:r w:rsidR="00EB4A81">
        <w:rPr>
          <w:rFonts w:cs="Times New Roman"/>
          <w:szCs w:val="24"/>
        </w:rPr>
        <w:t xml:space="preserve"> </w:t>
      </w:r>
      <w:r w:rsidR="001A1CC8">
        <w:rPr>
          <w:rFonts w:cs="Times New Roman"/>
          <w:szCs w:val="24"/>
        </w:rPr>
        <w:t>fortification</w:t>
      </w:r>
      <w:r w:rsidR="00006AF2">
        <w:rPr>
          <w:rFonts w:cs="Times New Roman"/>
          <w:szCs w:val="24"/>
        </w:rPr>
        <w:t xml:space="preserve"> </w:t>
      </w:r>
      <w:r w:rsidR="00EB4A81">
        <w:rPr>
          <w:rFonts w:cs="Times New Roman"/>
          <w:szCs w:val="24"/>
        </w:rPr>
        <w:t>and th</w:t>
      </w:r>
      <w:r w:rsidR="009E28C6">
        <w:rPr>
          <w:rFonts w:cs="Times New Roman"/>
          <w:szCs w:val="24"/>
        </w:rPr>
        <w:t>is</w:t>
      </w:r>
      <w:r w:rsidR="00EB4A81">
        <w:rPr>
          <w:rFonts w:cs="Times New Roman"/>
          <w:szCs w:val="24"/>
        </w:rPr>
        <w:t xml:space="preserve"> was </w:t>
      </w:r>
      <w:r w:rsidR="009E28C6">
        <w:rPr>
          <w:rFonts w:cs="Times New Roman"/>
          <w:szCs w:val="24"/>
        </w:rPr>
        <w:t>only small (1</w:t>
      </w:r>
      <w:r w:rsidR="00166FEF">
        <w:rPr>
          <w:rFonts w:cs="Times New Roman"/>
          <w:szCs w:val="24"/>
        </w:rPr>
        <w:t>7</w:t>
      </w:r>
      <w:r w:rsidR="009E28C6">
        <w:rPr>
          <w:rFonts w:cs="Times New Roman"/>
          <w:szCs w:val="24"/>
        </w:rPr>
        <w:t xml:space="preserve">%) </w:t>
      </w:r>
      <w:r w:rsidR="00283573" w:rsidRPr="006871D8">
        <w:rPr>
          <w:rFonts w:cs="Times New Roman"/>
          <w:szCs w:val="24"/>
        </w:rPr>
        <w:t>(</w:t>
      </w:r>
      <w:r w:rsidR="00283573" w:rsidRPr="002D64BF">
        <w:rPr>
          <w:rFonts w:cs="Times New Roman"/>
          <w:szCs w:val="24"/>
        </w:rPr>
        <w:t xml:space="preserve">Table </w:t>
      </w:r>
      <w:r w:rsidR="002D64BF" w:rsidRPr="002D64BF">
        <w:rPr>
          <w:rFonts w:cs="Times New Roman"/>
          <w:szCs w:val="24"/>
        </w:rPr>
        <w:t>4.1.</w:t>
      </w:r>
      <w:r w:rsidR="00283573" w:rsidRPr="002D64BF">
        <w:rPr>
          <w:rFonts w:cs="Times New Roman"/>
          <w:szCs w:val="24"/>
        </w:rPr>
        <w:t>4</w:t>
      </w:r>
      <w:r w:rsidR="00283573" w:rsidRPr="006871D8">
        <w:rPr>
          <w:rFonts w:cs="Times New Roman"/>
          <w:szCs w:val="24"/>
        </w:rPr>
        <w:t>). The high</w:t>
      </w:r>
      <w:r w:rsidR="00057D92">
        <w:rPr>
          <w:rFonts w:cs="Times New Roman"/>
          <w:szCs w:val="24"/>
        </w:rPr>
        <w:t xml:space="preserve"> </w:t>
      </w:r>
      <w:r w:rsidRPr="006871D8">
        <w:rPr>
          <w:rFonts w:cs="Times New Roman"/>
          <w:szCs w:val="24"/>
        </w:rPr>
        <w:t>ph</w:t>
      </w:r>
      <w:r w:rsidR="00283573" w:rsidRPr="006871D8">
        <w:rPr>
          <w:rFonts w:cs="Times New Roman"/>
          <w:szCs w:val="24"/>
        </w:rPr>
        <w:t>y</w:t>
      </w:r>
      <w:r w:rsidRPr="006871D8">
        <w:rPr>
          <w:rFonts w:cs="Times New Roman"/>
          <w:szCs w:val="24"/>
        </w:rPr>
        <w:t>tate:zinc molar ratios o</w:t>
      </w:r>
      <w:r w:rsidR="00283573" w:rsidRPr="006871D8">
        <w:rPr>
          <w:rFonts w:cs="Times New Roman"/>
          <w:szCs w:val="24"/>
        </w:rPr>
        <w:t xml:space="preserve">f all the </w:t>
      </w:r>
      <w:r w:rsidR="00EB1117">
        <w:rPr>
          <w:rFonts w:cs="Times New Roman"/>
          <w:szCs w:val="24"/>
        </w:rPr>
        <w:t xml:space="preserve">porridge </w:t>
      </w:r>
      <w:r w:rsidR="00006AF2">
        <w:rPr>
          <w:rFonts w:cs="Times New Roman"/>
          <w:szCs w:val="24"/>
        </w:rPr>
        <w:t>formulations</w:t>
      </w:r>
      <w:r w:rsidR="00283573" w:rsidRPr="006871D8">
        <w:rPr>
          <w:rFonts w:cs="Times New Roman"/>
          <w:szCs w:val="24"/>
        </w:rPr>
        <w:t xml:space="preserve"> (19</w:t>
      </w:r>
      <w:r w:rsidR="00006AF2">
        <w:rPr>
          <w:rFonts w:cs="Times New Roman"/>
          <w:szCs w:val="24"/>
        </w:rPr>
        <w:t>.0</w:t>
      </w:r>
      <w:r w:rsidR="00283573" w:rsidRPr="006871D8">
        <w:rPr>
          <w:rFonts w:cs="Times New Roman"/>
          <w:szCs w:val="24"/>
        </w:rPr>
        <w:t>–21:1)</w:t>
      </w:r>
      <w:r w:rsidR="00057D92">
        <w:rPr>
          <w:rFonts w:cs="Times New Roman"/>
          <w:szCs w:val="24"/>
        </w:rPr>
        <w:t xml:space="preserve"> </w:t>
      </w:r>
      <w:r w:rsidRPr="006871D8">
        <w:rPr>
          <w:rFonts w:cs="Times New Roman"/>
          <w:szCs w:val="24"/>
        </w:rPr>
        <w:t>could explain this effect as the phytate:zinc ratios were above the critical values (≥10–14</w:t>
      </w:r>
      <w:r w:rsidR="008C5860" w:rsidRPr="006871D8">
        <w:rPr>
          <w:rFonts w:cs="Times New Roman"/>
          <w:szCs w:val="24"/>
        </w:rPr>
        <w:t>:1) at</w:t>
      </w:r>
      <w:r w:rsidRPr="006871D8">
        <w:rPr>
          <w:rFonts w:cs="Times New Roman"/>
          <w:szCs w:val="24"/>
        </w:rPr>
        <w:t xml:space="preserve"> which zinc bioavailability is impaired (Hunt, 2003). </w:t>
      </w:r>
      <w:r w:rsidR="00EE500C">
        <w:rPr>
          <w:rFonts w:cs="Times New Roman"/>
          <w:szCs w:val="24"/>
        </w:rPr>
        <w:t xml:space="preserve">Furthermore, </w:t>
      </w:r>
      <w:r w:rsidR="004231F0">
        <w:rPr>
          <w:rFonts w:cs="Times New Roman"/>
          <w:szCs w:val="24"/>
        </w:rPr>
        <w:t xml:space="preserve">the </w:t>
      </w:r>
      <w:r w:rsidR="000F79AF">
        <w:rPr>
          <w:rFonts w:cs="Times New Roman"/>
          <w:szCs w:val="24"/>
        </w:rPr>
        <w:t xml:space="preserve">polyphenols and </w:t>
      </w:r>
      <w:r w:rsidR="00EE500C">
        <w:rPr>
          <w:rFonts w:cs="Times New Roman"/>
          <w:szCs w:val="24"/>
        </w:rPr>
        <w:t xml:space="preserve">tannins in </w:t>
      </w:r>
      <w:r w:rsidR="00006AF2">
        <w:rPr>
          <w:rFonts w:cs="Times New Roman"/>
          <w:szCs w:val="24"/>
        </w:rPr>
        <w:t>baobab</w:t>
      </w:r>
      <w:r w:rsidR="00EE500C">
        <w:rPr>
          <w:rFonts w:cs="Times New Roman"/>
          <w:szCs w:val="24"/>
        </w:rPr>
        <w:t xml:space="preserve"> could have also limited zinc bioaccessibility in the </w:t>
      </w:r>
      <w:r w:rsidR="00006AF2">
        <w:rPr>
          <w:rFonts w:cs="Times New Roman"/>
          <w:szCs w:val="24"/>
        </w:rPr>
        <w:t>millet+baobab</w:t>
      </w:r>
      <w:r w:rsidR="00EE500C">
        <w:rPr>
          <w:rFonts w:cs="Times New Roman"/>
          <w:szCs w:val="24"/>
        </w:rPr>
        <w:t xml:space="preserve"> </w:t>
      </w:r>
      <w:r w:rsidR="00006AF2">
        <w:rPr>
          <w:rFonts w:cs="Times New Roman"/>
          <w:szCs w:val="24"/>
        </w:rPr>
        <w:t>porridge</w:t>
      </w:r>
      <w:r w:rsidR="00EE500C">
        <w:rPr>
          <w:rFonts w:cs="Times New Roman"/>
          <w:szCs w:val="24"/>
        </w:rPr>
        <w:t xml:space="preserve">. </w:t>
      </w:r>
      <w:r w:rsidR="00006AF2">
        <w:rPr>
          <w:rFonts w:cs="Times New Roman"/>
          <w:szCs w:val="24"/>
        </w:rPr>
        <w:t>Concerning</w:t>
      </w:r>
      <w:r w:rsidR="00EB1117">
        <w:rPr>
          <w:rFonts w:cs="Times New Roman"/>
          <w:szCs w:val="24"/>
        </w:rPr>
        <w:t xml:space="preserve"> t</w:t>
      </w:r>
      <w:r w:rsidR="00AC1E9D">
        <w:rPr>
          <w:rFonts w:cs="Times New Roman"/>
          <w:szCs w:val="24"/>
        </w:rPr>
        <w:t xml:space="preserve">he </w:t>
      </w:r>
      <w:r w:rsidR="00006AF2">
        <w:rPr>
          <w:rFonts w:cs="Times New Roman"/>
          <w:szCs w:val="24"/>
        </w:rPr>
        <w:t>millet+moringa</w:t>
      </w:r>
      <w:r w:rsidR="00AC1E9D">
        <w:rPr>
          <w:rFonts w:cs="Times New Roman"/>
          <w:szCs w:val="24"/>
        </w:rPr>
        <w:t xml:space="preserve"> </w:t>
      </w:r>
      <w:r w:rsidR="00006AF2">
        <w:rPr>
          <w:rFonts w:cs="Times New Roman"/>
          <w:szCs w:val="24"/>
        </w:rPr>
        <w:t>porridge, this</w:t>
      </w:r>
      <w:r w:rsidRPr="006871D8">
        <w:rPr>
          <w:rFonts w:cs="Times New Roman"/>
          <w:szCs w:val="24"/>
        </w:rPr>
        <w:t xml:space="preserve"> showed a </w:t>
      </w:r>
      <w:r w:rsidR="00AC1E9D">
        <w:rPr>
          <w:rFonts w:cs="Times New Roman"/>
          <w:szCs w:val="24"/>
        </w:rPr>
        <w:t xml:space="preserve">significant </w:t>
      </w:r>
      <w:r w:rsidRPr="006871D8">
        <w:rPr>
          <w:rFonts w:cs="Times New Roman"/>
          <w:szCs w:val="24"/>
        </w:rPr>
        <w:t xml:space="preserve">reduction in </w:t>
      </w:r>
      <w:r w:rsidR="00656D60">
        <w:rPr>
          <w:rFonts w:cs="Times New Roman"/>
          <w:szCs w:val="24"/>
        </w:rPr>
        <w:t xml:space="preserve">both </w:t>
      </w:r>
      <w:r w:rsidRPr="006871D8">
        <w:rPr>
          <w:rFonts w:cs="Times New Roman"/>
          <w:szCs w:val="24"/>
        </w:rPr>
        <w:t>percentage and amount of bioaccessible zinc,</w:t>
      </w:r>
      <w:r w:rsidR="00AC1E9D">
        <w:rPr>
          <w:rFonts w:cs="Times New Roman"/>
          <w:szCs w:val="24"/>
        </w:rPr>
        <w:t xml:space="preserve"> </w:t>
      </w:r>
      <w:r w:rsidR="00006AF2">
        <w:rPr>
          <w:rFonts w:cs="Times New Roman"/>
          <w:szCs w:val="24"/>
        </w:rPr>
        <w:t xml:space="preserve">by </w:t>
      </w:r>
      <w:r w:rsidR="00AC1E9D">
        <w:rPr>
          <w:rFonts w:cs="Times New Roman"/>
          <w:szCs w:val="24"/>
        </w:rPr>
        <w:t>2</w:t>
      </w:r>
      <w:r w:rsidR="00166FEF">
        <w:rPr>
          <w:rFonts w:cs="Times New Roman"/>
          <w:szCs w:val="24"/>
        </w:rPr>
        <w:t>2</w:t>
      </w:r>
      <w:r w:rsidR="00AC1E9D">
        <w:rPr>
          <w:rFonts w:cs="Times New Roman"/>
          <w:szCs w:val="24"/>
        </w:rPr>
        <w:t>% and 2</w:t>
      </w:r>
      <w:r w:rsidR="00166FEF">
        <w:rPr>
          <w:rFonts w:cs="Times New Roman"/>
          <w:szCs w:val="24"/>
        </w:rPr>
        <w:t>4</w:t>
      </w:r>
      <w:r w:rsidR="00AC1E9D">
        <w:rPr>
          <w:rFonts w:cs="Times New Roman"/>
          <w:szCs w:val="24"/>
        </w:rPr>
        <w:t>%</w:t>
      </w:r>
      <w:r w:rsidR="00ED3E5E">
        <w:rPr>
          <w:rFonts w:cs="Times New Roman"/>
          <w:szCs w:val="24"/>
        </w:rPr>
        <w:t>,</w:t>
      </w:r>
      <w:r w:rsidRPr="006871D8">
        <w:rPr>
          <w:rFonts w:cs="Times New Roman"/>
          <w:szCs w:val="24"/>
        </w:rPr>
        <w:t xml:space="preserve"> respectively</w:t>
      </w:r>
      <w:r w:rsidR="00EB1117">
        <w:rPr>
          <w:rFonts w:cs="Times New Roman"/>
          <w:szCs w:val="24"/>
        </w:rPr>
        <w:t>,</w:t>
      </w:r>
      <w:r w:rsidR="00B906E5">
        <w:rPr>
          <w:rFonts w:cs="Times New Roman"/>
          <w:szCs w:val="24"/>
        </w:rPr>
        <w:t xml:space="preserve"> po</w:t>
      </w:r>
      <w:r w:rsidR="00F9246E">
        <w:rPr>
          <w:rFonts w:cs="Times New Roman"/>
          <w:szCs w:val="24"/>
        </w:rPr>
        <w:t xml:space="preserve">ssibly due to </w:t>
      </w:r>
      <w:r w:rsidR="00EB1117">
        <w:rPr>
          <w:rFonts w:cs="Times New Roman"/>
          <w:szCs w:val="24"/>
        </w:rPr>
        <w:t>the</w:t>
      </w:r>
      <w:r w:rsidR="00B906E5">
        <w:rPr>
          <w:rFonts w:cs="Times New Roman"/>
          <w:szCs w:val="24"/>
        </w:rPr>
        <w:t xml:space="preserve"> low</w:t>
      </w:r>
      <w:r w:rsidR="00953AC4">
        <w:rPr>
          <w:rFonts w:cs="Times New Roman"/>
          <w:szCs w:val="24"/>
        </w:rPr>
        <w:t>ish</w:t>
      </w:r>
      <w:r w:rsidR="00B906E5">
        <w:rPr>
          <w:rFonts w:cs="Times New Roman"/>
          <w:szCs w:val="24"/>
        </w:rPr>
        <w:t xml:space="preserve"> levels of organic acids and high levels of </w:t>
      </w:r>
      <w:r w:rsidR="00006AF2">
        <w:rPr>
          <w:rFonts w:cs="Times New Roman"/>
          <w:szCs w:val="24"/>
        </w:rPr>
        <w:t>total</w:t>
      </w:r>
      <w:r w:rsidR="00915BE6">
        <w:rPr>
          <w:rFonts w:cs="Times New Roman"/>
          <w:szCs w:val="24"/>
        </w:rPr>
        <w:t xml:space="preserve"> </w:t>
      </w:r>
      <w:r w:rsidR="00F9246E">
        <w:rPr>
          <w:rFonts w:cs="Times New Roman"/>
          <w:szCs w:val="24"/>
        </w:rPr>
        <w:t xml:space="preserve">phenolics </w:t>
      </w:r>
      <w:r w:rsidR="00915BE6">
        <w:rPr>
          <w:rFonts w:cs="Times New Roman"/>
          <w:szCs w:val="24"/>
        </w:rPr>
        <w:t xml:space="preserve">and </w:t>
      </w:r>
      <w:r w:rsidR="00B906E5">
        <w:rPr>
          <w:rFonts w:cs="Times New Roman"/>
          <w:szCs w:val="24"/>
        </w:rPr>
        <w:t>calcium</w:t>
      </w:r>
      <w:r w:rsidR="00EB1117">
        <w:rPr>
          <w:rFonts w:cs="Times New Roman"/>
          <w:szCs w:val="24"/>
        </w:rPr>
        <w:t xml:space="preserve"> in </w:t>
      </w:r>
      <w:r w:rsidR="00F9246E">
        <w:rPr>
          <w:rFonts w:cs="Times New Roman"/>
          <w:szCs w:val="24"/>
        </w:rPr>
        <w:t>moringa</w:t>
      </w:r>
      <w:r w:rsidRPr="006871D8">
        <w:rPr>
          <w:rFonts w:cs="Times New Roman"/>
          <w:szCs w:val="24"/>
        </w:rPr>
        <w:t xml:space="preserve">. </w:t>
      </w:r>
      <w:r w:rsidR="00F9246E">
        <w:rPr>
          <w:rFonts w:cs="Times New Roman"/>
          <w:szCs w:val="24"/>
        </w:rPr>
        <w:t>C</w:t>
      </w:r>
      <w:r w:rsidRPr="006871D8">
        <w:rPr>
          <w:rFonts w:cs="Times New Roman"/>
          <w:szCs w:val="24"/>
        </w:rPr>
        <w:t>alcium bec</w:t>
      </w:r>
      <w:r w:rsidR="008C5860" w:rsidRPr="006871D8">
        <w:rPr>
          <w:rFonts w:cs="Times New Roman"/>
          <w:szCs w:val="24"/>
        </w:rPr>
        <w:t>omes highly inhibitory in plant</w:t>
      </w:r>
      <w:r w:rsidRPr="006871D8">
        <w:rPr>
          <w:rFonts w:cs="Times New Roman"/>
          <w:szCs w:val="24"/>
        </w:rPr>
        <w:t xml:space="preserve"> food</w:t>
      </w:r>
      <w:r w:rsidR="008C5860" w:rsidRPr="006871D8">
        <w:rPr>
          <w:rFonts w:cs="Times New Roman"/>
          <w:szCs w:val="24"/>
        </w:rPr>
        <w:t>s</w:t>
      </w:r>
      <w:r w:rsidR="00ED3E5E">
        <w:rPr>
          <w:rFonts w:cs="Times New Roman"/>
          <w:szCs w:val="24"/>
        </w:rPr>
        <w:t xml:space="preserve"> </w:t>
      </w:r>
      <w:r w:rsidR="00311CCC">
        <w:rPr>
          <w:rFonts w:cs="Times New Roman"/>
          <w:szCs w:val="24"/>
        </w:rPr>
        <w:t xml:space="preserve">like </w:t>
      </w:r>
      <w:r w:rsidR="00166FEF">
        <w:rPr>
          <w:rFonts w:cs="Times New Roman"/>
          <w:szCs w:val="24"/>
        </w:rPr>
        <w:t>millet porridge</w:t>
      </w:r>
      <w:r w:rsidR="00311CCC">
        <w:rPr>
          <w:rFonts w:cs="Times New Roman"/>
          <w:szCs w:val="24"/>
        </w:rPr>
        <w:t xml:space="preserve"> which </w:t>
      </w:r>
      <w:r w:rsidRPr="006871D8">
        <w:rPr>
          <w:rFonts w:cs="Times New Roman"/>
          <w:szCs w:val="24"/>
        </w:rPr>
        <w:t>con</w:t>
      </w:r>
      <w:r w:rsidR="008C5860" w:rsidRPr="006871D8">
        <w:rPr>
          <w:rFonts w:cs="Times New Roman"/>
          <w:szCs w:val="24"/>
        </w:rPr>
        <w:t>tain high levels of p</w:t>
      </w:r>
      <w:r w:rsidR="00AC1E9D">
        <w:rPr>
          <w:rFonts w:cs="Times New Roman"/>
          <w:szCs w:val="24"/>
        </w:rPr>
        <w:t>hytate</w:t>
      </w:r>
      <w:r w:rsidR="00F9246E">
        <w:rPr>
          <w:rFonts w:cs="Times New Roman"/>
          <w:szCs w:val="24"/>
        </w:rPr>
        <w:t xml:space="preserve"> through</w:t>
      </w:r>
      <w:r w:rsidR="00AC1E9D">
        <w:rPr>
          <w:rFonts w:cs="Times New Roman"/>
          <w:szCs w:val="24"/>
        </w:rPr>
        <w:t xml:space="preserve"> form</w:t>
      </w:r>
      <w:r w:rsidR="00F9246E">
        <w:rPr>
          <w:rFonts w:cs="Times New Roman"/>
          <w:szCs w:val="24"/>
        </w:rPr>
        <w:t>ing</w:t>
      </w:r>
      <w:r w:rsidR="008C5860" w:rsidRPr="006871D8">
        <w:rPr>
          <w:rFonts w:cs="Times New Roman"/>
          <w:szCs w:val="24"/>
        </w:rPr>
        <w:t xml:space="preserve"> strong</w:t>
      </w:r>
      <w:r w:rsidRPr="006871D8">
        <w:rPr>
          <w:rFonts w:cs="Times New Roman"/>
          <w:szCs w:val="24"/>
        </w:rPr>
        <w:t xml:space="preserve"> insoluble complexes with phytate and zinc, consequently r</w:t>
      </w:r>
      <w:r w:rsidR="008C5860" w:rsidRPr="006871D8">
        <w:rPr>
          <w:rFonts w:cs="Times New Roman"/>
          <w:szCs w:val="24"/>
        </w:rPr>
        <w:t>educing zinc bioavailability (Lö</w:t>
      </w:r>
      <w:r w:rsidR="00AC1E9D">
        <w:rPr>
          <w:rFonts w:cs="Times New Roman"/>
          <w:szCs w:val="24"/>
        </w:rPr>
        <w:t xml:space="preserve">nnerdal, 2000). </w:t>
      </w:r>
    </w:p>
    <w:p w14:paraId="1345A207" w14:textId="77777777" w:rsidR="00A3476D" w:rsidRDefault="00A3476D" w:rsidP="002D64BF">
      <w:pPr>
        <w:spacing w:after="0"/>
        <w:rPr>
          <w:rFonts w:cs="Times New Roman"/>
          <w:szCs w:val="24"/>
        </w:rPr>
      </w:pPr>
    </w:p>
    <w:p w14:paraId="60A8EAFF" w14:textId="176E8FD1" w:rsidR="00B906E5" w:rsidRDefault="00502143" w:rsidP="009163EF">
      <w:r w:rsidRPr="002D64BF">
        <w:t xml:space="preserve">Table </w:t>
      </w:r>
      <w:r w:rsidR="002D64BF" w:rsidRPr="002D64BF">
        <w:t>4.1.</w:t>
      </w:r>
      <w:r w:rsidRPr="002D64BF">
        <w:t>5</w:t>
      </w:r>
      <w:r w:rsidRPr="006871D8">
        <w:t xml:space="preserve"> shows that</w:t>
      </w:r>
      <w:r w:rsidR="001A1CC8">
        <w:t xml:space="preserve"> </w:t>
      </w:r>
      <w:r w:rsidRPr="006871D8">
        <w:t xml:space="preserve">only </w:t>
      </w:r>
      <w:r w:rsidR="00F9246E">
        <w:t>millet porridge</w:t>
      </w:r>
      <w:r w:rsidR="00EE500C">
        <w:t xml:space="preserve">+ascorbic acid and </w:t>
      </w:r>
      <w:r w:rsidR="00F9246E">
        <w:t>millet porridge</w:t>
      </w:r>
      <w:r w:rsidR="00EE500C">
        <w:t>+citric acid</w:t>
      </w:r>
      <w:r w:rsidRPr="006871D8">
        <w:t xml:space="preserve"> </w:t>
      </w:r>
      <w:r w:rsidR="001A1CC8">
        <w:t xml:space="preserve">formulations had </w:t>
      </w:r>
      <w:r w:rsidR="00C31644">
        <w:t>significantly</w:t>
      </w:r>
      <w:r w:rsidR="00390039" w:rsidRPr="006871D8">
        <w:t xml:space="preserve"> </w:t>
      </w:r>
      <w:r w:rsidR="001A1CC8">
        <w:t>higher</w:t>
      </w:r>
      <w:r w:rsidRPr="006871D8">
        <w:t xml:space="preserve"> </w:t>
      </w:r>
      <w:r w:rsidR="00C9677A">
        <w:t xml:space="preserve">percentage </w:t>
      </w:r>
      <w:r w:rsidRPr="006871D8">
        <w:t>calcium bioaccessibility</w:t>
      </w:r>
      <w:r w:rsidR="00103F87">
        <w:t>,</w:t>
      </w:r>
      <w:r w:rsidR="00ED3E5E">
        <w:t xml:space="preserve"> </w:t>
      </w:r>
      <w:r w:rsidR="00C31644">
        <w:t xml:space="preserve">by </w:t>
      </w:r>
      <w:r w:rsidR="00390039" w:rsidRPr="006871D8">
        <w:t>18%</w:t>
      </w:r>
      <w:r w:rsidRPr="006871D8">
        <w:t xml:space="preserve"> and 5</w:t>
      </w:r>
      <w:r w:rsidR="00AF5014">
        <w:t>6</w:t>
      </w:r>
      <w:r w:rsidRPr="006871D8">
        <w:t>% respectively</w:t>
      </w:r>
      <w:r w:rsidR="00390039" w:rsidRPr="006871D8">
        <w:t xml:space="preserve">. </w:t>
      </w:r>
      <w:r w:rsidR="00C31644">
        <w:t xml:space="preserve">The </w:t>
      </w:r>
      <w:r w:rsidR="00390039" w:rsidRPr="006871D8">
        <w:t xml:space="preserve">formulations </w:t>
      </w:r>
      <w:r w:rsidR="00C31644">
        <w:t xml:space="preserve">containing </w:t>
      </w:r>
      <w:r w:rsidR="00F9246E">
        <w:t>baobab</w:t>
      </w:r>
      <w:r w:rsidR="00C31644">
        <w:t xml:space="preserve"> and </w:t>
      </w:r>
      <w:r w:rsidR="00F9246E">
        <w:t>moringa</w:t>
      </w:r>
      <w:r w:rsidR="00C31644">
        <w:t xml:space="preserve"> </w:t>
      </w:r>
      <w:r w:rsidR="00390039" w:rsidRPr="006871D8">
        <w:t xml:space="preserve">decreased </w:t>
      </w:r>
      <w:r w:rsidR="00990E78">
        <w:t xml:space="preserve">the </w:t>
      </w:r>
      <w:r w:rsidR="00C9677A">
        <w:t>percentage</w:t>
      </w:r>
      <w:r w:rsidR="00390039" w:rsidRPr="006871D8">
        <w:t xml:space="preserve"> calcium bioaccessibility</w:t>
      </w:r>
      <w:r w:rsidR="00103F87">
        <w:t>,</w:t>
      </w:r>
      <w:r w:rsidR="00B906E5">
        <w:t xml:space="preserve"> presumably due to their high </w:t>
      </w:r>
      <w:r w:rsidR="00103F87">
        <w:t xml:space="preserve">content </w:t>
      </w:r>
      <w:r w:rsidR="00A30419">
        <w:t xml:space="preserve">of </w:t>
      </w:r>
      <w:r w:rsidR="00B906E5">
        <w:t>phenolics</w:t>
      </w:r>
      <w:r w:rsidR="00390039" w:rsidRPr="006871D8">
        <w:t xml:space="preserve">. </w:t>
      </w:r>
      <w:r w:rsidR="00B906E5">
        <w:rPr>
          <w:rFonts w:eastAsia="Times New Roman"/>
        </w:rPr>
        <w:t xml:space="preserve">However, there was an appreciable increase of </w:t>
      </w:r>
      <w:r w:rsidR="00EE500C">
        <w:rPr>
          <w:rFonts w:eastAsia="Times New Roman"/>
        </w:rPr>
        <w:t xml:space="preserve">amount of </w:t>
      </w:r>
      <w:r w:rsidR="00B906E5">
        <w:rPr>
          <w:rFonts w:eastAsia="Times New Roman"/>
        </w:rPr>
        <w:t>bioaccessible calcium in the composite porridge</w:t>
      </w:r>
      <w:r w:rsidR="000856EB">
        <w:rPr>
          <w:rFonts w:eastAsia="Times New Roman"/>
        </w:rPr>
        <w:t>s</w:t>
      </w:r>
      <w:r w:rsidR="00B906E5">
        <w:rPr>
          <w:rFonts w:eastAsia="Times New Roman"/>
        </w:rPr>
        <w:t xml:space="preserve"> containing </w:t>
      </w:r>
      <w:r w:rsidR="00F9246E">
        <w:rPr>
          <w:rFonts w:eastAsia="Times New Roman"/>
        </w:rPr>
        <w:t>baobab</w:t>
      </w:r>
      <w:r w:rsidR="00B906E5">
        <w:rPr>
          <w:rFonts w:eastAsia="Times New Roman"/>
        </w:rPr>
        <w:t xml:space="preserve"> and </w:t>
      </w:r>
      <w:r w:rsidR="00F9246E">
        <w:rPr>
          <w:rFonts w:eastAsia="Times New Roman"/>
        </w:rPr>
        <w:t>moringa</w:t>
      </w:r>
      <w:r w:rsidR="00596ED3">
        <w:rPr>
          <w:rFonts w:eastAsia="Times New Roman"/>
        </w:rPr>
        <w:t>,</w:t>
      </w:r>
      <w:r w:rsidR="00F9246E">
        <w:rPr>
          <w:rFonts w:eastAsia="Times New Roman"/>
        </w:rPr>
        <w:t xml:space="preserve"> </w:t>
      </w:r>
      <w:r w:rsidR="00EE500C">
        <w:rPr>
          <w:rFonts w:eastAsia="Times New Roman"/>
        </w:rPr>
        <w:t xml:space="preserve">which is likely </w:t>
      </w:r>
      <w:r w:rsidR="00E10BD4">
        <w:rPr>
          <w:rFonts w:eastAsia="Times New Roman"/>
        </w:rPr>
        <w:t>due to their high calcium contents</w:t>
      </w:r>
      <w:r w:rsidR="00EE500C">
        <w:rPr>
          <w:rFonts w:eastAsia="Times New Roman"/>
        </w:rPr>
        <w:t xml:space="preserve"> </w:t>
      </w:r>
      <w:r w:rsidR="00EE500C" w:rsidRPr="002D64BF">
        <w:rPr>
          <w:rFonts w:eastAsia="Times New Roman"/>
        </w:rPr>
        <w:t xml:space="preserve">(Table </w:t>
      </w:r>
      <w:r w:rsidR="002D64BF" w:rsidRPr="002D64BF">
        <w:rPr>
          <w:rFonts w:eastAsia="Times New Roman"/>
        </w:rPr>
        <w:t>4.1.</w:t>
      </w:r>
      <w:r w:rsidR="00EE500C" w:rsidRPr="002D64BF">
        <w:rPr>
          <w:rFonts w:eastAsia="Times New Roman"/>
        </w:rPr>
        <w:t>1)</w:t>
      </w:r>
      <w:r w:rsidR="00B906E5" w:rsidRPr="002D64BF">
        <w:rPr>
          <w:rFonts w:eastAsia="Times New Roman"/>
        </w:rPr>
        <w:t>.</w:t>
      </w:r>
    </w:p>
    <w:p w14:paraId="336B7660" w14:textId="77777777" w:rsidR="00843E4B" w:rsidRDefault="00843E4B" w:rsidP="00843E4B">
      <w:r>
        <w:t xml:space="preserve">Percentage and amount of bioaccessible magnesium was only improved in the millet+baobab and millet+citric acid porridges, with percentage </w:t>
      </w:r>
      <w:r w:rsidRPr="00C9677A">
        <w:t xml:space="preserve">bioaccessibility increases of </w:t>
      </w:r>
      <w:r>
        <w:t>12</w:t>
      </w:r>
      <w:r w:rsidRPr="00C9677A">
        <w:t>% and 2</w:t>
      </w:r>
      <w:r>
        <w:t>5</w:t>
      </w:r>
      <w:r w:rsidRPr="00C9677A">
        <w:t>% and amounts</w:t>
      </w:r>
      <w:r>
        <w:t xml:space="preserve"> by</w:t>
      </w:r>
      <w:r w:rsidRPr="00C9677A">
        <w:t xml:space="preserve"> </w:t>
      </w:r>
      <w:r>
        <w:t>22</w:t>
      </w:r>
      <w:r w:rsidRPr="00C9677A">
        <w:t>% and 2</w:t>
      </w:r>
      <w:r>
        <w:t>5</w:t>
      </w:r>
      <w:r w:rsidRPr="00C9677A">
        <w:t>%, respectively (</w:t>
      </w:r>
      <w:r w:rsidRPr="002D64BF">
        <w:t>Table 4.1.5</w:t>
      </w:r>
      <w:r w:rsidRPr="00C9677A">
        <w:t xml:space="preserve">). </w:t>
      </w:r>
      <w:r>
        <w:t>This indicates that the citric acid in baobab was also promoting magnesium bioaccessibility. Moringa fortification of millet porridge also appreciably increased the amount of bioaccessible magnesium, due to its high magnesium content (</w:t>
      </w:r>
      <w:r w:rsidRPr="002D64BF">
        <w:t>Table 4.1.1</w:t>
      </w:r>
      <w:r>
        <w:t>).</w:t>
      </w:r>
    </w:p>
    <w:p w14:paraId="634966E8" w14:textId="3ECEAC06" w:rsidR="00843E4B" w:rsidRDefault="00843E4B" w:rsidP="009163EF">
      <w:pPr>
        <w:sectPr w:rsidR="00843E4B" w:rsidSect="00856436">
          <w:pgSz w:w="11907" w:h="16839" w:code="9"/>
          <w:pgMar w:top="1440" w:right="1440" w:bottom="1440" w:left="1440" w:header="720" w:footer="720" w:gutter="0"/>
          <w:cols w:space="720"/>
          <w:docGrid w:linePitch="360"/>
        </w:sectPr>
      </w:pPr>
    </w:p>
    <w:p w14:paraId="683566D1" w14:textId="48F53705" w:rsidR="001A1CC8" w:rsidRPr="001C41F5" w:rsidRDefault="001A1CC8" w:rsidP="00351D12">
      <w:pPr>
        <w:pStyle w:val="MyTables"/>
        <w:rPr>
          <w:rFonts w:cs="Times New Roman"/>
          <w:szCs w:val="24"/>
        </w:rPr>
      </w:pPr>
      <w:bookmarkStart w:id="90" w:name="_Toc65253633"/>
      <w:r w:rsidRPr="004152C4">
        <w:rPr>
          <w:b/>
        </w:rPr>
        <w:t xml:space="preserve">Table </w:t>
      </w:r>
      <w:r w:rsidR="002D64BF">
        <w:rPr>
          <w:b/>
        </w:rPr>
        <w:t>4.1.</w:t>
      </w:r>
      <w:r w:rsidRPr="004152C4">
        <w:rPr>
          <w:b/>
        </w:rPr>
        <w:t>5</w:t>
      </w:r>
      <w:r>
        <w:rPr>
          <w:b/>
        </w:rPr>
        <w:t xml:space="preserve">: </w:t>
      </w:r>
      <w:r w:rsidRPr="00000361">
        <w:t>Effect</w:t>
      </w:r>
      <w:r>
        <w:t>s</w:t>
      </w:r>
      <w:r w:rsidRPr="00000361">
        <w:t xml:space="preserve"> of adding baobab fruit powder</w:t>
      </w:r>
      <w:r>
        <w:t xml:space="preserve"> and moringa leaf</w:t>
      </w:r>
      <w:r w:rsidRPr="00000361">
        <w:t xml:space="preserve"> powder alone</w:t>
      </w:r>
      <w:r>
        <w:t>,</w:t>
      </w:r>
      <w:r w:rsidRPr="00000361">
        <w:t xml:space="preserve"> and in combination</w:t>
      </w:r>
      <w:r>
        <w:t>,</w:t>
      </w:r>
      <w:r w:rsidRPr="00000361">
        <w:t xml:space="preserve"> to pearl millet porridge on </w:t>
      </w:r>
      <w:r>
        <w:t xml:space="preserve">percentage and total </w:t>
      </w:r>
      <w:r w:rsidRPr="00000361">
        <w:t>calcium and magnesium bioaccessibilities</w:t>
      </w:r>
      <w:bookmarkEnd w:id="90"/>
    </w:p>
    <w:tbl>
      <w:tblPr>
        <w:tblW w:w="13050" w:type="dxa"/>
        <w:tblBorders>
          <w:top w:val="single" w:sz="4" w:space="0" w:color="auto"/>
          <w:bottom w:val="single" w:sz="4" w:space="0" w:color="auto"/>
        </w:tblBorders>
        <w:tblLook w:val="04A0" w:firstRow="1" w:lastRow="0" w:firstColumn="1" w:lastColumn="0" w:noHBand="0" w:noVBand="1"/>
      </w:tblPr>
      <w:tblGrid>
        <w:gridCol w:w="2695"/>
        <w:gridCol w:w="2485"/>
        <w:gridCol w:w="2590"/>
        <w:gridCol w:w="2590"/>
        <w:gridCol w:w="2690"/>
      </w:tblGrid>
      <w:tr w:rsidR="001A1CC8" w:rsidRPr="000F79AF" w14:paraId="004AB9FC" w14:textId="77777777" w:rsidTr="001A1CC8">
        <w:tc>
          <w:tcPr>
            <w:tcW w:w="2695" w:type="dxa"/>
            <w:tcBorders>
              <w:top w:val="single" w:sz="4" w:space="0" w:color="auto"/>
              <w:bottom w:val="single" w:sz="4" w:space="0" w:color="auto"/>
            </w:tcBorders>
          </w:tcPr>
          <w:p w14:paraId="373ADBA9" w14:textId="77777777" w:rsidR="001A1CC8" w:rsidRPr="000F79AF" w:rsidRDefault="001A1CC8" w:rsidP="00843E4B">
            <w:pPr>
              <w:spacing w:after="0" w:line="240" w:lineRule="auto"/>
              <w:jc w:val="left"/>
              <w:rPr>
                <w:rFonts w:cs="Times New Roman"/>
                <w:b/>
                <w:sz w:val="22"/>
              </w:rPr>
            </w:pPr>
            <w:r w:rsidRPr="000F79AF">
              <w:rPr>
                <w:rFonts w:cs="Times New Roman"/>
                <w:b/>
                <w:sz w:val="22"/>
              </w:rPr>
              <w:t>Porridge formulations (dry mass ratios)</w:t>
            </w:r>
          </w:p>
        </w:tc>
        <w:tc>
          <w:tcPr>
            <w:tcW w:w="2485" w:type="dxa"/>
            <w:tcBorders>
              <w:top w:val="single" w:sz="4" w:space="0" w:color="auto"/>
              <w:bottom w:val="single" w:sz="4" w:space="0" w:color="auto"/>
            </w:tcBorders>
          </w:tcPr>
          <w:p w14:paraId="6809BA0F" w14:textId="77777777" w:rsidR="001A1CC8" w:rsidRPr="000F79AF" w:rsidRDefault="001A1CC8" w:rsidP="001A1CC8">
            <w:pPr>
              <w:spacing w:after="0" w:line="240" w:lineRule="auto"/>
              <w:jc w:val="center"/>
              <w:rPr>
                <w:rFonts w:cs="Times New Roman"/>
                <w:b/>
                <w:sz w:val="22"/>
              </w:rPr>
            </w:pPr>
            <w:r w:rsidRPr="000F79AF">
              <w:rPr>
                <w:rFonts w:cs="Times New Roman"/>
                <w:b/>
                <w:sz w:val="22"/>
              </w:rPr>
              <w:t>Percentage bioaccessible calcium</w:t>
            </w:r>
          </w:p>
        </w:tc>
        <w:tc>
          <w:tcPr>
            <w:tcW w:w="2590" w:type="dxa"/>
            <w:tcBorders>
              <w:top w:val="single" w:sz="4" w:space="0" w:color="auto"/>
              <w:bottom w:val="single" w:sz="4" w:space="0" w:color="auto"/>
            </w:tcBorders>
          </w:tcPr>
          <w:p w14:paraId="5833BF38" w14:textId="77777777" w:rsidR="001A1CC8" w:rsidRPr="000F79AF" w:rsidRDefault="001A1CC8" w:rsidP="001A1CC8">
            <w:pPr>
              <w:spacing w:after="0" w:line="240" w:lineRule="auto"/>
              <w:jc w:val="center"/>
              <w:rPr>
                <w:rFonts w:cs="Times New Roman"/>
                <w:b/>
                <w:sz w:val="22"/>
              </w:rPr>
            </w:pPr>
            <w:r w:rsidRPr="000F79AF">
              <w:rPr>
                <w:rFonts w:cs="Times New Roman"/>
                <w:b/>
                <w:sz w:val="22"/>
              </w:rPr>
              <w:t>Amount of bioaccessible calcium (mg/100 g, dry basis)</w:t>
            </w:r>
          </w:p>
        </w:tc>
        <w:tc>
          <w:tcPr>
            <w:tcW w:w="2590" w:type="dxa"/>
            <w:tcBorders>
              <w:top w:val="single" w:sz="4" w:space="0" w:color="auto"/>
              <w:bottom w:val="single" w:sz="4" w:space="0" w:color="auto"/>
            </w:tcBorders>
          </w:tcPr>
          <w:p w14:paraId="543BA527" w14:textId="77777777" w:rsidR="001A1CC8" w:rsidRPr="000F79AF" w:rsidRDefault="001A1CC8" w:rsidP="001A1CC8">
            <w:pPr>
              <w:spacing w:after="0" w:line="240" w:lineRule="auto"/>
              <w:jc w:val="center"/>
              <w:rPr>
                <w:rFonts w:cs="Times New Roman"/>
                <w:b/>
                <w:sz w:val="22"/>
              </w:rPr>
            </w:pPr>
            <w:r w:rsidRPr="000F79AF">
              <w:rPr>
                <w:rFonts w:cs="Times New Roman"/>
                <w:b/>
                <w:sz w:val="22"/>
              </w:rPr>
              <w:t>Percentage bioaccessible magnesium</w:t>
            </w:r>
          </w:p>
        </w:tc>
        <w:tc>
          <w:tcPr>
            <w:tcW w:w="2690" w:type="dxa"/>
            <w:tcBorders>
              <w:top w:val="single" w:sz="4" w:space="0" w:color="auto"/>
              <w:bottom w:val="single" w:sz="4" w:space="0" w:color="auto"/>
            </w:tcBorders>
          </w:tcPr>
          <w:p w14:paraId="0F3BB2E5" w14:textId="77777777" w:rsidR="001A1CC8" w:rsidRPr="000F79AF" w:rsidRDefault="001A1CC8" w:rsidP="001A1CC8">
            <w:pPr>
              <w:spacing w:after="0" w:line="240" w:lineRule="auto"/>
              <w:jc w:val="center"/>
              <w:rPr>
                <w:rFonts w:cs="Times New Roman"/>
                <w:b/>
                <w:sz w:val="22"/>
              </w:rPr>
            </w:pPr>
            <w:r w:rsidRPr="000F79AF">
              <w:rPr>
                <w:rFonts w:cs="Times New Roman"/>
                <w:b/>
                <w:sz w:val="22"/>
              </w:rPr>
              <w:t>Amount of bioaccessible magnesium (mg/100 g, dry basis)</w:t>
            </w:r>
          </w:p>
        </w:tc>
      </w:tr>
      <w:tr w:rsidR="001A1CC8" w:rsidRPr="000F79AF" w14:paraId="76598532" w14:textId="77777777" w:rsidTr="001A1CC8">
        <w:tc>
          <w:tcPr>
            <w:tcW w:w="2695" w:type="dxa"/>
            <w:tcBorders>
              <w:top w:val="single" w:sz="4" w:space="0" w:color="auto"/>
            </w:tcBorders>
          </w:tcPr>
          <w:p w14:paraId="4DCDB444" w14:textId="77777777" w:rsidR="001A1CC8" w:rsidRPr="000F79AF" w:rsidRDefault="001A1CC8" w:rsidP="00843E4B">
            <w:pPr>
              <w:spacing w:after="0" w:line="240" w:lineRule="auto"/>
              <w:jc w:val="left"/>
              <w:rPr>
                <w:rFonts w:cs="Times New Roman"/>
                <w:sz w:val="22"/>
              </w:rPr>
            </w:pPr>
            <w:r w:rsidRPr="000F79AF">
              <w:rPr>
                <w:rFonts w:cs="Times New Roman"/>
                <w:sz w:val="22"/>
              </w:rPr>
              <w:t>Millet porridge</w:t>
            </w:r>
          </w:p>
        </w:tc>
        <w:tc>
          <w:tcPr>
            <w:tcW w:w="2485" w:type="dxa"/>
            <w:tcBorders>
              <w:top w:val="single" w:sz="4" w:space="0" w:color="auto"/>
            </w:tcBorders>
          </w:tcPr>
          <w:p w14:paraId="678965A0" w14:textId="77777777" w:rsidR="001A1CC8" w:rsidRPr="000F79AF" w:rsidRDefault="001A1CC8" w:rsidP="001A1CC8">
            <w:pPr>
              <w:spacing w:after="0" w:line="240" w:lineRule="auto"/>
              <w:jc w:val="center"/>
              <w:rPr>
                <w:rFonts w:cs="Times New Roman"/>
                <w:sz w:val="22"/>
              </w:rPr>
            </w:pPr>
            <w:r w:rsidRPr="000F79AF">
              <w:rPr>
                <w:rFonts w:cs="Times New Roman"/>
                <w:sz w:val="22"/>
              </w:rPr>
              <w:t>23.3</w:t>
            </w:r>
            <w:r w:rsidRPr="000F79AF">
              <w:rPr>
                <w:rFonts w:cs="Times New Roman"/>
                <w:sz w:val="22"/>
                <w:vertAlign w:val="superscript"/>
              </w:rPr>
              <w:t>c</w:t>
            </w:r>
            <w:r w:rsidRPr="000F79AF">
              <w:rPr>
                <w:rFonts w:cs="Times New Roman"/>
                <w:sz w:val="22"/>
              </w:rPr>
              <w:t xml:space="preserve"> ± 1.6</w:t>
            </w:r>
            <w:r w:rsidRPr="000F79AF">
              <w:rPr>
                <w:rFonts w:cs="Times New Roman"/>
                <w:sz w:val="22"/>
                <w:vertAlign w:val="superscript"/>
              </w:rPr>
              <w:t>1,2</w:t>
            </w:r>
          </w:p>
        </w:tc>
        <w:tc>
          <w:tcPr>
            <w:tcW w:w="2590" w:type="dxa"/>
            <w:tcBorders>
              <w:top w:val="single" w:sz="4" w:space="0" w:color="auto"/>
            </w:tcBorders>
          </w:tcPr>
          <w:p w14:paraId="1D0C99F2" w14:textId="77777777" w:rsidR="001A1CC8" w:rsidRPr="000F79AF" w:rsidRDefault="001A1CC8" w:rsidP="001A1CC8">
            <w:pPr>
              <w:spacing w:after="0" w:line="240" w:lineRule="auto"/>
              <w:jc w:val="center"/>
              <w:rPr>
                <w:rFonts w:cs="Times New Roman"/>
                <w:sz w:val="22"/>
              </w:rPr>
            </w:pPr>
            <w:r w:rsidRPr="000F79AF">
              <w:rPr>
                <w:rFonts w:cs="Times New Roman"/>
                <w:sz w:val="22"/>
              </w:rPr>
              <w:t>4.6</w:t>
            </w:r>
            <w:r w:rsidRPr="000F79AF">
              <w:rPr>
                <w:rFonts w:cs="Times New Roman"/>
                <w:sz w:val="22"/>
                <w:vertAlign w:val="superscript"/>
              </w:rPr>
              <w:t>a</w:t>
            </w:r>
            <w:r w:rsidRPr="000F79AF">
              <w:rPr>
                <w:rFonts w:cs="Times New Roman"/>
                <w:sz w:val="22"/>
              </w:rPr>
              <w:t xml:space="preserve"> ± 0.3</w:t>
            </w:r>
          </w:p>
        </w:tc>
        <w:tc>
          <w:tcPr>
            <w:tcW w:w="2590" w:type="dxa"/>
            <w:tcBorders>
              <w:top w:val="single" w:sz="4" w:space="0" w:color="auto"/>
            </w:tcBorders>
          </w:tcPr>
          <w:p w14:paraId="077AA532" w14:textId="77777777" w:rsidR="001A1CC8" w:rsidRPr="000F79AF" w:rsidRDefault="001A1CC8" w:rsidP="001A1CC8">
            <w:pPr>
              <w:spacing w:after="0" w:line="240" w:lineRule="auto"/>
              <w:jc w:val="center"/>
              <w:rPr>
                <w:rFonts w:cs="Times New Roman"/>
                <w:sz w:val="22"/>
              </w:rPr>
            </w:pPr>
            <w:r w:rsidRPr="000F79AF">
              <w:rPr>
                <w:rFonts w:cs="Times New Roman"/>
                <w:sz w:val="22"/>
              </w:rPr>
              <w:t>35.5</w:t>
            </w:r>
            <w:r w:rsidRPr="000F79AF">
              <w:rPr>
                <w:rFonts w:cs="Times New Roman"/>
                <w:sz w:val="22"/>
                <w:vertAlign w:val="superscript"/>
              </w:rPr>
              <w:t>a</w:t>
            </w:r>
            <w:r w:rsidRPr="000F79AF">
              <w:rPr>
                <w:rFonts w:cs="Times New Roman"/>
                <w:sz w:val="22"/>
              </w:rPr>
              <w:t xml:space="preserve"> ± 1.0</w:t>
            </w:r>
          </w:p>
        </w:tc>
        <w:tc>
          <w:tcPr>
            <w:tcW w:w="2690" w:type="dxa"/>
            <w:tcBorders>
              <w:top w:val="single" w:sz="4" w:space="0" w:color="auto"/>
            </w:tcBorders>
          </w:tcPr>
          <w:p w14:paraId="07201F32" w14:textId="77777777" w:rsidR="001A1CC8" w:rsidRPr="000F79AF" w:rsidRDefault="001A1CC8" w:rsidP="001A1CC8">
            <w:pPr>
              <w:spacing w:after="0" w:line="240" w:lineRule="auto"/>
              <w:jc w:val="center"/>
              <w:rPr>
                <w:rFonts w:cs="Times New Roman"/>
                <w:sz w:val="22"/>
              </w:rPr>
            </w:pPr>
            <w:r w:rsidRPr="000F79AF">
              <w:rPr>
                <w:rFonts w:cs="Times New Roman"/>
                <w:sz w:val="22"/>
              </w:rPr>
              <w:t>48.7</w:t>
            </w:r>
            <w:r w:rsidRPr="000F79AF">
              <w:rPr>
                <w:rFonts w:cs="Times New Roman"/>
                <w:sz w:val="22"/>
                <w:vertAlign w:val="superscript"/>
              </w:rPr>
              <w:t>a</w:t>
            </w:r>
            <w:r w:rsidRPr="000F79AF">
              <w:rPr>
                <w:rFonts w:cs="Times New Roman"/>
                <w:sz w:val="22"/>
              </w:rPr>
              <w:t xml:space="preserve"> ± 1.4</w:t>
            </w:r>
          </w:p>
        </w:tc>
      </w:tr>
      <w:tr w:rsidR="001A1CC8" w:rsidRPr="000F79AF" w14:paraId="7A1365C3" w14:textId="77777777" w:rsidTr="001A1CC8">
        <w:tc>
          <w:tcPr>
            <w:tcW w:w="2695" w:type="dxa"/>
          </w:tcPr>
          <w:p w14:paraId="6357CCAB" w14:textId="77777777" w:rsidR="001A1CC8" w:rsidRPr="000F79AF" w:rsidRDefault="001A1CC8" w:rsidP="00843E4B">
            <w:pPr>
              <w:spacing w:after="0" w:line="240" w:lineRule="auto"/>
              <w:jc w:val="left"/>
              <w:rPr>
                <w:rFonts w:cs="Times New Roman"/>
                <w:sz w:val="22"/>
              </w:rPr>
            </w:pPr>
            <w:r w:rsidRPr="000F79AF">
              <w:rPr>
                <w:rFonts w:cs="Times New Roman"/>
                <w:sz w:val="22"/>
              </w:rPr>
              <w:t>Millet porridge+Baobab (100:15)</w:t>
            </w:r>
          </w:p>
        </w:tc>
        <w:tc>
          <w:tcPr>
            <w:tcW w:w="2485" w:type="dxa"/>
          </w:tcPr>
          <w:p w14:paraId="02B5C4D4" w14:textId="77777777" w:rsidR="0051066F" w:rsidRPr="000F79AF" w:rsidRDefault="001A1CC8" w:rsidP="001A1CC8">
            <w:pPr>
              <w:spacing w:after="0" w:line="240" w:lineRule="auto"/>
              <w:jc w:val="center"/>
              <w:rPr>
                <w:rFonts w:cs="Times New Roman"/>
                <w:sz w:val="22"/>
              </w:rPr>
            </w:pPr>
            <w:r w:rsidRPr="000F79AF">
              <w:rPr>
                <w:rFonts w:cs="Times New Roman"/>
                <w:sz w:val="22"/>
              </w:rPr>
              <w:t>20.1</w:t>
            </w:r>
            <w:r w:rsidRPr="000F79AF">
              <w:rPr>
                <w:rFonts w:cs="Times New Roman"/>
                <w:sz w:val="22"/>
                <w:vertAlign w:val="superscript"/>
              </w:rPr>
              <w:t>bc</w:t>
            </w:r>
            <w:r w:rsidRPr="000F79AF">
              <w:rPr>
                <w:rFonts w:cs="Times New Roman"/>
                <w:sz w:val="22"/>
              </w:rPr>
              <w:t xml:space="preserve"> ± 3.3 </w:t>
            </w:r>
          </w:p>
          <w:p w14:paraId="3A539F8D" w14:textId="124CAA79" w:rsidR="001A1CC8" w:rsidRPr="000F79AF" w:rsidRDefault="001A1CC8" w:rsidP="001A1CC8">
            <w:pPr>
              <w:spacing w:after="0" w:line="240" w:lineRule="auto"/>
              <w:jc w:val="center"/>
              <w:rPr>
                <w:rFonts w:cs="Times New Roman"/>
                <w:sz w:val="22"/>
              </w:rPr>
            </w:pPr>
            <w:r w:rsidRPr="000F79AF">
              <w:rPr>
                <w:rFonts w:cs="Times New Roman"/>
                <w:sz w:val="22"/>
              </w:rPr>
              <w:t>(-14%)</w:t>
            </w:r>
            <w:r w:rsidRPr="000F79AF">
              <w:rPr>
                <w:rFonts w:cs="Times New Roman"/>
                <w:sz w:val="22"/>
                <w:vertAlign w:val="superscript"/>
              </w:rPr>
              <w:t>3</w:t>
            </w:r>
          </w:p>
        </w:tc>
        <w:tc>
          <w:tcPr>
            <w:tcW w:w="2590" w:type="dxa"/>
          </w:tcPr>
          <w:p w14:paraId="35812CC2" w14:textId="77777777" w:rsidR="0051066F" w:rsidRPr="000F79AF" w:rsidRDefault="001A1CC8" w:rsidP="001A1CC8">
            <w:pPr>
              <w:spacing w:after="0" w:line="240" w:lineRule="auto"/>
              <w:jc w:val="center"/>
              <w:rPr>
                <w:rFonts w:cs="Times New Roman"/>
                <w:sz w:val="22"/>
              </w:rPr>
            </w:pPr>
            <w:r w:rsidRPr="000F79AF">
              <w:rPr>
                <w:rFonts w:cs="Times New Roman"/>
                <w:sz w:val="22"/>
              </w:rPr>
              <w:t>14.6</w:t>
            </w:r>
            <w:r w:rsidRPr="000F79AF">
              <w:rPr>
                <w:rFonts w:cs="Times New Roman"/>
                <w:sz w:val="22"/>
                <w:vertAlign w:val="superscript"/>
              </w:rPr>
              <w:t>b</w:t>
            </w:r>
            <w:r w:rsidRPr="000F79AF">
              <w:rPr>
                <w:rFonts w:cs="Times New Roman"/>
                <w:sz w:val="22"/>
              </w:rPr>
              <w:t xml:space="preserve"> ± 2.4 </w:t>
            </w:r>
          </w:p>
          <w:p w14:paraId="351CBF7C" w14:textId="379ED549" w:rsidR="001A1CC8" w:rsidRPr="000F79AF" w:rsidRDefault="001A1CC8" w:rsidP="001A1CC8">
            <w:pPr>
              <w:spacing w:after="0" w:line="240" w:lineRule="auto"/>
              <w:jc w:val="center"/>
              <w:rPr>
                <w:rFonts w:cs="Times New Roman"/>
                <w:sz w:val="22"/>
              </w:rPr>
            </w:pPr>
            <w:r w:rsidRPr="000F79AF">
              <w:rPr>
                <w:rFonts w:cs="Times New Roman"/>
                <w:sz w:val="22"/>
              </w:rPr>
              <w:t>(220%)</w:t>
            </w:r>
          </w:p>
        </w:tc>
        <w:tc>
          <w:tcPr>
            <w:tcW w:w="2590" w:type="dxa"/>
          </w:tcPr>
          <w:p w14:paraId="30AC21C2" w14:textId="77777777" w:rsidR="0051066F" w:rsidRPr="000F79AF" w:rsidRDefault="001A1CC8" w:rsidP="001A1CC8">
            <w:pPr>
              <w:spacing w:after="0" w:line="240" w:lineRule="auto"/>
              <w:jc w:val="center"/>
              <w:rPr>
                <w:rFonts w:cs="Times New Roman"/>
                <w:sz w:val="22"/>
              </w:rPr>
            </w:pPr>
            <w:r w:rsidRPr="000F79AF">
              <w:rPr>
                <w:rFonts w:cs="Times New Roman"/>
                <w:sz w:val="22"/>
              </w:rPr>
              <w:t>39.6</w:t>
            </w:r>
            <w:r w:rsidRPr="000F79AF">
              <w:rPr>
                <w:rFonts w:cs="Times New Roman"/>
                <w:sz w:val="22"/>
                <w:vertAlign w:val="superscript"/>
              </w:rPr>
              <w:t>b</w:t>
            </w:r>
            <w:r w:rsidRPr="000F79AF">
              <w:rPr>
                <w:rFonts w:cs="Times New Roman"/>
                <w:sz w:val="22"/>
              </w:rPr>
              <w:t xml:space="preserve"> ± 2.6 </w:t>
            </w:r>
          </w:p>
          <w:p w14:paraId="2AEADB07" w14:textId="5697E0EC" w:rsidR="001A1CC8" w:rsidRPr="000F79AF" w:rsidRDefault="001A1CC8" w:rsidP="001A1CC8">
            <w:pPr>
              <w:spacing w:after="0" w:line="240" w:lineRule="auto"/>
              <w:jc w:val="center"/>
              <w:rPr>
                <w:rFonts w:cs="Times New Roman"/>
                <w:sz w:val="22"/>
              </w:rPr>
            </w:pPr>
            <w:r w:rsidRPr="000F79AF">
              <w:rPr>
                <w:rFonts w:cs="Times New Roman"/>
                <w:sz w:val="22"/>
              </w:rPr>
              <w:t>(12%)</w:t>
            </w:r>
          </w:p>
        </w:tc>
        <w:tc>
          <w:tcPr>
            <w:tcW w:w="2690" w:type="dxa"/>
          </w:tcPr>
          <w:p w14:paraId="5DCBFB79" w14:textId="77777777" w:rsidR="0051066F" w:rsidRPr="000F79AF" w:rsidRDefault="001A1CC8" w:rsidP="001A1CC8">
            <w:pPr>
              <w:spacing w:after="0" w:line="240" w:lineRule="auto"/>
              <w:jc w:val="center"/>
              <w:rPr>
                <w:rFonts w:cs="Times New Roman"/>
                <w:sz w:val="22"/>
              </w:rPr>
            </w:pPr>
            <w:r w:rsidRPr="000F79AF">
              <w:rPr>
                <w:rFonts w:cs="Times New Roman"/>
                <w:sz w:val="22"/>
              </w:rPr>
              <w:t>59.4</w:t>
            </w:r>
            <w:r w:rsidRPr="000F79AF">
              <w:rPr>
                <w:rFonts w:cs="Times New Roman"/>
                <w:sz w:val="22"/>
                <w:vertAlign w:val="superscript"/>
              </w:rPr>
              <w:t>b</w:t>
            </w:r>
            <w:r w:rsidRPr="000F79AF">
              <w:rPr>
                <w:rFonts w:cs="Times New Roman"/>
                <w:sz w:val="22"/>
              </w:rPr>
              <w:t xml:space="preserve"> ± 3.8 </w:t>
            </w:r>
          </w:p>
          <w:p w14:paraId="0EE1735D" w14:textId="757B277F" w:rsidR="001A1CC8" w:rsidRPr="000F79AF" w:rsidRDefault="001A1CC8" w:rsidP="001A1CC8">
            <w:pPr>
              <w:spacing w:after="0" w:line="240" w:lineRule="auto"/>
              <w:jc w:val="center"/>
              <w:rPr>
                <w:rFonts w:cs="Times New Roman"/>
                <w:sz w:val="22"/>
              </w:rPr>
            </w:pPr>
            <w:r w:rsidRPr="000F79AF">
              <w:rPr>
                <w:rFonts w:cs="Times New Roman"/>
                <w:sz w:val="22"/>
              </w:rPr>
              <w:t>(22%)</w:t>
            </w:r>
          </w:p>
        </w:tc>
      </w:tr>
      <w:tr w:rsidR="001A1CC8" w:rsidRPr="000F79AF" w14:paraId="2B427E43" w14:textId="77777777" w:rsidTr="001A1CC8">
        <w:tc>
          <w:tcPr>
            <w:tcW w:w="2695" w:type="dxa"/>
          </w:tcPr>
          <w:p w14:paraId="5533E5C5" w14:textId="77777777" w:rsidR="001A1CC8" w:rsidRPr="000F79AF" w:rsidRDefault="001A1CC8" w:rsidP="00843E4B">
            <w:pPr>
              <w:spacing w:after="0" w:line="240" w:lineRule="auto"/>
              <w:jc w:val="left"/>
              <w:rPr>
                <w:rFonts w:cs="Times New Roman"/>
                <w:sz w:val="22"/>
              </w:rPr>
            </w:pPr>
            <w:r w:rsidRPr="000F79AF">
              <w:rPr>
                <w:rFonts w:cs="Times New Roman"/>
                <w:sz w:val="22"/>
              </w:rPr>
              <w:t>Millet porridge+Moringa (100:15)</w:t>
            </w:r>
          </w:p>
        </w:tc>
        <w:tc>
          <w:tcPr>
            <w:tcW w:w="2485" w:type="dxa"/>
          </w:tcPr>
          <w:p w14:paraId="223492F1" w14:textId="77777777" w:rsidR="0051066F" w:rsidRPr="000F79AF" w:rsidRDefault="001A1CC8" w:rsidP="001A1CC8">
            <w:pPr>
              <w:spacing w:after="0" w:line="240" w:lineRule="auto"/>
              <w:jc w:val="center"/>
              <w:rPr>
                <w:rFonts w:cs="Times New Roman"/>
                <w:sz w:val="22"/>
              </w:rPr>
            </w:pPr>
            <w:r w:rsidRPr="000F79AF">
              <w:rPr>
                <w:rFonts w:cs="Times New Roman"/>
                <w:sz w:val="22"/>
              </w:rPr>
              <w:t>14.5</w:t>
            </w:r>
            <w:r w:rsidRPr="000F79AF">
              <w:rPr>
                <w:rFonts w:cs="Times New Roman"/>
                <w:sz w:val="22"/>
                <w:vertAlign w:val="superscript"/>
              </w:rPr>
              <w:t>a</w:t>
            </w:r>
            <w:r w:rsidRPr="000F79AF">
              <w:rPr>
                <w:rFonts w:cs="Times New Roman"/>
                <w:sz w:val="22"/>
              </w:rPr>
              <w:t xml:space="preserve"> ± 0.5 </w:t>
            </w:r>
          </w:p>
          <w:p w14:paraId="4302A131" w14:textId="55F5EDC2" w:rsidR="001A1CC8" w:rsidRPr="000F79AF" w:rsidRDefault="001A1CC8" w:rsidP="001A1CC8">
            <w:pPr>
              <w:spacing w:after="0" w:line="240" w:lineRule="auto"/>
              <w:jc w:val="center"/>
              <w:rPr>
                <w:rFonts w:cs="Times New Roman"/>
                <w:sz w:val="22"/>
              </w:rPr>
            </w:pPr>
            <w:r w:rsidRPr="000F79AF">
              <w:rPr>
                <w:rFonts w:cs="Times New Roman"/>
                <w:sz w:val="22"/>
              </w:rPr>
              <w:t>(-37%)</w:t>
            </w:r>
          </w:p>
        </w:tc>
        <w:tc>
          <w:tcPr>
            <w:tcW w:w="2590" w:type="dxa"/>
          </w:tcPr>
          <w:p w14:paraId="63691DF2" w14:textId="77777777" w:rsidR="0051066F" w:rsidRPr="000F79AF" w:rsidRDefault="001A1CC8" w:rsidP="001A1CC8">
            <w:pPr>
              <w:spacing w:after="0" w:line="240" w:lineRule="auto"/>
              <w:jc w:val="center"/>
              <w:rPr>
                <w:rFonts w:cs="Times New Roman"/>
                <w:sz w:val="22"/>
              </w:rPr>
            </w:pPr>
            <w:r w:rsidRPr="000F79AF">
              <w:rPr>
                <w:rFonts w:cs="Times New Roman"/>
                <w:sz w:val="22"/>
              </w:rPr>
              <w:t>79.3</w:t>
            </w:r>
            <w:r w:rsidRPr="000F79AF">
              <w:rPr>
                <w:rFonts w:cs="Times New Roman"/>
                <w:sz w:val="22"/>
                <w:vertAlign w:val="superscript"/>
              </w:rPr>
              <w:t>c</w:t>
            </w:r>
            <w:r w:rsidRPr="000F79AF">
              <w:rPr>
                <w:rFonts w:cs="Times New Roman"/>
                <w:sz w:val="22"/>
              </w:rPr>
              <w:t xml:space="preserve"> ± 3.0 </w:t>
            </w:r>
          </w:p>
          <w:p w14:paraId="56EE9A7C" w14:textId="52AEB13E" w:rsidR="001A1CC8" w:rsidRPr="000F79AF" w:rsidRDefault="001A1CC8" w:rsidP="001A1CC8">
            <w:pPr>
              <w:spacing w:after="0" w:line="240" w:lineRule="auto"/>
              <w:jc w:val="center"/>
              <w:rPr>
                <w:rFonts w:cs="Times New Roman"/>
                <w:sz w:val="22"/>
              </w:rPr>
            </w:pPr>
            <w:r w:rsidRPr="000F79AF">
              <w:rPr>
                <w:rFonts w:cs="Times New Roman"/>
                <w:sz w:val="22"/>
              </w:rPr>
              <w:t>(1641%)</w:t>
            </w:r>
          </w:p>
        </w:tc>
        <w:tc>
          <w:tcPr>
            <w:tcW w:w="2590" w:type="dxa"/>
          </w:tcPr>
          <w:p w14:paraId="1AA95E0B" w14:textId="77777777" w:rsidR="001A1CC8" w:rsidRPr="000F79AF" w:rsidRDefault="001A1CC8" w:rsidP="001A1CC8">
            <w:pPr>
              <w:spacing w:after="0" w:line="240" w:lineRule="auto"/>
              <w:jc w:val="center"/>
              <w:rPr>
                <w:rFonts w:cs="Times New Roman"/>
                <w:sz w:val="22"/>
              </w:rPr>
            </w:pPr>
            <w:r w:rsidRPr="000F79AF">
              <w:rPr>
                <w:rFonts w:cs="Times New Roman"/>
                <w:sz w:val="22"/>
              </w:rPr>
              <w:t>36.1</w:t>
            </w:r>
            <w:r w:rsidRPr="000F79AF">
              <w:rPr>
                <w:rFonts w:cs="Times New Roman"/>
                <w:sz w:val="22"/>
                <w:vertAlign w:val="superscript"/>
              </w:rPr>
              <w:t>a</w:t>
            </w:r>
            <w:r w:rsidRPr="000F79AF">
              <w:rPr>
                <w:rFonts w:cs="Times New Roman"/>
                <w:sz w:val="22"/>
              </w:rPr>
              <w:t xml:space="preserve"> ± 1.1</w:t>
            </w:r>
          </w:p>
        </w:tc>
        <w:tc>
          <w:tcPr>
            <w:tcW w:w="2690" w:type="dxa"/>
          </w:tcPr>
          <w:p w14:paraId="10A72B7A" w14:textId="77777777" w:rsidR="0051066F" w:rsidRPr="000F79AF" w:rsidRDefault="001A1CC8" w:rsidP="001A1CC8">
            <w:pPr>
              <w:spacing w:after="0" w:line="240" w:lineRule="auto"/>
              <w:jc w:val="center"/>
              <w:rPr>
                <w:rFonts w:cs="Times New Roman"/>
                <w:sz w:val="22"/>
              </w:rPr>
            </w:pPr>
            <w:r w:rsidRPr="000F79AF">
              <w:rPr>
                <w:rFonts w:cs="Times New Roman"/>
                <w:sz w:val="22"/>
              </w:rPr>
              <w:t>82.3</w:t>
            </w:r>
            <w:r w:rsidRPr="000F79AF">
              <w:rPr>
                <w:rFonts w:cs="Times New Roman"/>
                <w:sz w:val="22"/>
                <w:vertAlign w:val="superscript"/>
              </w:rPr>
              <w:t>c</w:t>
            </w:r>
            <w:r w:rsidRPr="000F79AF">
              <w:rPr>
                <w:rFonts w:cs="Times New Roman"/>
                <w:sz w:val="22"/>
              </w:rPr>
              <w:t xml:space="preserve"> ± 2.5 </w:t>
            </w:r>
          </w:p>
          <w:p w14:paraId="6E897B0C" w14:textId="783B9001" w:rsidR="001A1CC8" w:rsidRPr="000F79AF" w:rsidRDefault="001A1CC8" w:rsidP="001A1CC8">
            <w:pPr>
              <w:spacing w:after="0" w:line="240" w:lineRule="auto"/>
              <w:jc w:val="center"/>
              <w:rPr>
                <w:rFonts w:cs="Times New Roman"/>
                <w:sz w:val="22"/>
              </w:rPr>
            </w:pPr>
            <w:r w:rsidRPr="000F79AF">
              <w:rPr>
                <w:rFonts w:cs="Times New Roman"/>
                <w:sz w:val="22"/>
              </w:rPr>
              <w:t>(69%)</w:t>
            </w:r>
          </w:p>
        </w:tc>
      </w:tr>
      <w:tr w:rsidR="001A1CC8" w:rsidRPr="000F79AF" w14:paraId="72D761C6" w14:textId="77777777" w:rsidTr="001A1CC8">
        <w:tc>
          <w:tcPr>
            <w:tcW w:w="2695" w:type="dxa"/>
          </w:tcPr>
          <w:p w14:paraId="6B3C22E6" w14:textId="77777777" w:rsidR="001A1CC8" w:rsidRPr="000F79AF" w:rsidRDefault="001A1CC8" w:rsidP="00843E4B">
            <w:pPr>
              <w:spacing w:after="0" w:line="240" w:lineRule="auto"/>
              <w:jc w:val="left"/>
              <w:rPr>
                <w:rFonts w:cs="Times New Roman"/>
                <w:sz w:val="22"/>
              </w:rPr>
            </w:pPr>
            <w:r w:rsidRPr="000F79AF">
              <w:rPr>
                <w:rFonts w:cs="Times New Roman"/>
                <w:sz w:val="22"/>
              </w:rPr>
              <w:t>Millet porridge+Baobab</w:t>
            </w:r>
          </w:p>
          <w:p w14:paraId="30F29068" w14:textId="7D13B6A1" w:rsidR="001A1CC8" w:rsidRPr="000F79AF" w:rsidRDefault="001A1CC8" w:rsidP="00843E4B">
            <w:pPr>
              <w:spacing w:after="0" w:line="240" w:lineRule="auto"/>
              <w:jc w:val="left"/>
              <w:rPr>
                <w:rFonts w:cs="Times New Roman"/>
                <w:sz w:val="22"/>
              </w:rPr>
            </w:pPr>
            <w:r w:rsidRPr="000F79AF">
              <w:rPr>
                <w:rFonts w:cs="Times New Roman"/>
                <w:sz w:val="22"/>
              </w:rPr>
              <w:t>+Moringa (100:15:15)</w:t>
            </w:r>
          </w:p>
        </w:tc>
        <w:tc>
          <w:tcPr>
            <w:tcW w:w="2485" w:type="dxa"/>
          </w:tcPr>
          <w:p w14:paraId="56AF0CE2" w14:textId="77777777" w:rsidR="0051066F" w:rsidRPr="000F79AF" w:rsidRDefault="001A1CC8" w:rsidP="001A1CC8">
            <w:pPr>
              <w:spacing w:after="0" w:line="240" w:lineRule="auto"/>
              <w:jc w:val="center"/>
              <w:rPr>
                <w:rFonts w:cs="Times New Roman"/>
                <w:sz w:val="22"/>
              </w:rPr>
            </w:pPr>
            <w:r w:rsidRPr="000F79AF">
              <w:rPr>
                <w:rFonts w:cs="Times New Roman"/>
                <w:sz w:val="22"/>
              </w:rPr>
              <w:t>17.2</w:t>
            </w:r>
            <w:r w:rsidRPr="000F79AF">
              <w:rPr>
                <w:rFonts w:cs="Times New Roman"/>
                <w:sz w:val="22"/>
                <w:vertAlign w:val="superscript"/>
              </w:rPr>
              <w:t>ab</w:t>
            </w:r>
            <w:r w:rsidRPr="000F79AF">
              <w:rPr>
                <w:rFonts w:cs="Times New Roman"/>
                <w:sz w:val="22"/>
              </w:rPr>
              <w:t xml:space="preserve"> ± 1.7 </w:t>
            </w:r>
          </w:p>
          <w:p w14:paraId="649AA4DE" w14:textId="148E190A" w:rsidR="001A1CC8" w:rsidRPr="000F79AF" w:rsidRDefault="001A1CC8" w:rsidP="001A1CC8">
            <w:pPr>
              <w:spacing w:after="0" w:line="240" w:lineRule="auto"/>
              <w:jc w:val="center"/>
              <w:rPr>
                <w:rFonts w:cs="Times New Roman"/>
                <w:sz w:val="22"/>
              </w:rPr>
            </w:pPr>
            <w:r w:rsidRPr="000F79AF">
              <w:rPr>
                <w:rFonts w:cs="Times New Roman"/>
                <w:sz w:val="22"/>
              </w:rPr>
              <w:t>(-26%)</w:t>
            </w:r>
          </w:p>
        </w:tc>
        <w:tc>
          <w:tcPr>
            <w:tcW w:w="2590" w:type="dxa"/>
          </w:tcPr>
          <w:p w14:paraId="12D279AF" w14:textId="77777777" w:rsidR="0051066F" w:rsidRPr="000F79AF" w:rsidRDefault="001A1CC8" w:rsidP="001A1CC8">
            <w:pPr>
              <w:spacing w:after="0" w:line="240" w:lineRule="auto"/>
              <w:jc w:val="center"/>
              <w:rPr>
                <w:rFonts w:cs="Times New Roman"/>
                <w:sz w:val="22"/>
              </w:rPr>
            </w:pPr>
            <w:r w:rsidRPr="000F79AF">
              <w:rPr>
                <w:rFonts w:cs="Times New Roman"/>
                <w:sz w:val="22"/>
              </w:rPr>
              <w:t>94.0</w:t>
            </w:r>
            <w:r w:rsidRPr="000F79AF">
              <w:rPr>
                <w:rFonts w:cs="Times New Roman"/>
                <w:sz w:val="22"/>
                <w:vertAlign w:val="superscript"/>
              </w:rPr>
              <w:t>d</w:t>
            </w:r>
            <w:r w:rsidRPr="000F79AF">
              <w:rPr>
                <w:rFonts w:cs="Times New Roman"/>
                <w:sz w:val="22"/>
              </w:rPr>
              <w:t xml:space="preserve"> ± 9.0 </w:t>
            </w:r>
          </w:p>
          <w:p w14:paraId="1BB3D69B" w14:textId="2F92E01A" w:rsidR="001A1CC8" w:rsidRPr="000F79AF" w:rsidRDefault="001A1CC8" w:rsidP="001A1CC8">
            <w:pPr>
              <w:spacing w:after="0" w:line="240" w:lineRule="auto"/>
              <w:jc w:val="center"/>
              <w:rPr>
                <w:rFonts w:cs="Times New Roman"/>
                <w:sz w:val="22"/>
              </w:rPr>
            </w:pPr>
            <w:r w:rsidRPr="000F79AF">
              <w:rPr>
                <w:rFonts w:cs="Times New Roman"/>
                <w:sz w:val="22"/>
              </w:rPr>
              <w:t>(1967%)</w:t>
            </w:r>
          </w:p>
        </w:tc>
        <w:tc>
          <w:tcPr>
            <w:tcW w:w="2590" w:type="dxa"/>
          </w:tcPr>
          <w:p w14:paraId="5D3CB8BF" w14:textId="77777777" w:rsidR="001A1CC8" w:rsidRPr="000F79AF" w:rsidRDefault="001A1CC8" w:rsidP="001A1CC8">
            <w:pPr>
              <w:spacing w:after="0" w:line="240" w:lineRule="auto"/>
              <w:jc w:val="center"/>
              <w:rPr>
                <w:rFonts w:cs="Times New Roman"/>
                <w:sz w:val="22"/>
              </w:rPr>
            </w:pPr>
            <w:r w:rsidRPr="000F79AF">
              <w:rPr>
                <w:rFonts w:cs="Times New Roman"/>
                <w:sz w:val="22"/>
              </w:rPr>
              <w:t>37.2</w:t>
            </w:r>
            <w:r w:rsidRPr="000F79AF">
              <w:rPr>
                <w:rFonts w:cs="Times New Roman"/>
                <w:sz w:val="22"/>
                <w:vertAlign w:val="superscript"/>
              </w:rPr>
              <w:t>ab</w:t>
            </w:r>
            <w:r w:rsidRPr="000F79AF">
              <w:rPr>
                <w:rFonts w:cs="Times New Roman"/>
                <w:sz w:val="22"/>
              </w:rPr>
              <w:t xml:space="preserve"> ± 3.1</w:t>
            </w:r>
          </w:p>
        </w:tc>
        <w:tc>
          <w:tcPr>
            <w:tcW w:w="2690" w:type="dxa"/>
          </w:tcPr>
          <w:p w14:paraId="20106868" w14:textId="77777777" w:rsidR="0051066F" w:rsidRPr="000F79AF" w:rsidRDefault="001A1CC8" w:rsidP="001A1CC8">
            <w:pPr>
              <w:spacing w:after="0" w:line="240" w:lineRule="auto"/>
              <w:jc w:val="center"/>
              <w:rPr>
                <w:rFonts w:cs="Times New Roman"/>
                <w:sz w:val="22"/>
              </w:rPr>
            </w:pPr>
            <w:r w:rsidRPr="000F79AF">
              <w:rPr>
                <w:rFonts w:cs="Times New Roman"/>
                <w:sz w:val="22"/>
              </w:rPr>
              <w:t>86.1</w:t>
            </w:r>
            <w:r w:rsidRPr="000F79AF">
              <w:rPr>
                <w:rFonts w:cs="Times New Roman"/>
                <w:sz w:val="22"/>
                <w:vertAlign w:val="superscript"/>
              </w:rPr>
              <w:t>c</w:t>
            </w:r>
            <w:r w:rsidRPr="000F79AF">
              <w:rPr>
                <w:rFonts w:cs="Times New Roman"/>
                <w:sz w:val="22"/>
              </w:rPr>
              <w:t xml:space="preserve"> ± 7.1 </w:t>
            </w:r>
          </w:p>
          <w:p w14:paraId="7D885951" w14:textId="308222F1" w:rsidR="001A1CC8" w:rsidRPr="000F79AF" w:rsidRDefault="001A1CC8" w:rsidP="001A1CC8">
            <w:pPr>
              <w:spacing w:after="0" w:line="240" w:lineRule="auto"/>
              <w:jc w:val="center"/>
              <w:rPr>
                <w:rFonts w:cs="Times New Roman"/>
                <w:sz w:val="22"/>
              </w:rPr>
            </w:pPr>
            <w:r w:rsidRPr="000F79AF">
              <w:rPr>
                <w:rFonts w:cs="Times New Roman"/>
                <w:sz w:val="22"/>
              </w:rPr>
              <w:t>(77%)</w:t>
            </w:r>
          </w:p>
        </w:tc>
      </w:tr>
      <w:tr w:rsidR="001A1CC8" w:rsidRPr="000F79AF" w14:paraId="603A0E0A" w14:textId="77777777" w:rsidTr="001A1CC8">
        <w:tc>
          <w:tcPr>
            <w:tcW w:w="2695" w:type="dxa"/>
          </w:tcPr>
          <w:p w14:paraId="43E2DEEC" w14:textId="77777777" w:rsidR="001A1CC8" w:rsidRPr="000F79AF" w:rsidRDefault="001A1CC8" w:rsidP="00843E4B">
            <w:pPr>
              <w:spacing w:after="0" w:line="240" w:lineRule="auto"/>
              <w:jc w:val="left"/>
              <w:rPr>
                <w:rFonts w:cs="Times New Roman"/>
                <w:sz w:val="22"/>
              </w:rPr>
            </w:pPr>
            <w:r w:rsidRPr="000F79AF">
              <w:rPr>
                <w:rFonts w:cs="Times New Roman"/>
                <w:sz w:val="22"/>
              </w:rPr>
              <w:t>Millet porridge</w:t>
            </w:r>
          </w:p>
          <w:p w14:paraId="4BCED1C1" w14:textId="718EE1D7" w:rsidR="001A1CC8" w:rsidRPr="000F79AF" w:rsidRDefault="001A1CC8" w:rsidP="00843E4B">
            <w:pPr>
              <w:spacing w:after="0" w:line="240" w:lineRule="auto"/>
              <w:jc w:val="left"/>
              <w:rPr>
                <w:rFonts w:cs="Times New Roman"/>
                <w:sz w:val="22"/>
              </w:rPr>
            </w:pPr>
            <w:r w:rsidRPr="000F79AF">
              <w:rPr>
                <w:rFonts w:cs="Times New Roman"/>
                <w:sz w:val="22"/>
              </w:rPr>
              <w:t>+Ascorbic acid</w:t>
            </w:r>
            <w:r w:rsidRPr="000F79AF">
              <w:rPr>
                <w:rFonts w:cs="Times New Roman"/>
                <w:sz w:val="22"/>
                <w:vertAlign w:val="superscript"/>
              </w:rPr>
              <w:t>4</w:t>
            </w:r>
          </w:p>
        </w:tc>
        <w:tc>
          <w:tcPr>
            <w:tcW w:w="2485" w:type="dxa"/>
          </w:tcPr>
          <w:p w14:paraId="2A634D6E" w14:textId="77777777" w:rsidR="0051066F" w:rsidRPr="000F79AF" w:rsidRDefault="001A1CC8" w:rsidP="001A1CC8">
            <w:pPr>
              <w:spacing w:after="0" w:line="240" w:lineRule="auto"/>
              <w:jc w:val="center"/>
              <w:rPr>
                <w:rFonts w:cs="Times New Roman"/>
                <w:sz w:val="22"/>
              </w:rPr>
            </w:pPr>
            <w:r w:rsidRPr="000F79AF">
              <w:rPr>
                <w:rFonts w:cs="Times New Roman"/>
                <w:sz w:val="22"/>
              </w:rPr>
              <w:t>27.4</w:t>
            </w:r>
            <w:r w:rsidRPr="000F79AF">
              <w:rPr>
                <w:rFonts w:cs="Times New Roman"/>
                <w:sz w:val="22"/>
                <w:vertAlign w:val="superscript"/>
              </w:rPr>
              <w:t>d</w:t>
            </w:r>
            <w:r w:rsidRPr="000F79AF">
              <w:rPr>
                <w:rFonts w:cs="Times New Roman"/>
                <w:sz w:val="22"/>
              </w:rPr>
              <w:t xml:space="preserve"> ± 1.9 </w:t>
            </w:r>
          </w:p>
          <w:p w14:paraId="5851B772" w14:textId="3E9E42A9" w:rsidR="001A1CC8" w:rsidRPr="000F79AF" w:rsidRDefault="001A1CC8" w:rsidP="001A1CC8">
            <w:pPr>
              <w:spacing w:after="0" w:line="240" w:lineRule="auto"/>
              <w:jc w:val="center"/>
              <w:rPr>
                <w:rFonts w:cs="Times New Roman"/>
                <w:sz w:val="22"/>
              </w:rPr>
            </w:pPr>
            <w:r w:rsidRPr="000F79AF">
              <w:rPr>
                <w:rFonts w:cs="Times New Roman"/>
                <w:sz w:val="22"/>
              </w:rPr>
              <w:t>(18%)</w:t>
            </w:r>
          </w:p>
        </w:tc>
        <w:tc>
          <w:tcPr>
            <w:tcW w:w="2590" w:type="dxa"/>
          </w:tcPr>
          <w:p w14:paraId="51F7848D" w14:textId="77777777" w:rsidR="001A1CC8" w:rsidRPr="000F79AF" w:rsidRDefault="001A1CC8" w:rsidP="001A1CC8">
            <w:pPr>
              <w:spacing w:after="0" w:line="240" w:lineRule="auto"/>
              <w:jc w:val="center"/>
              <w:rPr>
                <w:rFonts w:cs="Times New Roman"/>
                <w:sz w:val="22"/>
              </w:rPr>
            </w:pPr>
            <w:r w:rsidRPr="000F79AF">
              <w:rPr>
                <w:rFonts w:cs="Times New Roman"/>
                <w:sz w:val="22"/>
              </w:rPr>
              <w:t>5.4</w:t>
            </w:r>
            <w:r w:rsidRPr="000F79AF">
              <w:rPr>
                <w:rFonts w:cs="Times New Roman"/>
                <w:sz w:val="22"/>
                <w:vertAlign w:val="superscript"/>
              </w:rPr>
              <w:t>a</w:t>
            </w:r>
            <w:r w:rsidRPr="000F79AF">
              <w:rPr>
                <w:rFonts w:cs="Times New Roman"/>
                <w:sz w:val="22"/>
              </w:rPr>
              <w:t xml:space="preserve"> ± 0.4</w:t>
            </w:r>
          </w:p>
        </w:tc>
        <w:tc>
          <w:tcPr>
            <w:tcW w:w="2590" w:type="dxa"/>
          </w:tcPr>
          <w:p w14:paraId="1FA503E5" w14:textId="77777777" w:rsidR="001A1CC8" w:rsidRPr="000F79AF" w:rsidRDefault="001A1CC8" w:rsidP="001A1CC8">
            <w:pPr>
              <w:spacing w:after="0" w:line="240" w:lineRule="auto"/>
              <w:jc w:val="center"/>
              <w:rPr>
                <w:rFonts w:cs="Times New Roman"/>
                <w:sz w:val="22"/>
              </w:rPr>
            </w:pPr>
            <w:r w:rsidRPr="000F79AF">
              <w:rPr>
                <w:rFonts w:cs="Times New Roman"/>
                <w:sz w:val="22"/>
              </w:rPr>
              <w:t>37.5</w:t>
            </w:r>
            <w:r w:rsidRPr="000F79AF">
              <w:rPr>
                <w:rFonts w:cs="Times New Roman"/>
                <w:sz w:val="22"/>
                <w:vertAlign w:val="superscript"/>
              </w:rPr>
              <w:t>ab</w:t>
            </w:r>
            <w:r w:rsidRPr="000F79AF">
              <w:rPr>
                <w:rFonts w:cs="Times New Roman"/>
                <w:sz w:val="22"/>
              </w:rPr>
              <w:t xml:space="preserve"> ± 1.1</w:t>
            </w:r>
          </w:p>
        </w:tc>
        <w:tc>
          <w:tcPr>
            <w:tcW w:w="2690" w:type="dxa"/>
          </w:tcPr>
          <w:p w14:paraId="18932689" w14:textId="77777777" w:rsidR="001A1CC8" w:rsidRPr="000F79AF" w:rsidRDefault="001A1CC8" w:rsidP="001A1CC8">
            <w:pPr>
              <w:spacing w:after="0" w:line="240" w:lineRule="auto"/>
              <w:jc w:val="center"/>
              <w:rPr>
                <w:rFonts w:cs="Times New Roman"/>
                <w:sz w:val="22"/>
              </w:rPr>
            </w:pPr>
            <w:r w:rsidRPr="000F79AF">
              <w:rPr>
                <w:rFonts w:cs="Times New Roman"/>
                <w:sz w:val="22"/>
              </w:rPr>
              <w:t>51.5</w:t>
            </w:r>
            <w:r w:rsidRPr="000F79AF">
              <w:rPr>
                <w:rFonts w:cs="Times New Roman"/>
                <w:sz w:val="22"/>
                <w:vertAlign w:val="superscript"/>
              </w:rPr>
              <w:t>a</w:t>
            </w:r>
            <w:r w:rsidRPr="000F79AF">
              <w:rPr>
                <w:rFonts w:cs="Times New Roman"/>
                <w:sz w:val="22"/>
              </w:rPr>
              <w:t xml:space="preserve"> ± 1.5</w:t>
            </w:r>
          </w:p>
        </w:tc>
      </w:tr>
      <w:tr w:rsidR="001A1CC8" w:rsidRPr="000F79AF" w14:paraId="7FEF0926" w14:textId="77777777" w:rsidTr="001A1CC8">
        <w:tc>
          <w:tcPr>
            <w:tcW w:w="2695" w:type="dxa"/>
          </w:tcPr>
          <w:p w14:paraId="117AFAB5" w14:textId="77777777" w:rsidR="001A1CC8" w:rsidRPr="000F79AF" w:rsidRDefault="001A1CC8" w:rsidP="00843E4B">
            <w:pPr>
              <w:spacing w:after="0" w:line="240" w:lineRule="auto"/>
              <w:jc w:val="left"/>
              <w:rPr>
                <w:rFonts w:cs="Times New Roman"/>
                <w:sz w:val="22"/>
              </w:rPr>
            </w:pPr>
            <w:r w:rsidRPr="000F79AF">
              <w:rPr>
                <w:rFonts w:cs="Times New Roman"/>
                <w:sz w:val="22"/>
              </w:rPr>
              <w:t>Millet porridge</w:t>
            </w:r>
          </w:p>
          <w:p w14:paraId="2E397F48" w14:textId="35F0A023" w:rsidR="001A1CC8" w:rsidRPr="000F79AF" w:rsidRDefault="001A1CC8" w:rsidP="00843E4B">
            <w:pPr>
              <w:spacing w:after="0" w:line="240" w:lineRule="auto"/>
              <w:jc w:val="left"/>
              <w:rPr>
                <w:rFonts w:cs="Times New Roman"/>
                <w:sz w:val="22"/>
              </w:rPr>
            </w:pPr>
            <w:r w:rsidRPr="000F79AF">
              <w:rPr>
                <w:rFonts w:cs="Times New Roman"/>
                <w:sz w:val="22"/>
              </w:rPr>
              <w:t>+Citric acid</w:t>
            </w:r>
            <w:r w:rsidRPr="000F79AF">
              <w:rPr>
                <w:rFonts w:cs="Times New Roman"/>
                <w:sz w:val="22"/>
                <w:vertAlign w:val="superscript"/>
              </w:rPr>
              <w:t>4</w:t>
            </w:r>
          </w:p>
        </w:tc>
        <w:tc>
          <w:tcPr>
            <w:tcW w:w="2485" w:type="dxa"/>
          </w:tcPr>
          <w:p w14:paraId="58703518" w14:textId="77777777" w:rsidR="0051066F" w:rsidRPr="000F79AF" w:rsidRDefault="001A1CC8" w:rsidP="001A1CC8">
            <w:pPr>
              <w:spacing w:after="0" w:line="240" w:lineRule="auto"/>
              <w:jc w:val="center"/>
              <w:rPr>
                <w:rFonts w:cs="Times New Roman"/>
                <w:sz w:val="22"/>
              </w:rPr>
            </w:pPr>
            <w:r w:rsidRPr="000F79AF">
              <w:rPr>
                <w:rFonts w:cs="Times New Roman"/>
                <w:sz w:val="22"/>
              </w:rPr>
              <w:t>36.4</w:t>
            </w:r>
            <w:r w:rsidRPr="000F79AF">
              <w:rPr>
                <w:rFonts w:cs="Times New Roman"/>
                <w:sz w:val="22"/>
                <w:vertAlign w:val="superscript"/>
              </w:rPr>
              <w:t>e</w:t>
            </w:r>
            <w:r w:rsidRPr="000F79AF">
              <w:rPr>
                <w:rFonts w:cs="Times New Roman"/>
                <w:sz w:val="22"/>
              </w:rPr>
              <w:t xml:space="preserve"> ± 2.2 </w:t>
            </w:r>
          </w:p>
          <w:p w14:paraId="6ED4CB57" w14:textId="63B1C28B" w:rsidR="001A1CC8" w:rsidRPr="000F79AF" w:rsidRDefault="001A1CC8" w:rsidP="001A1CC8">
            <w:pPr>
              <w:spacing w:after="0" w:line="240" w:lineRule="auto"/>
              <w:jc w:val="center"/>
              <w:rPr>
                <w:rFonts w:cs="Times New Roman"/>
                <w:sz w:val="22"/>
              </w:rPr>
            </w:pPr>
            <w:r w:rsidRPr="000F79AF">
              <w:rPr>
                <w:rFonts w:cs="Times New Roman"/>
                <w:sz w:val="22"/>
              </w:rPr>
              <w:t>(56%)</w:t>
            </w:r>
          </w:p>
        </w:tc>
        <w:tc>
          <w:tcPr>
            <w:tcW w:w="2590" w:type="dxa"/>
          </w:tcPr>
          <w:p w14:paraId="7489AECE" w14:textId="77777777" w:rsidR="001A1CC8" w:rsidRPr="000F79AF" w:rsidRDefault="001A1CC8" w:rsidP="001A1CC8">
            <w:pPr>
              <w:spacing w:after="0" w:line="240" w:lineRule="auto"/>
              <w:jc w:val="center"/>
              <w:rPr>
                <w:rFonts w:cs="Times New Roman"/>
                <w:sz w:val="22"/>
              </w:rPr>
            </w:pPr>
            <w:r w:rsidRPr="000F79AF">
              <w:rPr>
                <w:rFonts w:cs="Times New Roman"/>
                <w:sz w:val="22"/>
              </w:rPr>
              <w:t>7.1</w:t>
            </w:r>
            <w:r w:rsidRPr="000F79AF">
              <w:rPr>
                <w:rFonts w:cs="Times New Roman"/>
                <w:sz w:val="22"/>
                <w:vertAlign w:val="superscript"/>
              </w:rPr>
              <w:t>a</w:t>
            </w:r>
            <w:r w:rsidRPr="000F79AF">
              <w:rPr>
                <w:rFonts w:cs="Times New Roman"/>
                <w:sz w:val="22"/>
              </w:rPr>
              <w:t xml:space="preserve"> ± 0.4</w:t>
            </w:r>
          </w:p>
        </w:tc>
        <w:tc>
          <w:tcPr>
            <w:tcW w:w="2590" w:type="dxa"/>
          </w:tcPr>
          <w:p w14:paraId="1B9CA896" w14:textId="77777777" w:rsidR="0051066F" w:rsidRPr="000F79AF" w:rsidRDefault="001A1CC8" w:rsidP="001A1CC8">
            <w:pPr>
              <w:spacing w:after="0" w:line="240" w:lineRule="auto"/>
              <w:jc w:val="center"/>
              <w:rPr>
                <w:rFonts w:cs="Times New Roman"/>
                <w:sz w:val="22"/>
              </w:rPr>
            </w:pPr>
            <w:r w:rsidRPr="000F79AF">
              <w:rPr>
                <w:rFonts w:cs="Times New Roman"/>
                <w:sz w:val="22"/>
              </w:rPr>
              <w:t>44.4</w:t>
            </w:r>
            <w:r w:rsidRPr="000F79AF">
              <w:rPr>
                <w:rFonts w:cs="Times New Roman"/>
                <w:sz w:val="22"/>
                <w:vertAlign w:val="superscript"/>
              </w:rPr>
              <w:t xml:space="preserve"> c</w:t>
            </w:r>
            <w:r w:rsidRPr="000F79AF">
              <w:rPr>
                <w:rFonts w:cs="Times New Roman"/>
                <w:sz w:val="22"/>
              </w:rPr>
              <w:t xml:space="preserve"> ± 1.6 </w:t>
            </w:r>
          </w:p>
          <w:p w14:paraId="61040BBF" w14:textId="63FC36B7" w:rsidR="001A1CC8" w:rsidRPr="000F79AF" w:rsidRDefault="001A1CC8" w:rsidP="001A1CC8">
            <w:pPr>
              <w:spacing w:after="0" w:line="240" w:lineRule="auto"/>
              <w:jc w:val="center"/>
              <w:rPr>
                <w:rFonts w:cs="Times New Roman"/>
                <w:sz w:val="22"/>
              </w:rPr>
            </w:pPr>
            <w:r w:rsidRPr="000F79AF">
              <w:rPr>
                <w:rFonts w:cs="Times New Roman"/>
                <w:sz w:val="22"/>
              </w:rPr>
              <w:t>(25%)</w:t>
            </w:r>
          </w:p>
        </w:tc>
        <w:tc>
          <w:tcPr>
            <w:tcW w:w="2690" w:type="dxa"/>
          </w:tcPr>
          <w:p w14:paraId="0B834422" w14:textId="77777777" w:rsidR="0051066F" w:rsidRPr="000F79AF" w:rsidRDefault="001A1CC8" w:rsidP="001A1CC8">
            <w:pPr>
              <w:spacing w:after="0" w:line="240" w:lineRule="auto"/>
              <w:jc w:val="center"/>
              <w:rPr>
                <w:rFonts w:cs="Times New Roman"/>
                <w:sz w:val="22"/>
              </w:rPr>
            </w:pPr>
            <w:r w:rsidRPr="000F79AF">
              <w:rPr>
                <w:rFonts w:cs="Times New Roman"/>
                <w:sz w:val="22"/>
              </w:rPr>
              <w:t>60.9</w:t>
            </w:r>
            <w:r w:rsidRPr="000F79AF">
              <w:rPr>
                <w:rFonts w:cs="Times New Roman"/>
                <w:sz w:val="22"/>
                <w:vertAlign w:val="superscript"/>
              </w:rPr>
              <w:t>b</w:t>
            </w:r>
            <w:r w:rsidRPr="000F79AF">
              <w:rPr>
                <w:rFonts w:cs="Times New Roman"/>
                <w:sz w:val="22"/>
              </w:rPr>
              <w:t xml:space="preserve"> ± 2.3 </w:t>
            </w:r>
          </w:p>
          <w:p w14:paraId="7343826A" w14:textId="45D971E4" w:rsidR="001A1CC8" w:rsidRPr="000F79AF" w:rsidRDefault="001A1CC8" w:rsidP="001A1CC8">
            <w:pPr>
              <w:spacing w:after="0" w:line="240" w:lineRule="auto"/>
              <w:jc w:val="center"/>
              <w:rPr>
                <w:rFonts w:cs="Times New Roman"/>
                <w:sz w:val="22"/>
              </w:rPr>
            </w:pPr>
            <w:r w:rsidRPr="000F79AF">
              <w:rPr>
                <w:rFonts w:cs="Times New Roman"/>
                <w:sz w:val="22"/>
              </w:rPr>
              <w:t>(25%)</w:t>
            </w:r>
          </w:p>
        </w:tc>
      </w:tr>
    </w:tbl>
    <w:p w14:paraId="63B660BA" w14:textId="77777777" w:rsidR="001A1CC8" w:rsidRPr="00843E4B" w:rsidRDefault="001A1CC8" w:rsidP="00843E4B">
      <w:pPr>
        <w:spacing w:before="240" w:after="0" w:line="240" w:lineRule="auto"/>
        <w:rPr>
          <w:sz w:val="20"/>
          <w:szCs w:val="20"/>
        </w:rPr>
      </w:pPr>
      <w:r w:rsidRPr="00843E4B">
        <w:rPr>
          <w:sz w:val="20"/>
          <w:szCs w:val="20"/>
          <w:vertAlign w:val="superscript"/>
        </w:rPr>
        <w:t>1</w:t>
      </w:r>
      <w:r w:rsidRPr="00843E4B">
        <w:rPr>
          <w:sz w:val="20"/>
          <w:szCs w:val="20"/>
        </w:rPr>
        <w:t xml:space="preserve">Values are the means ± 1 SD of two completely independent dialysability experiments, with the intestinal step being each time performed in triplicate </w:t>
      </w:r>
    </w:p>
    <w:p w14:paraId="1CF77C25" w14:textId="48D32EB1" w:rsidR="0051066F" w:rsidRPr="00843E4B" w:rsidRDefault="001A1CC8" w:rsidP="001A1CC8">
      <w:pPr>
        <w:spacing w:after="0" w:line="240" w:lineRule="auto"/>
        <w:rPr>
          <w:sz w:val="20"/>
          <w:szCs w:val="20"/>
        </w:rPr>
      </w:pPr>
      <w:r w:rsidRPr="00843E4B">
        <w:rPr>
          <w:sz w:val="20"/>
          <w:szCs w:val="20"/>
        </w:rPr>
        <w:t xml:space="preserve">(n = 6), </w:t>
      </w:r>
      <w:r w:rsidRPr="00843E4B">
        <w:rPr>
          <w:sz w:val="20"/>
          <w:szCs w:val="20"/>
          <w:vertAlign w:val="superscript"/>
        </w:rPr>
        <w:t>2</w:t>
      </w:r>
      <w:r w:rsidRPr="00843E4B">
        <w:rPr>
          <w:sz w:val="20"/>
          <w:szCs w:val="20"/>
        </w:rPr>
        <w:t>Means with different superscripts letters in a column differ significantly (</w:t>
      </w:r>
      <w:r w:rsidRPr="00843E4B">
        <w:rPr>
          <w:i/>
          <w:iCs/>
          <w:sz w:val="20"/>
          <w:szCs w:val="20"/>
        </w:rPr>
        <w:t>p</w:t>
      </w:r>
      <w:r w:rsidRPr="00843E4B">
        <w:rPr>
          <w:sz w:val="20"/>
          <w:szCs w:val="20"/>
        </w:rPr>
        <w:t xml:space="preserve">&lt;0.05), </w:t>
      </w:r>
      <w:r w:rsidRPr="00843E4B">
        <w:rPr>
          <w:sz w:val="20"/>
          <w:szCs w:val="20"/>
          <w:vertAlign w:val="superscript"/>
        </w:rPr>
        <w:t>3</w:t>
      </w:r>
      <w:r w:rsidRPr="00843E4B">
        <w:rPr>
          <w:sz w:val="20"/>
          <w:szCs w:val="20"/>
        </w:rPr>
        <w:t xml:space="preserve">Percentage difference in brackets is significantly different when compared to millet porridge alone </w:t>
      </w:r>
      <w:r w:rsidR="00A3476D" w:rsidRPr="00843E4B">
        <w:rPr>
          <w:sz w:val="20"/>
          <w:szCs w:val="20"/>
        </w:rPr>
        <w:t xml:space="preserve">with pairwise comparison test </w:t>
      </w:r>
      <w:r w:rsidRPr="00843E4B">
        <w:rPr>
          <w:sz w:val="20"/>
          <w:szCs w:val="20"/>
        </w:rPr>
        <w:t>using Fisher’s LSD test (</w:t>
      </w:r>
      <w:r w:rsidRPr="00843E4B">
        <w:rPr>
          <w:i/>
          <w:iCs/>
          <w:sz w:val="20"/>
          <w:szCs w:val="20"/>
        </w:rPr>
        <w:t>p</w:t>
      </w:r>
      <w:r w:rsidRPr="00843E4B">
        <w:rPr>
          <w:rFonts w:cs="Times New Roman"/>
          <w:sz w:val="20"/>
          <w:szCs w:val="20"/>
        </w:rPr>
        <w:t>&lt;</w:t>
      </w:r>
      <w:r w:rsidRPr="00843E4B">
        <w:rPr>
          <w:sz w:val="20"/>
          <w:szCs w:val="20"/>
        </w:rPr>
        <w:t xml:space="preserve">0.05), </w:t>
      </w:r>
      <w:r w:rsidRPr="00843E4B">
        <w:rPr>
          <w:sz w:val="20"/>
          <w:szCs w:val="20"/>
          <w:vertAlign w:val="superscript"/>
        </w:rPr>
        <w:t>4</w:t>
      </w:r>
      <w:r w:rsidRPr="00843E4B">
        <w:rPr>
          <w:sz w:val="20"/>
          <w:szCs w:val="20"/>
        </w:rPr>
        <w:t>Quantities of ascorbic acid and citric acid used were equivalent to the levels in the baobab fruit powder</w:t>
      </w:r>
      <w:r w:rsidR="0051066F" w:rsidRPr="00843E4B">
        <w:rPr>
          <w:sz w:val="20"/>
          <w:szCs w:val="20"/>
        </w:rPr>
        <w:t>.</w:t>
      </w:r>
    </w:p>
    <w:p w14:paraId="18053AC0" w14:textId="77777777" w:rsidR="002E31E2" w:rsidRDefault="002E31E2" w:rsidP="001A1CC8">
      <w:pPr>
        <w:spacing w:after="0" w:line="240" w:lineRule="auto"/>
        <w:rPr>
          <w:sz w:val="22"/>
        </w:rPr>
        <w:sectPr w:rsidR="002E31E2" w:rsidSect="001A1CC8">
          <w:pgSz w:w="16839" w:h="11907" w:orient="landscape" w:code="9"/>
          <w:pgMar w:top="1440" w:right="1440" w:bottom="1440" w:left="1440" w:header="720" w:footer="720" w:gutter="0"/>
          <w:cols w:space="720"/>
          <w:docGrid w:linePitch="360"/>
        </w:sectPr>
      </w:pPr>
    </w:p>
    <w:p w14:paraId="418D170F" w14:textId="58FF7084" w:rsidR="00393D07" w:rsidRPr="009163EF" w:rsidRDefault="004D40B4" w:rsidP="009163EF">
      <w:pPr>
        <w:pStyle w:val="Heading3"/>
      </w:pPr>
      <w:bookmarkStart w:id="91" w:name="_Toc65253590"/>
      <w:r w:rsidRPr="009163EF">
        <w:t>4</w:t>
      </w:r>
      <w:r w:rsidR="00AD340C" w:rsidRPr="009163EF">
        <w:t>.1.5</w:t>
      </w:r>
      <w:r w:rsidR="009163EF" w:rsidRPr="009163EF">
        <w:tab/>
      </w:r>
      <w:r w:rsidRPr="009163EF">
        <w:t>C</w:t>
      </w:r>
      <w:r w:rsidR="009163EF" w:rsidRPr="009163EF">
        <w:t>onclusions</w:t>
      </w:r>
      <w:bookmarkEnd w:id="91"/>
    </w:p>
    <w:p w14:paraId="5CBA7DBA" w14:textId="389D0D71" w:rsidR="00C9677A" w:rsidRPr="0004191B" w:rsidRDefault="0051066F" w:rsidP="009163EF">
      <w:r>
        <w:t>Food-to-food fortification of pearl millet porridge with</w:t>
      </w:r>
      <w:r w:rsidR="00C9677A" w:rsidRPr="0004191B">
        <w:t xml:space="preserve"> baobab fruit powder</w:t>
      </w:r>
      <w:r w:rsidR="009370BF">
        <w:t>,</w:t>
      </w:r>
      <w:r w:rsidR="00C9677A" w:rsidRPr="0004191B">
        <w:t xml:space="preserve"> </w:t>
      </w:r>
      <w:r w:rsidR="009370BF">
        <w:t>like</w:t>
      </w:r>
      <w:r w:rsidR="00C9677A" w:rsidRPr="0004191B">
        <w:t xml:space="preserve"> citric acid</w:t>
      </w:r>
      <w:r>
        <w:t xml:space="preserve"> addition</w:t>
      </w:r>
      <w:r w:rsidR="009370BF">
        <w:t>,</w:t>
      </w:r>
      <w:r w:rsidR="00C9677A" w:rsidRPr="0004191B">
        <w:t xml:space="preserve"> improve</w:t>
      </w:r>
      <w:r w:rsidR="009370BF">
        <w:t>s</w:t>
      </w:r>
      <w:r w:rsidR="00C9677A" w:rsidRPr="0004191B">
        <w:t xml:space="preserve"> the percentage and amount of bioaccessible iron</w:t>
      </w:r>
      <w:r w:rsidR="0004191B">
        <w:t xml:space="preserve"> in </w:t>
      </w:r>
      <w:r>
        <w:t>the</w:t>
      </w:r>
      <w:r w:rsidR="007E0F29">
        <w:t xml:space="preserve"> </w:t>
      </w:r>
      <w:r w:rsidR="0004191B">
        <w:t>porridge</w:t>
      </w:r>
      <w:r w:rsidR="00C9677A" w:rsidRPr="0004191B">
        <w:t>.  However</w:t>
      </w:r>
      <w:r w:rsidR="009370BF">
        <w:t>,</w:t>
      </w:r>
      <w:r w:rsidR="00C9677A" w:rsidRPr="0004191B">
        <w:t xml:space="preserve"> </w:t>
      </w:r>
      <w:r>
        <w:t>food-to-food fortification with</w:t>
      </w:r>
      <w:r w:rsidR="00C9677A" w:rsidRPr="0004191B">
        <w:t xml:space="preserve"> moringa leaves ha</w:t>
      </w:r>
      <w:r w:rsidR="0004191B">
        <w:t>s</w:t>
      </w:r>
      <w:r w:rsidR="00C9677A" w:rsidRPr="0004191B">
        <w:t xml:space="preserve"> a negative effect on iron bioaccessibility. </w:t>
      </w:r>
      <w:r>
        <w:t>Food-to-food fortification with</w:t>
      </w:r>
      <w:r w:rsidR="0004191B" w:rsidRPr="0004191B">
        <w:t xml:space="preserve"> baobab</w:t>
      </w:r>
      <w:r w:rsidR="009370BF">
        <w:t>,</w:t>
      </w:r>
      <w:r w:rsidR="0004191B" w:rsidRPr="0004191B">
        <w:t xml:space="preserve"> </w:t>
      </w:r>
      <w:r w:rsidR="009370BF">
        <w:t>like</w:t>
      </w:r>
      <w:r w:rsidR="0004191B" w:rsidRPr="0004191B">
        <w:t xml:space="preserve"> citric acid</w:t>
      </w:r>
      <w:r>
        <w:t xml:space="preserve"> </w:t>
      </w:r>
      <w:r w:rsidR="0051729E">
        <w:t>addition</w:t>
      </w:r>
      <w:r w:rsidR="009370BF">
        <w:t>,</w:t>
      </w:r>
      <w:r w:rsidR="0004191B" w:rsidRPr="0004191B">
        <w:t xml:space="preserve"> also improve</w:t>
      </w:r>
      <w:r w:rsidR="0004191B">
        <w:t>s</w:t>
      </w:r>
      <w:r w:rsidR="0004191B" w:rsidRPr="0004191B">
        <w:t xml:space="preserve"> magnesium bi</w:t>
      </w:r>
      <w:r w:rsidR="00042AE6">
        <w:t>o</w:t>
      </w:r>
      <w:r w:rsidR="0004191B" w:rsidRPr="0004191B">
        <w:t xml:space="preserve">accessibility. </w:t>
      </w:r>
      <w:r w:rsidR="0004191B">
        <w:t>However, o</w:t>
      </w:r>
      <w:r w:rsidR="0004191B" w:rsidRPr="0004191B">
        <w:t xml:space="preserve">nly citric acid improved zinc bioaccessibility. The positive effect of baobab </w:t>
      </w:r>
      <w:r w:rsidR="0004191B">
        <w:t>is</w:t>
      </w:r>
      <w:r w:rsidR="00FD4059">
        <w:t xml:space="preserve"> </w:t>
      </w:r>
      <w:r w:rsidR="00223834">
        <w:t>most likely</w:t>
      </w:r>
      <w:r w:rsidR="0004191B" w:rsidRPr="0004191B">
        <w:t xml:space="preserve"> primarily due to its high contents of citric acid and ascorbic acid, despite it</w:t>
      </w:r>
      <w:r w:rsidR="00FD4059">
        <w:t>s</w:t>
      </w:r>
      <w:r w:rsidR="0004191B" w:rsidRPr="0004191B">
        <w:t xml:space="preserve"> high levels of phenolics especially tannins.  The negative effect of moringa</w:t>
      </w:r>
      <w:r w:rsidR="00FD4059">
        <w:t xml:space="preserve"> </w:t>
      </w:r>
      <w:r w:rsidR="00064B9E">
        <w:t>is</w:t>
      </w:r>
      <w:r w:rsidR="0004191B" w:rsidRPr="0004191B">
        <w:t xml:space="preserve"> </w:t>
      </w:r>
      <w:r w:rsidR="004A6DE6">
        <w:t>highly likely</w:t>
      </w:r>
      <w:r w:rsidR="0004191B" w:rsidRPr="0004191B">
        <w:t xml:space="preserve"> due </w:t>
      </w:r>
      <w:r w:rsidR="00064B9E">
        <w:t xml:space="preserve">to </w:t>
      </w:r>
      <w:r w:rsidR="00FD4059">
        <w:t>its</w:t>
      </w:r>
      <w:r w:rsidR="0004191B" w:rsidRPr="0004191B">
        <w:t xml:space="preserve"> lowe</w:t>
      </w:r>
      <w:r w:rsidR="009A3E68">
        <w:t xml:space="preserve">r levels of organic acids </w:t>
      </w:r>
      <w:r w:rsidR="00DE0F35">
        <w:t>and</w:t>
      </w:r>
      <w:r w:rsidR="0004191B" w:rsidRPr="0004191B">
        <w:t xml:space="preserve"> </w:t>
      </w:r>
      <w:r w:rsidR="009A3E68">
        <w:t xml:space="preserve">its </w:t>
      </w:r>
      <w:r w:rsidR="0004191B" w:rsidRPr="0004191B">
        <w:t xml:space="preserve">high </w:t>
      </w:r>
      <w:r w:rsidR="00A3786C">
        <w:t xml:space="preserve">levels of </w:t>
      </w:r>
      <w:r w:rsidR="0004191B" w:rsidRPr="0004191B">
        <w:t>ph</w:t>
      </w:r>
      <w:r w:rsidR="00A3786C">
        <w:t>enolics and particularly</w:t>
      </w:r>
      <w:r w:rsidR="0004191B" w:rsidRPr="0004191B">
        <w:t xml:space="preserve"> </w:t>
      </w:r>
      <w:r w:rsidR="009370BF">
        <w:t xml:space="preserve">of </w:t>
      </w:r>
      <w:r w:rsidR="0004191B" w:rsidRPr="0004191B">
        <w:t xml:space="preserve">calcium.  </w:t>
      </w:r>
    </w:p>
    <w:p w14:paraId="79763C42" w14:textId="553BF92C" w:rsidR="00832ADE" w:rsidRDefault="00832ADE" w:rsidP="009163EF">
      <w:r w:rsidRPr="00832ADE">
        <w:t>Food-to-food fortification of cereal porridge with baobab fruit seems to be nearly as effective as citric</w:t>
      </w:r>
      <w:r>
        <w:t xml:space="preserve"> </w:t>
      </w:r>
      <w:r w:rsidRPr="00832ADE">
        <w:t xml:space="preserve">acid addition in enhancing bioaccessibility of iron and magnesium. </w:t>
      </w:r>
      <w:bookmarkStart w:id="92" w:name="_Hlk65033638"/>
      <w:r w:rsidRPr="00832ADE">
        <w:t>As baobab fruit is a very popular food</w:t>
      </w:r>
      <w:r>
        <w:t xml:space="preserve"> </w:t>
      </w:r>
      <w:r w:rsidRPr="00832ADE">
        <w:t xml:space="preserve">in semi-arid </w:t>
      </w:r>
      <w:r w:rsidR="006C7064">
        <w:t xml:space="preserve">tropical </w:t>
      </w:r>
      <w:r w:rsidRPr="00832ADE">
        <w:t xml:space="preserve">Africa, </w:t>
      </w:r>
      <w:r w:rsidR="004D40B4">
        <w:t>food-to-food fortification of</w:t>
      </w:r>
      <w:r w:rsidRPr="00832ADE">
        <w:t xml:space="preserve"> staple cereal food products </w:t>
      </w:r>
      <w:r w:rsidR="004D40B4">
        <w:t xml:space="preserve">with baobab fruit pulp </w:t>
      </w:r>
      <w:r w:rsidRPr="00832ADE">
        <w:t xml:space="preserve">could be a useful alternative </w:t>
      </w:r>
      <w:r w:rsidR="009370BF">
        <w:t xml:space="preserve">or complement to </w:t>
      </w:r>
      <w:r w:rsidRPr="00832ADE">
        <w:t xml:space="preserve">conventional fortification in rural </w:t>
      </w:r>
      <w:r w:rsidR="006C7064">
        <w:t>communities</w:t>
      </w:r>
      <w:r>
        <w:t>.</w:t>
      </w:r>
      <w:bookmarkEnd w:id="92"/>
    </w:p>
    <w:p w14:paraId="47F29B33" w14:textId="77777777" w:rsidR="00832ADE" w:rsidRPr="0004191B" w:rsidRDefault="00832ADE" w:rsidP="009163EF"/>
    <w:p w14:paraId="084A4E28" w14:textId="77777777" w:rsidR="004D40B4" w:rsidRDefault="004D40B4" w:rsidP="009163EF">
      <w:pPr>
        <w:rPr>
          <w:b/>
        </w:rPr>
      </w:pPr>
    </w:p>
    <w:p w14:paraId="08474D9E" w14:textId="7626B73B" w:rsidR="002D64BF" w:rsidRDefault="004D40B4" w:rsidP="002D64BF">
      <w:r>
        <w:br w:type="page"/>
      </w:r>
    </w:p>
    <w:p w14:paraId="33DD3D53" w14:textId="0E2568A8" w:rsidR="009A13CD" w:rsidRDefault="009A13CD" w:rsidP="00C17A96">
      <w:pPr>
        <w:pStyle w:val="Heading2"/>
      </w:pPr>
      <w:bookmarkStart w:id="93" w:name="_Toc65253591"/>
      <w:r w:rsidRPr="00C17A96">
        <w:t>4.2</w:t>
      </w:r>
      <w:r w:rsidR="00C17A96" w:rsidRPr="00C17A96">
        <w:tab/>
      </w:r>
      <w:r w:rsidRPr="00C17A96">
        <w:t>Potential of Baobab Fruit and Moringa Leaf Food-to-Food Fortification of Maize Porridge to improve Iron, Zinc and other Mineral Bioaccessibilities</w:t>
      </w:r>
      <w:bookmarkEnd w:id="93"/>
    </w:p>
    <w:p w14:paraId="11A818BB" w14:textId="77777777" w:rsidR="00C17A96" w:rsidRPr="00C17A96" w:rsidRDefault="00C17A96" w:rsidP="00C17A96"/>
    <w:p w14:paraId="49866175" w14:textId="50B9FBD7" w:rsidR="009A13CD" w:rsidRPr="00385E09" w:rsidRDefault="009A13CD" w:rsidP="00C17A96">
      <w:pPr>
        <w:pStyle w:val="Heading3"/>
        <w:rPr>
          <w:lang w:val="en-ZA"/>
        </w:rPr>
      </w:pPr>
      <w:bookmarkStart w:id="94" w:name="_Toc65253592"/>
      <w:r w:rsidRPr="00385E09">
        <w:rPr>
          <w:lang w:val="en-ZA"/>
        </w:rPr>
        <w:t>4.2.1</w:t>
      </w:r>
      <w:r w:rsidR="00C17A96">
        <w:rPr>
          <w:lang w:val="en-ZA"/>
        </w:rPr>
        <w:tab/>
      </w:r>
      <w:r w:rsidRPr="00385E09">
        <w:rPr>
          <w:lang w:val="en-ZA"/>
        </w:rPr>
        <w:t>Abstract</w:t>
      </w:r>
      <w:bookmarkEnd w:id="94"/>
    </w:p>
    <w:p w14:paraId="4355AA35" w14:textId="203D1953" w:rsidR="009A13CD" w:rsidRDefault="009A13CD" w:rsidP="00C17A96">
      <w:r>
        <w:rPr>
          <w:lang w:val="en-ZA"/>
        </w:rPr>
        <w:t xml:space="preserve">Mineral deficiencies persist in Africa, often due to monotonous cereal- and other starchy-based diets low in bioavailable minerals. The effects of </w:t>
      </w:r>
      <w:r>
        <w:t>b</w:t>
      </w:r>
      <w:r w:rsidRPr="00B63349">
        <w:t xml:space="preserve">aobab fruit </w:t>
      </w:r>
      <w:r>
        <w:t xml:space="preserve">(as source of </w:t>
      </w:r>
      <w:r w:rsidR="00DB6376">
        <w:t xml:space="preserve">mineral bioavailability enhancers: </w:t>
      </w:r>
      <w:r>
        <w:t xml:space="preserve">citric and ascorbic acids) </w:t>
      </w:r>
      <w:r w:rsidRPr="00B63349">
        <w:t>and moringa leaf</w:t>
      </w:r>
      <w:r>
        <w:t xml:space="preserve"> (as source of iron) food-to-food fortification of</w:t>
      </w:r>
      <w:r>
        <w:rPr>
          <w:lang w:val="en-ZA"/>
        </w:rPr>
        <w:t xml:space="preserve"> wholegrain white maize porridge (at 13–15 g/100 g porridge) </w:t>
      </w:r>
      <w:r>
        <w:t>as</w:t>
      </w:r>
      <w:r w:rsidRPr="00107F36">
        <w:t xml:space="preserve"> </w:t>
      </w:r>
      <w:r>
        <w:t xml:space="preserve">a </w:t>
      </w:r>
      <w:r w:rsidRPr="00107F36">
        <w:t xml:space="preserve">simple </w:t>
      </w:r>
      <w:r>
        <w:t xml:space="preserve">porridge </w:t>
      </w:r>
      <w:r w:rsidRPr="00107F36">
        <w:t xml:space="preserve">and complex </w:t>
      </w:r>
      <w:r>
        <w:t>porridge containing</w:t>
      </w:r>
      <w:r w:rsidRPr="00107F36">
        <w:t xml:space="preserve"> carrot and mango</w:t>
      </w:r>
      <w:r>
        <w:t xml:space="preserve"> (provitamin A sources) on iron, zinc and other mineral bioaccessibilities (dialysability assay) were evaluated. This was also compared with conventional iron fortification using FeSO</w:t>
      </w:r>
      <w:r w:rsidRPr="003222DE">
        <w:rPr>
          <w:vertAlign w:val="subscript"/>
        </w:rPr>
        <w:t>4</w:t>
      </w:r>
      <w:r>
        <w:t xml:space="preserve"> and ascorbic and citric acids inclusion as mineral absorption enhancers. With the simple porridge, percentage bioaccessible and total bioaccessible iron were increased with baobab fortification and ascorbic+citric acids inclusion by up to 27%. The percentage and bioaccessible iron of the complex porridges fortified with baobab plus FeSO</w:t>
      </w:r>
      <w:r w:rsidRPr="00D63D4C">
        <w:rPr>
          <w:vertAlign w:val="subscript"/>
        </w:rPr>
        <w:t>4</w:t>
      </w:r>
      <w:r>
        <w:t xml:space="preserve"> and FeSO</w:t>
      </w:r>
      <w:r w:rsidRPr="00D63D4C">
        <w:rPr>
          <w:vertAlign w:val="subscript"/>
        </w:rPr>
        <w:t>4</w:t>
      </w:r>
      <w:r>
        <w:t xml:space="preserve"> plus ascorbic acid, were doubled. This was </w:t>
      </w:r>
      <w:r w:rsidR="004A6DE6">
        <w:t>most likely</w:t>
      </w:r>
      <w:r>
        <w:t xml:space="preserve"> due to baobab’s high ascorbic and citric acids contents, which would enhance the solubility of the iron</w:t>
      </w:r>
      <w:r w:rsidR="002D64BF">
        <w:t xml:space="preserve"> in the porridge</w:t>
      </w:r>
      <w:r>
        <w:t xml:space="preserve">, thereby preventing the chelating effects of phytate and phenolics. </w:t>
      </w:r>
      <w:r>
        <w:rPr>
          <w:lang w:val="en-ZA"/>
        </w:rPr>
        <w:t xml:space="preserve"> However, moringa fortification of the simple and complex porridges greatly decreased iron bioaccessibility, </w:t>
      </w:r>
      <w:r w:rsidR="004A6DE6">
        <w:rPr>
          <w:lang w:val="en-ZA"/>
        </w:rPr>
        <w:t>highly likely</w:t>
      </w:r>
      <w:r>
        <w:rPr>
          <w:lang w:val="en-ZA"/>
        </w:rPr>
        <w:t xml:space="preserve"> due to its high calcium and phytate contents. </w:t>
      </w:r>
      <w:bookmarkStart w:id="95" w:name="_Hlk44886042"/>
      <w:r>
        <w:rPr>
          <w:lang w:val="en-ZA"/>
        </w:rPr>
        <w:t xml:space="preserve">Zinc bioaccessibility was not improved by either baobab or moringa fortification. </w:t>
      </w:r>
      <w:bookmarkStart w:id="96" w:name="_Hlk44886853"/>
      <w:bookmarkEnd w:id="95"/>
      <w:r>
        <w:rPr>
          <w:lang w:val="en-ZA"/>
        </w:rPr>
        <w:t xml:space="preserve">This was </w:t>
      </w:r>
      <w:r w:rsidR="004A6DE6">
        <w:rPr>
          <w:lang w:val="en-ZA"/>
        </w:rPr>
        <w:t>likely</w:t>
      </w:r>
      <w:r>
        <w:rPr>
          <w:lang w:val="en-ZA"/>
        </w:rPr>
        <w:t xml:space="preserve"> due to baobab’s high phenolics content. With moringa, this was likely due to formation of insoluble calcium-phytate-zinc complexes.</w:t>
      </w:r>
      <w:r>
        <w:t xml:space="preserve"> Baobab fruit </w:t>
      </w:r>
      <w:r>
        <w:rPr>
          <w:lang w:val="en-ZA"/>
        </w:rPr>
        <w:t>food-to-food fortification</w:t>
      </w:r>
      <w:r w:rsidRPr="00D8148F">
        <w:t xml:space="preserve"> </w:t>
      </w:r>
      <w:r>
        <w:t>of staple cereal foods, in the presence of enough potentially available iron,</w:t>
      </w:r>
      <w:r w:rsidRPr="00D8148F">
        <w:t xml:space="preserve"> could</w:t>
      </w:r>
      <w:r>
        <w:t xml:space="preserve"> complement existing nutritional interventions to improve bioavailable iron in the diet of people </w:t>
      </w:r>
      <w:r w:rsidRPr="00D8148F">
        <w:t>in</w:t>
      </w:r>
      <w:r>
        <w:t xml:space="preserve"> rural Africa.</w:t>
      </w:r>
      <w:bookmarkEnd w:id="96"/>
    </w:p>
    <w:p w14:paraId="486F91E3" w14:textId="77777777" w:rsidR="009A13CD" w:rsidRDefault="009A13CD" w:rsidP="00C17A96"/>
    <w:p w14:paraId="7B3C9B1C" w14:textId="77777777" w:rsidR="009A13CD" w:rsidRDefault="009A13CD" w:rsidP="00C17A96"/>
    <w:p w14:paraId="5F1785B8" w14:textId="77777777" w:rsidR="009A13CD" w:rsidRDefault="009A13CD" w:rsidP="00C17A96"/>
    <w:p w14:paraId="2471CA1F" w14:textId="77777777" w:rsidR="009A13CD" w:rsidRDefault="009A13CD" w:rsidP="00C17A96"/>
    <w:p w14:paraId="3C63DEC7" w14:textId="77777777" w:rsidR="009A13CD" w:rsidRDefault="009A13CD" w:rsidP="009A13CD">
      <w:pPr>
        <w:rPr>
          <w:rFonts w:cs="Times New Roman"/>
          <w:szCs w:val="24"/>
        </w:rPr>
      </w:pPr>
    </w:p>
    <w:p w14:paraId="174FA9AE" w14:textId="2E9631BB" w:rsidR="009A13CD" w:rsidRPr="00665413" w:rsidRDefault="009A13CD" w:rsidP="00665413">
      <w:pPr>
        <w:pStyle w:val="Heading3"/>
      </w:pPr>
      <w:bookmarkStart w:id="97" w:name="_Toc65253593"/>
      <w:r w:rsidRPr="00665413">
        <w:t>4.2.2</w:t>
      </w:r>
      <w:r w:rsidR="00C17A96" w:rsidRPr="00665413">
        <w:tab/>
      </w:r>
      <w:r w:rsidRPr="00665413">
        <w:t>I</w:t>
      </w:r>
      <w:r w:rsidR="00C17A96" w:rsidRPr="00665413">
        <w:t>ntroduction</w:t>
      </w:r>
      <w:bookmarkEnd w:id="97"/>
    </w:p>
    <w:p w14:paraId="662D3AD2" w14:textId="4D2CA13A" w:rsidR="009A13CD" w:rsidRDefault="009A13CD" w:rsidP="00665413">
      <w:pPr>
        <w:rPr>
          <w:lang w:val="en-ZA"/>
        </w:rPr>
      </w:pPr>
      <w:r>
        <w:rPr>
          <w:lang w:val="en-ZA"/>
        </w:rPr>
        <w:t xml:space="preserve">Mineral deficiencies, especially iron and zinc, are still prevalent in </w:t>
      </w:r>
      <w:r w:rsidR="009A68EA">
        <w:rPr>
          <w:lang w:val="en-ZA"/>
        </w:rPr>
        <w:t xml:space="preserve">low-income countries, including </w:t>
      </w:r>
      <w:r>
        <w:rPr>
          <w:lang w:val="en-ZA"/>
        </w:rPr>
        <w:t>Africa, particularly among children and women of reproductive age (</w:t>
      </w:r>
      <w:r w:rsidR="00EB1D73">
        <w:rPr>
          <w:lang w:val="en-ZA"/>
        </w:rPr>
        <w:t xml:space="preserve">Gupta et al., 2020; </w:t>
      </w:r>
      <w:r w:rsidR="009A68EA">
        <w:rPr>
          <w:lang w:val="en-ZA"/>
        </w:rPr>
        <w:t>Mantadakis et al., 2020</w:t>
      </w:r>
      <w:r>
        <w:rPr>
          <w:lang w:val="en-ZA"/>
        </w:rPr>
        <w:t>). The prevalence of these deficiencies is, in part, due to consumption of monotonous cereal- and other starchy-based foods that are often low in bioavailable minerals due to them containing high mineral bioavailability inhibitors, notably phytate and polyphenols (Lestienne et al., 2005</w:t>
      </w:r>
      <w:r w:rsidR="00713709">
        <w:rPr>
          <w:lang w:val="en-ZA"/>
        </w:rPr>
        <w:t>; Gibson et al., 2018</w:t>
      </w:r>
      <w:r>
        <w:rPr>
          <w:lang w:val="en-ZA"/>
        </w:rPr>
        <w:t>). Furthermore, the situation is exacerbated by the fact that</w:t>
      </w:r>
      <w:r w:rsidRPr="00C07838">
        <w:rPr>
          <w:lang w:val="en-ZA"/>
        </w:rPr>
        <w:t xml:space="preserve"> poor and subsistence farming communitie</w:t>
      </w:r>
      <w:r>
        <w:rPr>
          <w:lang w:val="en-ZA"/>
        </w:rPr>
        <w:t>s do not consume commercially produced fortified foods to any significant extent (</w:t>
      </w:r>
      <w:r w:rsidRPr="00FA4AA8">
        <w:t>Bouis et al., 2018</w:t>
      </w:r>
      <w:r>
        <w:t>)</w:t>
      </w:r>
      <w:r>
        <w:rPr>
          <w:lang w:val="en-ZA"/>
        </w:rPr>
        <w:t>.</w:t>
      </w:r>
    </w:p>
    <w:p w14:paraId="7036767C" w14:textId="77777777" w:rsidR="009A13CD" w:rsidRDefault="009A13CD" w:rsidP="00686B66">
      <w:pPr>
        <w:spacing w:after="0"/>
        <w:rPr>
          <w:lang w:val="en-ZA"/>
        </w:rPr>
      </w:pPr>
    </w:p>
    <w:p w14:paraId="746C57F9" w14:textId="74D7B8A0" w:rsidR="009A13CD" w:rsidRDefault="009A13CD" w:rsidP="00665413">
      <w:r>
        <w:rPr>
          <w:lang w:val="en-ZA"/>
        </w:rPr>
        <w:t>Thus, c</w:t>
      </w:r>
      <w:r w:rsidRPr="003B5BF2">
        <w:rPr>
          <w:lang w:val="en-ZA"/>
        </w:rPr>
        <w:t xml:space="preserve">ommunities at-risk of mineral deficiencies are encouraged to consume </w:t>
      </w:r>
      <w:r w:rsidRPr="003B5BF2">
        <w:t xml:space="preserve">a wider variety of foods, including vegetables rich in </w:t>
      </w:r>
      <w:r>
        <w:t xml:space="preserve">essential </w:t>
      </w:r>
      <w:r w:rsidRPr="003B5BF2">
        <w:t>minerals and fruits rich in promoters of mineral bioava</w:t>
      </w:r>
      <w:r>
        <w:t>i</w:t>
      </w:r>
      <w:r w:rsidRPr="003B5BF2">
        <w:t>lability</w:t>
      </w:r>
      <w:r>
        <w:t>, including organic acids and carotenoids (WHO, 2017)</w:t>
      </w:r>
      <w:r w:rsidRPr="003B5BF2">
        <w:t>.</w:t>
      </w:r>
      <w:r>
        <w:t xml:space="preserve"> Food-to-food fortification of staple cereal foods with micronutrient-dense fruits and vegetables has been increasingly recognized as a tool in the fight against mineral deficiencies in developing countries (Chadare et al., 2019; Kruger et al., 2020). Thus, food-to-food fortification of African cereal staple foods with locally available foodstuffs, for example baobab fruit, which is rich in organic acids, notably ascorbic acid and citric acid (Tembo et al., 2017) is a potentially useful strategy to improve mineral bioavailability in cereal-based foods. Fortification with green leafy vegetables such as moringa leaves, which are rich iron, calcium and zinc and their bioavailability promoters such as organic acids and β-carotene, (Moyo et al., 2011) may also be useful to improve mineral bioavailability in cereal-based foods. Amagloh et al. (2017) found that moringa leaves had the highest iron bioaccessibility </w:t>
      </w:r>
      <w:r w:rsidRPr="0003352F">
        <w:t>when compared to other commonly consumed green leafy vegetables</w:t>
      </w:r>
      <w:r>
        <w:t xml:space="preserve">, despite </w:t>
      </w:r>
      <w:r w:rsidR="00686B66">
        <w:t>its</w:t>
      </w:r>
      <w:r>
        <w:t xml:space="preserve"> high polyphenol content. Furthermore, Van der Merwe et al. (2019) showed that moringa leaves and/or baobab fruit substantially increased iron and zinc bioaccessibility in a pearl-millet-based porridge containing about 40% plant sources (carrot-mango mix) rich in provitamin A (β-carotene). However, in the first research chapter of this thesis</w:t>
      </w:r>
      <w:r w:rsidR="0036054C">
        <w:t xml:space="preserve"> (Chapter 4.1)</w:t>
      </w:r>
      <w:r>
        <w:t>, fortification of a simpler wholegrain pearl millet porridge meal with moringa leaves decreased both iron and zinc bioaccessibility. In contrast, baobab fruit fortification of the millet porridge increased iron bioaccessibility, despite its low iron content, but had no effect on the zinc bioaccessibility. The high contents of phytate (</w:t>
      </w:r>
      <w:r w:rsidRPr="001F0747">
        <w:t>1417 mg/100 g</w:t>
      </w:r>
      <w:r>
        <w:t>) and polyphenols (278 mg/100 g) in pearl millet, plus those present in the moringa leaves and the baobab fruit likely limited iron and zinc bioaccessibility in the fortified millet porridge meals.</w:t>
      </w:r>
    </w:p>
    <w:p w14:paraId="72642FB7" w14:textId="77777777" w:rsidR="0092308F" w:rsidRDefault="0092308F" w:rsidP="0092308F">
      <w:pPr>
        <w:spacing w:after="0"/>
      </w:pPr>
    </w:p>
    <w:p w14:paraId="40B599DE" w14:textId="18077D72" w:rsidR="009A13CD" w:rsidRDefault="009A13CD" w:rsidP="00665413">
      <w:r>
        <w:t xml:space="preserve">White maize contains considerably lower levels of polyphenols (approx. 172 mg/100 g) (Lopez-Martinez </w:t>
      </w:r>
      <w:r w:rsidR="0036054C">
        <w:t>et al.</w:t>
      </w:r>
      <w:r>
        <w:t xml:space="preserve">, 2011) compared to pearl millet. Also, maize is by far the most widely grown and consumed cereal staple in Africa, especially sub-Saharan Africa </w:t>
      </w:r>
      <w:r w:rsidRPr="009C6B6E">
        <w:t>(Smale</w:t>
      </w:r>
      <w:r>
        <w:t xml:space="preserve"> et al., 2013</w:t>
      </w:r>
      <w:r w:rsidRPr="009C6B6E">
        <w:t>)</w:t>
      </w:r>
      <w:r>
        <w:t xml:space="preserve"> and considered an important food</w:t>
      </w:r>
      <w:r w:rsidRPr="00890623">
        <w:t xml:space="preserve"> </w:t>
      </w:r>
      <w:r>
        <w:t>vehicle</w:t>
      </w:r>
      <w:r w:rsidRPr="00890623">
        <w:t xml:space="preserve"> for nutrient value addition</w:t>
      </w:r>
      <w:r>
        <w:t xml:space="preserve"> </w:t>
      </w:r>
      <w:r w:rsidRPr="00890623">
        <w:t>(</w:t>
      </w:r>
      <w:r>
        <w:t xml:space="preserve">De </w:t>
      </w:r>
      <w:r w:rsidRPr="00890623">
        <w:t>Groote et al., 2013)</w:t>
      </w:r>
      <w:r>
        <w:t xml:space="preserve">. Thus, the aim of this research was to determine the potential of </w:t>
      </w:r>
      <w:bookmarkStart w:id="98" w:name="_Hlk42610642"/>
      <w:r>
        <w:t>b</w:t>
      </w:r>
      <w:r w:rsidRPr="00B63349">
        <w:t>aobab fruit and moringa leaf</w:t>
      </w:r>
      <w:r>
        <w:t xml:space="preserve"> food-to-food fortification</w:t>
      </w:r>
      <w:bookmarkEnd w:id="98"/>
      <w:r w:rsidRPr="009C6ED5">
        <w:t xml:space="preserve"> of African</w:t>
      </w:r>
      <w:r>
        <w:t>-type</w:t>
      </w:r>
      <w:r w:rsidRPr="009C6ED5">
        <w:t xml:space="preserve"> </w:t>
      </w:r>
      <w:r w:rsidRPr="00107F36">
        <w:t xml:space="preserve">wholegrain white maize porridge </w:t>
      </w:r>
      <w:bookmarkStart w:id="99" w:name="_Hlk42610423"/>
      <w:r>
        <w:t>both in the form of a</w:t>
      </w:r>
      <w:r w:rsidRPr="00107F36">
        <w:t xml:space="preserve"> simple porridge and </w:t>
      </w:r>
      <w:r>
        <w:t xml:space="preserve">a </w:t>
      </w:r>
      <w:r w:rsidRPr="00107F36">
        <w:t>complex</w:t>
      </w:r>
      <w:r>
        <w:t xml:space="preserve"> </w:t>
      </w:r>
      <w:r w:rsidRPr="00107F36">
        <w:t xml:space="preserve">porridge containing plant food provitamin A sources </w:t>
      </w:r>
      <w:r>
        <w:t>(</w:t>
      </w:r>
      <w:r w:rsidRPr="00107F36">
        <w:t>carrot and mango</w:t>
      </w:r>
      <w:bookmarkEnd w:id="99"/>
      <w:r>
        <w:t xml:space="preserve">), to improve </w:t>
      </w:r>
      <w:r w:rsidRPr="00107F36">
        <w:t>iron, zinc and other mineral bioaccessibilities</w:t>
      </w:r>
      <w:r>
        <w:t xml:space="preserve">. This study also evaluated the effect of this food-to-food fortification on mineral bioaccessibility in comparison with </w:t>
      </w:r>
      <w:r w:rsidRPr="00107F36">
        <w:t>the effects of conventional iron fortification and inclusion of ascorbic acid and citric acid</w:t>
      </w:r>
      <w:r>
        <w:t>.</w:t>
      </w:r>
    </w:p>
    <w:p w14:paraId="11DCBBE2" w14:textId="77777777" w:rsidR="009A13CD" w:rsidRDefault="009A13CD" w:rsidP="00FB5039">
      <w:pPr>
        <w:spacing w:after="0"/>
        <w:rPr>
          <w:rFonts w:cs="Times New Roman"/>
          <w:szCs w:val="24"/>
        </w:rPr>
      </w:pPr>
    </w:p>
    <w:p w14:paraId="0F1770E1" w14:textId="4F704A03" w:rsidR="009A13CD" w:rsidRDefault="009A13CD" w:rsidP="00665413">
      <w:pPr>
        <w:pStyle w:val="Heading3"/>
        <w:rPr>
          <w:lang w:val="en-ZA"/>
        </w:rPr>
      </w:pPr>
      <w:bookmarkStart w:id="100" w:name="_Toc65253594"/>
      <w:r>
        <w:rPr>
          <w:lang w:val="en-ZA"/>
        </w:rPr>
        <w:t>4.2.3</w:t>
      </w:r>
      <w:r w:rsidR="00665413">
        <w:rPr>
          <w:lang w:val="en-ZA"/>
        </w:rPr>
        <w:tab/>
      </w:r>
      <w:r w:rsidRPr="003107F7">
        <w:rPr>
          <w:lang w:val="en-ZA"/>
        </w:rPr>
        <w:t>M</w:t>
      </w:r>
      <w:r w:rsidR="00665413" w:rsidRPr="003107F7">
        <w:rPr>
          <w:lang w:val="en-ZA"/>
        </w:rPr>
        <w:t>aterials and methods</w:t>
      </w:r>
      <w:bookmarkEnd w:id="100"/>
    </w:p>
    <w:p w14:paraId="1152215C" w14:textId="652D25B7" w:rsidR="009A13CD" w:rsidRDefault="009A13CD" w:rsidP="00665413">
      <w:pPr>
        <w:pStyle w:val="Heading4"/>
        <w:rPr>
          <w:lang w:val="en-ZA"/>
        </w:rPr>
      </w:pPr>
      <w:bookmarkStart w:id="101" w:name="_Toc65253595"/>
      <w:r>
        <w:rPr>
          <w:lang w:val="en-ZA"/>
        </w:rPr>
        <w:t>4.2.3.1</w:t>
      </w:r>
      <w:r w:rsidR="00665413">
        <w:rPr>
          <w:lang w:val="en-ZA"/>
        </w:rPr>
        <w:tab/>
      </w:r>
      <w:r>
        <w:rPr>
          <w:lang w:val="en-ZA"/>
        </w:rPr>
        <w:t>Raw materials</w:t>
      </w:r>
      <w:bookmarkEnd w:id="101"/>
    </w:p>
    <w:p w14:paraId="16D6940D" w14:textId="77777777" w:rsidR="009A13CD" w:rsidRDefault="009A13CD" w:rsidP="00232C63">
      <w:pPr>
        <w:rPr>
          <w:lang w:val="en-ZA"/>
        </w:rPr>
      </w:pPr>
      <w:r>
        <w:rPr>
          <w:lang w:val="en-ZA"/>
        </w:rPr>
        <w:t xml:space="preserve">Non-genetically modified (GM) white maize (cultivar </w:t>
      </w:r>
      <w:r w:rsidRPr="00B712BB">
        <w:rPr>
          <w:lang w:val="en-ZA"/>
        </w:rPr>
        <w:t>PHI 2369</w:t>
      </w:r>
      <w:r>
        <w:rPr>
          <w:lang w:val="en-ZA"/>
        </w:rPr>
        <w:t>) was kindly donated by Tongaat Hulett Starch, Germiston, South Africa. It was milled into a coarse wholegrain flour using a hammer mill fitted with the 1 mm opening screen;</w:t>
      </w:r>
    </w:p>
    <w:p w14:paraId="40FA7118" w14:textId="77777777" w:rsidR="009A13CD" w:rsidRDefault="009A13CD" w:rsidP="00232C63">
      <w:r>
        <w:rPr>
          <w:lang w:val="en-ZA"/>
        </w:rPr>
        <w:t xml:space="preserve">Naturally dehydrated baobab fruit pulp was sourced from </w:t>
      </w:r>
      <w:r w:rsidRPr="00D24CC9">
        <w:rPr>
          <w:bCs/>
        </w:rPr>
        <w:t>Nautica Organic Trading, Durban, South Africa</w:t>
      </w:r>
      <w:r>
        <w:rPr>
          <w:bCs/>
        </w:rPr>
        <w:t>; M</w:t>
      </w:r>
      <w:r w:rsidRPr="00D24CC9">
        <w:rPr>
          <w:bCs/>
        </w:rPr>
        <w:t>oringa lea</w:t>
      </w:r>
      <w:r>
        <w:rPr>
          <w:bCs/>
        </w:rPr>
        <w:t xml:space="preserve">f powders were from </w:t>
      </w:r>
      <w:r w:rsidRPr="00C95C03">
        <w:t>Mor Nutritional Product</w:t>
      </w:r>
      <w:r>
        <w:t xml:space="preserve">, </w:t>
      </w:r>
      <w:r w:rsidRPr="00C95C03">
        <w:t xml:space="preserve">Tooseng Village, </w:t>
      </w:r>
      <w:r>
        <w:t xml:space="preserve">and Supa Nutri, Oudtshoorn, </w:t>
      </w:r>
      <w:r w:rsidRPr="00C95C03">
        <w:t>South Africa</w:t>
      </w:r>
      <w:r>
        <w:t>;</w:t>
      </w:r>
    </w:p>
    <w:p w14:paraId="62D16C4D" w14:textId="79496338" w:rsidR="009A13CD" w:rsidRDefault="009A13CD" w:rsidP="00232C63">
      <w:r>
        <w:t xml:space="preserve">Carrot powder and mango fruit powder (which were used as provitamin A sources) were from </w:t>
      </w:r>
      <w:r w:rsidRPr="00C95C03">
        <w:t>Sunspray Food Ingredients</w:t>
      </w:r>
      <w:r>
        <w:t xml:space="preserve">, </w:t>
      </w:r>
      <w:r w:rsidRPr="00C95C03">
        <w:t>Johannesburg, South Africa</w:t>
      </w:r>
      <w:r>
        <w:t xml:space="preserve">; </w:t>
      </w:r>
      <w:r w:rsidRPr="00D431A3">
        <w:rPr>
          <w:bCs/>
        </w:rPr>
        <w:t>Ascorbic acid and citric acid monohydrate were from Merck-Millipore, Johannesburg, South Africa</w:t>
      </w:r>
      <w:r>
        <w:rPr>
          <w:bCs/>
        </w:rPr>
        <w:t xml:space="preserve">; Ferrous sulphate was from </w:t>
      </w:r>
      <w:r w:rsidRPr="00D431A3">
        <w:t>Brenntag</w:t>
      </w:r>
      <w:r>
        <w:t xml:space="preserve">, </w:t>
      </w:r>
      <w:r w:rsidRPr="00D431A3">
        <w:t>Johannesburg, South Africa</w:t>
      </w:r>
      <w:r>
        <w:t xml:space="preserve">. </w:t>
      </w:r>
    </w:p>
    <w:p w14:paraId="1734A3DC" w14:textId="77777777" w:rsidR="009A13CD" w:rsidRDefault="009A13CD" w:rsidP="00232C63">
      <w:r>
        <w:t>All these materials were stored in airtight containers at 10</w:t>
      </w:r>
      <w:r w:rsidRPr="00BE1D46">
        <w:rPr>
          <w:vertAlign w:val="superscript"/>
        </w:rPr>
        <w:t>o</w:t>
      </w:r>
      <w:r>
        <w:t>C prior to analysis.</w:t>
      </w:r>
    </w:p>
    <w:p w14:paraId="597EF940" w14:textId="77777777" w:rsidR="009A13CD" w:rsidRDefault="009A13CD" w:rsidP="00E142CB">
      <w:pPr>
        <w:spacing w:after="0"/>
        <w:rPr>
          <w:rFonts w:cs="Times New Roman"/>
          <w:b/>
          <w:bCs/>
          <w:szCs w:val="24"/>
        </w:rPr>
      </w:pPr>
    </w:p>
    <w:p w14:paraId="772CED47" w14:textId="77777777" w:rsidR="009A13CD" w:rsidRDefault="009A13CD" w:rsidP="00232C63">
      <w:pPr>
        <w:pStyle w:val="Heading4"/>
      </w:pPr>
      <w:bookmarkStart w:id="102" w:name="_Toc65253596"/>
      <w:r>
        <w:t>4.2.3.2</w:t>
      </w:r>
      <w:r w:rsidRPr="00BE1D46">
        <w:t xml:space="preserve"> </w:t>
      </w:r>
      <w:r>
        <w:t>P</w:t>
      </w:r>
      <w:r w:rsidRPr="00BE1D46">
        <w:t>orridge formulations</w:t>
      </w:r>
      <w:r>
        <w:t xml:space="preserve"> and preparation</w:t>
      </w:r>
      <w:bookmarkEnd w:id="102"/>
    </w:p>
    <w:p w14:paraId="33688542" w14:textId="33D13426" w:rsidR="009A13CD" w:rsidRDefault="009A13CD" w:rsidP="00E51C6C">
      <w:r w:rsidRPr="00BE1D46">
        <w:t xml:space="preserve">Two sets </w:t>
      </w:r>
      <w:r>
        <w:t>(</w:t>
      </w:r>
      <w:r w:rsidRPr="00BE1D46">
        <w:t>without or with provitamin A source</w:t>
      </w:r>
      <w:r>
        <w:t>s)</w:t>
      </w:r>
      <w:r w:rsidRPr="00BE1D46">
        <w:t xml:space="preserve"> of </w:t>
      </w:r>
      <w:r>
        <w:t>f</w:t>
      </w:r>
      <w:r w:rsidRPr="00BE1D46">
        <w:t xml:space="preserve">ive </w:t>
      </w:r>
      <w:r>
        <w:t>wet-</w:t>
      </w:r>
      <w:r w:rsidRPr="00BE1D46">
        <w:t>cooked maize</w:t>
      </w:r>
      <w:r>
        <w:t>-based</w:t>
      </w:r>
      <w:r w:rsidRPr="00BE1D46">
        <w:t xml:space="preserve"> porridge</w:t>
      </w:r>
      <w:r>
        <w:t>s</w:t>
      </w:r>
      <w:r w:rsidRPr="00BE1D46">
        <w:t xml:space="preserve"> were formulated. The maize-based p</w:t>
      </w:r>
      <w:r>
        <w:t>orridges</w:t>
      </w:r>
      <w:r w:rsidRPr="00BE1D46">
        <w:t xml:space="preserve"> consisted of </w:t>
      </w:r>
      <w:r>
        <w:t xml:space="preserve">the </w:t>
      </w:r>
      <w:r w:rsidRPr="00BE1D46">
        <w:t xml:space="preserve">wholegrain maize flour without or with </w:t>
      </w:r>
      <w:r>
        <w:t>carrot</w:t>
      </w:r>
      <w:r w:rsidR="00334CA0">
        <w:t>-</w:t>
      </w:r>
      <w:r>
        <w:t xml:space="preserve">mango and then </w:t>
      </w:r>
      <w:r w:rsidRPr="00BE1D46">
        <w:t xml:space="preserve">with moringa leaf powder </w:t>
      </w:r>
      <w:r>
        <w:t>(rich</w:t>
      </w:r>
      <w:r w:rsidRPr="00BE1D46">
        <w:t xml:space="preserve"> in </w:t>
      </w:r>
      <w:r>
        <w:t>minerals)</w:t>
      </w:r>
      <w:r w:rsidRPr="00BE1D46">
        <w:t xml:space="preserve"> and/or baobab fruit pulp </w:t>
      </w:r>
      <w:r>
        <w:t>(</w:t>
      </w:r>
      <w:r w:rsidRPr="00BE1D46">
        <w:t xml:space="preserve">rich in ascorbic </w:t>
      </w:r>
      <w:r>
        <w:t xml:space="preserve">acid </w:t>
      </w:r>
      <w:r w:rsidRPr="00BE1D46">
        <w:t>and citric acid</w:t>
      </w:r>
      <w:r>
        <w:t>,</w:t>
      </w:r>
      <w:r w:rsidRPr="00BE1D46">
        <w:t xml:space="preserve"> promoters of mineral absorption</w:t>
      </w:r>
      <w:r>
        <w:t xml:space="preserve">). Maize-based porridges containing equivalent amounts of ascorbic acid and citric acid as in the baobab fruit </w:t>
      </w:r>
      <w:r w:rsidR="009C76BE">
        <w:t xml:space="preserve">or containing approximately twice the level of ascorbic acid present in baobab fruit, </w:t>
      </w:r>
      <w:r>
        <w:t>or containing equivalent quantity of iron (as ferrous sulphate, (FeSO</w:t>
      </w:r>
      <w:r w:rsidRPr="0016624A">
        <w:rPr>
          <w:vertAlign w:val="subscript"/>
        </w:rPr>
        <w:t>4</w:t>
      </w:r>
      <w:r>
        <w:t>)) as in the moringa leaf powder were also formulated.</w:t>
      </w:r>
      <w:r w:rsidRPr="00BE1D46">
        <w:t xml:space="preserve"> Th</w:t>
      </w:r>
      <w:r>
        <w:t>is</w:t>
      </w:r>
      <w:r w:rsidRPr="00BE1D46">
        <w:t xml:space="preserve"> research </w:t>
      </w:r>
      <w:r>
        <w:t>study</w:t>
      </w:r>
      <w:r w:rsidRPr="00BE1D46">
        <w:t xml:space="preserve"> </w:t>
      </w:r>
      <w:r w:rsidR="00FB5039">
        <w:t xml:space="preserve">therefore </w:t>
      </w:r>
      <w:r w:rsidRPr="00BE1D46">
        <w:t xml:space="preserve">comprised two experiments: </w:t>
      </w:r>
    </w:p>
    <w:p w14:paraId="440F022A" w14:textId="77777777" w:rsidR="00FB5039" w:rsidRDefault="00FB5039" w:rsidP="00FB5039">
      <w:pPr>
        <w:spacing w:after="0"/>
      </w:pPr>
    </w:p>
    <w:p w14:paraId="4BCCFFAE" w14:textId="63796B1C" w:rsidR="009A13CD" w:rsidRPr="00FB5039" w:rsidRDefault="009A13CD" w:rsidP="00FB5039">
      <w:pPr>
        <w:spacing w:after="0"/>
        <w:rPr>
          <w:i/>
          <w:iCs/>
        </w:rPr>
      </w:pPr>
      <w:r w:rsidRPr="00FB5039">
        <w:rPr>
          <w:i/>
          <w:iCs/>
        </w:rPr>
        <w:t xml:space="preserve">Experiment 1 (simple porridge) </w:t>
      </w:r>
    </w:p>
    <w:p w14:paraId="127993B9" w14:textId="7A1B1321" w:rsidR="009A13CD" w:rsidRDefault="009A13CD" w:rsidP="00E51C6C">
      <w:r w:rsidRPr="00BE1D46">
        <w:t>Wholegrain maize</w:t>
      </w:r>
      <w:r>
        <w:t xml:space="preserve"> flour was fortified with</w:t>
      </w:r>
      <w:r w:rsidRPr="00BE1D46">
        <w:t xml:space="preserve"> moringa leaf powder or baobab fruit pulp</w:t>
      </w:r>
      <w:r>
        <w:t xml:space="preserve"> (at a ratio 100:15 w/w) </w:t>
      </w:r>
      <w:r w:rsidRPr="00BE1D46">
        <w:t xml:space="preserve">or </w:t>
      </w:r>
      <w:r>
        <w:t>FeSO</w:t>
      </w:r>
      <w:r w:rsidRPr="0016624A">
        <w:rPr>
          <w:vertAlign w:val="subscript"/>
        </w:rPr>
        <w:t>4</w:t>
      </w:r>
      <w:r w:rsidRPr="00BE1D46">
        <w:t xml:space="preserve"> or ascorbic</w:t>
      </w:r>
      <w:r>
        <w:t xml:space="preserve"> acid</w:t>
      </w:r>
      <w:r w:rsidRPr="00BE1D46">
        <w:t xml:space="preserve">+citric acids. </w:t>
      </w:r>
      <w:r>
        <w:t xml:space="preserve">The maize porridge formulations </w:t>
      </w:r>
      <w:r w:rsidR="00FB5039">
        <w:t xml:space="preserve">and preparation </w:t>
      </w:r>
      <w:r>
        <w:t xml:space="preserve">are presented in </w:t>
      </w:r>
      <w:r w:rsidRPr="00FB5039">
        <w:t xml:space="preserve">Figure </w:t>
      </w:r>
      <w:r w:rsidR="00E142CB" w:rsidRPr="00FB5039">
        <w:t>4.2.</w:t>
      </w:r>
      <w:r w:rsidRPr="00FB5039">
        <w:t>1.</w:t>
      </w:r>
      <w:r w:rsidRPr="00BE1D46">
        <w:t xml:space="preserve"> </w:t>
      </w:r>
    </w:p>
    <w:p w14:paraId="5D24EE0E" w14:textId="77777777" w:rsidR="009A13CD" w:rsidRDefault="009A13CD" w:rsidP="00FB5039">
      <w:pPr>
        <w:spacing w:after="0"/>
      </w:pPr>
    </w:p>
    <w:p w14:paraId="5E296AE8" w14:textId="75AFC096" w:rsidR="009A13CD" w:rsidRPr="005D1CFD" w:rsidRDefault="00972CFA" w:rsidP="00C41368">
      <w:pPr>
        <w:spacing w:before="240" w:line="240" w:lineRule="auto"/>
        <w:rPr>
          <w:rFonts w:eastAsia="Times New Roman" w:cs="Times New Roman"/>
          <w:szCs w:val="24"/>
        </w:rPr>
      </w:pPr>
      <w:r>
        <w:rPr>
          <w:rFonts w:eastAsia="Times New Roman" w:cs="Times New Roman"/>
          <w:noProof/>
          <w:szCs w:val="24"/>
          <w:lang w:val="en-ZA" w:eastAsia="en-ZA"/>
        </w:rPr>
        <w:drawing>
          <wp:inline distT="0" distB="0" distL="0" distR="0" wp14:anchorId="6DEEFCEC" wp14:editId="4E0B2126">
            <wp:extent cx="5950389" cy="3327099"/>
            <wp:effectExtent l="0" t="0" r="0" b="698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9796" cy="3337950"/>
                    </a:xfrm>
                    <a:prstGeom prst="rect">
                      <a:avLst/>
                    </a:prstGeom>
                    <a:noFill/>
                  </pic:spPr>
                </pic:pic>
              </a:graphicData>
            </a:graphic>
          </wp:inline>
        </w:drawing>
      </w:r>
    </w:p>
    <w:p w14:paraId="24A3BAA2" w14:textId="77777777" w:rsidR="009F53AD" w:rsidRDefault="00E142CB" w:rsidP="005D1CFD">
      <w:pPr>
        <w:pStyle w:val="Myfigures"/>
        <w:spacing w:after="0" w:line="240" w:lineRule="auto"/>
      </w:pPr>
      <w:bookmarkStart w:id="103" w:name="_Toc65253648"/>
      <w:bookmarkStart w:id="104" w:name="_Hlk55059144"/>
      <w:r w:rsidRPr="00A74659">
        <w:rPr>
          <w:b/>
          <w:bCs/>
        </w:rPr>
        <w:t>Figure 4.2.1:</w:t>
      </w:r>
      <w:r>
        <w:t xml:space="preserve"> Flow chart of simple maize porridge formulations and preparation (Experiment 1)</w:t>
      </w:r>
      <w:bookmarkEnd w:id="103"/>
      <w:r>
        <w:t xml:space="preserve"> </w:t>
      </w:r>
    </w:p>
    <w:p w14:paraId="15976809" w14:textId="0512233B" w:rsidR="00F440FA" w:rsidRPr="005D1CFD" w:rsidRDefault="00F440FA" w:rsidP="005D1CFD">
      <w:pPr>
        <w:spacing w:after="0" w:line="240" w:lineRule="auto"/>
        <w:rPr>
          <w:sz w:val="20"/>
          <w:szCs w:val="20"/>
        </w:rPr>
      </w:pPr>
      <w:r>
        <w:rPr>
          <w:sz w:val="20"/>
          <w:szCs w:val="20"/>
        </w:rPr>
        <w:t xml:space="preserve">The different </w:t>
      </w:r>
      <w:r w:rsidR="005D1CFD">
        <w:rPr>
          <w:sz w:val="20"/>
          <w:szCs w:val="20"/>
        </w:rPr>
        <w:t>maize</w:t>
      </w:r>
      <w:r>
        <w:rPr>
          <w:sz w:val="20"/>
          <w:szCs w:val="20"/>
        </w:rPr>
        <w:t xml:space="preserve"> porridge formulations studied </w:t>
      </w:r>
      <w:r w:rsidR="005D1CFD">
        <w:rPr>
          <w:sz w:val="20"/>
          <w:szCs w:val="20"/>
        </w:rPr>
        <w:t>are</w:t>
      </w:r>
      <w:r>
        <w:rPr>
          <w:sz w:val="20"/>
          <w:szCs w:val="20"/>
        </w:rPr>
        <w:t xml:space="preserve"> highlighted in </w:t>
      </w:r>
      <w:r w:rsidRPr="00F440FA">
        <w:rPr>
          <w:sz w:val="20"/>
          <w:szCs w:val="20"/>
          <w:highlight w:val="yellow"/>
        </w:rPr>
        <w:t>yellow</w:t>
      </w:r>
    </w:p>
    <w:p w14:paraId="51E567DE" w14:textId="616B7A91" w:rsidR="00F47082" w:rsidRDefault="00991AA7" w:rsidP="00C41368">
      <w:pPr>
        <w:spacing w:after="0" w:line="240" w:lineRule="auto"/>
        <w:rPr>
          <w:sz w:val="20"/>
          <w:szCs w:val="20"/>
        </w:rPr>
      </w:pPr>
      <w:r>
        <w:rPr>
          <w:sz w:val="20"/>
          <w:szCs w:val="20"/>
          <w:vertAlign w:val="superscript"/>
        </w:rPr>
        <w:t>1</w:t>
      </w:r>
      <w:r>
        <w:rPr>
          <w:sz w:val="20"/>
          <w:szCs w:val="20"/>
        </w:rPr>
        <w:t>Maize (100.0 g)</w:t>
      </w:r>
      <w:r w:rsidR="00A00456">
        <w:rPr>
          <w:sz w:val="20"/>
          <w:szCs w:val="20"/>
        </w:rPr>
        <w:t xml:space="preserve"> (Control)</w:t>
      </w:r>
      <w:r>
        <w:rPr>
          <w:sz w:val="20"/>
          <w:szCs w:val="20"/>
        </w:rPr>
        <w:t xml:space="preserve">; </w:t>
      </w:r>
      <w:r>
        <w:rPr>
          <w:sz w:val="20"/>
          <w:szCs w:val="20"/>
          <w:vertAlign w:val="superscript"/>
        </w:rPr>
        <w:t>2</w:t>
      </w:r>
      <w:r>
        <w:rPr>
          <w:sz w:val="20"/>
          <w:szCs w:val="20"/>
        </w:rPr>
        <w:t>Maize (87.0 g) with baobab fruit pulp (13.0 g)</w:t>
      </w:r>
      <w:r w:rsidR="00F47082">
        <w:rPr>
          <w:sz w:val="20"/>
          <w:szCs w:val="20"/>
        </w:rPr>
        <w:t>/100 g porridge formulation (dry basis)</w:t>
      </w:r>
      <w:r>
        <w:rPr>
          <w:sz w:val="20"/>
          <w:szCs w:val="20"/>
        </w:rPr>
        <w:t xml:space="preserve">; </w:t>
      </w:r>
    </w:p>
    <w:p w14:paraId="555DDF03" w14:textId="77777777" w:rsidR="00F47082" w:rsidRDefault="00991AA7" w:rsidP="00C41368">
      <w:pPr>
        <w:spacing w:after="0" w:line="240" w:lineRule="auto"/>
        <w:rPr>
          <w:sz w:val="20"/>
          <w:szCs w:val="20"/>
        </w:rPr>
      </w:pPr>
      <w:r>
        <w:rPr>
          <w:sz w:val="20"/>
          <w:szCs w:val="20"/>
          <w:vertAlign w:val="superscript"/>
        </w:rPr>
        <w:t>3</w:t>
      </w:r>
      <w:r>
        <w:rPr>
          <w:sz w:val="20"/>
          <w:szCs w:val="20"/>
        </w:rPr>
        <w:t>Maize (87.0 g) with moringa leaf powder (13.0 g)</w:t>
      </w:r>
      <w:r w:rsidR="00F47082">
        <w:rPr>
          <w:sz w:val="20"/>
          <w:szCs w:val="20"/>
        </w:rPr>
        <w:t>/100 g porridge formulation (dry basis)</w:t>
      </w:r>
      <w:r>
        <w:rPr>
          <w:sz w:val="20"/>
          <w:szCs w:val="20"/>
        </w:rPr>
        <w:t xml:space="preserve">; </w:t>
      </w:r>
    </w:p>
    <w:p w14:paraId="071ED021" w14:textId="77777777" w:rsidR="00F47082" w:rsidRDefault="00991AA7" w:rsidP="00C41368">
      <w:pPr>
        <w:spacing w:after="0" w:line="240" w:lineRule="auto"/>
        <w:rPr>
          <w:sz w:val="20"/>
          <w:szCs w:val="20"/>
        </w:rPr>
      </w:pPr>
      <w:r>
        <w:rPr>
          <w:sz w:val="20"/>
          <w:szCs w:val="20"/>
          <w:vertAlign w:val="superscript"/>
        </w:rPr>
        <w:t>4</w:t>
      </w:r>
      <w:r>
        <w:rPr>
          <w:sz w:val="20"/>
          <w:szCs w:val="20"/>
        </w:rPr>
        <w:t>Maize (100.0 g) with ascorbic acid (23.3 mg), citric acid (595.0 mg)</w:t>
      </w:r>
      <w:r w:rsidR="00F47082">
        <w:rPr>
          <w:sz w:val="20"/>
          <w:szCs w:val="20"/>
        </w:rPr>
        <w:t>/100 g porridge formulation (dry basis) (</w:t>
      </w:r>
      <w:r w:rsidR="00F47082" w:rsidRPr="009F53AD">
        <w:rPr>
          <w:sz w:val="20"/>
          <w:szCs w:val="20"/>
        </w:rPr>
        <w:t>Amount of ascorbic and citric acid</w:t>
      </w:r>
      <w:r w:rsidR="00F47082">
        <w:rPr>
          <w:sz w:val="20"/>
          <w:szCs w:val="20"/>
        </w:rPr>
        <w:t xml:space="preserve"> </w:t>
      </w:r>
      <w:r w:rsidR="00F47082" w:rsidRPr="009F53AD">
        <w:rPr>
          <w:sz w:val="20"/>
          <w:szCs w:val="20"/>
        </w:rPr>
        <w:t>used were similar to the levels in the baobab fruit</w:t>
      </w:r>
      <w:r w:rsidR="00F47082">
        <w:rPr>
          <w:sz w:val="20"/>
          <w:szCs w:val="20"/>
        </w:rPr>
        <w:t>)</w:t>
      </w:r>
      <w:r>
        <w:rPr>
          <w:sz w:val="20"/>
          <w:szCs w:val="20"/>
        </w:rPr>
        <w:t xml:space="preserve">; </w:t>
      </w:r>
    </w:p>
    <w:p w14:paraId="0F99F827" w14:textId="117CF122" w:rsidR="009A13CD" w:rsidRPr="009F53AD" w:rsidRDefault="00F47082" w:rsidP="005D1CFD">
      <w:pPr>
        <w:spacing w:line="240" w:lineRule="auto"/>
        <w:rPr>
          <w:sz w:val="20"/>
          <w:szCs w:val="20"/>
        </w:rPr>
      </w:pPr>
      <w:r>
        <w:rPr>
          <w:sz w:val="20"/>
          <w:szCs w:val="20"/>
          <w:vertAlign w:val="superscript"/>
        </w:rPr>
        <w:t>5</w:t>
      </w:r>
      <w:r w:rsidR="00991AA7">
        <w:rPr>
          <w:sz w:val="20"/>
          <w:szCs w:val="20"/>
        </w:rPr>
        <w:t xml:space="preserve">Maize (100.0 g) with </w:t>
      </w:r>
      <w:r w:rsidR="00C41368">
        <w:rPr>
          <w:sz w:val="20"/>
          <w:szCs w:val="20"/>
        </w:rPr>
        <w:t xml:space="preserve">iron </w:t>
      </w:r>
      <w:r w:rsidR="001A7295">
        <w:rPr>
          <w:sz w:val="20"/>
          <w:szCs w:val="20"/>
        </w:rPr>
        <w:t xml:space="preserve">(4.7 mg) </w:t>
      </w:r>
      <w:r w:rsidR="00C41368">
        <w:rPr>
          <w:sz w:val="20"/>
          <w:szCs w:val="20"/>
        </w:rPr>
        <w:t xml:space="preserve">as </w:t>
      </w:r>
      <w:r w:rsidR="00991AA7">
        <w:rPr>
          <w:sz w:val="20"/>
          <w:szCs w:val="20"/>
        </w:rPr>
        <w:t>FeSO</w:t>
      </w:r>
      <w:r w:rsidR="00991AA7" w:rsidRPr="00991AA7">
        <w:rPr>
          <w:sz w:val="20"/>
          <w:szCs w:val="20"/>
          <w:vertAlign w:val="subscript"/>
        </w:rPr>
        <w:t>4</w:t>
      </w:r>
      <w:r w:rsidR="00991AA7">
        <w:rPr>
          <w:sz w:val="20"/>
          <w:szCs w:val="20"/>
        </w:rPr>
        <w:t>/100 g porridge formulation (dry basis)</w:t>
      </w:r>
      <w:r>
        <w:rPr>
          <w:sz w:val="20"/>
          <w:szCs w:val="20"/>
          <w:vertAlign w:val="superscript"/>
        </w:rPr>
        <w:t xml:space="preserve"> </w:t>
      </w:r>
      <w:r>
        <w:rPr>
          <w:sz w:val="20"/>
          <w:szCs w:val="20"/>
        </w:rPr>
        <w:t>(</w:t>
      </w:r>
      <w:r w:rsidR="00E142CB" w:rsidRPr="009F53AD">
        <w:rPr>
          <w:sz w:val="20"/>
          <w:szCs w:val="20"/>
        </w:rPr>
        <w:t>Amount of iron used was similar to the levels in the moringa leaf powder</w:t>
      </w:r>
      <w:r>
        <w:rPr>
          <w:sz w:val="20"/>
          <w:szCs w:val="20"/>
        </w:rPr>
        <w:t>).</w:t>
      </w:r>
      <w:bookmarkEnd w:id="104"/>
    </w:p>
    <w:p w14:paraId="4CF05DCC" w14:textId="77777777" w:rsidR="00FB5039" w:rsidRDefault="00FB5039" w:rsidP="00972CFA">
      <w:pPr>
        <w:spacing w:before="240" w:after="0"/>
      </w:pPr>
    </w:p>
    <w:p w14:paraId="5A7CFD07" w14:textId="48E107D1" w:rsidR="00E142CB" w:rsidRDefault="00FB5039" w:rsidP="00972CFA">
      <w:pPr>
        <w:rPr>
          <w:sz w:val="20"/>
          <w:szCs w:val="20"/>
        </w:rPr>
      </w:pPr>
      <w:r w:rsidRPr="006871D8">
        <w:t xml:space="preserve">Deionised water (100 ml) was added to </w:t>
      </w:r>
      <w:r>
        <w:t>30 g each of the wholegrain maize flour, moringa leaf powder fortified-maize flour and wholegrain maize flour+FeSO</w:t>
      </w:r>
      <w:r w:rsidRPr="00FB6CFF">
        <w:rPr>
          <w:vertAlign w:val="subscript"/>
        </w:rPr>
        <w:t>4</w:t>
      </w:r>
      <w:r w:rsidRPr="006871D8">
        <w:t xml:space="preserve">. The </w:t>
      </w:r>
      <w:r>
        <w:t>maize</w:t>
      </w:r>
      <w:r w:rsidRPr="006871D8">
        <w:t xml:space="preserve"> slurr</w:t>
      </w:r>
      <w:r>
        <w:t>ies</w:t>
      </w:r>
      <w:r w:rsidRPr="006871D8">
        <w:t xml:space="preserve"> </w:t>
      </w:r>
      <w:r>
        <w:t>were</w:t>
      </w:r>
      <w:r w:rsidRPr="006871D8">
        <w:t xml:space="preserve"> </w:t>
      </w:r>
      <w:r>
        <w:t>heated to boiling</w:t>
      </w:r>
      <w:r w:rsidRPr="006871D8">
        <w:t xml:space="preserve"> and maintained for 1</w:t>
      </w:r>
      <w:r>
        <w:t>5</w:t>
      </w:r>
      <w:r w:rsidRPr="006871D8">
        <w:t xml:space="preserve"> min with constant stirring. The cooked </w:t>
      </w:r>
      <w:r>
        <w:t>maize</w:t>
      </w:r>
      <w:r w:rsidRPr="006871D8">
        <w:t xml:space="preserve"> porridge</w:t>
      </w:r>
      <w:r>
        <w:t xml:space="preserve"> formulations</w:t>
      </w:r>
      <w:r w:rsidRPr="006871D8">
        <w:t xml:space="preserve"> w</w:t>
      </w:r>
      <w:r>
        <w:t>ere</w:t>
      </w:r>
      <w:r w:rsidRPr="006871D8">
        <w:t xml:space="preserve"> cooled, frozen at -20˚C and freeze</w:t>
      </w:r>
      <w:r>
        <w:t>-</w:t>
      </w:r>
      <w:r w:rsidRPr="006871D8">
        <w:t>dried.</w:t>
      </w:r>
      <w:r>
        <w:t xml:space="preserve"> </w:t>
      </w:r>
      <w:r w:rsidRPr="006871D8">
        <w:t xml:space="preserve">The dried porridge </w:t>
      </w:r>
      <w:r w:rsidR="00334CA0">
        <w:t>formulations</w:t>
      </w:r>
      <w:r>
        <w:t xml:space="preserve"> </w:t>
      </w:r>
      <w:r w:rsidRPr="006871D8">
        <w:t>w</w:t>
      </w:r>
      <w:r>
        <w:t>ere</w:t>
      </w:r>
      <w:r w:rsidRPr="006871D8">
        <w:t xml:space="preserve"> finely milled using</w:t>
      </w:r>
      <w:r w:rsidRPr="006871D8">
        <w:rPr>
          <w:bCs/>
        </w:rPr>
        <w:t xml:space="preserve"> </w:t>
      </w:r>
      <w:r>
        <w:rPr>
          <w:bCs/>
        </w:rPr>
        <w:t xml:space="preserve">an </w:t>
      </w:r>
      <w:r w:rsidRPr="006871D8">
        <w:rPr>
          <w:bCs/>
        </w:rPr>
        <w:t xml:space="preserve">IKA A11 </w:t>
      </w:r>
      <w:r>
        <w:rPr>
          <w:bCs/>
        </w:rPr>
        <w:t xml:space="preserve">micro hammer </w:t>
      </w:r>
      <w:r w:rsidRPr="006871D8">
        <w:rPr>
          <w:bCs/>
        </w:rPr>
        <w:t>mill</w:t>
      </w:r>
      <w:r>
        <w:rPr>
          <w:bCs/>
        </w:rPr>
        <w:t xml:space="preserve"> (</w:t>
      </w:r>
      <w:r>
        <w:t>Staufen, Germany</w:t>
      </w:r>
      <w:r>
        <w:rPr>
          <w:bCs/>
        </w:rPr>
        <w:t>)</w:t>
      </w:r>
      <w:r w:rsidRPr="006871D8">
        <w:t xml:space="preserve"> and stored at -20</w:t>
      </w:r>
      <w:r w:rsidRPr="006871D8">
        <w:rPr>
          <w:vertAlign w:val="superscript"/>
        </w:rPr>
        <w:t>o</w:t>
      </w:r>
      <w:r w:rsidRPr="006871D8">
        <w:t>C prior to analys</w:t>
      </w:r>
      <w:r>
        <w:t>is</w:t>
      </w:r>
      <w:r w:rsidRPr="006871D8">
        <w:t>.</w:t>
      </w:r>
      <w:r>
        <w:t xml:space="preserve"> Baobab fruit pulp or ascorbic acid+citric acid was added to the cooked maize porridge after milling, as baobab fruit is usually consumed raw like most fruits.</w:t>
      </w:r>
    </w:p>
    <w:p w14:paraId="2C794E87" w14:textId="77777777" w:rsidR="00FB5039" w:rsidRDefault="00FB5039" w:rsidP="00FB5039">
      <w:pPr>
        <w:spacing w:after="0"/>
      </w:pPr>
    </w:p>
    <w:p w14:paraId="45EE4097" w14:textId="1ED6AB60" w:rsidR="00E142CB" w:rsidRPr="00FB5039" w:rsidRDefault="00E142CB" w:rsidP="00FB5039">
      <w:pPr>
        <w:spacing w:after="0"/>
        <w:rPr>
          <w:i/>
          <w:iCs/>
        </w:rPr>
      </w:pPr>
      <w:r w:rsidRPr="00FB5039">
        <w:rPr>
          <w:i/>
          <w:iCs/>
        </w:rPr>
        <w:t>Experiment 2 (complex porridge)</w:t>
      </w:r>
    </w:p>
    <w:p w14:paraId="174B7C5A" w14:textId="2AE5E4DF" w:rsidR="00E142CB" w:rsidRDefault="00E142CB" w:rsidP="00E51C6C">
      <w:r>
        <w:t>The w</w:t>
      </w:r>
      <w:r w:rsidRPr="00BE1D46">
        <w:t>holegrain maize porridge</w:t>
      </w:r>
      <w:r>
        <w:t xml:space="preserve"> </w:t>
      </w:r>
      <w:r w:rsidR="00FB5039">
        <w:t>formulations</w:t>
      </w:r>
      <w:r>
        <w:t xml:space="preserve"> were composed of w</w:t>
      </w:r>
      <w:r w:rsidRPr="00BE1D46">
        <w:t>holegrain maize porridge and carrot</w:t>
      </w:r>
      <w:r w:rsidR="00FB5039">
        <w:t>-</w:t>
      </w:r>
      <w:r w:rsidRPr="00BE1D46">
        <w:t>mango powder</w:t>
      </w:r>
      <w:r w:rsidR="00FB5039">
        <w:t>s</w:t>
      </w:r>
      <w:r w:rsidRPr="00BE1D46">
        <w:t xml:space="preserve"> + moringa leaf powder and/or baobab fruit pulp or </w:t>
      </w:r>
      <w:r>
        <w:t>FeSO</w:t>
      </w:r>
      <w:r w:rsidRPr="0016624A">
        <w:rPr>
          <w:vertAlign w:val="subscript"/>
        </w:rPr>
        <w:t>4</w:t>
      </w:r>
      <w:r w:rsidRPr="00BE1D46">
        <w:t xml:space="preserve"> with or without ascorbic acid, plus corn starch </w:t>
      </w:r>
      <w:r>
        <w:t xml:space="preserve">(added to </w:t>
      </w:r>
      <w:r w:rsidR="00411A19">
        <w:t>ensure all the formulations contain the same proportion of maize</w:t>
      </w:r>
      <w:r>
        <w:t>)</w:t>
      </w:r>
      <w:r w:rsidRPr="00BE1D46">
        <w:t>. The porridge</w:t>
      </w:r>
      <w:r>
        <w:t>s</w:t>
      </w:r>
      <w:r w:rsidRPr="00BE1D46">
        <w:t xml:space="preserve"> were formulated to </w:t>
      </w:r>
      <w:r>
        <w:t xml:space="preserve">be similar in iron contents. A 100 g (dry basis) serving of each porridge formulation was designed to meet approx. 20% of the daily iron requirement for women of childbearing age at low (5%) bioavailability, as would be expected from a mainly plant-based diet (WHO </w:t>
      </w:r>
      <w:r w:rsidR="00A01B71">
        <w:t>&amp;</w:t>
      </w:r>
      <w:r>
        <w:t xml:space="preserve"> FAO, 200</w:t>
      </w:r>
      <w:r w:rsidR="00392C13">
        <w:t>4</w:t>
      </w:r>
      <w:r>
        <w:t xml:space="preserve">), either through fortification with moringa leaf powder or by conventional iron fortification. The details of the maize porridge formulations </w:t>
      </w:r>
      <w:r w:rsidR="00FB5039">
        <w:t xml:space="preserve">and preparation </w:t>
      </w:r>
      <w:r>
        <w:t xml:space="preserve">are presented in </w:t>
      </w:r>
      <w:r w:rsidRPr="00FB5039">
        <w:t>Figure 4.2.2.</w:t>
      </w:r>
    </w:p>
    <w:p w14:paraId="32DB0BFF" w14:textId="1867F601" w:rsidR="00E142CB" w:rsidRDefault="00E142CB" w:rsidP="00FB5039">
      <w:pPr>
        <w:spacing w:after="0"/>
      </w:pPr>
    </w:p>
    <w:p w14:paraId="675538F6" w14:textId="1CE97052" w:rsidR="00E142CB" w:rsidRDefault="00E142CB" w:rsidP="00E51C6C">
      <w:pPr>
        <w:rPr>
          <w:rFonts w:cs="Times New Roman"/>
          <w:color w:val="000000" w:themeColor="text1"/>
          <w:szCs w:val="24"/>
        </w:rPr>
      </w:pPr>
      <w:r w:rsidRPr="004F135B">
        <w:rPr>
          <w:rFonts w:cs="Times New Roman"/>
          <w:color w:val="000000" w:themeColor="text1"/>
          <w:szCs w:val="24"/>
        </w:rPr>
        <w:t xml:space="preserve">Deionised water (100 ml) was added to the wholegrain </w:t>
      </w:r>
      <w:r>
        <w:rPr>
          <w:rFonts w:cs="Times New Roman"/>
          <w:color w:val="000000" w:themeColor="text1"/>
          <w:szCs w:val="24"/>
        </w:rPr>
        <w:t>maize</w:t>
      </w:r>
      <w:r w:rsidRPr="004F135B">
        <w:rPr>
          <w:rFonts w:cs="Times New Roman"/>
          <w:color w:val="000000" w:themeColor="text1"/>
          <w:szCs w:val="24"/>
        </w:rPr>
        <w:t xml:space="preserve"> flour (</w:t>
      </w:r>
      <w:r>
        <w:rPr>
          <w:rFonts w:cs="Times New Roman"/>
          <w:color w:val="000000" w:themeColor="text1"/>
          <w:szCs w:val="24"/>
        </w:rPr>
        <w:t>30</w:t>
      </w:r>
      <w:r w:rsidRPr="004F135B">
        <w:rPr>
          <w:rFonts w:cs="Times New Roman"/>
          <w:color w:val="000000" w:themeColor="text1"/>
          <w:szCs w:val="24"/>
        </w:rPr>
        <w:t xml:space="preserve"> g). The </w:t>
      </w:r>
      <w:r>
        <w:rPr>
          <w:rFonts w:cs="Times New Roman"/>
          <w:color w:val="000000" w:themeColor="text1"/>
          <w:szCs w:val="24"/>
        </w:rPr>
        <w:t>maize</w:t>
      </w:r>
      <w:r w:rsidRPr="004F135B">
        <w:rPr>
          <w:rFonts w:cs="Times New Roman"/>
          <w:color w:val="000000" w:themeColor="text1"/>
          <w:szCs w:val="24"/>
        </w:rPr>
        <w:t xml:space="preserve"> slurry was </w:t>
      </w:r>
      <w:r>
        <w:rPr>
          <w:rFonts w:cs="Times New Roman"/>
          <w:color w:val="000000" w:themeColor="text1"/>
          <w:szCs w:val="24"/>
        </w:rPr>
        <w:t xml:space="preserve">brought to boiling </w:t>
      </w:r>
      <w:r w:rsidRPr="004F135B">
        <w:rPr>
          <w:rFonts w:cs="Times New Roman"/>
          <w:color w:val="000000" w:themeColor="text1"/>
          <w:szCs w:val="24"/>
        </w:rPr>
        <w:t>and maintained for 1</w:t>
      </w:r>
      <w:r>
        <w:rPr>
          <w:rFonts w:cs="Times New Roman"/>
          <w:color w:val="000000" w:themeColor="text1"/>
          <w:szCs w:val="24"/>
        </w:rPr>
        <w:t>0</w:t>
      </w:r>
      <w:r w:rsidRPr="004F135B">
        <w:rPr>
          <w:rFonts w:cs="Times New Roman"/>
          <w:color w:val="000000" w:themeColor="text1"/>
          <w:szCs w:val="24"/>
        </w:rPr>
        <w:t xml:space="preserve"> min with constant stirring. </w:t>
      </w:r>
      <w:r>
        <w:rPr>
          <w:rFonts w:cs="Times New Roman"/>
          <w:color w:val="000000" w:themeColor="text1"/>
          <w:szCs w:val="24"/>
        </w:rPr>
        <w:t xml:space="preserve">Carrot powder was added to the porridge and allowed to cook for another 5 min with constant stirring. </w:t>
      </w:r>
      <w:r w:rsidRPr="004F135B">
        <w:rPr>
          <w:rFonts w:cs="Times New Roman"/>
          <w:color w:val="000000" w:themeColor="text1"/>
          <w:szCs w:val="24"/>
        </w:rPr>
        <w:t>The cooked porridge was cooled</w:t>
      </w:r>
      <w:r>
        <w:rPr>
          <w:rFonts w:cs="Times New Roman"/>
          <w:color w:val="000000" w:themeColor="text1"/>
          <w:szCs w:val="24"/>
        </w:rPr>
        <w:t xml:space="preserve"> to </w:t>
      </w:r>
      <w:r w:rsidR="00177BC2">
        <w:rPr>
          <w:rFonts w:cs="Times New Roman"/>
          <w:color w:val="000000" w:themeColor="text1"/>
          <w:szCs w:val="24"/>
        </w:rPr>
        <w:t>ambient</w:t>
      </w:r>
      <w:r>
        <w:rPr>
          <w:rFonts w:cs="Times New Roman"/>
          <w:color w:val="000000" w:themeColor="text1"/>
          <w:szCs w:val="24"/>
        </w:rPr>
        <w:t xml:space="preserve"> temperature (25</w:t>
      </w:r>
      <w:r w:rsidRPr="004F135B">
        <w:rPr>
          <w:rFonts w:cs="Times New Roman"/>
          <w:color w:val="000000" w:themeColor="text1"/>
          <w:szCs w:val="24"/>
          <w:vertAlign w:val="superscript"/>
        </w:rPr>
        <w:t>o</w:t>
      </w:r>
      <w:r>
        <w:rPr>
          <w:rFonts w:cs="Times New Roman"/>
          <w:color w:val="000000" w:themeColor="text1"/>
          <w:szCs w:val="24"/>
        </w:rPr>
        <w:t>C), after which mango powder was added to the porridge and thoroughly mixed. As with moringa and conventionally iron fortified-maize-based porridges</w:t>
      </w:r>
      <w:r>
        <w:rPr>
          <w:rFonts w:cs="Times New Roman"/>
          <w:szCs w:val="24"/>
        </w:rPr>
        <w:t>, the moringa leaf powder or FeSO</w:t>
      </w:r>
      <w:r>
        <w:rPr>
          <w:rFonts w:cs="Times New Roman"/>
          <w:szCs w:val="24"/>
          <w:vertAlign w:val="subscript"/>
        </w:rPr>
        <w:t xml:space="preserve">4 </w:t>
      </w:r>
      <w:r>
        <w:rPr>
          <w:rFonts w:cs="Times New Roman"/>
          <w:szCs w:val="24"/>
        </w:rPr>
        <w:t>was added to the maize slurry at the start of the cooking of the porridge. However, for the baobab fruit+FeSO</w:t>
      </w:r>
      <w:r w:rsidRPr="00694B89">
        <w:rPr>
          <w:rFonts w:cs="Times New Roman"/>
          <w:szCs w:val="24"/>
          <w:vertAlign w:val="subscript"/>
        </w:rPr>
        <w:t>4</w:t>
      </w:r>
      <w:r>
        <w:rPr>
          <w:rFonts w:cs="Times New Roman"/>
          <w:szCs w:val="24"/>
        </w:rPr>
        <w:t xml:space="preserve"> fortified-maize-based porridge and FeSO</w:t>
      </w:r>
      <w:r w:rsidRPr="00694B89">
        <w:rPr>
          <w:rFonts w:cs="Times New Roman"/>
          <w:szCs w:val="24"/>
          <w:vertAlign w:val="subscript"/>
        </w:rPr>
        <w:t>4</w:t>
      </w:r>
      <w:r>
        <w:rPr>
          <w:rFonts w:cs="Times New Roman"/>
          <w:szCs w:val="24"/>
        </w:rPr>
        <w:t xml:space="preserve"> fortified-maize-based porridge containing ascorbic acid formulations, the baobab fruit or ascorbic acid was added after cooking and cooling. </w:t>
      </w:r>
      <w:r>
        <w:rPr>
          <w:rFonts w:cs="Times New Roman"/>
          <w:color w:val="000000" w:themeColor="text1"/>
          <w:szCs w:val="24"/>
        </w:rPr>
        <w:t xml:space="preserve">All the porridge formulations were then </w:t>
      </w:r>
      <w:r w:rsidRPr="004F135B">
        <w:rPr>
          <w:rFonts w:cs="Times New Roman"/>
          <w:color w:val="000000" w:themeColor="text1"/>
          <w:szCs w:val="24"/>
        </w:rPr>
        <w:t>frozen at -20˚C and freeze</w:t>
      </w:r>
      <w:r>
        <w:rPr>
          <w:rFonts w:cs="Times New Roman"/>
          <w:color w:val="000000" w:themeColor="text1"/>
          <w:szCs w:val="24"/>
        </w:rPr>
        <w:t>-</w:t>
      </w:r>
      <w:r w:rsidRPr="004F135B">
        <w:rPr>
          <w:rFonts w:cs="Times New Roman"/>
          <w:color w:val="000000" w:themeColor="text1"/>
          <w:szCs w:val="24"/>
        </w:rPr>
        <w:t>dried.</w:t>
      </w:r>
      <w:r>
        <w:rPr>
          <w:rFonts w:cs="Times New Roman"/>
          <w:color w:val="000000" w:themeColor="text1"/>
          <w:szCs w:val="24"/>
        </w:rPr>
        <w:t xml:space="preserve"> </w:t>
      </w:r>
      <w:r w:rsidRPr="004F135B">
        <w:rPr>
          <w:rFonts w:cs="Times New Roman"/>
          <w:color w:val="000000" w:themeColor="text1"/>
          <w:szCs w:val="24"/>
        </w:rPr>
        <w:t xml:space="preserve">The </w:t>
      </w:r>
      <w:r>
        <w:rPr>
          <w:rFonts w:cs="Times New Roman"/>
          <w:color w:val="000000" w:themeColor="text1"/>
          <w:szCs w:val="24"/>
        </w:rPr>
        <w:t>freeze-dried</w:t>
      </w:r>
      <w:r w:rsidRPr="004F135B">
        <w:rPr>
          <w:rFonts w:cs="Times New Roman"/>
          <w:color w:val="000000" w:themeColor="text1"/>
          <w:szCs w:val="24"/>
        </w:rPr>
        <w:t xml:space="preserve"> porridge</w:t>
      </w:r>
      <w:r>
        <w:rPr>
          <w:rFonts w:cs="Times New Roman"/>
          <w:color w:val="000000" w:themeColor="text1"/>
          <w:szCs w:val="24"/>
        </w:rPr>
        <w:t>s</w:t>
      </w:r>
      <w:r w:rsidRPr="004F135B">
        <w:rPr>
          <w:rFonts w:cs="Times New Roman"/>
          <w:color w:val="000000" w:themeColor="text1"/>
          <w:szCs w:val="24"/>
        </w:rPr>
        <w:t xml:space="preserve"> w</w:t>
      </w:r>
      <w:r>
        <w:rPr>
          <w:rFonts w:cs="Times New Roman"/>
          <w:color w:val="000000" w:themeColor="text1"/>
          <w:szCs w:val="24"/>
        </w:rPr>
        <w:t>ere</w:t>
      </w:r>
      <w:r w:rsidRPr="004F135B">
        <w:rPr>
          <w:rFonts w:cs="Times New Roman"/>
          <w:color w:val="000000" w:themeColor="text1"/>
          <w:szCs w:val="24"/>
        </w:rPr>
        <w:t xml:space="preserve"> </w:t>
      </w:r>
      <w:r>
        <w:rPr>
          <w:rFonts w:cs="Times New Roman"/>
          <w:color w:val="000000" w:themeColor="text1"/>
          <w:szCs w:val="24"/>
        </w:rPr>
        <w:t xml:space="preserve">then </w:t>
      </w:r>
      <w:r w:rsidRPr="004F135B">
        <w:rPr>
          <w:rFonts w:cs="Times New Roman"/>
          <w:color w:val="000000" w:themeColor="text1"/>
          <w:szCs w:val="24"/>
        </w:rPr>
        <w:t xml:space="preserve">finely milled </w:t>
      </w:r>
      <w:r>
        <w:rPr>
          <w:rFonts w:cs="Times New Roman"/>
          <w:color w:val="000000" w:themeColor="text1"/>
          <w:szCs w:val="24"/>
        </w:rPr>
        <w:t>and stored as described above.</w:t>
      </w:r>
    </w:p>
    <w:p w14:paraId="6F9F349D" w14:textId="49B24FBD" w:rsidR="00E142CB" w:rsidRDefault="00E142CB" w:rsidP="00E142CB">
      <w:pPr>
        <w:rPr>
          <w:rFonts w:cs="Times New Roman"/>
          <w:color w:val="000000" w:themeColor="text1"/>
          <w:szCs w:val="24"/>
        </w:rPr>
      </w:pPr>
    </w:p>
    <w:p w14:paraId="58A9E44B" w14:textId="0A1BB744" w:rsidR="00E142CB" w:rsidRDefault="001E2A43" w:rsidP="001A7295">
      <w:pPr>
        <w:spacing w:after="0"/>
        <w:rPr>
          <w:rFonts w:eastAsia="Times New Roman" w:cs="Times New Roman"/>
          <w:sz w:val="22"/>
        </w:rPr>
      </w:pPr>
      <w:r>
        <w:rPr>
          <w:rFonts w:eastAsia="Times New Roman" w:cs="Times New Roman"/>
          <w:noProof/>
          <w:sz w:val="22"/>
          <w:lang w:val="en-ZA" w:eastAsia="en-ZA"/>
        </w:rPr>
        <w:drawing>
          <wp:inline distT="0" distB="0" distL="0" distR="0" wp14:anchorId="55B4DDB2" wp14:editId="009D464D">
            <wp:extent cx="6021936" cy="364224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054437" cy="3661903"/>
                    </a:xfrm>
                    <a:prstGeom prst="rect">
                      <a:avLst/>
                    </a:prstGeom>
                    <a:noFill/>
                  </pic:spPr>
                </pic:pic>
              </a:graphicData>
            </a:graphic>
          </wp:inline>
        </w:drawing>
      </w:r>
    </w:p>
    <w:p w14:paraId="43E43EA0" w14:textId="07B719DB" w:rsidR="00E142CB" w:rsidRDefault="00E142CB" w:rsidP="007148C4">
      <w:pPr>
        <w:pStyle w:val="Myfigures"/>
        <w:spacing w:after="0" w:line="240" w:lineRule="auto"/>
        <w:rPr>
          <w:sz w:val="20"/>
          <w:szCs w:val="20"/>
        </w:rPr>
      </w:pPr>
      <w:bookmarkStart w:id="105" w:name="_Toc65253649"/>
      <w:r w:rsidRPr="00FB5039">
        <w:rPr>
          <w:b/>
          <w:bCs/>
        </w:rPr>
        <w:t>Figure 4.2.2:</w:t>
      </w:r>
      <w:r w:rsidRPr="00FB5039">
        <w:t xml:space="preserve"> Flow chart of complex maize-based porridge formulations and preparation (Experiment 2)</w:t>
      </w:r>
      <w:bookmarkEnd w:id="105"/>
    </w:p>
    <w:p w14:paraId="1D4AAAD8" w14:textId="5529332F" w:rsidR="007148C4" w:rsidRPr="007148C4" w:rsidRDefault="007148C4" w:rsidP="00E142CB">
      <w:pPr>
        <w:spacing w:after="0" w:line="240" w:lineRule="auto"/>
        <w:rPr>
          <w:rFonts w:eastAsia="Times New Roman" w:cs="Times New Roman"/>
          <w:sz w:val="20"/>
          <w:szCs w:val="20"/>
        </w:rPr>
      </w:pPr>
      <w:r>
        <w:rPr>
          <w:sz w:val="20"/>
          <w:szCs w:val="20"/>
        </w:rPr>
        <w:t xml:space="preserve">The different maize-based porridge formulations studied are highlighted in </w:t>
      </w:r>
      <w:r w:rsidRPr="00F440FA">
        <w:rPr>
          <w:sz w:val="20"/>
          <w:szCs w:val="20"/>
          <w:highlight w:val="yellow"/>
        </w:rPr>
        <w:t>yellow</w:t>
      </w:r>
    </w:p>
    <w:p w14:paraId="0EFFC385" w14:textId="555EC9D0" w:rsidR="00A00456" w:rsidRDefault="00E142CB" w:rsidP="00E142CB">
      <w:pPr>
        <w:spacing w:after="0" w:line="240" w:lineRule="auto"/>
        <w:rPr>
          <w:rFonts w:cs="Times New Roman"/>
          <w:sz w:val="20"/>
          <w:szCs w:val="20"/>
        </w:rPr>
      </w:pPr>
      <w:r>
        <w:rPr>
          <w:rFonts w:eastAsia="Times New Roman" w:cs="Times New Roman"/>
          <w:sz w:val="20"/>
          <w:szCs w:val="20"/>
          <w:vertAlign w:val="superscript"/>
        </w:rPr>
        <w:t>1</w:t>
      </w:r>
      <w:r w:rsidRPr="00A967D7">
        <w:rPr>
          <w:rFonts w:eastAsia="Times New Roman" w:cs="Times New Roman"/>
          <w:sz w:val="20"/>
          <w:szCs w:val="20"/>
        </w:rPr>
        <w:t>Maize (64.5 g) with iron (9.4 mg) as ferrous sulphate, mango (3.5 g), carrot (3.5 g), starch (28.5 g)</w:t>
      </w:r>
      <w:r w:rsidR="00A01B71">
        <w:rPr>
          <w:rFonts w:eastAsia="Times New Roman" w:cs="Times New Roman"/>
          <w:sz w:val="20"/>
          <w:szCs w:val="20"/>
        </w:rPr>
        <w:t>/100 g formulation (dry basis)</w:t>
      </w:r>
      <w:r>
        <w:rPr>
          <w:rFonts w:eastAsia="Times New Roman" w:cs="Times New Roman"/>
          <w:sz w:val="20"/>
          <w:szCs w:val="20"/>
        </w:rPr>
        <w:t xml:space="preserve"> (Control)</w:t>
      </w:r>
      <w:r w:rsidR="00A00456">
        <w:rPr>
          <w:rFonts w:eastAsia="Times New Roman" w:cs="Times New Roman"/>
          <w:sz w:val="20"/>
          <w:szCs w:val="20"/>
        </w:rPr>
        <w:t>;</w:t>
      </w:r>
      <w:r>
        <w:rPr>
          <w:rFonts w:cs="Times New Roman"/>
          <w:sz w:val="20"/>
          <w:szCs w:val="20"/>
        </w:rPr>
        <w:t xml:space="preserve"> </w:t>
      </w:r>
      <w:r>
        <w:rPr>
          <w:rFonts w:cs="Times New Roman"/>
          <w:szCs w:val="24"/>
          <w:vertAlign w:val="superscript"/>
        </w:rPr>
        <w:t>2</w:t>
      </w:r>
      <w:r w:rsidRPr="00A967D7">
        <w:rPr>
          <w:rFonts w:eastAsia="Times New Roman" w:cs="Times New Roman"/>
          <w:sz w:val="20"/>
          <w:szCs w:val="20"/>
        </w:rPr>
        <w:t>Maize (64.5 g) with iron (9.4 mg) as ferrous sulphate, ascorbic acid (63.3 mg), mango (3.5 g), carrot (3.5 g), starch (28.5 g)</w:t>
      </w:r>
      <w:r w:rsidR="00A01B71">
        <w:rPr>
          <w:rFonts w:eastAsia="Times New Roman" w:cs="Times New Roman"/>
          <w:sz w:val="20"/>
          <w:szCs w:val="20"/>
        </w:rPr>
        <w:t>/100 g formulation (dry basis)</w:t>
      </w:r>
      <w:r w:rsidR="00A00456">
        <w:rPr>
          <w:rFonts w:cs="Times New Roman"/>
          <w:sz w:val="20"/>
          <w:szCs w:val="20"/>
        </w:rPr>
        <w:t>;</w:t>
      </w:r>
      <w:r>
        <w:rPr>
          <w:rFonts w:cs="Times New Roman"/>
          <w:sz w:val="20"/>
          <w:szCs w:val="20"/>
        </w:rPr>
        <w:t xml:space="preserve"> </w:t>
      </w:r>
    </w:p>
    <w:p w14:paraId="264357B8" w14:textId="467320A5" w:rsidR="00E142CB" w:rsidRPr="00F2624F" w:rsidRDefault="00E142CB" w:rsidP="00E142CB">
      <w:pPr>
        <w:spacing w:after="0" w:line="240" w:lineRule="auto"/>
        <w:rPr>
          <w:rFonts w:cs="Times New Roman"/>
          <w:sz w:val="20"/>
          <w:szCs w:val="20"/>
        </w:rPr>
      </w:pPr>
      <w:r>
        <w:rPr>
          <w:rFonts w:cs="Times New Roman"/>
          <w:szCs w:val="24"/>
          <w:vertAlign w:val="superscript"/>
        </w:rPr>
        <w:t>3</w:t>
      </w:r>
      <w:r w:rsidRPr="00A967D7">
        <w:rPr>
          <w:rFonts w:eastAsia="Times New Roman" w:cs="Times New Roman"/>
          <w:sz w:val="20"/>
          <w:szCs w:val="20"/>
        </w:rPr>
        <w:t>Maize (64.5 g) with moringa leaf powder (13.5 g), mango (3.5 g), carrot (3.5 g), starch (15.0 g)</w:t>
      </w:r>
      <w:r w:rsidR="00A01B71">
        <w:rPr>
          <w:rFonts w:eastAsia="Times New Roman" w:cs="Times New Roman"/>
          <w:sz w:val="20"/>
          <w:szCs w:val="20"/>
        </w:rPr>
        <w:t>/100 g formulation (dry basis)</w:t>
      </w:r>
      <w:r w:rsidR="00A00456">
        <w:rPr>
          <w:rFonts w:cs="Times New Roman"/>
          <w:sz w:val="20"/>
          <w:szCs w:val="20"/>
        </w:rPr>
        <w:t>;</w:t>
      </w:r>
      <w:r>
        <w:rPr>
          <w:rFonts w:cs="Times New Roman"/>
          <w:sz w:val="20"/>
          <w:szCs w:val="20"/>
        </w:rPr>
        <w:t xml:space="preserve"> </w:t>
      </w:r>
      <w:r>
        <w:rPr>
          <w:rFonts w:cs="Times New Roman"/>
          <w:szCs w:val="24"/>
          <w:vertAlign w:val="superscript"/>
        </w:rPr>
        <w:t>4</w:t>
      </w:r>
      <w:r w:rsidRPr="00A967D7">
        <w:rPr>
          <w:rFonts w:eastAsia="Times New Roman" w:cs="Times New Roman"/>
          <w:sz w:val="20"/>
          <w:szCs w:val="20"/>
        </w:rPr>
        <w:t>Maize (64.5 g) with iron (9.4</w:t>
      </w:r>
      <w:r w:rsidR="00A01B71">
        <w:rPr>
          <w:rFonts w:eastAsia="Times New Roman" w:cs="Times New Roman"/>
          <w:sz w:val="20"/>
          <w:szCs w:val="20"/>
        </w:rPr>
        <w:t xml:space="preserve"> g</w:t>
      </w:r>
      <w:r w:rsidRPr="00A967D7">
        <w:rPr>
          <w:rFonts w:eastAsia="Times New Roman" w:cs="Times New Roman"/>
          <w:sz w:val="20"/>
          <w:szCs w:val="20"/>
        </w:rPr>
        <w:t>) as ferrous sulphate, baobab fruit pulp (15.0 g), mango (3.5 g), carrot (3.5 g), starch (13.5 g)</w:t>
      </w:r>
      <w:r w:rsidR="00A01B71">
        <w:rPr>
          <w:rFonts w:eastAsia="Times New Roman" w:cs="Times New Roman"/>
          <w:sz w:val="20"/>
          <w:szCs w:val="20"/>
        </w:rPr>
        <w:t>/100 g formulation (dry basis)</w:t>
      </w:r>
      <w:r w:rsidR="00A00456">
        <w:rPr>
          <w:rFonts w:eastAsia="Times New Roman" w:cs="Times New Roman"/>
          <w:sz w:val="20"/>
          <w:szCs w:val="20"/>
        </w:rPr>
        <w:t>;</w:t>
      </w:r>
    </w:p>
    <w:p w14:paraId="32B83B43" w14:textId="613196CD" w:rsidR="00E142CB" w:rsidRDefault="00E142CB" w:rsidP="00E142CB">
      <w:pPr>
        <w:spacing w:line="240" w:lineRule="auto"/>
        <w:rPr>
          <w:rFonts w:eastAsia="Times New Roman" w:cs="Times New Roman"/>
          <w:sz w:val="20"/>
          <w:szCs w:val="20"/>
        </w:rPr>
      </w:pPr>
      <w:r>
        <w:rPr>
          <w:rFonts w:cs="Times New Roman"/>
          <w:szCs w:val="24"/>
          <w:vertAlign w:val="superscript"/>
        </w:rPr>
        <w:t>5</w:t>
      </w:r>
      <w:r w:rsidRPr="00A967D7">
        <w:rPr>
          <w:rFonts w:eastAsia="Times New Roman" w:cs="Times New Roman"/>
          <w:sz w:val="20"/>
          <w:szCs w:val="20"/>
        </w:rPr>
        <w:t xml:space="preserve">Maize (64.5 g) with baobab fruit powder (15.0 g), moringa leaf powder (13.5 g), mango (3.5 g), carrot </w:t>
      </w:r>
      <w:r>
        <w:rPr>
          <w:rFonts w:eastAsia="Times New Roman" w:cs="Times New Roman"/>
          <w:sz w:val="20"/>
          <w:szCs w:val="20"/>
        </w:rPr>
        <w:t>(3.5 g), starch (0 g)</w:t>
      </w:r>
      <w:r w:rsidR="00A01B71">
        <w:rPr>
          <w:rFonts w:eastAsia="Times New Roman" w:cs="Times New Roman"/>
          <w:sz w:val="20"/>
          <w:szCs w:val="20"/>
        </w:rPr>
        <w:t>/100 g formulation (dry basis)</w:t>
      </w:r>
      <w:r w:rsidR="00A00456">
        <w:rPr>
          <w:rFonts w:eastAsia="Times New Roman" w:cs="Times New Roman"/>
          <w:sz w:val="20"/>
          <w:szCs w:val="20"/>
        </w:rPr>
        <w:t>.</w:t>
      </w:r>
    </w:p>
    <w:p w14:paraId="455AAC07" w14:textId="42867171" w:rsidR="00E142CB" w:rsidRPr="002557A0" w:rsidRDefault="00E142CB" w:rsidP="006B1FCF">
      <w:pPr>
        <w:spacing w:after="0"/>
        <w:rPr>
          <w:rFonts w:eastAsia="Times New Roman" w:cs="Times New Roman"/>
          <w:szCs w:val="24"/>
        </w:rPr>
      </w:pPr>
    </w:p>
    <w:p w14:paraId="33693F80" w14:textId="67B5E51E" w:rsidR="002557A0" w:rsidRDefault="00E10CA1" w:rsidP="0009779A">
      <w:pPr>
        <w:pStyle w:val="Heading4"/>
        <w:spacing w:before="0"/>
      </w:pPr>
      <w:bookmarkStart w:id="106" w:name="_Toc65253597"/>
      <w:r>
        <w:t>4.2.3.3</w:t>
      </w:r>
      <w:r w:rsidR="00E51C6C">
        <w:tab/>
      </w:r>
      <w:r>
        <w:t>Analyses</w:t>
      </w:r>
      <w:bookmarkEnd w:id="106"/>
    </w:p>
    <w:p w14:paraId="437BCBF3" w14:textId="4AFBA802" w:rsidR="00E10CA1" w:rsidRPr="002557A0" w:rsidRDefault="00E10CA1" w:rsidP="0009779A">
      <w:pPr>
        <w:spacing w:after="0"/>
        <w:rPr>
          <w:i/>
          <w:iCs/>
        </w:rPr>
      </w:pPr>
      <w:r w:rsidRPr="002557A0">
        <w:rPr>
          <w:i/>
          <w:iCs/>
        </w:rPr>
        <w:t>Moisture content</w:t>
      </w:r>
    </w:p>
    <w:p w14:paraId="7F4BF6F9" w14:textId="2BDAB9C3" w:rsidR="00E10CA1" w:rsidRDefault="00E10CA1" w:rsidP="00E51C6C">
      <w:bookmarkStart w:id="107" w:name="_Hlk46180234"/>
      <w:r>
        <w:t>The moisture and dry matter contents of the plant food ingredients were determined using the high constant temperature oven method of ISTA (2018). Ingredient flours were dried at 103</w:t>
      </w:r>
      <w:r w:rsidRPr="00C478D4">
        <w:rPr>
          <w:vertAlign w:val="superscript"/>
        </w:rPr>
        <w:t>o</w:t>
      </w:r>
      <w:r>
        <w:t>C for 17 hours.</w:t>
      </w:r>
    </w:p>
    <w:bookmarkEnd w:id="107"/>
    <w:p w14:paraId="6CDFDB66" w14:textId="77777777" w:rsidR="00A4662A" w:rsidRDefault="00A4662A" w:rsidP="002557A0">
      <w:pPr>
        <w:spacing w:after="0"/>
        <w:rPr>
          <w:i/>
          <w:iCs/>
        </w:rPr>
      </w:pPr>
    </w:p>
    <w:p w14:paraId="4AFBC0DD" w14:textId="77777777" w:rsidR="00A4662A" w:rsidRDefault="00A4662A" w:rsidP="002557A0">
      <w:pPr>
        <w:spacing w:after="0"/>
        <w:rPr>
          <w:i/>
          <w:iCs/>
        </w:rPr>
      </w:pPr>
    </w:p>
    <w:p w14:paraId="07A32325" w14:textId="62F0CD2A" w:rsidR="00E10CA1" w:rsidRPr="002557A0" w:rsidRDefault="00E10CA1" w:rsidP="002557A0">
      <w:pPr>
        <w:spacing w:after="0"/>
        <w:rPr>
          <w:i/>
          <w:iCs/>
        </w:rPr>
      </w:pPr>
      <w:r w:rsidRPr="002557A0">
        <w:rPr>
          <w:i/>
          <w:iCs/>
        </w:rPr>
        <w:t>Mineral contents</w:t>
      </w:r>
    </w:p>
    <w:p w14:paraId="1887FA57" w14:textId="4ABD3755" w:rsidR="00E10CA1" w:rsidRDefault="00E10CA1" w:rsidP="00E51C6C">
      <w:r>
        <w:t>Acid</w:t>
      </w:r>
      <w:r w:rsidRPr="006871D8">
        <w:t xml:space="preserve"> </w:t>
      </w:r>
      <w:r w:rsidRPr="006F31A7">
        <w:t xml:space="preserve">digestion of </w:t>
      </w:r>
      <w:r>
        <w:t xml:space="preserve">the ingredient </w:t>
      </w:r>
      <w:r w:rsidRPr="006F31A7">
        <w:t>flour</w:t>
      </w:r>
      <w:r>
        <w:t>s</w:t>
      </w:r>
      <w:r w:rsidRPr="006F31A7">
        <w:t xml:space="preserve"> was performed by </w:t>
      </w:r>
      <w:r>
        <w:t xml:space="preserve">the U.S. </w:t>
      </w:r>
      <w:r w:rsidRPr="006F31A7">
        <w:t>EPA method 3051A (U.S. EPA, 2007). Iron, zinc, calcium, magnesium</w:t>
      </w:r>
      <w:r w:rsidR="00D92265">
        <w:t xml:space="preserve"> and</w:t>
      </w:r>
      <w:r w:rsidRPr="006F31A7">
        <w:t xml:space="preserve"> phosphorus contents of the digested </w:t>
      </w:r>
      <w:r>
        <w:t>plant food ingredients</w:t>
      </w:r>
      <w:r w:rsidRPr="006F31A7">
        <w:t xml:space="preserve"> were analysed by EPA method 200.7 </w:t>
      </w:r>
      <w:r w:rsidR="00D26C58">
        <w:t xml:space="preserve">(U.S. </w:t>
      </w:r>
      <w:r w:rsidR="009452C7">
        <w:t>EPA, 1994</w:t>
      </w:r>
      <w:r w:rsidR="00D26C58">
        <w:t xml:space="preserve">) </w:t>
      </w:r>
      <w:r w:rsidRPr="006F31A7">
        <w:t xml:space="preserve">using Inductively Coupled Plasma-Atomic Emission Spectrometry (ICP-AES) </w:t>
      </w:r>
      <w:r w:rsidRPr="00047A12">
        <w:t>(</w:t>
      </w:r>
      <w:r w:rsidRPr="00047A12">
        <w:rPr>
          <w:shd w:val="clear" w:color="auto" w:fill="FFFFFF"/>
        </w:rPr>
        <w:t>iCAP 6000 series, Thermo Scientific,</w:t>
      </w:r>
      <w:r>
        <w:rPr>
          <w:shd w:val="clear" w:color="auto" w:fill="FFFFFF"/>
        </w:rPr>
        <w:t xml:space="preserve"> Bremen, Germany</w:t>
      </w:r>
      <w:r w:rsidRPr="00047A12">
        <w:rPr>
          <w:shd w:val="clear" w:color="auto" w:fill="FFFFFF"/>
        </w:rPr>
        <w:t>)</w:t>
      </w:r>
      <w:r w:rsidRPr="00047A12">
        <w:t>.</w:t>
      </w:r>
      <w:r w:rsidRPr="006F31A7">
        <w:t xml:space="preserve"> Elements were </w:t>
      </w:r>
      <w:r>
        <w:t xml:space="preserve">then </w:t>
      </w:r>
      <w:r w:rsidRPr="006F31A7">
        <w:t>analysed using wavelengths 239.5 nm for Fe, 206.7 nm for Zn, 315.8 for Ca, 285.2 nm for Mg and 214.9 nm for P.</w:t>
      </w:r>
    </w:p>
    <w:p w14:paraId="74B288EF" w14:textId="6CBCCB73" w:rsidR="00E10CA1" w:rsidRPr="002557A0" w:rsidRDefault="00E10CA1" w:rsidP="002557A0">
      <w:pPr>
        <w:spacing w:after="0"/>
        <w:rPr>
          <w:i/>
          <w:iCs/>
        </w:rPr>
      </w:pPr>
      <w:r w:rsidRPr="002557A0">
        <w:rPr>
          <w:i/>
          <w:iCs/>
        </w:rPr>
        <w:t xml:space="preserve">Phytate content </w:t>
      </w:r>
    </w:p>
    <w:p w14:paraId="003C1D28" w14:textId="6E97B33A" w:rsidR="00E10CA1" w:rsidRDefault="00E10CA1" w:rsidP="00E51C6C">
      <w:r w:rsidRPr="006F31A7">
        <w:t xml:space="preserve">Phytate content was measured </w:t>
      </w:r>
      <w:r>
        <w:t>using the extraction and</w:t>
      </w:r>
      <w:r w:rsidRPr="006F31A7">
        <w:t xml:space="preserve"> indirect quantitative </w:t>
      </w:r>
      <w:r>
        <w:t>assay</w:t>
      </w:r>
      <w:r w:rsidRPr="006F31A7">
        <w:t xml:space="preserve"> described by </w:t>
      </w:r>
      <w:r w:rsidRPr="006F31A7">
        <w:rPr>
          <w:noProof/>
        </w:rPr>
        <w:t>Frühbeck</w:t>
      </w:r>
      <w:r w:rsidR="00177BC2">
        <w:rPr>
          <w:noProof/>
        </w:rPr>
        <w:t xml:space="preserve"> et al.</w:t>
      </w:r>
      <w:r w:rsidRPr="006F31A7">
        <w:t xml:space="preserve"> (1995). </w:t>
      </w:r>
      <w:r w:rsidRPr="006F31A7">
        <w:rPr>
          <w:rFonts w:eastAsia="AdvGulliv-R"/>
        </w:rPr>
        <w:t>Dowex1-anion-exchange resin-AG 1 x 4 (4% Cross-linkage, chloride form, 100-200 mesh) in glass barrel Econo-columns</w:t>
      </w:r>
      <w:r>
        <w:rPr>
          <w:rFonts w:eastAsia="AdvGulliv-R"/>
        </w:rPr>
        <w:t xml:space="preserve"> (</w:t>
      </w:r>
      <w:r w:rsidRPr="006F31A7">
        <w:rPr>
          <w:rFonts w:eastAsia="AdvGulliv-R"/>
        </w:rPr>
        <w:t>0.7x5</w:t>
      </w:r>
      <w:r>
        <w:rPr>
          <w:rFonts w:eastAsia="AdvGulliv-R"/>
        </w:rPr>
        <w:t xml:space="preserve"> </w:t>
      </w:r>
      <w:r w:rsidRPr="006F31A7">
        <w:rPr>
          <w:rFonts w:eastAsia="AdvGulliv-R"/>
        </w:rPr>
        <w:t>cm</w:t>
      </w:r>
      <w:r>
        <w:rPr>
          <w:rFonts w:eastAsia="AdvGulliv-R"/>
        </w:rPr>
        <w:t>)</w:t>
      </w:r>
      <w:r w:rsidRPr="006F31A7">
        <w:rPr>
          <w:rFonts w:eastAsia="AdvGulliv-R"/>
        </w:rPr>
        <w:t xml:space="preserve"> was used </w:t>
      </w:r>
      <w:r>
        <w:rPr>
          <w:rFonts w:eastAsia="AdvGulliv-R"/>
        </w:rPr>
        <w:t>to purify the sample extracts and to separate the inorganic and organic (phytate) phosphorus</w:t>
      </w:r>
      <w:r w:rsidRPr="006F31A7">
        <w:rPr>
          <w:rFonts w:eastAsia="AdvGulliv-R"/>
        </w:rPr>
        <w:t xml:space="preserve">. </w:t>
      </w:r>
      <w:r>
        <w:rPr>
          <w:rFonts w:eastAsia="AdvGulliv-R"/>
        </w:rPr>
        <w:t>The sodium phytate s</w:t>
      </w:r>
      <w:r w:rsidRPr="006F31A7">
        <w:rPr>
          <w:rFonts w:eastAsia="AdvGulliv-R"/>
        </w:rPr>
        <w:t>tandard (</w:t>
      </w:r>
      <w:r>
        <w:rPr>
          <w:rFonts w:eastAsia="AdvGulliv-R"/>
        </w:rPr>
        <w:t xml:space="preserve">P-8810, </w:t>
      </w:r>
      <w:r w:rsidRPr="006F31A7">
        <w:rPr>
          <w:rFonts w:eastAsia="AdvGulliv-R"/>
        </w:rPr>
        <w:t xml:space="preserve">Sigma-Aldrich, Johannesburg, South Africa) and purified </w:t>
      </w:r>
      <w:r>
        <w:t>extracts</w:t>
      </w:r>
      <w:r w:rsidRPr="006F31A7">
        <w:t xml:space="preserve"> were reacted with Wade reagent, after which absorbance was measured colorimetrically at 500 nm.</w:t>
      </w:r>
    </w:p>
    <w:p w14:paraId="6C217EEA" w14:textId="3DE33583" w:rsidR="00E10CA1" w:rsidRPr="0062679E" w:rsidRDefault="00E10CA1" w:rsidP="0062679E">
      <w:pPr>
        <w:spacing w:after="0"/>
        <w:rPr>
          <w:i/>
          <w:iCs/>
        </w:rPr>
      </w:pPr>
      <w:r w:rsidRPr="0062679E">
        <w:rPr>
          <w:i/>
          <w:iCs/>
        </w:rPr>
        <w:t>Total phenolics content</w:t>
      </w:r>
    </w:p>
    <w:p w14:paraId="2A6EE433" w14:textId="58009EC1" w:rsidR="00E10CA1" w:rsidRPr="00246429" w:rsidRDefault="00E10CA1" w:rsidP="00E51C6C">
      <w:r w:rsidRPr="007C430A">
        <w:t xml:space="preserve">The Folin-Ciocalteu method was used to quantify total phenolic content, as described by Waterman &amp; Mole (1994) and reported as mg </w:t>
      </w:r>
      <w:r w:rsidR="009452C7" w:rsidRPr="007C430A">
        <w:t>catechin equivalents</w:t>
      </w:r>
      <w:r w:rsidR="00177BC2">
        <w:t xml:space="preserve"> (CE)</w:t>
      </w:r>
      <w:r w:rsidRPr="007C430A">
        <w:t>/100 g</w:t>
      </w:r>
      <w:r>
        <w:t>,</w:t>
      </w:r>
      <w:r w:rsidRPr="007C430A">
        <w:t xml:space="preserve"> dry basis.</w:t>
      </w:r>
    </w:p>
    <w:p w14:paraId="7B3553C9" w14:textId="3E1B79DB" w:rsidR="00E10CA1" w:rsidRPr="0062679E" w:rsidRDefault="00E10CA1" w:rsidP="0062679E">
      <w:pPr>
        <w:spacing w:after="0"/>
        <w:rPr>
          <w:i/>
          <w:iCs/>
        </w:rPr>
      </w:pPr>
      <w:r w:rsidRPr="0062679E">
        <w:rPr>
          <w:i/>
          <w:iCs/>
        </w:rPr>
        <w:t>Tannins</w:t>
      </w:r>
    </w:p>
    <w:p w14:paraId="47DC4F5D" w14:textId="0914431D" w:rsidR="00E10CA1" w:rsidRPr="007C430A" w:rsidRDefault="00E10CA1" w:rsidP="00E51C6C">
      <w:r w:rsidRPr="007C430A">
        <w:t xml:space="preserve">Condensed tannins were measured by the </w:t>
      </w:r>
      <w:r w:rsidR="00177BC2">
        <w:t xml:space="preserve">modified </w:t>
      </w:r>
      <w:r w:rsidRPr="007C430A">
        <w:t xml:space="preserve">Vanillin-HCl method of </w:t>
      </w:r>
      <w:r w:rsidR="00177BC2">
        <w:t>Price et al. (1978)</w:t>
      </w:r>
      <w:r w:rsidRPr="007C430A">
        <w:t>. Blanks were also included to account</w:t>
      </w:r>
      <w:r>
        <w:t xml:space="preserve"> for</w:t>
      </w:r>
      <w:r w:rsidRPr="007C430A">
        <w:t xml:space="preserve"> the colour of the extracts. Vanillin reacts with the condensed tannins forming</w:t>
      </w:r>
      <w:r>
        <w:t xml:space="preserve"> </w:t>
      </w:r>
      <w:r w:rsidRPr="007C430A">
        <w:t>coloured complexes which were measured colorimetrically at 500 nm and expressed as mg catechin equivalents (CE)/100 g</w:t>
      </w:r>
      <w:r>
        <w:t>, dry basis.</w:t>
      </w:r>
    </w:p>
    <w:p w14:paraId="70B81B28" w14:textId="12B06776" w:rsidR="00E10CA1" w:rsidRPr="0062679E" w:rsidRDefault="00E10CA1" w:rsidP="0062679E">
      <w:pPr>
        <w:spacing w:after="0"/>
        <w:rPr>
          <w:i/>
          <w:iCs/>
        </w:rPr>
      </w:pPr>
      <w:r w:rsidRPr="0062679E">
        <w:rPr>
          <w:i/>
          <w:iCs/>
        </w:rPr>
        <w:t>Organic acids</w:t>
      </w:r>
    </w:p>
    <w:p w14:paraId="61F6C557" w14:textId="0D8B4310" w:rsidR="00E10CA1" w:rsidRDefault="00E10CA1" w:rsidP="00E51C6C">
      <w:pPr>
        <w:rPr>
          <w:rFonts w:eastAsia="AdvGulliv-I"/>
          <w:color w:val="000000"/>
        </w:rPr>
      </w:pPr>
      <w:r w:rsidRPr="006F31A7">
        <w:t xml:space="preserve">The </w:t>
      </w:r>
      <w:r>
        <w:t xml:space="preserve">organic acid (ascorbic, citric and malic acids) contents were determined using the </w:t>
      </w:r>
      <w:r w:rsidRPr="006F31A7">
        <w:t xml:space="preserve">extraction and quantification </w:t>
      </w:r>
      <w:r>
        <w:t xml:space="preserve">assay procedure of </w:t>
      </w:r>
      <w:r w:rsidRPr="006F31A7">
        <w:rPr>
          <w:rFonts w:eastAsia="AdvGulliv-I"/>
        </w:rPr>
        <w:t>Tembo et al.</w:t>
      </w:r>
      <w:r w:rsidRPr="006F31A7">
        <w:t xml:space="preserve"> (2017)</w:t>
      </w:r>
      <w:r>
        <w:t>,</w:t>
      </w:r>
      <w:r w:rsidRPr="006F31A7">
        <w:t xml:space="preserve"> with slight modification</w:t>
      </w:r>
      <w:r w:rsidRPr="006F31A7">
        <w:rPr>
          <w:rFonts w:eastAsia="AdvGulliv-I"/>
        </w:rPr>
        <w:t xml:space="preserve">. </w:t>
      </w:r>
      <w:r>
        <w:rPr>
          <w:rFonts w:eastAsia="AdvGulliv-I"/>
        </w:rPr>
        <w:t>Two grams</w:t>
      </w:r>
      <w:r w:rsidRPr="006F31A7">
        <w:rPr>
          <w:rFonts w:eastAsia="AdvGulliv-I"/>
        </w:rPr>
        <w:t xml:space="preserve"> sample</w:t>
      </w:r>
      <w:r>
        <w:rPr>
          <w:rFonts w:eastAsia="AdvGulliv-I"/>
        </w:rPr>
        <w:t xml:space="preserve"> </w:t>
      </w:r>
      <w:r w:rsidRPr="006F31A7">
        <w:rPr>
          <w:rFonts w:eastAsia="AdvGulliv-I"/>
        </w:rPr>
        <w:t>was extracted in 20 ml metaphosphoric acid (0.3 g/L) and centrifuged (3500 x g, at 4</w:t>
      </w:r>
      <w:r w:rsidRPr="006F31A7">
        <w:rPr>
          <w:rFonts w:eastAsia="AdvGulliv-I"/>
          <w:vertAlign w:val="superscript"/>
        </w:rPr>
        <w:t>o</w:t>
      </w:r>
      <w:r w:rsidRPr="006F31A7">
        <w:rPr>
          <w:rFonts w:eastAsia="AdvGulliv-I"/>
        </w:rPr>
        <w:t xml:space="preserve">C). The supernatants </w:t>
      </w:r>
      <w:r>
        <w:rPr>
          <w:rFonts w:eastAsia="AdvGulliv-I"/>
        </w:rPr>
        <w:t xml:space="preserve">and the ascorbic acid (100468, Merck, Johannesburg, South Africa), citric acid and malic acid standards (251275 and 240176, respectively </w:t>
      </w:r>
      <w:r w:rsidR="00BD1474">
        <w:rPr>
          <w:rFonts w:eastAsia="AdvGulliv-I"/>
        </w:rPr>
        <w:t>(</w:t>
      </w:r>
      <w:r w:rsidRPr="006F31A7">
        <w:rPr>
          <w:rFonts w:eastAsia="AdvGulliv-R"/>
        </w:rPr>
        <w:t>Sigma-Aldrich</w:t>
      </w:r>
      <w:r>
        <w:rPr>
          <w:rFonts w:eastAsia="AdvGulliv-R"/>
        </w:rPr>
        <w:t>)</w:t>
      </w:r>
      <w:r w:rsidRPr="006F31A7">
        <w:rPr>
          <w:rFonts w:eastAsia="AdvGulliv-I"/>
        </w:rPr>
        <w:t xml:space="preserve"> were </w:t>
      </w:r>
      <w:r>
        <w:rPr>
          <w:rFonts w:eastAsia="AdvGulliv-I"/>
        </w:rPr>
        <w:t xml:space="preserve">then </w:t>
      </w:r>
      <w:r w:rsidRPr="006F31A7">
        <w:rPr>
          <w:rFonts w:eastAsia="AdvGulliv-I"/>
        </w:rPr>
        <w:t xml:space="preserve">filtered through </w:t>
      </w:r>
      <w:r w:rsidRPr="006F31A7">
        <w:rPr>
          <w:rFonts w:eastAsia="AdvGulliv-I"/>
          <w:color w:val="000000"/>
        </w:rPr>
        <w:t xml:space="preserve">Millipore </w:t>
      </w:r>
      <w:r w:rsidRPr="006F31A7">
        <w:rPr>
          <w:lang w:val="en-US"/>
        </w:rPr>
        <w:t xml:space="preserve">0.45 </w:t>
      </w:r>
      <w:r w:rsidRPr="006F31A7">
        <w:rPr>
          <w:rFonts w:eastAsia="AdvGulliv-I"/>
          <w:color w:val="000000"/>
        </w:rPr>
        <w:t>µm PTFE filters</w:t>
      </w:r>
      <w:r>
        <w:rPr>
          <w:rFonts w:eastAsia="AdvGulliv-I"/>
          <w:color w:val="000000"/>
        </w:rPr>
        <w:t>, after which the organic acids were quantified by</w:t>
      </w:r>
      <w:r w:rsidRPr="006F31A7">
        <w:rPr>
          <w:rFonts w:eastAsia="AdvGulliv-I"/>
          <w:color w:val="000000"/>
        </w:rPr>
        <w:t xml:space="preserve"> RP–HPLC using acidified (2.6) 10 </w:t>
      </w:r>
      <w:r>
        <w:rPr>
          <w:rFonts w:eastAsia="AdvGulliv-I"/>
          <w:color w:val="000000"/>
        </w:rPr>
        <w:t>m</w:t>
      </w:r>
      <w:r w:rsidRPr="006F31A7">
        <w:rPr>
          <w:rFonts w:eastAsia="AdvGulliv-I"/>
          <w:color w:val="000000"/>
        </w:rPr>
        <w:t>M KH</w:t>
      </w:r>
      <w:r w:rsidRPr="006F31A7">
        <w:rPr>
          <w:rFonts w:eastAsia="AdvGulliv-I"/>
          <w:color w:val="000000"/>
          <w:vertAlign w:val="subscript"/>
        </w:rPr>
        <w:t>2</w:t>
      </w:r>
      <w:r w:rsidRPr="006F31A7">
        <w:rPr>
          <w:rFonts w:eastAsia="AdvGulliv-I"/>
          <w:color w:val="000000"/>
        </w:rPr>
        <w:t>PO</w:t>
      </w:r>
      <w:r w:rsidRPr="006F31A7">
        <w:rPr>
          <w:rFonts w:eastAsia="AdvGulliv-I"/>
          <w:color w:val="000000"/>
          <w:vertAlign w:val="subscript"/>
        </w:rPr>
        <w:t>4</w:t>
      </w:r>
      <w:r w:rsidRPr="006F31A7">
        <w:rPr>
          <w:rFonts w:eastAsia="AdvGulliv-I"/>
          <w:color w:val="000000"/>
        </w:rPr>
        <w:t xml:space="preserve"> as mobile phase</w:t>
      </w:r>
      <w:r>
        <w:rPr>
          <w:rFonts w:eastAsia="AdvGulliv-I"/>
          <w:color w:val="000000"/>
        </w:rPr>
        <w:t xml:space="preserve"> and</w:t>
      </w:r>
      <w:r w:rsidRPr="006F31A7">
        <w:rPr>
          <w:rFonts w:eastAsia="AdvGulliv-I"/>
          <w:color w:val="000000"/>
        </w:rPr>
        <w:t xml:space="preserve"> a Phenomenex-C18 column </w:t>
      </w:r>
      <w:r w:rsidRPr="006F31A7">
        <w:rPr>
          <w:rFonts w:eastAsia="AdvGulliv-R"/>
        </w:rPr>
        <w:t xml:space="preserve">250 x 4.6 mm </w:t>
      </w:r>
      <w:r>
        <w:rPr>
          <w:rFonts w:eastAsia="AdvGulliv-R"/>
        </w:rPr>
        <w:t>(</w:t>
      </w:r>
      <w:r w:rsidRPr="006F31A7">
        <w:rPr>
          <w:rFonts w:eastAsia="AdvGulliv-R"/>
        </w:rPr>
        <w:t>Torrance, California</w:t>
      </w:r>
      <w:r w:rsidR="00BD1474">
        <w:rPr>
          <w:rFonts w:eastAsia="AdvGulliv-R"/>
        </w:rPr>
        <w:t>, USA</w:t>
      </w:r>
      <w:r w:rsidRPr="006F31A7">
        <w:rPr>
          <w:rFonts w:eastAsia="AdvGulliv-R"/>
        </w:rPr>
        <w:t>)</w:t>
      </w:r>
      <w:r>
        <w:rPr>
          <w:rFonts w:eastAsia="AdvGulliv-I"/>
          <w:color w:val="000000"/>
        </w:rPr>
        <w:t>.</w:t>
      </w:r>
      <w:r w:rsidRPr="006F31A7">
        <w:rPr>
          <w:rFonts w:eastAsia="AdvGulliv-I"/>
          <w:color w:val="000000"/>
        </w:rPr>
        <w:t xml:space="preserve"> </w:t>
      </w:r>
      <w:r>
        <w:rPr>
          <w:rFonts w:eastAsia="AdvGulliv-I"/>
          <w:color w:val="000000"/>
        </w:rPr>
        <w:t>S</w:t>
      </w:r>
      <w:r w:rsidRPr="006F31A7">
        <w:rPr>
          <w:rFonts w:eastAsia="AdvGulliv-I"/>
          <w:color w:val="000000"/>
        </w:rPr>
        <w:t>imultaneous absorbance at 254 nm was used to detect ascorbic acid and at 210 nm to detect citric</w:t>
      </w:r>
      <w:r>
        <w:rPr>
          <w:rFonts w:eastAsia="AdvGulliv-I"/>
          <w:color w:val="000000"/>
        </w:rPr>
        <w:t xml:space="preserve"> and</w:t>
      </w:r>
      <w:r w:rsidRPr="006F31A7">
        <w:rPr>
          <w:rFonts w:eastAsia="AdvGulliv-I"/>
          <w:color w:val="000000"/>
        </w:rPr>
        <w:t xml:space="preserve"> malic acids.</w:t>
      </w:r>
    </w:p>
    <w:p w14:paraId="62F86D99" w14:textId="4A4B162E" w:rsidR="00E10CA1" w:rsidRPr="0062679E" w:rsidRDefault="00D5016D" w:rsidP="0062679E">
      <w:pPr>
        <w:spacing w:after="0"/>
        <w:rPr>
          <w:i/>
          <w:iCs/>
        </w:rPr>
      </w:pPr>
      <w:r w:rsidRPr="0062679E">
        <w:rPr>
          <w:i/>
          <w:iCs/>
        </w:rPr>
        <w:t>In vitro</w:t>
      </w:r>
      <w:r w:rsidR="00E10CA1" w:rsidRPr="0062679E">
        <w:rPr>
          <w:i/>
          <w:iCs/>
        </w:rPr>
        <w:t xml:space="preserve"> mineral dialysability assay</w:t>
      </w:r>
    </w:p>
    <w:p w14:paraId="6F917373" w14:textId="0B4227FD" w:rsidR="00E10CA1" w:rsidRDefault="00E10CA1" w:rsidP="00E51C6C">
      <w:r w:rsidRPr="00052E95">
        <w:t xml:space="preserve">The porridge formulations were subject to </w:t>
      </w:r>
      <w:r w:rsidR="00D5016D">
        <w:rPr>
          <w:i/>
          <w:iCs/>
        </w:rPr>
        <w:t>i</w:t>
      </w:r>
      <w:r w:rsidR="00D5016D" w:rsidRPr="00D5016D">
        <w:rPr>
          <w:i/>
          <w:iCs/>
        </w:rPr>
        <w:t>n vitro</w:t>
      </w:r>
      <w:r w:rsidRPr="00052E95">
        <w:t xml:space="preserve"> digestion to </w:t>
      </w:r>
      <w:r>
        <w:t>mimic</w:t>
      </w:r>
      <w:r w:rsidRPr="00052E95">
        <w:t xml:space="preserve"> </w:t>
      </w:r>
      <w:r>
        <w:t xml:space="preserve">the </w:t>
      </w:r>
      <w:r w:rsidRPr="00052E95">
        <w:t>gastric and intestinal digestion</w:t>
      </w:r>
      <w:r>
        <w:t xml:space="preserve"> in humans</w:t>
      </w:r>
      <w:r w:rsidRPr="00052E95">
        <w:t>. The</w:t>
      </w:r>
      <w:r>
        <w:t xml:space="preserve"> </w:t>
      </w:r>
      <w:r w:rsidR="00D5016D">
        <w:rPr>
          <w:i/>
          <w:iCs/>
        </w:rPr>
        <w:t>i</w:t>
      </w:r>
      <w:r w:rsidR="00D5016D" w:rsidRPr="00D5016D">
        <w:rPr>
          <w:i/>
          <w:iCs/>
        </w:rPr>
        <w:t>n vitro</w:t>
      </w:r>
      <w:r>
        <w:t xml:space="preserve"> equilibrium</w:t>
      </w:r>
      <w:r w:rsidRPr="00052E95">
        <w:t xml:space="preserve"> dialysability</w:t>
      </w:r>
      <w:r>
        <w:t xml:space="preserve"> assay procedure</w:t>
      </w:r>
      <w:r w:rsidRPr="00052E95">
        <w:t xml:space="preserve"> of </w:t>
      </w:r>
      <w:r w:rsidRPr="00052E95">
        <w:rPr>
          <w:noProof/>
        </w:rPr>
        <w:t>Miller</w:t>
      </w:r>
      <w:r>
        <w:rPr>
          <w:noProof/>
        </w:rPr>
        <w:t xml:space="preserve"> et al. </w:t>
      </w:r>
      <w:r w:rsidRPr="00052E95">
        <w:rPr>
          <w:noProof/>
        </w:rPr>
        <w:t>(19</w:t>
      </w:r>
      <w:r>
        <w:rPr>
          <w:noProof/>
        </w:rPr>
        <w:t>8</w:t>
      </w:r>
      <w:r w:rsidRPr="00052E95">
        <w:rPr>
          <w:noProof/>
        </w:rPr>
        <w:t xml:space="preserve">1) was used. </w:t>
      </w:r>
      <w:r w:rsidRPr="00052E95">
        <w:t>Digestive enzymes and bile salts used were pepsin (P-7000), pancreatin (P-1750), and bile extract (B-8631) (Sigma-Aldrich). Dialysis tubing Spectra/Por 7 (Ø = 20.4 mm) with a molecular weight cut-off of 10</w:t>
      </w:r>
      <w:r>
        <w:t xml:space="preserve"> 000</w:t>
      </w:r>
      <w:r w:rsidRPr="00052E95">
        <w:t xml:space="preserve"> Da was used (G.I.C. Scientific, Johannesburg, South Africa). Mineral </w:t>
      </w:r>
      <w:r w:rsidRPr="00052E95">
        <w:rPr>
          <w:rFonts w:eastAsia="AdvGulliv-R"/>
          <w:lang w:val="en-US"/>
        </w:rPr>
        <w:t xml:space="preserve">contents of the dialysates were </w:t>
      </w:r>
      <w:r>
        <w:rPr>
          <w:rFonts w:eastAsia="AdvGulliv-R"/>
          <w:lang w:val="en-US"/>
        </w:rPr>
        <w:t>measured using</w:t>
      </w:r>
      <w:r w:rsidRPr="00052E95">
        <w:rPr>
          <w:rFonts w:eastAsia="AdvGulliv-R"/>
          <w:lang w:val="en-US"/>
        </w:rPr>
        <w:t xml:space="preserve"> ICP-AES as described above.</w:t>
      </w:r>
      <w:r>
        <w:rPr>
          <w:rFonts w:eastAsia="AdvGulliv-R"/>
          <w:lang w:val="en-US"/>
        </w:rPr>
        <w:t xml:space="preserve"> </w:t>
      </w:r>
      <w:r w:rsidRPr="00052E95">
        <w:t>Mineral</w:t>
      </w:r>
      <w:r>
        <w:t xml:space="preserve"> (iron, zinc, calcium and magnesium)</w:t>
      </w:r>
      <w:r w:rsidRPr="00052E95">
        <w:t xml:space="preserve"> bioaccessibility (%) was calculated as the percentage of the mineral in the dialysate </w:t>
      </w:r>
      <w:r>
        <w:t>relative</w:t>
      </w:r>
      <w:r w:rsidRPr="00052E95">
        <w:t xml:space="preserve"> to the total mineral content in the </w:t>
      </w:r>
      <w:r>
        <w:t>porridge sample</w:t>
      </w:r>
      <w:r w:rsidRPr="00052E95">
        <w:t>.</w:t>
      </w:r>
      <w:r>
        <w:t xml:space="preserve"> The total amount of bioaccessible mineral was then calculated as percentage mineral bioaccessibility multiplied by the total mineral content. This was expressed as mg/100 g, dry basis.</w:t>
      </w:r>
    </w:p>
    <w:p w14:paraId="399A0DE6" w14:textId="3911773C" w:rsidR="00E10CA1" w:rsidRPr="0062679E" w:rsidRDefault="00E10CA1" w:rsidP="0062679E">
      <w:pPr>
        <w:spacing w:after="0"/>
        <w:rPr>
          <w:i/>
          <w:iCs/>
        </w:rPr>
      </w:pPr>
      <w:r w:rsidRPr="0062679E">
        <w:rPr>
          <w:i/>
          <w:iCs/>
        </w:rPr>
        <w:t>Assessment of mineral contents as compared to mineral requirements</w:t>
      </w:r>
    </w:p>
    <w:p w14:paraId="66141136" w14:textId="095B27B0" w:rsidR="00E10CA1" w:rsidRDefault="00E10CA1" w:rsidP="00E51C6C">
      <w:r w:rsidRPr="00052E95">
        <w:t xml:space="preserve">The contribution of iron, zinc, calcium and magnesium from </w:t>
      </w:r>
      <w:r>
        <w:t>100 g porridge (dry basis) (a 300–400 g serving size</w:t>
      </w:r>
      <w:r w:rsidRPr="00052E95">
        <w:t xml:space="preserve"> </w:t>
      </w:r>
      <w:r>
        <w:t>depending on its solid content)</w:t>
      </w:r>
      <w:r w:rsidRPr="00052E95">
        <w:t xml:space="preserve"> to the recommended nutrient intakes (RNI) for women of </w:t>
      </w:r>
      <w:r w:rsidR="0062679E">
        <w:t>19–50 years</w:t>
      </w:r>
      <w:r w:rsidRPr="00052E95">
        <w:t xml:space="preserve"> was calculated and expressed as a percentage of the RNI.</w:t>
      </w:r>
      <w:r>
        <w:t xml:space="preserve"> Likewise, the percentage contribution that the bioaccessible iron and zinc in 100 g (dry basis) of the different porridge formulations could potentially make to the daily iron and zinc absolute requirement (AR) </w:t>
      </w:r>
      <w:r w:rsidR="0062679E">
        <w:t>for</w:t>
      </w:r>
      <w:r>
        <w:t xml:space="preserve"> </w:t>
      </w:r>
      <w:r w:rsidR="0062679E">
        <w:t>th</w:t>
      </w:r>
      <w:r w:rsidR="004728DA">
        <w:t>e</w:t>
      </w:r>
      <w:r w:rsidR="0062679E">
        <w:t xml:space="preserve"> </w:t>
      </w:r>
      <w:r>
        <w:t>women (</w:t>
      </w:r>
      <w:r w:rsidRPr="002C5294">
        <w:t xml:space="preserve">WHO </w:t>
      </w:r>
      <w:r w:rsidR="009452C7">
        <w:t>&amp;</w:t>
      </w:r>
      <w:r w:rsidRPr="002C5294">
        <w:t xml:space="preserve"> FAO, 2004</w:t>
      </w:r>
      <w:r>
        <w:t xml:space="preserve">; </w:t>
      </w:r>
      <w:r w:rsidRPr="00627353">
        <w:rPr>
          <w:bCs/>
        </w:rPr>
        <w:t>Sandstead</w:t>
      </w:r>
      <w:r>
        <w:rPr>
          <w:bCs/>
        </w:rPr>
        <w:t>,</w:t>
      </w:r>
      <w:r w:rsidRPr="00627353">
        <w:rPr>
          <w:bCs/>
        </w:rPr>
        <w:t xml:space="preserve"> 2015</w:t>
      </w:r>
      <w:r>
        <w:t xml:space="preserve">) was calculated. </w:t>
      </w:r>
    </w:p>
    <w:p w14:paraId="349FEB3A" w14:textId="0880C409" w:rsidR="00E10CA1" w:rsidRPr="0062679E" w:rsidRDefault="00E10CA1" w:rsidP="0062679E">
      <w:pPr>
        <w:spacing w:after="0"/>
        <w:rPr>
          <w:i/>
          <w:iCs/>
        </w:rPr>
      </w:pPr>
      <w:r w:rsidRPr="0062679E">
        <w:rPr>
          <w:i/>
          <w:iCs/>
        </w:rPr>
        <w:t>Statistical analyses</w:t>
      </w:r>
    </w:p>
    <w:p w14:paraId="2522A693" w14:textId="3278FDB9" w:rsidR="00246429" w:rsidRDefault="00E10CA1" w:rsidP="00E51C6C">
      <w:pPr>
        <w:rPr>
          <w:rFonts w:cs="Times New Roman"/>
          <w:szCs w:val="24"/>
          <w:lang w:val="en-US"/>
        </w:rPr>
      </w:pPr>
      <w:r w:rsidRPr="00DF3389">
        <w:rPr>
          <w:rFonts w:cs="Times New Roman"/>
          <w:color w:val="000000" w:themeColor="text1"/>
          <w:szCs w:val="24"/>
        </w:rPr>
        <w:t xml:space="preserve">Data were analysed </w:t>
      </w:r>
      <w:r>
        <w:rPr>
          <w:rFonts w:cs="Times New Roman"/>
          <w:color w:val="000000" w:themeColor="text1"/>
          <w:szCs w:val="24"/>
        </w:rPr>
        <w:t>using</w:t>
      </w:r>
      <w:r w:rsidRPr="00DF3389">
        <w:rPr>
          <w:rFonts w:cs="Times New Roman"/>
          <w:color w:val="000000" w:themeColor="text1"/>
          <w:szCs w:val="24"/>
        </w:rPr>
        <w:t xml:space="preserve"> one-way analysis of variance (ANOVA) </w:t>
      </w:r>
      <w:r>
        <w:rPr>
          <w:rFonts w:cs="Times New Roman"/>
          <w:color w:val="000000" w:themeColor="text1"/>
          <w:szCs w:val="24"/>
        </w:rPr>
        <w:t>with</w:t>
      </w:r>
      <w:r w:rsidRPr="00DF3389">
        <w:rPr>
          <w:rFonts w:cs="Times New Roman"/>
          <w:color w:val="000000" w:themeColor="text1"/>
          <w:szCs w:val="24"/>
        </w:rPr>
        <w:t xml:space="preserve"> </w:t>
      </w:r>
      <w:r w:rsidRPr="00DF3389">
        <w:rPr>
          <w:rFonts w:cs="Times New Roman"/>
          <w:szCs w:val="24"/>
          <w:lang w:val="en-US"/>
        </w:rPr>
        <w:t>IBM SPSS Statistics</w:t>
      </w:r>
      <w:r>
        <w:rPr>
          <w:rFonts w:cs="Times New Roman"/>
          <w:szCs w:val="24"/>
          <w:lang w:val="en-US"/>
        </w:rPr>
        <w:t xml:space="preserve"> software</w:t>
      </w:r>
      <w:r w:rsidRPr="00DF3389">
        <w:rPr>
          <w:rFonts w:cs="Times New Roman"/>
          <w:szCs w:val="24"/>
          <w:lang w:val="en-US"/>
        </w:rPr>
        <w:t xml:space="preserve"> 25.0 </w:t>
      </w:r>
      <w:r>
        <w:rPr>
          <w:rFonts w:cs="Times New Roman"/>
          <w:szCs w:val="24"/>
          <w:lang w:val="en-US"/>
        </w:rPr>
        <w:t>(</w:t>
      </w:r>
      <w:r w:rsidRPr="00DF3389">
        <w:rPr>
          <w:rFonts w:cs="Times New Roman"/>
          <w:szCs w:val="24"/>
          <w:lang w:val="en-US"/>
        </w:rPr>
        <w:t>Armonk, New York</w:t>
      </w:r>
      <w:r>
        <w:rPr>
          <w:rFonts w:cs="Times New Roman"/>
          <w:szCs w:val="24"/>
          <w:lang w:val="en-US"/>
        </w:rPr>
        <w:t>)</w:t>
      </w:r>
      <w:r w:rsidRPr="00DF3389">
        <w:rPr>
          <w:rFonts w:cs="Times New Roman"/>
          <w:szCs w:val="24"/>
          <w:lang w:val="en-US"/>
        </w:rPr>
        <w:t xml:space="preserve">. Tukey’s </w:t>
      </w:r>
      <w:r>
        <w:rPr>
          <w:rFonts w:cs="Times New Roman"/>
          <w:szCs w:val="24"/>
          <w:lang w:val="en-US"/>
        </w:rPr>
        <w:t>Honest Significant Difference (</w:t>
      </w:r>
      <w:r w:rsidRPr="00DF3389">
        <w:rPr>
          <w:rFonts w:cs="Times New Roman"/>
          <w:szCs w:val="24"/>
          <w:lang w:val="en-US"/>
        </w:rPr>
        <w:t>HSD</w:t>
      </w:r>
      <w:r>
        <w:rPr>
          <w:rFonts w:cs="Times New Roman"/>
          <w:szCs w:val="24"/>
          <w:lang w:val="en-US"/>
        </w:rPr>
        <w:t>)</w:t>
      </w:r>
      <w:r w:rsidRPr="00DF3389">
        <w:rPr>
          <w:rFonts w:cs="Times New Roman"/>
          <w:szCs w:val="24"/>
          <w:lang w:val="en-US"/>
        </w:rPr>
        <w:t xml:space="preserve"> Post-hoc test was applied to determine significant differences between specific means at a confidence level of 95% (</w:t>
      </w:r>
      <w:r w:rsidR="00BD1474" w:rsidRPr="009452C7">
        <w:rPr>
          <w:rFonts w:cs="Times New Roman"/>
          <w:i/>
          <w:szCs w:val="24"/>
          <w:lang w:val="en-US"/>
        </w:rPr>
        <w:t>p</w:t>
      </w:r>
      <w:r w:rsidR="00F52B07">
        <w:rPr>
          <w:rFonts w:cs="Times New Roman"/>
          <w:szCs w:val="24"/>
          <w:lang w:val="en-US"/>
        </w:rPr>
        <w:t>&lt;</w:t>
      </w:r>
      <w:r w:rsidRPr="00DF3389">
        <w:rPr>
          <w:rFonts w:cs="Times New Roman"/>
          <w:szCs w:val="24"/>
          <w:lang w:val="en-US"/>
        </w:rPr>
        <w:t xml:space="preserve">0.05). </w:t>
      </w:r>
      <w:r w:rsidR="0057038D" w:rsidRPr="00DF3389">
        <w:rPr>
          <w:rFonts w:cs="Times New Roman"/>
          <w:szCs w:val="24"/>
          <w:lang w:val="en-US"/>
        </w:rPr>
        <w:t xml:space="preserve">Fisher’s </w:t>
      </w:r>
      <w:r w:rsidR="0057038D">
        <w:rPr>
          <w:rFonts w:cs="Times New Roman"/>
          <w:szCs w:val="24"/>
          <w:lang w:val="en-US"/>
        </w:rPr>
        <w:t>Least Significant Difference (</w:t>
      </w:r>
      <w:r w:rsidR="0057038D" w:rsidRPr="00DF3389">
        <w:rPr>
          <w:rFonts w:cs="Times New Roman"/>
          <w:szCs w:val="24"/>
          <w:lang w:val="en-US"/>
        </w:rPr>
        <w:t>LSD</w:t>
      </w:r>
      <w:r w:rsidR="0057038D">
        <w:rPr>
          <w:rFonts w:cs="Times New Roman"/>
          <w:szCs w:val="24"/>
          <w:lang w:val="en-US"/>
        </w:rPr>
        <w:t>)</w:t>
      </w:r>
      <w:r w:rsidR="0057038D" w:rsidRPr="00DF3389">
        <w:rPr>
          <w:rFonts w:cs="Times New Roman"/>
          <w:szCs w:val="24"/>
          <w:lang w:val="en-US"/>
        </w:rPr>
        <w:t xml:space="preserve"> Post-hoc test was also applied for pair-wise comparison between the control </w:t>
      </w:r>
      <w:r w:rsidR="0057038D">
        <w:rPr>
          <w:rFonts w:cs="Times New Roman"/>
          <w:szCs w:val="24"/>
          <w:lang w:val="en-US"/>
        </w:rPr>
        <w:t xml:space="preserve">simple porridge and the test formulations and between </w:t>
      </w:r>
      <w:r w:rsidR="0062679E">
        <w:rPr>
          <w:rFonts w:cs="Times New Roman"/>
          <w:szCs w:val="24"/>
          <w:lang w:val="en-US"/>
        </w:rPr>
        <w:t xml:space="preserve">control </w:t>
      </w:r>
      <w:r w:rsidR="0057038D">
        <w:rPr>
          <w:rFonts w:cs="Times New Roman"/>
          <w:szCs w:val="24"/>
          <w:lang w:val="en-US"/>
        </w:rPr>
        <w:t xml:space="preserve">complex porridge and the test formulations at a confidence level of 95%. </w:t>
      </w:r>
    </w:p>
    <w:p w14:paraId="4A268B6D" w14:textId="77777777" w:rsidR="0057038D" w:rsidRDefault="0057038D" w:rsidP="0062679E">
      <w:pPr>
        <w:spacing w:after="0"/>
        <w:rPr>
          <w:rFonts w:cs="Times New Roman"/>
          <w:b/>
          <w:bCs/>
          <w:szCs w:val="24"/>
        </w:rPr>
      </w:pPr>
    </w:p>
    <w:p w14:paraId="078B8926" w14:textId="74973859" w:rsidR="00E10CA1" w:rsidRPr="00A967D7" w:rsidRDefault="00E10CA1" w:rsidP="00E51C6C">
      <w:pPr>
        <w:pStyle w:val="Heading3"/>
      </w:pPr>
      <w:bookmarkStart w:id="108" w:name="_Toc65253598"/>
      <w:r>
        <w:t>4.2.4</w:t>
      </w:r>
      <w:r w:rsidR="00E51C6C">
        <w:tab/>
      </w:r>
      <w:r w:rsidRPr="00A967D7">
        <w:t>R</w:t>
      </w:r>
      <w:r w:rsidR="00E51C6C" w:rsidRPr="00A967D7">
        <w:t>esults and discussion</w:t>
      </w:r>
      <w:bookmarkEnd w:id="108"/>
      <w:r w:rsidR="00E51C6C" w:rsidRPr="00A967D7">
        <w:t xml:space="preserve"> </w:t>
      </w:r>
    </w:p>
    <w:p w14:paraId="0F1929E9" w14:textId="77777777" w:rsidR="00E10CA1" w:rsidRPr="00A967D7" w:rsidRDefault="00E10CA1" w:rsidP="00E51C6C">
      <w:pPr>
        <w:pStyle w:val="Heading4"/>
      </w:pPr>
      <w:bookmarkStart w:id="109" w:name="_Toc65253599"/>
      <w:r>
        <w:t>4.2.4</w:t>
      </w:r>
      <w:r w:rsidRPr="00A967D7">
        <w:t>.1 Mineral contents</w:t>
      </w:r>
      <w:bookmarkEnd w:id="109"/>
    </w:p>
    <w:p w14:paraId="53697E79" w14:textId="7F7DF18B" w:rsidR="00E10CA1" w:rsidRDefault="00E10CA1" w:rsidP="00C5197F">
      <w:r>
        <w:t xml:space="preserve">Wholegrain white maize was relatively low in iron </w:t>
      </w:r>
      <w:r w:rsidRPr="0062679E">
        <w:t xml:space="preserve">(Table </w:t>
      </w:r>
      <w:r w:rsidR="0062679E" w:rsidRPr="0062679E">
        <w:t>4.2.</w:t>
      </w:r>
      <w:r w:rsidRPr="0062679E">
        <w:t>1)</w:t>
      </w:r>
      <w:r>
        <w:t xml:space="preserve">, more than 4-fold lower compared to wholegrain pearl millet studied in </w:t>
      </w:r>
      <w:r w:rsidR="00BD1474">
        <w:t>Chapter 4.1</w:t>
      </w:r>
      <w:r>
        <w:t xml:space="preserve">. </w:t>
      </w:r>
      <w:r w:rsidR="00BD1474">
        <w:t>Hence</w:t>
      </w:r>
      <w:r>
        <w:t xml:space="preserve">, in Experiment 1 (simple porridges), fortification of the maize with moringa leaf powder would </w:t>
      </w:r>
      <w:r w:rsidR="00BD1474">
        <w:t>result in t</w:t>
      </w:r>
      <w:r w:rsidRPr="00A967D7">
        <w:t xml:space="preserve">he iron content of the 100:15 ratio maize:moringa porridge </w:t>
      </w:r>
      <w:r>
        <w:t>be</w:t>
      </w:r>
      <w:r w:rsidR="00BD1474">
        <w:t>ing</w:t>
      </w:r>
      <w:r>
        <w:t xml:space="preserve"> </w:t>
      </w:r>
      <w:r w:rsidRPr="00A967D7">
        <w:t xml:space="preserve">approximately 3-fold higher than the </w:t>
      </w:r>
      <w:r w:rsidR="008955AA">
        <w:t xml:space="preserve">unfortified </w:t>
      </w:r>
      <w:r w:rsidRPr="00A967D7">
        <w:t xml:space="preserve">maize porridge. </w:t>
      </w:r>
      <w:r w:rsidR="008955AA">
        <w:t xml:space="preserve">Notwithstanding this, </w:t>
      </w:r>
      <w:r w:rsidR="00BD1474">
        <w:t>a</w:t>
      </w:r>
      <w:r>
        <w:t xml:space="preserve"> 100 g (dry basis) </w:t>
      </w:r>
      <w:r w:rsidRPr="00A967D7">
        <w:t>serving (</w:t>
      </w:r>
      <w:r>
        <w:t>about 300–400 g actual porridge</w:t>
      </w:r>
      <w:r w:rsidRPr="00A967D7">
        <w:t xml:space="preserve">) </w:t>
      </w:r>
      <w:r>
        <w:t xml:space="preserve">of the </w:t>
      </w:r>
      <w:r w:rsidRPr="00A967D7">
        <w:t xml:space="preserve">moringa </w:t>
      </w:r>
      <w:r>
        <w:t>fortified-maize porridge</w:t>
      </w:r>
      <w:r w:rsidRPr="00A967D7">
        <w:t xml:space="preserve"> </w:t>
      </w:r>
      <w:r>
        <w:t xml:space="preserve">would only contribute </w:t>
      </w:r>
      <w:r w:rsidR="00A03AB7">
        <w:t>&lt;</w:t>
      </w:r>
      <w:r>
        <w:t>1</w:t>
      </w:r>
      <w:r w:rsidR="00A03AB7">
        <w:t>1</w:t>
      </w:r>
      <w:r>
        <w:t xml:space="preserve">% of </w:t>
      </w:r>
      <w:r w:rsidRPr="00A967D7">
        <w:t xml:space="preserve">the </w:t>
      </w:r>
      <w:r>
        <w:t xml:space="preserve">iron </w:t>
      </w:r>
      <w:r w:rsidRPr="00A967D7">
        <w:t xml:space="preserve">recommended nutrient intake (RNI) for women of </w:t>
      </w:r>
      <w:r>
        <w:t xml:space="preserve">19–50 years, </w:t>
      </w:r>
      <w:r w:rsidRPr="00727F03">
        <w:t>at 5% iron bioavailability</w:t>
      </w:r>
      <w:r>
        <w:t xml:space="preserve">. </w:t>
      </w:r>
      <w:r w:rsidR="008955AA">
        <w:t>T</w:t>
      </w:r>
      <w:r>
        <w:t xml:space="preserve">his </w:t>
      </w:r>
      <w:r w:rsidR="00A03AB7">
        <w:t>increase</w:t>
      </w:r>
      <w:r>
        <w:t xml:space="preserve"> in contribution to the </w:t>
      </w:r>
      <w:r w:rsidR="00A03AB7">
        <w:t xml:space="preserve">iron </w:t>
      </w:r>
      <w:r>
        <w:t xml:space="preserve">RNI may not be significant. According to the CODEX standards, a food source is recognized as a significant source of mineral only if one serving meets </w:t>
      </w:r>
      <w:r w:rsidR="00A03AB7">
        <w:rPr>
          <w:rFonts w:cs="Times New Roman"/>
        </w:rPr>
        <w:t>≥</w:t>
      </w:r>
      <w:r>
        <w:t>15% of the RNI (Lewis, 2019).</w:t>
      </w:r>
      <w:r w:rsidRPr="00A967D7">
        <w:t xml:space="preserve"> </w:t>
      </w:r>
      <w:r>
        <w:t xml:space="preserve">In contrast, due to the relatively higher iron content of pearl millet, the contribution of iron by moringa-fortified-pearl millet porridge to the RNI (18%), would meet this recommendation. </w:t>
      </w:r>
    </w:p>
    <w:p w14:paraId="1125D5F4" w14:textId="77777777" w:rsidR="00E10CA1" w:rsidRDefault="00E10CA1" w:rsidP="008955AA">
      <w:pPr>
        <w:spacing w:after="0"/>
      </w:pPr>
    </w:p>
    <w:p w14:paraId="738DBDFD" w14:textId="4B92A420" w:rsidR="00E10CA1" w:rsidRDefault="00E10CA1" w:rsidP="00C5197F">
      <w:r>
        <w:t>Due to the high contents of calcium and magnesium in moringa leaf powder (</w:t>
      </w:r>
      <w:r w:rsidRPr="008955AA">
        <w:t xml:space="preserve">Table </w:t>
      </w:r>
      <w:r w:rsidR="008955AA" w:rsidRPr="008955AA">
        <w:t>4.2.</w:t>
      </w:r>
      <w:r w:rsidRPr="008955AA">
        <w:t>1</w:t>
      </w:r>
      <w:r>
        <w:t>), f</w:t>
      </w:r>
      <w:r w:rsidRPr="00A967D7">
        <w:t>ortif</w:t>
      </w:r>
      <w:r>
        <w:t>ica</w:t>
      </w:r>
      <w:r w:rsidRPr="00A967D7">
        <w:t xml:space="preserve">tion of the maize porridge with </w:t>
      </w:r>
      <w:r>
        <w:t xml:space="preserve">the </w:t>
      </w:r>
      <w:r w:rsidRPr="00A967D7">
        <w:t xml:space="preserve">moringa </w:t>
      </w:r>
      <w:r>
        <w:t xml:space="preserve">would </w:t>
      </w:r>
      <w:r w:rsidRPr="00A967D7">
        <w:t>greatly increase the calcium and magnesium contents of the</w:t>
      </w:r>
      <w:r>
        <w:t xml:space="preserve"> </w:t>
      </w:r>
      <w:r w:rsidRPr="00A967D7">
        <w:t>porridge</w:t>
      </w:r>
      <w:r>
        <w:t xml:space="preserve"> compared to the maize porridge alone</w:t>
      </w:r>
      <w:r w:rsidRPr="00A967D7">
        <w:t xml:space="preserve">. In fact, the calcium and magnesium contents of the </w:t>
      </w:r>
      <w:r>
        <w:t xml:space="preserve">moringa fortified-maize </w:t>
      </w:r>
      <w:r w:rsidRPr="00A967D7">
        <w:t>porridge</w:t>
      </w:r>
      <w:r>
        <w:t xml:space="preserve"> would be</w:t>
      </w:r>
      <w:r w:rsidRPr="00A967D7">
        <w:t xml:space="preserve"> more than 60-fold and 76%</w:t>
      </w:r>
      <w:r>
        <w:t xml:space="preserve"> higher</w:t>
      </w:r>
      <w:r w:rsidRPr="00A967D7">
        <w:t>, respectively</w:t>
      </w:r>
      <w:r>
        <w:t>, compared to maize porridge</w:t>
      </w:r>
      <w:r w:rsidRPr="00A967D7">
        <w:t>. As a result, the contribution of calcium and magnesium to the RNI</w:t>
      </w:r>
      <w:r>
        <w:t xml:space="preserve">, would increase from </w:t>
      </w:r>
      <w:r w:rsidR="00A03AB7">
        <w:t>&lt;1</w:t>
      </w:r>
      <w:r>
        <w:t>% and 53% in the maize porridge to 3</w:t>
      </w:r>
      <w:r w:rsidR="00A03AB7">
        <w:t>1</w:t>
      </w:r>
      <w:r>
        <w:t>% and 94%, respectively in the moringa fortified-maize porridge</w:t>
      </w:r>
      <w:r w:rsidRPr="00A967D7">
        <w:t xml:space="preserve">. However, the zinc contents of the maize and the moringa fortified-porridge </w:t>
      </w:r>
      <w:r>
        <w:t xml:space="preserve">would be </w:t>
      </w:r>
      <w:r w:rsidRPr="00A967D7">
        <w:t>similar</w:t>
      </w:r>
      <w:r>
        <w:t>,</w:t>
      </w:r>
      <w:r w:rsidRPr="00A967D7">
        <w:t xml:space="preserve"> as </w:t>
      </w:r>
      <w:r>
        <w:t>would</w:t>
      </w:r>
      <w:r w:rsidRPr="00A967D7">
        <w:t xml:space="preserve"> their percentage contribution of zinc to the RNI</w:t>
      </w:r>
      <w:r>
        <w:t xml:space="preserve">. This is because the zinc content of the moringa leaf powder (3 mg/100 g), although </w:t>
      </w:r>
      <w:r w:rsidR="00A03AB7">
        <w:t xml:space="preserve">it </w:t>
      </w:r>
      <w:r>
        <w:t>was significantly higher (</w:t>
      </w:r>
      <w:r w:rsidRPr="004701D8">
        <w:rPr>
          <w:i/>
          <w:iCs/>
        </w:rPr>
        <w:t>p</w:t>
      </w:r>
      <w:r w:rsidR="00D210E8">
        <w:rPr>
          <w:i/>
          <w:iCs/>
        </w:rPr>
        <w:t>&lt;</w:t>
      </w:r>
      <w:r>
        <w:t>0.05) than that of maize (1.9 mg/100 g), was not high enough to substantially increase the zinc content of the moringa fortified-porridge at the 15:100 ratio level of fortification.</w:t>
      </w:r>
      <w:r w:rsidRPr="00A967D7">
        <w:t xml:space="preserve"> </w:t>
      </w:r>
    </w:p>
    <w:p w14:paraId="1FBE96A3" w14:textId="77777777" w:rsidR="00E10CA1" w:rsidRDefault="00E10CA1" w:rsidP="008955AA">
      <w:pPr>
        <w:spacing w:after="0"/>
      </w:pPr>
    </w:p>
    <w:p w14:paraId="6DA5AB47" w14:textId="6CC65EDE" w:rsidR="00E10CA1" w:rsidRDefault="00E10CA1" w:rsidP="00C5197F">
      <w:r>
        <w:t>Fortification of maize porridge with baobab fruit pulp at the 100:15 ratio had no effect on the iron content of the fortified-maize porridge as the iron content of baobab fruit pulp and maize were similar (</w:t>
      </w:r>
      <w:r w:rsidRPr="008955AA">
        <w:t xml:space="preserve">Table </w:t>
      </w:r>
      <w:r w:rsidR="008955AA" w:rsidRPr="008955AA">
        <w:t>4.2.</w:t>
      </w:r>
      <w:r w:rsidRPr="008955AA">
        <w:t>1</w:t>
      </w:r>
      <w:r>
        <w:t>). F</w:t>
      </w:r>
      <w:r w:rsidRPr="00A967D7">
        <w:t xml:space="preserve">ortification of maize porridge with baobab </w:t>
      </w:r>
      <w:r>
        <w:t xml:space="preserve">would </w:t>
      </w:r>
      <w:r w:rsidR="00A03AB7">
        <w:t xml:space="preserve">also </w:t>
      </w:r>
      <w:r>
        <w:t>have no effect on</w:t>
      </w:r>
      <w:r w:rsidRPr="00A967D7">
        <w:t xml:space="preserve"> the zinc content </w:t>
      </w:r>
      <w:r w:rsidR="00A03AB7">
        <w:t>or</w:t>
      </w:r>
      <w:r>
        <w:t xml:space="preserve"> </w:t>
      </w:r>
      <w:r w:rsidRPr="00A967D7">
        <w:t xml:space="preserve">the percentage contribution of zinc to the RNI </w:t>
      </w:r>
      <w:r>
        <w:t xml:space="preserve">compared with maize porridge alone. </w:t>
      </w:r>
      <w:r w:rsidR="00E809C6">
        <w:t xml:space="preserve">This is because the zinc content of baobab, although </w:t>
      </w:r>
      <w:r w:rsidR="00E809C6" w:rsidRPr="00A967D7">
        <w:t>was</w:t>
      </w:r>
      <w:r w:rsidR="00E809C6">
        <w:t xml:space="preserve"> approximately</w:t>
      </w:r>
      <w:r w:rsidR="00E809C6" w:rsidRPr="00A967D7">
        <w:t xml:space="preserve"> half </w:t>
      </w:r>
      <w:r w:rsidR="00E809C6">
        <w:t>that of</w:t>
      </w:r>
      <w:r w:rsidR="00E809C6" w:rsidRPr="00A967D7">
        <w:t xml:space="preserve"> maize</w:t>
      </w:r>
      <w:r w:rsidR="00E809C6">
        <w:t>,</w:t>
      </w:r>
      <w:r w:rsidR="00E809C6" w:rsidRPr="00E809C6">
        <w:t xml:space="preserve"> </w:t>
      </w:r>
      <w:r w:rsidR="00E809C6">
        <w:t xml:space="preserve">was not low enough to substantially decrease the zinc content of the baobab fortified-porridge at the 15:100 level of fortification. </w:t>
      </w:r>
      <w:r>
        <w:t xml:space="preserve">Baobab fruit was substantially higher in calcium and magnesium, </w:t>
      </w:r>
      <w:r w:rsidRPr="00A967D7">
        <w:t>a</w:t>
      </w:r>
      <w:r>
        <w:t>pproximately</w:t>
      </w:r>
      <w:r w:rsidRPr="00A967D7">
        <w:t xml:space="preserve"> 73-fold and 2-fold higher, respectively</w:t>
      </w:r>
      <w:r>
        <w:t xml:space="preserve"> compared to maize alone. However, the increases in calcium and magnesium contents of baobab fortified-maize porridge would not be nutritionally relevant at the 15:100 fortification level. Although, baobab fortified-maize porridge</w:t>
      </w:r>
      <w:r w:rsidRPr="00A967D7">
        <w:t xml:space="preserve"> </w:t>
      </w:r>
      <w:r>
        <w:t xml:space="preserve">would contribute approximately 10 times that of unfortified maize porridge to </w:t>
      </w:r>
      <w:r w:rsidRPr="00A967D7">
        <w:t xml:space="preserve">the </w:t>
      </w:r>
      <w:r>
        <w:t xml:space="preserve">calcium </w:t>
      </w:r>
      <w:r w:rsidRPr="00A967D7">
        <w:t>RNI</w:t>
      </w:r>
      <w:r>
        <w:t>, it would still be substantially lower than the percentage contribution (15%) required for the porridge to be considered as a significant source of calcium.</w:t>
      </w:r>
    </w:p>
    <w:p w14:paraId="07A8A840" w14:textId="77777777" w:rsidR="00E10CA1" w:rsidRDefault="00E10CA1" w:rsidP="008955AA">
      <w:pPr>
        <w:spacing w:after="0"/>
      </w:pPr>
    </w:p>
    <w:p w14:paraId="6C4B50A0" w14:textId="2232DEA3" w:rsidR="00E10CA1" w:rsidRDefault="00E10CA1" w:rsidP="00C5197F">
      <w:r w:rsidRPr="00A967D7">
        <w:t xml:space="preserve">In </w:t>
      </w:r>
      <w:r>
        <w:t>E</w:t>
      </w:r>
      <w:r w:rsidRPr="00A967D7">
        <w:t>xperiment 2</w:t>
      </w:r>
      <w:r>
        <w:t xml:space="preserve"> (complex porridges)</w:t>
      </w:r>
      <w:r w:rsidRPr="00A967D7">
        <w:t>, the iron contents of all the porridge formulations were similar</w:t>
      </w:r>
      <w:r>
        <w:t xml:space="preserve"> (</w:t>
      </w:r>
      <w:r w:rsidRPr="008955AA">
        <w:t xml:space="preserve">Table </w:t>
      </w:r>
      <w:r w:rsidR="008955AA" w:rsidRPr="008955AA">
        <w:t>4.2.</w:t>
      </w:r>
      <w:r w:rsidRPr="008955AA">
        <w:t>1)</w:t>
      </w:r>
      <w:r>
        <w:t>.</w:t>
      </w:r>
      <w:r w:rsidRPr="00A967D7">
        <w:t xml:space="preserve"> </w:t>
      </w:r>
      <w:r>
        <w:t>This is because</w:t>
      </w:r>
      <w:r w:rsidRPr="00A967D7">
        <w:t xml:space="preserve"> </w:t>
      </w:r>
      <w:r>
        <w:t xml:space="preserve">each formulation was designed so that </w:t>
      </w:r>
      <w:r w:rsidRPr="00A967D7">
        <w:t>100 g (dry basis) of porridge</w:t>
      </w:r>
      <w:r>
        <w:t xml:space="preserve"> </w:t>
      </w:r>
      <w:r w:rsidRPr="00A967D7">
        <w:t>(approx. 300–400 g porridge</w:t>
      </w:r>
      <w:r>
        <w:t xml:space="preserve"> as consumed</w:t>
      </w:r>
      <w:r w:rsidRPr="00A967D7">
        <w:t>, depending on its solid</w:t>
      </w:r>
      <w:r>
        <w:t>s</w:t>
      </w:r>
      <w:r w:rsidRPr="00A967D7">
        <w:t xml:space="preserve"> content) </w:t>
      </w:r>
      <w:r>
        <w:t xml:space="preserve">would contribute </w:t>
      </w:r>
      <w:r w:rsidRPr="00A967D7">
        <w:t>approximately 20% of the daily iron requirement</w:t>
      </w:r>
      <w:r>
        <w:t xml:space="preserve"> for adult women (19–50 years) a</w:t>
      </w:r>
      <w:r w:rsidRPr="00A967D7">
        <w:t>t 5% bioavailability</w:t>
      </w:r>
      <w:r>
        <w:t>. Iron content was increased</w:t>
      </w:r>
      <w:r w:rsidRPr="00A967D7">
        <w:t xml:space="preserve"> either through moringa lea</w:t>
      </w:r>
      <w:r>
        <w:t>f powder</w:t>
      </w:r>
      <w:r w:rsidRPr="00A967D7">
        <w:t xml:space="preserve"> fortification at 13.5 g/100 g or </w:t>
      </w:r>
      <w:r>
        <w:t>conventional iron (</w:t>
      </w:r>
      <w:r w:rsidRPr="004F0168">
        <w:t>FeSO</w:t>
      </w:r>
      <w:r w:rsidRPr="004F0168">
        <w:rPr>
          <w:vertAlign w:val="subscript"/>
        </w:rPr>
        <w:t>4</w:t>
      </w:r>
      <w:r>
        <w:t xml:space="preserve">) </w:t>
      </w:r>
      <w:r w:rsidRPr="00A967D7">
        <w:t>fortification</w:t>
      </w:r>
      <w:r>
        <w:t>.</w:t>
      </w:r>
      <w:r w:rsidRPr="00A967D7">
        <w:t xml:space="preserve"> </w:t>
      </w:r>
    </w:p>
    <w:p w14:paraId="2060FEDE" w14:textId="77777777" w:rsidR="00E10CA1" w:rsidRDefault="00E10CA1" w:rsidP="008955AA">
      <w:pPr>
        <w:spacing w:after="0"/>
      </w:pPr>
    </w:p>
    <w:p w14:paraId="441E3E20" w14:textId="76079F73" w:rsidR="00E10CA1" w:rsidRDefault="00E10CA1" w:rsidP="00C5197F">
      <w:r w:rsidRPr="00A967D7">
        <w:t>The zinc contents of all the porridge formulations w</w:t>
      </w:r>
      <w:r>
        <w:t>ould</w:t>
      </w:r>
      <w:r w:rsidRPr="00A967D7">
        <w:t xml:space="preserve"> also</w:t>
      </w:r>
      <w:r>
        <w:t xml:space="preserve"> be</w:t>
      </w:r>
      <w:r w:rsidRPr="00A967D7">
        <w:t xml:space="preserve"> similar</w:t>
      </w:r>
      <w:r>
        <w:t>,</w:t>
      </w:r>
      <w:r w:rsidRPr="00A967D7">
        <w:t xml:space="preserve"> as w</w:t>
      </w:r>
      <w:r>
        <w:t>ould</w:t>
      </w:r>
      <w:r w:rsidRPr="00A967D7">
        <w:t xml:space="preserve"> their percentage contribution of zinc to the RNI, </w:t>
      </w:r>
      <w:r>
        <w:t>except for the</w:t>
      </w:r>
      <w:r w:rsidRPr="00A967D7">
        <w:t xml:space="preserve"> </w:t>
      </w:r>
      <w:r>
        <w:t xml:space="preserve">two </w:t>
      </w:r>
      <w:r w:rsidRPr="00A967D7">
        <w:t>moringa fortified-maize</w:t>
      </w:r>
      <w:r>
        <w:t>-based</w:t>
      </w:r>
      <w:r w:rsidRPr="00A967D7">
        <w:t xml:space="preserve"> porridge formulations, which w</w:t>
      </w:r>
      <w:r>
        <w:t>ould be</w:t>
      </w:r>
      <w:r w:rsidRPr="00A967D7">
        <w:t xml:space="preserve"> slightly higher </w:t>
      </w:r>
      <w:r>
        <w:t>(</w:t>
      </w:r>
      <w:r w:rsidRPr="008955AA">
        <w:t xml:space="preserve">Table </w:t>
      </w:r>
      <w:r w:rsidR="008955AA" w:rsidRPr="008955AA">
        <w:t>4.2.</w:t>
      </w:r>
      <w:r w:rsidRPr="008955AA">
        <w:t>1</w:t>
      </w:r>
      <w:r>
        <w:t>). This is due to the relatively high zinc content of moringa</w:t>
      </w:r>
      <w:r w:rsidRPr="00A967D7">
        <w:t xml:space="preserve">. </w:t>
      </w:r>
      <w:r w:rsidR="008C312C">
        <w:t>However, t</w:t>
      </w:r>
      <w:r>
        <w:t>he</w:t>
      </w:r>
      <w:r w:rsidRPr="00A967D7">
        <w:t xml:space="preserve"> high calcium and magnesium contents</w:t>
      </w:r>
      <w:r>
        <w:t xml:space="preserve"> of moringa leaves</w:t>
      </w:r>
      <w:r w:rsidRPr="00A967D7">
        <w:t xml:space="preserve"> </w:t>
      </w:r>
      <w:r>
        <w:t>w</w:t>
      </w:r>
      <w:r w:rsidRPr="00A967D7">
        <w:t xml:space="preserve">ould substantially increase the </w:t>
      </w:r>
      <w:r>
        <w:t>m</w:t>
      </w:r>
      <w:r w:rsidRPr="00A967D7">
        <w:t>oringa</w:t>
      </w:r>
      <w:r>
        <w:t xml:space="preserve"> </w:t>
      </w:r>
      <w:r w:rsidRPr="00A967D7">
        <w:t>fortified</w:t>
      </w:r>
      <w:r>
        <w:t>-</w:t>
      </w:r>
      <w:r w:rsidRPr="00A967D7">
        <w:t>maize</w:t>
      </w:r>
      <w:r>
        <w:t>-based</w:t>
      </w:r>
      <w:r w:rsidRPr="00A967D7">
        <w:t xml:space="preserve"> porridge</w:t>
      </w:r>
      <w:r>
        <w:t xml:space="preserve">’s </w:t>
      </w:r>
      <w:r w:rsidRPr="00A967D7">
        <w:t xml:space="preserve">contribution </w:t>
      </w:r>
      <w:r w:rsidR="008C312C">
        <w:t>of the</w:t>
      </w:r>
      <w:r w:rsidRPr="00A967D7">
        <w:t xml:space="preserve"> calcium and magnesium RNI</w:t>
      </w:r>
      <w:r w:rsidR="008C312C">
        <w:t>s</w:t>
      </w:r>
      <w:r>
        <w:t xml:space="preserve"> by </w:t>
      </w:r>
      <w:r w:rsidRPr="00A967D7">
        <w:t>more than 38-fold and 2-fold, respectively</w:t>
      </w:r>
      <w:r>
        <w:t xml:space="preserve">, compared to </w:t>
      </w:r>
      <w:r w:rsidR="008955AA">
        <w:t xml:space="preserve">the </w:t>
      </w:r>
      <w:r w:rsidRPr="004F0168">
        <w:t>FeSO</w:t>
      </w:r>
      <w:r w:rsidRPr="004F0168">
        <w:rPr>
          <w:vertAlign w:val="subscript"/>
        </w:rPr>
        <w:t>4</w:t>
      </w:r>
      <w:r>
        <w:t xml:space="preserve"> fortified-maize-based porridge control</w:t>
      </w:r>
      <w:r w:rsidRPr="00A967D7">
        <w:t>.</w:t>
      </w:r>
      <w:r>
        <w:t xml:space="preserve"> </w:t>
      </w:r>
    </w:p>
    <w:p w14:paraId="5742234C" w14:textId="77777777" w:rsidR="00E10CA1" w:rsidRDefault="00E10CA1" w:rsidP="008955AA">
      <w:pPr>
        <w:spacing w:after="0"/>
      </w:pPr>
    </w:p>
    <w:p w14:paraId="5CE892A5" w14:textId="1067AD0E" w:rsidR="0057038D" w:rsidRDefault="00E10CA1" w:rsidP="00C5197F">
      <w:pPr>
        <w:rPr>
          <w:rFonts w:eastAsia="Times New Roman"/>
        </w:rPr>
        <w:sectPr w:rsidR="0057038D" w:rsidSect="0051066F">
          <w:pgSz w:w="11907" w:h="16839" w:code="9"/>
          <w:pgMar w:top="1440" w:right="1440" w:bottom="1440" w:left="1440" w:header="720" w:footer="720" w:gutter="0"/>
          <w:cols w:space="720"/>
          <w:docGrid w:linePitch="360"/>
        </w:sectPr>
      </w:pPr>
      <w:r>
        <w:t>Although, baobab fruit had a substantially higher calcium content compared to maize, b</w:t>
      </w:r>
      <w:r w:rsidRPr="00A967D7">
        <w:t>aobab</w:t>
      </w:r>
      <w:r>
        <w:t xml:space="preserve"> fortification of the </w:t>
      </w:r>
      <w:r w:rsidRPr="004F0168">
        <w:t>FeSO</w:t>
      </w:r>
      <w:r w:rsidRPr="004F0168">
        <w:rPr>
          <w:vertAlign w:val="subscript"/>
        </w:rPr>
        <w:t>4</w:t>
      </w:r>
      <w:r>
        <w:t xml:space="preserve"> </w:t>
      </w:r>
      <w:r w:rsidRPr="00A967D7">
        <w:t>fo</w:t>
      </w:r>
      <w:r>
        <w:t>rtified-</w:t>
      </w:r>
      <w:r w:rsidRPr="00A967D7">
        <w:t>maize</w:t>
      </w:r>
      <w:r>
        <w:t>-based</w:t>
      </w:r>
      <w:r w:rsidRPr="00A967D7">
        <w:t xml:space="preserve"> porridge </w:t>
      </w:r>
      <w:r>
        <w:t xml:space="preserve">would not nutritionally </w:t>
      </w:r>
      <w:r w:rsidR="008C312C">
        <w:t>significantly</w:t>
      </w:r>
      <w:r>
        <w:t xml:space="preserve"> increase the</w:t>
      </w:r>
      <w:r w:rsidRPr="00A967D7">
        <w:t xml:space="preserve"> </w:t>
      </w:r>
      <w:r>
        <w:t xml:space="preserve">contribution </w:t>
      </w:r>
      <w:r w:rsidR="008C312C">
        <w:t>to the</w:t>
      </w:r>
      <w:r>
        <w:t xml:space="preserve"> calcium RNI compared to </w:t>
      </w:r>
      <w:r w:rsidR="008C312C">
        <w:t xml:space="preserve">the </w:t>
      </w:r>
      <w:r>
        <w:t>control</w:t>
      </w:r>
      <w:r w:rsidR="008C312C">
        <w:t xml:space="preserve"> porrid</w:t>
      </w:r>
      <w:r w:rsidR="008E7657">
        <w:t>g</w:t>
      </w:r>
      <w:r w:rsidR="008C312C">
        <w:t>e</w:t>
      </w:r>
      <w:r>
        <w:t xml:space="preserve">. This is because </w:t>
      </w:r>
      <w:r w:rsidR="008955AA">
        <w:t xml:space="preserve">the </w:t>
      </w:r>
      <w:r>
        <w:t xml:space="preserve">baobab </w:t>
      </w:r>
      <w:r w:rsidR="008E7657">
        <w:t xml:space="preserve">fruit is not particularly high in calcium, unlike the moringa. </w:t>
      </w:r>
      <w:r>
        <w:t xml:space="preserve">However, baobab fortification of </w:t>
      </w:r>
      <w:r w:rsidR="008C312C">
        <w:t>the</w:t>
      </w:r>
      <w:r>
        <w:t xml:space="preserve"> porridge would </w:t>
      </w:r>
      <w:r w:rsidR="008955AA">
        <w:t xml:space="preserve">substantially </w:t>
      </w:r>
      <w:r>
        <w:t>increase the magnesium content and the percentage contribution of magnesium to the RNI, from 3</w:t>
      </w:r>
      <w:r w:rsidR="008C312C">
        <w:t>7</w:t>
      </w:r>
      <w:r>
        <w:t>% for unfortified porridge to 5</w:t>
      </w:r>
      <w:r w:rsidR="008C312C">
        <w:t>3</w:t>
      </w:r>
      <w:r>
        <w:t>% for baobab fortified porridge</w:t>
      </w:r>
      <w:r w:rsidR="008C312C">
        <w:t>,</w:t>
      </w:r>
      <w:r>
        <w:t xml:space="preserve"> due to the relatively high magnesium content of baobab fruit.</w:t>
      </w:r>
    </w:p>
    <w:p w14:paraId="64F0803F" w14:textId="379F42C4" w:rsidR="0057038D" w:rsidRPr="00A967D7" w:rsidRDefault="0057038D" w:rsidP="009452C7">
      <w:pPr>
        <w:pStyle w:val="MyTables"/>
        <w:spacing w:line="240" w:lineRule="auto"/>
      </w:pPr>
      <w:bookmarkStart w:id="110" w:name="_Toc65253634"/>
      <w:r w:rsidRPr="007E071A">
        <w:rPr>
          <w:b/>
          <w:bCs/>
        </w:rPr>
        <w:t xml:space="preserve">Table </w:t>
      </w:r>
      <w:r w:rsidR="007E071A">
        <w:rPr>
          <w:b/>
          <w:bCs/>
        </w:rPr>
        <w:t>4.2.</w:t>
      </w:r>
      <w:r w:rsidRPr="007E071A">
        <w:rPr>
          <w:b/>
          <w:bCs/>
        </w:rPr>
        <w:t>1</w:t>
      </w:r>
      <w:r w:rsidRPr="00A967D7">
        <w:t xml:space="preserve">: Mineral contents (mg/100 g dry basis) of wholegrain white maize flour, baobab fruit pulp, moringa leaf powder, carrot powder and mango fruit powder and their porridge formulations and their estimated percentage contribution to the daily recommended nutrient intake (RNI) for </w:t>
      </w:r>
      <w:r>
        <w:t xml:space="preserve">adult </w:t>
      </w:r>
      <w:r w:rsidRPr="00A967D7">
        <w:t>women</w:t>
      </w:r>
      <w:r>
        <w:t xml:space="preserve"> (19–50 years)</w:t>
      </w:r>
      <w:bookmarkEnd w:id="110"/>
    </w:p>
    <w:tbl>
      <w:tblPr>
        <w:tblW w:w="16273" w:type="dxa"/>
        <w:tblInd w:w="-1139" w:type="dxa"/>
        <w:tblBorders>
          <w:top w:val="single" w:sz="4" w:space="0" w:color="auto"/>
          <w:bottom w:val="single" w:sz="4" w:space="0" w:color="auto"/>
        </w:tblBorders>
        <w:tblLayout w:type="fixed"/>
        <w:tblLook w:val="04A0" w:firstRow="1" w:lastRow="0" w:firstColumn="1" w:lastColumn="0" w:noHBand="0" w:noVBand="1"/>
      </w:tblPr>
      <w:tblGrid>
        <w:gridCol w:w="3261"/>
        <w:gridCol w:w="1608"/>
        <w:gridCol w:w="992"/>
        <w:gridCol w:w="1134"/>
        <w:gridCol w:w="1417"/>
        <w:gridCol w:w="1418"/>
        <w:gridCol w:w="1701"/>
        <w:gridCol w:w="1417"/>
        <w:gridCol w:w="1560"/>
        <w:gridCol w:w="1765"/>
      </w:tblGrid>
      <w:tr w:rsidR="0057038D" w:rsidRPr="00A967D7" w14:paraId="029B68C5" w14:textId="77777777" w:rsidTr="00C86976">
        <w:tc>
          <w:tcPr>
            <w:tcW w:w="3261" w:type="dxa"/>
            <w:tcBorders>
              <w:top w:val="single" w:sz="4" w:space="0" w:color="auto"/>
              <w:bottom w:val="single" w:sz="4" w:space="0" w:color="auto"/>
            </w:tcBorders>
          </w:tcPr>
          <w:p w14:paraId="7974E133" w14:textId="77777777" w:rsidR="0057038D" w:rsidRPr="00843E4B" w:rsidRDefault="0057038D" w:rsidP="002F7DBE">
            <w:pPr>
              <w:spacing w:after="0" w:line="240" w:lineRule="auto"/>
              <w:rPr>
                <w:rFonts w:cs="Times New Roman"/>
                <w:b/>
                <w:sz w:val="22"/>
              </w:rPr>
            </w:pPr>
            <w:r w:rsidRPr="00843E4B">
              <w:rPr>
                <w:rFonts w:cs="Times New Roman"/>
                <w:b/>
                <w:sz w:val="22"/>
              </w:rPr>
              <w:t>Porridge ingredients</w:t>
            </w:r>
          </w:p>
        </w:tc>
        <w:tc>
          <w:tcPr>
            <w:tcW w:w="1608" w:type="dxa"/>
            <w:tcBorders>
              <w:top w:val="single" w:sz="4" w:space="0" w:color="auto"/>
              <w:bottom w:val="single" w:sz="4" w:space="0" w:color="auto"/>
            </w:tcBorders>
          </w:tcPr>
          <w:p w14:paraId="13F06C73" w14:textId="77777777" w:rsidR="0057038D" w:rsidRPr="00843E4B" w:rsidRDefault="0057038D" w:rsidP="00C86976">
            <w:pPr>
              <w:spacing w:after="0" w:line="240" w:lineRule="auto"/>
              <w:jc w:val="center"/>
              <w:rPr>
                <w:rFonts w:cs="Times New Roman"/>
                <w:b/>
                <w:sz w:val="22"/>
                <w:lang w:val="en-ZA"/>
              </w:rPr>
            </w:pPr>
            <w:r w:rsidRPr="00843E4B">
              <w:rPr>
                <w:rFonts w:cs="Times New Roman"/>
                <w:b/>
                <w:sz w:val="22"/>
              </w:rPr>
              <w:t>Iron</w:t>
            </w:r>
          </w:p>
        </w:tc>
        <w:tc>
          <w:tcPr>
            <w:tcW w:w="992" w:type="dxa"/>
            <w:tcBorders>
              <w:top w:val="single" w:sz="4" w:space="0" w:color="auto"/>
              <w:bottom w:val="single" w:sz="4" w:space="0" w:color="auto"/>
            </w:tcBorders>
          </w:tcPr>
          <w:p w14:paraId="097D2244" w14:textId="77777777" w:rsidR="0057038D" w:rsidRPr="00843E4B" w:rsidRDefault="0057038D" w:rsidP="00C86976">
            <w:pPr>
              <w:spacing w:after="0" w:line="240" w:lineRule="auto"/>
              <w:jc w:val="center"/>
              <w:rPr>
                <w:rFonts w:cs="Times New Roman"/>
                <w:b/>
                <w:sz w:val="22"/>
                <w:lang w:val="en-ZA"/>
              </w:rPr>
            </w:pPr>
            <w:r w:rsidRPr="00843E4B">
              <w:rPr>
                <w:rFonts w:cs="Times New Roman"/>
                <w:b/>
                <w:sz w:val="22"/>
              </w:rPr>
              <w:t>Zinc</w:t>
            </w:r>
          </w:p>
        </w:tc>
        <w:tc>
          <w:tcPr>
            <w:tcW w:w="1134" w:type="dxa"/>
            <w:tcBorders>
              <w:top w:val="single" w:sz="4" w:space="0" w:color="auto"/>
              <w:bottom w:val="single" w:sz="4" w:space="0" w:color="auto"/>
            </w:tcBorders>
          </w:tcPr>
          <w:p w14:paraId="20983DCE" w14:textId="77777777" w:rsidR="0057038D" w:rsidRPr="00843E4B" w:rsidRDefault="0057038D" w:rsidP="00C86976">
            <w:pPr>
              <w:spacing w:after="0" w:line="240" w:lineRule="auto"/>
              <w:jc w:val="center"/>
              <w:rPr>
                <w:rFonts w:cs="Times New Roman"/>
                <w:b/>
                <w:sz w:val="22"/>
                <w:lang w:val="en-ZA"/>
              </w:rPr>
            </w:pPr>
            <w:r w:rsidRPr="00843E4B">
              <w:rPr>
                <w:rFonts w:cs="Times New Roman"/>
                <w:b/>
                <w:sz w:val="22"/>
              </w:rPr>
              <w:t>Calcium</w:t>
            </w:r>
          </w:p>
        </w:tc>
        <w:tc>
          <w:tcPr>
            <w:tcW w:w="1417" w:type="dxa"/>
            <w:tcBorders>
              <w:top w:val="single" w:sz="4" w:space="0" w:color="auto"/>
              <w:bottom w:val="single" w:sz="4" w:space="0" w:color="auto"/>
            </w:tcBorders>
          </w:tcPr>
          <w:p w14:paraId="0B87DD08" w14:textId="77777777" w:rsidR="0057038D" w:rsidRPr="00843E4B" w:rsidRDefault="0057038D" w:rsidP="00C86976">
            <w:pPr>
              <w:spacing w:after="0" w:line="240" w:lineRule="auto"/>
              <w:jc w:val="center"/>
              <w:rPr>
                <w:rFonts w:cs="Times New Roman"/>
                <w:b/>
                <w:sz w:val="22"/>
                <w:lang w:val="en-ZA"/>
              </w:rPr>
            </w:pPr>
            <w:r w:rsidRPr="00843E4B">
              <w:rPr>
                <w:rFonts w:cs="Times New Roman"/>
                <w:b/>
                <w:sz w:val="22"/>
              </w:rPr>
              <w:t>Magnesium</w:t>
            </w:r>
          </w:p>
        </w:tc>
        <w:tc>
          <w:tcPr>
            <w:tcW w:w="1418" w:type="dxa"/>
            <w:tcBorders>
              <w:top w:val="single" w:sz="4" w:space="0" w:color="auto"/>
              <w:bottom w:val="single" w:sz="4" w:space="0" w:color="auto"/>
            </w:tcBorders>
          </w:tcPr>
          <w:p w14:paraId="76374389" w14:textId="77777777" w:rsidR="0057038D" w:rsidRPr="00843E4B" w:rsidRDefault="0057038D" w:rsidP="00C86976">
            <w:pPr>
              <w:spacing w:after="0" w:line="240" w:lineRule="auto"/>
              <w:jc w:val="center"/>
              <w:rPr>
                <w:rFonts w:cs="Times New Roman"/>
                <w:b/>
                <w:sz w:val="22"/>
                <w:lang w:val="en-ZA"/>
              </w:rPr>
            </w:pPr>
            <w:r w:rsidRPr="00843E4B">
              <w:rPr>
                <w:rFonts w:cs="Times New Roman"/>
                <w:b/>
                <w:sz w:val="22"/>
              </w:rPr>
              <w:t>Phosphorus</w:t>
            </w:r>
          </w:p>
        </w:tc>
        <w:tc>
          <w:tcPr>
            <w:tcW w:w="1701" w:type="dxa"/>
            <w:tcBorders>
              <w:top w:val="single" w:sz="4" w:space="0" w:color="auto"/>
              <w:bottom w:val="single" w:sz="4" w:space="0" w:color="auto"/>
            </w:tcBorders>
          </w:tcPr>
          <w:p w14:paraId="4126D17C" w14:textId="77777777" w:rsidR="0057038D" w:rsidRPr="00843E4B" w:rsidRDefault="0057038D" w:rsidP="00C86976">
            <w:pPr>
              <w:spacing w:after="0" w:line="240" w:lineRule="auto"/>
              <w:jc w:val="center"/>
              <w:rPr>
                <w:rFonts w:cs="Times New Roman"/>
                <w:b/>
                <w:sz w:val="22"/>
                <w:lang w:val="en-ZA"/>
              </w:rPr>
            </w:pPr>
            <w:r w:rsidRPr="00843E4B">
              <w:rPr>
                <w:rFonts w:cs="Times New Roman"/>
                <w:b/>
                <w:sz w:val="22"/>
              </w:rPr>
              <w:t>Percentage contribution of iron to RNI (58.8 mg/day)</w:t>
            </w:r>
            <w:r w:rsidRPr="00843E4B">
              <w:rPr>
                <w:rFonts w:cs="Times New Roman"/>
                <w:b/>
                <w:sz w:val="22"/>
                <w:szCs w:val="24"/>
                <w:vertAlign w:val="superscript"/>
              </w:rPr>
              <w:t>#</w:t>
            </w:r>
          </w:p>
        </w:tc>
        <w:tc>
          <w:tcPr>
            <w:tcW w:w="1417" w:type="dxa"/>
            <w:tcBorders>
              <w:top w:val="single" w:sz="4" w:space="0" w:color="auto"/>
              <w:bottom w:val="single" w:sz="4" w:space="0" w:color="auto"/>
            </w:tcBorders>
          </w:tcPr>
          <w:p w14:paraId="093F5F7C" w14:textId="77777777" w:rsidR="0057038D" w:rsidRPr="00843E4B" w:rsidRDefault="0057038D" w:rsidP="00C86976">
            <w:pPr>
              <w:spacing w:after="0" w:line="240" w:lineRule="auto"/>
              <w:jc w:val="center"/>
              <w:rPr>
                <w:rFonts w:cs="Times New Roman"/>
                <w:b/>
                <w:sz w:val="22"/>
                <w:lang w:val="en-ZA"/>
              </w:rPr>
            </w:pPr>
            <w:r w:rsidRPr="00843E4B">
              <w:rPr>
                <w:rFonts w:cs="Times New Roman"/>
                <w:b/>
                <w:sz w:val="22"/>
              </w:rPr>
              <w:t>Percentage contribution of zinc to RNI (9.8 mg/day)</w:t>
            </w:r>
            <w:r w:rsidRPr="00843E4B">
              <w:rPr>
                <w:rFonts w:cs="Times New Roman"/>
                <w:b/>
                <w:sz w:val="22"/>
                <w:szCs w:val="24"/>
                <w:vertAlign w:val="superscript"/>
              </w:rPr>
              <w:t>#</w:t>
            </w:r>
          </w:p>
        </w:tc>
        <w:tc>
          <w:tcPr>
            <w:tcW w:w="1560" w:type="dxa"/>
            <w:tcBorders>
              <w:top w:val="single" w:sz="4" w:space="0" w:color="auto"/>
              <w:bottom w:val="single" w:sz="4" w:space="0" w:color="auto"/>
            </w:tcBorders>
          </w:tcPr>
          <w:p w14:paraId="5F3EDEED" w14:textId="77777777" w:rsidR="0057038D" w:rsidRPr="00843E4B" w:rsidRDefault="0057038D" w:rsidP="00C86976">
            <w:pPr>
              <w:spacing w:after="0" w:line="240" w:lineRule="auto"/>
              <w:jc w:val="center"/>
              <w:rPr>
                <w:rFonts w:cs="Times New Roman"/>
                <w:b/>
                <w:sz w:val="22"/>
              </w:rPr>
            </w:pPr>
            <w:r w:rsidRPr="00843E4B">
              <w:rPr>
                <w:rFonts w:cs="Times New Roman"/>
                <w:b/>
                <w:sz w:val="22"/>
              </w:rPr>
              <w:t>Percentage contribution of calcium to RNI (1000 mg/day)</w:t>
            </w:r>
          </w:p>
        </w:tc>
        <w:tc>
          <w:tcPr>
            <w:tcW w:w="1765" w:type="dxa"/>
            <w:tcBorders>
              <w:top w:val="single" w:sz="4" w:space="0" w:color="auto"/>
              <w:bottom w:val="single" w:sz="4" w:space="0" w:color="auto"/>
            </w:tcBorders>
          </w:tcPr>
          <w:p w14:paraId="09FB23DC" w14:textId="77777777" w:rsidR="0057038D" w:rsidRPr="00843E4B" w:rsidRDefault="0057038D" w:rsidP="00C86976">
            <w:pPr>
              <w:spacing w:after="0" w:line="240" w:lineRule="auto"/>
              <w:jc w:val="center"/>
              <w:rPr>
                <w:rFonts w:cs="Times New Roman"/>
                <w:b/>
                <w:sz w:val="22"/>
              </w:rPr>
            </w:pPr>
            <w:r w:rsidRPr="00843E4B">
              <w:rPr>
                <w:rFonts w:cs="Times New Roman"/>
                <w:b/>
                <w:sz w:val="22"/>
              </w:rPr>
              <w:t>Percentage contribution of magnesium to RNI (220 mg/day)</w:t>
            </w:r>
          </w:p>
        </w:tc>
      </w:tr>
      <w:tr w:rsidR="0057038D" w:rsidRPr="00A967D7" w14:paraId="549CE95D" w14:textId="77777777" w:rsidTr="00C86976">
        <w:tc>
          <w:tcPr>
            <w:tcW w:w="3261" w:type="dxa"/>
            <w:tcBorders>
              <w:top w:val="single" w:sz="4" w:space="0" w:color="auto"/>
            </w:tcBorders>
          </w:tcPr>
          <w:p w14:paraId="1F0F09BC" w14:textId="77777777" w:rsidR="0057038D" w:rsidRPr="00843E4B" w:rsidRDefault="0057038D" w:rsidP="002F7DBE">
            <w:pPr>
              <w:spacing w:after="0" w:line="240" w:lineRule="auto"/>
              <w:rPr>
                <w:rFonts w:cs="Times New Roman"/>
                <w:sz w:val="22"/>
              </w:rPr>
            </w:pPr>
            <w:r w:rsidRPr="00843E4B">
              <w:rPr>
                <w:rFonts w:cs="Times New Roman"/>
                <w:sz w:val="22"/>
              </w:rPr>
              <w:t>White maize</w:t>
            </w:r>
          </w:p>
        </w:tc>
        <w:tc>
          <w:tcPr>
            <w:tcW w:w="1608" w:type="dxa"/>
            <w:tcBorders>
              <w:top w:val="single" w:sz="4" w:space="0" w:color="auto"/>
            </w:tcBorders>
          </w:tcPr>
          <w:p w14:paraId="1EF545AC"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2.0</w:t>
            </w:r>
            <w:r w:rsidRPr="00843E4B">
              <w:rPr>
                <w:rFonts w:cs="Times New Roman"/>
                <w:sz w:val="22"/>
                <w:vertAlign w:val="superscript"/>
              </w:rPr>
              <w:t>a</w:t>
            </w:r>
            <w:r w:rsidRPr="00843E4B">
              <w:rPr>
                <w:rFonts w:cs="Times New Roman"/>
                <w:sz w:val="22"/>
              </w:rPr>
              <w:t xml:space="preserve"> ± 0.0</w:t>
            </w:r>
          </w:p>
        </w:tc>
        <w:tc>
          <w:tcPr>
            <w:tcW w:w="992" w:type="dxa"/>
            <w:tcBorders>
              <w:top w:val="single" w:sz="4" w:space="0" w:color="auto"/>
            </w:tcBorders>
          </w:tcPr>
          <w:p w14:paraId="427E8FD5"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1.89</w:t>
            </w:r>
            <w:r w:rsidRPr="00843E4B">
              <w:rPr>
                <w:rFonts w:cs="Times New Roman"/>
                <w:sz w:val="22"/>
                <w:vertAlign w:val="superscript"/>
              </w:rPr>
              <w:t>c</w:t>
            </w:r>
            <w:r w:rsidRPr="00843E4B">
              <w:rPr>
                <w:rFonts w:cs="Times New Roman"/>
                <w:sz w:val="22"/>
              </w:rPr>
              <w:t xml:space="preserve"> ± 0.03</w:t>
            </w:r>
          </w:p>
        </w:tc>
        <w:tc>
          <w:tcPr>
            <w:tcW w:w="1134" w:type="dxa"/>
            <w:tcBorders>
              <w:top w:val="single" w:sz="4" w:space="0" w:color="auto"/>
            </w:tcBorders>
          </w:tcPr>
          <w:p w14:paraId="0C60A8A3"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5</w:t>
            </w:r>
            <w:r w:rsidRPr="00843E4B">
              <w:rPr>
                <w:rFonts w:cs="Times New Roman"/>
                <w:sz w:val="22"/>
                <w:vertAlign w:val="superscript"/>
              </w:rPr>
              <w:t>a</w:t>
            </w:r>
            <w:r w:rsidRPr="00843E4B">
              <w:rPr>
                <w:rFonts w:cs="Times New Roman"/>
                <w:sz w:val="22"/>
              </w:rPr>
              <w:t xml:space="preserve"> ± 0</w:t>
            </w:r>
          </w:p>
        </w:tc>
        <w:tc>
          <w:tcPr>
            <w:tcW w:w="1417" w:type="dxa"/>
            <w:tcBorders>
              <w:top w:val="single" w:sz="4" w:space="0" w:color="auto"/>
            </w:tcBorders>
          </w:tcPr>
          <w:p w14:paraId="733228EA"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118</w:t>
            </w:r>
            <w:r w:rsidRPr="00843E4B">
              <w:rPr>
                <w:rFonts w:cs="Times New Roman"/>
                <w:sz w:val="22"/>
                <w:vertAlign w:val="superscript"/>
              </w:rPr>
              <w:t>b</w:t>
            </w:r>
            <w:r w:rsidRPr="00843E4B">
              <w:rPr>
                <w:rFonts w:cs="Times New Roman"/>
                <w:sz w:val="22"/>
              </w:rPr>
              <w:t xml:space="preserve"> ± 3</w:t>
            </w:r>
          </w:p>
        </w:tc>
        <w:tc>
          <w:tcPr>
            <w:tcW w:w="1418" w:type="dxa"/>
            <w:tcBorders>
              <w:top w:val="single" w:sz="4" w:space="0" w:color="auto"/>
            </w:tcBorders>
          </w:tcPr>
          <w:p w14:paraId="66587F95"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287</w:t>
            </w:r>
            <w:r w:rsidRPr="00843E4B">
              <w:rPr>
                <w:rFonts w:cs="Times New Roman"/>
                <w:sz w:val="22"/>
                <w:vertAlign w:val="superscript"/>
              </w:rPr>
              <w:t>c</w:t>
            </w:r>
            <w:r w:rsidRPr="00843E4B">
              <w:rPr>
                <w:rFonts w:cs="Times New Roman"/>
                <w:sz w:val="22"/>
              </w:rPr>
              <w:t xml:space="preserve"> ± 6</w:t>
            </w:r>
          </w:p>
        </w:tc>
        <w:tc>
          <w:tcPr>
            <w:tcW w:w="1701" w:type="dxa"/>
            <w:tcBorders>
              <w:top w:val="single" w:sz="4" w:space="0" w:color="auto"/>
            </w:tcBorders>
          </w:tcPr>
          <w:p w14:paraId="6C236A97"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3.5</w:t>
            </w:r>
          </w:p>
        </w:tc>
        <w:tc>
          <w:tcPr>
            <w:tcW w:w="1417" w:type="dxa"/>
            <w:tcBorders>
              <w:top w:val="single" w:sz="4" w:space="0" w:color="auto"/>
            </w:tcBorders>
          </w:tcPr>
          <w:p w14:paraId="25BD1F8A"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19.3</w:t>
            </w:r>
          </w:p>
        </w:tc>
        <w:tc>
          <w:tcPr>
            <w:tcW w:w="1560" w:type="dxa"/>
            <w:tcBorders>
              <w:top w:val="single" w:sz="4" w:space="0" w:color="auto"/>
            </w:tcBorders>
          </w:tcPr>
          <w:p w14:paraId="636FAE33" w14:textId="77777777" w:rsidR="0057038D" w:rsidRPr="00843E4B" w:rsidRDefault="0057038D" w:rsidP="00C86976">
            <w:pPr>
              <w:spacing w:after="0" w:line="240" w:lineRule="auto"/>
              <w:jc w:val="center"/>
              <w:rPr>
                <w:rFonts w:cs="Times New Roman"/>
                <w:sz w:val="22"/>
              </w:rPr>
            </w:pPr>
            <w:r w:rsidRPr="00843E4B">
              <w:rPr>
                <w:rFonts w:cs="Times New Roman"/>
                <w:sz w:val="22"/>
              </w:rPr>
              <w:t>0.5</w:t>
            </w:r>
          </w:p>
        </w:tc>
        <w:tc>
          <w:tcPr>
            <w:tcW w:w="1765" w:type="dxa"/>
            <w:tcBorders>
              <w:top w:val="single" w:sz="4" w:space="0" w:color="auto"/>
            </w:tcBorders>
          </w:tcPr>
          <w:p w14:paraId="4E7AB5CA" w14:textId="77777777" w:rsidR="0057038D" w:rsidRPr="00843E4B" w:rsidRDefault="0057038D" w:rsidP="00C86976">
            <w:pPr>
              <w:spacing w:after="0" w:line="240" w:lineRule="auto"/>
              <w:jc w:val="center"/>
              <w:rPr>
                <w:rFonts w:cs="Times New Roman"/>
                <w:sz w:val="22"/>
              </w:rPr>
            </w:pPr>
            <w:r w:rsidRPr="00843E4B">
              <w:rPr>
                <w:rFonts w:cs="Times New Roman"/>
                <w:sz w:val="22"/>
              </w:rPr>
              <w:t>53.5</w:t>
            </w:r>
          </w:p>
        </w:tc>
      </w:tr>
      <w:tr w:rsidR="0057038D" w:rsidRPr="00A967D7" w14:paraId="769F8771" w14:textId="77777777" w:rsidTr="00C86976">
        <w:tc>
          <w:tcPr>
            <w:tcW w:w="3261" w:type="dxa"/>
          </w:tcPr>
          <w:p w14:paraId="22B16C9A" w14:textId="77777777" w:rsidR="0057038D" w:rsidRPr="00843E4B" w:rsidRDefault="0057038D" w:rsidP="002F7DBE">
            <w:pPr>
              <w:spacing w:after="0" w:line="240" w:lineRule="auto"/>
              <w:rPr>
                <w:rFonts w:cs="Times New Roman"/>
                <w:sz w:val="22"/>
              </w:rPr>
            </w:pPr>
            <w:r w:rsidRPr="00843E4B">
              <w:rPr>
                <w:rFonts w:cs="Times New Roman"/>
                <w:sz w:val="22"/>
              </w:rPr>
              <w:t>Baobab fruit pulp</w:t>
            </w:r>
          </w:p>
        </w:tc>
        <w:tc>
          <w:tcPr>
            <w:tcW w:w="1608" w:type="dxa"/>
          </w:tcPr>
          <w:p w14:paraId="0BA0254B"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1.7</w:t>
            </w:r>
            <w:r w:rsidRPr="00843E4B">
              <w:rPr>
                <w:rFonts w:cs="Times New Roman"/>
                <w:sz w:val="22"/>
                <w:vertAlign w:val="superscript"/>
              </w:rPr>
              <w:t>a</w:t>
            </w:r>
            <w:r w:rsidRPr="00843E4B">
              <w:rPr>
                <w:rFonts w:cs="Times New Roman"/>
                <w:sz w:val="22"/>
              </w:rPr>
              <w:t xml:space="preserve"> ± 0.1</w:t>
            </w:r>
          </w:p>
        </w:tc>
        <w:tc>
          <w:tcPr>
            <w:tcW w:w="992" w:type="dxa"/>
          </w:tcPr>
          <w:p w14:paraId="19C35D74"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0.95</w:t>
            </w:r>
            <w:r w:rsidRPr="00843E4B">
              <w:rPr>
                <w:rFonts w:cs="Times New Roman"/>
                <w:sz w:val="22"/>
                <w:vertAlign w:val="superscript"/>
              </w:rPr>
              <w:t>b</w:t>
            </w:r>
            <w:r w:rsidRPr="00843E4B">
              <w:rPr>
                <w:rFonts w:cs="Times New Roman"/>
                <w:sz w:val="22"/>
              </w:rPr>
              <w:t xml:space="preserve"> ± 0.01</w:t>
            </w:r>
          </w:p>
        </w:tc>
        <w:tc>
          <w:tcPr>
            <w:tcW w:w="1134" w:type="dxa"/>
          </w:tcPr>
          <w:p w14:paraId="76E4EF3F"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363</w:t>
            </w:r>
            <w:r w:rsidRPr="00843E4B">
              <w:rPr>
                <w:rFonts w:cs="Times New Roman"/>
                <w:sz w:val="22"/>
                <w:vertAlign w:val="superscript"/>
              </w:rPr>
              <w:t>c</w:t>
            </w:r>
            <w:r w:rsidRPr="00843E4B">
              <w:rPr>
                <w:rFonts w:cs="Times New Roman"/>
                <w:sz w:val="22"/>
              </w:rPr>
              <w:t xml:space="preserve"> ± 2</w:t>
            </w:r>
          </w:p>
        </w:tc>
        <w:tc>
          <w:tcPr>
            <w:tcW w:w="1417" w:type="dxa"/>
          </w:tcPr>
          <w:p w14:paraId="47BB485C"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234</w:t>
            </w:r>
            <w:r w:rsidRPr="00843E4B">
              <w:rPr>
                <w:rFonts w:cs="Times New Roman"/>
                <w:sz w:val="22"/>
                <w:vertAlign w:val="superscript"/>
              </w:rPr>
              <w:t>c</w:t>
            </w:r>
            <w:r w:rsidRPr="00843E4B">
              <w:rPr>
                <w:rFonts w:cs="Times New Roman"/>
                <w:sz w:val="22"/>
              </w:rPr>
              <w:t xml:space="preserve"> ± 2</w:t>
            </w:r>
          </w:p>
        </w:tc>
        <w:tc>
          <w:tcPr>
            <w:tcW w:w="1418" w:type="dxa"/>
          </w:tcPr>
          <w:p w14:paraId="76D3D0A7"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56</w:t>
            </w:r>
            <w:r w:rsidRPr="00843E4B">
              <w:rPr>
                <w:rFonts w:cs="Times New Roman"/>
                <w:sz w:val="22"/>
                <w:vertAlign w:val="superscript"/>
              </w:rPr>
              <w:t>a</w:t>
            </w:r>
            <w:r w:rsidRPr="00843E4B">
              <w:rPr>
                <w:rFonts w:cs="Times New Roman"/>
                <w:sz w:val="22"/>
              </w:rPr>
              <w:t xml:space="preserve"> ± 0</w:t>
            </w:r>
          </w:p>
        </w:tc>
        <w:tc>
          <w:tcPr>
            <w:tcW w:w="1701" w:type="dxa"/>
          </w:tcPr>
          <w:p w14:paraId="36F891B3"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NA</w:t>
            </w:r>
            <w:r w:rsidRPr="00843E4B">
              <w:rPr>
                <w:rFonts w:cs="Times New Roman"/>
                <w:sz w:val="22"/>
                <w:vertAlign w:val="superscript"/>
              </w:rPr>
              <w:t>£</w:t>
            </w:r>
          </w:p>
        </w:tc>
        <w:tc>
          <w:tcPr>
            <w:tcW w:w="1417" w:type="dxa"/>
          </w:tcPr>
          <w:p w14:paraId="78FA63C1"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NA</w:t>
            </w:r>
          </w:p>
        </w:tc>
        <w:tc>
          <w:tcPr>
            <w:tcW w:w="1560" w:type="dxa"/>
          </w:tcPr>
          <w:p w14:paraId="38D1DA40" w14:textId="77777777" w:rsidR="0057038D" w:rsidRPr="00843E4B" w:rsidRDefault="0057038D" w:rsidP="00C86976">
            <w:pPr>
              <w:spacing w:after="0" w:line="240" w:lineRule="auto"/>
              <w:jc w:val="center"/>
              <w:rPr>
                <w:rFonts w:cs="Times New Roman"/>
                <w:sz w:val="22"/>
              </w:rPr>
            </w:pPr>
            <w:r w:rsidRPr="00843E4B">
              <w:rPr>
                <w:rFonts w:cs="Times New Roman"/>
                <w:sz w:val="22"/>
              </w:rPr>
              <w:t>NA</w:t>
            </w:r>
          </w:p>
        </w:tc>
        <w:tc>
          <w:tcPr>
            <w:tcW w:w="1765" w:type="dxa"/>
          </w:tcPr>
          <w:p w14:paraId="65AE9BE5" w14:textId="77777777" w:rsidR="0057038D" w:rsidRPr="00843E4B" w:rsidRDefault="0057038D" w:rsidP="00C86976">
            <w:pPr>
              <w:spacing w:after="0" w:line="240" w:lineRule="auto"/>
              <w:jc w:val="center"/>
              <w:rPr>
                <w:rFonts w:cs="Times New Roman"/>
                <w:sz w:val="22"/>
              </w:rPr>
            </w:pPr>
            <w:r w:rsidRPr="00843E4B">
              <w:rPr>
                <w:rFonts w:cs="Times New Roman"/>
                <w:sz w:val="22"/>
              </w:rPr>
              <w:t>NA</w:t>
            </w:r>
          </w:p>
        </w:tc>
      </w:tr>
      <w:tr w:rsidR="0057038D" w:rsidRPr="00A967D7" w14:paraId="646BF375" w14:textId="77777777" w:rsidTr="00C86976">
        <w:tc>
          <w:tcPr>
            <w:tcW w:w="3261" w:type="dxa"/>
          </w:tcPr>
          <w:p w14:paraId="611BDF6D" w14:textId="77777777" w:rsidR="0057038D" w:rsidRPr="00843E4B" w:rsidRDefault="0057038D" w:rsidP="002F7DBE">
            <w:pPr>
              <w:spacing w:after="0" w:line="240" w:lineRule="auto"/>
              <w:rPr>
                <w:rFonts w:cs="Times New Roman"/>
                <w:sz w:val="22"/>
              </w:rPr>
            </w:pPr>
            <w:r w:rsidRPr="00843E4B">
              <w:rPr>
                <w:rFonts w:cs="Times New Roman"/>
                <w:sz w:val="22"/>
              </w:rPr>
              <w:t>Moringa leaves (M)</w:t>
            </w:r>
            <w:r w:rsidRPr="00843E4B">
              <w:rPr>
                <w:rFonts w:cs="Times New Roman"/>
                <w:sz w:val="22"/>
                <w:vertAlign w:val="superscript"/>
              </w:rPr>
              <w:t>$</w:t>
            </w:r>
          </w:p>
        </w:tc>
        <w:tc>
          <w:tcPr>
            <w:tcW w:w="1608" w:type="dxa"/>
          </w:tcPr>
          <w:p w14:paraId="05574FAA"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34.2</w:t>
            </w:r>
            <w:r w:rsidRPr="00843E4B">
              <w:rPr>
                <w:rFonts w:cs="Times New Roman"/>
                <w:sz w:val="22"/>
                <w:vertAlign w:val="superscript"/>
              </w:rPr>
              <w:t>c</w:t>
            </w:r>
            <w:r w:rsidRPr="00843E4B">
              <w:rPr>
                <w:rFonts w:cs="Times New Roman"/>
                <w:sz w:val="22"/>
              </w:rPr>
              <w:t xml:space="preserve"> ± 1.2</w:t>
            </w:r>
          </w:p>
        </w:tc>
        <w:tc>
          <w:tcPr>
            <w:tcW w:w="992" w:type="dxa"/>
          </w:tcPr>
          <w:p w14:paraId="0197D1ED"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3.08</w:t>
            </w:r>
            <w:r w:rsidRPr="00843E4B">
              <w:rPr>
                <w:rFonts w:cs="Times New Roman"/>
                <w:sz w:val="22"/>
                <w:vertAlign w:val="superscript"/>
              </w:rPr>
              <w:t>e</w:t>
            </w:r>
            <w:r w:rsidRPr="00843E4B">
              <w:rPr>
                <w:rFonts w:cs="Times New Roman"/>
                <w:sz w:val="22"/>
              </w:rPr>
              <w:t xml:space="preserve"> ± 0.21</w:t>
            </w:r>
          </w:p>
        </w:tc>
        <w:tc>
          <w:tcPr>
            <w:tcW w:w="1134" w:type="dxa"/>
          </w:tcPr>
          <w:p w14:paraId="385D282C"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2335</w:t>
            </w:r>
            <w:r w:rsidRPr="00843E4B">
              <w:rPr>
                <w:rFonts w:cs="Times New Roman"/>
                <w:sz w:val="22"/>
                <w:vertAlign w:val="superscript"/>
              </w:rPr>
              <w:t>d</w:t>
            </w:r>
            <w:r w:rsidRPr="00843E4B">
              <w:rPr>
                <w:rFonts w:cs="Times New Roman"/>
                <w:sz w:val="22"/>
              </w:rPr>
              <w:t xml:space="preserve"> ± 110</w:t>
            </w:r>
          </w:p>
        </w:tc>
        <w:tc>
          <w:tcPr>
            <w:tcW w:w="1417" w:type="dxa"/>
          </w:tcPr>
          <w:p w14:paraId="68DAE6DE"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807</w:t>
            </w:r>
            <w:r w:rsidRPr="00843E4B">
              <w:rPr>
                <w:rFonts w:cs="Times New Roman"/>
                <w:sz w:val="22"/>
                <w:vertAlign w:val="superscript"/>
              </w:rPr>
              <w:t>e</w:t>
            </w:r>
            <w:r w:rsidRPr="00843E4B">
              <w:rPr>
                <w:rFonts w:cs="Times New Roman"/>
                <w:sz w:val="22"/>
              </w:rPr>
              <w:t xml:space="preserve"> ± 44</w:t>
            </w:r>
          </w:p>
        </w:tc>
        <w:tc>
          <w:tcPr>
            <w:tcW w:w="1418" w:type="dxa"/>
          </w:tcPr>
          <w:p w14:paraId="30D7B182"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285</w:t>
            </w:r>
            <w:r w:rsidRPr="00843E4B">
              <w:rPr>
                <w:rFonts w:cs="Times New Roman"/>
                <w:sz w:val="22"/>
                <w:vertAlign w:val="superscript"/>
              </w:rPr>
              <w:t>c</w:t>
            </w:r>
            <w:r w:rsidRPr="00843E4B">
              <w:rPr>
                <w:rFonts w:cs="Times New Roman"/>
                <w:sz w:val="22"/>
              </w:rPr>
              <w:t xml:space="preserve"> ± 20</w:t>
            </w:r>
          </w:p>
        </w:tc>
        <w:tc>
          <w:tcPr>
            <w:tcW w:w="1701" w:type="dxa"/>
          </w:tcPr>
          <w:p w14:paraId="5DC1A06A"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NA</w:t>
            </w:r>
          </w:p>
        </w:tc>
        <w:tc>
          <w:tcPr>
            <w:tcW w:w="1417" w:type="dxa"/>
          </w:tcPr>
          <w:p w14:paraId="6833FAB1"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NA</w:t>
            </w:r>
          </w:p>
        </w:tc>
        <w:tc>
          <w:tcPr>
            <w:tcW w:w="1560" w:type="dxa"/>
          </w:tcPr>
          <w:p w14:paraId="2D253FA1" w14:textId="77777777" w:rsidR="0057038D" w:rsidRPr="00843E4B" w:rsidRDefault="0057038D" w:rsidP="00C86976">
            <w:pPr>
              <w:spacing w:after="0" w:line="240" w:lineRule="auto"/>
              <w:jc w:val="center"/>
              <w:rPr>
                <w:rFonts w:cs="Times New Roman"/>
                <w:sz w:val="22"/>
              </w:rPr>
            </w:pPr>
            <w:r w:rsidRPr="00843E4B">
              <w:rPr>
                <w:rFonts w:cs="Times New Roman"/>
                <w:sz w:val="22"/>
              </w:rPr>
              <w:t>NA</w:t>
            </w:r>
          </w:p>
        </w:tc>
        <w:tc>
          <w:tcPr>
            <w:tcW w:w="1765" w:type="dxa"/>
          </w:tcPr>
          <w:p w14:paraId="0906C97A" w14:textId="77777777" w:rsidR="0057038D" w:rsidRPr="00843E4B" w:rsidRDefault="0057038D" w:rsidP="00C86976">
            <w:pPr>
              <w:spacing w:after="0" w:line="240" w:lineRule="auto"/>
              <w:jc w:val="center"/>
              <w:rPr>
                <w:rFonts w:cs="Times New Roman"/>
                <w:sz w:val="22"/>
              </w:rPr>
            </w:pPr>
            <w:r w:rsidRPr="00843E4B">
              <w:rPr>
                <w:rFonts w:cs="Times New Roman"/>
                <w:sz w:val="22"/>
              </w:rPr>
              <w:t>NA</w:t>
            </w:r>
          </w:p>
        </w:tc>
      </w:tr>
      <w:tr w:rsidR="0057038D" w:rsidRPr="00A967D7" w14:paraId="0AE24A71" w14:textId="77777777" w:rsidTr="00C86976">
        <w:tc>
          <w:tcPr>
            <w:tcW w:w="3261" w:type="dxa"/>
          </w:tcPr>
          <w:p w14:paraId="1C67BACE" w14:textId="77777777" w:rsidR="0057038D" w:rsidRPr="00843E4B" w:rsidRDefault="0057038D" w:rsidP="002F7DBE">
            <w:pPr>
              <w:spacing w:after="0" w:line="240" w:lineRule="auto"/>
              <w:rPr>
                <w:rFonts w:cs="Times New Roman"/>
                <w:sz w:val="22"/>
              </w:rPr>
            </w:pPr>
            <w:r w:rsidRPr="00843E4B">
              <w:rPr>
                <w:rFonts w:cs="Times New Roman"/>
                <w:sz w:val="22"/>
              </w:rPr>
              <w:t>Moringa leaves (S)</w:t>
            </w:r>
            <w:r w:rsidRPr="00843E4B">
              <w:rPr>
                <w:rFonts w:cs="Times New Roman"/>
                <w:sz w:val="22"/>
                <w:vertAlign w:val="superscript"/>
              </w:rPr>
              <w:t>$</w:t>
            </w:r>
          </w:p>
        </w:tc>
        <w:tc>
          <w:tcPr>
            <w:tcW w:w="1608" w:type="dxa"/>
          </w:tcPr>
          <w:p w14:paraId="52762882"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114.4</w:t>
            </w:r>
            <w:r w:rsidRPr="00843E4B">
              <w:rPr>
                <w:rFonts w:cs="Times New Roman"/>
                <w:sz w:val="22"/>
                <w:vertAlign w:val="superscript"/>
              </w:rPr>
              <w:t>d</w:t>
            </w:r>
            <w:r w:rsidRPr="00843E4B">
              <w:rPr>
                <w:rFonts w:cs="Times New Roman"/>
                <w:sz w:val="22"/>
              </w:rPr>
              <w:t xml:space="preserve"> ± 1.0</w:t>
            </w:r>
          </w:p>
        </w:tc>
        <w:tc>
          <w:tcPr>
            <w:tcW w:w="992" w:type="dxa"/>
          </w:tcPr>
          <w:p w14:paraId="19FCDB7F"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2.62</w:t>
            </w:r>
            <w:r w:rsidRPr="00843E4B">
              <w:rPr>
                <w:rFonts w:cs="Times New Roman"/>
                <w:sz w:val="22"/>
                <w:vertAlign w:val="superscript"/>
              </w:rPr>
              <w:t>d</w:t>
            </w:r>
            <w:r w:rsidRPr="00843E4B">
              <w:rPr>
                <w:rFonts w:cs="Times New Roman"/>
                <w:sz w:val="22"/>
              </w:rPr>
              <w:t xml:space="preserve"> ± 0.03</w:t>
            </w:r>
          </w:p>
        </w:tc>
        <w:tc>
          <w:tcPr>
            <w:tcW w:w="1134" w:type="dxa"/>
          </w:tcPr>
          <w:p w14:paraId="147D4991"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3723</w:t>
            </w:r>
            <w:r w:rsidRPr="00843E4B">
              <w:rPr>
                <w:rFonts w:cs="Times New Roman"/>
                <w:sz w:val="22"/>
                <w:vertAlign w:val="superscript"/>
              </w:rPr>
              <w:t>e</w:t>
            </w:r>
            <w:r w:rsidRPr="00843E4B">
              <w:rPr>
                <w:rFonts w:cs="Times New Roman"/>
                <w:sz w:val="22"/>
              </w:rPr>
              <w:t xml:space="preserve"> ± 34</w:t>
            </w:r>
          </w:p>
        </w:tc>
        <w:tc>
          <w:tcPr>
            <w:tcW w:w="1417" w:type="dxa"/>
          </w:tcPr>
          <w:p w14:paraId="257BFC85"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702</w:t>
            </w:r>
            <w:r w:rsidRPr="00843E4B">
              <w:rPr>
                <w:rFonts w:cs="Times New Roman"/>
                <w:sz w:val="22"/>
                <w:vertAlign w:val="superscript"/>
              </w:rPr>
              <w:t>d</w:t>
            </w:r>
            <w:r w:rsidRPr="00843E4B">
              <w:rPr>
                <w:rFonts w:cs="Times New Roman"/>
                <w:sz w:val="22"/>
              </w:rPr>
              <w:t xml:space="preserve"> ± 3</w:t>
            </w:r>
          </w:p>
        </w:tc>
        <w:tc>
          <w:tcPr>
            <w:tcW w:w="1418" w:type="dxa"/>
          </w:tcPr>
          <w:p w14:paraId="209340AD"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386</w:t>
            </w:r>
            <w:r w:rsidRPr="00843E4B">
              <w:rPr>
                <w:rFonts w:cs="Times New Roman"/>
                <w:sz w:val="22"/>
                <w:vertAlign w:val="superscript"/>
              </w:rPr>
              <w:t>e</w:t>
            </w:r>
            <w:r w:rsidRPr="00843E4B">
              <w:rPr>
                <w:rFonts w:cs="Times New Roman"/>
                <w:sz w:val="22"/>
              </w:rPr>
              <w:t xml:space="preserve"> ± 2</w:t>
            </w:r>
          </w:p>
        </w:tc>
        <w:tc>
          <w:tcPr>
            <w:tcW w:w="1701" w:type="dxa"/>
          </w:tcPr>
          <w:p w14:paraId="4C24F5D4"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NA</w:t>
            </w:r>
          </w:p>
        </w:tc>
        <w:tc>
          <w:tcPr>
            <w:tcW w:w="1417" w:type="dxa"/>
          </w:tcPr>
          <w:p w14:paraId="40F79CB5"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NA</w:t>
            </w:r>
          </w:p>
        </w:tc>
        <w:tc>
          <w:tcPr>
            <w:tcW w:w="1560" w:type="dxa"/>
          </w:tcPr>
          <w:p w14:paraId="7643ABA9" w14:textId="77777777" w:rsidR="0057038D" w:rsidRPr="00843E4B" w:rsidRDefault="0057038D" w:rsidP="00C86976">
            <w:pPr>
              <w:spacing w:after="0" w:line="240" w:lineRule="auto"/>
              <w:jc w:val="center"/>
              <w:rPr>
                <w:rFonts w:cs="Times New Roman"/>
                <w:sz w:val="22"/>
              </w:rPr>
            </w:pPr>
            <w:r w:rsidRPr="00843E4B">
              <w:rPr>
                <w:rFonts w:cs="Times New Roman"/>
                <w:sz w:val="22"/>
              </w:rPr>
              <w:t>NA</w:t>
            </w:r>
          </w:p>
        </w:tc>
        <w:tc>
          <w:tcPr>
            <w:tcW w:w="1765" w:type="dxa"/>
          </w:tcPr>
          <w:p w14:paraId="1D1D5F6B" w14:textId="77777777" w:rsidR="0057038D" w:rsidRPr="00843E4B" w:rsidRDefault="0057038D" w:rsidP="00C86976">
            <w:pPr>
              <w:spacing w:after="0" w:line="240" w:lineRule="auto"/>
              <w:jc w:val="center"/>
              <w:rPr>
                <w:rFonts w:cs="Times New Roman"/>
                <w:sz w:val="22"/>
              </w:rPr>
            </w:pPr>
            <w:r w:rsidRPr="00843E4B">
              <w:rPr>
                <w:rFonts w:cs="Times New Roman"/>
                <w:sz w:val="22"/>
              </w:rPr>
              <w:t>NA</w:t>
            </w:r>
          </w:p>
        </w:tc>
      </w:tr>
      <w:tr w:rsidR="0057038D" w:rsidRPr="00A967D7" w14:paraId="6AE6092B" w14:textId="77777777" w:rsidTr="00C86976">
        <w:tc>
          <w:tcPr>
            <w:tcW w:w="3261" w:type="dxa"/>
          </w:tcPr>
          <w:p w14:paraId="264E77DE" w14:textId="77777777" w:rsidR="0057038D" w:rsidRPr="00843E4B" w:rsidRDefault="0057038D" w:rsidP="002F7DBE">
            <w:pPr>
              <w:spacing w:after="0" w:line="240" w:lineRule="auto"/>
              <w:rPr>
                <w:rFonts w:cs="Times New Roman"/>
                <w:sz w:val="22"/>
              </w:rPr>
            </w:pPr>
            <w:r w:rsidRPr="00843E4B">
              <w:rPr>
                <w:rFonts w:cs="Times New Roman"/>
                <w:sz w:val="22"/>
              </w:rPr>
              <w:t>Carrot</w:t>
            </w:r>
          </w:p>
        </w:tc>
        <w:tc>
          <w:tcPr>
            <w:tcW w:w="1608" w:type="dxa"/>
          </w:tcPr>
          <w:p w14:paraId="2B593693"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5.3</w:t>
            </w:r>
            <w:r w:rsidRPr="00843E4B">
              <w:rPr>
                <w:rFonts w:cs="Times New Roman"/>
                <w:sz w:val="22"/>
                <w:vertAlign w:val="superscript"/>
              </w:rPr>
              <w:t>b</w:t>
            </w:r>
            <w:r w:rsidRPr="00843E4B">
              <w:rPr>
                <w:rFonts w:cs="Times New Roman"/>
                <w:sz w:val="22"/>
              </w:rPr>
              <w:t xml:space="preserve"> ± 0.1</w:t>
            </w:r>
          </w:p>
        </w:tc>
        <w:tc>
          <w:tcPr>
            <w:tcW w:w="992" w:type="dxa"/>
          </w:tcPr>
          <w:p w14:paraId="188F5E5A"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2.78</w:t>
            </w:r>
            <w:r w:rsidRPr="00843E4B">
              <w:rPr>
                <w:rFonts w:cs="Times New Roman"/>
                <w:sz w:val="22"/>
                <w:vertAlign w:val="superscript"/>
              </w:rPr>
              <w:t>d</w:t>
            </w:r>
            <w:r w:rsidRPr="00843E4B">
              <w:rPr>
                <w:rFonts w:cs="Times New Roman"/>
                <w:sz w:val="22"/>
              </w:rPr>
              <w:t xml:space="preserve"> ± 0.01</w:t>
            </w:r>
          </w:p>
        </w:tc>
        <w:tc>
          <w:tcPr>
            <w:tcW w:w="1134" w:type="dxa"/>
          </w:tcPr>
          <w:p w14:paraId="4F2357F8"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167</w:t>
            </w:r>
            <w:r w:rsidRPr="00843E4B">
              <w:rPr>
                <w:rFonts w:cs="Times New Roman"/>
                <w:sz w:val="22"/>
                <w:vertAlign w:val="superscript"/>
              </w:rPr>
              <w:t>b</w:t>
            </w:r>
            <w:r w:rsidRPr="00843E4B">
              <w:rPr>
                <w:rFonts w:cs="Times New Roman"/>
                <w:sz w:val="22"/>
              </w:rPr>
              <w:t xml:space="preserve"> ± 2</w:t>
            </w:r>
          </w:p>
        </w:tc>
        <w:tc>
          <w:tcPr>
            <w:tcW w:w="1417" w:type="dxa"/>
          </w:tcPr>
          <w:p w14:paraId="19F2A48E"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97</w:t>
            </w:r>
            <w:r w:rsidRPr="00843E4B">
              <w:rPr>
                <w:rFonts w:cs="Times New Roman"/>
                <w:sz w:val="22"/>
                <w:vertAlign w:val="superscript"/>
              </w:rPr>
              <w:t>b</w:t>
            </w:r>
            <w:r w:rsidRPr="00843E4B">
              <w:rPr>
                <w:rFonts w:cs="Times New Roman"/>
                <w:sz w:val="22"/>
              </w:rPr>
              <w:t xml:space="preserve"> ± 1</w:t>
            </w:r>
          </w:p>
        </w:tc>
        <w:tc>
          <w:tcPr>
            <w:tcW w:w="1418" w:type="dxa"/>
          </w:tcPr>
          <w:p w14:paraId="0C9F9ECD"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241</w:t>
            </w:r>
            <w:r w:rsidRPr="00843E4B">
              <w:rPr>
                <w:rFonts w:cs="Times New Roman"/>
                <w:sz w:val="22"/>
                <w:vertAlign w:val="superscript"/>
              </w:rPr>
              <w:t>b</w:t>
            </w:r>
            <w:r w:rsidRPr="00843E4B">
              <w:rPr>
                <w:rFonts w:cs="Times New Roman"/>
                <w:sz w:val="22"/>
              </w:rPr>
              <w:t xml:space="preserve"> ± 2</w:t>
            </w:r>
          </w:p>
        </w:tc>
        <w:tc>
          <w:tcPr>
            <w:tcW w:w="1701" w:type="dxa"/>
          </w:tcPr>
          <w:p w14:paraId="629BCF53"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NA</w:t>
            </w:r>
          </w:p>
        </w:tc>
        <w:tc>
          <w:tcPr>
            <w:tcW w:w="1417" w:type="dxa"/>
          </w:tcPr>
          <w:p w14:paraId="0E6D8D7B"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NA</w:t>
            </w:r>
          </w:p>
        </w:tc>
        <w:tc>
          <w:tcPr>
            <w:tcW w:w="1560" w:type="dxa"/>
          </w:tcPr>
          <w:p w14:paraId="1BD9517F" w14:textId="77777777" w:rsidR="0057038D" w:rsidRPr="00843E4B" w:rsidRDefault="0057038D" w:rsidP="00C86976">
            <w:pPr>
              <w:spacing w:after="0" w:line="240" w:lineRule="auto"/>
              <w:jc w:val="center"/>
              <w:rPr>
                <w:rFonts w:cs="Times New Roman"/>
                <w:sz w:val="22"/>
              </w:rPr>
            </w:pPr>
            <w:r w:rsidRPr="00843E4B">
              <w:rPr>
                <w:rFonts w:cs="Times New Roman"/>
                <w:sz w:val="22"/>
              </w:rPr>
              <w:t>NA</w:t>
            </w:r>
          </w:p>
        </w:tc>
        <w:tc>
          <w:tcPr>
            <w:tcW w:w="1765" w:type="dxa"/>
          </w:tcPr>
          <w:p w14:paraId="7B18363F" w14:textId="77777777" w:rsidR="0057038D" w:rsidRPr="00843E4B" w:rsidRDefault="0057038D" w:rsidP="00C86976">
            <w:pPr>
              <w:spacing w:after="0" w:line="240" w:lineRule="auto"/>
              <w:jc w:val="center"/>
              <w:rPr>
                <w:rFonts w:cs="Times New Roman"/>
                <w:sz w:val="22"/>
              </w:rPr>
            </w:pPr>
            <w:r w:rsidRPr="00843E4B">
              <w:rPr>
                <w:rFonts w:cs="Times New Roman"/>
                <w:sz w:val="22"/>
              </w:rPr>
              <w:t>NA</w:t>
            </w:r>
          </w:p>
        </w:tc>
      </w:tr>
      <w:tr w:rsidR="0057038D" w:rsidRPr="00A967D7" w14:paraId="36A8A4FA" w14:textId="77777777" w:rsidTr="00C86976">
        <w:tc>
          <w:tcPr>
            <w:tcW w:w="3261" w:type="dxa"/>
          </w:tcPr>
          <w:p w14:paraId="15FAA13F" w14:textId="77777777" w:rsidR="0057038D" w:rsidRPr="00843E4B" w:rsidRDefault="0057038D" w:rsidP="002F7DBE">
            <w:pPr>
              <w:spacing w:after="0" w:line="240" w:lineRule="auto"/>
              <w:rPr>
                <w:rFonts w:cs="Times New Roman"/>
                <w:sz w:val="22"/>
              </w:rPr>
            </w:pPr>
            <w:r w:rsidRPr="00843E4B">
              <w:rPr>
                <w:rFonts w:cs="Times New Roman"/>
                <w:sz w:val="22"/>
              </w:rPr>
              <w:t>Mango</w:t>
            </w:r>
          </w:p>
        </w:tc>
        <w:tc>
          <w:tcPr>
            <w:tcW w:w="1608" w:type="dxa"/>
          </w:tcPr>
          <w:p w14:paraId="4B08B3A5"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1.9</w:t>
            </w:r>
            <w:r w:rsidRPr="00843E4B">
              <w:rPr>
                <w:rFonts w:cs="Times New Roman"/>
                <w:sz w:val="22"/>
                <w:vertAlign w:val="superscript"/>
              </w:rPr>
              <w:t>a</w:t>
            </w:r>
            <w:r w:rsidRPr="00843E4B">
              <w:rPr>
                <w:rFonts w:cs="Times New Roman"/>
                <w:sz w:val="22"/>
              </w:rPr>
              <w:t xml:space="preserve"> ± 0.1</w:t>
            </w:r>
          </w:p>
        </w:tc>
        <w:tc>
          <w:tcPr>
            <w:tcW w:w="992" w:type="dxa"/>
          </w:tcPr>
          <w:p w14:paraId="27E09EE7"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0.35</w:t>
            </w:r>
            <w:r w:rsidRPr="00843E4B">
              <w:rPr>
                <w:rFonts w:cs="Times New Roman"/>
                <w:sz w:val="22"/>
                <w:vertAlign w:val="superscript"/>
              </w:rPr>
              <w:t>a</w:t>
            </w:r>
            <w:r w:rsidRPr="00843E4B">
              <w:rPr>
                <w:rFonts w:cs="Times New Roman"/>
                <w:sz w:val="22"/>
              </w:rPr>
              <w:t xml:space="preserve"> ± 0.01</w:t>
            </w:r>
          </w:p>
        </w:tc>
        <w:tc>
          <w:tcPr>
            <w:tcW w:w="1134" w:type="dxa"/>
          </w:tcPr>
          <w:p w14:paraId="6F3CD536"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61</w:t>
            </w:r>
            <w:r w:rsidRPr="00843E4B">
              <w:rPr>
                <w:rFonts w:cs="Times New Roman"/>
                <w:sz w:val="22"/>
                <w:vertAlign w:val="superscript"/>
              </w:rPr>
              <w:t>a</w:t>
            </w:r>
            <w:r w:rsidRPr="00843E4B">
              <w:rPr>
                <w:rFonts w:cs="Times New Roman"/>
                <w:sz w:val="22"/>
              </w:rPr>
              <w:t xml:space="preserve"> ± 2</w:t>
            </w:r>
          </w:p>
        </w:tc>
        <w:tc>
          <w:tcPr>
            <w:tcW w:w="1417" w:type="dxa"/>
          </w:tcPr>
          <w:p w14:paraId="0BCC7BE5"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51</w:t>
            </w:r>
            <w:r w:rsidRPr="00843E4B">
              <w:rPr>
                <w:rFonts w:cs="Times New Roman"/>
                <w:sz w:val="22"/>
                <w:vertAlign w:val="superscript"/>
              </w:rPr>
              <w:t>a</w:t>
            </w:r>
            <w:r w:rsidRPr="00843E4B">
              <w:rPr>
                <w:rFonts w:cs="Times New Roman"/>
                <w:sz w:val="22"/>
              </w:rPr>
              <w:t xml:space="preserve"> ± 2</w:t>
            </w:r>
          </w:p>
        </w:tc>
        <w:tc>
          <w:tcPr>
            <w:tcW w:w="1418" w:type="dxa"/>
          </w:tcPr>
          <w:p w14:paraId="3EB9BCA9"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358</w:t>
            </w:r>
            <w:r w:rsidRPr="00843E4B">
              <w:rPr>
                <w:rFonts w:cs="Times New Roman"/>
                <w:sz w:val="22"/>
                <w:vertAlign w:val="superscript"/>
              </w:rPr>
              <w:t>d</w:t>
            </w:r>
            <w:r w:rsidRPr="00843E4B">
              <w:rPr>
                <w:rFonts w:cs="Times New Roman"/>
                <w:sz w:val="22"/>
              </w:rPr>
              <w:t xml:space="preserve"> ± 12</w:t>
            </w:r>
          </w:p>
        </w:tc>
        <w:tc>
          <w:tcPr>
            <w:tcW w:w="1701" w:type="dxa"/>
          </w:tcPr>
          <w:p w14:paraId="76876945"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NA</w:t>
            </w:r>
          </w:p>
        </w:tc>
        <w:tc>
          <w:tcPr>
            <w:tcW w:w="1417" w:type="dxa"/>
          </w:tcPr>
          <w:p w14:paraId="43DE8004" w14:textId="77777777" w:rsidR="0057038D" w:rsidRPr="00843E4B" w:rsidRDefault="0057038D" w:rsidP="00C86976">
            <w:pPr>
              <w:spacing w:after="0" w:line="240" w:lineRule="auto"/>
              <w:jc w:val="center"/>
              <w:rPr>
                <w:rFonts w:cs="Times New Roman"/>
                <w:sz w:val="22"/>
                <w:lang w:val="en-ZA"/>
              </w:rPr>
            </w:pPr>
            <w:r w:rsidRPr="00843E4B">
              <w:rPr>
                <w:rFonts w:cs="Times New Roman"/>
                <w:sz w:val="22"/>
              </w:rPr>
              <w:t>NA</w:t>
            </w:r>
          </w:p>
        </w:tc>
        <w:tc>
          <w:tcPr>
            <w:tcW w:w="1560" w:type="dxa"/>
          </w:tcPr>
          <w:p w14:paraId="49E1EE59" w14:textId="77777777" w:rsidR="0057038D" w:rsidRPr="00843E4B" w:rsidRDefault="0057038D" w:rsidP="00C86976">
            <w:pPr>
              <w:spacing w:after="0" w:line="240" w:lineRule="auto"/>
              <w:jc w:val="center"/>
              <w:rPr>
                <w:rFonts w:cs="Times New Roman"/>
                <w:sz w:val="22"/>
              </w:rPr>
            </w:pPr>
            <w:r w:rsidRPr="00843E4B">
              <w:rPr>
                <w:rFonts w:cs="Times New Roman"/>
                <w:sz w:val="22"/>
              </w:rPr>
              <w:t>NA</w:t>
            </w:r>
          </w:p>
        </w:tc>
        <w:tc>
          <w:tcPr>
            <w:tcW w:w="1765" w:type="dxa"/>
          </w:tcPr>
          <w:p w14:paraId="7B819E73" w14:textId="77777777" w:rsidR="0057038D" w:rsidRPr="00843E4B" w:rsidRDefault="0057038D" w:rsidP="00C86976">
            <w:pPr>
              <w:spacing w:after="0" w:line="240" w:lineRule="auto"/>
              <w:jc w:val="center"/>
              <w:rPr>
                <w:rFonts w:cs="Times New Roman"/>
                <w:sz w:val="22"/>
              </w:rPr>
            </w:pPr>
            <w:r w:rsidRPr="00843E4B">
              <w:rPr>
                <w:rFonts w:cs="Times New Roman"/>
                <w:sz w:val="22"/>
              </w:rPr>
              <w:t>NA</w:t>
            </w:r>
          </w:p>
        </w:tc>
      </w:tr>
      <w:tr w:rsidR="0057038D" w:rsidRPr="00A967D7" w14:paraId="3C1A7572" w14:textId="77777777" w:rsidTr="00C86976">
        <w:tc>
          <w:tcPr>
            <w:tcW w:w="16273" w:type="dxa"/>
            <w:gridSpan w:val="10"/>
          </w:tcPr>
          <w:p w14:paraId="7ECDE6C1" w14:textId="77777777" w:rsidR="0057038D" w:rsidRPr="00843E4B" w:rsidRDefault="0057038D" w:rsidP="002F7DBE">
            <w:pPr>
              <w:spacing w:after="0" w:line="240" w:lineRule="auto"/>
              <w:jc w:val="center"/>
              <w:rPr>
                <w:rFonts w:cs="Times New Roman"/>
                <w:b/>
                <w:bCs/>
                <w:sz w:val="22"/>
              </w:rPr>
            </w:pPr>
            <w:r w:rsidRPr="00843E4B">
              <w:rPr>
                <w:rFonts w:cs="Times New Roman"/>
                <w:b/>
                <w:bCs/>
                <w:sz w:val="22"/>
              </w:rPr>
              <w:t>Experiment 1 (Simple porridges)</w:t>
            </w:r>
          </w:p>
        </w:tc>
      </w:tr>
      <w:tr w:rsidR="0057038D" w:rsidRPr="00A967D7" w14:paraId="6A804051" w14:textId="77777777" w:rsidTr="00C86976">
        <w:tc>
          <w:tcPr>
            <w:tcW w:w="16273" w:type="dxa"/>
            <w:gridSpan w:val="10"/>
          </w:tcPr>
          <w:p w14:paraId="5E186FA7" w14:textId="72466109" w:rsidR="0057038D" w:rsidRPr="00843E4B" w:rsidRDefault="0057038D" w:rsidP="002F7DBE">
            <w:pPr>
              <w:spacing w:after="0" w:line="240" w:lineRule="auto"/>
              <w:rPr>
                <w:rFonts w:cs="Times New Roman"/>
                <w:b/>
                <w:bCs/>
                <w:sz w:val="22"/>
              </w:rPr>
            </w:pPr>
            <w:r w:rsidRPr="00843E4B">
              <w:rPr>
                <w:rFonts w:cs="Times New Roman"/>
                <w:b/>
                <w:bCs/>
                <w:sz w:val="22"/>
              </w:rPr>
              <w:t>Porridge formulations</w:t>
            </w:r>
            <w:r w:rsidR="00D96E5B" w:rsidRPr="008B49F4">
              <w:rPr>
                <w:rFonts w:cs="Times New Roman"/>
                <w:b/>
                <w:bCs/>
                <w:sz w:val="22"/>
                <w:vertAlign w:val="superscript"/>
              </w:rPr>
              <w:t>*</w:t>
            </w:r>
          </w:p>
        </w:tc>
      </w:tr>
      <w:tr w:rsidR="00C35ECE" w:rsidRPr="00A967D7" w14:paraId="3CCCC5CC" w14:textId="77777777" w:rsidTr="00C86976">
        <w:tc>
          <w:tcPr>
            <w:tcW w:w="3261" w:type="dxa"/>
          </w:tcPr>
          <w:p w14:paraId="656A4610" w14:textId="46A9A2DB" w:rsidR="00C35ECE" w:rsidRPr="00843E4B" w:rsidRDefault="00C35ECE" w:rsidP="00C35ECE">
            <w:pPr>
              <w:spacing w:after="0" w:line="240" w:lineRule="auto"/>
              <w:rPr>
                <w:rFonts w:cs="Times New Roman"/>
                <w:sz w:val="22"/>
              </w:rPr>
            </w:pPr>
            <w:r>
              <w:rPr>
                <w:rFonts w:cs="Times New Roman"/>
                <w:sz w:val="22"/>
              </w:rPr>
              <w:t>M</w:t>
            </w:r>
            <w:r w:rsidRPr="00843E4B">
              <w:rPr>
                <w:rFonts w:cs="Times New Roman"/>
                <w:sz w:val="22"/>
              </w:rPr>
              <w:t>aize</w:t>
            </w:r>
            <w:r>
              <w:rPr>
                <w:rFonts w:cs="Times New Roman"/>
                <w:sz w:val="22"/>
              </w:rPr>
              <w:t xml:space="preserve"> (Control)</w:t>
            </w:r>
          </w:p>
        </w:tc>
        <w:tc>
          <w:tcPr>
            <w:tcW w:w="1608" w:type="dxa"/>
          </w:tcPr>
          <w:p w14:paraId="390EB4B2" w14:textId="1E76119A" w:rsidR="00C35ECE" w:rsidRPr="00843E4B" w:rsidRDefault="00C35ECE" w:rsidP="00C35ECE">
            <w:pPr>
              <w:spacing w:after="0" w:line="240" w:lineRule="auto"/>
              <w:jc w:val="center"/>
              <w:rPr>
                <w:rFonts w:cs="Times New Roman"/>
                <w:sz w:val="22"/>
              </w:rPr>
            </w:pPr>
            <w:r w:rsidRPr="00843E4B">
              <w:rPr>
                <w:rFonts w:cs="Times New Roman"/>
                <w:sz w:val="22"/>
              </w:rPr>
              <w:t>2.0</w:t>
            </w:r>
          </w:p>
        </w:tc>
        <w:tc>
          <w:tcPr>
            <w:tcW w:w="992" w:type="dxa"/>
          </w:tcPr>
          <w:p w14:paraId="0436E530" w14:textId="09A33A2D" w:rsidR="00C35ECE" w:rsidRPr="00843E4B" w:rsidRDefault="00C35ECE" w:rsidP="00C35ECE">
            <w:pPr>
              <w:spacing w:after="0" w:line="240" w:lineRule="auto"/>
              <w:jc w:val="center"/>
              <w:rPr>
                <w:rFonts w:cs="Times New Roman"/>
                <w:sz w:val="22"/>
              </w:rPr>
            </w:pPr>
            <w:r w:rsidRPr="00843E4B">
              <w:rPr>
                <w:rFonts w:cs="Times New Roman"/>
                <w:sz w:val="22"/>
              </w:rPr>
              <w:t>1.89</w:t>
            </w:r>
          </w:p>
        </w:tc>
        <w:tc>
          <w:tcPr>
            <w:tcW w:w="1134" w:type="dxa"/>
          </w:tcPr>
          <w:p w14:paraId="490311B8" w14:textId="75AAE292" w:rsidR="00C35ECE" w:rsidRPr="00843E4B" w:rsidRDefault="00C35ECE" w:rsidP="00C35ECE">
            <w:pPr>
              <w:spacing w:after="0" w:line="240" w:lineRule="auto"/>
              <w:jc w:val="center"/>
              <w:rPr>
                <w:rFonts w:cs="Times New Roman"/>
                <w:sz w:val="22"/>
              </w:rPr>
            </w:pPr>
            <w:r w:rsidRPr="00843E4B">
              <w:rPr>
                <w:rFonts w:cs="Times New Roman"/>
                <w:sz w:val="22"/>
              </w:rPr>
              <w:t>5</w:t>
            </w:r>
          </w:p>
        </w:tc>
        <w:tc>
          <w:tcPr>
            <w:tcW w:w="1417" w:type="dxa"/>
          </w:tcPr>
          <w:p w14:paraId="15CB8AED" w14:textId="52CE5021" w:rsidR="00C35ECE" w:rsidRPr="00843E4B" w:rsidRDefault="00C35ECE" w:rsidP="00C35ECE">
            <w:pPr>
              <w:spacing w:after="0" w:line="240" w:lineRule="auto"/>
              <w:jc w:val="center"/>
              <w:rPr>
                <w:rFonts w:cs="Times New Roman"/>
                <w:sz w:val="22"/>
              </w:rPr>
            </w:pPr>
            <w:r w:rsidRPr="00843E4B">
              <w:rPr>
                <w:rFonts w:cs="Times New Roman"/>
                <w:sz w:val="22"/>
              </w:rPr>
              <w:t>118</w:t>
            </w:r>
          </w:p>
        </w:tc>
        <w:tc>
          <w:tcPr>
            <w:tcW w:w="1418" w:type="dxa"/>
          </w:tcPr>
          <w:p w14:paraId="3C9D59B9" w14:textId="3AA080F3" w:rsidR="00C35ECE" w:rsidRPr="00843E4B" w:rsidRDefault="00C35ECE" w:rsidP="00C35ECE">
            <w:pPr>
              <w:spacing w:after="0" w:line="240" w:lineRule="auto"/>
              <w:jc w:val="center"/>
              <w:rPr>
                <w:rFonts w:cs="Times New Roman"/>
                <w:sz w:val="22"/>
              </w:rPr>
            </w:pPr>
            <w:r w:rsidRPr="00843E4B">
              <w:rPr>
                <w:rFonts w:cs="Times New Roman"/>
                <w:sz w:val="22"/>
              </w:rPr>
              <w:t>287</w:t>
            </w:r>
          </w:p>
        </w:tc>
        <w:tc>
          <w:tcPr>
            <w:tcW w:w="1701" w:type="dxa"/>
          </w:tcPr>
          <w:p w14:paraId="7B87EDD0" w14:textId="57B6988C" w:rsidR="00C35ECE" w:rsidRPr="00843E4B" w:rsidRDefault="00C35ECE" w:rsidP="00C35ECE">
            <w:pPr>
              <w:spacing w:after="0" w:line="240" w:lineRule="auto"/>
              <w:jc w:val="center"/>
              <w:rPr>
                <w:rFonts w:cs="Times New Roman"/>
                <w:sz w:val="22"/>
              </w:rPr>
            </w:pPr>
            <w:r w:rsidRPr="00843E4B">
              <w:rPr>
                <w:rFonts w:cs="Times New Roman"/>
                <w:sz w:val="22"/>
              </w:rPr>
              <w:t>3.5</w:t>
            </w:r>
          </w:p>
        </w:tc>
        <w:tc>
          <w:tcPr>
            <w:tcW w:w="1417" w:type="dxa"/>
          </w:tcPr>
          <w:p w14:paraId="28BB3C13" w14:textId="13072654" w:rsidR="00C35ECE" w:rsidRPr="00843E4B" w:rsidRDefault="00C35ECE" w:rsidP="00C35ECE">
            <w:pPr>
              <w:spacing w:after="0" w:line="240" w:lineRule="auto"/>
              <w:jc w:val="center"/>
              <w:rPr>
                <w:rFonts w:cs="Times New Roman"/>
                <w:sz w:val="22"/>
              </w:rPr>
            </w:pPr>
            <w:r w:rsidRPr="00843E4B">
              <w:rPr>
                <w:rFonts w:cs="Times New Roman"/>
                <w:sz w:val="22"/>
              </w:rPr>
              <w:t>19.3</w:t>
            </w:r>
          </w:p>
        </w:tc>
        <w:tc>
          <w:tcPr>
            <w:tcW w:w="1560" w:type="dxa"/>
          </w:tcPr>
          <w:p w14:paraId="31FC73F4" w14:textId="14561479" w:rsidR="00C35ECE" w:rsidRPr="00843E4B" w:rsidRDefault="00C35ECE" w:rsidP="00C35ECE">
            <w:pPr>
              <w:spacing w:after="0" w:line="240" w:lineRule="auto"/>
              <w:jc w:val="center"/>
              <w:rPr>
                <w:rFonts w:cs="Times New Roman"/>
                <w:sz w:val="22"/>
              </w:rPr>
            </w:pPr>
            <w:r w:rsidRPr="00843E4B">
              <w:rPr>
                <w:rFonts w:cs="Times New Roman"/>
                <w:sz w:val="22"/>
              </w:rPr>
              <w:t>0.5</w:t>
            </w:r>
          </w:p>
        </w:tc>
        <w:tc>
          <w:tcPr>
            <w:tcW w:w="1765" w:type="dxa"/>
          </w:tcPr>
          <w:p w14:paraId="3CF92352" w14:textId="455C2306" w:rsidR="00C35ECE" w:rsidRPr="00843E4B" w:rsidRDefault="00C35ECE" w:rsidP="00C35ECE">
            <w:pPr>
              <w:spacing w:after="0" w:line="240" w:lineRule="auto"/>
              <w:jc w:val="center"/>
              <w:rPr>
                <w:rFonts w:cs="Times New Roman"/>
                <w:sz w:val="22"/>
              </w:rPr>
            </w:pPr>
            <w:r w:rsidRPr="00843E4B">
              <w:rPr>
                <w:rFonts w:cs="Times New Roman"/>
                <w:sz w:val="22"/>
              </w:rPr>
              <w:t>53.5</w:t>
            </w:r>
          </w:p>
        </w:tc>
      </w:tr>
      <w:tr w:rsidR="00C35ECE" w:rsidRPr="00A967D7" w14:paraId="580AD69D" w14:textId="77777777" w:rsidTr="00C86976">
        <w:tc>
          <w:tcPr>
            <w:tcW w:w="3261" w:type="dxa"/>
          </w:tcPr>
          <w:p w14:paraId="55305DC8" w14:textId="77777777" w:rsidR="00C35ECE" w:rsidRPr="00843E4B" w:rsidRDefault="00C35ECE" w:rsidP="00C35ECE">
            <w:pPr>
              <w:spacing w:after="0" w:line="240" w:lineRule="auto"/>
              <w:rPr>
                <w:rFonts w:cs="Times New Roman"/>
                <w:sz w:val="22"/>
              </w:rPr>
            </w:pPr>
            <w:r w:rsidRPr="00843E4B">
              <w:rPr>
                <w:rFonts w:cs="Times New Roman"/>
                <w:sz w:val="22"/>
              </w:rPr>
              <w:t>Maize+baobab (100:15)</w:t>
            </w:r>
          </w:p>
        </w:tc>
        <w:tc>
          <w:tcPr>
            <w:tcW w:w="1608" w:type="dxa"/>
          </w:tcPr>
          <w:p w14:paraId="3B8AB340"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2.0</w:t>
            </w:r>
          </w:p>
        </w:tc>
        <w:tc>
          <w:tcPr>
            <w:tcW w:w="992" w:type="dxa"/>
          </w:tcPr>
          <w:p w14:paraId="530B5FD0"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1.77</w:t>
            </w:r>
          </w:p>
        </w:tc>
        <w:tc>
          <w:tcPr>
            <w:tcW w:w="1134" w:type="dxa"/>
          </w:tcPr>
          <w:p w14:paraId="766785ED"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52</w:t>
            </w:r>
          </w:p>
        </w:tc>
        <w:tc>
          <w:tcPr>
            <w:tcW w:w="1417" w:type="dxa"/>
          </w:tcPr>
          <w:p w14:paraId="7C89CD5B"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132</w:t>
            </w:r>
          </w:p>
        </w:tc>
        <w:tc>
          <w:tcPr>
            <w:tcW w:w="1418" w:type="dxa"/>
          </w:tcPr>
          <w:p w14:paraId="4D980A6D"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257</w:t>
            </w:r>
          </w:p>
        </w:tc>
        <w:tc>
          <w:tcPr>
            <w:tcW w:w="1701" w:type="dxa"/>
          </w:tcPr>
          <w:p w14:paraId="5CD4E6DD"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3.4</w:t>
            </w:r>
          </w:p>
        </w:tc>
        <w:tc>
          <w:tcPr>
            <w:tcW w:w="1417" w:type="dxa"/>
          </w:tcPr>
          <w:p w14:paraId="6EA9A25F"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18.1</w:t>
            </w:r>
          </w:p>
        </w:tc>
        <w:tc>
          <w:tcPr>
            <w:tcW w:w="1560" w:type="dxa"/>
          </w:tcPr>
          <w:p w14:paraId="7CC6FA8A" w14:textId="77777777" w:rsidR="00C35ECE" w:rsidRPr="00843E4B" w:rsidRDefault="00C35ECE" w:rsidP="00C35ECE">
            <w:pPr>
              <w:spacing w:after="0" w:line="240" w:lineRule="auto"/>
              <w:jc w:val="center"/>
              <w:rPr>
                <w:rFonts w:cs="Times New Roman"/>
                <w:sz w:val="22"/>
              </w:rPr>
            </w:pPr>
            <w:r w:rsidRPr="00843E4B">
              <w:rPr>
                <w:rFonts w:cs="Times New Roman"/>
                <w:sz w:val="22"/>
              </w:rPr>
              <w:t>5.2</w:t>
            </w:r>
          </w:p>
        </w:tc>
        <w:tc>
          <w:tcPr>
            <w:tcW w:w="1765" w:type="dxa"/>
          </w:tcPr>
          <w:p w14:paraId="78866CDA" w14:textId="77777777" w:rsidR="00C35ECE" w:rsidRPr="00843E4B" w:rsidRDefault="00C35ECE" w:rsidP="00C35ECE">
            <w:pPr>
              <w:spacing w:after="0" w:line="240" w:lineRule="auto"/>
              <w:jc w:val="center"/>
              <w:rPr>
                <w:rFonts w:cs="Times New Roman"/>
                <w:sz w:val="22"/>
              </w:rPr>
            </w:pPr>
            <w:r w:rsidRPr="00843E4B">
              <w:rPr>
                <w:rFonts w:cs="Times New Roman"/>
                <w:sz w:val="22"/>
              </w:rPr>
              <w:t>60.4</w:t>
            </w:r>
          </w:p>
        </w:tc>
      </w:tr>
      <w:tr w:rsidR="00C35ECE" w:rsidRPr="00A967D7" w14:paraId="4804A908" w14:textId="77777777" w:rsidTr="00C86976">
        <w:tc>
          <w:tcPr>
            <w:tcW w:w="3261" w:type="dxa"/>
          </w:tcPr>
          <w:p w14:paraId="32D822C6" w14:textId="77777777" w:rsidR="00C35ECE" w:rsidRPr="00843E4B" w:rsidRDefault="00C35ECE" w:rsidP="00C35ECE">
            <w:pPr>
              <w:spacing w:after="0" w:line="240" w:lineRule="auto"/>
              <w:rPr>
                <w:rFonts w:cs="Times New Roman"/>
                <w:sz w:val="22"/>
              </w:rPr>
            </w:pPr>
            <w:r w:rsidRPr="00843E4B">
              <w:rPr>
                <w:rFonts w:cs="Times New Roman"/>
                <w:sz w:val="22"/>
              </w:rPr>
              <w:t>Maize+moringa (M) (100:15)</w:t>
            </w:r>
          </w:p>
        </w:tc>
        <w:tc>
          <w:tcPr>
            <w:tcW w:w="1608" w:type="dxa"/>
          </w:tcPr>
          <w:p w14:paraId="28BAC253"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6.2</w:t>
            </w:r>
          </w:p>
        </w:tc>
        <w:tc>
          <w:tcPr>
            <w:tcW w:w="992" w:type="dxa"/>
          </w:tcPr>
          <w:p w14:paraId="1FBDAD11"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2.05</w:t>
            </w:r>
          </w:p>
        </w:tc>
        <w:tc>
          <w:tcPr>
            <w:tcW w:w="1134" w:type="dxa"/>
          </w:tcPr>
          <w:p w14:paraId="4AA52085"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309</w:t>
            </w:r>
          </w:p>
        </w:tc>
        <w:tc>
          <w:tcPr>
            <w:tcW w:w="1417" w:type="dxa"/>
          </w:tcPr>
          <w:p w14:paraId="3BDD62C3"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208</w:t>
            </w:r>
          </w:p>
        </w:tc>
        <w:tc>
          <w:tcPr>
            <w:tcW w:w="1418" w:type="dxa"/>
          </w:tcPr>
          <w:p w14:paraId="3722A184"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287</w:t>
            </w:r>
          </w:p>
        </w:tc>
        <w:tc>
          <w:tcPr>
            <w:tcW w:w="1701" w:type="dxa"/>
          </w:tcPr>
          <w:p w14:paraId="469B1427"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10.6</w:t>
            </w:r>
          </w:p>
        </w:tc>
        <w:tc>
          <w:tcPr>
            <w:tcW w:w="1417" w:type="dxa"/>
          </w:tcPr>
          <w:p w14:paraId="4660F5C8"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20.9</w:t>
            </w:r>
          </w:p>
        </w:tc>
        <w:tc>
          <w:tcPr>
            <w:tcW w:w="1560" w:type="dxa"/>
          </w:tcPr>
          <w:p w14:paraId="10C1DCCA" w14:textId="77777777" w:rsidR="00C35ECE" w:rsidRPr="00843E4B" w:rsidRDefault="00C35ECE" w:rsidP="00C35ECE">
            <w:pPr>
              <w:spacing w:after="0" w:line="240" w:lineRule="auto"/>
              <w:jc w:val="center"/>
              <w:rPr>
                <w:rFonts w:cs="Times New Roman"/>
                <w:sz w:val="22"/>
              </w:rPr>
            </w:pPr>
            <w:r w:rsidRPr="00843E4B">
              <w:rPr>
                <w:rFonts w:cs="Times New Roman"/>
                <w:sz w:val="22"/>
              </w:rPr>
              <w:t>30.9</w:t>
            </w:r>
          </w:p>
        </w:tc>
        <w:tc>
          <w:tcPr>
            <w:tcW w:w="1765" w:type="dxa"/>
          </w:tcPr>
          <w:p w14:paraId="783FF0C5" w14:textId="77777777" w:rsidR="00C35ECE" w:rsidRPr="00843E4B" w:rsidRDefault="00C35ECE" w:rsidP="00C35ECE">
            <w:pPr>
              <w:spacing w:after="0" w:line="240" w:lineRule="auto"/>
              <w:jc w:val="center"/>
              <w:rPr>
                <w:rFonts w:cs="Times New Roman"/>
                <w:sz w:val="22"/>
              </w:rPr>
            </w:pPr>
            <w:r w:rsidRPr="00843E4B">
              <w:rPr>
                <w:rFonts w:cs="Times New Roman"/>
                <w:sz w:val="22"/>
              </w:rPr>
              <w:t>94.4</w:t>
            </w:r>
          </w:p>
        </w:tc>
      </w:tr>
      <w:tr w:rsidR="00C35ECE" w:rsidRPr="00A967D7" w14:paraId="19E85DE4" w14:textId="77777777" w:rsidTr="00C86976">
        <w:tc>
          <w:tcPr>
            <w:tcW w:w="3261" w:type="dxa"/>
          </w:tcPr>
          <w:p w14:paraId="75D56E4C" w14:textId="77777777" w:rsidR="00C35ECE" w:rsidRPr="00843E4B" w:rsidRDefault="00C35ECE" w:rsidP="00C35ECE">
            <w:pPr>
              <w:spacing w:after="0" w:line="240" w:lineRule="auto"/>
              <w:rPr>
                <w:rFonts w:cs="Times New Roman"/>
                <w:sz w:val="22"/>
              </w:rPr>
            </w:pPr>
            <w:r w:rsidRPr="00843E4B">
              <w:rPr>
                <w:rFonts w:cs="Times New Roman"/>
                <w:sz w:val="22"/>
              </w:rPr>
              <w:t>Maize+ascorbic+citric acids</w:t>
            </w:r>
            <w:r w:rsidRPr="00843E4B">
              <w:rPr>
                <w:rFonts w:cs="Times New Roman"/>
                <w:sz w:val="22"/>
                <w:vertAlign w:val="superscript"/>
              </w:rPr>
              <w:t>1</w:t>
            </w:r>
          </w:p>
        </w:tc>
        <w:tc>
          <w:tcPr>
            <w:tcW w:w="1608" w:type="dxa"/>
          </w:tcPr>
          <w:p w14:paraId="17F54403"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2.0</w:t>
            </w:r>
          </w:p>
        </w:tc>
        <w:tc>
          <w:tcPr>
            <w:tcW w:w="992" w:type="dxa"/>
          </w:tcPr>
          <w:p w14:paraId="373ED7DE"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1.89</w:t>
            </w:r>
          </w:p>
        </w:tc>
        <w:tc>
          <w:tcPr>
            <w:tcW w:w="1134" w:type="dxa"/>
          </w:tcPr>
          <w:p w14:paraId="00EC4302"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5</w:t>
            </w:r>
          </w:p>
        </w:tc>
        <w:tc>
          <w:tcPr>
            <w:tcW w:w="1417" w:type="dxa"/>
          </w:tcPr>
          <w:p w14:paraId="02D351A9"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118</w:t>
            </w:r>
          </w:p>
        </w:tc>
        <w:tc>
          <w:tcPr>
            <w:tcW w:w="1418" w:type="dxa"/>
          </w:tcPr>
          <w:p w14:paraId="7FF08121"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287</w:t>
            </w:r>
          </w:p>
        </w:tc>
        <w:tc>
          <w:tcPr>
            <w:tcW w:w="1701" w:type="dxa"/>
          </w:tcPr>
          <w:p w14:paraId="4896D84B"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3.5</w:t>
            </w:r>
          </w:p>
        </w:tc>
        <w:tc>
          <w:tcPr>
            <w:tcW w:w="1417" w:type="dxa"/>
          </w:tcPr>
          <w:p w14:paraId="5DF485CB"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19.3</w:t>
            </w:r>
          </w:p>
        </w:tc>
        <w:tc>
          <w:tcPr>
            <w:tcW w:w="1560" w:type="dxa"/>
          </w:tcPr>
          <w:p w14:paraId="08BDA0B4" w14:textId="77777777" w:rsidR="00C35ECE" w:rsidRPr="00843E4B" w:rsidRDefault="00C35ECE" w:rsidP="00C35ECE">
            <w:pPr>
              <w:spacing w:after="0" w:line="240" w:lineRule="auto"/>
              <w:jc w:val="center"/>
              <w:rPr>
                <w:rFonts w:cs="Times New Roman"/>
                <w:sz w:val="22"/>
              </w:rPr>
            </w:pPr>
            <w:r w:rsidRPr="00843E4B">
              <w:rPr>
                <w:rFonts w:cs="Times New Roman"/>
                <w:sz w:val="22"/>
              </w:rPr>
              <w:t>0.5</w:t>
            </w:r>
          </w:p>
        </w:tc>
        <w:tc>
          <w:tcPr>
            <w:tcW w:w="1765" w:type="dxa"/>
          </w:tcPr>
          <w:p w14:paraId="6DCAD8B4" w14:textId="77777777" w:rsidR="00C35ECE" w:rsidRPr="00843E4B" w:rsidRDefault="00C35ECE" w:rsidP="00C35ECE">
            <w:pPr>
              <w:spacing w:after="0" w:line="240" w:lineRule="auto"/>
              <w:jc w:val="center"/>
              <w:rPr>
                <w:rFonts w:cs="Times New Roman"/>
                <w:sz w:val="22"/>
              </w:rPr>
            </w:pPr>
            <w:r w:rsidRPr="00843E4B">
              <w:rPr>
                <w:rFonts w:cs="Times New Roman"/>
                <w:sz w:val="22"/>
              </w:rPr>
              <w:t>53.5</w:t>
            </w:r>
          </w:p>
        </w:tc>
      </w:tr>
      <w:tr w:rsidR="00C35ECE" w:rsidRPr="00A967D7" w14:paraId="293142D8" w14:textId="77777777" w:rsidTr="00C86976">
        <w:trPr>
          <w:trHeight w:val="80"/>
        </w:trPr>
        <w:tc>
          <w:tcPr>
            <w:tcW w:w="3261" w:type="dxa"/>
          </w:tcPr>
          <w:p w14:paraId="0266A7E8" w14:textId="77777777" w:rsidR="00C35ECE" w:rsidRPr="00843E4B" w:rsidRDefault="00C35ECE" w:rsidP="00C35ECE">
            <w:pPr>
              <w:spacing w:after="0" w:line="240" w:lineRule="auto"/>
              <w:rPr>
                <w:rFonts w:cs="Times New Roman"/>
                <w:sz w:val="22"/>
              </w:rPr>
            </w:pPr>
            <w:r w:rsidRPr="00843E4B">
              <w:rPr>
                <w:rFonts w:cs="Times New Roman"/>
                <w:sz w:val="22"/>
              </w:rPr>
              <w:t>Maize+FeSO</w:t>
            </w:r>
            <w:r w:rsidRPr="00843E4B">
              <w:rPr>
                <w:rFonts w:cs="Times New Roman"/>
                <w:sz w:val="22"/>
                <w:vertAlign w:val="subscript"/>
              </w:rPr>
              <w:t>4</w:t>
            </w:r>
            <w:r w:rsidRPr="00843E4B">
              <w:rPr>
                <w:rFonts w:cs="Times New Roman"/>
                <w:sz w:val="22"/>
                <w:vertAlign w:val="superscript"/>
              </w:rPr>
              <w:t>2</w:t>
            </w:r>
          </w:p>
        </w:tc>
        <w:tc>
          <w:tcPr>
            <w:tcW w:w="1608" w:type="dxa"/>
          </w:tcPr>
          <w:p w14:paraId="37442BF9"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6.8</w:t>
            </w:r>
          </w:p>
        </w:tc>
        <w:tc>
          <w:tcPr>
            <w:tcW w:w="992" w:type="dxa"/>
          </w:tcPr>
          <w:p w14:paraId="4D57CE3E"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1.89</w:t>
            </w:r>
          </w:p>
        </w:tc>
        <w:tc>
          <w:tcPr>
            <w:tcW w:w="1134" w:type="dxa"/>
          </w:tcPr>
          <w:p w14:paraId="3C9008C0"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5</w:t>
            </w:r>
          </w:p>
        </w:tc>
        <w:tc>
          <w:tcPr>
            <w:tcW w:w="1417" w:type="dxa"/>
          </w:tcPr>
          <w:p w14:paraId="7CAC7AA0"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118</w:t>
            </w:r>
          </w:p>
        </w:tc>
        <w:tc>
          <w:tcPr>
            <w:tcW w:w="1418" w:type="dxa"/>
          </w:tcPr>
          <w:p w14:paraId="7FE933E6"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287</w:t>
            </w:r>
          </w:p>
        </w:tc>
        <w:tc>
          <w:tcPr>
            <w:tcW w:w="1701" w:type="dxa"/>
          </w:tcPr>
          <w:p w14:paraId="3078EE6D"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 xml:space="preserve">12.2 </w:t>
            </w:r>
          </w:p>
        </w:tc>
        <w:tc>
          <w:tcPr>
            <w:tcW w:w="1417" w:type="dxa"/>
          </w:tcPr>
          <w:p w14:paraId="2A5F866B" w14:textId="77777777" w:rsidR="00C35ECE" w:rsidRPr="00843E4B" w:rsidRDefault="00C35ECE" w:rsidP="00C35ECE">
            <w:pPr>
              <w:spacing w:after="0" w:line="240" w:lineRule="auto"/>
              <w:jc w:val="center"/>
              <w:rPr>
                <w:rFonts w:cs="Times New Roman"/>
                <w:sz w:val="22"/>
                <w:lang w:val="en-ZA"/>
              </w:rPr>
            </w:pPr>
            <w:r w:rsidRPr="00843E4B">
              <w:rPr>
                <w:rFonts w:cs="Times New Roman"/>
                <w:sz w:val="22"/>
              </w:rPr>
              <w:t>19.3</w:t>
            </w:r>
          </w:p>
        </w:tc>
        <w:tc>
          <w:tcPr>
            <w:tcW w:w="1560" w:type="dxa"/>
          </w:tcPr>
          <w:p w14:paraId="2DB480E7" w14:textId="77777777" w:rsidR="00C35ECE" w:rsidRPr="00843E4B" w:rsidRDefault="00C35ECE" w:rsidP="00C35ECE">
            <w:pPr>
              <w:spacing w:after="0" w:line="240" w:lineRule="auto"/>
              <w:jc w:val="center"/>
              <w:rPr>
                <w:rFonts w:cs="Times New Roman"/>
                <w:sz w:val="22"/>
              </w:rPr>
            </w:pPr>
            <w:r w:rsidRPr="00843E4B">
              <w:rPr>
                <w:rFonts w:cs="Times New Roman"/>
                <w:sz w:val="22"/>
              </w:rPr>
              <w:t>0.5</w:t>
            </w:r>
          </w:p>
        </w:tc>
        <w:tc>
          <w:tcPr>
            <w:tcW w:w="1765" w:type="dxa"/>
          </w:tcPr>
          <w:p w14:paraId="00C1E315" w14:textId="77777777" w:rsidR="00C35ECE" w:rsidRPr="00843E4B" w:rsidRDefault="00C35ECE" w:rsidP="00C35ECE">
            <w:pPr>
              <w:spacing w:after="0" w:line="240" w:lineRule="auto"/>
              <w:jc w:val="center"/>
              <w:rPr>
                <w:rFonts w:cs="Times New Roman"/>
                <w:sz w:val="22"/>
              </w:rPr>
            </w:pPr>
            <w:r w:rsidRPr="00843E4B">
              <w:rPr>
                <w:rFonts w:cs="Times New Roman"/>
                <w:sz w:val="22"/>
              </w:rPr>
              <w:t>53.5</w:t>
            </w:r>
          </w:p>
        </w:tc>
      </w:tr>
    </w:tbl>
    <w:p w14:paraId="3F728285" w14:textId="6DF4E45D" w:rsidR="00E812CD" w:rsidRDefault="00E812CD" w:rsidP="0057038D">
      <w:pPr>
        <w:spacing w:line="240" w:lineRule="auto"/>
        <w:rPr>
          <w:rFonts w:cs="Times New Roman"/>
          <w:sz w:val="20"/>
          <w:szCs w:val="20"/>
        </w:rPr>
      </w:pPr>
    </w:p>
    <w:p w14:paraId="1247751E" w14:textId="3F3DCB8E" w:rsidR="002F7DBE" w:rsidRDefault="002F7DBE" w:rsidP="0057038D">
      <w:pPr>
        <w:spacing w:line="240" w:lineRule="auto"/>
        <w:rPr>
          <w:rFonts w:eastAsia="Times New Roman" w:cs="Times New Roman"/>
          <w:b/>
          <w:bCs/>
          <w:szCs w:val="24"/>
        </w:rPr>
      </w:pPr>
    </w:p>
    <w:p w14:paraId="40B6D124" w14:textId="408221A7" w:rsidR="002F7DBE" w:rsidRDefault="002F7DBE" w:rsidP="0057038D">
      <w:pPr>
        <w:spacing w:line="240" w:lineRule="auto"/>
        <w:rPr>
          <w:rFonts w:eastAsia="Times New Roman" w:cs="Times New Roman"/>
          <w:b/>
          <w:bCs/>
          <w:szCs w:val="24"/>
        </w:rPr>
      </w:pPr>
    </w:p>
    <w:p w14:paraId="5B51D9C2" w14:textId="5D0C723D" w:rsidR="002F7DBE" w:rsidRDefault="002F7DBE" w:rsidP="0057038D">
      <w:pPr>
        <w:spacing w:line="240" w:lineRule="auto"/>
        <w:rPr>
          <w:rFonts w:eastAsia="Times New Roman" w:cs="Times New Roman"/>
          <w:b/>
          <w:bCs/>
          <w:szCs w:val="24"/>
        </w:rPr>
      </w:pPr>
    </w:p>
    <w:p w14:paraId="66E9B274" w14:textId="7412DA23" w:rsidR="00E812CD" w:rsidRDefault="00E812CD" w:rsidP="0057038D">
      <w:pPr>
        <w:spacing w:line="240" w:lineRule="auto"/>
        <w:rPr>
          <w:rFonts w:eastAsia="Times New Roman" w:cs="Times New Roman"/>
          <w:b/>
          <w:bCs/>
          <w:szCs w:val="24"/>
        </w:rPr>
      </w:pPr>
      <w:r w:rsidRPr="00C86976">
        <w:rPr>
          <w:rFonts w:eastAsia="Times New Roman" w:cs="Times New Roman"/>
          <w:b/>
          <w:bCs/>
          <w:szCs w:val="24"/>
        </w:rPr>
        <w:t>Table 4.2.1</w:t>
      </w:r>
      <w:r w:rsidR="00311498" w:rsidRPr="00C86976">
        <w:rPr>
          <w:rFonts w:eastAsia="Times New Roman" w:cs="Times New Roman"/>
          <w:b/>
          <w:bCs/>
          <w:szCs w:val="24"/>
        </w:rPr>
        <w:t xml:space="preserve"> </w:t>
      </w:r>
      <w:r w:rsidR="00311498">
        <w:rPr>
          <w:rFonts w:eastAsia="Times New Roman" w:cs="Times New Roman"/>
          <w:b/>
          <w:bCs/>
          <w:szCs w:val="24"/>
        </w:rPr>
        <w:t>c</w:t>
      </w:r>
      <w:r w:rsidR="00311498" w:rsidRPr="00C86976">
        <w:rPr>
          <w:rFonts w:eastAsia="Times New Roman" w:cs="Times New Roman"/>
          <w:b/>
          <w:bCs/>
          <w:szCs w:val="24"/>
        </w:rPr>
        <w:t>ont.</w:t>
      </w:r>
    </w:p>
    <w:tbl>
      <w:tblPr>
        <w:tblW w:w="16273" w:type="dxa"/>
        <w:tblInd w:w="-1139" w:type="dxa"/>
        <w:tblBorders>
          <w:top w:val="single" w:sz="4" w:space="0" w:color="auto"/>
          <w:bottom w:val="single" w:sz="4" w:space="0" w:color="auto"/>
        </w:tblBorders>
        <w:tblLayout w:type="fixed"/>
        <w:tblLook w:val="04A0" w:firstRow="1" w:lastRow="0" w:firstColumn="1" w:lastColumn="0" w:noHBand="0" w:noVBand="1"/>
      </w:tblPr>
      <w:tblGrid>
        <w:gridCol w:w="3232"/>
        <w:gridCol w:w="29"/>
        <w:gridCol w:w="1608"/>
        <w:gridCol w:w="992"/>
        <w:gridCol w:w="1134"/>
        <w:gridCol w:w="1417"/>
        <w:gridCol w:w="1418"/>
        <w:gridCol w:w="1701"/>
        <w:gridCol w:w="1417"/>
        <w:gridCol w:w="1560"/>
        <w:gridCol w:w="1765"/>
      </w:tblGrid>
      <w:tr w:rsidR="00C86976" w:rsidRPr="00A967D7" w14:paraId="3EB655BD" w14:textId="77777777" w:rsidTr="00C86976">
        <w:tc>
          <w:tcPr>
            <w:tcW w:w="3261" w:type="dxa"/>
            <w:gridSpan w:val="2"/>
            <w:tcBorders>
              <w:top w:val="single" w:sz="4" w:space="0" w:color="auto"/>
              <w:bottom w:val="single" w:sz="4" w:space="0" w:color="auto"/>
            </w:tcBorders>
          </w:tcPr>
          <w:p w14:paraId="2C15812D" w14:textId="4917D4F9" w:rsidR="00311498" w:rsidRPr="00843E4B" w:rsidRDefault="00311498" w:rsidP="007636BF">
            <w:pPr>
              <w:spacing w:after="0" w:line="240" w:lineRule="auto"/>
              <w:rPr>
                <w:rFonts w:cs="Times New Roman"/>
                <w:b/>
                <w:sz w:val="22"/>
              </w:rPr>
            </w:pPr>
          </w:p>
        </w:tc>
        <w:tc>
          <w:tcPr>
            <w:tcW w:w="1608" w:type="dxa"/>
            <w:tcBorders>
              <w:top w:val="single" w:sz="4" w:space="0" w:color="auto"/>
              <w:bottom w:val="single" w:sz="4" w:space="0" w:color="auto"/>
            </w:tcBorders>
          </w:tcPr>
          <w:p w14:paraId="5009703E" w14:textId="77777777" w:rsidR="00311498" w:rsidRPr="00843E4B" w:rsidRDefault="00311498" w:rsidP="007636BF">
            <w:pPr>
              <w:spacing w:after="0" w:line="240" w:lineRule="auto"/>
              <w:jc w:val="center"/>
              <w:rPr>
                <w:rFonts w:cs="Times New Roman"/>
                <w:b/>
                <w:sz w:val="22"/>
                <w:lang w:val="en-ZA"/>
              </w:rPr>
            </w:pPr>
            <w:r w:rsidRPr="00843E4B">
              <w:rPr>
                <w:rFonts w:cs="Times New Roman"/>
                <w:b/>
                <w:sz w:val="22"/>
              </w:rPr>
              <w:t>Iron</w:t>
            </w:r>
          </w:p>
        </w:tc>
        <w:tc>
          <w:tcPr>
            <w:tcW w:w="992" w:type="dxa"/>
            <w:tcBorders>
              <w:top w:val="single" w:sz="4" w:space="0" w:color="auto"/>
              <w:bottom w:val="single" w:sz="4" w:space="0" w:color="auto"/>
            </w:tcBorders>
          </w:tcPr>
          <w:p w14:paraId="1523CCA6" w14:textId="77777777" w:rsidR="00311498" w:rsidRPr="00843E4B" w:rsidRDefault="00311498" w:rsidP="007636BF">
            <w:pPr>
              <w:spacing w:after="0" w:line="240" w:lineRule="auto"/>
              <w:jc w:val="center"/>
              <w:rPr>
                <w:rFonts w:cs="Times New Roman"/>
                <w:b/>
                <w:sz w:val="22"/>
                <w:lang w:val="en-ZA"/>
              </w:rPr>
            </w:pPr>
            <w:r w:rsidRPr="00843E4B">
              <w:rPr>
                <w:rFonts w:cs="Times New Roman"/>
                <w:b/>
                <w:sz w:val="22"/>
              </w:rPr>
              <w:t>Zinc</w:t>
            </w:r>
          </w:p>
        </w:tc>
        <w:tc>
          <w:tcPr>
            <w:tcW w:w="1134" w:type="dxa"/>
            <w:tcBorders>
              <w:top w:val="single" w:sz="4" w:space="0" w:color="auto"/>
              <w:bottom w:val="single" w:sz="4" w:space="0" w:color="auto"/>
            </w:tcBorders>
          </w:tcPr>
          <w:p w14:paraId="196EB2C8" w14:textId="77777777" w:rsidR="00311498" w:rsidRPr="00843E4B" w:rsidRDefault="00311498" w:rsidP="007636BF">
            <w:pPr>
              <w:spacing w:after="0" w:line="240" w:lineRule="auto"/>
              <w:jc w:val="center"/>
              <w:rPr>
                <w:rFonts w:cs="Times New Roman"/>
                <w:b/>
                <w:sz w:val="22"/>
                <w:lang w:val="en-ZA"/>
              </w:rPr>
            </w:pPr>
            <w:r w:rsidRPr="00843E4B">
              <w:rPr>
                <w:rFonts w:cs="Times New Roman"/>
                <w:b/>
                <w:sz w:val="22"/>
              </w:rPr>
              <w:t>Calcium</w:t>
            </w:r>
          </w:p>
        </w:tc>
        <w:tc>
          <w:tcPr>
            <w:tcW w:w="1417" w:type="dxa"/>
            <w:tcBorders>
              <w:top w:val="single" w:sz="4" w:space="0" w:color="auto"/>
              <w:bottom w:val="single" w:sz="4" w:space="0" w:color="auto"/>
            </w:tcBorders>
          </w:tcPr>
          <w:p w14:paraId="46CD5828" w14:textId="77777777" w:rsidR="00311498" w:rsidRPr="00843E4B" w:rsidRDefault="00311498" w:rsidP="007636BF">
            <w:pPr>
              <w:spacing w:after="0" w:line="240" w:lineRule="auto"/>
              <w:jc w:val="center"/>
              <w:rPr>
                <w:rFonts w:cs="Times New Roman"/>
                <w:b/>
                <w:sz w:val="22"/>
                <w:lang w:val="en-ZA"/>
              </w:rPr>
            </w:pPr>
            <w:r w:rsidRPr="00843E4B">
              <w:rPr>
                <w:rFonts w:cs="Times New Roman"/>
                <w:b/>
                <w:sz w:val="22"/>
              </w:rPr>
              <w:t>Magnesium</w:t>
            </w:r>
          </w:p>
        </w:tc>
        <w:tc>
          <w:tcPr>
            <w:tcW w:w="1418" w:type="dxa"/>
            <w:tcBorders>
              <w:top w:val="single" w:sz="4" w:space="0" w:color="auto"/>
              <w:bottom w:val="single" w:sz="4" w:space="0" w:color="auto"/>
            </w:tcBorders>
          </w:tcPr>
          <w:p w14:paraId="4EBBC488" w14:textId="77777777" w:rsidR="00311498" w:rsidRPr="00843E4B" w:rsidRDefault="00311498" w:rsidP="007636BF">
            <w:pPr>
              <w:spacing w:after="0" w:line="240" w:lineRule="auto"/>
              <w:jc w:val="center"/>
              <w:rPr>
                <w:rFonts w:cs="Times New Roman"/>
                <w:b/>
                <w:sz w:val="22"/>
                <w:lang w:val="en-ZA"/>
              </w:rPr>
            </w:pPr>
            <w:r w:rsidRPr="00843E4B">
              <w:rPr>
                <w:rFonts w:cs="Times New Roman"/>
                <w:b/>
                <w:sz w:val="22"/>
              </w:rPr>
              <w:t>Phosphorus</w:t>
            </w:r>
          </w:p>
        </w:tc>
        <w:tc>
          <w:tcPr>
            <w:tcW w:w="1701" w:type="dxa"/>
            <w:tcBorders>
              <w:top w:val="single" w:sz="4" w:space="0" w:color="auto"/>
              <w:bottom w:val="single" w:sz="4" w:space="0" w:color="auto"/>
            </w:tcBorders>
          </w:tcPr>
          <w:p w14:paraId="146F729F" w14:textId="77777777" w:rsidR="00311498" w:rsidRPr="00843E4B" w:rsidRDefault="00311498" w:rsidP="007636BF">
            <w:pPr>
              <w:spacing w:after="0" w:line="240" w:lineRule="auto"/>
              <w:jc w:val="center"/>
              <w:rPr>
                <w:rFonts w:cs="Times New Roman"/>
                <w:b/>
                <w:sz w:val="22"/>
                <w:lang w:val="en-ZA"/>
              </w:rPr>
            </w:pPr>
            <w:r w:rsidRPr="00843E4B">
              <w:rPr>
                <w:rFonts w:cs="Times New Roman"/>
                <w:b/>
                <w:sz w:val="22"/>
              </w:rPr>
              <w:t>Percentage contribution of iron to RNI (58.8 mg/day)</w:t>
            </w:r>
            <w:r w:rsidRPr="00843E4B">
              <w:rPr>
                <w:rFonts w:cs="Times New Roman"/>
                <w:b/>
                <w:sz w:val="22"/>
                <w:szCs w:val="24"/>
                <w:vertAlign w:val="superscript"/>
              </w:rPr>
              <w:t>#</w:t>
            </w:r>
          </w:p>
        </w:tc>
        <w:tc>
          <w:tcPr>
            <w:tcW w:w="1417" w:type="dxa"/>
            <w:tcBorders>
              <w:top w:val="single" w:sz="4" w:space="0" w:color="auto"/>
              <w:bottom w:val="single" w:sz="4" w:space="0" w:color="auto"/>
            </w:tcBorders>
          </w:tcPr>
          <w:p w14:paraId="128CEFBE" w14:textId="77777777" w:rsidR="00311498" w:rsidRPr="00843E4B" w:rsidRDefault="00311498" w:rsidP="007636BF">
            <w:pPr>
              <w:spacing w:after="0" w:line="240" w:lineRule="auto"/>
              <w:jc w:val="center"/>
              <w:rPr>
                <w:rFonts w:cs="Times New Roman"/>
                <w:b/>
                <w:sz w:val="22"/>
                <w:lang w:val="en-ZA"/>
              </w:rPr>
            </w:pPr>
            <w:r w:rsidRPr="00843E4B">
              <w:rPr>
                <w:rFonts w:cs="Times New Roman"/>
                <w:b/>
                <w:sz w:val="22"/>
              </w:rPr>
              <w:t>Percentage contribution of zinc to RNI (9.8 mg/day)</w:t>
            </w:r>
            <w:r w:rsidRPr="00843E4B">
              <w:rPr>
                <w:rFonts w:cs="Times New Roman"/>
                <w:b/>
                <w:sz w:val="22"/>
                <w:szCs w:val="24"/>
                <w:vertAlign w:val="superscript"/>
              </w:rPr>
              <w:t>#</w:t>
            </w:r>
          </w:p>
        </w:tc>
        <w:tc>
          <w:tcPr>
            <w:tcW w:w="1560" w:type="dxa"/>
            <w:tcBorders>
              <w:top w:val="single" w:sz="4" w:space="0" w:color="auto"/>
              <w:bottom w:val="single" w:sz="4" w:space="0" w:color="auto"/>
            </w:tcBorders>
          </w:tcPr>
          <w:p w14:paraId="43D6056B" w14:textId="77777777" w:rsidR="00311498" w:rsidRPr="00843E4B" w:rsidRDefault="00311498" w:rsidP="007636BF">
            <w:pPr>
              <w:spacing w:after="0" w:line="240" w:lineRule="auto"/>
              <w:jc w:val="center"/>
              <w:rPr>
                <w:rFonts w:cs="Times New Roman"/>
                <w:b/>
                <w:sz w:val="22"/>
              </w:rPr>
            </w:pPr>
            <w:r w:rsidRPr="00843E4B">
              <w:rPr>
                <w:rFonts w:cs="Times New Roman"/>
                <w:b/>
                <w:sz w:val="22"/>
              </w:rPr>
              <w:t>Percentage contribution of calcium to RNI (1000 mg/day)</w:t>
            </w:r>
          </w:p>
        </w:tc>
        <w:tc>
          <w:tcPr>
            <w:tcW w:w="1765" w:type="dxa"/>
            <w:tcBorders>
              <w:top w:val="single" w:sz="4" w:space="0" w:color="auto"/>
              <w:bottom w:val="single" w:sz="4" w:space="0" w:color="auto"/>
            </w:tcBorders>
          </w:tcPr>
          <w:p w14:paraId="049AB8F6" w14:textId="77777777" w:rsidR="00311498" w:rsidRPr="00843E4B" w:rsidRDefault="00311498" w:rsidP="007636BF">
            <w:pPr>
              <w:spacing w:after="0" w:line="240" w:lineRule="auto"/>
              <w:jc w:val="center"/>
              <w:rPr>
                <w:rFonts w:cs="Times New Roman"/>
                <w:b/>
                <w:sz w:val="22"/>
              </w:rPr>
            </w:pPr>
            <w:r w:rsidRPr="00843E4B">
              <w:rPr>
                <w:rFonts w:cs="Times New Roman"/>
                <w:b/>
                <w:sz w:val="22"/>
              </w:rPr>
              <w:t>Percentage contribution of magnesium to RNI (220 mg/day)</w:t>
            </w:r>
          </w:p>
        </w:tc>
      </w:tr>
      <w:tr w:rsidR="00311498" w:rsidRPr="00A967D7" w14:paraId="564D03DF" w14:textId="77777777" w:rsidTr="00C86976">
        <w:tc>
          <w:tcPr>
            <w:tcW w:w="16273" w:type="dxa"/>
            <w:gridSpan w:val="11"/>
            <w:tcBorders>
              <w:top w:val="single" w:sz="4" w:space="0" w:color="auto"/>
            </w:tcBorders>
          </w:tcPr>
          <w:p w14:paraId="4BAA10A2" w14:textId="77777777" w:rsidR="00311498" w:rsidRPr="00843E4B" w:rsidRDefault="00311498" w:rsidP="007636BF">
            <w:pPr>
              <w:spacing w:after="0" w:line="240" w:lineRule="auto"/>
              <w:jc w:val="center"/>
              <w:rPr>
                <w:rFonts w:cs="Times New Roman"/>
                <w:b/>
                <w:bCs/>
                <w:sz w:val="22"/>
              </w:rPr>
            </w:pPr>
            <w:r w:rsidRPr="00843E4B">
              <w:rPr>
                <w:rFonts w:cs="Times New Roman"/>
                <w:b/>
                <w:bCs/>
                <w:sz w:val="22"/>
              </w:rPr>
              <w:t>Experiment 2 (Complex porridges)</w:t>
            </w:r>
          </w:p>
        </w:tc>
      </w:tr>
      <w:tr w:rsidR="00311498" w:rsidRPr="00A967D7" w14:paraId="356918DB" w14:textId="77777777" w:rsidTr="00C86976">
        <w:tc>
          <w:tcPr>
            <w:tcW w:w="16273" w:type="dxa"/>
            <w:gridSpan w:val="11"/>
          </w:tcPr>
          <w:p w14:paraId="639A66DD" w14:textId="11058671" w:rsidR="00311498" w:rsidRPr="00843E4B" w:rsidRDefault="00311498" w:rsidP="007636BF">
            <w:pPr>
              <w:spacing w:after="0" w:line="240" w:lineRule="auto"/>
              <w:rPr>
                <w:rFonts w:cs="Times New Roman"/>
                <w:b/>
                <w:bCs/>
                <w:sz w:val="22"/>
              </w:rPr>
            </w:pPr>
            <w:r w:rsidRPr="00843E4B">
              <w:rPr>
                <w:rFonts w:cs="Times New Roman"/>
                <w:b/>
                <w:bCs/>
                <w:sz w:val="22"/>
              </w:rPr>
              <w:t>Porridge formulations</w:t>
            </w:r>
            <w:r w:rsidR="00D96E5B" w:rsidRPr="008B49F4">
              <w:rPr>
                <w:rFonts w:cs="Times New Roman"/>
                <w:b/>
                <w:bCs/>
                <w:sz w:val="22"/>
                <w:vertAlign w:val="superscript"/>
              </w:rPr>
              <w:t>*</w:t>
            </w:r>
          </w:p>
        </w:tc>
      </w:tr>
      <w:tr w:rsidR="00311498" w:rsidRPr="00A967D7" w14:paraId="2BFEB689" w14:textId="77777777" w:rsidTr="00C86976">
        <w:tc>
          <w:tcPr>
            <w:tcW w:w="3232" w:type="dxa"/>
          </w:tcPr>
          <w:p w14:paraId="1BEB6AF8" w14:textId="5A1F1669" w:rsidR="00311498" w:rsidRPr="00843E4B" w:rsidRDefault="00311498" w:rsidP="007636BF">
            <w:pPr>
              <w:spacing w:after="0" w:line="240" w:lineRule="auto"/>
              <w:rPr>
                <w:rFonts w:cs="Times New Roman"/>
                <w:sz w:val="22"/>
              </w:rPr>
            </w:pPr>
            <w:r w:rsidRPr="00843E4B">
              <w:rPr>
                <w:rFonts w:cs="Times New Roman"/>
                <w:sz w:val="22"/>
              </w:rPr>
              <w:t>Maize+FeSO</w:t>
            </w:r>
            <w:r w:rsidRPr="00843E4B">
              <w:rPr>
                <w:rFonts w:cs="Times New Roman"/>
                <w:sz w:val="22"/>
                <w:vertAlign w:val="subscript"/>
              </w:rPr>
              <w:t>4</w:t>
            </w:r>
            <w:r w:rsidRPr="00843E4B">
              <w:rPr>
                <w:rFonts w:cs="Times New Roman"/>
                <w:sz w:val="22"/>
              </w:rPr>
              <w:t xml:space="preserve">+mango+carrot (control) </w:t>
            </w:r>
          </w:p>
        </w:tc>
        <w:tc>
          <w:tcPr>
            <w:tcW w:w="1637" w:type="dxa"/>
            <w:gridSpan w:val="2"/>
          </w:tcPr>
          <w:p w14:paraId="317364AA"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11.0</w:t>
            </w:r>
          </w:p>
        </w:tc>
        <w:tc>
          <w:tcPr>
            <w:tcW w:w="992" w:type="dxa"/>
          </w:tcPr>
          <w:p w14:paraId="32E9ACEB"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1.33</w:t>
            </w:r>
          </w:p>
        </w:tc>
        <w:tc>
          <w:tcPr>
            <w:tcW w:w="1134" w:type="dxa"/>
          </w:tcPr>
          <w:p w14:paraId="499B8112"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11</w:t>
            </w:r>
          </w:p>
        </w:tc>
        <w:tc>
          <w:tcPr>
            <w:tcW w:w="1417" w:type="dxa"/>
          </w:tcPr>
          <w:p w14:paraId="6DB3773D"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81</w:t>
            </w:r>
          </w:p>
        </w:tc>
        <w:tc>
          <w:tcPr>
            <w:tcW w:w="1418" w:type="dxa"/>
          </w:tcPr>
          <w:p w14:paraId="18F247FD"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206</w:t>
            </w:r>
          </w:p>
        </w:tc>
        <w:tc>
          <w:tcPr>
            <w:tcW w:w="1701" w:type="dxa"/>
          </w:tcPr>
          <w:p w14:paraId="21C06CE2"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18.7</w:t>
            </w:r>
          </w:p>
        </w:tc>
        <w:tc>
          <w:tcPr>
            <w:tcW w:w="1417" w:type="dxa"/>
          </w:tcPr>
          <w:p w14:paraId="6E1DE7E0"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13.6</w:t>
            </w:r>
          </w:p>
        </w:tc>
        <w:tc>
          <w:tcPr>
            <w:tcW w:w="1560" w:type="dxa"/>
          </w:tcPr>
          <w:p w14:paraId="0C556B0C" w14:textId="77777777" w:rsidR="00311498" w:rsidRPr="00843E4B" w:rsidRDefault="00311498" w:rsidP="007636BF">
            <w:pPr>
              <w:spacing w:after="0" w:line="240" w:lineRule="auto"/>
              <w:jc w:val="center"/>
              <w:rPr>
                <w:rFonts w:cs="Times New Roman"/>
                <w:sz w:val="22"/>
              </w:rPr>
            </w:pPr>
            <w:r w:rsidRPr="00843E4B">
              <w:rPr>
                <w:rFonts w:cs="Times New Roman"/>
                <w:sz w:val="22"/>
              </w:rPr>
              <w:t>1.1</w:t>
            </w:r>
          </w:p>
        </w:tc>
        <w:tc>
          <w:tcPr>
            <w:tcW w:w="1765" w:type="dxa"/>
          </w:tcPr>
          <w:p w14:paraId="43F869C6" w14:textId="77777777" w:rsidR="00311498" w:rsidRPr="00843E4B" w:rsidRDefault="00311498" w:rsidP="007636BF">
            <w:pPr>
              <w:spacing w:after="0" w:line="240" w:lineRule="auto"/>
              <w:jc w:val="center"/>
              <w:rPr>
                <w:rFonts w:cs="Times New Roman"/>
                <w:sz w:val="22"/>
              </w:rPr>
            </w:pPr>
            <w:r w:rsidRPr="00843E4B">
              <w:rPr>
                <w:rFonts w:cs="Times New Roman"/>
                <w:sz w:val="22"/>
              </w:rPr>
              <w:t>36.8</w:t>
            </w:r>
          </w:p>
        </w:tc>
      </w:tr>
      <w:tr w:rsidR="00311498" w:rsidRPr="00A967D7" w14:paraId="0625EFA3" w14:textId="77777777" w:rsidTr="00C86976">
        <w:tc>
          <w:tcPr>
            <w:tcW w:w="3232" w:type="dxa"/>
          </w:tcPr>
          <w:p w14:paraId="65AD64EF" w14:textId="75AB975A" w:rsidR="00311498" w:rsidRPr="00843E4B" w:rsidRDefault="00311498" w:rsidP="007636BF">
            <w:pPr>
              <w:spacing w:after="0" w:line="240" w:lineRule="auto"/>
              <w:rPr>
                <w:rFonts w:cs="Times New Roman"/>
                <w:sz w:val="22"/>
              </w:rPr>
            </w:pPr>
            <w:r w:rsidRPr="00843E4B">
              <w:rPr>
                <w:rFonts w:cs="Times New Roman"/>
                <w:sz w:val="22"/>
              </w:rPr>
              <w:t>Maize+FeSO</w:t>
            </w:r>
            <w:r w:rsidRPr="00843E4B">
              <w:rPr>
                <w:rFonts w:cs="Times New Roman"/>
                <w:sz w:val="22"/>
                <w:vertAlign w:val="subscript"/>
              </w:rPr>
              <w:t>4</w:t>
            </w:r>
            <w:r w:rsidRPr="00843E4B">
              <w:rPr>
                <w:rFonts w:cs="Times New Roman"/>
                <w:sz w:val="22"/>
              </w:rPr>
              <w:t>+ascorbic acid+mango+carrot</w:t>
            </w:r>
          </w:p>
        </w:tc>
        <w:tc>
          <w:tcPr>
            <w:tcW w:w="1637" w:type="dxa"/>
            <w:gridSpan w:val="2"/>
          </w:tcPr>
          <w:p w14:paraId="48060362"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11.0</w:t>
            </w:r>
          </w:p>
        </w:tc>
        <w:tc>
          <w:tcPr>
            <w:tcW w:w="992" w:type="dxa"/>
          </w:tcPr>
          <w:p w14:paraId="29BCA949"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1.33</w:t>
            </w:r>
          </w:p>
        </w:tc>
        <w:tc>
          <w:tcPr>
            <w:tcW w:w="1134" w:type="dxa"/>
          </w:tcPr>
          <w:p w14:paraId="45B71176"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11</w:t>
            </w:r>
          </w:p>
        </w:tc>
        <w:tc>
          <w:tcPr>
            <w:tcW w:w="1417" w:type="dxa"/>
          </w:tcPr>
          <w:p w14:paraId="1B25C1B3"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81</w:t>
            </w:r>
          </w:p>
        </w:tc>
        <w:tc>
          <w:tcPr>
            <w:tcW w:w="1418" w:type="dxa"/>
          </w:tcPr>
          <w:p w14:paraId="12849DBD"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206</w:t>
            </w:r>
          </w:p>
        </w:tc>
        <w:tc>
          <w:tcPr>
            <w:tcW w:w="1701" w:type="dxa"/>
          </w:tcPr>
          <w:p w14:paraId="04A4077F"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18.7</w:t>
            </w:r>
          </w:p>
        </w:tc>
        <w:tc>
          <w:tcPr>
            <w:tcW w:w="1417" w:type="dxa"/>
          </w:tcPr>
          <w:p w14:paraId="23C05094"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13.6</w:t>
            </w:r>
          </w:p>
        </w:tc>
        <w:tc>
          <w:tcPr>
            <w:tcW w:w="1560" w:type="dxa"/>
          </w:tcPr>
          <w:p w14:paraId="23E01582" w14:textId="77777777" w:rsidR="00311498" w:rsidRPr="00843E4B" w:rsidRDefault="00311498" w:rsidP="007636BF">
            <w:pPr>
              <w:spacing w:after="0" w:line="240" w:lineRule="auto"/>
              <w:jc w:val="center"/>
              <w:rPr>
                <w:rFonts w:cs="Times New Roman"/>
                <w:sz w:val="22"/>
              </w:rPr>
            </w:pPr>
            <w:r w:rsidRPr="00843E4B">
              <w:rPr>
                <w:rFonts w:cs="Times New Roman"/>
                <w:sz w:val="22"/>
              </w:rPr>
              <w:t>1.1</w:t>
            </w:r>
          </w:p>
        </w:tc>
        <w:tc>
          <w:tcPr>
            <w:tcW w:w="1765" w:type="dxa"/>
          </w:tcPr>
          <w:p w14:paraId="66A5EA99" w14:textId="77777777" w:rsidR="00311498" w:rsidRPr="00843E4B" w:rsidRDefault="00311498" w:rsidP="007636BF">
            <w:pPr>
              <w:spacing w:after="0" w:line="240" w:lineRule="auto"/>
              <w:jc w:val="center"/>
              <w:rPr>
                <w:rFonts w:cs="Times New Roman"/>
                <w:sz w:val="22"/>
              </w:rPr>
            </w:pPr>
            <w:r w:rsidRPr="00843E4B">
              <w:rPr>
                <w:rFonts w:cs="Times New Roman"/>
                <w:sz w:val="22"/>
              </w:rPr>
              <w:t>36.8</w:t>
            </w:r>
          </w:p>
        </w:tc>
      </w:tr>
      <w:tr w:rsidR="00311498" w:rsidRPr="00A967D7" w14:paraId="03299992" w14:textId="77777777" w:rsidTr="00C86976">
        <w:tc>
          <w:tcPr>
            <w:tcW w:w="3232" w:type="dxa"/>
          </w:tcPr>
          <w:p w14:paraId="786703F2" w14:textId="52DA5666" w:rsidR="00311498" w:rsidRPr="00843E4B" w:rsidRDefault="00311498" w:rsidP="007636BF">
            <w:pPr>
              <w:spacing w:after="0" w:line="240" w:lineRule="auto"/>
              <w:rPr>
                <w:rFonts w:cs="Times New Roman"/>
                <w:sz w:val="22"/>
              </w:rPr>
            </w:pPr>
            <w:r w:rsidRPr="00843E4B">
              <w:rPr>
                <w:rFonts w:cs="Times New Roman"/>
                <w:sz w:val="22"/>
              </w:rPr>
              <w:t>Maize+moringa+mango+carrot</w:t>
            </w:r>
          </w:p>
        </w:tc>
        <w:tc>
          <w:tcPr>
            <w:tcW w:w="1637" w:type="dxa"/>
            <w:gridSpan w:val="2"/>
          </w:tcPr>
          <w:p w14:paraId="230F62E9"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11.6</w:t>
            </w:r>
          </w:p>
        </w:tc>
        <w:tc>
          <w:tcPr>
            <w:tcW w:w="992" w:type="dxa"/>
          </w:tcPr>
          <w:p w14:paraId="20525233"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1.72</w:t>
            </w:r>
          </w:p>
        </w:tc>
        <w:tc>
          <w:tcPr>
            <w:tcW w:w="1134" w:type="dxa"/>
          </w:tcPr>
          <w:p w14:paraId="112821EE"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421</w:t>
            </w:r>
          </w:p>
        </w:tc>
        <w:tc>
          <w:tcPr>
            <w:tcW w:w="1417" w:type="dxa"/>
          </w:tcPr>
          <w:p w14:paraId="4BAA722A"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183</w:t>
            </w:r>
          </w:p>
        </w:tc>
        <w:tc>
          <w:tcPr>
            <w:tcW w:w="1418" w:type="dxa"/>
          </w:tcPr>
          <w:p w14:paraId="64EA92C4"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251</w:t>
            </w:r>
          </w:p>
        </w:tc>
        <w:tc>
          <w:tcPr>
            <w:tcW w:w="1701" w:type="dxa"/>
          </w:tcPr>
          <w:p w14:paraId="160D5D6B"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19.8</w:t>
            </w:r>
          </w:p>
        </w:tc>
        <w:tc>
          <w:tcPr>
            <w:tcW w:w="1417" w:type="dxa"/>
          </w:tcPr>
          <w:p w14:paraId="19C5A126"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17.5</w:t>
            </w:r>
          </w:p>
        </w:tc>
        <w:tc>
          <w:tcPr>
            <w:tcW w:w="1560" w:type="dxa"/>
          </w:tcPr>
          <w:p w14:paraId="4DC3E906" w14:textId="77777777" w:rsidR="00311498" w:rsidRPr="00843E4B" w:rsidRDefault="00311498" w:rsidP="007636BF">
            <w:pPr>
              <w:spacing w:after="0" w:line="240" w:lineRule="auto"/>
              <w:jc w:val="center"/>
              <w:rPr>
                <w:rFonts w:cs="Times New Roman"/>
                <w:sz w:val="22"/>
              </w:rPr>
            </w:pPr>
            <w:r w:rsidRPr="00843E4B">
              <w:rPr>
                <w:rFonts w:cs="Times New Roman"/>
                <w:sz w:val="22"/>
              </w:rPr>
              <w:t>42.1</w:t>
            </w:r>
          </w:p>
        </w:tc>
        <w:tc>
          <w:tcPr>
            <w:tcW w:w="1765" w:type="dxa"/>
          </w:tcPr>
          <w:p w14:paraId="6FCF6A30" w14:textId="77777777" w:rsidR="00311498" w:rsidRPr="00843E4B" w:rsidRDefault="00311498" w:rsidP="007636BF">
            <w:pPr>
              <w:spacing w:after="0" w:line="240" w:lineRule="auto"/>
              <w:jc w:val="center"/>
              <w:rPr>
                <w:rFonts w:cs="Times New Roman"/>
                <w:sz w:val="22"/>
              </w:rPr>
            </w:pPr>
            <w:r w:rsidRPr="00843E4B">
              <w:rPr>
                <w:rFonts w:cs="Times New Roman"/>
                <w:sz w:val="22"/>
              </w:rPr>
              <w:t>83.2</w:t>
            </w:r>
          </w:p>
        </w:tc>
      </w:tr>
      <w:tr w:rsidR="00311498" w:rsidRPr="00A967D7" w14:paraId="19A85675" w14:textId="77777777" w:rsidTr="00C86976">
        <w:tc>
          <w:tcPr>
            <w:tcW w:w="3232" w:type="dxa"/>
          </w:tcPr>
          <w:p w14:paraId="6DF51954" w14:textId="1D3166E4" w:rsidR="00311498" w:rsidRPr="00843E4B" w:rsidRDefault="00311498" w:rsidP="007636BF">
            <w:pPr>
              <w:spacing w:after="0" w:line="240" w:lineRule="auto"/>
              <w:rPr>
                <w:rFonts w:cs="Times New Roman"/>
                <w:sz w:val="22"/>
              </w:rPr>
            </w:pPr>
            <w:r w:rsidRPr="00843E4B">
              <w:rPr>
                <w:rFonts w:cs="Times New Roman"/>
                <w:sz w:val="22"/>
              </w:rPr>
              <w:t>Maize+FeSO</w:t>
            </w:r>
            <w:r w:rsidRPr="00843E4B">
              <w:rPr>
                <w:rFonts w:cs="Times New Roman"/>
                <w:sz w:val="22"/>
                <w:vertAlign w:val="subscript"/>
              </w:rPr>
              <w:t>4</w:t>
            </w:r>
            <w:r w:rsidRPr="00843E4B">
              <w:rPr>
                <w:rFonts w:cs="Times New Roman"/>
                <w:sz w:val="22"/>
              </w:rPr>
              <w:t>+baobab+ mango+carrot</w:t>
            </w:r>
          </w:p>
        </w:tc>
        <w:tc>
          <w:tcPr>
            <w:tcW w:w="1637" w:type="dxa"/>
            <w:gridSpan w:val="2"/>
          </w:tcPr>
          <w:p w14:paraId="6ED99A8F"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11.3</w:t>
            </w:r>
          </w:p>
        </w:tc>
        <w:tc>
          <w:tcPr>
            <w:tcW w:w="992" w:type="dxa"/>
          </w:tcPr>
          <w:p w14:paraId="2D0B5836"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1.47</w:t>
            </w:r>
          </w:p>
        </w:tc>
        <w:tc>
          <w:tcPr>
            <w:tcW w:w="1134" w:type="dxa"/>
          </w:tcPr>
          <w:p w14:paraId="2743D7A0"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66</w:t>
            </w:r>
          </w:p>
        </w:tc>
        <w:tc>
          <w:tcPr>
            <w:tcW w:w="1417" w:type="dxa"/>
          </w:tcPr>
          <w:p w14:paraId="70B3DDF4"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116</w:t>
            </w:r>
          </w:p>
        </w:tc>
        <w:tc>
          <w:tcPr>
            <w:tcW w:w="1418" w:type="dxa"/>
          </w:tcPr>
          <w:p w14:paraId="3F56C8C2"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214</w:t>
            </w:r>
          </w:p>
        </w:tc>
        <w:tc>
          <w:tcPr>
            <w:tcW w:w="1701" w:type="dxa"/>
          </w:tcPr>
          <w:p w14:paraId="7F60A2B3"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19.1</w:t>
            </w:r>
          </w:p>
        </w:tc>
        <w:tc>
          <w:tcPr>
            <w:tcW w:w="1417" w:type="dxa"/>
          </w:tcPr>
          <w:p w14:paraId="394EA045"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15.0</w:t>
            </w:r>
          </w:p>
        </w:tc>
        <w:tc>
          <w:tcPr>
            <w:tcW w:w="1560" w:type="dxa"/>
          </w:tcPr>
          <w:p w14:paraId="186738A2" w14:textId="77777777" w:rsidR="00311498" w:rsidRPr="00843E4B" w:rsidRDefault="00311498" w:rsidP="007636BF">
            <w:pPr>
              <w:spacing w:after="0" w:line="240" w:lineRule="auto"/>
              <w:jc w:val="center"/>
              <w:rPr>
                <w:rFonts w:cs="Times New Roman"/>
                <w:sz w:val="22"/>
              </w:rPr>
            </w:pPr>
            <w:r w:rsidRPr="00843E4B">
              <w:rPr>
                <w:rFonts w:cs="Times New Roman"/>
                <w:sz w:val="22"/>
              </w:rPr>
              <w:t>6.6</w:t>
            </w:r>
          </w:p>
        </w:tc>
        <w:tc>
          <w:tcPr>
            <w:tcW w:w="1765" w:type="dxa"/>
          </w:tcPr>
          <w:p w14:paraId="4AF44FDB" w14:textId="77777777" w:rsidR="00311498" w:rsidRPr="00843E4B" w:rsidRDefault="00311498" w:rsidP="007636BF">
            <w:pPr>
              <w:spacing w:after="0" w:line="240" w:lineRule="auto"/>
              <w:jc w:val="center"/>
              <w:rPr>
                <w:rFonts w:cs="Times New Roman"/>
                <w:sz w:val="22"/>
              </w:rPr>
            </w:pPr>
            <w:r w:rsidRPr="00843E4B">
              <w:rPr>
                <w:rFonts w:cs="Times New Roman"/>
                <w:sz w:val="22"/>
              </w:rPr>
              <w:t>52.8</w:t>
            </w:r>
          </w:p>
        </w:tc>
      </w:tr>
      <w:tr w:rsidR="00311498" w:rsidRPr="00A967D7" w14:paraId="01197E77" w14:textId="77777777" w:rsidTr="00C86976">
        <w:tc>
          <w:tcPr>
            <w:tcW w:w="3232" w:type="dxa"/>
          </w:tcPr>
          <w:p w14:paraId="6A098E6F" w14:textId="0B44F885" w:rsidR="00311498" w:rsidRPr="00843E4B" w:rsidRDefault="00311498" w:rsidP="007636BF">
            <w:pPr>
              <w:spacing w:after="0" w:line="240" w:lineRule="auto"/>
              <w:rPr>
                <w:rFonts w:cs="Times New Roman"/>
                <w:sz w:val="22"/>
              </w:rPr>
            </w:pPr>
            <w:r w:rsidRPr="00843E4B">
              <w:rPr>
                <w:rFonts w:cs="Times New Roman"/>
                <w:sz w:val="22"/>
              </w:rPr>
              <w:t>Maize+moringa+baobab+mango+carrot</w:t>
            </w:r>
          </w:p>
        </w:tc>
        <w:tc>
          <w:tcPr>
            <w:tcW w:w="1637" w:type="dxa"/>
            <w:gridSpan w:val="2"/>
          </w:tcPr>
          <w:p w14:paraId="0BAA208E"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11.9</w:t>
            </w:r>
          </w:p>
        </w:tc>
        <w:tc>
          <w:tcPr>
            <w:tcW w:w="992" w:type="dxa"/>
          </w:tcPr>
          <w:p w14:paraId="18AF8E1A"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1.89</w:t>
            </w:r>
          </w:p>
        </w:tc>
        <w:tc>
          <w:tcPr>
            <w:tcW w:w="1134" w:type="dxa"/>
          </w:tcPr>
          <w:p w14:paraId="21EB3CDC"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476</w:t>
            </w:r>
          </w:p>
        </w:tc>
        <w:tc>
          <w:tcPr>
            <w:tcW w:w="1417" w:type="dxa"/>
          </w:tcPr>
          <w:p w14:paraId="588A8D5A"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218</w:t>
            </w:r>
          </w:p>
        </w:tc>
        <w:tc>
          <w:tcPr>
            <w:tcW w:w="1418" w:type="dxa"/>
          </w:tcPr>
          <w:p w14:paraId="565D8FD5"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260</w:t>
            </w:r>
          </w:p>
        </w:tc>
        <w:tc>
          <w:tcPr>
            <w:tcW w:w="1701" w:type="dxa"/>
          </w:tcPr>
          <w:p w14:paraId="5E63CBEC"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20.2</w:t>
            </w:r>
          </w:p>
        </w:tc>
        <w:tc>
          <w:tcPr>
            <w:tcW w:w="1417" w:type="dxa"/>
          </w:tcPr>
          <w:p w14:paraId="35930C01" w14:textId="77777777" w:rsidR="00311498" w:rsidRPr="00843E4B" w:rsidRDefault="00311498" w:rsidP="007636BF">
            <w:pPr>
              <w:spacing w:after="0" w:line="240" w:lineRule="auto"/>
              <w:jc w:val="center"/>
              <w:rPr>
                <w:rFonts w:cs="Times New Roman"/>
                <w:sz w:val="22"/>
                <w:lang w:val="en-ZA"/>
              </w:rPr>
            </w:pPr>
            <w:r w:rsidRPr="00843E4B">
              <w:rPr>
                <w:rFonts w:cs="Times New Roman"/>
                <w:sz w:val="22"/>
              </w:rPr>
              <w:t xml:space="preserve">19.0 </w:t>
            </w:r>
          </w:p>
        </w:tc>
        <w:tc>
          <w:tcPr>
            <w:tcW w:w="1560" w:type="dxa"/>
          </w:tcPr>
          <w:p w14:paraId="65405216" w14:textId="77777777" w:rsidR="00311498" w:rsidRPr="00843E4B" w:rsidRDefault="00311498" w:rsidP="007636BF">
            <w:pPr>
              <w:spacing w:after="0" w:line="240" w:lineRule="auto"/>
              <w:jc w:val="center"/>
              <w:rPr>
                <w:rFonts w:cs="Times New Roman"/>
                <w:sz w:val="22"/>
              </w:rPr>
            </w:pPr>
            <w:r w:rsidRPr="00843E4B">
              <w:rPr>
                <w:rFonts w:cs="Times New Roman"/>
                <w:sz w:val="22"/>
              </w:rPr>
              <w:t>47.6</w:t>
            </w:r>
          </w:p>
        </w:tc>
        <w:tc>
          <w:tcPr>
            <w:tcW w:w="1765" w:type="dxa"/>
          </w:tcPr>
          <w:p w14:paraId="6F99FA05" w14:textId="77777777" w:rsidR="00311498" w:rsidRPr="00843E4B" w:rsidRDefault="00311498" w:rsidP="007636BF">
            <w:pPr>
              <w:spacing w:after="0" w:line="240" w:lineRule="auto"/>
              <w:jc w:val="center"/>
              <w:rPr>
                <w:rFonts w:cs="Times New Roman"/>
                <w:sz w:val="22"/>
              </w:rPr>
            </w:pPr>
            <w:r w:rsidRPr="00843E4B">
              <w:rPr>
                <w:rFonts w:cs="Times New Roman"/>
                <w:sz w:val="22"/>
              </w:rPr>
              <w:t>99.2</w:t>
            </w:r>
          </w:p>
        </w:tc>
      </w:tr>
    </w:tbl>
    <w:p w14:paraId="40CA75C5" w14:textId="1C034D62" w:rsidR="00E812CD" w:rsidRPr="00A967D7" w:rsidRDefault="00E812CD" w:rsidP="00E812CD">
      <w:pPr>
        <w:spacing w:before="240" w:after="0" w:line="240" w:lineRule="auto"/>
        <w:rPr>
          <w:rFonts w:cs="Times New Roman"/>
          <w:sz w:val="20"/>
          <w:szCs w:val="20"/>
        </w:rPr>
      </w:pPr>
      <w:r w:rsidRPr="00A967D7">
        <w:rPr>
          <w:rFonts w:cs="Times New Roman"/>
          <w:sz w:val="20"/>
          <w:szCs w:val="20"/>
        </w:rPr>
        <w:t xml:space="preserve">Values are the mean ± 1 SD of two independent samples analysed in </w:t>
      </w:r>
      <w:r w:rsidR="003B6B08">
        <w:rPr>
          <w:rFonts w:cs="Times New Roman"/>
          <w:sz w:val="20"/>
          <w:szCs w:val="20"/>
        </w:rPr>
        <w:t>duplicate</w:t>
      </w:r>
      <w:r w:rsidRPr="00A967D7">
        <w:rPr>
          <w:rFonts w:cs="Times New Roman"/>
          <w:sz w:val="20"/>
          <w:szCs w:val="20"/>
        </w:rPr>
        <w:t xml:space="preserve"> (n=</w:t>
      </w:r>
      <w:r w:rsidR="00202C06">
        <w:rPr>
          <w:rFonts w:cs="Times New Roman"/>
          <w:sz w:val="20"/>
          <w:szCs w:val="20"/>
        </w:rPr>
        <w:t>4</w:t>
      </w:r>
      <w:r w:rsidRPr="00A967D7">
        <w:rPr>
          <w:rFonts w:cs="Times New Roman"/>
          <w:sz w:val="20"/>
          <w:szCs w:val="20"/>
        </w:rPr>
        <w:t>), Means with different superscripts letters in a column differ significantly (</w:t>
      </w:r>
      <w:r w:rsidRPr="005328FE">
        <w:rPr>
          <w:rFonts w:cs="Times New Roman"/>
          <w:i/>
          <w:iCs/>
          <w:sz w:val="20"/>
          <w:szCs w:val="20"/>
        </w:rPr>
        <w:t>p</w:t>
      </w:r>
      <w:r w:rsidR="00202C06">
        <w:rPr>
          <w:rFonts w:cs="Times New Roman"/>
          <w:sz w:val="20"/>
          <w:szCs w:val="20"/>
        </w:rPr>
        <w:t>&lt;</w:t>
      </w:r>
      <w:r w:rsidRPr="00A967D7">
        <w:rPr>
          <w:rFonts w:cs="Times New Roman"/>
          <w:sz w:val="20"/>
          <w:szCs w:val="20"/>
        </w:rPr>
        <w:t xml:space="preserve">0.05), </w:t>
      </w:r>
      <w:r w:rsidR="00D96E5B" w:rsidRPr="00D96E5B">
        <w:rPr>
          <w:rFonts w:cs="Times New Roman"/>
          <w:b/>
          <w:bCs/>
          <w:sz w:val="20"/>
          <w:szCs w:val="20"/>
          <w:vertAlign w:val="superscript"/>
        </w:rPr>
        <w:t>*</w:t>
      </w:r>
      <w:r w:rsidRPr="00A967D7">
        <w:rPr>
          <w:rFonts w:cs="Times New Roman"/>
          <w:sz w:val="20"/>
          <w:szCs w:val="20"/>
        </w:rPr>
        <w:t xml:space="preserve">Mineral contents of all the porridge </w:t>
      </w:r>
      <w:r>
        <w:rPr>
          <w:rFonts w:cs="Times New Roman"/>
          <w:sz w:val="20"/>
          <w:szCs w:val="20"/>
        </w:rPr>
        <w:t>formulations</w:t>
      </w:r>
      <w:r w:rsidRPr="00A967D7">
        <w:rPr>
          <w:rFonts w:cs="Times New Roman"/>
          <w:sz w:val="20"/>
          <w:szCs w:val="20"/>
        </w:rPr>
        <w:t xml:space="preserve"> were calculated from each of the ingredients in the formulations</w:t>
      </w:r>
      <w:r>
        <w:rPr>
          <w:rFonts w:cs="Times New Roman"/>
          <w:sz w:val="20"/>
          <w:szCs w:val="20"/>
        </w:rPr>
        <w:t xml:space="preserve">, </w:t>
      </w:r>
      <w:r w:rsidRPr="00E13C93">
        <w:rPr>
          <w:rFonts w:cs="Times New Roman"/>
          <w:sz w:val="20"/>
          <w:szCs w:val="20"/>
          <w:vertAlign w:val="superscript"/>
        </w:rPr>
        <w:t>£</w:t>
      </w:r>
      <w:r>
        <w:rPr>
          <w:rFonts w:cs="Times New Roman"/>
          <w:sz w:val="20"/>
          <w:szCs w:val="20"/>
        </w:rPr>
        <w:t>Not applicable</w:t>
      </w:r>
    </w:p>
    <w:p w14:paraId="3214D804" w14:textId="331CC6E9" w:rsidR="00E812CD" w:rsidRPr="00A967D7" w:rsidRDefault="00E812CD" w:rsidP="00E812CD">
      <w:pPr>
        <w:pStyle w:val="CommentText"/>
        <w:spacing w:after="0"/>
        <w:rPr>
          <w:rFonts w:cs="Times New Roman"/>
        </w:rPr>
      </w:pPr>
      <w:r w:rsidRPr="00A967D7">
        <w:rPr>
          <w:rFonts w:cs="Times New Roman"/>
          <w:vertAlign w:val="superscript"/>
        </w:rPr>
        <w:t>#</w:t>
      </w:r>
      <w:r w:rsidRPr="00A967D7">
        <w:rPr>
          <w:rFonts w:cs="Times New Roman"/>
        </w:rPr>
        <w:t xml:space="preserve">RNI for women </w:t>
      </w:r>
      <w:r>
        <w:rPr>
          <w:rFonts w:cs="Times New Roman"/>
        </w:rPr>
        <w:t xml:space="preserve">aged 19-50 </w:t>
      </w:r>
      <w:r w:rsidRPr="00A967D7">
        <w:rPr>
          <w:rFonts w:cs="Times New Roman"/>
        </w:rPr>
        <w:t xml:space="preserve">consuming a plant-based diet with </w:t>
      </w:r>
      <w:r>
        <w:rPr>
          <w:rFonts w:cs="Times New Roman"/>
        </w:rPr>
        <w:t xml:space="preserve">the </w:t>
      </w:r>
      <w:r w:rsidRPr="00A967D7">
        <w:rPr>
          <w:rFonts w:cs="Times New Roman"/>
        </w:rPr>
        <w:t xml:space="preserve">lowest level of mineral bioavailability, 5% for iron and 15% for zinc (WHO </w:t>
      </w:r>
      <w:r w:rsidR="00243AC6">
        <w:rPr>
          <w:rFonts w:cs="Times New Roman"/>
        </w:rPr>
        <w:t>&amp;</w:t>
      </w:r>
      <w:r w:rsidRPr="00A967D7">
        <w:rPr>
          <w:rFonts w:cs="Times New Roman"/>
        </w:rPr>
        <w:t xml:space="preserve"> FAO, 200</w:t>
      </w:r>
      <w:r>
        <w:rPr>
          <w:rFonts w:cs="Times New Roman"/>
        </w:rPr>
        <w:t>4</w:t>
      </w:r>
      <w:r w:rsidRPr="00A967D7">
        <w:rPr>
          <w:rFonts w:cs="Times New Roman"/>
        </w:rPr>
        <w:t>)</w:t>
      </w:r>
    </w:p>
    <w:p w14:paraId="64AFD5F0" w14:textId="77777777" w:rsidR="00E812CD" w:rsidRPr="00A967D7" w:rsidRDefault="00E812CD" w:rsidP="00E812CD">
      <w:pPr>
        <w:pStyle w:val="CommentText"/>
        <w:spacing w:after="0"/>
        <w:rPr>
          <w:rFonts w:cs="Times New Roman"/>
          <w:vertAlign w:val="superscript"/>
        </w:rPr>
      </w:pPr>
      <w:r w:rsidRPr="00A967D7">
        <w:rPr>
          <w:rFonts w:cs="Times New Roman"/>
          <w:vertAlign w:val="superscript"/>
        </w:rPr>
        <w:t>$</w:t>
      </w:r>
      <w:r w:rsidRPr="00A967D7">
        <w:rPr>
          <w:rFonts w:cs="Times New Roman"/>
        </w:rPr>
        <w:t>Moringa leaf powder from Mor Nutri (M); Moringa leaf</w:t>
      </w:r>
      <w:r w:rsidRPr="00A967D7">
        <w:rPr>
          <w:rFonts w:cs="Times New Roman"/>
          <w:vertAlign w:val="superscript"/>
        </w:rPr>
        <w:t xml:space="preserve"> </w:t>
      </w:r>
      <w:r w:rsidRPr="00A967D7">
        <w:rPr>
          <w:rFonts w:cs="Times New Roman"/>
        </w:rPr>
        <w:t>powder from Sup</w:t>
      </w:r>
      <w:r>
        <w:rPr>
          <w:rFonts w:cs="Times New Roman"/>
        </w:rPr>
        <w:t>a</w:t>
      </w:r>
      <w:r w:rsidRPr="00A967D7">
        <w:rPr>
          <w:rFonts w:cs="Times New Roman"/>
        </w:rPr>
        <w:t xml:space="preserve"> Nutri,  </w:t>
      </w:r>
      <w:r w:rsidRPr="00A967D7">
        <w:rPr>
          <w:rFonts w:cs="Times New Roman"/>
          <w:vertAlign w:val="superscript"/>
        </w:rPr>
        <w:t>1</w:t>
      </w:r>
      <w:r w:rsidRPr="00A967D7">
        <w:rPr>
          <w:rFonts w:cs="Times New Roman"/>
        </w:rPr>
        <w:t xml:space="preserve">Amounts of ascorbic </w:t>
      </w:r>
      <w:r>
        <w:rPr>
          <w:rFonts w:cs="Times New Roman"/>
        </w:rPr>
        <w:t xml:space="preserve">acid </w:t>
      </w:r>
      <w:r w:rsidRPr="00A967D7">
        <w:rPr>
          <w:rFonts w:cs="Times New Roman"/>
        </w:rPr>
        <w:t>(2</w:t>
      </w:r>
      <w:r>
        <w:rPr>
          <w:rFonts w:cs="Times New Roman"/>
        </w:rPr>
        <w:t>3.3</w:t>
      </w:r>
      <w:r w:rsidRPr="00A967D7">
        <w:rPr>
          <w:rFonts w:cs="Times New Roman"/>
        </w:rPr>
        <w:t xml:space="preserve"> mg) and citric acid (</w:t>
      </w:r>
      <w:r>
        <w:rPr>
          <w:rFonts w:cs="Times New Roman"/>
        </w:rPr>
        <w:t>595</w:t>
      </w:r>
      <w:r w:rsidRPr="00A967D7">
        <w:rPr>
          <w:rFonts w:cs="Times New Roman"/>
        </w:rPr>
        <w:t xml:space="preserve"> mg) used were similar to the levels in the baobab fruit,  </w:t>
      </w:r>
      <w:r w:rsidRPr="00A967D7">
        <w:rPr>
          <w:rFonts w:cs="Times New Roman"/>
          <w:vertAlign w:val="superscript"/>
        </w:rPr>
        <w:t>2</w:t>
      </w:r>
      <w:r w:rsidRPr="00A967D7">
        <w:rPr>
          <w:rFonts w:cs="Times New Roman"/>
        </w:rPr>
        <w:t>Amount of iron (</w:t>
      </w:r>
      <w:r>
        <w:rPr>
          <w:rFonts w:cs="Times New Roman"/>
        </w:rPr>
        <w:t>4.7</w:t>
      </w:r>
      <w:r w:rsidRPr="00A967D7">
        <w:rPr>
          <w:rFonts w:cs="Times New Roman"/>
        </w:rPr>
        <w:t xml:space="preserve"> mg) used was similar to the levels in the moringa leaf powder (M)</w:t>
      </w:r>
    </w:p>
    <w:p w14:paraId="29E448DB" w14:textId="77777777" w:rsidR="00E812CD" w:rsidRDefault="00E812CD" w:rsidP="0057038D">
      <w:pPr>
        <w:spacing w:line="240" w:lineRule="auto"/>
        <w:rPr>
          <w:rFonts w:eastAsia="Times New Roman" w:cs="Times New Roman"/>
          <w:sz w:val="20"/>
          <w:szCs w:val="20"/>
        </w:rPr>
      </w:pPr>
    </w:p>
    <w:p w14:paraId="4265B88B" w14:textId="53658F67" w:rsidR="001216DC" w:rsidRDefault="001216DC">
      <w:pPr>
        <w:spacing w:after="160" w:line="259" w:lineRule="auto"/>
        <w:rPr>
          <w:rFonts w:eastAsia="Times New Roman" w:cs="Times New Roman"/>
          <w:szCs w:val="24"/>
        </w:rPr>
      </w:pPr>
      <w:r>
        <w:rPr>
          <w:rFonts w:eastAsia="Times New Roman" w:cs="Times New Roman"/>
          <w:szCs w:val="24"/>
        </w:rPr>
        <w:br w:type="page"/>
      </w:r>
    </w:p>
    <w:p w14:paraId="7A3B3343" w14:textId="77777777" w:rsidR="001216DC" w:rsidRDefault="001216DC" w:rsidP="0057038D">
      <w:pPr>
        <w:spacing w:line="240" w:lineRule="auto"/>
        <w:rPr>
          <w:rFonts w:eastAsia="Times New Roman" w:cs="Times New Roman"/>
          <w:szCs w:val="24"/>
        </w:rPr>
        <w:sectPr w:rsidR="001216DC" w:rsidSect="0057038D">
          <w:pgSz w:w="16839" w:h="11907" w:orient="landscape" w:code="9"/>
          <w:pgMar w:top="1440" w:right="1440" w:bottom="1440" w:left="1440" w:header="720" w:footer="720" w:gutter="0"/>
          <w:cols w:space="720"/>
          <w:docGrid w:linePitch="360"/>
        </w:sectPr>
      </w:pPr>
    </w:p>
    <w:p w14:paraId="43B322A7" w14:textId="2CC6A3FE" w:rsidR="001216DC" w:rsidRPr="00A967D7" w:rsidRDefault="001216DC" w:rsidP="00C5197F">
      <w:pPr>
        <w:pStyle w:val="Heading4"/>
      </w:pPr>
      <w:bookmarkStart w:id="111" w:name="_Toc65253600"/>
      <w:r>
        <w:t>4.2.4.</w:t>
      </w:r>
      <w:r w:rsidRPr="00A967D7">
        <w:t>2</w:t>
      </w:r>
      <w:r w:rsidR="00C5197F">
        <w:tab/>
      </w:r>
      <w:r>
        <w:t>Antinutrient</w:t>
      </w:r>
      <w:r w:rsidRPr="00A967D7">
        <w:t xml:space="preserve"> contents</w:t>
      </w:r>
      <w:bookmarkEnd w:id="111"/>
    </w:p>
    <w:p w14:paraId="54176A2C" w14:textId="33B6A9CD" w:rsidR="001216DC" w:rsidRDefault="001216DC" w:rsidP="00C5197F">
      <w:r>
        <w:t>Both the m</w:t>
      </w:r>
      <w:r w:rsidRPr="00A967D7">
        <w:t>oringa leaf powder</w:t>
      </w:r>
      <w:r>
        <w:t xml:space="preserve"> products</w:t>
      </w:r>
      <w:r w:rsidRPr="00A967D7">
        <w:t xml:space="preserve"> </w:t>
      </w:r>
      <w:r>
        <w:t>had the highest</w:t>
      </w:r>
      <w:r w:rsidRPr="00A967D7">
        <w:t xml:space="preserve"> phytate content</w:t>
      </w:r>
      <w:r>
        <w:t>s of all the ingredients</w:t>
      </w:r>
      <w:r w:rsidRPr="00A967D7">
        <w:t xml:space="preserve">, </w:t>
      </w:r>
      <w:r>
        <w:t>more than</w:t>
      </w:r>
      <w:r w:rsidRPr="00A967D7">
        <w:t xml:space="preserve"> 2</w:t>
      </w:r>
      <w:r>
        <w:t>0</w:t>
      </w:r>
      <w:r w:rsidRPr="00A967D7">
        <w:t>% higher than wholegrain white maize (</w:t>
      </w:r>
      <w:r w:rsidRPr="008955AA">
        <w:t xml:space="preserve">Table </w:t>
      </w:r>
      <w:r w:rsidR="008955AA" w:rsidRPr="008955AA">
        <w:t>4.2.</w:t>
      </w:r>
      <w:r w:rsidRPr="008955AA">
        <w:t>2)</w:t>
      </w:r>
      <w:r>
        <w:t>. L</w:t>
      </w:r>
      <w:r w:rsidRPr="00A967D7">
        <w:t>ike other cereal grains</w:t>
      </w:r>
      <w:r>
        <w:t>, maize also had a high phytate content,</w:t>
      </w:r>
      <w:r w:rsidRPr="00A967D7">
        <w:t xml:space="preserve"> more than 2-fold higher than baobab fruit pulp and more than 4-fold higher than</w:t>
      </w:r>
      <w:r>
        <w:t xml:space="preserve"> the</w:t>
      </w:r>
      <w:r w:rsidRPr="00A967D7">
        <w:t xml:space="preserve"> carrot and mango fruit powder</w:t>
      </w:r>
      <w:r>
        <w:t xml:space="preserve">s. </w:t>
      </w:r>
      <w:r w:rsidRPr="00A967D7">
        <w:t xml:space="preserve">The phytate content </w:t>
      </w:r>
      <w:r>
        <w:t xml:space="preserve">(830 mg/100 g) </w:t>
      </w:r>
      <w:r w:rsidRPr="00A967D7">
        <w:t xml:space="preserve">of </w:t>
      </w:r>
      <w:r>
        <w:t xml:space="preserve">the </w:t>
      </w:r>
      <w:r w:rsidRPr="00A967D7">
        <w:t xml:space="preserve">wholegrain maize </w:t>
      </w:r>
      <w:r>
        <w:t xml:space="preserve">used </w:t>
      </w:r>
      <w:r w:rsidRPr="00A967D7">
        <w:t xml:space="preserve">in this study is in the range of </w:t>
      </w:r>
      <w:r>
        <w:t xml:space="preserve">previously </w:t>
      </w:r>
      <w:r w:rsidRPr="00A967D7">
        <w:t xml:space="preserve">reported values (710–1050 mg/100 g) (Hotz </w:t>
      </w:r>
      <w:r w:rsidR="00C8069F">
        <w:t>&amp;</w:t>
      </w:r>
      <w:r w:rsidRPr="00A967D7">
        <w:t xml:space="preserve"> Gibson, 2001; Kruger et al., 2014).</w:t>
      </w:r>
      <w:r>
        <w:t xml:space="preserve"> Although, the phytate contents of the moringa powders were higher than that of maize, moringa fortification</w:t>
      </w:r>
      <w:r w:rsidR="000E3251">
        <w:t xml:space="preserve"> of maize</w:t>
      </w:r>
      <w:r>
        <w:t xml:space="preserve"> would not substantially increase the phytate content of the fortified-maize porridge compared to the unfortified maize porridge</w:t>
      </w:r>
      <w:r w:rsidR="000E3251">
        <w:t xml:space="preserve">. This is because the phytate content of the moringa was not particularly very high to substantially increase the phytate content of the moringa fortified porridge at the 15:100 ratio level of fortification </w:t>
      </w:r>
      <w:r>
        <w:t xml:space="preserve">(Experiment 1). Baobab, although lower in phytate than maize, would also not </w:t>
      </w:r>
      <w:r w:rsidR="008955AA">
        <w:t xml:space="preserve">substantially decrease the </w:t>
      </w:r>
      <w:r>
        <w:t>fortified</w:t>
      </w:r>
      <w:r w:rsidR="00D239B3">
        <w:t xml:space="preserve"> </w:t>
      </w:r>
      <w:r>
        <w:t xml:space="preserve">porridge’s phytate content at the 15:100 ratio level of fortification. </w:t>
      </w:r>
      <w:r w:rsidR="0015099A">
        <w:t xml:space="preserve">  </w:t>
      </w:r>
      <w:r>
        <w:t>However, in Experiment 2 the calculated phytate content of the control FeSO</w:t>
      </w:r>
      <w:r w:rsidRPr="00E302F3">
        <w:rPr>
          <w:vertAlign w:val="subscript"/>
        </w:rPr>
        <w:t>4</w:t>
      </w:r>
      <w:r>
        <w:rPr>
          <w:vertAlign w:val="subscript"/>
        </w:rPr>
        <w:t xml:space="preserve"> </w:t>
      </w:r>
      <w:r>
        <w:t>fortified-maize-based porridge (548 mg/100 g) was lower than that of baobab and/or moringa fortified-maize-based porridge formulations (610–805 mg/100 g)</w:t>
      </w:r>
      <w:r w:rsidR="00725171">
        <w:t xml:space="preserve"> </w:t>
      </w:r>
      <w:r w:rsidR="00725171" w:rsidRPr="00A967D7">
        <w:t>(</w:t>
      </w:r>
      <w:r w:rsidR="00725171" w:rsidRPr="008955AA">
        <w:t>Table 4.2.2)</w:t>
      </w:r>
      <w:r>
        <w:t>. This is because the control porridge contained a significant amount of starch (28 g/100 g).</w:t>
      </w:r>
    </w:p>
    <w:p w14:paraId="2151079B" w14:textId="77777777" w:rsidR="001216DC" w:rsidRDefault="001216DC" w:rsidP="00725171">
      <w:pPr>
        <w:spacing w:after="0"/>
      </w:pPr>
    </w:p>
    <w:p w14:paraId="334DC683" w14:textId="485D39FD" w:rsidR="007E071A" w:rsidRDefault="001216DC" w:rsidP="00F643D1">
      <w:pPr>
        <w:rPr>
          <w:rFonts w:eastAsia="Times New Roman" w:cs="Times New Roman"/>
          <w:szCs w:val="24"/>
        </w:rPr>
        <w:sectPr w:rsidR="007E071A" w:rsidSect="001216DC">
          <w:pgSz w:w="11907" w:h="16839" w:code="9"/>
          <w:pgMar w:top="1440" w:right="1440" w:bottom="1440" w:left="1440" w:header="720" w:footer="720" w:gutter="0"/>
          <w:cols w:space="720"/>
          <w:docGrid w:linePitch="360"/>
        </w:sectPr>
      </w:pPr>
      <w:r>
        <w:t xml:space="preserve">The total phenolics content of the maize (19 mg/100 g) was by far the lowest of the ingredients </w:t>
      </w:r>
      <w:r w:rsidRPr="00725171">
        <w:t xml:space="preserve">(Table </w:t>
      </w:r>
      <w:r w:rsidR="00725171" w:rsidRPr="00725171">
        <w:t>4.2.</w:t>
      </w:r>
      <w:r w:rsidRPr="00725171">
        <w:t>2)</w:t>
      </w:r>
      <w:r>
        <w:t xml:space="preserve"> and was al</w:t>
      </w:r>
      <w:r w:rsidR="00AD65EF">
        <w:t>so</w:t>
      </w:r>
      <w:r>
        <w:t xml:space="preserve"> </w:t>
      </w:r>
      <w:r w:rsidR="00C0362A">
        <w:t xml:space="preserve">far </w:t>
      </w:r>
      <w:r>
        <w:t xml:space="preserve">lower than the pearl millet, (278 mg/100 g) reported in </w:t>
      </w:r>
      <w:r w:rsidR="00AD65EF">
        <w:t>C</w:t>
      </w:r>
      <w:r>
        <w:t xml:space="preserve">hapter </w:t>
      </w:r>
      <w:r w:rsidR="00C0362A">
        <w:t>4.</w:t>
      </w:r>
      <w:r>
        <w:t xml:space="preserve">1. The baobab fruit pulp and moringa leaf powders were more than 62-fold higher in total phenolics compared to the maize. Only baobab fruit pulp contained measurable amounts of tannins. The baobab’s tannin content was apparently very high, which was </w:t>
      </w:r>
      <w:r w:rsidR="009E7815">
        <w:t>likely</w:t>
      </w:r>
      <w:r>
        <w:t xml:space="preserve"> due to contamination of the fruit pulp with seed fragments, which are high in tannins (Osman, 2004). </w:t>
      </w:r>
      <w:r w:rsidR="00261255">
        <w:t>Thus</w:t>
      </w:r>
      <w:r>
        <w:t xml:space="preserve">, in Experiment 1 </w:t>
      </w:r>
      <w:r w:rsidR="00A14756">
        <w:t xml:space="preserve">and 2, </w:t>
      </w:r>
      <w:r>
        <w:t xml:space="preserve">baobab fortification of </w:t>
      </w:r>
      <w:r w:rsidR="00A14756">
        <w:t xml:space="preserve">control </w:t>
      </w:r>
      <w:r>
        <w:t xml:space="preserve">maize porridge </w:t>
      </w:r>
      <w:r w:rsidR="00A14756">
        <w:t>and the control FeSO</w:t>
      </w:r>
      <w:r w:rsidR="00A14756" w:rsidRPr="00E302F3">
        <w:rPr>
          <w:vertAlign w:val="subscript"/>
        </w:rPr>
        <w:t>4</w:t>
      </w:r>
      <w:r w:rsidR="00A14756">
        <w:t xml:space="preserve"> fortified-maize-based porridge, respectively </w:t>
      </w:r>
      <w:r>
        <w:t xml:space="preserve">would </w:t>
      </w:r>
      <w:r w:rsidR="00261255">
        <w:t>considerably</w:t>
      </w:r>
      <w:r>
        <w:t xml:space="preserve"> increase the total phenolics and tannin contents</w:t>
      </w:r>
      <w:r w:rsidR="00261255">
        <w:t xml:space="preserve"> of the baobab fortified porridge</w:t>
      </w:r>
      <w:r w:rsidR="00A14756">
        <w:t>s</w:t>
      </w:r>
      <w:r w:rsidR="00261255">
        <w:t>.</w:t>
      </w:r>
      <w:r>
        <w:t xml:space="preserve"> Moringa fortification of </w:t>
      </w:r>
      <w:r w:rsidR="00A14756">
        <w:t xml:space="preserve">the </w:t>
      </w:r>
      <w:r>
        <w:t xml:space="preserve">maize porridge </w:t>
      </w:r>
      <w:r w:rsidR="00A14756">
        <w:t xml:space="preserve">and the maize-based porridge </w:t>
      </w:r>
      <w:r>
        <w:t xml:space="preserve">would also </w:t>
      </w:r>
      <w:r w:rsidR="00261255">
        <w:t xml:space="preserve">substantially </w:t>
      </w:r>
      <w:r>
        <w:t>increase the fortified porridge</w:t>
      </w:r>
      <w:r w:rsidR="00A14756">
        <w:t>s</w:t>
      </w:r>
      <w:r>
        <w:t>’ total phenolics content</w:t>
      </w:r>
      <w:r w:rsidR="00261255">
        <w:t>.</w:t>
      </w:r>
      <w:r>
        <w:t xml:space="preserve"> However, the total phenolics contents of baobab and moringa fortified-maize porridges</w:t>
      </w:r>
      <w:r w:rsidR="007D09F6">
        <w:t xml:space="preserve"> </w:t>
      </w:r>
      <w:r>
        <w:t xml:space="preserve">would still be lower than the baobab and moringa fortified-pearl millet porridges </w:t>
      </w:r>
      <w:r w:rsidR="00C0362A">
        <w:t>in Chapter 4.1</w:t>
      </w:r>
      <w:r>
        <w:t xml:space="preserve"> </w:t>
      </w:r>
      <w:r w:rsidR="00F643D1">
        <w:t xml:space="preserve">(Table 4.1.2) </w:t>
      </w:r>
      <w:r>
        <w:t>due to the substantially low total phenolics content of maize compared to that of pearl millet.</w:t>
      </w:r>
    </w:p>
    <w:p w14:paraId="4C9A11EE" w14:textId="71379A1C" w:rsidR="007E071A" w:rsidRPr="00A967D7" w:rsidRDefault="007E071A" w:rsidP="00292341">
      <w:pPr>
        <w:pStyle w:val="MyTables"/>
        <w:spacing w:line="240" w:lineRule="auto"/>
      </w:pPr>
      <w:bookmarkStart w:id="112" w:name="_Toc65253635"/>
      <w:r w:rsidRPr="007E071A">
        <w:rPr>
          <w:b/>
          <w:bCs/>
        </w:rPr>
        <w:t xml:space="preserve">Table </w:t>
      </w:r>
      <w:r>
        <w:rPr>
          <w:b/>
          <w:bCs/>
        </w:rPr>
        <w:t>4.2.</w:t>
      </w:r>
      <w:r w:rsidRPr="007E071A">
        <w:rPr>
          <w:b/>
          <w:bCs/>
        </w:rPr>
        <w:t>2:</w:t>
      </w:r>
      <w:r w:rsidRPr="00A967D7">
        <w:t xml:space="preserve"> Phytate</w:t>
      </w:r>
      <w:r>
        <w:t xml:space="preserve"> </w:t>
      </w:r>
      <w:r w:rsidRPr="00A967D7">
        <w:t>(mg/100 g dry basis)</w:t>
      </w:r>
      <w:r>
        <w:t>, total phenolics and tannin</w:t>
      </w:r>
      <w:r w:rsidRPr="00A967D7">
        <w:t xml:space="preserve"> contents (mg</w:t>
      </w:r>
      <w:r>
        <w:t xml:space="preserve"> CE</w:t>
      </w:r>
      <w:r w:rsidRPr="00A967D7">
        <w:t xml:space="preserve">/100 g dry basis) of wholegrain white maize flour, baobab fruit pulp, moringa leaf powder, carrot powder and mango fruit powder and their </w:t>
      </w:r>
      <w:r w:rsidR="00867505">
        <w:t>porridge formulations</w:t>
      </w:r>
      <w:r w:rsidRPr="00A967D7">
        <w:t xml:space="preserve"> and their calculated phytate:mineral molar ratios</w:t>
      </w:r>
      <w:bookmarkEnd w:id="112"/>
    </w:p>
    <w:tbl>
      <w:tblPr>
        <w:tblW w:w="13291" w:type="dxa"/>
        <w:tblBorders>
          <w:top w:val="single" w:sz="4" w:space="0" w:color="auto"/>
          <w:bottom w:val="single" w:sz="4" w:space="0" w:color="auto"/>
        </w:tblBorders>
        <w:tblLayout w:type="fixed"/>
        <w:tblLook w:val="04A0" w:firstRow="1" w:lastRow="0" w:firstColumn="1" w:lastColumn="0" w:noHBand="0" w:noVBand="1"/>
      </w:tblPr>
      <w:tblGrid>
        <w:gridCol w:w="4157"/>
        <w:gridCol w:w="1338"/>
        <w:gridCol w:w="1559"/>
        <w:gridCol w:w="1559"/>
        <w:gridCol w:w="1559"/>
        <w:gridCol w:w="1559"/>
        <w:gridCol w:w="1560"/>
      </w:tblGrid>
      <w:tr w:rsidR="007E071A" w:rsidRPr="00A967D7" w14:paraId="01D9702F" w14:textId="77777777" w:rsidTr="00B938AA">
        <w:tc>
          <w:tcPr>
            <w:tcW w:w="4157" w:type="dxa"/>
            <w:tcBorders>
              <w:top w:val="single" w:sz="4" w:space="0" w:color="auto"/>
              <w:bottom w:val="single" w:sz="4" w:space="0" w:color="auto"/>
            </w:tcBorders>
          </w:tcPr>
          <w:p w14:paraId="4DAEAE14" w14:textId="77777777" w:rsidR="007E071A" w:rsidRPr="00A967D7" w:rsidRDefault="007E071A" w:rsidP="00843E4B">
            <w:pPr>
              <w:spacing w:after="0" w:line="240" w:lineRule="auto"/>
              <w:jc w:val="left"/>
              <w:rPr>
                <w:rFonts w:cs="Times New Roman"/>
                <w:b/>
                <w:bCs/>
              </w:rPr>
            </w:pPr>
            <w:r w:rsidRPr="00A967D7">
              <w:rPr>
                <w:rFonts w:cs="Times New Roman"/>
                <w:b/>
              </w:rPr>
              <w:t>Porridge ingredients</w:t>
            </w:r>
          </w:p>
        </w:tc>
        <w:tc>
          <w:tcPr>
            <w:tcW w:w="1338" w:type="dxa"/>
            <w:tcBorders>
              <w:top w:val="single" w:sz="4" w:space="0" w:color="auto"/>
              <w:bottom w:val="single" w:sz="4" w:space="0" w:color="auto"/>
            </w:tcBorders>
          </w:tcPr>
          <w:p w14:paraId="41590E35" w14:textId="77777777" w:rsidR="007E071A" w:rsidRPr="00A967D7" w:rsidRDefault="007E071A" w:rsidP="007E071A">
            <w:pPr>
              <w:spacing w:after="0" w:line="240" w:lineRule="auto"/>
              <w:jc w:val="center"/>
              <w:rPr>
                <w:rFonts w:cs="Times New Roman"/>
                <w:b/>
                <w:bCs/>
              </w:rPr>
            </w:pPr>
            <w:r w:rsidRPr="00A967D7">
              <w:rPr>
                <w:rFonts w:cs="Times New Roman"/>
                <w:b/>
                <w:bCs/>
              </w:rPr>
              <w:t>Phytate</w:t>
            </w:r>
          </w:p>
        </w:tc>
        <w:tc>
          <w:tcPr>
            <w:tcW w:w="1559" w:type="dxa"/>
            <w:tcBorders>
              <w:top w:val="single" w:sz="4" w:space="0" w:color="auto"/>
              <w:bottom w:val="single" w:sz="4" w:space="0" w:color="auto"/>
            </w:tcBorders>
          </w:tcPr>
          <w:p w14:paraId="1082D209" w14:textId="77777777" w:rsidR="007E071A" w:rsidRPr="00A967D7" w:rsidRDefault="007E071A" w:rsidP="007E071A">
            <w:pPr>
              <w:spacing w:after="0" w:line="240" w:lineRule="auto"/>
              <w:jc w:val="center"/>
              <w:rPr>
                <w:rFonts w:cs="Times New Roman"/>
                <w:b/>
                <w:bCs/>
              </w:rPr>
            </w:pPr>
            <w:r>
              <w:rPr>
                <w:rFonts w:cs="Times New Roman"/>
                <w:b/>
                <w:bCs/>
              </w:rPr>
              <w:t>Total phenolics</w:t>
            </w:r>
          </w:p>
        </w:tc>
        <w:tc>
          <w:tcPr>
            <w:tcW w:w="1559" w:type="dxa"/>
            <w:tcBorders>
              <w:top w:val="single" w:sz="4" w:space="0" w:color="auto"/>
              <w:bottom w:val="single" w:sz="4" w:space="0" w:color="auto"/>
            </w:tcBorders>
          </w:tcPr>
          <w:p w14:paraId="05C06164" w14:textId="77777777" w:rsidR="007E071A" w:rsidRPr="00A967D7" w:rsidRDefault="007E071A" w:rsidP="007E071A">
            <w:pPr>
              <w:spacing w:after="0" w:line="240" w:lineRule="auto"/>
              <w:jc w:val="center"/>
              <w:rPr>
                <w:rFonts w:cs="Times New Roman"/>
                <w:b/>
                <w:bCs/>
              </w:rPr>
            </w:pPr>
            <w:r>
              <w:rPr>
                <w:rFonts w:cs="Times New Roman"/>
                <w:b/>
                <w:bCs/>
              </w:rPr>
              <w:t>Tannins</w:t>
            </w:r>
          </w:p>
        </w:tc>
        <w:tc>
          <w:tcPr>
            <w:tcW w:w="1559" w:type="dxa"/>
            <w:tcBorders>
              <w:top w:val="single" w:sz="4" w:space="0" w:color="auto"/>
              <w:bottom w:val="single" w:sz="4" w:space="0" w:color="auto"/>
            </w:tcBorders>
          </w:tcPr>
          <w:p w14:paraId="4064DCB2" w14:textId="77777777" w:rsidR="007E071A" w:rsidRPr="00A967D7" w:rsidRDefault="007E071A" w:rsidP="007E071A">
            <w:pPr>
              <w:spacing w:after="0" w:line="240" w:lineRule="auto"/>
              <w:jc w:val="center"/>
              <w:rPr>
                <w:rFonts w:cs="Times New Roman"/>
                <w:b/>
                <w:bCs/>
              </w:rPr>
            </w:pPr>
            <w:r w:rsidRPr="00A967D7">
              <w:rPr>
                <w:rFonts w:cs="Times New Roman"/>
                <w:b/>
                <w:bCs/>
              </w:rPr>
              <w:t>Phytate:iron molar ratio</w:t>
            </w:r>
          </w:p>
        </w:tc>
        <w:tc>
          <w:tcPr>
            <w:tcW w:w="1559" w:type="dxa"/>
            <w:tcBorders>
              <w:top w:val="single" w:sz="4" w:space="0" w:color="auto"/>
              <w:bottom w:val="single" w:sz="4" w:space="0" w:color="auto"/>
            </w:tcBorders>
          </w:tcPr>
          <w:p w14:paraId="7873684F" w14:textId="77777777" w:rsidR="007E071A" w:rsidRPr="00A967D7" w:rsidRDefault="007E071A" w:rsidP="007E071A">
            <w:pPr>
              <w:spacing w:after="0" w:line="240" w:lineRule="auto"/>
              <w:jc w:val="center"/>
              <w:rPr>
                <w:rFonts w:cs="Times New Roman"/>
                <w:b/>
                <w:bCs/>
              </w:rPr>
            </w:pPr>
            <w:r w:rsidRPr="00A967D7">
              <w:rPr>
                <w:rFonts w:cs="Times New Roman"/>
                <w:b/>
                <w:bCs/>
              </w:rPr>
              <w:t>Phytate:zinc molar ratio</w:t>
            </w:r>
          </w:p>
        </w:tc>
        <w:tc>
          <w:tcPr>
            <w:tcW w:w="1560" w:type="dxa"/>
            <w:tcBorders>
              <w:top w:val="single" w:sz="4" w:space="0" w:color="auto"/>
              <w:bottom w:val="single" w:sz="4" w:space="0" w:color="auto"/>
            </w:tcBorders>
          </w:tcPr>
          <w:p w14:paraId="7E75A21F" w14:textId="77777777" w:rsidR="007E071A" w:rsidRPr="00A967D7" w:rsidRDefault="007E071A" w:rsidP="007E071A">
            <w:pPr>
              <w:spacing w:after="0" w:line="240" w:lineRule="auto"/>
              <w:jc w:val="center"/>
              <w:rPr>
                <w:rFonts w:cs="Times New Roman"/>
                <w:b/>
                <w:bCs/>
              </w:rPr>
            </w:pPr>
            <w:r w:rsidRPr="00A967D7">
              <w:rPr>
                <w:rFonts w:cs="Times New Roman"/>
                <w:b/>
                <w:bCs/>
              </w:rPr>
              <w:t>Calcium × phytate:zinc molar ratio</w:t>
            </w:r>
          </w:p>
        </w:tc>
      </w:tr>
      <w:tr w:rsidR="007E071A" w:rsidRPr="00A967D7" w14:paraId="086A20B6" w14:textId="77777777" w:rsidTr="00B938AA">
        <w:tc>
          <w:tcPr>
            <w:tcW w:w="4157" w:type="dxa"/>
            <w:tcBorders>
              <w:top w:val="single" w:sz="4" w:space="0" w:color="auto"/>
            </w:tcBorders>
          </w:tcPr>
          <w:p w14:paraId="0DB1645D" w14:textId="77777777" w:rsidR="007E071A" w:rsidRPr="00A967D7" w:rsidRDefault="007E071A" w:rsidP="00843E4B">
            <w:pPr>
              <w:spacing w:after="0" w:line="240" w:lineRule="auto"/>
              <w:jc w:val="left"/>
              <w:rPr>
                <w:rFonts w:cs="Times New Roman"/>
              </w:rPr>
            </w:pPr>
            <w:r w:rsidRPr="00A967D7">
              <w:rPr>
                <w:rFonts w:cs="Times New Roman"/>
              </w:rPr>
              <w:t>White maize</w:t>
            </w:r>
          </w:p>
        </w:tc>
        <w:tc>
          <w:tcPr>
            <w:tcW w:w="1338" w:type="dxa"/>
            <w:tcBorders>
              <w:top w:val="single" w:sz="4" w:space="0" w:color="auto"/>
            </w:tcBorders>
          </w:tcPr>
          <w:p w14:paraId="6963FA7C" w14:textId="77777777" w:rsidR="007E071A" w:rsidRPr="00A967D7" w:rsidRDefault="007E071A" w:rsidP="007E071A">
            <w:pPr>
              <w:spacing w:after="0" w:line="240" w:lineRule="auto"/>
              <w:jc w:val="center"/>
              <w:rPr>
                <w:rFonts w:cs="Times New Roman"/>
              </w:rPr>
            </w:pPr>
            <w:r w:rsidRPr="00A967D7">
              <w:rPr>
                <w:rFonts w:cs="Times New Roman"/>
              </w:rPr>
              <w:t>830</w:t>
            </w:r>
            <w:r w:rsidRPr="00A967D7">
              <w:rPr>
                <w:rFonts w:cs="Times New Roman"/>
                <w:vertAlign w:val="superscript"/>
              </w:rPr>
              <w:t>c</w:t>
            </w:r>
            <w:r w:rsidRPr="00A967D7">
              <w:rPr>
                <w:rFonts w:cs="Times New Roman"/>
              </w:rPr>
              <w:t xml:space="preserve"> ± 34</w:t>
            </w:r>
          </w:p>
        </w:tc>
        <w:tc>
          <w:tcPr>
            <w:tcW w:w="1559" w:type="dxa"/>
            <w:tcBorders>
              <w:top w:val="single" w:sz="4" w:space="0" w:color="auto"/>
            </w:tcBorders>
          </w:tcPr>
          <w:p w14:paraId="3B8D4874" w14:textId="77777777" w:rsidR="007E071A" w:rsidRPr="00A967D7" w:rsidRDefault="007E071A" w:rsidP="007E071A">
            <w:pPr>
              <w:spacing w:after="0" w:line="240" w:lineRule="auto"/>
              <w:jc w:val="center"/>
              <w:rPr>
                <w:rFonts w:cs="Times New Roman"/>
              </w:rPr>
            </w:pPr>
            <w:r>
              <w:rPr>
                <w:rFonts w:cs="Times New Roman"/>
              </w:rPr>
              <w:t>19</w:t>
            </w:r>
            <w:r w:rsidRPr="00A967D7">
              <w:rPr>
                <w:rFonts w:cs="Times New Roman"/>
                <w:vertAlign w:val="superscript"/>
              </w:rPr>
              <w:t>a</w:t>
            </w:r>
            <w:r>
              <w:rPr>
                <w:rFonts w:cs="Times New Roman"/>
              </w:rPr>
              <w:t xml:space="preserve"> </w:t>
            </w:r>
            <w:r w:rsidRPr="00A967D7">
              <w:rPr>
                <w:rFonts w:cs="Times New Roman"/>
              </w:rPr>
              <w:t>±</w:t>
            </w:r>
            <w:r>
              <w:rPr>
                <w:rFonts w:cs="Times New Roman"/>
              </w:rPr>
              <w:t xml:space="preserve"> 1</w:t>
            </w:r>
          </w:p>
        </w:tc>
        <w:tc>
          <w:tcPr>
            <w:tcW w:w="1559" w:type="dxa"/>
            <w:tcBorders>
              <w:top w:val="single" w:sz="4" w:space="0" w:color="auto"/>
            </w:tcBorders>
          </w:tcPr>
          <w:p w14:paraId="36216913" w14:textId="77777777" w:rsidR="007E071A" w:rsidRPr="00A967D7" w:rsidRDefault="007E071A" w:rsidP="007E071A">
            <w:pPr>
              <w:spacing w:after="0" w:line="240" w:lineRule="auto"/>
              <w:jc w:val="center"/>
              <w:rPr>
                <w:rFonts w:cs="Times New Roman"/>
              </w:rPr>
            </w:pPr>
            <w:r>
              <w:rPr>
                <w:rFonts w:cs="Times New Roman"/>
              </w:rPr>
              <w:t>ND</w:t>
            </w:r>
            <w:r w:rsidRPr="0029227E">
              <w:rPr>
                <w:rFonts w:cs="Times New Roman"/>
                <w:vertAlign w:val="superscript"/>
              </w:rPr>
              <w:t>¥</w:t>
            </w:r>
          </w:p>
        </w:tc>
        <w:tc>
          <w:tcPr>
            <w:tcW w:w="1559" w:type="dxa"/>
            <w:tcBorders>
              <w:top w:val="single" w:sz="4" w:space="0" w:color="auto"/>
            </w:tcBorders>
          </w:tcPr>
          <w:p w14:paraId="3AC8DD10" w14:textId="77777777" w:rsidR="007E071A" w:rsidRPr="00A967D7" w:rsidRDefault="007E071A" w:rsidP="007E071A">
            <w:pPr>
              <w:spacing w:after="0" w:line="240" w:lineRule="auto"/>
              <w:jc w:val="center"/>
              <w:rPr>
                <w:rFonts w:cs="Times New Roman"/>
              </w:rPr>
            </w:pPr>
            <w:r w:rsidRPr="00A967D7">
              <w:rPr>
                <w:rFonts w:cs="Times New Roman"/>
              </w:rPr>
              <w:t>34.3:1</w:t>
            </w:r>
          </w:p>
        </w:tc>
        <w:tc>
          <w:tcPr>
            <w:tcW w:w="1559" w:type="dxa"/>
            <w:tcBorders>
              <w:top w:val="single" w:sz="4" w:space="0" w:color="auto"/>
            </w:tcBorders>
          </w:tcPr>
          <w:p w14:paraId="46D57C83" w14:textId="77777777" w:rsidR="007E071A" w:rsidRPr="00A967D7" w:rsidRDefault="007E071A" w:rsidP="007E071A">
            <w:pPr>
              <w:spacing w:after="0" w:line="240" w:lineRule="auto"/>
              <w:jc w:val="center"/>
              <w:rPr>
                <w:rFonts w:cs="Times New Roman"/>
              </w:rPr>
            </w:pPr>
            <w:r w:rsidRPr="00A967D7">
              <w:rPr>
                <w:rFonts w:cs="Times New Roman"/>
              </w:rPr>
              <w:t>43.4:1</w:t>
            </w:r>
          </w:p>
        </w:tc>
        <w:tc>
          <w:tcPr>
            <w:tcW w:w="1560" w:type="dxa"/>
            <w:tcBorders>
              <w:top w:val="single" w:sz="4" w:space="0" w:color="auto"/>
            </w:tcBorders>
          </w:tcPr>
          <w:p w14:paraId="0716954B" w14:textId="77777777" w:rsidR="007E071A" w:rsidRPr="00A967D7" w:rsidRDefault="007E071A" w:rsidP="007E071A">
            <w:pPr>
              <w:spacing w:after="0" w:line="240" w:lineRule="auto"/>
              <w:jc w:val="center"/>
              <w:rPr>
                <w:rFonts w:cs="Times New Roman"/>
              </w:rPr>
            </w:pPr>
            <w:r w:rsidRPr="00A967D7">
              <w:rPr>
                <w:rFonts w:cs="Times New Roman"/>
              </w:rPr>
              <w:t>6:1</w:t>
            </w:r>
          </w:p>
        </w:tc>
      </w:tr>
      <w:tr w:rsidR="007E071A" w:rsidRPr="00A967D7" w14:paraId="50988956" w14:textId="77777777" w:rsidTr="00B938AA">
        <w:tc>
          <w:tcPr>
            <w:tcW w:w="4157" w:type="dxa"/>
          </w:tcPr>
          <w:p w14:paraId="6A759E03" w14:textId="77777777" w:rsidR="007E071A" w:rsidRPr="00A967D7" w:rsidRDefault="007E071A" w:rsidP="00843E4B">
            <w:pPr>
              <w:spacing w:after="0" w:line="240" w:lineRule="auto"/>
              <w:jc w:val="left"/>
              <w:rPr>
                <w:rFonts w:cs="Times New Roman"/>
              </w:rPr>
            </w:pPr>
            <w:r>
              <w:rPr>
                <w:rFonts w:cs="Times New Roman"/>
              </w:rPr>
              <w:t>B</w:t>
            </w:r>
            <w:r w:rsidRPr="00A967D7">
              <w:rPr>
                <w:rFonts w:cs="Times New Roman"/>
              </w:rPr>
              <w:t>aobab</w:t>
            </w:r>
            <w:r>
              <w:rPr>
                <w:rFonts w:cs="Times New Roman"/>
              </w:rPr>
              <w:t xml:space="preserve"> fruit pulp</w:t>
            </w:r>
          </w:p>
        </w:tc>
        <w:tc>
          <w:tcPr>
            <w:tcW w:w="1338" w:type="dxa"/>
          </w:tcPr>
          <w:p w14:paraId="3D3BC643" w14:textId="77777777" w:rsidR="007E071A" w:rsidRPr="00A967D7" w:rsidRDefault="007E071A" w:rsidP="007E071A">
            <w:pPr>
              <w:spacing w:after="0" w:line="240" w:lineRule="auto"/>
              <w:jc w:val="center"/>
              <w:rPr>
                <w:rFonts w:cs="Times New Roman"/>
              </w:rPr>
            </w:pPr>
            <w:r w:rsidRPr="00A967D7">
              <w:rPr>
                <w:rFonts w:cs="Times New Roman"/>
              </w:rPr>
              <w:t>414</w:t>
            </w:r>
            <w:r w:rsidRPr="00A967D7">
              <w:rPr>
                <w:rFonts w:cs="Times New Roman"/>
                <w:vertAlign w:val="superscript"/>
              </w:rPr>
              <w:t>b</w:t>
            </w:r>
            <w:r w:rsidRPr="00A967D7">
              <w:rPr>
                <w:rFonts w:cs="Times New Roman"/>
              </w:rPr>
              <w:t xml:space="preserve"> ± 37</w:t>
            </w:r>
          </w:p>
        </w:tc>
        <w:tc>
          <w:tcPr>
            <w:tcW w:w="1559" w:type="dxa"/>
          </w:tcPr>
          <w:p w14:paraId="3931C4C4" w14:textId="77777777" w:rsidR="007E071A" w:rsidRPr="00A967D7" w:rsidRDefault="007E071A" w:rsidP="007E071A">
            <w:pPr>
              <w:spacing w:after="0" w:line="240" w:lineRule="auto"/>
              <w:jc w:val="center"/>
              <w:rPr>
                <w:rFonts w:cs="Times New Roman"/>
              </w:rPr>
            </w:pPr>
            <w:r>
              <w:rPr>
                <w:rFonts w:cs="Times New Roman"/>
              </w:rPr>
              <w:t>1707</w:t>
            </w:r>
            <w:r w:rsidRPr="0040274C">
              <w:rPr>
                <w:rFonts w:cs="Times New Roman"/>
                <w:vertAlign w:val="superscript"/>
              </w:rPr>
              <w:t>e</w:t>
            </w:r>
            <w:r>
              <w:rPr>
                <w:rFonts w:cs="Times New Roman"/>
              </w:rPr>
              <w:t xml:space="preserve"> </w:t>
            </w:r>
            <w:r w:rsidRPr="00A967D7">
              <w:rPr>
                <w:rFonts w:cs="Times New Roman"/>
              </w:rPr>
              <w:t>±</w:t>
            </w:r>
            <w:r>
              <w:rPr>
                <w:rFonts w:cs="Times New Roman"/>
              </w:rPr>
              <w:t xml:space="preserve"> 22</w:t>
            </w:r>
          </w:p>
        </w:tc>
        <w:tc>
          <w:tcPr>
            <w:tcW w:w="1559" w:type="dxa"/>
          </w:tcPr>
          <w:p w14:paraId="45567788" w14:textId="77777777" w:rsidR="007E071A" w:rsidRPr="00A967D7" w:rsidRDefault="007E071A" w:rsidP="007E071A">
            <w:pPr>
              <w:spacing w:after="0" w:line="240" w:lineRule="auto"/>
              <w:jc w:val="center"/>
              <w:rPr>
                <w:rFonts w:cs="Times New Roman"/>
              </w:rPr>
            </w:pPr>
            <w:r>
              <w:rPr>
                <w:rFonts w:cs="Times New Roman"/>
              </w:rPr>
              <w:t xml:space="preserve">9860 </w:t>
            </w:r>
            <w:r w:rsidRPr="00A967D7">
              <w:rPr>
                <w:rFonts w:cs="Times New Roman"/>
              </w:rPr>
              <w:t>±</w:t>
            </w:r>
            <w:r>
              <w:rPr>
                <w:rFonts w:cs="Times New Roman"/>
              </w:rPr>
              <w:t xml:space="preserve"> 220</w:t>
            </w:r>
          </w:p>
        </w:tc>
        <w:tc>
          <w:tcPr>
            <w:tcW w:w="1559" w:type="dxa"/>
          </w:tcPr>
          <w:p w14:paraId="21347E91" w14:textId="77777777" w:rsidR="007E071A" w:rsidRPr="00A967D7" w:rsidRDefault="007E071A" w:rsidP="007E071A">
            <w:pPr>
              <w:spacing w:after="0" w:line="240" w:lineRule="auto"/>
              <w:jc w:val="center"/>
              <w:rPr>
                <w:rFonts w:cs="Times New Roman"/>
              </w:rPr>
            </w:pPr>
            <w:r w:rsidRPr="00A967D7">
              <w:rPr>
                <w:rFonts w:cs="Times New Roman"/>
              </w:rPr>
              <w:t>20.1:1</w:t>
            </w:r>
          </w:p>
        </w:tc>
        <w:tc>
          <w:tcPr>
            <w:tcW w:w="1559" w:type="dxa"/>
          </w:tcPr>
          <w:p w14:paraId="75E83233" w14:textId="77777777" w:rsidR="007E071A" w:rsidRPr="00A967D7" w:rsidRDefault="007E071A" w:rsidP="007E071A">
            <w:pPr>
              <w:spacing w:after="0" w:line="240" w:lineRule="auto"/>
              <w:jc w:val="center"/>
              <w:rPr>
                <w:rFonts w:cs="Times New Roman"/>
              </w:rPr>
            </w:pPr>
            <w:r w:rsidRPr="00A967D7">
              <w:rPr>
                <w:rFonts w:cs="Times New Roman"/>
              </w:rPr>
              <w:t>43.0:1</w:t>
            </w:r>
          </w:p>
        </w:tc>
        <w:tc>
          <w:tcPr>
            <w:tcW w:w="1560" w:type="dxa"/>
          </w:tcPr>
          <w:p w14:paraId="67DAD133" w14:textId="77777777" w:rsidR="007E071A" w:rsidRPr="00A967D7" w:rsidRDefault="007E071A" w:rsidP="007E071A">
            <w:pPr>
              <w:spacing w:after="0" w:line="240" w:lineRule="auto"/>
              <w:jc w:val="center"/>
              <w:rPr>
                <w:rFonts w:cs="Times New Roman"/>
              </w:rPr>
            </w:pPr>
            <w:r w:rsidRPr="00A967D7">
              <w:rPr>
                <w:rFonts w:cs="Times New Roman"/>
              </w:rPr>
              <w:t>389:1</w:t>
            </w:r>
          </w:p>
        </w:tc>
      </w:tr>
      <w:tr w:rsidR="007E071A" w:rsidRPr="00A967D7" w14:paraId="7F52A9AB" w14:textId="77777777" w:rsidTr="00B938AA">
        <w:tc>
          <w:tcPr>
            <w:tcW w:w="4157" w:type="dxa"/>
          </w:tcPr>
          <w:p w14:paraId="06D99318" w14:textId="77777777" w:rsidR="007E071A" w:rsidRPr="00A967D7" w:rsidRDefault="007E071A" w:rsidP="00843E4B">
            <w:pPr>
              <w:spacing w:after="0" w:line="240" w:lineRule="auto"/>
              <w:jc w:val="left"/>
              <w:rPr>
                <w:rFonts w:cs="Times New Roman"/>
              </w:rPr>
            </w:pPr>
            <w:r w:rsidRPr="00A967D7">
              <w:rPr>
                <w:rFonts w:cs="Times New Roman"/>
              </w:rPr>
              <w:t>Moringa leaves (M)</w:t>
            </w:r>
            <w:r w:rsidRPr="00A967D7">
              <w:rPr>
                <w:rFonts w:cs="Times New Roman"/>
                <w:vertAlign w:val="superscript"/>
              </w:rPr>
              <w:t>$</w:t>
            </w:r>
          </w:p>
        </w:tc>
        <w:tc>
          <w:tcPr>
            <w:tcW w:w="1338" w:type="dxa"/>
          </w:tcPr>
          <w:p w14:paraId="63ECB3F1" w14:textId="77777777" w:rsidR="007E071A" w:rsidRPr="00A967D7" w:rsidRDefault="007E071A" w:rsidP="007E071A">
            <w:pPr>
              <w:spacing w:after="0" w:line="240" w:lineRule="auto"/>
              <w:jc w:val="center"/>
              <w:rPr>
                <w:rFonts w:cs="Times New Roman"/>
              </w:rPr>
            </w:pPr>
            <w:r w:rsidRPr="00A967D7">
              <w:rPr>
                <w:rFonts w:cs="Times New Roman"/>
              </w:rPr>
              <w:t>1004</w:t>
            </w:r>
            <w:r w:rsidRPr="00A967D7">
              <w:rPr>
                <w:rFonts w:cs="Times New Roman"/>
                <w:vertAlign w:val="superscript"/>
              </w:rPr>
              <w:t>d</w:t>
            </w:r>
            <w:r w:rsidRPr="00A967D7">
              <w:rPr>
                <w:rFonts w:cs="Times New Roman"/>
              </w:rPr>
              <w:t xml:space="preserve"> ± 79</w:t>
            </w:r>
          </w:p>
        </w:tc>
        <w:tc>
          <w:tcPr>
            <w:tcW w:w="1559" w:type="dxa"/>
          </w:tcPr>
          <w:p w14:paraId="0AC0158C" w14:textId="77777777" w:rsidR="007E071A" w:rsidRPr="00A967D7" w:rsidRDefault="007E071A" w:rsidP="007E071A">
            <w:pPr>
              <w:spacing w:after="0" w:line="240" w:lineRule="auto"/>
              <w:jc w:val="center"/>
              <w:rPr>
                <w:rFonts w:cs="Times New Roman"/>
              </w:rPr>
            </w:pPr>
            <w:r>
              <w:rPr>
                <w:rFonts w:cs="Times New Roman"/>
              </w:rPr>
              <w:t>1194</w:t>
            </w:r>
            <w:r w:rsidRPr="00A7661D">
              <w:rPr>
                <w:rFonts w:cs="Times New Roman"/>
                <w:vertAlign w:val="superscript"/>
              </w:rPr>
              <w:t>#</w:t>
            </w:r>
          </w:p>
        </w:tc>
        <w:tc>
          <w:tcPr>
            <w:tcW w:w="1559" w:type="dxa"/>
          </w:tcPr>
          <w:p w14:paraId="06074C0B" w14:textId="77777777" w:rsidR="007E071A" w:rsidRPr="00A967D7" w:rsidRDefault="007E071A" w:rsidP="007E071A">
            <w:pPr>
              <w:spacing w:after="0" w:line="240" w:lineRule="auto"/>
              <w:jc w:val="center"/>
              <w:rPr>
                <w:rFonts w:cs="Times New Roman"/>
              </w:rPr>
            </w:pPr>
            <w:r>
              <w:rPr>
                <w:rFonts w:cs="Times New Roman"/>
              </w:rPr>
              <w:t>ND</w:t>
            </w:r>
          </w:p>
        </w:tc>
        <w:tc>
          <w:tcPr>
            <w:tcW w:w="1559" w:type="dxa"/>
          </w:tcPr>
          <w:p w14:paraId="60FCED9A" w14:textId="77777777" w:rsidR="007E071A" w:rsidRPr="00A967D7" w:rsidRDefault="007E071A" w:rsidP="007E071A">
            <w:pPr>
              <w:spacing w:after="0" w:line="240" w:lineRule="auto"/>
              <w:jc w:val="center"/>
              <w:rPr>
                <w:rFonts w:cs="Times New Roman"/>
              </w:rPr>
            </w:pPr>
            <w:r w:rsidRPr="00A967D7">
              <w:rPr>
                <w:rFonts w:cs="Times New Roman"/>
              </w:rPr>
              <w:t>2.5:1</w:t>
            </w:r>
          </w:p>
        </w:tc>
        <w:tc>
          <w:tcPr>
            <w:tcW w:w="1559" w:type="dxa"/>
          </w:tcPr>
          <w:p w14:paraId="62342235" w14:textId="77777777" w:rsidR="007E071A" w:rsidRPr="00A967D7" w:rsidRDefault="007E071A" w:rsidP="007E071A">
            <w:pPr>
              <w:spacing w:after="0" w:line="240" w:lineRule="auto"/>
              <w:jc w:val="center"/>
              <w:rPr>
                <w:rFonts w:cs="Times New Roman"/>
              </w:rPr>
            </w:pPr>
            <w:r w:rsidRPr="00A967D7">
              <w:rPr>
                <w:rFonts w:cs="Times New Roman"/>
              </w:rPr>
              <w:t>32.3:1</w:t>
            </w:r>
          </w:p>
        </w:tc>
        <w:tc>
          <w:tcPr>
            <w:tcW w:w="1560" w:type="dxa"/>
          </w:tcPr>
          <w:p w14:paraId="05112F5D" w14:textId="77777777" w:rsidR="007E071A" w:rsidRPr="00A967D7" w:rsidRDefault="007E071A" w:rsidP="007E071A">
            <w:pPr>
              <w:spacing w:after="0" w:line="240" w:lineRule="auto"/>
              <w:jc w:val="center"/>
              <w:rPr>
                <w:rFonts w:cs="Times New Roman"/>
              </w:rPr>
            </w:pPr>
            <w:r w:rsidRPr="00A967D7">
              <w:rPr>
                <w:rFonts w:cs="Times New Roman"/>
              </w:rPr>
              <w:t>1882:1</w:t>
            </w:r>
          </w:p>
        </w:tc>
      </w:tr>
      <w:tr w:rsidR="007E071A" w:rsidRPr="00A967D7" w14:paraId="3E559ED6" w14:textId="77777777" w:rsidTr="00B938AA">
        <w:tc>
          <w:tcPr>
            <w:tcW w:w="4157" w:type="dxa"/>
          </w:tcPr>
          <w:p w14:paraId="21440FBE" w14:textId="77777777" w:rsidR="007E071A" w:rsidRPr="00A967D7" w:rsidRDefault="007E071A" w:rsidP="00843E4B">
            <w:pPr>
              <w:spacing w:after="0" w:line="240" w:lineRule="auto"/>
              <w:jc w:val="left"/>
              <w:rPr>
                <w:rFonts w:cs="Times New Roman"/>
              </w:rPr>
            </w:pPr>
            <w:r w:rsidRPr="00A967D7">
              <w:rPr>
                <w:rFonts w:cs="Times New Roman"/>
              </w:rPr>
              <w:t>Moringa leaves (S)</w:t>
            </w:r>
            <w:r w:rsidRPr="00A967D7">
              <w:rPr>
                <w:rFonts w:cs="Times New Roman"/>
                <w:vertAlign w:val="superscript"/>
              </w:rPr>
              <w:t>$</w:t>
            </w:r>
          </w:p>
        </w:tc>
        <w:tc>
          <w:tcPr>
            <w:tcW w:w="1338" w:type="dxa"/>
          </w:tcPr>
          <w:p w14:paraId="4B1CA0FF" w14:textId="77777777" w:rsidR="007E071A" w:rsidRPr="00A967D7" w:rsidRDefault="007E071A" w:rsidP="007E071A">
            <w:pPr>
              <w:spacing w:after="0" w:line="240" w:lineRule="auto"/>
              <w:jc w:val="center"/>
              <w:rPr>
                <w:rFonts w:cs="Times New Roman"/>
              </w:rPr>
            </w:pPr>
            <w:r>
              <w:rPr>
                <w:rFonts w:cs="Times New Roman"/>
              </w:rPr>
              <w:t>1877</w:t>
            </w:r>
            <w:r w:rsidRPr="00F63E69">
              <w:rPr>
                <w:rFonts w:cs="Times New Roman"/>
                <w:vertAlign w:val="superscript"/>
              </w:rPr>
              <w:t>e</w:t>
            </w:r>
            <w:r>
              <w:rPr>
                <w:rFonts w:cs="Times New Roman"/>
              </w:rPr>
              <w:t xml:space="preserve"> </w:t>
            </w:r>
            <w:r w:rsidRPr="00A967D7">
              <w:rPr>
                <w:rFonts w:cs="Times New Roman"/>
              </w:rPr>
              <w:t>±</w:t>
            </w:r>
            <w:r>
              <w:rPr>
                <w:rFonts w:cs="Times New Roman"/>
              </w:rPr>
              <w:t xml:space="preserve"> 67</w:t>
            </w:r>
          </w:p>
        </w:tc>
        <w:tc>
          <w:tcPr>
            <w:tcW w:w="1559" w:type="dxa"/>
          </w:tcPr>
          <w:p w14:paraId="24594096" w14:textId="77777777" w:rsidR="007E071A" w:rsidRPr="00A967D7" w:rsidRDefault="007E071A" w:rsidP="007E071A">
            <w:pPr>
              <w:spacing w:after="0" w:line="240" w:lineRule="auto"/>
              <w:jc w:val="center"/>
              <w:rPr>
                <w:rFonts w:cs="Times New Roman"/>
              </w:rPr>
            </w:pPr>
            <w:r>
              <w:rPr>
                <w:rFonts w:cs="Times New Roman"/>
              </w:rPr>
              <w:t>1418</w:t>
            </w:r>
            <w:r w:rsidRPr="00A967D7">
              <w:rPr>
                <w:rFonts w:cs="Times New Roman"/>
                <w:vertAlign w:val="superscript"/>
              </w:rPr>
              <w:t>d</w:t>
            </w:r>
            <w:r>
              <w:rPr>
                <w:rFonts w:cs="Times New Roman"/>
              </w:rPr>
              <w:t xml:space="preserve"> </w:t>
            </w:r>
            <w:r w:rsidRPr="00A967D7">
              <w:rPr>
                <w:rFonts w:cs="Times New Roman"/>
              </w:rPr>
              <w:t>±</w:t>
            </w:r>
            <w:r>
              <w:rPr>
                <w:rFonts w:cs="Times New Roman"/>
              </w:rPr>
              <w:t xml:space="preserve"> 14</w:t>
            </w:r>
          </w:p>
        </w:tc>
        <w:tc>
          <w:tcPr>
            <w:tcW w:w="1559" w:type="dxa"/>
          </w:tcPr>
          <w:p w14:paraId="0F0F8E31" w14:textId="77777777" w:rsidR="007E071A" w:rsidRPr="00A967D7" w:rsidRDefault="007E071A" w:rsidP="007E071A">
            <w:pPr>
              <w:spacing w:after="0" w:line="240" w:lineRule="auto"/>
              <w:jc w:val="center"/>
              <w:rPr>
                <w:rFonts w:cs="Times New Roman"/>
              </w:rPr>
            </w:pPr>
            <w:r>
              <w:rPr>
                <w:rFonts w:cs="Times New Roman"/>
              </w:rPr>
              <w:t>ND</w:t>
            </w:r>
          </w:p>
        </w:tc>
        <w:tc>
          <w:tcPr>
            <w:tcW w:w="1559" w:type="dxa"/>
          </w:tcPr>
          <w:p w14:paraId="62CE9D27" w14:textId="77777777" w:rsidR="007E071A" w:rsidRPr="00A967D7" w:rsidRDefault="007E071A" w:rsidP="007E071A">
            <w:pPr>
              <w:spacing w:after="0" w:line="240" w:lineRule="auto"/>
              <w:jc w:val="center"/>
              <w:rPr>
                <w:rFonts w:cs="Times New Roman"/>
              </w:rPr>
            </w:pPr>
            <w:r>
              <w:rPr>
                <w:rFonts w:cs="Times New Roman"/>
              </w:rPr>
              <w:t>1.4</w:t>
            </w:r>
            <w:r w:rsidRPr="00A967D7">
              <w:rPr>
                <w:rFonts w:cs="Times New Roman"/>
              </w:rPr>
              <w:t>:1</w:t>
            </w:r>
          </w:p>
        </w:tc>
        <w:tc>
          <w:tcPr>
            <w:tcW w:w="1559" w:type="dxa"/>
          </w:tcPr>
          <w:p w14:paraId="2B6FD994" w14:textId="77777777" w:rsidR="007E071A" w:rsidRPr="00A967D7" w:rsidRDefault="007E071A" w:rsidP="007E071A">
            <w:pPr>
              <w:spacing w:after="0" w:line="240" w:lineRule="auto"/>
              <w:jc w:val="center"/>
              <w:rPr>
                <w:rFonts w:cs="Times New Roman"/>
              </w:rPr>
            </w:pPr>
            <w:r>
              <w:rPr>
                <w:rFonts w:cs="Times New Roman"/>
              </w:rPr>
              <w:t>70.9</w:t>
            </w:r>
            <w:r w:rsidRPr="00A967D7">
              <w:rPr>
                <w:rFonts w:cs="Times New Roman"/>
              </w:rPr>
              <w:t>:1</w:t>
            </w:r>
          </w:p>
        </w:tc>
        <w:tc>
          <w:tcPr>
            <w:tcW w:w="1560" w:type="dxa"/>
          </w:tcPr>
          <w:p w14:paraId="7CFAD8A1" w14:textId="77777777" w:rsidR="007E071A" w:rsidRPr="00A967D7" w:rsidRDefault="007E071A" w:rsidP="007E071A">
            <w:pPr>
              <w:spacing w:after="0" w:line="240" w:lineRule="auto"/>
              <w:jc w:val="center"/>
              <w:rPr>
                <w:rFonts w:cs="Times New Roman"/>
              </w:rPr>
            </w:pPr>
            <w:r>
              <w:rPr>
                <w:rFonts w:cs="Times New Roman"/>
              </w:rPr>
              <w:t>6584</w:t>
            </w:r>
            <w:r w:rsidRPr="00A967D7">
              <w:rPr>
                <w:rFonts w:cs="Times New Roman"/>
              </w:rPr>
              <w:t>:1</w:t>
            </w:r>
          </w:p>
        </w:tc>
      </w:tr>
      <w:tr w:rsidR="007E071A" w:rsidRPr="00A967D7" w14:paraId="780F6C15" w14:textId="77777777" w:rsidTr="00B938AA">
        <w:tc>
          <w:tcPr>
            <w:tcW w:w="4157" w:type="dxa"/>
          </w:tcPr>
          <w:p w14:paraId="75BB4571" w14:textId="77777777" w:rsidR="007E071A" w:rsidRPr="00A967D7" w:rsidRDefault="007E071A" w:rsidP="00843E4B">
            <w:pPr>
              <w:spacing w:after="0" w:line="240" w:lineRule="auto"/>
              <w:jc w:val="left"/>
              <w:rPr>
                <w:rFonts w:cs="Times New Roman"/>
              </w:rPr>
            </w:pPr>
            <w:r>
              <w:rPr>
                <w:rFonts w:cs="Times New Roman"/>
              </w:rPr>
              <w:t>C</w:t>
            </w:r>
            <w:r w:rsidRPr="00A967D7">
              <w:rPr>
                <w:rFonts w:cs="Times New Roman"/>
              </w:rPr>
              <w:t>arrot</w:t>
            </w:r>
          </w:p>
        </w:tc>
        <w:tc>
          <w:tcPr>
            <w:tcW w:w="1338" w:type="dxa"/>
          </w:tcPr>
          <w:p w14:paraId="2C63E7C1" w14:textId="77777777" w:rsidR="007E071A" w:rsidRPr="00A967D7" w:rsidRDefault="007E071A" w:rsidP="007E071A">
            <w:pPr>
              <w:spacing w:after="0" w:line="240" w:lineRule="auto"/>
              <w:jc w:val="center"/>
              <w:rPr>
                <w:rFonts w:cs="Times New Roman"/>
              </w:rPr>
            </w:pPr>
            <w:r w:rsidRPr="00A967D7">
              <w:rPr>
                <w:rFonts w:cs="Times New Roman"/>
              </w:rPr>
              <w:t>212</w:t>
            </w:r>
            <w:r w:rsidRPr="00A967D7">
              <w:rPr>
                <w:rFonts w:cs="Times New Roman"/>
                <w:vertAlign w:val="superscript"/>
              </w:rPr>
              <w:t>a</w:t>
            </w:r>
            <w:r w:rsidRPr="00A967D7">
              <w:rPr>
                <w:rFonts w:cs="Times New Roman"/>
              </w:rPr>
              <w:t xml:space="preserve"> ± 17</w:t>
            </w:r>
          </w:p>
        </w:tc>
        <w:tc>
          <w:tcPr>
            <w:tcW w:w="1559" w:type="dxa"/>
          </w:tcPr>
          <w:p w14:paraId="0FBE9994" w14:textId="77777777" w:rsidR="007E071A" w:rsidRPr="00A967D7" w:rsidRDefault="007E071A" w:rsidP="007E071A">
            <w:pPr>
              <w:spacing w:after="0" w:line="240" w:lineRule="auto"/>
              <w:jc w:val="center"/>
              <w:rPr>
                <w:rFonts w:cs="Times New Roman"/>
              </w:rPr>
            </w:pPr>
            <w:r>
              <w:rPr>
                <w:rFonts w:cs="Times New Roman"/>
              </w:rPr>
              <w:t>241</w:t>
            </w:r>
            <w:r w:rsidRPr="00A967D7">
              <w:rPr>
                <w:rFonts w:cs="Times New Roman"/>
                <w:vertAlign w:val="superscript"/>
              </w:rPr>
              <w:t>b</w:t>
            </w:r>
            <w:r>
              <w:rPr>
                <w:rFonts w:cs="Times New Roman"/>
              </w:rPr>
              <w:t xml:space="preserve"> </w:t>
            </w:r>
            <w:r w:rsidRPr="00A967D7">
              <w:rPr>
                <w:rFonts w:cs="Times New Roman"/>
              </w:rPr>
              <w:t>±</w:t>
            </w:r>
            <w:r>
              <w:rPr>
                <w:rFonts w:cs="Times New Roman"/>
              </w:rPr>
              <w:t xml:space="preserve"> 7</w:t>
            </w:r>
          </w:p>
        </w:tc>
        <w:tc>
          <w:tcPr>
            <w:tcW w:w="1559" w:type="dxa"/>
          </w:tcPr>
          <w:p w14:paraId="1E167AAA" w14:textId="77777777" w:rsidR="007E071A" w:rsidRPr="00A967D7" w:rsidRDefault="007E071A" w:rsidP="007E071A">
            <w:pPr>
              <w:spacing w:after="0" w:line="240" w:lineRule="auto"/>
              <w:jc w:val="center"/>
              <w:rPr>
                <w:rFonts w:cs="Times New Roman"/>
              </w:rPr>
            </w:pPr>
            <w:r>
              <w:rPr>
                <w:rFonts w:cs="Times New Roman"/>
              </w:rPr>
              <w:t>ND</w:t>
            </w:r>
          </w:p>
        </w:tc>
        <w:tc>
          <w:tcPr>
            <w:tcW w:w="1559" w:type="dxa"/>
          </w:tcPr>
          <w:p w14:paraId="5F6C9290" w14:textId="77777777" w:rsidR="007E071A" w:rsidRPr="00A967D7" w:rsidRDefault="007E071A" w:rsidP="007E071A">
            <w:pPr>
              <w:spacing w:after="0" w:line="240" w:lineRule="auto"/>
              <w:jc w:val="center"/>
              <w:rPr>
                <w:rFonts w:cs="Times New Roman"/>
              </w:rPr>
            </w:pPr>
            <w:r w:rsidRPr="00A967D7">
              <w:rPr>
                <w:rFonts w:cs="Times New Roman"/>
              </w:rPr>
              <w:t>3.4:1</w:t>
            </w:r>
          </w:p>
        </w:tc>
        <w:tc>
          <w:tcPr>
            <w:tcW w:w="1559" w:type="dxa"/>
          </w:tcPr>
          <w:p w14:paraId="633F911A" w14:textId="77777777" w:rsidR="007E071A" w:rsidRPr="00A967D7" w:rsidRDefault="007E071A" w:rsidP="007E071A">
            <w:pPr>
              <w:spacing w:after="0" w:line="240" w:lineRule="auto"/>
              <w:jc w:val="center"/>
              <w:rPr>
                <w:rFonts w:cs="Times New Roman"/>
              </w:rPr>
            </w:pPr>
            <w:r w:rsidRPr="00A967D7">
              <w:rPr>
                <w:rFonts w:cs="Times New Roman"/>
              </w:rPr>
              <w:t>7.6:1</w:t>
            </w:r>
          </w:p>
        </w:tc>
        <w:tc>
          <w:tcPr>
            <w:tcW w:w="1560" w:type="dxa"/>
          </w:tcPr>
          <w:p w14:paraId="18AE76C7" w14:textId="77777777" w:rsidR="007E071A" w:rsidRPr="00A967D7" w:rsidRDefault="007E071A" w:rsidP="007E071A">
            <w:pPr>
              <w:spacing w:after="0" w:line="240" w:lineRule="auto"/>
              <w:jc w:val="center"/>
              <w:rPr>
                <w:rFonts w:cs="Times New Roman"/>
              </w:rPr>
            </w:pPr>
            <w:r w:rsidRPr="00A967D7">
              <w:rPr>
                <w:rFonts w:cs="Times New Roman"/>
              </w:rPr>
              <w:t>31:1</w:t>
            </w:r>
          </w:p>
        </w:tc>
      </w:tr>
      <w:tr w:rsidR="007E071A" w:rsidRPr="00A967D7" w14:paraId="62E8CF34" w14:textId="77777777" w:rsidTr="00B938AA">
        <w:tc>
          <w:tcPr>
            <w:tcW w:w="4157" w:type="dxa"/>
          </w:tcPr>
          <w:p w14:paraId="02B25FE3" w14:textId="77777777" w:rsidR="007E071A" w:rsidRPr="00A967D7" w:rsidRDefault="007E071A" w:rsidP="00843E4B">
            <w:pPr>
              <w:spacing w:after="0" w:line="240" w:lineRule="auto"/>
              <w:jc w:val="left"/>
              <w:rPr>
                <w:rFonts w:cs="Times New Roman"/>
              </w:rPr>
            </w:pPr>
            <w:r>
              <w:rPr>
                <w:rFonts w:cs="Times New Roman"/>
              </w:rPr>
              <w:t>M</w:t>
            </w:r>
            <w:r w:rsidRPr="00A967D7">
              <w:rPr>
                <w:rFonts w:cs="Times New Roman"/>
              </w:rPr>
              <w:t>ango</w:t>
            </w:r>
          </w:p>
        </w:tc>
        <w:tc>
          <w:tcPr>
            <w:tcW w:w="1338" w:type="dxa"/>
          </w:tcPr>
          <w:p w14:paraId="10153D7E" w14:textId="77777777" w:rsidR="007E071A" w:rsidRPr="00A967D7" w:rsidRDefault="007E071A" w:rsidP="007E071A">
            <w:pPr>
              <w:spacing w:after="0" w:line="240" w:lineRule="auto"/>
              <w:jc w:val="center"/>
              <w:rPr>
                <w:rFonts w:cs="Times New Roman"/>
              </w:rPr>
            </w:pPr>
            <w:r w:rsidRPr="00A967D7">
              <w:rPr>
                <w:rFonts w:cs="Times New Roman"/>
              </w:rPr>
              <w:t>154</w:t>
            </w:r>
            <w:r w:rsidRPr="00A967D7">
              <w:rPr>
                <w:rFonts w:cs="Times New Roman"/>
                <w:vertAlign w:val="superscript"/>
              </w:rPr>
              <w:t>a</w:t>
            </w:r>
            <w:r w:rsidRPr="00A967D7">
              <w:rPr>
                <w:rFonts w:cs="Times New Roman"/>
              </w:rPr>
              <w:t xml:space="preserve"> ± 11</w:t>
            </w:r>
          </w:p>
        </w:tc>
        <w:tc>
          <w:tcPr>
            <w:tcW w:w="1559" w:type="dxa"/>
          </w:tcPr>
          <w:p w14:paraId="19E4BCD5" w14:textId="77777777" w:rsidR="007E071A" w:rsidRPr="00A967D7" w:rsidRDefault="007E071A" w:rsidP="007E071A">
            <w:pPr>
              <w:spacing w:after="0" w:line="240" w:lineRule="auto"/>
              <w:jc w:val="center"/>
              <w:rPr>
                <w:rFonts w:cs="Times New Roman"/>
              </w:rPr>
            </w:pPr>
            <w:r>
              <w:rPr>
                <w:rFonts w:cs="Times New Roman"/>
              </w:rPr>
              <w:t>396</w:t>
            </w:r>
            <w:r w:rsidRPr="00A967D7">
              <w:rPr>
                <w:rFonts w:cs="Times New Roman"/>
                <w:vertAlign w:val="superscript"/>
              </w:rPr>
              <w:t>c</w:t>
            </w:r>
            <w:r>
              <w:rPr>
                <w:rFonts w:cs="Times New Roman"/>
              </w:rPr>
              <w:t xml:space="preserve"> </w:t>
            </w:r>
            <w:r w:rsidRPr="00A967D7">
              <w:rPr>
                <w:rFonts w:cs="Times New Roman"/>
              </w:rPr>
              <w:t>±</w:t>
            </w:r>
            <w:r>
              <w:rPr>
                <w:rFonts w:cs="Times New Roman"/>
              </w:rPr>
              <w:t xml:space="preserve"> 9</w:t>
            </w:r>
          </w:p>
        </w:tc>
        <w:tc>
          <w:tcPr>
            <w:tcW w:w="1559" w:type="dxa"/>
          </w:tcPr>
          <w:p w14:paraId="772CE861" w14:textId="77777777" w:rsidR="007E071A" w:rsidRPr="00A967D7" w:rsidRDefault="007E071A" w:rsidP="007E071A">
            <w:pPr>
              <w:spacing w:after="0" w:line="240" w:lineRule="auto"/>
              <w:jc w:val="center"/>
              <w:rPr>
                <w:rFonts w:cs="Times New Roman"/>
              </w:rPr>
            </w:pPr>
            <w:r>
              <w:rPr>
                <w:rFonts w:cs="Times New Roman"/>
              </w:rPr>
              <w:t>ND</w:t>
            </w:r>
          </w:p>
        </w:tc>
        <w:tc>
          <w:tcPr>
            <w:tcW w:w="1559" w:type="dxa"/>
          </w:tcPr>
          <w:p w14:paraId="10DBC980" w14:textId="77777777" w:rsidR="007E071A" w:rsidRPr="00A967D7" w:rsidRDefault="007E071A" w:rsidP="007E071A">
            <w:pPr>
              <w:spacing w:after="0" w:line="240" w:lineRule="auto"/>
              <w:jc w:val="center"/>
              <w:rPr>
                <w:rFonts w:cs="Times New Roman"/>
              </w:rPr>
            </w:pPr>
            <w:r w:rsidRPr="00A967D7">
              <w:rPr>
                <w:rFonts w:cs="Times New Roman"/>
              </w:rPr>
              <w:t>7.0:1</w:t>
            </w:r>
          </w:p>
        </w:tc>
        <w:tc>
          <w:tcPr>
            <w:tcW w:w="1559" w:type="dxa"/>
          </w:tcPr>
          <w:p w14:paraId="5ACDFB81" w14:textId="77777777" w:rsidR="007E071A" w:rsidRPr="00A967D7" w:rsidRDefault="007E071A" w:rsidP="007E071A">
            <w:pPr>
              <w:spacing w:after="0" w:line="240" w:lineRule="auto"/>
              <w:jc w:val="center"/>
              <w:rPr>
                <w:rFonts w:cs="Times New Roman"/>
              </w:rPr>
            </w:pPr>
            <w:r w:rsidRPr="00A967D7">
              <w:rPr>
                <w:rFonts w:cs="Times New Roman"/>
              </w:rPr>
              <w:t>43.6:1</w:t>
            </w:r>
          </w:p>
        </w:tc>
        <w:tc>
          <w:tcPr>
            <w:tcW w:w="1560" w:type="dxa"/>
          </w:tcPr>
          <w:p w14:paraId="2B36730F" w14:textId="77777777" w:rsidR="007E071A" w:rsidRPr="00A967D7" w:rsidRDefault="007E071A" w:rsidP="007E071A">
            <w:pPr>
              <w:spacing w:after="0" w:line="240" w:lineRule="auto"/>
              <w:jc w:val="center"/>
              <w:rPr>
                <w:rFonts w:cs="Times New Roman"/>
              </w:rPr>
            </w:pPr>
            <w:r w:rsidRPr="00A967D7">
              <w:rPr>
                <w:rFonts w:cs="Times New Roman"/>
              </w:rPr>
              <w:t>66:1</w:t>
            </w:r>
          </w:p>
        </w:tc>
      </w:tr>
      <w:tr w:rsidR="007E071A" w:rsidRPr="00A967D7" w14:paraId="7EC2F9E7" w14:textId="77777777" w:rsidTr="00B938AA">
        <w:tc>
          <w:tcPr>
            <w:tcW w:w="13291" w:type="dxa"/>
            <w:gridSpan w:val="7"/>
          </w:tcPr>
          <w:p w14:paraId="1861E60B" w14:textId="77777777" w:rsidR="007E071A" w:rsidRPr="00A967D7" w:rsidRDefault="007E071A" w:rsidP="009D523F">
            <w:pPr>
              <w:spacing w:after="0" w:line="240" w:lineRule="auto"/>
              <w:jc w:val="center"/>
              <w:rPr>
                <w:rFonts w:cs="Times New Roman"/>
              </w:rPr>
            </w:pPr>
            <w:r w:rsidRPr="00E815FD">
              <w:rPr>
                <w:rFonts w:cs="Times New Roman"/>
                <w:b/>
                <w:bCs/>
              </w:rPr>
              <w:t xml:space="preserve">Experiment 1 </w:t>
            </w:r>
            <w:r>
              <w:rPr>
                <w:rFonts w:cs="Times New Roman"/>
                <w:b/>
                <w:bCs/>
              </w:rPr>
              <w:t>(Simple porridges)</w:t>
            </w:r>
          </w:p>
        </w:tc>
      </w:tr>
      <w:tr w:rsidR="007E071A" w:rsidRPr="00A967D7" w14:paraId="49B160FB" w14:textId="77777777" w:rsidTr="00B938AA">
        <w:tc>
          <w:tcPr>
            <w:tcW w:w="13291" w:type="dxa"/>
            <w:gridSpan w:val="7"/>
          </w:tcPr>
          <w:p w14:paraId="18F9FED1" w14:textId="77777777" w:rsidR="007E071A" w:rsidRPr="00A967D7" w:rsidRDefault="007E071A" w:rsidP="00843E4B">
            <w:pPr>
              <w:spacing w:after="0" w:line="240" w:lineRule="auto"/>
              <w:jc w:val="left"/>
              <w:rPr>
                <w:rFonts w:cs="Times New Roman"/>
              </w:rPr>
            </w:pPr>
            <w:r w:rsidRPr="00E815FD">
              <w:rPr>
                <w:rFonts w:cs="Times New Roman"/>
                <w:b/>
                <w:bCs/>
              </w:rPr>
              <w:t>Porridge formula</w:t>
            </w:r>
            <w:r>
              <w:rPr>
                <w:rFonts w:cs="Times New Roman"/>
                <w:b/>
                <w:bCs/>
              </w:rPr>
              <w:t>t</w:t>
            </w:r>
            <w:r w:rsidRPr="00E815FD">
              <w:rPr>
                <w:rFonts w:cs="Times New Roman"/>
                <w:b/>
                <w:bCs/>
              </w:rPr>
              <w:t>ions</w:t>
            </w:r>
            <w:r w:rsidRPr="00E815FD">
              <w:rPr>
                <w:rFonts w:cs="Times New Roman"/>
                <w:b/>
                <w:bCs/>
                <w:vertAlign w:val="superscript"/>
              </w:rPr>
              <w:t>*</w:t>
            </w:r>
          </w:p>
        </w:tc>
      </w:tr>
      <w:tr w:rsidR="009D523F" w:rsidRPr="00A967D7" w14:paraId="0090ACF6" w14:textId="77777777" w:rsidTr="00B938AA">
        <w:tc>
          <w:tcPr>
            <w:tcW w:w="4157" w:type="dxa"/>
          </w:tcPr>
          <w:p w14:paraId="12D21596" w14:textId="53073B95" w:rsidR="009D523F" w:rsidRPr="00A967D7" w:rsidRDefault="009D523F" w:rsidP="009D523F">
            <w:pPr>
              <w:spacing w:after="0" w:line="240" w:lineRule="auto"/>
              <w:jc w:val="left"/>
              <w:rPr>
                <w:rFonts w:cs="Times New Roman"/>
              </w:rPr>
            </w:pPr>
            <w:r>
              <w:rPr>
                <w:rFonts w:cs="Times New Roman"/>
              </w:rPr>
              <w:t>M</w:t>
            </w:r>
            <w:r w:rsidRPr="00A967D7">
              <w:rPr>
                <w:rFonts w:cs="Times New Roman"/>
              </w:rPr>
              <w:t>aize</w:t>
            </w:r>
            <w:r>
              <w:rPr>
                <w:rFonts w:cs="Times New Roman"/>
              </w:rPr>
              <w:t xml:space="preserve"> (Control)</w:t>
            </w:r>
          </w:p>
        </w:tc>
        <w:tc>
          <w:tcPr>
            <w:tcW w:w="1338" w:type="dxa"/>
          </w:tcPr>
          <w:p w14:paraId="2092E586" w14:textId="2367F4E0" w:rsidR="009D523F" w:rsidRPr="00A967D7" w:rsidRDefault="009D523F" w:rsidP="009D523F">
            <w:pPr>
              <w:spacing w:after="0" w:line="240" w:lineRule="auto"/>
              <w:jc w:val="center"/>
              <w:rPr>
                <w:rFonts w:cs="Times New Roman"/>
              </w:rPr>
            </w:pPr>
            <w:r w:rsidRPr="00A967D7">
              <w:rPr>
                <w:rFonts w:cs="Times New Roman"/>
              </w:rPr>
              <w:t>830</w:t>
            </w:r>
          </w:p>
        </w:tc>
        <w:tc>
          <w:tcPr>
            <w:tcW w:w="1559" w:type="dxa"/>
          </w:tcPr>
          <w:p w14:paraId="3E7C0AD7" w14:textId="7B60E26B" w:rsidR="009D523F" w:rsidRDefault="009D523F" w:rsidP="009D523F">
            <w:pPr>
              <w:spacing w:after="0" w:line="240" w:lineRule="auto"/>
              <w:jc w:val="center"/>
              <w:rPr>
                <w:rFonts w:cs="Times New Roman"/>
              </w:rPr>
            </w:pPr>
            <w:r>
              <w:rPr>
                <w:rFonts w:cs="Times New Roman"/>
              </w:rPr>
              <w:t>19</w:t>
            </w:r>
          </w:p>
        </w:tc>
        <w:tc>
          <w:tcPr>
            <w:tcW w:w="1559" w:type="dxa"/>
          </w:tcPr>
          <w:p w14:paraId="37B8A6AF" w14:textId="283591EF" w:rsidR="009D523F" w:rsidRDefault="002553AD" w:rsidP="009D523F">
            <w:pPr>
              <w:spacing w:after="0" w:line="240" w:lineRule="auto"/>
              <w:jc w:val="center"/>
              <w:rPr>
                <w:rFonts w:cs="Times New Roman"/>
              </w:rPr>
            </w:pPr>
            <w:r>
              <w:rPr>
                <w:rFonts w:cs="Times New Roman"/>
              </w:rPr>
              <w:t>0</w:t>
            </w:r>
          </w:p>
        </w:tc>
        <w:tc>
          <w:tcPr>
            <w:tcW w:w="1559" w:type="dxa"/>
          </w:tcPr>
          <w:p w14:paraId="41DF537A" w14:textId="37414A3B" w:rsidR="009D523F" w:rsidRPr="00A967D7" w:rsidRDefault="009D523F" w:rsidP="009D523F">
            <w:pPr>
              <w:spacing w:after="0" w:line="240" w:lineRule="auto"/>
              <w:jc w:val="center"/>
              <w:rPr>
                <w:rFonts w:cs="Times New Roman"/>
              </w:rPr>
            </w:pPr>
            <w:r w:rsidRPr="00A967D7">
              <w:rPr>
                <w:rFonts w:cs="Times New Roman"/>
              </w:rPr>
              <w:t>34.3:1</w:t>
            </w:r>
          </w:p>
        </w:tc>
        <w:tc>
          <w:tcPr>
            <w:tcW w:w="1559" w:type="dxa"/>
          </w:tcPr>
          <w:p w14:paraId="2F92493C" w14:textId="5EC97B12" w:rsidR="009D523F" w:rsidRPr="00A967D7" w:rsidRDefault="009D523F" w:rsidP="009D523F">
            <w:pPr>
              <w:spacing w:after="0" w:line="240" w:lineRule="auto"/>
              <w:jc w:val="center"/>
              <w:rPr>
                <w:rFonts w:cs="Times New Roman"/>
              </w:rPr>
            </w:pPr>
            <w:r w:rsidRPr="00A967D7">
              <w:rPr>
                <w:rFonts w:cs="Times New Roman"/>
              </w:rPr>
              <w:t>43.4:1</w:t>
            </w:r>
          </w:p>
        </w:tc>
        <w:tc>
          <w:tcPr>
            <w:tcW w:w="1560" w:type="dxa"/>
          </w:tcPr>
          <w:p w14:paraId="1A105B71" w14:textId="72833FDF" w:rsidR="009D523F" w:rsidRPr="00A967D7" w:rsidRDefault="009D523F" w:rsidP="009D523F">
            <w:pPr>
              <w:spacing w:after="0" w:line="240" w:lineRule="auto"/>
              <w:jc w:val="center"/>
              <w:rPr>
                <w:rFonts w:cs="Times New Roman"/>
              </w:rPr>
            </w:pPr>
            <w:r w:rsidRPr="00A967D7">
              <w:rPr>
                <w:rFonts w:cs="Times New Roman"/>
              </w:rPr>
              <w:t>6:1</w:t>
            </w:r>
          </w:p>
        </w:tc>
      </w:tr>
      <w:tr w:rsidR="007E071A" w:rsidRPr="00A967D7" w14:paraId="79C7EE2D" w14:textId="77777777" w:rsidTr="00B938AA">
        <w:tc>
          <w:tcPr>
            <w:tcW w:w="4157" w:type="dxa"/>
          </w:tcPr>
          <w:p w14:paraId="34E25AD8" w14:textId="77777777" w:rsidR="007E071A" w:rsidRPr="00A967D7" w:rsidRDefault="007E071A" w:rsidP="00843E4B">
            <w:pPr>
              <w:spacing w:after="0" w:line="240" w:lineRule="auto"/>
              <w:jc w:val="left"/>
              <w:rPr>
                <w:rFonts w:cs="Times New Roman"/>
              </w:rPr>
            </w:pPr>
            <w:r w:rsidRPr="00A967D7">
              <w:rPr>
                <w:rFonts w:cs="Times New Roman"/>
              </w:rPr>
              <w:t>Maize+baobab</w:t>
            </w:r>
            <w:r>
              <w:rPr>
                <w:rFonts w:cs="Times New Roman"/>
              </w:rPr>
              <w:t xml:space="preserve"> (100:15)</w:t>
            </w:r>
          </w:p>
        </w:tc>
        <w:tc>
          <w:tcPr>
            <w:tcW w:w="1338" w:type="dxa"/>
          </w:tcPr>
          <w:p w14:paraId="6AC3EC41" w14:textId="77777777" w:rsidR="007E071A" w:rsidRPr="00A967D7" w:rsidRDefault="007E071A" w:rsidP="007E071A">
            <w:pPr>
              <w:spacing w:after="0" w:line="240" w:lineRule="auto"/>
              <w:jc w:val="center"/>
              <w:rPr>
                <w:rFonts w:cs="Times New Roman"/>
              </w:rPr>
            </w:pPr>
            <w:r w:rsidRPr="00A967D7">
              <w:rPr>
                <w:rFonts w:cs="Times New Roman"/>
              </w:rPr>
              <w:t>776</w:t>
            </w:r>
          </w:p>
        </w:tc>
        <w:tc>
          <w:tcPr>
            <w:tcW w:w="1559" w:type="dxa"/>
          </w:tcPr>
          <w:p w14:paraId="794B6701" w14:textId="77777777" w:rsidR="007E071A" w:rsidRPr="00A967D7" w:rsidRDefault="007E071A" w:rsidP="007E071A">
            <w:pPr>
              <w:spacing w:after="0" w:line="240" w:lineRule="auto"/>
              <w:jc w:val="center"/>
              <w:rPr>
                <w:rFonts w:cs="Times New Roman"/>
              </w:rPr>
            </w:pPr>
            <w:r>
              <w:rPr>
                <w:rFonts w:cs="Times New Roman"/>
              </w:rPr>
              <w:t>239</w:t>
            </w:r>
          </w:p>
        </w:tc>
        <w:tc>
          <w:tcPr>
            <w:tcW w:w="1559" w:type="dxa"/>
          </w:tcPr>
          <w:p w14:paraId="5CBB990F" w14:textId="77777777" w:rsidR="007E071A" w:rsidRPr="00A967D7" w:rsidRDefault="007E071A" w:rsidP="007E071A">
            <w:pPr>
              <w:spacing w:after="0" w:line="240" w:lineRule="auto"/>
              <w:jc w:val="center"/>
              <w:rPr>
                <w:rFonts w:cs="Times New Roman"/>
              </w:rPr>
            </w:pPr>
            <w:r>
              <w:rPr>
                <w:rFonts w:cs="Times New Roman"/>
              </w:rPr>
              <w:t>1286</w:t>
            </w:r>
          </w:p>
        </w:tc>
        <w:tc>
          <w:tcPr>
            <w:tcW w:w="1559" w:type="dxa"/>
          </w:tcPr>
          <w:p w14:paraId="23EBAC7E" w14:textId="77777777" w:rsidR="007E071A" w:rsidRPr="00A967D7" w:rsidRDefault="007E071A" w:rsidP="007E071A">
            <w:pPr>
              <w:spacing w:after="0" w:line="240" w:lineRule="auto"/>
              <w:jc w:val="center"/>
              <w:rPr>
                <w:rFonts w:cs="Times New Roman"/>
              </w:rPr>
            </w:pPr>
            <w:r w:rsidRPr="00A967D7">
              <w:rPr>
                <w:rFonts w:cs="Times New Roman"/>
              </w:rPr>
              <w:t>32.7:1</w:t>
            </w:r>
          </w:p>
        </w:tc>
        <w:tc>
          <w:tcPr>
            <w:tcW w:w="1559" w:type="dxa"/>
          </w:tcPr>
          <w:p w14:paraId="234521A9" w14:textId="77777777" w:rsidR="007E071A" w:rsidRPr="00A967D7" w:rsidRDefault="007E071A" w:rsidP="007E071A">
            <w:pPr>
              <w:spacing w:after="0" w:line="240" w:lineRule="auto"/>
              <w:jc w:val="center"/>
              <w:rPr>
                <w:rFonts w:cs="Times New Roman"/>
              </w:rPr>
            </w:pPr>
            <w:r w:rsidRPr="00A967D7">
              <w:rPr>
                <w:rFonts w:cs="Times New Roman"/>
              </w:rPr>
              <w:t>43.4:1</w:t>
            </w:r>
          </w:p>
        </w:tc>
        <w:tc>
          <w:tcPr>
            <w:tcW w:w="1560" w:type="dxa"/>
          </w:tcPr>
          <w:p w14:paraId="2E29199A" w14:textId="77777777" w:rsidR="007E071A" w:rsidRPr="00A967D7" w:rsidRDefault="007E071A" w:rsidP="007E071A">
            <w:pPr>
              <w:spacing w:after="0" w:line="240" w:lineRule="auto"/>
              <w:jc w:val="center"/>
              <w:rPr>
                <w:rFonts w:cs="Times New Roman"/>
              </w:rPr>
            </w:pPr>
            <w:r w:rsidRPr="00A967D7">
              <w:rPr>
                <w:rFonts w:cs="Times New Roman"/>
              </w:rPr>
              <w:t>56:1</w:t>
            </w:r>
          </w:p>
        </w:tc>
      </w:tr>
      <w:tr w:rsidR="007E071A" w:rsidRPr="00A967D7" w14:paraId="65590296" w14:textId="77777777" w:rsidTr="00B938AA">
        <w:tc>
          <w:tcPr>
            <w:tcW w:w="4157" w:type="dxa"/>
          </w:tcPr>
          <w:p w14:paraId="06092E43" w14:textId="77777777" w:rsidR="007E071A" w:rsidRPr="00A967D7" w:rsidRDefault="007E071A" w:rsidP="00843E4B">
            <w:pPr>
              <w:spacing w:after="0" w:line="240" w:lineRule="auto"/>
              <w:jc w:val="left"/>
              <w:rPr>
                <w:rFonts w:cs="Times New Roman"/>
              </w:rPr>
            </w:pPr>
            <w:r w:rsidRPr="00A967D7">
              <w:rPr>
                <w:rFonts w:cs="Times New Roman"/>
              </w:rPr>
              <w:t>Maize+ascorbic+citric acid</w:t>
            </w:r>
            <w:r>
              <w:rPr>
                <w:rFonts w:cs="Times New Roman"/>
              </w:rPr>
              <w:t>s</w:t>
            </w:r>
            <w:r w:rsidRPr="00A967D7">
              <w:rPr>
                <w:rFonts w:cs="Times New Roman"/>
                <w:vertAlign w:val="superscript"/>
              </w:rPr>
              <w:t>1</w:t>
            </w:r>
          </w:p>
        </w:tc>
        <w:tc>
          <w:tcPr>
            <w:tcW w:w="1338" w:type="dxa"/>
          </w:tcPr>
          <w:p w14:paraId="294061D6" w14:textId="77777777" w:rsidR="007E071A" w:rsidRPr="00A967D7" w:rsidRDefault="007E071A" w:rsidP="007E071A">
            <w:pPr>
              <w:spacing w:after="0" w:line="240" w:lineRule="auto"/>
              <w:jc w:val="center"/>
              <w:rPr>
                <w:rFonts w:cs="Times New Roman"/>
              </w:rPr>
            </w:pPr>
            <w:r w:rsidRPr="00A967D7">
              <w:rPr>
                <w:rFonts w:cs="Times New Roman"/>
              </w:rPr>
              <w:t>830</w:t>
            </w:r>
          </w:p>
        </w:tc>
        <w:tc>
          <w:tcPr>
            <w:tcW w:w="1559" w:type="dxa"/>
          </w:tcPr>
          <w:p w14:paraId="25F609A3" w14:textId="77777777" w:rsidR="007E071A" w:rsidRPr="00A967D7" w:rsidRDefault="007E071A" w:rsidP="007E071A">
            <w:pPr>
              <w:spacing w:after="0" w:line="240" w:lineRule="auto"/>
              <w:jc w:val="center"/>
              <w:rPr>
                <w:rFonts w:cs="Times New Roman"/>
              </w:rPr>
            </w:pPr>
            <w:r>
              <w:rPr>
                <w:rFonts w:cs="Times New Roman"/>
              </w:rPr>
              <w:t>19</w:t>
            </w:r>
          </w:p>
        </w:tc>
        <w:tc>
          <w:tcPr>
            <w:tcW w:w="1559" w:type="dxa"/>
          </w:tcPr>
          <w:p w14:paraId="6ADC8336" w14:textId="77777777" w:rsidR="007E071A" w:rsidRPr="00A967D7" w:rsidRDefault="007E071A" w:rsidP="007E071A">
            <w:pPr>
              <w:spacing w:after="0" w:line="240" w:lineRule="auto"/>
              <w:jc w:val="center"/>
              <w:rPr>
                <w:rFonts w:cs="Times New Roman"/>
              </w:rPr>
            </w:pPr>
            <w:r>
              <w:rPr>
                <w:rFonts w:cs="Times New Roman"/>
              </w:rPr>
              <w:t>0</w:t>
            </w:r>
          </w:p>
        </w:tc>
        <w:tc>
          <w:tcPr>
            <w:tcW w:w="1559" w:type="dxa"/>
          </w:tcPr>
          <w:p w14:paraId="28A29605" w14:textId="77777777" w:rsidR="007E071A" w:rsidRPr="00A967D7" w:rsidRDefault="007E071A" w:rsidP="007E071A">
            <w:pPr>
              <w:spacing w:after="0" w:line="240" w:lineRule="auto"/>
              <w:jc w:val="center"/>
              <w:rPr>
                <w:rFonts w:cs="Times New Roman"/>
              </w:rPr>
            </w:pPr>
            <w:r w:rsidRPr="00A967D7">
              <w:rPr>
                <w:rFonts w:cs="Times New Roman"/>
              </w:rPr>
              <w:t>34.3:1</w:t>
            </w:r>
          </w:p>
        </w:tc>
        <w:tc>
          <w:tcPr>
            <w:tcW w:w="1559" w:type="dxa"/>
          </w:tcPr>
          <w:p w14:paraId="00620AC6" w14:textId="77777777" w:rsidR="007E071A" w:rsidRPr="00A967D7" w:rsidRDefault="007E071A" w:rsidP="007E071A">
            <w:pPr>
              <w:spacing w:after="0" w:line="240" w:lineRule="auto"/>
              <w:jc w:val="center"/>
              <w:rPr>
                <w:rFonts w:cs="Times New Roman"/>
              </w:rPr>
            </w:pPr>
            <w:r w:rsidRPr="00A967D7">
              <w:rPr>
                <w:rFonts w:cs="Times New Roman"/>
              </w:rPr>
              <w:t>43.4:1</w:t>
            </w:r>
          </w:p>
        </w:tc>
        <w:tc>
          <w:tcPr>
            <w:tcW w:w="1560" w:type="dxa"/>
          </w:tcPr>
          <w:p w14:paraId="4C43EFF2" w14:textId="77777777" w:rsidR="007E071A" w:rsidRPr="00A967D7" w:rsidRDefault="007E071A" w:rsidP="007E071A">
            <w:pPr>
              <w:spacing w:after="0" w:line="240" w:lineRule="auto"/>
              <w:jc w:val="center"/>
              <w:rPr>
                <w:rFonts w:cs="Times New Roman"/>
              </w:rPr>
            </w:pPr>
            <w:r w:rsidRPr="00A967D7">
              <w:rPr>
                <w:rFonts w:cs="Times New Roman"/>
              </w:rPr>
              <w:t>6:1</w:t>
            </w:r>
          </w:p>
        </w:tc>
      </w:tr>
      <w:tr w:rsidR="007E071A" w:rsidRPr="00A967D7" w14:paraId="4799E988" w14:textId="77777777" w:rsidTr="00B938AA">
        <w:tc>
          <w:tcPr>
            <w:tcW w:w="4157" w:type="dxa"/>
          </w:tcPr>
          <w:p w14:paraId="22C51D65" w14:textId="77777777" w:rsidR="007E071A" w:rsidRPr="00A967D7" w:rsidRDefault="007E071A" w:rsidP="00843E4B">
            <w:pPr>
              <w:spacing w:after="0" w:line="240" w:lineRule="auto"/>
              <w:jc w:val="left"/>
              <w:rPr>
                <w:rFonts w:cs="Times New Roman"/>
              </w:rPr>
            </w:pPr>
            <w:r w:rsidRPr="00A967D7">
              <w:rPr>
                <w:rFonts w:cs="Times New Roman"/>
              </w:rPr>
              <w:t>Maize+moringa (M)</w:t>
            </w:r>
            <w:r>
              <w:rPr>
                <w:rFonts w:cs="Times New Roman"/>
              </w:rPr>
              <w:t xml:space="preserve"> (100:15)</w:t>
            </w:r>
          </w:p>
        </w:tc>
        <w:tc>
          <w:tcPr>
            <w:tcW w:w="1338" w:type="dxa"/>
          </w:tcPr>
          <w:p w14:paraId="7F056A8D" w14:textId="77777777" w:rsidR="007E071A" w:rsidRPr="00A967D7" w:rsidRDefault="007E071A" w:rsidP="007E071A">
            <w:pPr>
              <w:spacing w:after="0" w:line="240" w:lineRule="auto"/>
              <w:jc w:val="center"/>
              <w:rPr>
                <w:rFonts w:cs="Times New Roman"/>
              </w:rPr>
            </w:pPr>
            <w:r w:rsidRPr="00A967D7">
              <w:rPr>
                <w:rFonts w:cs="Times New Roman"/>
              </w:rPr>
              <w:t>853</w:t>
            </w:r>
          </w:p>
        </w:tc>
        <w:tc>
          <w:tcPr>
            <w:tcW w:w="1559" w:type="dxa"/>
          </w:tcPr>
          <w:p w14:paraId="0DD5B2A4" w14:textId="77777777" w:rsidR="007E071A" w:rsidRPr="00A967D7" w:rsidRDefault="007E071A" w:rsidP="007E071A">
            <w:pPr>
              <w:spacing w:after="0" w:line="240" w:lineRule="auto"/>
              <w:jc w:val="center"/>
              <w:rPr>
                <w:rFonts w:cs="Times New Roman"/>
              </w:rPr>
            </w:pPr>
            <w:r>
              <w:rPr>
                <w:rFonts w:cs="Times New Roman"/>
              </w:rPr>
              <w:t>201</w:t>
            </w:r>
          </w:p>
        </w:tc>
        <w:tc>
          <w:tcPr>
            <w:tcW w:w="1559" w:type="dxa"/>
          </w:tcPr>
          <w:p w14:paraId="5A32E42A" w14:textId="77777777" w:rsidR="007E071A" w:rsidRPr="00A967D7" w:rsidRDefault="007E071A" w:rsidP="007E071A">
            <w:pPr>
              <w:spacing w:after="0" w:line="240" w:lineRule="auto"/>
              <w:jc w:val="center"/>
              <w:rPr>
                <w:rFonts w:cs="Times New Roman"/>
              </w:rPr>
            </w:pPr>
            <w:r>
              <w:rPr>
                <w:rFonts w:cs="Times New Roman"/>
              </w:rPr>
              <w:t>0</w:t>
            </w:r>
          </w:p>
        </w:tc>
        <w:tc>
          <w:tcPr>
            <w:tcW w:w="1559" w:type="dxa"/>
          </w:tcPr>
          <w:p w14:paraId="6D680E00" w14:textId="77777777" w:rsidR="007E071A" w:rsidRPr="00A967D7" w:rsidRDefault="007E071A" w:rsidP="007E071A">
            <w:pPr>
              <w:spacing w:after="0" w:line="240" w:lineRule="auto"/>
              <w:jc w:val="center"/>
              <w:rPr>
                <w:rFonts w:cs="Times New Roman"/>
              </w:rPr>
            </w:pPr>
            <w:r w:rsidRPr="00A967D7">
              <w:rPr>
                <w:rFonts w:cs="Times New Roman"/>
              </w:rPr>
              <w:t>11.6:1</w:t>
            </w:r>
          </w:p>
        </w:tc>
        <w:tc>
          <w:tcPr>
            <w:tcW w:w="1559" w:type="dxa"/>
          </w:tcPr>
          <w:p w14:paraId="4BEE01AC" w14:textId="77777777" w:rsidR="007E071A" w:rsidRPr="00A967D7" w:rsidRDefault="007E071A" w:rsidP="007E071A">
            <w:pPr>
              <w:spacing w:after="0" w:line="240" w:lineRule="auto"/>
              <w:jc w:val="center"/>
              <w:rPr>
                <w:rFonts w:cs="Times New Roman"/>
              </w:rPr>
            </w:pPr>
            <w:r w:rsidRPr="00A967D7">
              <w:rPr>
                <w:rFonts w:cs="Times New Roman"/>
              </w:rPr>
              <w:t>41.2:1</w:t>
            </w:r>
          </w:p>
        </w:tc>
        <w:tc>
          <w:tcPr>
            <w:tcW w:w="1560" w:type="dxa"/>
          </w:tcPr>
          <w:p w14:paraId="04C2FE14" w14:textId="77777777" w:rsidR="007E071A" w:rsidRPr="00A967D7" w:rsidRDefault="007E071A" w:rsidP="007E071A">
            <w:pPr>
              <w:spacing w:after="0" w:line="240" w:lineRule="auto"/>
              <w:jc w:val="center"/>
              <w:rPr>
                <w:rFonts w:cs="Times New Roman"/>
              </w:rPr>
            </w:pPr>
            <w:r w:rsidRPr="00A967D7">
              <w:rPr>
                <w:rFonts w:cs="Times New Roman"/>
              </w:rPr>
              <w:t>318:1</w:t>
            </w:r>
          </w:p>
        </w:tc>
      </w:tr>
      <w:tr w:rsidR="007E071A" w:rsidRPr="00A967D7" w14:paraId="1AF0D0C6" w14:textId="77777777" w:rsidTr="00B938AA">
        <w:tc>
          <w:tcPr>
            <w:tcW w:w="4157" w:type="dxa"/>
          </w:tcPr>
          <w:p w14:paraId="76A0DCF2" w14:textId="77777777" w:rsidR="007E071A" w:rsidRPr="00A967D7" w:rsidRDefault="007E071A" w:rsidP="00843E4B">
            <w:pPr>
              <w:spacing w:after="0" w:line="240" w:lineRule="auto"/>
              <w:jc w:val="left"/>
              <w:rPr>
                <w:rFonts w:cs="Times New Roman"/>
              </w:rPr>
            </w:pPr>
            <w:r w:rsidRPr="00A967D7">
              <w:rPr>
                <w:rFonts w:cs="Times New Roman"/>
              </w:rPr>
              <w:t>Maize+FeSO</w:t>
            </w:r>
            <w:r w:rsidRPr="00A967D7">
              <w:rPr>
                <w:rFonts w:cs="Times New Roman"/>
                <w:vertAlign w:val="subscript"/>
              </w:rPr>
              <w:t>4</w:t>
            </w:r>
            <w:r w:rsidRPr="00A967D7">
              <w:rPr>
                <w:rFonts w:cs="Times New Roman"/>
                <w:vertAlign w:val="superscript"/>
              </w:rPr>
              <w:t>2</w:t>
            </w:r>
          </w:p>
        </w:tc>
        <w:tc>
          <w:tcPr>
            <w:tcW w:w="1338" w:type="dxa"/>
          </w:tcPr>
          <w:p w14:paraId="14492840" w14:textId="77777777" w:rsidR="007E071A" w:rsidRPr="00A967D7" w:rsidRDefault="007E071A" w:rsidP="007E071A">
            <w:pPr>
              <w:spacing w:after="0" w:line="240" w:lineRule="auto"/>
              <w:jc w:val="center"/>
              <w:rPr>
                <w:rFonts w:cs="Times New Roman"/>
              </w:rPr>
            </w:pPr>
            <w:r w:rsidRPr="00A967D7">
              <w:rPr>
                <w:rFonts w:cs="Times New Roman"/>
              </w:rPr>
              <w:t>830</w:t>
            </w:r>
          </w:p>
        </w:tc>
        <w:tc>
          <w:tcPr>
            <w:tcW w:w="1559" w:type="dxa"/>
          </w:tcPr>
          <w:p w14:paraId="5599EE4C" w14:textId="77777777" w:rsidR="007E071A" w:rsidRPr="00A967D7" w:rsidRDefault="007E071A" w:rsidP="007E071A">
            <w:pPr>
              <w:spacing w:after="0" w:line="240" w:lineRule="auto"/>
              <w:jc w:val="center"/>
              <w:rPr>
                <w:rFonts w:cs="Times New Roman"/>
              </w:rPr>
            </w:pPr>
            <w:r>
              <w:rPr>
                <w:rFonts w:cs="Times New Roman"/>
              </w:rPr>
              <w:t>19</w:t>
            </w:r>
          </w:p>
        </w:tc>
        <w:tc>
          <w:tcPr>
            <w:tcW w:w="1559" w:type="dxa"/>
          </w:tcPr>
          <w:p w14:paraId="0D57CBA7" w14:textId="77777777" w:rsidR="007E071A" w:rsidRPr="00A967D7" w:rsidRDefault="007E071A" w:rsidP="007E071A">
            <w:pPr>
              <w:spacing w:after="0" w:line="240" w:lineRule="auto"/>
              <w:jc w:val="center"/>
              <w:rPr>
                <w:rFonts w:cs="Times New Roman"/>
              </w:rPr>
            </w:pPr>
            <w:r>
              <w:rPr>
                <w:rFonts w:cs="Times New Roman"/>
              </w:rPr>
              <w:t>0</w:t>
            </w:r>
          </w:p>
        </w:tc>
        <w:tc>
          <w:tcPr>
            <w:tcW w:w="1559" w:type="dxa"/>
          </w:tcPr>
          <w:p w14:paraId="7C2C8AAC" w14:textId="77777777" w:rsidR="007E071A" w:rsidRPr="00A967D7" w:rsidRDefault="007E071A" w:rsidP="007E071A">
            <w:pPr>
              <w:spacing w:after="0" w:line="240" w:lineRule="auto"/>
              <w:jc w:val="center"/>
              <w:rPr>
                <w:rFonts w:cs="Times New Roman"/>
              </w:rPr>
            </w:pPr>
            <w:r w:rsidRPr="00A967D7">
              <w:rPr>
                <w:rFonts w:cs="Times New Roman"/>
              </w:rPr>
              <w:t>9.8:1</w:t>
            </w:r>
          </w:p>
        </w:tc>
        <w:tc>
          <w:tcPr>
            <w:tcW w:w="1559" w:type="dxa"/>
          </w:tcPr>
          <w:p w14:paraId="53D0F3DA" w14:textId="77777777" w:rsidR="007E071A" w:rsidRPr="00A967D7" w:rsidRDefault="007E071A" w:rsidP="007E071A">
            <w:pPr>
              <w:spacing w:after="0" w:line="240" w:lineRule="auto"/>
              <w:jc w:val="center"/>
              <w:rPr>
                <w:rFonts w:cs="Times New Roman"/>
              </w:rPr>
            </w:pPr>
            <w:r w:rsidRPr="00A967D7">
              <w:rPr>
                <w:rFonts w:cs="Times New Roman"/>
              </w:rPr>
              <w:t>43.4:1</w:t>
            </w:r>
          </w:p>
        </w:tc>
        <w:tc>
          <w:tcPr>
            <w:tcW w:w="1560" w:type="dxa"/>
          </w:tcPr>
          <w:p w14:paraId="1227C658" w14:textId="77777777" w:rsidR="007E071A" w:rsidRPr="00A967D7" w:rsidRDefault="007E071A" w:rsidP="007E071A">
            <w:pPr>
              <w:spacing w:after="0" w:line="240" w:lineRule="auto"/>
              <w:jc w:val="center"/>
              <w:rPr>
                <w:rFonts w:cs="Times New Roman"/>
              </w:rPr>
            </w:pPr>
            <w:r w:rsidRPr="00A967D7">
              <w:rPr>
                <w:rFonts w:cs="Times New Roman"/>
              </w:rPr>
              <w:t>6:1</w:t>
            </w:r>
          </w:p>
        </w:tc>
      </w:tr>
      <w:tr w:rsidR="007E071A" w:rsidRPr="00A967D7" w14:paraId="651E705D" w14:textId="77777777" w:rsidTr="00B938AA">
        <w:tc>
          <w:tcPr>
            <w:tcW w:w="13291" w:type="dxa"/>
            <w:gridSpan w:val="7"/>
          </w:tcPr>
          <w:p w14:paraId="2385F540" w14:textId="77777777" w:rsidR="007E071A" w:rsidRPr="00A967D7" w:rsidRDefault="007E071A" w:rsidP="009D523F">
            <w:pPr>
              <w:spacing w:after="0" w:line="240" w:lineRule="auto"/>
              <w:jc w:val="center"/>
              <w:rPr>
                <w:rFonts w:cs="Times New Roman"/>
              </w:rPr>
            </w:pPr>
            <w:r w:rsidRPr="00BE5338">
              <w:rPr>
                <w:rFonts w:cs="Times New Roman"/>
                <w:b/>
                <w:bCs/>
              </w:rPr>
              <w:t xml:space="preserve">Experiment </w:t>
            </w:r>
            <w:r>
              <w:rPr>
                <w:rFonts w:cs="Times New Roman"/>
                <w:b/>
                <w:bCs/>
              </w:rPr>
              <w:t>2 (Complex porridges)</w:t>
            </w:r>
          </w:p>
        </w:tc>
      </w:tr>
      <w:tr w:rsidR="007E071A" w:rsidRPr="00A967D7" w14:paraId="5ECC9872" w14:textId="77777777" w:rsidTr="00B938AA">
        <w:tc>
          <w:tcPr>
            <w:tcW w:w="13291" w:type="dxa"/>
            <w:gridSpan w:val="7"/>
          </w:tcPr>
          <w:p w14:paraId="5BC99100" w14:textId="77777777" w:rsidR="007E071A" w:rsidRPr="00A967D7" w:rsidRDefault="007E071A" w:rsidP="00843E4B">
            <w:pPr>
              <w:spacing w:after="0" w:line="240" w:lineRule="auto"/>
              <w:jc w:val="left"/>
              <w:rPr>
                <w:rFonts w:cs="Times New Roman"/>
              </w:rPr>
            </w:pPr>
            <w:r w:rsidRPr="00BE5338">
              <w:rPr>
                <w:rFonts w:cs="Times New Roman"/>
                <w:b/>
                <w:bCs/>
              </w:rPr>
              <w:t>Porridge formula</w:t>
            </w:r>
            <w:r>
              <w:rPr>
                <w:rFonts w:cs="Times New Roman"/>
                <w:b/>
                <w:bCs/>
              </w:rPr>
              <w:t>t</w:t>
            </w:r>
            <w:r w:rsidRPr="00BE5338">
              <w:rPr>
                <w:rFonts w:cs="Times New Roman"/>
                <w:b/>
                <w:bCs/>
              </w:rPr>
              <w:t>ions</w:t>
            </w:r>
            <w:r w:rsidRPr="00BE5338">
              <w:rPr>
                <w:rFonts w:cs="Times New Roman"/>
                <w:b/>
                <w:bCs/>
                <w:vertAlign w:val="superscript"/>
              </w:rPr>
              <w:t>*</w:t>
            </w:r>
          </w:p>
        </w:tc>
      </w:tr>
      <w:tr w:rsidR="007E071A" w:rsidRPr="00A967D7" w14:paraId="6576EC34" w14:textId="77777777" w:rsidTr="00B938AA">
        <w:tc>
          <w:tcPr>
            <w:tcW w:w="4157" w:type="dxa"/>
          </w:tcPr>
          <w:p w14:paraId="6A013962" w14:textId="41395482" w:rsidR="007E071A" w:rsidRPr="00A967D7" w:rsidRDefault="007E071A" w:rsidP="00843E4B">
            <w:pPr>
              <w:spacing w:after="0" w:line="240" w:lineRule="auto"/>
              <w:jc w:val="left"/>
              <w:rPr>
                <w:rFonts w:cs="Times New Roman"/>
              </w:rPr>
            </w:pPr>
            <w:r w:rsidRPr="00A967D7">
              <w:rPr>
                <w:rFonts w:cs="Times New Roman"/>
              </w:rPr>
              <w:t>Maize+FeSO</w:t>
            </w:r>
            <w:r w:rsidRPr="00A967D7">
              <w:rPr>
                <w:rFonts w:cs="Times New Roman"/>
                <w:vertAlign w:val="subscript"/>
              </w:rPr>
              <w:t>4</w:t>
            </w:r>
            <w:r w:rsidRPr="00A967D7">
              <w:rPr>
                <w:rFonts w:cs="Times New Roman"/>
              </w:rPr>
              <w:t>+mango+carrot</w:t>
            </w:r>
            <w:r>
              <w:rPr>
                <w:rFonts w:cs="Times New Roman"/>
              </w:rPr>
              <w:t xml:space="preserve"> </w:t>
            </w:r>
            <w:r w:rsidRPr="00A967D7">
              <w:rPr>
                <w:rFonts w:cs="Times New Roman"/>
              </w:rPr>
              <w:t>(</w:t>
            </w:r>
            <w:r>
              <w:rPr>
                <w:rFonts w:cs="Times New Roman"/>
              </w:rPr>
              <w:t>c</w:t>
            </w:r>
            <w:r w:rsidRPr="00A967D7">
              <w:rPr>
                <w:rFonts w:cs="Times New Roman"/>
              </w:rPr>
              <w:t>ontrol)</w:t>
            </w:r>
          </w:p>
        </w:tc>
        <w:tc>
          <w:tcPr>
            <w:tcW w:w="1338" w:type="dxa"/>
          </w:tcPr>
          <w:p w14:paraId="4C035AFD" w14:textId="77777777" w:rsidR="007E071A" w:rsidRPr="00A967D7" w:rsidRDefault="007E071A" w:rsidP="007E071A">
            <w:pPr>
              <w:spacing w:after="0" w:line="240" w:lineRule="auto"/>
              <w:jc w:val="center"/>
              <w:rPr>
                <w:rFonts w:cs="Times New Roman"/>
              </w:rPr>
            </w:pPr>
            <w:r w:rsidRPr="00A967D7">
              <w:rPr>
                <w:rFonts w:cs="Times New Roman"/>
              </w:rPr>
              <w:t>548</w:t>
            </w:r>
          </w:p>
        </w:tc>
        <w:tc>
          <w:tcPr>
            <w:tcW w:w="1559" w:type="dxa"/>
          </w:tcPr>
          <w:p w14:paraId="37C67573" w14:textId="77777777" w:rsidR="007E071A" w:rsidRPr="00A967D7" w:rsidRDefault="007E071A" w:rsidP="007E071A">
            <w:pPr>
              <w:spacing w:after="0" w:line="240" w:lineRule="auto"/>
              <w:jc w:val="center"/>
              <w:rPr>
                <w:rFonts w:cs="Times New Roman"/>
              </w:rPr>
            </w:pPr>
            <w:r>
              <w:rPr>
                <w:rFonts w:cs="Times New Roman"/>
              </w:rPr>
              <w:t>34</w:t>
            </w:r>
          </w:p>
        </w:tc>
        <w:tc>
          <w:tcPr>
            <w:tcW w:w="1559" w:type="dxa"/>
          </w:tcPr>
          <w:p w14:paraId="539498F0" w14:textId="77777777" w:rsidR="007E071A" w:rsidRPr="00A967D7" w:rsidRDefault="007E071A" w:rsidP="007E071A">
            <w:pPr>
              <w:spacing w:after="0" w:line="240" w:lineRule="auto"/>
              <w:jc w:val="center"/>
              <w:rPr>
                <w:rFonts w:cs="Times New Roman"/>
              </w:rPr>
            </w:pPr>
            <w:r>
              <w:rPr>
                <w:rFonts w:cs="Times New Roman"/>
              </w:rPr>
              <w:t>0</w:t>
            </w:r>
          </w:p>
        </w:tc>
        <w:tc>
          <w:tcPr>
            <w:tcW w:w="1559" w:type="dxa"/>
          </w:tcPr>
          <w:p w14:paraId="06BC1911" w14:textId="77777777" w:rsidR="007E071A" w:rsidRPr="00A967D7" w:rsidRDefault="007E071A" w:rsidP="007E071A">
            <w:pPr>
              <w:spacing w:after="0" w:line="240" w:lineRule="auto"/>
              <w:jc w:val="center"/>
              <w:rPr>
                <w:rFonts w:cs="Times New Roman"/>
              </w:rPr>
            </w:pPr>
            <w:r w:rsidRPr="00A967D7">
              <w:rPr>
                <w:rFonts w:cs="Times New Roman"/>
              </w:rPr>
              <w:t>4.2:1</w:t>
            </w:r>
          </w:p>
        </w:tc>
        <w:tc>
          <w:tcPr>
            <w:tcW w:w="1559" w:type="dxa"/>
          </w:tcPr>
          <w:p w14:paraId="791A4789" w14:textId="77777777" w:rsidR="007E071A" w:rsidRPr="00A967D7" w:rsidRDefault="007E071A" w:rsidP="007E071A">
            <w:pPr>
              <w:spacing w:after="0" w:line="240" w:lineRule="auto"/>
              <w:jc w:val="center"/>
              <w:rPr>
                <w:rFonts w:cs="Times New Roman"/>
              </w:rPr>
            </w:pPr>
            <w:r w:rsidRPr="00A967D7">
              <w:rPr>
                <w:rFonts w:cs="Times New Roman"/>
              </w:rPr>
              <w:t>40.8:1</w:t>
            </w:r>
          </w:p>
        </w:tc>
        <w:tc>
          <w:tcPr>
            <w:tcW w:w="1560" w:type="dxa"/>
          </w:tcPr>
          <w:p w14:paraId="003752FA" w14:textId="77777777" w:rsidR="007E071A" w:rsidRPr="00A967D7" w:rsidRDefault="007E071A" w:rsidP="007E071A">
            <w:pPr>
              <w:spacing w:after="0" w:line="240" w:lineRule="auto"/>
              <w:jc w:val="center"/>
              <w:rPr>
                <w:rFonts w:cs="Times New Roman"/>
              </w:rPr>
            </w:pPr>
            <w:r w:rsidRPr="00A967D7">
              <w:rPr>
                <w:rFonts w:cs="Times New Roman"/>
              </w:rPr>
              <w:t>11:1</w:t>
            </w:r>
          </w:p>
        </w:tc>
      </w:tr>
      <w:tr w:rsidR="007E071A" w:rsidRPr="00A967D7" w14:paraId="46C89395" w14:textId="77777777" w:rsidTr="00B938AA">
        <w:tc>
          <w:tcPr>
            <w:tcW w:w="4157" w:type="dxa"/>
          </w:tcPr>
          <w:p w14:paraId="1E506741" w14:textId="4F6BE594" w:rsidR="007E071A" w:rsidRPr="00A967D7" w:rsidRDefault="007E071A" w:rsidP="00843E4B">
            <w:pPr>
              <w:spacing w:after="0" w:line="240" w:lineRule="auto"/>
              <w:jc w:val="left"/>
              <w:rPr>
                <w:rFonts w:cs="Times New Roman"/>
              </w:rPr>
            </w:pPr>
            <w:r w:rsidRPr="00A967D7">
              <w:rPr>
                <w:rFonts w:cs="Times New Roman"/>
              </w:rPr>
              <w:t>Maize+FeSO</w:t>
            </w:r>
            <w:r w:rsidRPr="00A967D7">
              <w:rPr>
                <w:rFonts w:cs="Times New Roman"/>
                <w:vertAlign w:val="subscript"/>
              </w:rPr>
              <w:t>4</w:t>
            </w:r>
            <w:r w:rsidRPr="00A967D7">
              <w:rPr>
                <w:rFonts w:cs="Times New Roman"/>
              </w:rPr>
              <w:t>+ascorbic acid+mango+carrot</w:t>
            </w:r>
          </w:p>
        </w:tc>
        <w:tc>
          <w:tcPr>
            <w:tcW w:w="1338" w:type="dxa"/>
          </w:tcPr>
          <w:p w14:paraId="0D95DABE" w14:textId="77777777" w:rsidR="007E071A" w:rsidRPr="00A967D7" w:rsidRDefault="007E071A" w:rsidP="007E071A">
            <w:pPr>
              <w:spacing w:after="0" w:line="240" w:lineRule="auto"/>
              <w:jc w:val="center"/>
              <w:rPr>
                <w:rFonts w:cs="Times New Roman"/>
              </w:rPr>
            </w:pPr>
            <w:r w:rsidRPr="00A967D7">
              <w:rPr>
                <w:rFonts w:cs="Times New Roman"/>
              </w:rPr>
              <w:t>548</w:t>
            </w:r>
          </w:p>
        </w:tc>
        <w:tc>
          <w:tcPr>
            <w:tcW w:w="1559" w:type="dxa"/>
          </w:tcPr>
          <w:p w14:paraId="48F5725B" w14:textId="77777777" w:rsidR="007E071A" w:rsidRPr="00A967D7" w:rsidRDefault="007E071A" w:rsidP="007E071A">
            <w:pPr>
              <w:spacing w:after="0" w:line="240" w:lineRule="auto"/>
              <w:jc w:val="center"/>
              <w:rPr>
                <w:rFonts w:cs="Times New Roman"/>
              </w:rPr>
            </w:pPr>
            <w:r>
              <w:rPr>
                <w:rFonts w:cs="Times New Roman"/>
              </w:rPr>
              <w:t>34</w:t>
            </w:r>
          </w:p>
        </w:tc>
        <w:tc>
          <w:tcPr>
            <w:tcW w:w="1559" w:type="dxa"/>
          </w:tcPr>
          <w:p w14:paraId="0B30E3E7" w14:textId="77777777" w:rsidR="007E071A" w:rsidRPr="00A967D7" w:rsidRDefault="007E071A" w:rsidP="007E071A">
            <w:pPr>
              <w:spacing w:after="0" w:line="240" w:lineRule="auto"/>
              <w:jc w:val="center"/>
              <w:rPr>
                <w:rFonts w:cs="Times New Roman"/>
              </w:rPr>
            </w:pPr>
            <w:r>
              <w:rPr>
                <w:rFonts w:cs="Times New Roman"/>
              </w:rPr>
              <w:t>0</w:t>
            </w:r>
          </w:p>
        </w:tc>
        <w:tc>
          <w:tcPr>
            <w:tcW w:w="1559" w:type="dxa"/>
          </w:tcPr>
          <w:p w14:paraId="6DA3DC66" w14:textId="77777777" w:rsidR="007E071A" w:rsidRPr="00A967D7" w:rsidRDefault="007E071A" w:rsidP="007E071A">
            <w:pPr>
              <w:spacing w:after="0" w:line="240" w:lineRule="auto"/>
              <w:jc w:val="center"/>
              <w:rPr>
                <w:rFonts w:cs="Times New Roman"/>
              </w:rPr>
            </w:pPr>
            <w:r w:rsidRPr="00A967D7">
              <w:rPr>
                <w:rFonts w:cs="Times New Roman"/>
              </w:rPr>
              <w:t>4.2:1</w:t>
            </w:r>
          </w:p>
        </w:tc>
        <w:tc>
          <w:tcPr>
            <w:tcW w:w="1559" w:type="dxa"/>
          </w:tcPr>
          <w:p w14:paraId="424B19D5" w14:textId="77777777" w:rsidR="007E071A" w:rsidRPr="00A967D7" w:rsidRDefault="007E071A" w:rsidP="007E071A">
            <w:pPr>
              <w:spacing w:after="0" w:line="240" w:lineRule="auto"/>
              <w:jc w:val="center"/>
              <w:rPr>
                <w:rFonts w:cs="Times New Roman"/>
              </w:rPr>
            </w:pPr>
            <w:r w:rsidRPr="00A967D7">
              <w:rPr>
                <w:rFonts w:cs="Times New Roman"/>
              </w:rPr>
              <w:t>40.8:1</w:t>
            </w:r>
          </w:p>
        </w:tc>
        <w:tc>
          <w:tcPr>
            <w:tcW w:w="1560" w:type="dxa"/>
          </w:tcPr>
          <w:p w14:paraId="562AE60E" w14:textId="77777777" w:rsidR="007E071A" w:rsidRPr="00A967D7" w:rsidRDefault="007E071A" w:rsidP="007E071A">
            <w:pPr>
              <w:spacing w:after="0" w:line="240" w:lineRule="auto"/>
              <w:jc w:val="center"/>
              <w:rPr>
                <w:rFonts w:cs="Times New Roman"/>
              </w:rPr>
            </w:pPr>
            <w:r w:rsidRPr="00A967D7">
              <w:rPr>
                <w:rFonts w:cs="Times New Roman"/>
              </w:rPr>
              <w:t>11:1</w:t>
            </w:r>
          </w:p>
        </w:tc>
      </w:tr>
      <w:tr w:rsidR="007E071A" w:rsidRPr="00A967D7" w14:paraId="56AC5522" w14:textId="77777777" w:rsidTr="00B938AA">
        <w:tc>
          <w:tcPr>
            <w:tcW w:w="4157" w:type="dxa"/>
          </w:tcPr>
          <w:p w14:paraId="17D29592" w14:textId="79533D3F" w:rsidR="007E071A" w:rsidRPr="00A967D7" w:rsidRDefault="007E071A" w:rsidP="00843E4B">
            <w:pPr>
              <w:spacing w:after="0" w:line="240" w:lineRule="auto"/>
              <w:jc w:val="left"/>
              <w:rPr>
                <w:rFonts w:cs="Times New Roman"/>
              </w:rPr>
            </w:pPr>
            <w:r w:rsidRPr="00A967D7">
              <w:rPr>
                <w:rFonts w:cs="Times New Roman"/>
              </w:rPr>
              <w:t>Maize+moringa (M+S)+mango+carrot</w:t>
            </w:r>
          </w:p>
        </w:tc>
        <w:tc>
          <w:tcPr>
            <w:tcW w:w="1338" w:type="dxa"/>
          </w:tcPr>
          <w:p w14:paraId="04C0BEBC" w14:textId="77777777" w:rsidR="007E071A" w:rsidRPr="00A967D7" w:rsidRDefault="007E071A" w:rsidP="007E071A">
            <w:pPr>
              <w:spacing w:after="0" w:line="240" w:lineRule="auto"/>
              <w:jc w:val="center"/>
              <w:rPr>
                <w:rFonts w:cs="Times New Roman"/>
              </w:rPr>
            </w:pPr>
            <w:r>
              <w:rPr>
                <w:rFonts w:cs="Times New Roman"/>
              </w:rPr>
              <w:t>743</w:t>
            </w:r>
          </w:p>
        </w:tc>
        <w:tc>
          <w:tcPr>
            <w:tcW w:w="1559" w:type="dxa"/>
          </w:tcPr>
          <w:p w14:paraId="7161EAB7" w14:textId="77777777" w:rsidR="007E071A" w:rsidRPr="00A967D7" w:rsidRDefault="007E071A" w:rsidP="007E071A">
            <w:pPr>
              <w:spacing w:after="0" w:line="240" w:lineRule="auto"/>
              <w:jc w:val="center"/>
              <w:rPr>
                <w:rFonts w:cs="Times New Roman"/>
              </w:rPr>
            </w:pPr>
            <w:r>
              <w:rPr>
                <w:rFonts w:cs="Times New Roman"/>
              </w:rPr>
              <w:t>211</w:t>
            </w:r>
          </w:p>
        </w:tc>
        <w:tc>
          <w:tcPr>
            <w:tcW w:w="1559" w:type="dxa"/>
          </w:tcPr>
          <w:p w14:paraId="54766611" w14:textId="77777777" w:rsidR="007E071A" w:rsidRPr="00A967D7" w:rsidRDefault="007E071A" w:rsidP="007E071A">
            <w:pPr>
              <w:spacing w:after="0" w:line="240" w:lineRule="auto"/>
              <w:jc w:val="center"/>
              <w:rPr>
                <w:rFonts w:cs="Times New Roman"/>
              </w:rPr>
            </w:pPr>
            <w:r>
              <w:rPr>
                <w:rFonts w:cs="Times New Roman"/>
              </w:rPr>
              <w:t>0</w:t>
            </w:r>
          </w:p>
        </w:tc>
        <w:tc>
          <w:tcPr>
            <w:tcW w:w="1559" w:type="dxa"/>
          </w:tcPr>
          <w:p w14:paraId="5D36701E" w14:textId="77777777" w:rsidR="007E071A" w:rsidRPr="00A967D7" w:rsidRDefault="007E071A" w:rsidP="007E071A">
            <w:pPr>
              <w:spacing w:after="0" w:line="240" w:lineRule="auto"/>
              <w:jc w:val="center"/>
              <w:rPr>
                <w:rFonts w:cs="Times New Roman"/>
              </w:rPr>
            </w:pPr>
            <w:r w:rsidRPr="00A967D7">
              <w:rPr>
                <w:rFonts w:cs="Times New Roman"/>
              </w:rPr>
              <w:t>5.</w:t>
            </w:r>
            <w:r>
              <w:rPr>
                <w:rFonts w:cs="Times New Roman"/>
              </w:rPr>
              <w:t>4</w:t>
            </w:r>
            <w:r w:rsidRPr="00A967D7">
              <w:rPr>
                <w:rFonts w:cs="Times New Roman"/>
              </w:rPr>
              <w:t>:1</w:t>
            </w:r>
          </w:p>
        </w:tc>
        <w:tc>
          <w:tcPr>
            <w:tcW w:w="1559" w:type="dxa"/>
          </w:tcPr>
          <w:p w14:paraId="0C7815DA" w14:textId="77777777" w:rsidR="007E071A" w:rsidRPr="00A967D7" w:rsidRDefault="007E071A" w:rsidP="007E071A">
            <w:pPr>
              <w:spacing w:after="0" w:line="240" w:lineRule="auto"/>
              <w:jc w:val="center"/>
              <w:rPr>
                <w:rFonts w:cs="Times New Roman"/>
              </w:rPr>
            </w:pPr>
            <w:r>
              <w:rPr>
                <w:rFonts w:cs="Times New Roman"/>
              </w:rPr>
              <w:t>42.9</w:t>
            </w:r>
            <w:r w:rsidRPr="00A967D7">
              <w:rPr>
                <w:rFonts w:cs="Times New Roman"/>
              </w:rPr>
              <w:t>:1</w:t>
            </w:r>
          </w:p>
        </w:tc>
        <w:tc>
          <w:tcPr>
            <w:tcW w:w="1560" w:type="dxa"/>
          </w:tcPr>
          <w:p w14:paraId="75EB15B2" w14:textId="77777777" w:rsidR="007E071A" w:rsidRPr="00A967D7" w:rsidRDefault="007E071A" w:rsidP="007E071A">
            <w:pPr>
              <w:spacing w:after="0" w:line="240" w:lineRule="auto"/>
              <w:jc w:val="center"/>
              <w:rPr>
                <w:rFonts w:cs="Times New Roman"/>
              </w:rPr>
            </w:pPr>
            <w:r w:rsidRPr="00A967D7">
              <w:rPr>
                <w:rFonts w:cs="Times New Roman"/>
              </w:rPr>
              <w:t>4</w:t>
            </w:r>
            <w:r>
              <w:rPr>
                <w:rFonts w:cs="Times New Roman"/>
              </w:rPr>
              <w:t>50</w:t>
            </w:r>
            <w:r w:rsidRPr="00A967D7">
              <w:rPr>
                <w:rFonts w:cs="Times New Roman"/>
              </w:rPr>
              <w:t>:1</w:t>
            </w:r>
          </w:p>
        </w:tc>
      </w:tr>
      <w:tr w:rsidR="007E071A" w:rsidRPr="00A967D7" w14:paraId="017C1F6F" w14:textId="77777777" w:rsidTr="00B938AA">
        <w:tc>
          <w:tcPr>
            <w:tcW w:w="4157" w:type="dxa"/>
          </w:tcPr>
          <w:p w14:paraId="2C4AE2C7" w14:textId="09619BF7" w:rsidR="007E071A" w:rsidRPr="00A967D7" w:rsidRDefault="007E071A" w:rsidP="00843E4B">
            <w:pPr>
              <w:spacing w:after="0" w:line="240" w:lineRule="auto"/>
              <w:jc w:val="left"/>
              <w:rPr>
                <w:rFonts w:cs="Times New Roman"/>
              </w:rPr>
            </w:pPr>
            <w:r w:rsidRPr="00A967D7">
              <w:rPr>
                <w:rFonts w:cs="Times New Roman"/>
              </w:rPr>
              <w:t>Maize+FeSO</w:t>
            </w:r>
            <w:r w:rsidRPr="00A967D7">
              <w:rPr>
                <w:rFonts w:cs="Times New Roman"/>
                <w:vertAlign w:val="subscript"/>
              </w:rPr>
              <w:t>4</w:t>
            </w:r>
            <w:r w:rsidRPr="00A967D7">
              <w:rPr>
                <w:rFonts w:cs="Times New Roman"/>
              </w:rPr>
              <w:t>+baobab+mango+carrot</w:t>
            </w:r>
          </w:p>
        </w:tc>
        <w:tc>
          <w:tcPr>
            <w:tcW w:w="1338" w:type="dxa"/>
          </w:tcPr>
          <w:p w14:paraId="4FEAB592" w14:textId="77777777" w:rsidR="007E071A" w:rsidRPr="00A967D7" w:rsidRDefault="007E071A" w:rsidP="007E071A">
            <w:pPr>
              <w:spacing w:after="0" w:line="240" w:lineRule="auto"/>
              <w:jc w:val="center"/>
              <w:rPr>
                <w:rFonts w:cs="Times New Roman"/>
              </w:rPr>
            </w:pPr>
            <w:r w:rsidRPr="00A967D7">
              <w:rPr>
                <w:rFonts w:cs="Times New Roman"/>
              </w:rPr>
              <w:t>610</w:t>
            </w:r>
          </w:p>
        </w:tc>
        <w:tc>
          <w:tcPr>
            <w:tcW w:w="1559" w:type="dxa"/>
          </w:tcPr>
          <w:p w14:paraId="7A44949A" w14:textId="77777777" w:rsidR="007E071A" w:rsidRPr="00A967D7" w:rsidRDefault="007E071A" w:rsidP="007E071A">
            <w:pPr>
              <w:spacing w:after="0" w:line="240" w:lineRule="auto"/>
              <w:jc w:val="center"/>
              <w:rPr>
                <w:rFonts w:cs="Times New Roman"/>
              </w:rPr>
            </w:pPr>
            <w:r>
              <w:rPr>
                <w:rFonts w:cs="Times New Roman"/>
              </w:rPr>
              <w:t>291</w:t>
            </w:r>
          </w:p>
        </w:tc>
        <w:tc>
          <w:tcPr>
            <w:tcW w:w="1559" w:type="dxa"/>
          </w:tcPr>
          <w:p w14:paraId="3405CDBC" w14:textId="77777777" w:rsidR="007E071A" w:rsidRPr="00A967D7" w:rsidRDefault="007E071A" w:rsidP="007E071A">
            <w:pPr>
              <w:spacing w:after="0" w:line="240" w:lineRule="auto"/>
              <w:jc w:val="center"/>
              <w:rPr>
                <w:rFonts w:cs="Times New Roman"/>
              </w:rPr>
            </w:pPr>
            <w:r>
              <w:rPr>
                <w:rFonts w:cs="Times New Roman"/>
              </w:rPr>
              <w:t>1479</w:t>
            </w:r>
          </w:p>
        </w:tc>
        <w:tc>
          <w:tcPr>
            <w:tcW w:w="1559" w:type="dxa"/>
          </w:tcPr>
          <w:p w14:paraId="5DB26D74" w14:textId="77777777" w:rsidR="007E071A" w:rsidRPr="00A967D7" w:rsidRDefault="007E071A" w:rsidP="007E071A">
            <w:pPr>
              <w:spacing w:after="0" w:line="240" w:lineRule="auto"/>
              <w:jc w:val="center"/>
              <w:rPr>
                <w:rFonts w:cs="Times New Roman"/>
              </w:rPr>
            </w:pPr>
            <w:r w:rsidRPr="00A967D7">
              <w:rPr>
                <w:rFonts w:cs="Times New Roman"/>
              </w:rPr>
              <w:t>4.6:1</w:t>
            </w:r>
          </w:p>
        </w:tc>
        <w:tc>
          <w:tcPr>
            <w:tcW w:w="1559" w:type="dxa"/>
          </w:tcPr>
          <w:p w14:paraId="211DD1E9" w14:textId="77777777" w:rsidR="007E071A" w:rsidRPr="00A967D7" w:rsidRDefault="007E071A" w:rsidP="007E071A">
            <w:pPr>
              <w:spacing w:after="0" w:line="240" w:lineRule="auto"/>
              <w:jc w:val="center"/>
              <w:rPr>
                <w:rFonts w:cs="Times New Roman"/>
              </w:rPr>
            </w:pPr>
            <w:r w:rsidRPr="00A967D7">
              <w:rPr>
                <w:rFonts w:cs="Times New Roman"/>
              </w:rPr>
              <w:t>41.0:1</w:t>
            </w:r>
          </w:p>
        </w:tc>
        <w:tc>
          <w:tcPr>
            <w:tcW w:w="1560" w:type="dxa"/>
          </w:tcPr>
          <w:p w14:paraId="100A9829" w14:textId="77777777" w:rsidR="007E071A" w:rsidRPr="00A967D7" w:rsidRDefault="007E071A" w:rsidP="007E071A">
            <w:pPr>
              <w:spacing w:after="0" w:line="240" w:lineRule="auto"/>
              <w:jc w:val="center"/>
              <w:rPr>
                <w:rFonts w:cs="Times New Roman"/>
              </w:rPr>
            </w:pPr>
            <w:r w:rsidRPr="00A967D7">
              <w:rPr>
                <w:rFonts w:cs="Times New Roman"/>
              </w:rPr>
              <w:t>67:1</w:t>
            </w:r>
          </w:p>
        </w:tc>
      </w:tr>
      <w:tr w:rsidR="007E071A" w:rsidRPr="00A967D7" w14:paraId="4A7A2F5B" w14:textId="77777777" w:rsidTr="00B938AA">
        <w:tc>
          <w:tcPr>
            <w:tcW w:w="4157" w:type="dxa"/>
          </w:tcPr>
          <w:p w14:paraId="11CEA431" w14:textId="00A912CC" w:rsidR="007E071A" w:rsidRPr="00A967D7" w:rsidRDefault="007E071A" w:rsidP="00843E4B">
            <w:pPr>
              <w:spacing w:after="0" w:line="240" w:lineRule="auto"/>
              <w:jc w:val="left"/>
              <w:rPr>
                <w:rFonts w:cs="Times New Roman"/>
              </w:rPr>
            </w:pPr>
            <w:r w:rsidRPr="00A967D7">
              <w:rPr>
                <w:rFonts w:cs="Times New Roman"/>
              </w:rPr>
              <w:t>Maize+moringa (M+S)+baobab+ mango+carrot</w:t>
            </w:r>
          </w:p>
        </w:tc>
        <w:tc>
          <w:tcPr>
            <w:tcW w:w="1338" w:type="dxa"/>
          </w:tcPr>
          <w:p w14:paraId="3F7DAE7D" w14:textId="77777777" w:rsidR="007E071A" w:rsidRPr="00A967D7" w:rsidRDefault="007E071A" w:rsidP="007E071A">
            <w:pPr>
              <w:spacing w:after="0" w:line="240" w:lineRule="auto"/>
              <w:jc w:val="center"/>
              <w:rPr>
                <w:rFonts w:cs="Times New Roman"/>
              </w:rPr>
            </w:pPr>
            <w:r>
              <w:rPr>
                <w:rFonts w:cs="Times New Roman"/>
              </w:rPr>
              <w:t>805</w:t>
            </w:r>
          </w:p>
        </w:tc>
        <w:tc>
          <w:tcPr>
            <w:tcW w:w="1559" w:type="dxa"/>
          </w:tcPr>
          <w:p w14:paraId="539BC9B6" w14:textId="77777777" w:rsidR="007E071A" w:rsidRPr="00A967D7" w:rsidRDefault="007E071A" w:rsidP="007E071A">
            <w:pPr>
              <w:spacing w:after="0" w:line="240" w:lineRule="auto"/>
              <w:jc w:val="center"/>
              <w:rPr>
                <w:rFonts w:cs="Times New Roman"/>
              </w:rPr>
            </w:pPr>
            <w:r>
              <w:rPr>
                <w:rFonts w:cs="Times New Roman"/>
              </w:rPr>
              <w:t>467</w:t>
            </w:r>
          </w:p>
        </w:tc>
        <w:tc>
          <w:tcPr>
            <w:tcW w:w="1559" w:type="dxa"/>
          </w:tcPr>
          <w:p w14:paraId="1A963A9D" w14:textId="77777777" w:rsidR="007E071A" w:rsidRPr="00A967D7" w:rsidRDefault="007E071A" w:rsidP="007E071A">
            <w:pPr>
              <w:spacing w:after="0" w:line="240" w:lineRule="auto"/>
              <w:jc w:val="center"/>
              <w:rPr>
                <w:rFonts w:cs="Times New Roman"/>
              </w:rPr>
            </w:pPr>
            <w:r>
              <w:rPr>
                <w:rFonts w:cs="Times New Roman"/>
              </w:rPr>
              <w:t>1480</w:t>
            </w:r>
          </w:p>
        </w:tc>
        <w:tc>
          <w:tcPr>
            <w:tcW w:w="1559" w:type="dxa"/>
          </w:tcPr>
          <w:p w14:paraId="1053574E" w14:textId="77777777" w:rsidR="007E071A" w:rsidRPr="00A967D7" w:rsidRDefault="007E071A" w:rsidP="007E071A">
            <w:pPr>
              <w:spacing w:after="0" w:line="240" w:lineRule="auto"/>
              <w:jc w:val="center"/>
              <w:rPr>
                <w:rFonts w:cs="Times New Roman"/>
              </w:rPr>
            </w:pPr>
            <w:r w:rsidRPr="00A967D7">
              <w:rPr>
                <w:rFonts w:cs="Times New Roman"/>
              </w:rPr>
              <w:t>5.</w:t>
            </w:r>
            <w:r>
              <w:rPr>
                <w:rFonts w:cs="Times New Roman"/>
              </w:rPr>
              <w:t>7</w:t>
            </w:r>
            <w:r w:rsidRPr="00A967D7">
              <w:rPr>
                <w:rFonts w:cs="Times New Roman"/>
              </w:rPr>
              <w:t>:1</w:t>
            </w:r>
          </w:p>
        </w:tc>
        <w:tc>
          <w:tcPr>
            <w:tcW w:w="1559" w:type="dxa"/>
          </w:tcPr>
          <w:p w14:paraId="6848FCA3" w14:textId="77777777" w:rsidR="007E071A" w:rsidRPr="00A967D7" w:rsidRDefault="007E071A" w:rsidP="007E071A">
            <w:pPr>
              <w:spacing w:after="0" w:line="240" w:lineRule="auto"/>
              <w:jc w:val="center"/>
              <w:rPr>
                <w:rFonts w:cs="Times New Roman"/>
              </w:rPr>
            </w:pPr>
            <w:r>
              <w:rPr>
                <w:rFonts w:cs="Times New Roman"/>
              </w:rPr>
              <w:t>42.9</w:t>
            </w:r>
            <w:r w:rsidRPr="00A967D7">
              <w:rPr>
                <w:rFonts w:cs="Times New Roman"/>
              </w:rPr>
              <w:t>:1</w:t>
            </w:r>
          </w:p>
        </w:tc>
        <w:tc>
          <w:tcPr>
            <w:tcW w:w="1560" w:type="dxa"/>
          </w:tcPr>
          <w:p w14:paraId="5310E6FC" w14:textId="77777777" w:rsidR="007E071A" w:rsidRPr="00A967D7" w:rsidRDefault="007E071A" w:rsidP="007E071A">
            <w:pPr>
              <w:spacing w:after="0" w:line="240" w:lineRule="auto"/>
              <w:jc w:val="center"/>
              <w:rPr>
                <w:rFonts w:cs="Times New Roman"/>
              </w:rPr>
            </w:pPr>
            <w:r>
              <w:rPr>
                <w:rFonts w:cs="Times New Roman"/>
              </w:rPr>
              <w:t>509</w:t>
            </w:r>
            <w:r w:rsidRPr="00A967D7">
              <w:rPr>
                <w:rFonts w:cs="Times New Roman"/>
              </w:rPr>
              <w:t>:1</w:t>
            </w:r>
          </w:p>
        </w:tc>
      </w:tr>
    </w:tbl>
    <w:p w14:paraId="4C779FC8" w14:textId="77777777" w:rsidR="007E071A" w:rsidRPr="00775359" w:rsidRDefault="007E071A" w:rsidP="007E071A">
      <w:pPr>
        <w:spacing w:before="240" w:after="0" w:line="240" w:lineRule="auto"/>
        <w:rPr>
          <w:rFonts w:eastAsia="Times New Roman" w:cs="Times New Roman"/>
          <w:sz w:val="20"/>
          <w:szCs w:val="20"/>
        </w:rPr>
      </w:pPr>
      <w:r w:rsidRPr="00A967D7">
        <w:rPr>
          <w:rFonts w:cs="Times New Roman"/>
          <w:sz w:val="20"/>
          <w:szCs w:val="20"/>
        </w:rPr>
        <w:t>Values are the mean ± 1 SD of two independent samples analysed in duplicate (n=4)</w:t>
      </w:r>
    </w:p>
    <w:p w14:paraId="2439A0D0" w14:textId="5E5D097A" w:rsidR="007E071A" w:rsidRPr="00DC75C8" w:rsidRDefault="007E071A" w:rsidP="007E071A">
      <w:pPr>
        <w:spacing w:after="0" w:line="240" w:lineRule="auto"/>
        <w:rPr>
          <w:rFonts w:cs="Times New Roman"/>
          <w:sz w:val="20"/>
          <w:szCs w:val="20"/>
        </w:rPr>
      </w:pPr>
      <w:r w:rsidRPr="00A967D7">
        <w:rPr>
          <w:rFonts w:cs="Times New Roman"/>
          <w:sz w:val="20"/>
          <w:szCs w:val="20"/>
        </w:rPr>
        <w:t>Means with different superscripts letters in a column differ significantly (</w:t>
      </w:r>
      <w:r w:rsidRPr="00C71F7E">
        <w:rPr>
          <w:rFonts w:cs="Times New Roman"/>
          <w:i/>
          <w:iCs/>
          <w:sz w:val="20"/>
          <w:szCs w:val="20"/>
        </w:rPr>
        <w:t>p</w:t>
      </w:r>
      <w:r w:rsidR="00202C06">
        <w:rPr>
          <w:rFonts w:cs="Times New Roman"/>
          <w:sz w:val="20"/>
          <w:szCs w:val="20"/>
        </w:rPr>
        <w:t>&lt;</w:t>
      </w:r>
      <w:r w:rsidRPr="00A967D7">
        <w:rPr>
          <w:rFonts w:cs="Times New Roman"/>
          <w:sz w:val="20"/>
          <w:szCs w:val="20"/>
        </w:rPr>
        <w:t>0.05)</w:t>
      </w:r>
      <w:r>
        <w:rPr>
          <w:rFonts w:cs="Times New Roman"/>
          <w:sz w:val="20"/>
          <w:szCs w:val="20"/>
        </w:rPr>
        <w:t xml:space="preserve">, </w:t>
      </w:r>
      <w:r w:rsidRPr="0029227E">
        <w:rPr>
          <w:rFonts w:cs="Times New Roman"/>
          <w:sz w:val="20"/>
          <w:szCs w:val="20"/>
          <w:vertAlign w:val="superscript"/>
        </w:rPr>
        <w:t>¥</w:t>
      </w:r>
      <w:r w:rsidRPr="0029227E">
        <w:rPr>
          <w:rFonts w:cs="Times New Roman"/>
          <w:sz w:val="20"/>
          <w:szCs w:val="20"/>
        </w:rPr>
        <w:t>Not detected</w:t>
      </w:r>
      <w:r>
        <w:rPr>
          <w:rFonts w:cs="Times New Roman"/>
          <w:sz w:val="20"/>
          <w:szCs w:val="20"/>
        </w:rPr>
        <w:t xml:space="preserve">, </w:t>
      </w:r>
      <w:r w:rsidRPr="00A75917">
        <w:rPr>
          <w:rFonts w:cs="Times New Roman"/>
          <w:sz w:val="20"/>
          <w:szCs w:val="20"/>
          <w:vertAlign w:val="superscript"/>
        </w:rPr>
        <w:t>#</w:t>
      </w:r>
      <w:r>
        <w:rPr>
          <w:rFonts w:cs="Times New Roman"/>
          <w:sz w:val="20"/>
          <w:szCs w:val="20"/>
        </w:rPr>
        <w:t>value of sample analysed once</w:t>
      </w:r>
      <w:r w:rsidRPr="00A75917">
        <w:rPr>
          <w:rFonts w:cs="Times New Roman"/>
          <w:sz w:val="20"/>
          <w:szCs w:val="20"/>
          <w:vertAlign w:val="superscript"/>
        </w:rPr>
        <w:t xml:space="preserve"> </w:t>
      </w:r>
    </w:p>
    <w:p w14:paraId="51DB0748" w14:textId="58C9ABB9" w:rsidR="007E071A" w:rsidRPr="00A967D7" w:rsidRDefault="007E071A" w:rsidP="007E071A">
      <w:pPr>
        <w:spacing w:after="0" w:line="240" w:lineRule="auto"/>
        <w:rPr>
          <w:rFonts w:cs="Times New Roman"/>
          <w:sz w:val="20"/>
          <w:szCs w:val="20"/>
        </w:rPr>
      </w:pPr>
      <w:r w:rsidRPr="00A967D7">
        <w:rPr>
          <w:rFonts w:cs="Times New Roman"/>
          <w:sz w:val="20"/>
          <w:szCs w:val="20"/>
          <w:vertAlign w:val="superscript"/>
        </w:rPr>
        <w:t>*</w:t>
      </w:r>
      <w:r w:rsidRPr="00A967D7">
        <w:rPr>
          <w:rFonts w:cs="Times New Roman"/>
          <w:sz w:val="20"/>
          <w:szCs w:val="20"/>
        </w:rPr>
        <w:t>Phytate</w:t>
      </w:r>
      <w:r>
        <w:rPr>
          <w:rFonts w:cs="Times New Roman"/>
          <w:sz w:val="20"/>
          <w:szCs w:val="20"/>
        </w:rPr>
        <w:t>, total phenolics and tannin</w:t>
      </w:r>
      <w:r w:rsidRPr="00A967D7">
        <w:rPr>
          <w:rFonts w:cs="Times New Roman"/>
          <w:sz w:val="20"/>
          <w:szCs w:val="20"/>
        </w:rPr>
        <w:t xml:space="preserve"> values of porridge formulations were calculated from the individual plant food ingredients</w:t>
      </w:r>
      <w:r>
        <w:rPr>
          <w:rFonts w:cs="Times New Roman"/>
          <w:sz w:val="20"/>
          <w:szCs w:val="20"/>
        </w:rPr>
        <w:t>’</w:t>
      </w:r>
      <w:r w:rsidRPr="00A967D7">
        <w:rPr>
          <w:rFonts w:cs="Times New Roman"/>
          <w:sz w:val="20"/>
          <w:szCs w:val="20"/>
        </w:rPr>
        <w:t xml:space="preserve"> phytate</w:t>
      </w:r>
      <w:r>
        <w:rPr>
          <w:rFonts w:cs="Times New Roman"/>
          <w:sz w:val="20"/>
          <w:szCs w:val="20"/>
        </w:rPr>
        <w:t>, total phenolics and tannin</w:t>
      </w:r>
      <w:r w:rsidRPr="00A967D7">
        <w:rPr>
          <w:rFonts w:cs="Times New Roman"/>
          <w:sz w:val="20"/>
          <w:szCs w:val="20"/>
        </w:rPr>
        <w:t xml:space="preserve"> values</w:t>
      </w:r>
      <w:r>
        <w:rPr>
          <w:rFonts w:cs="Times New Roman"/>
          <w:sz w:val="20"/>
          <w:szCs w:val="20"/>
        </w:rPr>
        <w:t xml:space="preserve">, respectively, </w:t>
      </w:r>
      <w:r w:rsidRPr="00A967D7">
        <w:rPr>
          <w:rFonts w:cs="Times New Roman"/>
          <w:sz w:val="20"/>
          <w:szCs w:val="20"/>
          <w:vertAlign w:val="superscript"/>
        </w:rPr>
        <w:t>$</w:t>
      </w:r>
      <w:r w:rsidRPr="00A967D7">
        <w:rPr>
          <w:rFonts w:cs="Times New Roman"/>
          <w:sz w:val="20"/>
          <w:szCs w:val="20"/>
        </w:rPr>
        <w:t>Moringa leaf powder from Mor Nutri (M); Moringa leaf</w:t>
      </w:r>
      <w:r w:rsidRPr="00A967D7">
        <w:rPr>
          <w:rFonts w:cs="Times New Roman"/>
          <w:vertAlign w:val="superscript"/>
        </w:rPr>
        <w:t xml:space="preserve"> </w:t>
      </w:r>
      <w:r w:rsidRPr="00A967D7">
        <w:rPr>
          <w:rFonts w:cs="Times New Roman"/>
          <w:sz w:val="20"/>
          <w:szCs w:val="20"/>
        </w:rPr>
        <w:t>powder from Sup</w:t>
      </w:r>
      <w:r w:rsidR="007B4B23">
        <w:rPr>
          <w:rFonts w:cs="Times New Roman"/>
          <w:sz w:val="20"/>
          <w:szCs w:val="20"/>
        </w:rPr>
        <w:t>a</w:t>
      </w:r>
      <w:r w:rsidRPr="00A967D7">
        <w:rPr>
          <w:rFonts w:cs="Times New Roman"/>
          <w:sz w:val="20"/>
          <w:szCs w:val="20"/>
        </w:rPr>
        <w:t xml:space="preserve"> Nutri (S)</w:t>
      </w:r>
    </w:p>
    <w:p w14:paraId="5AB32614" w14:textId="77777777" w:rsidR="007E071A" w:rsidRDefault="007E071A" w:rsidP="007E071A">
      <w:pPr>
        <w:spacing w:after="0" w:line="240" w:lineRule="auto"/>
        <w:rPr>
          <w:rFonts w:cs="Times New Roman"/>
          <w:sz w:val="20"/>
          <w:szCs w:val="20"/>
        </w:rPr>
      </w:pPr>
      <w:r w:rsidRPr="00A967D7">
        <w:rPr>
          <w:rFonts w:cs="Times New Roman"/>
          <w:vertAlign w:val="superscript"/>
        </w:rPr>
        <w:t>1</w:t>
      </w:r>
      <w:r w:rsidRPr="00A967D7">
        <w:rPr>
          <w:rFonts w:cs="Times New Roman"/>
          <w:sz w:val="20"/>
          <w:szCs w:val="20"/>
        </w:rPr>
        <w:t xml:space="preserve">Amounts of ascorbic </w:t>
      </w:r>
      <w:r>
        <w:rPr>
          <w:rFonts w:cs="Times New Roman"/>
          <w:sz w:val="20"/>
          <w:szCs w:val="20"/>
        </w:rPr>
        <w:t xml:space="preserve">acid </w:t>
      </w:r>
      <w:r w:rsidRPr="00A967D7">
        <w:rPr>
          <w:rFonts w:cs="Times New Roman"/>
          <w:sz w:val="20"/>
          <w:szCs w:val="20"/>
        </w:rPr>
        <w:t>(2</w:t>
      </w:r>
      <w:r>
        <w:rPr>
          <w:rFonts w:cs="Times New Roman"/>
          <w:sz w:val="20"/>
          <w:szCs w:val="20"/>
        </w:rPr>
        <w:t>3.3</w:t>
      </w:r>
      <w:r w:rsidRPr="00A967D7">
        <w:rPr>
          <w:rFonts w:cs="Times New Roman"/>
          <w:sz w:val="20"/>
          <w:szCs w:val="20"/>
        </w:rPr>
        <w:t xml:space="preserve"> mg) and citric acids (</w:t>
      </w:r>
      <w:r>
        <w:rPr>
          <w:rFonts w:cs="Times New Roman"/>
          <w:sz w:val="20"/>
          <w:szCs w:val="20"/>
        </w:rPr>
        <w:t>595</w:t>
      </w:r>
      <w:r w:rsidRPr="00A967D7">
        <w:rPr>
          <w:rFonts w:cs="Times New Roman"/>
          <w:sz w:val="20"/>
          <w:szCs w:val="20"/>
        </w:rPr>
        <w:t xml:space="preserve"> mg) used were similar to the levels in the baobab fruit</w:t>
      </w:r>
      <w:r>
        <w:rPr>
          <w:rFonts w:cs="Times New Roman"/>
          <w:sz w:val="20"/>
          <w:szCs w:val="20"/>
        </w:rPr>
        <w:t xml:space="preserve"> </w:t>
      </w:r>
    </w:p>
    <w:p w14:paraId="25C8ADB3" w14:textId="77777777" w:rsidR="007E071A" w:rsidRPr="00A967D7" w:rsidRDefault="007E071A" w:rsidP="007E071A">
      <w:pPr>
        <w:spacing w:after="0" w:line="240" w:lineRule="auto"/>
        <w:rPr>
          <w:rFonts w:cs="Times New Roman"/>
          <w:vertAlign w:val="superscript"/>
        </w:rPr>
      </w:pPr>
      <w:r w:rsidRPr="00A967D7">
        <w:rPr>
          <w:rFonts w:cs="Times New Roman"/>
          <w:sz w:val="20"/>
          <w:szCs w:val="20"/>
          <w:vertAlign w:val="superscript"/>
        </w:rPr>
        <w:t>2</w:t>
      </w:r>
      <w:r w:rsidRPr="00A967D7">
        <w:rPr>
          <w:rFonts w:cs="Times New Roman"/>
          <w:sz w:val="20"/>
          <w:szCs w:val="20"/>
        </w:rPr>
        <w:t>Amount of iron (</w:t>
      </w:r>
      <w:r>
        <w:rPr>
          <w:rFonts w:cs="Times New Roman"/>
          <w:sz w:val="20"/>
          <w:szCs w:val="20"/>
        </w:rPr>
        <w:t>4.7</w:t>
      </w:r>
      <w:r w:rsidRPr="00A967D7">
        <w:rPr>
          <w:rFonts w:cs="Times New Roman"/>
          <w:sz w:val="20"/>
          <w:szCs w:val="20"/>
        </w:rPr>
        <w:t xml:space="preserve"> mg) used was similar to the levels in the moringa leaf powder (M)</w:t>
      </w:r>
    </w:p>
    <w:p w14:paraId="72BC03C1" w14:textId="08F02C55" w:rsidR="007E071A" w:rsidRDefault="007E071A">
      <w:pPr>
        <w:spacing w:after="160" w:line="259" w:lineRule="auto"/>
        <w:rPr>
          <w:rFonts w:eastAsia="Times New Roman" w:cs="Times New Roman"/>
          <w:szCs w:val="24"/>
        </w:rPr>
      </w:pPr>
      <w:r>
        <w:rPr>
          <w:rFonts w:eastAsia="Times New Roman" w:cs="Times New Roman"/>
          <w:szCs w:val="24"/>
        </w:rPr>
        <w:br w:type="page"/>
      </w:r>
    </w:p>
    <w:p w14:paraId="527ED431" w14:textId="77777777" w:rsidR="007E071A" w:rsidRDefault="007E071A" w:rsidP="007E071A">
      <w:pPr>
        <w:rPr>
          <w:rFonts w:eastAsia="Times New Roman" w:cs="Times New Roman"/>
          <w:szCs w:val="24"/>
        </w:rPr>
        <w:sectPr w:rsidR="007E071A" w:rsidSect="007E071A">
          <w:pgSz w:w="16839" w:h="11907" w:orient="landscape" w:code="9"/>
          <w:pgMar w:top="1440" w:right="1440" w:bottom="1440" w:left="1440" w:header="720" w:footer="720" w:gutter="0"/>
          <w:cols w:space="720"/>
          <w:docGrid w:linePitch="360"/>
        </w:sectPr>
      </w:pPr>
    </w:p>
    <w:p w14:paraId="12887306" w14:textId="486B79B3" w:rsidR="00D609DA" w:rsidRPr="00A967D7" w:rsidRDefault="00D609DA" w:rsidP="00C5197F">
      <w:pPr>
        <w:pStyle w:val="Heading4"/>
      </w:pPr>
      <w:bookmarkStart w:id="113" w:name="_Toc65253601"/>
      <w:r>
        <w:t>4.2.4.</w:t>
      </w:r>
      <w:r w:rsidRPr="00A967D7">
        <w:t>3</w:t>
      </w:r>
      <w:r w:rsidR="00C5197F">
        <w:tab/>
      </w:r>
      <w:r w:rsidRPr="00A967D7">
        <w:t>Organic acid contents</w:t>
      </w:r>
      <w:bookmarkEnd w:id="113"/>
    </w:p>
    <w:p w14:paraId="17B15B30" w14:textId="236B8D3F" w:rsidR="00D609DA" w:rsidRPr="00A967D7" w:rsidRDefault="00D609DA" w:rsidP="008B4589">
      <w:r>
        <w:t>The</w:t>
      </w:r>
      <w:r w:rsidRPr="00A967D7">
        <w:t xml:space="preserve"> baobab fruit </w:t>
      </w:r>
      <w:r>
        <w:t xml:space="preserve">pulp </w:t>
      </w:r>
      <w:r w:rsidRPr="00A967D7">
        <w:t xml:space="preserve">was highest in ascorbic </w:t>
      </w:r>
      <w:r>
        <w:t xml:space="preserve">acid </w:t>
      </w:r>
      <w:r w:rsidRPr="00A967D7">
        <w:t xml:space="preserve">and citric acid, </w:t>
      </w:r>
      <w:r>
        <w:t>in contrast to</w:t>
      </w:r>
      <w:r w:rsidRPr="00A967D7">
        <w:t xml:space="preserve"> maize which contained no detectable levels of ascorbic acid</w:t>
      </w:r>
      <w:r>
        <w:t xml:space="preserve"> (</w:t>
      </w:r>
      <w:r w:rsidRPr="00867505">
        <w:t xml:space="preserve">Table </w:t>
      </w:r>
      <w:r w:rsidR="00867505" w:rsidRPr="00867505">
        <w:t>4.2.</w:t>
      </w:r>
      <w:r w:rsidRPr="00867505">
        <w:t>3)</w:t>
      </w:r>
      <w:r w:rsidRPr="00A967D7">
        <w:t>. The citric and malic acid levels of baobab fruit</w:t>
      </w:r>
      <w:r>
        <w:t xml:space="preserve"> pulp</w:t>
      </w:r>
      <w:r w:rsidRPr="00A967D7">
        <w:t xml:space="preserve"> were about 85-fold and 9-fold higher compared to maize. High levels of ascorbic, citric and malic acid have </w:t>
      </w:r>
      <w:r>
        <w:t xml:space="preserve">also </w:t>
      </w:r>
      <w:r w:rsidRPr="00A967D7">
        <w:t>been reported in baobab fruit</w:t>
      </w:r>
      <w:r>
        <w:t xml:space="preserve"> pulp by other researchers:</w:t>
      </w:r>
      <w:r w:rsidRPr="00A967D7">
        <w:t xml:space="preserve"> 162–499 mg/100 g (Bamalli et al., 2014), 2570–3300 mg/100 g and 210–2360 mg/100 g, respectively (Mag</w:t>
      </w:r>
      <w:r w:rsidR="006B3333">
        <w:t>a</w:t>
      </w:r>
      <w:r w:rsidRPr="00A967D7">
        <w:t>ia et al., 2013; Tembo et al., 201</w:t>
      </w:r>
      <w:r w:rsidR="009D523F">
        <w:t>7</w:t>
      </w:r>
      <w:r w:rsidRPr="00A967D7">
        <w:t xml:space="preserve">). Thus, </w:t>
      </w:r>
      <w:r>
        <w:t>in Experiment 1</w:t>
      </w:r>
      <w:r w:rsidR="00093162">
        <w:t xml:space="preserve"> and 2</w:t>
      </w:r>
      <w:r w:rsidR="006E2272">
        <w:t xml:space="preserve"> baobab fortification of </w:t>
      </w:r>
      <w:r w:rsidR="00DF5C46">
        <w:t xml:space="preserve">the </w:t>
      </w:r>
      <w:r w:rsidR="006E2272">
        <w:t>maize porridge</w:t>
      </w:r>
      <w:r w:rsidR="00DF5C46">
        <w:t xml:space="preserve"> </w:t>
      </w:r>
      <w:r w:rsidR="00093162">
        <w:t>and FeSO</w:t>
      </w:r>
      <w:r w:rsidR="00093162" w:rsidRPr="00E302F3">
        <w:rPr>
          <w:vertAlign w:val="subscript"/>
        </w:rPr>
        <w:t>4</w:t>
      </w:r>
      <w:r w:rsidR="00093162">
        <w:t xml:space="preserve"> fortified-maize-based porridge, respectively </w:t>
      </w:r>
      <w:r w:rsidR="00DF5C46">
        <w:t>would considerably increase the</w:t>
      </w:r>
      <w:r>
        <w:t xml:space="preserve"> ascorbic acid, citric acid and malic acid </w:t>
      </w:r>
      <w:r w:rsidR="00DF5C46">
        <w:t>contents of</w:t>
      </w:r>
      <w:r>
        <w:t xml:space="preserve"> the baobab fortified</w:t>
      </w:r>
      <w:r w:rsidR="00867505">
        <w:t xml:space="preserve"> </w:t>
      </w:r>
      <w:r>
        <w:t>porridge</w:t>
      </w:r>
      <w:r w:rsidR="00093162">
        <w:t>s.</w:t>
      </w:r>
    </w:p>
    <w:p w14:paraId="0A040826" w14:textId="77777777" w:rsidR="00D609DA" w:rsidRPr="00A967D7" w:rsidRDefault="00D609DA" w:rsidP="00867505">
      <w:pPr>
        <w:spacing w:after="0"/>
      </w:pPr>
    </w:p>
    <w:p w14:paraId="57B946C3" w14:textId="13D3A594" w:rsidR="00D609DA" w:rsidRPr="00A967D7" w:rsidRDefault="00D609DA" w:rsidP="008B4589">
      <w:r>
        <w:t xml:space="preserve">The </w:t>
      </w:r>
      <w:r w:rsidRPr="00A967D7">
        <w:t>Moringa lea</w:t>
      </w:r>
      <w:r>
        <w:t>f powders</w:t>
      </w:r>
      <w:r w:rsidRPr="00A967D7">
        <w:t xml:space="preserve"> </w:t>
      </w:r>
      <w:r>
        <w:t xml:space="preserve">were </w:t>
      </w:r>
      <w:r w:rsidRPr="00A967D7">
        <w:t xml:space="preserve">also </w:t>
      </w:r>
      <w:r>
        <w:t xml:space="preserve">high in </w:t>
      </w:r>
      <w:r w:rsidRPr="00A967D7">
        <w:t>citric acid and malic acid compared to maize, a</w:t>
      </w:r>
      <w:r>
        <w:t>pproximately</w:t>
      </w:r>
      <w:r w:rsidRPr="00A967D7">
        <w:t xml:space="preserve"> 53- and 11-fold higher, respectively </w:t>
      </w:r>
      <w:r w:rsidR="00867505">
        <w:t>(</w:t>
      </w:r>
      <w:r w:rsidR="00867505" w:rsidRPr="00867505">
        <w:t>Table 4.2.3)</w:t>
      </w:r>
      <w:r w:rsidR="00867505">
        <w:t xml:space="preserve"> </w:t>
      </w:r>
      <w:r w:rsidRPr="00A967D7">
        <w:t xml:space="preserve">but, unlike baobab fruit, </w:t>
      </w:r>
      <w:r w:rsidR="007B4B23">
        <w:t xml:space="preserve">the moringa </w:t>
      </w:r>
      <w:r w:rsidRPr="00A967D7">
        <w:t xml:space="preserve">contained </w:t>
      </w:r>
      <w:r w:rsidR="007B4B23">
        <w:t>very little</w:t>
      </w:r>
      <w:r w:rsidRPr="00A967D7">
        <w:t xml:space="preserve"> ascorbic acid (</w:t>
      </w:r>
      <w:r>
        <w:t>2–</w:t>
      </w:r>
      <w:r w:rsidRPr="00A967D7">
        <w:t xml:space="preserve">9 mg/100 g), </w:t>
      </w:r>
      <w:r w:rsidR="007B4B23">
        <w:t>somewhat</w:t>
      </w:r>
      <w:r>
        <w:t xml:space="preserve"> </w:t>
      </w:r>
      <w:r w:rsidRPr="00A967D7">
        <w:t xml:space="preserve">lower than the 17 mg/100 g reported by </w:t>
      </w:r>
      <w:r w:rsidRPr="00A967D7">
        <w:rPr>
          <w:rFonts w:eastAsia="Times New Roman"/>
        </w:rPr>
        <w:t>Gopalakrishnan et al. (2016)</w:t>
      </w:r>
      <w:r w:rsidRPr="00A967D7">
        <w:t xml:space="preserve">. </w:t>
      </w:r>
      <w:r>
        <w:t>Hence, in Experiment 1</w:t>
      </w:r>
      <w:r w:rsidR="006B3333">
        <w:t xml:space="preserve"> and 2</w:t>
      </w:r>
      <w:r>
        <w:t xml:space="preserve"> moringa fortification of maize porridge </w:t>
      </w:r>
      <w:r w:rsidR="006B3333">
        <w:t xml:space="preserve">and maize-based porridge, respectively </w:t>
      </w:r>
      <w:r>
        <w:t>would only substantially increase the citric acid and malic acid contents of the</w:t>
      </w:r>
      <w:r w:rsidR="00093162">
        <w:t xml:space="preserve"> moringa</w:t>
      </w:r>
      <w:r>
        <w:t xml:space="preserve"> fortified</w:t>
      </w:r>
      <w:r w:rsidR="00867505">
        <w:t xml:space="preserve"> </w:t>
      </w:r>
      <w:r>
        <w:t>porridge</w:t>
      </w:r>
      <w:r w:rsidR="00093162">
        <w:t>s</w:t>
      </w:r>
      <w:r w:rsidR="006B3333">
        <w:t>.</w:t>
      </w:r>
    </w:p>
    <w:p w14:paraId="79DC8014" w14:textId="77777777" w:rsidR="00D609DA" w:rsidRDefault="00D609DA" w:rsidP="00867505">
      <w:pPr>
        <w:spacing w:after="0"/>
      </w:pPr>
    </w:p>
    <w:p w14:paraId="1B2A65EC" w14:textId="3FF6C34B" w:rsidR="00D609DA" w:rsidRDefault="00D609DA" w:rsidP="008B4589">
      <w:r w:rsidRPr="00A967D7">
        <w:t xml:space="preserve">Mango was also much higher in ascorbic </w:t>
      </w:r>
      <w:r>
        <w:t xml:space="preserve">acid </w:t>
      </w:r>
      <w:r w:rsidRPr="00A967D7">
        <w:t>and citric acid compared to maize; some 20-fold higher</w:t>
      </w:r>
      <w:r w:rsidR="00867505">
        <w:t xml:space="preserve"> (</w:t>
      </w:r>
      <w:r w:rsidR="00867505" w:rsidRPr="00867505">
        <w:t>Table 4.2.3)</w:t>
      </w:r>
      <w:r w:rsidRPr="00A967D7">
        <w:t>.</w:t>
      </w:r>
      <w:r>
        <w:t xml:space="preserve"> However, in Experiment 2</w:t>
      </w:r>
      <w:r w:rsidR="00867505">
        <w:t>,</w:t>
      </w:r>
      <w:r>
        <w:t xml:space="preserve"> inclusion of mango in the maize-based porridge would not substantially increase the porridge</w:t>
      </w:r>
      <w:r w:rsidR="00867505">
        <w:t>’s</w:t>
      </w:r>
      <w:r>
        <w:t xml:space="preserve"> ascorbic acid and citric acid contents when compared to the simple maize porridge in Experiment 1. This is because the level of mango inclusion in the maize-based porridges, 3.5 g/100 g, was too low to substantially improve the ascorbic acid and citric acid contents.</w:t>
      </w:r>
    </w:p>
    <w:p w14:paraId="4494BC84" w14:textId="77777777" w:rsidR="00D609DA" w:rsidRPr="00A967D7" w:rsidRDefault="00D609DA" w:rsidP="008B4589"/>
    <w:p w14:paraId="602CD2D9" w14:textId="77777777" w:rsidR="006B3333" w:rsidRDefault="006B3333" w:rsidP="0009779A">
      <w:pPr>
        <w:pStyle w:val="MyTables"/>
        <w:spacing w:line="240" w:lineRule="auto"/>
        <w:rPr>
          <w:b/>
          <w:bCs/>
        </w:rPr>
      </w:pPr>
    </w:p>
    <w:p w14:paraId="7FB3B5F0" w14:textId="77777777" w:rsidR="006B3333" w:rsidRDefault="006B3333" w:rsidP="0009779A">
      <w:pPr>
        <w:pStyle w:val="MyTables"/>
        <w:spacing w:line="240" w:lineRule="auto"/>
        <w:rPr>
          <w:b/>
          <w:bCs/>
        </w:rPr>
      </w:pPr>
    </w:p>
    <w:p w14:paraId="396CA6FB" w14:textId="77777777" w:rsidR="006B3333" w:rsidRDefault="006B3333" w:rsidP="0009779A">
      <w:pPr>
        <w:pStyle w:val="MyTables"/>
        <w:spacing w:line="240" w:lineRule="auto"/>
        <w:rPr>
          <w:b/>
          <w:bCs/>
        </w:rPr>
      </w:pPr>
    </w:p>
    <w:p w14:paraId="1D5A11DA" w14:textId="77777777" w:rsidR="006B3333" w:rsidRDefault="006B3333" w:rsidP="0009779A">
      <w:pPr>
        <w:pStyle w:val="MyTables"/>
        <w:spacing w:line="240" w:lineRule="auto"/>
        <w:rPr>
          <w:b/>
          <w:bCs/>
        </w:rPr>
      </w:pPr>
    </w:p>
    <w:p w14:paraId="220E4593" w14:textId="77777777" w:rsidR="006B1FCF" w:rsidRDefault="006B1FCF" w:rsidP="0009779A">
      <w:pPr>
        <w:pStyle w:val="MyTables"/>
        <w:spacing w:line="240" w:lineRule="auto"/>
        <w:rPr>
          <w:b/>
          <w:bCs/>
        </w:rPr>
      </w:pPr>
    </w:p>
    <w:p w14:paraId="644771F6" w14:textId="77777777" w:rsidR="006B1FCF" w:rsidRDefault="006B1FCF" w:rsidP="0009779A">
      <w:pPr>
        <w:pStyle w:val="MyTables"/>
        <w:spacing w:line="240" w:lineRule="auto"/>
        <w:rPr>
          <w:b/>
          <w:bCs/>
        </w:rPr>
      </w:pPr>
    </w:p>
    <w:p w14:paraId="39657795" w14:textId="67493BDF" w:rsidR="00D609DA" w:rsidRPr="00A967D7" w:rsidRDefault="00D609DA" w:rsidP="0009779A">
      <w:pPr>
        <w:pStyle w:val="MyTables"/>
        <w:spacing w:line="240" w:lineRule="auto"/>
      </w:pPr>
      <w:bookmarkStart w:id="114" w:name="_Toc65253636"/>
      <w:r w:rsidRPr="00D609DA">
        <w:rPr>
          <w:b/>
          <w:bCs/>
        </w:rPr>
        <w:t xml:space="preserve">Table </w:t>
      </w:r>
      <w:r>
        <w:rPr>
          <w:b/>
          <w:bCs/>
        </w:rPr>
        <w:t>4.2.</w:t>
      </w:r>
      <w:r w:rsidRPr="00D609DA">
        <w:rPr>
          <w:b/>
          <w:bCs/>
        </w:rPr>
        <w:t>3:</w:t>
      </w:r>
      <w:r w:rsidRPr="00A967D7">
        <w:t xml:space="preserve"> Organic acid contents (mg/100 g dry basis) of wholegrain white maize </w:t>
      </w:r>
      <w:r>
        <w:t xml:space="preserve">flour, </w:t>
      </w:r>
      <w:r w:rsidRPr="00A967D7">
        <w:t>baobab fruit pulp, moringa leaf powder, carrot powder and mango fruit powder</w:t>
      </w:r>
      <w:r>
        <w:t xml:space="preserve"> </w:t>
      </w:r>
      <w:r w:rsidRPr="00A967D7">
        <w:t xml:space="preserve">and their </w:t>
      </w:r>
      <w:r w:rsidR="00867505">
        <w:t>porridge formulations</w:t>
      </w:r>
      <w:r w:rsidR="00CB4FE0" w:rsidRPr="00A967D7">
        <w:t xml:space="preserve"> and their calculated </w:t>
      </w:r>
      <w:r w:rsidR="00CB4FE0">
        <w:t>ascorbic acid</w:t>
      </w:r>
      <w:r w:rsidR="00CB4FE0" w:rsidRPr="00A967D7">
        <w:t>:</w:t>
      </w:r>
      <w:r w:rsidR="00CB4FE0">
        <w:t>iron</w:t>
      </w:r>
      <w:r w:rsidR="00CB4FE0" w:rsidRPr="00A967D7">
        <w:t xml:space="preserve"> molar ratios</w:t>
      </w:r>
      <w:bookmarkEnd w:id="114"/>
    </w:p>
    <w:tbl>
      <w:tblPr>
        <w:tblW w:w="9889" w:type="dxa"/>
        <w:tblBorders>
          <w:top w:val="single" w:sz="4" w:space="0" w:color="auto"/>
          <w:bottom w:val="single" w:sz="4" w:space="0" w:color="auto"/>
        </w:tblBorders>
        <w:tblLook w:val="04A0" w:firstRow="1" w:lastRow="0" w:firstColumn="1" w:lastColumn="0" w:noHBand="0" w:noVBand="1"/>
      </w:tblPr>
      <w:tblGrid>
        <w:gridCol w:w="3331"/>
        <w:gridCol w:w="1654"/>
        <w:gridCol w:w="1630"/>
        <w:gridCol w:w="1630"/>
        <w:gridCol w:w="1644"/>
      </w:tblGrid>
      <w:tr w:rsidR="00D609DA" w:rsidRPr="006B7B45" w14:paraId="43351388" w14:textId="77777777" w:rsidTr="006B3333">
        <w:tc>
          <w:tcPr>
            <w:tcW w:w="3331" w:type="dxa"/>
            <w:tcBorders>
              <w:top w:val="single" w:sz="4" w:space="0" w:color="auto"/>
              <w:bottom w:val="single" w:sz="4" w:space="0" w:color="auto"/>
            </w:tcBorders>
          </w:tcPr>
          <w:p w14:paraId="04A96740" w14:textId="77777777" w:rsidR="00D609DA" w:rsidRPr="006B7B45" w:rsidRDefault="00D609DA" w:rsidP="0009779A">
            <w:pPr>
              <w:spacing w:after="0" w:line="240" w:lineRule="auto"/>
              <w:rPr>
                <w:rFonts w:cs="Times New Roman"/>
                <w:b/>
                <w:sz w:val="22"/>
              </w:rPr>
            </w:pPr>
            <w:r w:rsidRPr="006B7B45">
              <w:rPr>
                <w:rFonts w:cs="Times New Roman"/>
                <w:b/>
                <w:sz w:val="22"/>
              </w:rPr>
              <w:t>Porridge ingredients</w:t>
            </w:r>
            <w:r w:rsidRPr="006B7B45">
              <w:rPr>
                <w:rStyle w:val="CommentReference"/>
                <w:rFonts w:cs="Times New Roman"/>
                <w:sz w:val="22"/>
                <w:szCs w:val="22"/>
              </w:rPr>
              <w:t xml:space="preserve"> </w:t>
            </w:r>
          </w:p>
        </w:tc>
        <w:tc>
          <w:tcPr>
            <w:tcW w:w="1654" w:type="dxa"/>
            <w:tcBorders>
              <w:top w:val="single" w:sz="4" w:space="0" w:color="auto"/>
              <w:bottom w:val="single" w:sz="4" w:space="0" w:color="auto"/>
            </w:tcBorders>
          </w:tcPr>
          <w:p w14:paraId="71EAA6BD" w14:textId="77777777" w:rsidR="00D609DA" w:rsidRPr="006B7B45" w:rsidRDefault="00D609DA" w:rsidP="0009779A">
            <w:pPr>
              <w:spacing w:after="0" w:line="240" w:lineRule="auto"/>
              <w:jc w:val="center"/>
              <w:rPr>
                <w:rFonts w:cs="Times New Roman"/>
                <w:b/>
                <w:sz w:val="22"/>
              </w:rPr>
            </w:pPr>
            <w:r w:rsidRPr="006B7B45">
              <w:rPr>
                <w:rFonts w:cs="Times New Roman"/>
                <w:b/>
                <w:sz w:val="22"/>
              </w:rPr>
              <w:t>Ascorbic acid</w:t>
            </w:r>
          </w:p>
        </w:tc>
        <w:tc>
          <w:tcPr>
            <w:tcW w:w="1630" w:type="dxa"/>
            <w:tcBorders>
              <w:top w:val="single" w:sz="4" w:space="0" w:color="auto"/>
              <w:bottom w:val="single" w:sz="4" w:space="0" w:color="auto"/>
            </w:tcBorders>
          </w:tcPr>
          <w:p w14:paraId="520B8C1B" w14:textId="77777777" w:rsidR="00D609DA" w:rsidRPr="006B7B45" w:rsidRDefault="00D609DA" w:rsidP="0009779A">
            <w:pPr>
              <w:spacing w:after="0" w:line="240" w:lineRule="auto"/>
              <w:jc w:val="center"/>
              <w:rPr>
                <w:rFonts w:cs="Times New Roman"/>
                <w:b/>
                <w:sz w:val="22"/>
              </w:rPr>
            </w:pPr>
            <w:r w:rsidRPr="006B7B45">
              <w:rPr>
                <w:rFonts w:cs="Times New Roman"/>
                <w:b/>
                <w:sz w:val="22"/>
              </w:rPr>
              <w:t>Citric acid</w:t>
            </w:r>
          </w:p>
        </w:tc>
        <w:tc>
          <w:tcPr>
            <w:tcW w:w="1630" w:type="dxa"/>
            <w:tcBorders>
              <w:top w:val="single" w:sz="4" w:space="0" w:color="auto"/>
              <w:bottom w:val="single" w:sz="4" w:space="0" w:color="auto"/>
            </w:tcBorders>
          </w:tcPr>
          <w:p w14:paraId="200AD3EF" w14:textId="77777777" w:rsidR="00D609DA" w:rsidRPr="006B7B45" w:rsidRDefault="00D609DA" w:rsidP="0009779A">
            <w:pPr>
              <w:spacing w:after="0" w:line="240" w:lineRule="auto"/>
              <w:jc w:val="center"/>
              <w:rPr>
                <w:rFonts w:cs="Times New Roman"/>
                <w:b/>
                <w:sz w:val="22"/>
              </w:rPr>
            </w:pPr>
            <w:r w:rsidRPr="006B7B45">
              <w:rPr>
                <w:rFonts w:cs="Times New Roman"/>
                <w:b/>
                <w:sz w:val="22"/>
              </w:rPr>
              <w:t>Malic acid</w:t>
            </w:r>
          </w:p>
        </w:tc>
        <w:tc>
          <w:tcPr>
            <w:tcW w:w="1644" w:type="dxa"/>
            <w:tcBorders>
              <w:top w:val="single" w:sz="4" w:space="0" w:color="auto"/>
              <w:bottom w:val="single" w:sz="4" w:space="0" w:color="auto"/>
            </w:tcBorders>
          </w:tcPr>
          <w:p w14:paraId="5A712F6B" w14:textId="77777777" w:rsidR="00D609DA" w:rsidRPr="006B7B45" w:rsidRDefault="00D609DA" w:rsidP="0009779A">
            <w:pPr>
              <w:spacing w:after="0" w:line="240" w:lineRule="auto"/>
              <w:jc w:val="center"/>
              <w:rPr>
                <w:rFonts w:cs="Times New Roman"/>
                <w:b/>
                <w:sz w:val="22"/>
              </w:rPr>
            </w:pPr>
            <w:r w:rsidRPr="006B7B45">
              <w:rPr>
                <w:rFonts w:cs="Times New Roman"/>
                <w:b/>
                <w:sz w:val="22"/>
              </w:rPr>
              <w:t>Ascorbic acid:iron molar ratio</w:t>
            </w:r>
          </w:p>
        </w:tc>
      </w:tr>
      <w:tr w:rsidR="00D609DA" w:rsidRPr="006B7B45" w14:paraId="4D73A47E" w14:textId="77777777" w:rsidTr="006B3333">
        <w:tc>
          <w:tcPr>
            <w:tcW w:w="3331" w:type="dxa"/>
            <w:tcBorders>
              <w:top w:val="single" w:sz="4" w:space="0" w:color="auto"/>
            </w:tcBorders>
          </w:tcPr>
          <w:p w14:paraId="663B2551" w14:textId="77777777" w:rsidR="00D609DA" w:rsidRPr="006B7B45" w:rsidRDefault="00D609DA" w:rsidP="0009779A">
            <w:pPr>
              <w:spacing w:after="0" w:line="240" w:lineRule="auto"/>
              <w:rPr>
                <w:rFonts w:cs="Times New Roman"/>
                <w:sz w:val="22"/>
              </w:rPr>
            </w:pPr>
            <w:r w:rsidRPr="006B7B45">
              <w:rPr>
                <w:rFonts w:cs="Times New Roman"/>
                <w:sz w:val="22"/>
              </w:rPr>
              <w:t>White maize</w:t>
            </w:r>
          </w:p>
        </w:tc>
        <w:tc>
          <w:tcPr>
            <w:tcW w:w="1654" w:type="dxa"/>
            <w:tcBorders>
              <w:top w:val="single" w:sz="4" w:space="0" w:color="auto"/>
            </w:tcBorders>
          </w:tcPr>
          <w:p w14:paraId="06137743" w14:textId="77777777" w:rsidR="00D609DA" w:rsidRPr="006B7B45" w:rsidRDefault="00D609DA" w:rsidP="0009779A">
            <w:pPr>
              <w:spacing w:after="0" w:line="240" w:lineRule="auto"/>
              <w:jc w:val="center"/>
              <w:rPr>
                <w:rFonts w:cs="Times New Roman"/>
                <w:sz w:val="22"/>
                <w:lang w:val="en-ZA"/>
              </w:rPr>
            </w:pPr>
            <w:r w:rsidRPr="006B7B45">
              <w:rPr>
                <w:rFonts w:cs="Times New Roman"/>
                <w:sz w:val="22"/>
              </w:rPr>
              <w:t>Not detected</w:t>
            </w:r>
          </w:p>
        </w:tc>
        <w:tc>
          <w:tcPr>
            <w:tcW w:w="1630" w:type="dxa"/>
            <w:tcBorders>
              <w:top w:val="single" w:sz="4" w:space="0" w:color="auto"/>
            </w:tcBorders>
          </w:tcPr>
          <w:p w14:paraId="33D2E8DB" w14:textId="77777777" w:rsidR="00D609DA" w:rsidRPr="006B7B45" w:rsidRDefault="00D609DA" w:rsidP="0009779A">
            <w:pPr>
              <w:spacing w:after="0" w:line="240" w:lineRule="auto"/>
              <w:jc w:val="center"/>
              <w:rPr>
                <w:rFonts w:cs="Times New Roman"/>
                <w:sz w:val="22"/>
                <w:lang w:val="en-ZA"/>
              </w:rPr>
            </w:pPr>
            <w:r w:rsidRPr="006B7B45">
              <w:rPr>
                <w:rFonts w:cs="Times New Roman"/>
                <w:sz w:val="22"/>
              </w:rPr>
              <w:t>52</w:t>
            </w:r>
            <w:r w:rsidRPr="006B7B45">
              <w:rPr>
                <w:rFonts w:cs="Times New Roman"/>
                <w:sz w:val="22"/>
                <w:vertAlign w:val="superscript"/>
              </w:rPr>
              <w:t>a</w:t>
            </w:r>
            <w:r w:rsidRPr="006B7B45">
              <w:rPr>
                <w:rFonts w:cs="Times New Roman"/>
                <w:sz w:val="22"/>
              </w:rPr>
              <w:t xml:space="preserve"> ± 8</w:t>
            </w:r>
          </w:p>
        </w:tc>
        <w:tc>
          <w:tcPr>
            <w:tcW w:w="1630" w:type="dxa"/>
            <w:tcBorders>
              <w:top w:val="single" w:sz="4" w:space="0" w:color="auto"/>
            </w:tcBorders>
          </w:tcPr>
          <w:p w14:paraId="3D3BF725" w14:textId="77777777" w:rsidR="00D609DA" w:rsidRPr="006B7B45" w:rsidRDefault="00D609DA" w:rsidP="0009779A">
            <w:pPr>
              <w:spacing w:after="0" w:line="240" w:lineRule="auto"/>
              <w:jc w:val="center"/>
              <w:rPr>
                <w:rFonts w:cs="Times New Roman"/>
                <w:sz w:val="22"/>
                <w:lang w:val="en-ZA"/>
              </w:rPr>
            </w:pPr>
            <w:r w:rsidRPr="006B7B45">
              <w:rPr>
                <w:rFonts w:cs="Times New Roman"/>
                <w:sz w:val="22"/>
              </w:rPr>
              <w:t>73.2</w:t>
            </w:r>
            <w:r w:rsidRPr="006B7B45">
              <w:rPr>
                <w:rFonts w:cs="Times New Roman"/>
                <w:sz w:val="22"/>
                <w:vertAlign w:val="superscript"/>
              </w:rPr>
              <w:t>a</w:t>
            </w:r>
            <w:r w:rsidRPr="006B7B45">
              <w:rPr>
                <w:rFonts w:cs="Times New Roman"/>
                <w:sz w:val="22"/>
              </w:rPr>
              <w:t xml:space="preserve"> ± 11.9</w:t>
            </w:r>
          </w:p>
        </w:tc>
        <w:tc>
          <w:tcPr>
            <w:tcW w:w="1644" w:type="dxa"/>
            <w:tcBorders>
              <w:top w:val="single" w:sz="4" w:space="0" w:color="auto"/>
            </w:tcBorders>
          </w:tcPr>
          <w:p w14:paraId="40851B43" w14:textId="77777777" w:rsidR="00D609DA" w:rsidRPr="006B7B45" w:rsidRDefault="00D609DA" w:rsidP="0009779A">
            <w:pPr>
              <w:spacing w:after="0" w:line="240" w:lineRule="auto"/>
              <w:jc w:val="center"/>
              <w:rPr>
                <w:rFonts w:cs="Times New Roman"/>
                <w:sz w:val="22"/>
              </w:rPr>
            </w:pPr>
            <w:r w:rsidRPr="006B7B45">
              <w:rPr>
                <w:rFonts w:cs="Times New Roman"/>
                <w:sz w:val="22"/>
              </w:rPr>
              <w:t>0.0:1</w:t>
            </w:r>
          </w:p>
        </w:tc>
      </w:tr>
      <w:tr w:rsidR="00D609DA" w:rsidRPr="006B7B45" w14:paraId="40B7C977" w14:textId="77777777" w:rsidTr="006B3333">
        <w:tc>
          <w:tcPr>
            <w:tcW w:w="3331" w:type="dxa"/>
          </w:tcPr>
          <w:p w14:paraId="687A56BA" w14:textId="77777777" w:rsidR="00D609DA" w:rsidRPr="006B7B45" w:rsidRDefault="00D609DA" w:rsidP="0009779A">
            <w:pPr>
              <w:spacing w:after="0" w:line="240" w:lineRule="auto"/>
              <w:rPr>
                <w:rFonts w:cs="Times New Roman"/>
                <w:sz w:val="22"/>
              </w:rPr>
            </w:pPr>
            <w:r w:rsidRPr="006B7B45">
              <w:rPr>
                <w:rFonts w:cs="Times New Roman"/>
                <w:sz w:val="22"/>
              </w:rPr>
              <w:t>Baobab fruit pulp</w:t>
            </w:r>
          </w:p>
        </w:tc>
        <w:tc>
          <w:tcPr>
            <w:tcW w:w="1654" w:type="dxa"/>
          </w:tcPr>
          <w:p w14:paraId="385E1F6C" w14:textId="77777777" w:rsidR="00D609DA" w:rsidRPr="006B7B45" w:rsidRDefault="00D609DA" w:rsidP="0009779A">
            <w:pPr>
              <w:spacing w:after="0" w:line="240" w:lineRule="auto"/>
              <w:jc w:val="center"/>
              <w:rPr>
                <w:rFonts w:cs="Times New Roman"/>
                <w:sz w:val="22"/>
                <w:lang w:val="en-ZA"/>
              </w:rPr>
            </w:pPr>
            <w:r w:rsidRPr="006B7B45">
              <w:rPr>
                <w:rFonts w:cs="Times New Roman"/>
                <w:sz w:val="22"/>
              </w:rPr>
              <w:t>173.9</w:t>
            </w:r>
            <w:r w:rsidRPr="006B7B45">
              <w:rPr>
                <w:rFonts w:cs="Times New Roman"/>
                <w:sz w:val="22"/>
                <w:vertAlign w:val="superscript"/>
              </w:rPr>
              <w:t>c</w:t>
            </w:r>
            <w:r w:rsidRPr="006B7B45">
              <w:rPr>
                <w:rFonts w:cs="Times New Roman"/>
                <w:sz w:val="22"/>
              </w:rPr>
              <w:t xml:space="preserve"> ± 11.3</w:t>
            </w:r>
          </w:p>
        </w:tc>
        <w:tc>
          <w:tcPr>
            <w:tcW w:w="1630" w:type="dxa"/>
          </w:tcPr>
          <w:p w14:paraId="0DE843C2" w14:textId="77777777" w:rsidR="00D609DA" w:rsidRPr="006B7B45" w:rsidRDefault="00D609DA" w:rsidP="0009779A">
            <w:pPr>
              <w:spacing w:after="0" w:line="240" w:lineRule="auto"/>
              <w:jc w:val="center"/>
              <w:rPr>
                <w:rFonts w:cs="Times New Roman"/>
                <w:sz w:val="22"/>
                <w:lang w:val="en-ZA"/>
              </w:rPr>
            </w:pPr>
            <w:r w:rsidRPr="006B7B45">
              <w:rPr>
                <w:rFonts w:cs="Times New Roman"/>
                <w:sz w:val="22"/>
              </w:rPr>
              <w:t>4440</w:t>
            </w:r>
            <w:r w:rsidRPr="006B7B45">
              <w:rPr>
                <w:rFonts w:cs="Times New Roman"/>
                <w:sz w:val="22"/>
                <w:vertAlign w:val="superscript"/>
              </w:rPr>
              <w:t>d</w:t>
            </w:r>
            <w:r w:rsidRPr="006B7B45">
              <w:rPr>
                <w:rFonts w:cs="Times New Roman"/>
                <w:sz w:val="22"/>
              </w:rPr>
              <w:t xml:space="preserve"> ± 409</w:t>
            </w:r>
          </w:p>
        </w:tc>
        <w:tc>
          <w:tcPr>
            <w:tcW w:w="1630" w:type="dxa"/>
          </w:tcPr>
          <w:p w14:paraId="227C34EE" w14:textId="77777777" w:rsidR="00D609DA" w:rsidRPr="006B7B45" w:rsidRDefault="00D609DA" w:rsidP="0009779A">
            <w:pPr>
              <w:spacing w:after="0" w:line="240" w:lineRule="auto"/>
              <w:jc w:val="center"/>
              <w:rPr>
                <w:rFonts w:cs="Times New Roman"/>
                <w:sz w:val="22"/>
                <w:lang w:val="en-ZA"/>
              </w:rPr>
            </w:pPr>
            <w:r w:rsidRPr="006B7B45">
              <w:rPr>
                <w:rFonts w:cs="Times New Roman"/>
                <w:sz w:val="22"/>
              </w:rPr>
              <w:t>636.9</w:t>
            </w:r>
            <w:r w:rsidRPr="006B7B45">
              <w:rPr>
                <w:rFonts w:cs="Times New Roman"/>
                <w:sz w:val="22"/>
                <w:vertAlign w:val="superscript"/>
              </w:rPr>
              <w:t>c</w:t>
            </w:r>
            <w:r w:rsidRPr="006B7B45">
              <w:rPr>
                <w:rFonts w:cs="Times New Roman"/>
                <w:sz w:val="22"/>
              </w:rPr>
              <w:t xml:space="preserve"> ± 29.3</w:t>
            </w:r>
          </w:p>
        </w:tc>
        <w:tc>
          <w:tcPr>
            <w:tcW w:w="1644" w:type="dxa"/>
          </w:tcPr>
          <w:p w14:paraId="120764EE" w14:textId="77777777" w:rsidR="00D609DA" w:rsidRPr="006B7B45" w:rsidRDefault="00D609DA" w:rsidP="0009779A">
            <w:pPr>
              <w:spacing w:after="0" w:line="240" w:lineRule="auto"/>
              <w:jc w:val="center"/>
              <w:rPr>
                <w:rFonts w:cs="Times New Roman"/>
                <w:sz w:val="22"/>
              </w:rPr>
            </w:pPr>
            <w:r w:rsidRPr="006B7B45">
              <w:rPr>
                <w:rFonts w:cs="Times New Roman"/>
                <w:sz w:val="22"/>
              </w:rPr>
              <w:t>31.6:1</w:t>
            </w:r>
          </w:p>
        </w:tc>
      </w:tr>
      <w:tr w:rsidR="00D609DA" w:rsidRPr="006B7B45" w14:paraId="4406ECF7" w14:textId="77777777" w:rsidTr="006B3333">
        <w:tc>
          <w:tcPr>
            <w:tcW w:w="3331" w:type="dxa"/>
          </w:tcPr>
          <w:p w14:paraId="65B8AD40" w14:textId="77777777" w:rsidR="00D609DA" w:rsidRPr="006B7B45" w:rsidRDefault="00D609DA" w:rsidP="0009779A">
            <w:pPr>
              <w:spacing w:after="0" w:line="240" w:lineRule="auto"/>
              <w:rPr>
                <w:rFonts w:cs="Times New Roman"/>
                <w:sz w:val="22"/>
              </w:rPr>
            </w:pPr>
            <w:r w:rsidRPr="006B7B45">
              <w:rPr>
                <w:rFonts w:cs="Times New Roman"/>
                <w:sz w:val="22"/>
              </w:rPr>
              <w:t>Moringa leaf powder (M)</w:t>
            </w:r>
            <w:r w:rsidRPr="006B7B45">
              <w:rPr>
                <w:rFonts w:cs="Times New Roman"/>
                <w:sz w:val="22"/>
                <w:vertAlign w:val="superscript"/>
              </w:rPr>
              <w:t>$</w:t>
            </w:r>
          </w:p>
        </w:tc>
        <w:tc>
          <w:tcPr>
            <w:tcW w:w="1654" w:type="dxa"/>
          </w:tcPr>
          <w:p w14:paraId="78DB53FA" w14:textId="77777777" w:rsidR="00D609DA" w:rsidRPr="006B7B45" w:rsidRDefault="00D609DA" w:rsidP="0009779A">
            <w:pPr>
              <w:spacing w:after="0" w:line="240" w:lineRule="auto"/>
              <w:jc w:val="center"/>
              <w:rPr>
                <w:rFonts w:cs="Times New Roman"/>
                <w:sz w:val="22"/>
                <w:lang w:val="en-ZA"/>
              </w:rPr>
            </w:pPr>
            <w:r w:rsidRPr="006B7B45">
              <w:rPr>
                <w:rFonts w:cs="Times New Roman"/>
                <w:sz w:val="22"/>
              </w:rPr>
              <w:t>9.1</w:t>
            </w:r>
            <w:r w:rsidRPr="006B7B45">
              <w:rPr>
                <w:rFonts w:cs="Times New Roman"/>
                <w:sz w:val="22"/>
                <w:vertAlign w:val="superscript"/>
              </w:rPr>
              <w:t>a</w:t>
            </w:r>
            <w:r w:rsidRPr="006B7B45">
              <w:rPr>
                <w:rFonts w:cs="Times New Roman"/>
                <w:sz w:val="22"/>
              </w:rPr>
              <w:t xml:space="preserve"> ± 0.9</w:t>
            </w:r>
          </w:p>
        </w:tc>
        <w:tc>
          <w:tcPr>
            <w:tcW w:w="1630" w:type="dxa"/>
          </w:tcPr>
          <w:p w14:paraId="113194F6" w14:textId="77777777" w:rsidR="00D609DA" w:rsidRPr="006B7B45" w:rsidRDefault="00D609DA" w:rsidP="0009779A">
            <w:pPr>
              <w:spacing w:after="0" w:line="240" w:lineRule="auto"/>
              <w:jc w:val="center"/>
              <w:rPr>
                <w:rFonts w:cs="Times New Roman"/>
                <w:sz w:val="22"/>
                <w:lang w:val="en-ZA"/>
              </w:rPr>
            </w:pPr>
            <w:r w:rsidRPr="006B7B45">
              <w:rPr>
                <w:rFonts w:cs="Times New Roman"/>
                <w:sz w:val="22"/>
              </w:rPr>
              <w:t>2779</w:t>
            </w:r>
            <w:r w:rsidRPr="006B7B45">
              <w:rPr>
                <w:rFonts w:cs="Times New Roman"/>
                <w:sz w:val="22"/>
                <w:vertAlign w:val="superscript"/>
              </w:rPr>
              <w:t>c</w:t>
            </w:r>
            <w:r w:rsidRPr="006B7B45">
              <w:rPr>
                <w:rFonts w:cs="Times New Roman"/>
                <w:sz w:val="22"/>
              </w:rPr>
              <w:t xml:space="preserve"> ± 208</w:t>
            </w:r>
          </w:p>
        </w:tc>
        <w:tc>
          <w:tcPr>
            <w:tcW w:w="1630" w:type="dxa"/>
          </w:tcPr>
          <w:p w14:paraId="362C4DA7" w14:textId="77777777" w:rsidR="00D609DA" w:rsidRPr="006B7B45" w:rsidRDefault="00D609DA" w:rsidP="0009779A">
            <w:pPr>
              <w:spacing w:after="0" w:line="240" w:lineRule="auto"/>
              <w:jc w:val="center"/>
              <w:rPr>
                <w:rFonts w:cs="Times New Roman"/>
                <w:sz w:val="22"/>
                <w:lang w:val="en-ZA"/>
              </w:rPr>
            </w:pPr>
            <w:r w:rsidRPr="006B7B45">
              <w:rPr>
                <w:rFonts w:cs="Times New Roman"/>
                <w:sz w:val="22"/>
              </w:rPr>
              <w:t>780.2</w:t>
            </w:r>
            <w:r w:rsidRPr="006B7B45">
              <w:rPr>
                <w:rFonts w:cs="Times New Roman"/>
                <w:sz w:val="22"/>
                <w:vertAlign w:val="superscript"/>
              </w:rPr>
              <w:t>d</w:t>
            </w:r>
            <w:r w:rsidRPr="006B7B45">
              <w:rPr>
                <w:rFonts w:cs="Times New Roman"/>
                <w:sz w:val="22"/>
              </w:rPr>
              <w:t xml:space="preserve"> ± 76.2</w:t>
            </w:r>
          </w:p>
        </w:tc>
        <w:tc>
          <w:tcPr>
            <w:tcW w:w="1644" w:type="dxa"/>
          </w:tcPr>
          <w:p w14:paraId="5CABC08E" w14:textId="77777777" w:rsidR="00D609DA" w:rsidRPr="006B7B45" w:rsidRDefault="00D609DA" w:rsidP="0009779A">
            <w:pPr>
              <w:spacing w:after="0" w:line="240" w:lineRule="auto"/>
              <w:jc w:val="center"/>
              <w:rPr>
                <w:rFonts w:cs="Times New Roman"/>
                <w:sz w:val="22"/>
              </w:rPr>
            </w:pPr>
            <w:r w:rsidRPr="006B7B45">
              <w:rPr>
                <w:rFonts w:cs="Times New Roman"/>
                <w:sz w:val="22"/>
              </w:rPr>
              <w:t>0.1:1</w:t>
            </w:r>
          </w:p>
        </w:tc>
      </w:tr>
      <w:tr w:rsidR="00D609DA" w:rsidRPr="006B7B45" w14:paraId="4853E754" w14:textId="77777777" w:rsidTr="006B3333">
        <w:tc>
          <w:tcPr>
            <w:tcW w:w="3331" w:type="dxa"/>
          </w:tcPr>
          <w:p w14:paraId="58BD905A" w14:textId="77777777" w:rsidR="00D609DA" w:rsidRPr="006B7B45" w:rsidRDefault="00D609DA" w:rsidP="0009779A">
            <w:pPr>
              <w:spacing w:after="0" w:line="240" w:lineRule="auto"/>
              <w:rPr>
                <w:rFonts w:cs="Times New Roman"/>
                <w:sz w:val="22"/>
              </w:rPr>
            </w:pPr>
            <w:r w:rsidRPr="006B7B45">
              <w:rPr>
                <w:rFonts w:cs="Times New Roman"/>
                <w:sz w:val="22"/>
              </w:rPr>
              <w:t>Moringa leaf powder (S)</w:t>
            </w:r>
            <w:r w:rsidRPr="006B7B45">
              <w:rPr>
                <w:rFonts w:cs="Times New Roman"/>
                <w:sz w:val="22"/>
                <w:vertAlign w:val="superscript"/>
              </w:rPr>
              <w:t>$</w:t>
            </w:r>
          </w:p>
        </w:tc>
        <w:tc>
          <w:tcPr>
            <w:tcW w:w="1654" w:type="dxa"/>
          </w:tcPr>
          <w:p w14:paraId="7B57B79D" w14:textId="77777777" w:rsidR="00D609DA" w:rsidRPr="006B7B45" w:rsidRDefault="00D609DA" w:rsidP="0009779A">
            <w:pPr>
              <w:spacing w:after="0" w:line="240" w:lineRule="auto"/>
              <w:jc w:val="center"/>
              <w:rPr>
                <w:rFonts w:cs="Times New Roman"/>
                <w:sz w:val="22"/>
              </w:rPr>
            </w:pPr>
            <w:r w:rsidRPr="006B7B45">
              <w:rPr>
                <w:rFonts w:cs="Times New Roman"/>
                <w:sz w:val="22"/>
              </w:rPr>
              <w:t>2.1</w:t>
            </w:r>
            <w:r w:rsidRPr="006B7B45">
              <w:rPr>
                <w:rFonts w:cs="Times New Roman"/>
                <w:sz w:val="22"/>
                <w:vertAlign w:val="superscript"/>
              </w:rPr>
              <w:t>a</w:t>
            </w:r>
            <w:r w:rsidRPr="006B7B45">
              <w:rPr>
                <w:rFonts w:cs="Times New Roman"/>
                <w:sz w:val="22"/>
              </w:rPr>
              <w:t xml:space="preserve"> ± 0.0</w:t>
            </w:r>
          </w:p>
        </w:tc>
        <w:tc>
          <w:tcPr>
            <w:tcW w:w="1630" w:type="dxa"/>
          </w:tcPr>
          <w:p w14:paraId="6F2C09F4" w14:textId="77777777" w:rsidR="00D609DA" w:rsidRPr="006B7B45" w:rsidRDefault="00D609DA" w:rsidP="0009779A">
            <w:pPr>
              <w:spacing w:after="0" w:line="240" w:lineRule="auto"/>
              <w:jc w:val="center"/>
              <w:rPr>
                <w:rFonts w:cs="Times New Roman"/>
                <w:sz w:val="22"/>
              </w:rPr>
            </w:pPr>
            <w:r w:rsidRPr="006B7B45">
              <w:rPr>
                <w:rFonts w:cs="Times New Roman"/>
                <w:sz w:val="22"/>
              </w:rPr>
              <w:t>2968</w:t>
            </w:r>
            <w:r w:rsidRPr="006B7B45">
              <w:rPr>
                <w:rFonts w:cs="Times New Roman"/>
                <w:sz w:val="22"/>
                <w:vertAlign w:val="superscript"/>
              </w:rPr>
              <w:t>c</w:t>
            </w:r>
            <w:r w:rsidRPr="006B7B45">
              <w:rPr>
                <w:rFonts w:cs="Times New Roman"/>
                <w:sz w:val="22"/>
              </w:rPr>
              <w:t xml:space="preserve"> ± 390</w:t>
            </w:r>
          </w:p>
        </w:tc>
        <w:tc>
          <w:tcPr>
            <w:tcW w:w="1630" w:type="dxa"/>
          </w:tcPr>
          <w:p w14:paraId="0786C2AA" w14:textId="77777777" w:rsidR="00D609DA" w:rsidRPr="006B7B45" w:rsidRDefault="00D609DA" w:rsidP="0009779A">
            <w:pPr>
              <w:spacing w:after="0" w:line="240" w:lineRule="auto"/>
              <w:jc w:val="center"/>
              <w:rPr>
                <w:rFonts w:cs="Times New Roman"/>
                <w:sz w:val="22"/>
              </w:rPr>
            </w:pPr>
            <w:r w:rsidRPr="006B7B45">
              <w:rPr>
                <w:rFonts w:cs="Times New Roman"/>
                <w:sz w:val="22"/>
              </w:rPr>
              <w:t>285.9</w:t>
            </w:r>
            <w:r w:rsidRPr="006B7B45">
              <w:rPr>
                <w:rFonts w:cs="Times New Roman"/>
                <w:sz w:val="22"/>
                <w:vertAlign w:val="superscript"/>
              </w:rPr>
              <w:t>b</w:t>
            </w:r>
            <w:r w:rsidRPr="006B7B45">
              <w:rPr>
                <w:rFonts w:cs="Times New Roman"/>
                <w:sz w:val="22"/>
              </w:rPr>
              <w:t xml:space="preserve"> ± 3.0</w:t>
            </w:r>
          </w:p>
        </w:tc>
        <w:tc>
          <w:tcPr>
            <w:tcW w:w="1644" w:type="dxa"/>
          </w:tcPr>
          <w:p w14:paraId="57E6B252" w14:textId="77777777" w:rsidR="00D609DA" w:rsidRPr="006B7B45" w:rsidRDefault="00D609DA" w:rsidP="0009779A">
            <w:pPr>
              <w:spacing w:after="0" w:line="240" w:lineRule="auto"/>
              <w:jc w:val="center"/>
              <w:rPr>
                <w:rFonts w:cs="Times New Roman"/>
                <w:sz w:val="22"/>
              </w:rPr>
            </w:pPr>
            <w:r w:rsidRPr="006B7B45">
              <w:rPr>
                <w:rFonts w:cs="Times New Roman"/>
                <w:sz w:val="22"/>
              </w:rPr>
              <w:t>0.0:1</w:t>
            </w:r>
          </w:p>
        </w:tc>
      </w:tr>
      <w:tr w:rsidR="00D609DA" w:rsidRPr="006B7B45" w14:paraId="5C8761F2" w14:textId="77777777" w:rsidTr="006B3333">
        <w:tc>
          <w:tcPr>
            <w:tcW w:w="3331" w:type="dxa"/>
          </w:tcPr>
          <w:p w14:paraId="55DE5ECD" w14:textId="77777777" w:rsidR="00D609DA" w:rsidRPr="006B7B45" w:rsidRDefault="00D609DA" w:rsidP="0009779A">
            <w:pPr>
              <w:spacing w:after="0" w:line="240" w:lineRule="auto"/>
              <w:rPr>
                <w:rFonts w:cs="Times New Roman"/>
                <w:sz w:val="22"/>
              </w:rPr>
            </w:pPr>
            <w:r w:rsidRPr="006B7B45">
              <w:rPr>
                <w:rFonts w:cs="Times New Roman"/>
                <w:sz w:val="22"/>
              </w:rPr>
              <w:t>Carrot</w:t>
            </w:r>
          </w:p>
        </w:tc>
        <w:tc>
          <w:tcPr>
            <w:tcW w:w="1654" w:type="dxa"/>
          </w:tcPr>
          <w:p w14:paraId="4EE7BDC8" w14:textId="77777777" w:rsidR="00D609DA" w:rsidRPr="006B7B45" w:rsidRDefault="00D609DA" w:rsidP="0009779A">
            <w:pPr>
              <w:spacing w:after="0" w:line="240" w:lineRule="auto"/>
              <w:jc w:val="center"/>
              <w:rPr>
                <w:rFonts w:cs="Times New Roman"/>
                <w:sz w:val="22"/>
                <w:lang w:val="en-ZA"/>
              </w:rPr>
            </w:pPr>
            <w:r w:rsidRPr="006B7B45">
              <w:rPr>
                <w:rFonts w:cs="Times New Roman"/>
                <w:sz w:val="22"/>
              </w:rPr>
              <w:t>3.5</w:t>
            </w:r>
            <w:r w:rsidRPr="006B7B45">
              <w:rPr>
                <w:rFonts w:cs="Times New Roman"/>
                <w:sz w:val="22"/>
                <w:vertAlign w:val="superscript"/>
              </w:rPr>
              <w:t>a</w:t>
            </w:r>
            <w:r w:rsidRPr="006B7B45">
              <w:rPr>
                <w:rFonts w:cs="Times New Roman"/>
                <w:sz w:val="22"/>
              </w:rPr>
              <w:t xml:space="preserve"> ± 1</w:t>
            </w:r>
          </w:p>
        </w:tc>
        <w:tc>
          <w:tcPr>
            <w:tcW w:w="1630" w:type="dxa"/>
          </w:tcPr>
          <w:p w14:paraId="2B687D4C" w14:textId="77777777" w:rsidR="00D609DA" w:rsidRPr="006B7B45" w:rsidRDefault="00D609DA" w:rsidP="0009779A">
            <w:pPr>
              <w:spacing w:after="0" w:line="240" w:lineRule="auto"/>
              <w:jc w:val="center"/>
              <w:rPr>
                <w:rFonts w:cs="Times New Roman"/>
                <w:sz w:val="22"/>
                <w:lang w:val="en-ZA"/>
              </w:rPr>
            </w:pPr>
            <w:r w:rsidRPr="006B7B45">
              <w:rPr>
                <w:rFonts w:cs="Times New Roman"/>
                <w:sz w:val="22"/>
              </w:rPr>
              <w:t>Not detected</w:t>
            </w:r>
          </w:p>
        </w:tc>
        <w:tc>
          <w:tcPr>
            <w:tcW w:w="1630" w:type="dxa"/>
          </w:tcPr>
          <w:p w14:paraId="629B85B4" w14:textId="77777777" w:rsidR="00D609DA" w:rsidRPr="006B7B45" w:rsidRDefault="00D609DA" w:rsidP="0009779A">
            <w:pPr>
              <w:spacing w:after="0" w:line="240" w:lineRule="auto"/>
              <w:jc w:val="center"/>
              <w:rPr>
                <w:rFonts w:cs="Times New Roman"/>
                <w:sz w:val="22"/>
                <w:lang w:val="en-ZA"/>
              </w:rPr>
            </w:pPr>
            <w:r w:rsidRPr="006B7B45">
              <w:rPr>
                <w:rFonts w:cs="Times New Roman"/>
                <w:sz w:val="22"/>
              </w:rPr>
              <w:t>Not detected</w:t>
            </w:r>
          </w:p>
        </w:tc>
        <w:tc>
          <w:tcPr>
            <w:tcW w:w="1644" w:type="dxa"/>
          </w:tcPr>
          <w:p w14:paraId="036533F8" w14:textId="77777777" w:rsidR="00D609DA" w:rsidRPr="006B7B45" w:rsidRDefault="00D609DA" w:rsidP="0009779A">
            <w:pPr>
              <w:spacing w:after="0" w:line="240" w:lineRule="auto"/>
              <w:jc w:val="center"/>
              <w:rPr>
                <w:rFonts w:cs="Times New Roman"/>
                <w:sz w:val="22"/>
              </w:rPr>
            </w:pPr>
            <w:r w:rsidRPr="006B7B45">
              <w:rPr>
                <w:rFonts w:cs="Times New Roman"/>
                <w:sz w:val="22"/>
              </w:rPr>
              <w:t>0.2:1</w:t>
            </w:r>
          </w:p>
        </w:tc>
      </w:tr>
      <w:tr w:rsidR="00D609DA" w:rsidRPr="006B7B45" w14:paraId="7AC63518" w14:textId="77777777" w:rsidTr="006B3333">
        <w:tc>
          <w:tcPr>
            <w:tcW w:w="3331" w:type="dxa"/>
          </w:tcPr>
          <w:p w14:paraId="50C56B3D" w14:textId="77777777" w:rsidR="00D609DA" w:rsidRPr="006B7B45" w:rsidRDefault="00D609DA" w:rsidP="0009779A">
            <w:pPr>
              <w:spacing w:after="0" w:line="240" w:lineRule="auto"/>
              <w:rPr>
                <w:rFonts w:cs="Times New Roman"/>
                <w:sz w:val="22"/>
              </w:rPr>
            </w:pPr>
            <w:r w:rsidRPr="006B7B45">
              <w:rPr>
                <w:rFonts w:cs="Times New Roman"/>
                <w:sz w:val="22"/>
              </w:rPr>
              <w:t>Mango</w:t>
            </w:r>
          </w:p>
        </w:tc>
        <w:tc>
          <w:tcPr>
            <w:tcW w:w="1654" w:type="dxa"/>
          </w:tcPr>
          <w:p w14:paraId="40AFD355" w14:textId="77777777" w:rsidR="00D609DA" w:rsidRPr="006B7B45" w:rsidRDefault="00D609DA" w:rsidP="0009779A">
            <w:pPr>
              <w:spacing w:after="0" w:line="240" w:lineRule="auto"/>
              <w:jc w:val="center"/>
              <w:rPr>
                <w:rFonts w:cs="Times New Roman"/>
                <w:sz w:val="22"/>
                <w:lang w:val="en-ZA"/>
              </w:rPr>
            </w:pPr>
            <w:r w:rsidRPr="006B7B45">
              <w:rPr>
                <w:rFonts w:cs="Times New Roman"/>
                <w:sz w:val="22"/>
              </w:rPr>
              <w:t>150.9</w:t>
            </w:r>
            <w:r w:rsidRPr="006B7B45">
              <w:rPr>
                <w:rFonts w:cs="Times New Roman"/>
                <w:sz w:val="22"/>
                <w:vertAlign w:val="superscript"/>
              </w:rPr>
              <w:t>b</w:t>
            </w:r>
            <w:r w:rsidRPr="006B7B45">
              <w:rPr>
                <w:rFonts w:cs="Times New Roman"/>
                <w:sz w:val="22"/>
              </w:rPr>
              <w:t xml:space="preserve"> ± 5.5</w:t>
            </w:r>
          </w:p>
        </w:tc>
        <w:tc>
          <w:tcPr>
            <w:tcW w:w="1630" w:type="dxa"/>
          </w:tcPr>
          <w:p w14:paraId="344B4B5B" w14:textId="77777777" w:rsidR="00D609DA" w:rsidRPr="006B7B45" w:rsidRDefault="00D609DA" w:rsidP="0009779A">
            <w:pPr>
              <w:spacing w:after="0" w:line="240" w:lineRule="auto"/>
              <w:jc w:val="center"/>
              <w:rPr>
                <w:rFonts w:cs="Times New Roman"/>
                <w:sz w:val="22"/>
                <w:lang w:val="en-ZA"/>
              </w:rPr>
            </w:pPr>
            <w:r w:rsidRPr="006B7B45">
              <w:rPr>
                <w:rFonts w:cs="Times New Roman"/>
                <w:sz w:val="22"/>
              </w:rPr>
              <w:t>1043</w:t>
            </w:r>
            <w:r w:rsidRPr="006B7B45">
              <w:rPr>
                <w:rFonts w:cs="Times New Roman"/>
                <w:sz w:val="22"/>
                <w:vertAlign w:val="superscript"/>
              </w:rPr>
              <w:t>b</w:t>
            </w:r>
            <w:r w:rsidRPr="006B7B45">
              <w:rPr>
                <w:rFonts w:cs="Times New Roman"/>
                <w:sz w:val="22"/>
              </w:rPr>
              <w:t xml:space="preserve"> ± 98</w:t>
            </w:r>
          </w:p>
        </w:tc>
        <w:tc>
          <w:tcPr>
            <w:tcW w:w="1630" w:type="dxa"/>
          </w:tcPr>
          <w:p w14:paraId="4796B5FA" w14:textId="77777777" w:rsidR="00D609DA" w:rsidRPr="006B7B45" w:rsidRDefault="00D609DA" w:rsidP="0009779A">
            <w:pPr>
              <w:spacing w:after="0" w:line="240" w:lineRule="auto"/>
              <w:jc w:val="center"/>
              <w:rPr>
                <w:rFonts w:cs="Times New Roman"/>
                <w:sz w:val="22"/>
                <w:lang w:val="en-ZA"/>
              </w:rPr>
            </w:pPr>
            <w:r w:rsidRPr="006B7B45">
              <w:rPr>
                <w:rFonts w:cs="Times New Roman"/>
                <w:sz w:val="22"/>
              </w:rPr>
              <w:t>Not detected</w:t>
            </w:r>
          </w:p>
        </w:tc>
        <w:tc>
          <w:tcPr>
            <w:tcW w:w="1644" w:type="dxa"/>
          </w:tcPr>
          <w:p w14:paraId="7BD02271" w14:textId="77777777" w:rsidR="00D609DA" w:rsidRPr="006B7B45" w:rsidRDefault="00D609DA" w:rsidP="0009779A">
            <w:pPr>
              <w:spacing w:after="0" w:line="240" w:lineRule="auto"/>
              <w:jc w:val="center"/>
              <w:rPr>
                <w:rFonts w:cs="Times New Roman"/>
                <w:sz w:val="22"/>
              </w:rPr>
            </w:pPr>
            <w:r w:rsidRPr="006B7B45">
              <w:rPr>
                <w:rFonts w:cs="Times New Roman"/>
                <w:sz w:val="22"/>
              </w:rPr>
              <w:t>25.9:1</w:t>
            </w:r>
          </w:p>
        </w:tc>
      </w:tr>
      <w:tr w:rsidR="00D609DA" w:rsidRPr="006B7B45" w14:paraId="2C208923" w14:textId="77777777" w:rsidTr="00B938AA">
        <w:tc>
          <w:tcPr>
            <w:tcW w:w="9889" w:type="dxa"/>
            <w:gridSpan w:val="5"/>
          </w:tcPr>
          <w:p w14:paraId="20EFD73A" w14:textId="77777777" w:rsidR="00D609DA" w:rsidRPr="006B7B45" w:rsidRDefault="00D609DA" w:rsidP="0009779A">
            <w:pPr>
              <w:spacing w:after="0" w:line="240" w:lineRule="auto"/>
              <w:jc w:val="center"/>
              <w:rPr>
                <w:rFonts w:cs="Times New Roman"/>
                <w:b/>
                <w:bCs/>
                <w:sz w:val="22"/>
              </w:rPr>
            </w:pPr>
            <w:r w:rsidRPr="006B7B45">
              <w:rPr>
                <w:rFonts w:cs="Times New Roman"/>
                <w:b/>
                <w:bCs/>
                <w:sz w:val="22"/>
              </w:rPr>
              <w:t>Experiment 1 (Simple porridges)</w:t>
            </w:r>
          </w:p>
        </w:tc>
      </w:tr>
      <w:tr w:rsidR="00D609DA" w:rsidRPr="006B7B45" w14:paraId="022BFFCE" w14:textId="77777777" w:rsidTr="00B938AA">
        <w:tc>
          <w:tcPr>
            <w:tcW w:w="9889" w:type="dxa"/>
            <w:gridSpan w:val="5"/>
          </w:tcPr>
          <w:p w14:paraId="7739DEF9" w14:textId="122B9F76" w:rsidR="00D609DA" w:rsidRPr="006B7B45" w:rsidRDefault="00D609DA" w:rsidP="0009779A">
            <w:pPr>
              <w:spacing w:after="0" w:line="240" w:lineRule="auto"/>
              <w:rPr>
                <w:rFonts w:cs="Times New Roman"/>
                <w:b/>
                <w:bCs/>
                <w:sz w:val="22"/>
              </w:rPr>
            </w:pPr>
            <w:r w:rsidRPr="006B7B45">
              <w:rPr>
                <w:rFonts w:cs="Times New Roman"/>
                <w:b/>
                <w:bCs/>
                <w:sz w:val="22"/>
              </w:rPr>
              <w:t>Porridge formulations</w:t>
            </w:r>
            <w:r w:rsidR="006B7B45" w:rsidRPr="006B7B45">
              <w:rPr>
                <w:rFonts w:cs="Times New Roman"/>
                <w:b/>
                <w:bCs/>
                <w:sz w:val="22"/>
                <w:vertAlign w:val="superscript"/>
              </w:rPr>
              <w:t>*</w:t>
            </w:r>
          </w:p>
        </w:tc>
      </w:tr>
      <w:tr w:rsidR="006B3333" w:rsidRPr="006B7B45" w14:paraId="1577E526" w14:textId="77777777" w:rsidTr="006B3333">
        <w:tc>
          <w:tcPr>
            <w:tcW w:w="3331" w:type="dxa"/>
          </w:tcPr>
          <w:p w14:paraId="1EEA36D1" w14:textId="26578B09" w:rsidR="006B3333" w:rsidRPr="006B7B45" w:rsidRDefault="006B3333" w:rsidP="006B3333">
            <w:pPr>
              <w:spacing w:after="0" w:line="240" w:lineRule="auto"/>
              <w:rPr>
                <w:rFonts w:cs="Times New Roman"/>
                <w:sz w:val="22"/>
              </w:rPr>
            </w:pPr>
            <w:r w:rsidRPr="006B7B45">
              <w:rPr>
                <w:rFonts w:cs="Times New Roman"/>
                <w:sz w:val="22"/>
              </w:rPr>
              <w:t>Maize</w:t>
            </w:r>
            <w:r w:rsidR="002553AD" w:rsidRPr="006B7B45">
              <w:rPr>
                <w:rFonts w:cs="Times New Roman"/>
                <w:sz w:val="22"/>
              </w:rPr>
              <w:t xml:space="preserve"> (Control)</w:t>
            </w:r>
          </w:p>
        </w:tc>
        <w:tc>
          <w:tcPr>
            <w:tcW w:w="1654" w:type="dxa"/>
          </w:tcPr>
          <w:p w14:paraId="1A45BB28" w14:textId="3787EAA7" w:rsidR="006B3333" w:rsidRPr="006B7B45" w:rsidRDefault="002553AD" w:rsidP="006B3333">
            <w:pPr>
              <w:spacing w:after="0" w:line="240" w:lineRule="auto"/>
              <w:jc w:val="center"/>
              <w:rPr>
                <w:rFonts w:cs="Times New Roman"/>
                <w:sz w:val="22"/>
              </w:rPr>
            </w:pPr>
            <w:r w:rsidRPr="006B7B45">
              <w:rPr>
                <w:rFonts w:cs="Times New Roman"/>
                <w:sz w:val="22"/>
              </w:rPr>
              <w:t>0.0</w:t>
            </w:r>
          </w:p>
        </w:tc>
        <w:tc>
          <w:tcPr>
            <w:tcW w:w="1630" w:type="dxa"/>
          </w:tcPr>
          <w:p w14:paraId="0029AF19" w14:textId="2EB5BF86" w:rsidR="006B3333" w:rsidRPr="006B7B45" w:rsidRDefault="006B3333" w:rsidP="006B3333">
            <w:pPr>
              <w:spacing w:after="0" w:line="240" w:lineRule="auto"/>
              <w:jc w:val="center"/>
              <w:rPr>
                <w:rFonts w:cs="Times New Roman"/>
                <w:sz w:val="22"/>
              </w:rPr>
            </w:pPr>
            <w:r w:rsidRPr="006B7B45">
              <w:rPr>
                <w:rFonts w:cs="Times New Roman"/>
                <w:sz w:val="22"/>
              </w:rPr>
              <w:t>52</w:t>
            </w:r>
          </w:p>
        </w:tc>
        <w:tc>
          <w:tcPr>
            <w:tcW w:w="1630" w:type="dxa"/>
          </w:tcPr>
          <w:p w14:paraId="5A2F0315" w14:textId="612499DE" w:rsidR="006B3333" w:rsidRPr="006B7B45" w:rsidRDefault="006B3333" w:rsidP="006B3333">
            <w:pPr>
              <w:spacing w:after="0" w:line="240" w:lineRule="auto"/>
              <w:jc w:val="center"/>
              <w:rPr>
                <w:rFonts w:cs="Times New Roman"/>
                <w:sz w:val="22"/>
              </w:rPr>
            </w:pPr>
            <w:r w:rsidRPr="006B7B45">
              <w:rPr>
                <w:rFonts w:cs="Times New Roman"/>
                <w:sz w:val="22"/>
              </w:rPr>
              <w:t>73.2</w:t>
            </w:r>
          </w:p>
        </w:tc>
        <w:tc>
          <w:tcPr>
            <w:tcW w:w="1644" w:type="dxa"/>
          </w:tcPr>
          <w:p w14:paraId="589634E4" w14:textId="4B128BDD" w:rsidR="006B3333" w:rsidRPr="006B7B45" w:rsidRDefault="006B3333" w:rsidP="006B3333">
            <w:pPr>
              <w:spacing w:after="0" w:line="240" w:lineRule="auto"/>
              <w:jc w:val="center"/>
              <w:rPr>
                <w:rFonts w:cs="Times New Roman"/>
                <w:sz w:val="22"/>
              </w:rPr>
            </w:pPr>
            <w:r w:rsidRPr="006B7B45">
              <w:rPr>
                <w:rFonts w:cs="Times New Roman"/>
                <w:sz w:val="22"/>
              </w:rPr>
              <w:t>0.0:1</w:t>
            </w:r>
          </w:p>
        </w:tc>
      </w:tr>
      <w:tr w:rsidR="006B3333" w:rsidRPr="006B7B45" w14:paraId="547482B1" w14:textId="77777777" w:rsidTr="006B3333">
        <w:tc>
          <w:tcPr>
            <w:tcW w:w="3331" w:type="dxa"/>
          </w:tcPr>
          <w:p w14:paraId="6D01335C" w14:textId="77777777" w:rsidR="006B3333" w:rsidRPr="006B7B45" w:rsidRDefault="006B3333" w:rsidP="006B3333">
            <w:pPr>
              <w:spacing w:after="0" w:line="240" w:lineRule="auto"/>
              <w:rPr>
                <w:rFonts w:cs="Times New Roman"/>
                <w:sz w:val="22"/>
              </w:rPr>
            </w:pPr>
            <w:r w:rsidRPr="006B7B45">
              <w:rPr>
                <w:rFonts w:cs="Times New Roman"/>
                <w:sz w:val="22"/>
              </w:rPr>
              <w:t>Maize+baobab (100:15)</w:t>
            </w:r>
          </w:p>
        </w:tc>
        <w:tc>
          <w:tcPr>
            <w:tcW w:w="1654" w:type="dxa"/>
          </w:tcPr>
          <w:p w14:paraId="621C5319" w14:textId="77777777" w:rsidR="006B3333" w:rsidRPr="006B7B45" w:rsidRDefault="006B3333" w:rsidP="006B3333">
            <w:pPr>
              <w:spacing w:after="0" w:line="240" w:lineRule="auto"/>
              <w:jc w:val="center"/>
              <w:rPr>
                <w:rFonts w:cs="Times New Roman"/>
                <w:sz w:val="22"/>
              </w:rPr>
            </w:pPr>
            <w:r w:rsidRPr="006B7B45">
              <w:rPr>
                <w:rFonts w:cs="Times New Roman"/>
                <w:sz w:val="22"/>
              </w:rPr>
              <w:t>22.7</w:t>
            </w:r>
          </w:p>
        </w:tc>
        <w:tc>
          <w:tcPr>
            <w:tcW w:w="1630" w:type="dxa"/>
          </w:tcPr>
          <w:p w14:paraId="73ACCE9B" w14:textId="77777777" w:rsidR="006B3333" w:rsidRPr="006B7B45" w:rsidRDefault="006B3333" w:rsidP="006B3333">
            <w:pPr>
              <w:spacing w:after="0" w:line="240" w:lineRule="auto"/>
              <w:jc w:val="center"/>
              <w:rPr>
                <w:rFonts w:cs="Times New Roman"/>
                <w:sz w:val="22"/>
              </w:rPr>
            </w:pPr>
            <w:r w:rsidRPr="006B7B45">
              <w:rPr>
                <w:rFonts w:cs="Times New Roman"/>
                <w:sz w:val="22"/>
              </w:rPr>
              <w:t>624</w:t>
            </w:r>
          </w:p>
        </w:tc>
        <w:tc>
          <w:tcPr>
            <w:tcW w:w="1630" w:type="dxa"/>
          </w:tcPr>
          <w:p w14:paraId="477EF90F" w14:textId="77777777" w:rsidR="006B3333" w:rsidRPr="006B7B45" w:rsidRDefault="006B3333" w:rsidP="006B3333">
            <w:pPr>
              <w:spacing w:after="0" w:line="240" w:lineRule="auto"/>
              <w:jc w:val="center"/>
              <w:rPr>
                <w:rFonts w:cs="Times New Roman"/>
                <w:sz w:val="22"/>
              </w:rPr>
            </w:pPr>
            <w:r w:rsidRPr="006B7B45">
              <w:rPr>
                <w:rFonts w:cs="Times New Roman"/>
                <w:sz w:val="22"/>
              </w:rPr>
              <w:t>146.5</w:t>
            </w:r>
          </w:p>
        </w:tc>
        <w:tc>
          <w:tcPr>
            <w:tcW w:w="1644" w:type="dxa"/>
          </w:tcPr>
          <w:p w14:paraId="6D258BE3" w14:textId="77777777" w:rsidR="006B3333" w:rsidRPr="006B7B45" w:rsidRDefault="006B3333" w:rsidP="006B3333">
            <w:pPr>
              <w:spacing w:after="0" w:line="240" w:lineRule="auto"/>
              <w:jc w:val="center"/>
              <w:rPr>
                <w:rFonts w:cs="Times New Roman"/>
                <w:sz w:val="22"/>
              </w:rPr>
            </w:pPr>
            <w:r w:rsidRPr="006B7B45">
              <w:rPr>
                <w:rFonts w:cs="Times New Roman"/>
                <w:sz w:val="22"/>
              </w:rPr>
              <w:t>3.6:1</w:t>
            </w:r>
          </w:p>
        </w:tc>
      </w:tr>
      <w:tr w:rsidR="006B3333" w:rsidRPr="006B7B45" w14:paraId="12C497D4" w14:textId="77777777" w:rsidTr="006B3333">
        <w:tc>
          <w:tcPr>
            <w:tcW w:w="3331" w:type="dxa"/>
          </w:tcPr>
          <w:p w14:paraId="14C6AAA1" w14:textId="77777777" w:rsidR="006B3333" w:rsidRPr="006B7B45" w:rsidRDefault="006B3333" w:rsidP="006B3333">
            <w:pPr>
              <w:spacing w:after="0" w:line="240" w:lineRule="auto"/>
              <w:rPr>
                <w:rFonts w:cs="Times New Roman"/>
                <w:sz w:val="22"/>
              </w:rPr>
            </w:pPr>
            <w:r w:rsidRPr="006B7B45">
              <w:rPr>
                <w:rFonts w:cs="Times New Roman"/>
                <w:sz w:val="22"/>
              </w:rPr>
              <w:t>Maize+ascorbic+citric acids</w:t>
            </w:r>
            <w:r w:rsidRPr="006B7B45">
              <w:rPr>
                <w:rFonts w:cs="Times New Roman"/>
                <w:sz w:val="22"/>
                <w:vertAlign w:val="superscript"/>
              </w:rPr>
              <w:t>1</w:t>
            </w:r>
          </w:p>
        </w:tc>
        <w:tc>
          <w:tcPr>
            <w:tcW w:w="1654" w:type="dxa"/>
          </w:tcPr>
          <w:p w14:paraId="248C8C4D" w14:textId="77777777" w:rsidR="006B3333" w:rsidRPr="006B7B45" w:rsidRDefault="006B3333" w:rsidP="006B3333">
            <w:pPr>
              <w:spacing w:after="0" w:line="240" w:lineRule="auto"/>
              <w:jc w:val="center"/>
              <w:rPr>
                <w:rFonts w:cs="Times New Roman"/>
                <w:sz w:val="22"/>
              </w:rPr>
            </w:pPr>
            <w:r w:rsidRPr="006B7B45">
              <w:rPr>
                <w:rFonts w:cs="Times New Roman"/>
                <w:sz w:val="22"/>
              </w:rPr>
              <w:t>23.3</w:t>
            </w:r>
          </w:p>
        </w:tc>
        <w:tc>
          <w:tcPr>
            <w:tcW w:w="1630" w:type="dxa"/>
          </w:tcPr>
          <w:p w14:paraId="3EEF2716" w14:textId="77777777" w:rsidR="006B3333" w:rsidRPr="006B7B45" w:rsidRDefault="006B3333" w:rsidP="006B3333">
            <w:pPr>
              <w:spacing w:after="0" w:line="240" w:lineRule="auto"/>
              <w:jc w:val="center"/>
              <w:rPr>
                <w:rFonts w:cs="Times New Roman"/>
                <w:sz w:val="22"/>
              </w:rPr>
            </w:pPr>
            <w:r w:rsidRPr="006B7B45">
              <w:rPr>
                <w:rFonts w:cs="Times New Roman"/>
                <w:sz w:val="22"/>
              </w:rPr>
              <w:t>647</w:t>
            </w:r>
          </w:p>
        </w:tc>
        <w:tc>
          <w:tcPr>
            <w:tcW w:w="1630" w:type="dxa"/>
          </w:tcPr>
          <w:p w14:paraId="77BB4AE9" w14:textId="77777777" w:rsidR="006B3333" w:rsidRPr="006B7B45" w:rsidRDefault="006B3333" w:rsidP="006B3333">
            <w:pPr>
              <w:spacing w:after="0" w:line="240" w:lineRule="auto"/>
              <w:jc w:val="center"/>
              <w:rPr>
                <w:rFonts w:cs="Times New Roman"/>
                <w:sz w:val="22"/>
              </w:rPr>
            </w:pPr>
            <w:r w:rsidRPr="006B7B45">
              <w:rPr>
                <w:rFonts w:cs="Times New Roman"/>
                <w:sz w:val="22"/>
              </w:rPr>
              <w:t>73.2</w:t>
            </w:r>
          </w:p>
        </w:tc>
        <w:tc>
          <w:tcPr>
            <w:tcW w:w="1644" w:type="dxa"/>
          </w:tcPr>
          <w:p w14:paraId="6735B744" w14:textId="77777777" w:rsidR="006B3333" w:rsidRPr="006B7B45" w:rsidRDefault="006B3333" w:rsidP="006B3333">
            <w:pPr>
              <w:spacing w:after="0" w:line="240" w:lineRule="auto"/>
              <w:jc w:val="center"/>
              <w:rPr>
                <w:rFonts w:cs="Times New Roman"/>
                <w:sz w:val="22"/>
              </w:rPr>
            </w:pPr>
            <w:r w:rsidRPr="006B7B45">
              <w:rPr>
                <w:rFonts w:cs="Times New Roman"/>
                <w:sz w:val="22"/>
              </w:rPr>
              <w:t>3.6:1</w:t>
            </w:r>
          </w:p>
        </w:tc>
      </w:tr>
      <w:tr w:rsidR="006B3333" w:rsidRPr="006B7B45" w14:paraId="22860861" w14:textId="77777777" w:rsidTr="006B3333">
        <w:tc>
          <w:tcPr>
            <w:tcW w:w="3331" w:type="dxa"/>
          </w:tcPr>
          <w:p w14:paraId="1B01579D" w14:textId="77777777" w:rsidR="006B3333" w:rsidRPr="006B7B45" w:rsidRDefault="006B3333" w:rsidP="006B3333">
            <w:pPr>
              <w:spacing w:after="0" w:line="240" w:lineRule="auto"/>
              <w:rPr>
                <w:rFonts w:cs="Times New Roman"/>
                <w:sz w:val="22"/>
              </w:rPr>
            </w:pPr>
            <w:r w:rsidRPr="006B7B45">
              <w:rPr>
                <w:rFonts w:cs="Times New Roman"/>
                <w:sz w:val="22"/>
              </w:rPr>
              <w:t>Maize+moringa (M) (100:15)</w:t>
            </w:r>
          </w:p>
        </w:tc>
        <w:tc>
          <w:tcPr>
            <w:tcW w:w="1654" w:type="dxa"/>
          </w:tcPr>
          <w:p w14:paraId="1D8AF356" w14:textId="77777777" w:rsidR="006B3333" w:rsidRPr="006B7B45" w:rsidRDefault="006B3333" w:rsidP="006B3333">
            <w:pPr>
              <w:spacing w:after="0" w:line="240" w:lineRule="auto"/>
              <w:jc w:val="center"/>
              <w:rPr>
                <w:rFonts w:cs="Times New Roman"/>
                <w:sz w:val="22"/>
              </w:rPr>
            </w:pPr>
            <w:r w:rsidRPr="006B7B45">
              <w:rPr>
                <w:rFonts w:cs="Times New Roman"/>
                <w:sz w:val="22"/>
              </w:rPr>
              <w:t>1.2</w:t>
            </w:r>
          </w:p>
        </w:tc>
        <w:tc>
          <w:tcPr>
            <w:tcW w:w="1630" w:type="dxa"/>
          </w:tcPr>
          <w:p w14:paraId="76A5E0C9" w14:textId="77777777" w:rsidR="006B3333" w:rsidRPr="006B7B45" w:rsidRDefault="006B3333" w:rsidP="006B3333">
            <w:pPr>
              <w:spacing w:after="0" w:line="240" w:lineRule="auto"/>
              <w:jc w:val="center"/>
              <w:rPr>
                <w:rFonts w:cs="Times New Roman"/>
                <w:sz w:val="22"/>
              </w:rPr>
            </w:pPr>
            <w:r w:rsidRPr="006B7B45">
              <w:rPr>
                <w:rFonts w:cs="Times New Roman"/>
                <w:sz w:val="22"/>
              </w:rPr>
              <w:t>408</w:t>
            </w:r>
          </w:p>
        </w:tc>
        <w:tc>
          <w:tcPr>
            <w:tcW w:w="1630" w:type="dxa"/>
          </w:tcPr>
          <w:p w14:paraId="54AD8836" w14:textId="77777777" w:rsidR="006B3333" w:rsidRPr="006B7B45" w:rsidRDefault="006B3333" w:rsidP="006B3333">
            <w:pPr>
              <w:spacing w:after="0" w:line="240" w:lineRule="auto"/>
              <w:jc w:val="center"/>
              <w:rPr>
                <w:rFonts w:cs="Times New Roman"/>
                <w:sz w:val="22"/>
              </w:rPr>
            </w:pPr>
            <w:r w:rsidRPr="006B7B45">
              <w:rPr>
                <w:rFonts w:cs="Times New Roman"/>
                <w:sz w:val="22"/>
              </w:rPr>
              <w:t>165.2</w:t>
            </w:r>
          </w:p>
        </w:tc>
        <w:tc>
          <w:tcPr>
            <w:tcW w:w="1644" w:type="dxa"/>
          </w:tcPr>
          <w:p w14:paraId="204F6FF0" w14:textId="77777777" w:rsidR="006B3333" w:rsidRPr="006B7B45" w:rsidRDefault="006B3333" w:rsidP="006B3333">
            <w:pPr>
              <w:spacing w:after="0" w:line="240" w:lineRule="auto"/>
              <w:jc w:val="center"/>
              <w:rPr>
                <w:rFonts w:cs="Times New Roman"/>
                <w:sz w:val="22"/>
              </w:rPr>
            </w:pPr>
            <w:r w:rsidRPr="006B7B45">
              <w:rPr>
                <w:rFonts w:cs="Times New Roman"/>
                <w:sz w:val="22"/>
              </w:rPr>
              <w:t>0.6:1</w:t>
            </w:r>
          </w:p>
        </w:tc>
      </w:tr>
      <w:tr w:rsidR="006B3333" w:rsidRPr="006B7B45" w14:paraId="6AEC43EF" w14:textId="77777777" w:rsidTr="006B3333">
        <w:tc>
          <w:tcPr>
            <w:tcW w:w="3331" w:type="dxa"/>
          </w:tcPr>
          <w:p w14:paraId="0AFC41F1" w14:textId="77777777" w:rsidR="006B3333" w:rsidRPr="006B7B45" w:rsidRDefault="006B3333" w:rsidP="006B3333">
            <w:pPr>
              <w:spacing w:after="0" w:line="240" w:lineRule="auto"/>
              <w:rPr>
                <w:rFonts w:cs="Times New Roman"/>
                <w:sz w:val="22"/>
              </w:rPr>
            </w:pPr>
            <w:r w:rsidRPr="006B7B45">
              <w:rPr>
                <w:rFonts w:cs="Times New Roman"/>
                <w:sz w:val="22"/>
              </w:rPr>
              <w:t>Maize+FeSO</w:t>
            </w:r>
            <w:r w:rsidRPr="006B7B45">
              <w:rPr>
                <w:rFonts w:cs="Times New Roman"/>
                <w:sz w:val="22"/>
                <w:vertAlign w:val="subscript"/>
              </w:rPr>
              <w:t>4</w:t>
            </w:r>
            <w:r w:rsidRPr="006B7B45">
              <w:rPr>
                <w:rFonts w:cs="Times New Roman"/>
                <w:sz w:val="22"/>
                <w:vertAlign w:val="superscript"/>
              </w:rPr>
              <w:t>2</w:t>
            </w:r>
          </w:p>
        </w:tc>
        <w:tc>
          <w:tcPr>
            <w:tcW w:w="1654" w:type="dxa"/>
          </w:tcPr>
          <w:p w14:paraId="0A7A5FB8" w14:textId="77777777" w:rsidR="006B3333" w:rsidRPr="006B7B45" w:rsidRDefault="006B3333" w:rsidP="006B3333">
            <w:pPr>
              <w:spacing w:after="0" w:line="240" w:lineRule="auto"/>
              <w:jc w:val="center"/>
              <w:rPr>
                <w:rFonts w:cs="Times New Roman"/>
                <w:sz w:val="22"/>
              </w:rPr>
            </w:pPr>
            <w:r w:rsidRPr="006B7B45">
              <w:rPr>
                <w:rFonts w:cs="Times New Roman"/>
                <w:sz w:val="22"/>
              </w:rPr>
              <w:t>0</w:t>
            </w:r>
          </w:p>
        </w:tc>
        <w:tc>
          <w:tcPr>
            <w:tcW w:w="1630" w:type="dxa"/>
          </w:tcPr>
          <w:p w14:paraId="13B6CCEB" w14:textId="77777777" w:rsidR="006B3333" w:rsidRPr="006B7B45" w:rsidRDefault="006B3333" w:rsidP="006B3333">
            <w:pPr>
              <w:spacing w:after="0" w:line="240" w:lineRule="auto"/>
              <w:jc w:val="center"/>
              <w:rPr>
                <w:rFonts w:cs="Times New Roman"/>
                <w:sz w:val="22"/>
              </w:rPr>
            </w:pPr>
            <w:r w:rsidRPr="006B7B45">
              <w:rPr>
                <w:rFonts w:cs="Times New Roman"/>
                <w:sz w:val="22"/>
              </w:rPr>
              <w:t>52</w:t>
            </w:r>
          </w:p>
        </w:tc>
        <w:tc>
          <w:tcPr>
            <w:tcW w:w="1630" w:type="dxa"/>
          </w:tcPr>
          <w:p w14:paraId="66E01A40" w14:textId="77777777" w:rsidR="006B3333" w:rsidRPr="006B7B45" w:rsidRDefault="006B3333" w:rsidP="006B3333">
            <w:pPr>
              <w:spacing w:after="0" w:line="240" w:lineRule="auto"/>
              <w:jc w:val="center"/>
              <w:rPr>
                <w:rFonts w:cs="Times New Roman"/>
                <w:sz w:val="22"/>
              </w:rPr>
            </w:pPr>
            <w:r w:rsidRPr="006B7B45">
              <w:rPr>
                <w:rFonts w:cs="Times New Roman"/>
                <w:sz w:val="22"/>
              </w:rPr>
              <w:t>73.2</w:t>
            </w:r>
          </w:p>
        </w:tc>
        <w:tc>
          <w:tcPr>
            <w:tcW w:w="1644" w:type="dxa"/>
          </w:tcPr>
          <w:p w14:paraId="3E5C0302" w14:textId="77777777" w:rsidR="006B3333" w:rsidRPr="006B7B45" w:rsidRDefault="006B3333" w:rsidP="006B3333">
            <w:pPr>
              <w:spacing w:after="0" w:line="240" w:lineRule="auto"/>
              <w:jc w:val="center"/>
              <w:rPr>
                <w:rFonts w:cs="Times New Roman"/>
                <w:sz w:val="22"/>
              </w:rPr>
            </w:pPr>
            <w:r w:rsidRPr="006B7B45">
              <w:rPr>
                <w:rFonts w:cs="Times New Roman"/>
                <w:sz w:val="22"/>
              </w:rPr>
              <w:t>0:1</w:t>
            </w:r>
          </w:p>
        </w:tc>
      </w:tr>
      <w:tr w:rsidR="006B3333" w:rsidRPr="006B7B45" w14:paraId="14551981" w14:textId="77777777" w:rsidTr="00B938AA">
        <w:tc>
          <w:tcPr>
            <w:tcW w:w="9889" w:type="dxa"/>
            <w:gridSpan w:val="5"/>
          </w:tcPr>
          <w:p w14:paraId="04F70A5C" w14:textId="77777777" w:rsidR="006B3333" w:rsidRPr="006B7B45" w:rsidRDefault="006B3333" w:rsidP="006B3333">
            <w:pPr>
              <w:spacing w:after="0" w:line="240" w:lineRule="auto"/>
              <w:jc w:val="center"/>
              <w:rPr>
                <w:rFonts w:cs="Times New Roman"/>
                <w:b/>
                <w:bCs/>
                <w:sz w:val="22"/>
              </w:rPr>
            </w:pPr>
            <w:r w:rsidRPr="006B7B45">
              <w:rPr>
                <w:rFonts w:cs="Times New Roman"/>
                <w:b/>
                <w:bCs/>
                <w:sz w:val="22"/>
              </w:rPr>
              <w:t>Experiment 2 (Complex porridges)</w:t>
            </w:r>
          </w:p>
        </w:tc>
      </w:tr>
      <w:tr w:rsidR="006B3333" w:rsidRPr="006B7B45" w14:paraId="2C45D555" w14:textId="77777777" w:rsidTr="00B938AA">
        <w:tc>
          <w:tcPr>
            <w:tcW w:w="9889" w:type="dxa"/>
            <w:gridSpan w:val="5"/>
          </w:tcPr>
          <w:p w14:paraId="1FC0388A" w14:textId="2E913A40" w:rsidR="006B3333" w:rsidRPr="006B7B45" w:rsidRDefault="006B3333" w:rsidP="006B3333">
            <w:pPr>
              <w:spacing w:after="0" w:line="240" w:lineRule="auto"/>
              <w:rPr>
                <w:rFonts w:cs="Times New Roman"/>
                <w:b/>
                <w:bCs/>
                <w:sz w:val="22"/>
              </w:rPr>
            </w:pPr>
            <w:r w:rsidRPr="006B7B45">
              <w:rPr>
                <w:rFonts w:cs="Times New Roman"/>
                <w:b/>
                <w:bCs/>
                <w:sz w:val="22"/>
              </w:rPr>
              <w:t>Porridge formulations</w:t>
            </w:r>
            <w:r w:rsidR="006B7B45" w:rsidRPr="006B7B45">
              <w:rPr>
                <w:rFonts w:cs="Times New Roman"/>
                <w:b/>
                <w:bCs/>
                <w:sz w:val="22"/>
                <w:vertAlign w:val="superscript"/>
              </w:rPr>
              <w:t>*</w:t>
            </w:r>
          </w:p>
        </w:tc>
      </w:tr>
      <w:tr w:rsidR="006B3333" w:rsidRPr="006B7B45" w14:paraId="2407756A" w14:textId="77777777" w:rsidTr="006B3333">
        <w:tc>
          <w:tcPr>
            <w:tcW w:w="3331" w:type="dxa"/>
          </w:tcPr>
          <w:p w14:paraId="0E15F77F" w14:textId="33EBD10B" w:rsidR="006B3333" w:rsidRPr="006B7B45" w:rsidRDefault="006B3333" w:rsidP="006B3333">
            <w:pPr>
              <w:spacing w:after="0" w:line="240" w:lineRule="auto"/>
              <w:rPr>
                <w:rFonts w:cs="Times New Roman"/>
                <w:sz w:val="22"/>
              </w:rPr>
            </w:pPr>
            <w:r w:rsidRPr="006B7B45">
              <w:rPr>
                <w:rFonts w:cs="Times New Roman"/>
                <w:sz w:val="22"/>
              </w:rPr>
              <w:t>Maize+FeSO</w:t>
            </w:r>
            <w:r w:rsidRPr="006B7B45">
              <w:rPr>
                <w:rFonts w:cs="Times New Roman"/>
                <w:sz w:val="22"/>
                <w:vertAlign w:val="subscript"/>
              </w:rPr>
              <w:t>4</w:t>
            </w:r>
            <w:r w:rsidRPr="006B7B45">
              <w:rPr>
                <w:rFonts w:cs="Times New Roman"/>
                <w:sz w:val="22"/>
              </w:rPr>
              <w:t>+mango+carrot (control)</w:t>
            </w:r>
          </w:p>
        </w:tc>
        <w:tc>
          <w:tcPr>
            <w:tcW w:w="1654" w:type="dxa"/>
          </w:tcPr>
          <w:p w14:paraId="7BC47FE6" w14:textId="77777777" w:rsidR="006B3333" w:rsidRPr="006B7B45" w:rsidRDefault="006B3333" w:rsidP="006B3333">
            <w:pPr>
              <w:spacing w:after="0" w:line="240" w:lineRule="auto"/>
              <w:jc w:val="center"/>
              <w:rPr>
                <w:rFonts w:cs="Times New Roman"/>
                <w:sz w:val="22"/>
              </w:rPr>
            </w:pPr>
            <w:r w:rsidRPr="006B7B45">
              <w:rPr>
                <w:rFonts w:cs="Times New Roman"/>
                <w:sz w:val="22"/>
              </w:rPr>
              <w:t>5.4</w:t>
            </w:r>
          </w:p>
        </w:tc>
        <w:tc>
          <w:tcPr>
            <w:tcW w:w="1630" w:type="dxa"/>
          </w:tcPr>
          <w:p w14:paraId="3C6BA6AC" w14:textId="77777777" w:rsidR="006B3333" w:rsidRPr="006B7B45" w:rsidRDefault="006B3333" w:rsidP="006B3333">
            <w:pPr>
              <w:spacing w:after="0" w:line="240" w:lineRule="auto"/>
              <w:jc w:val="center"/>
              <w:rPr>
                <w:rFonts w:cs="Times New Roman"/>
                <w:sz w:val="22"/>
              </w:rPr>
            </w:pPr>
            <w:r w:rsidRPr="006B7B45">
              <w:rPr>
                <w:rFonts w:cs="Times New Roman"/>
                <w:sz w:val="22"/>
              </w:rPr>
              <w:t>70</w:t>
            </w:r>
          </w:p>
        </w:tc>
        <w:tc>
          <w:tcPr>
            <w:tcW w:w="1630" w:type="dxa"/>
          </w:tcPr>
          <w:p w14:paraId="08E5E1BD" w14:textId="77777777" w:rsidR="006B3333" w:rsidRPr="006B7B45" w:rsidRDefault="006B3333" w:rsidP="006B3333">
            <w:pPr>
              <w:spacing w:after="0" w:line="240" w:lineRule="auto"/>
              <w:jc w:val="center"/>
              <w:rPr>
                <w:rFonts w:cs="Times New Roman"/>
                <w:sz w:val="22"/>
              </w:rPr>
            </w:pPr>
            <w:r w:rsidRPr="006B7B45">
              <w:rPr>
                <w:rFonts w:cs="Times New Roman"/>
                <w:sz w:val="22"/>
              </w:rPr>
              <w:t>47.1</w:t>
            </w:r>
          </w:p>
        </w:tc>
        <w:tc>
          <w:tcPr>
            <w:tcW w:w="1644" w:type="dxa"/>
          </w:tcPr>
          <w:p w14:paraId="7611CD8C" w14:textId="77777777" w:rsidR="006B3333" w:rsidRPr="006B7B45" w:rsidRDefault="006B3333" w:rsidP="006B3333">
            <w:pPr>
              <w:spacing w:after="0" w:line="240" w:lineRule="auto"/>
              <w:jc w:val="center"/>
              <w:rPr>
                <w:rFonts w:cs="Times New Roman"/>
                <w:sz w:val="22"/>
              </w:rPr>
            </w:pPr>
            <w:r w:rsidRPr="006B7B45">
              <w:rPr>
                <w:rFonts w:cs="Times New Roman"/>
                <w:sz w:val="22"/>
              </w:rPr>
              <w:t>0.2:1</w:t>
            </w:r>
          </w:p>
        </w:tc>
      </w:tr>
      <w:tr w:rsidR="006B3333" w:rsidRPr="006B7B45" w14:paraId="3B0BE33D" w14:textId="77777777" w:rsidTr="006B3333">
        <w:tc>
          <w:tcPr>
            <w:tcW w:w="3331" w:type="dxa"/>
          </w:tcPr>
          <w:p w14:paraId="4D30193B" w14:textId="78BF72AD" w:rsidR="006B3333" w:rsidRPr="006B7B45" w:rsidRDefault="006B3333" w:rsidP="006B3333">
            <w:pPr>
              <w:spacing w:after="0" w:line="240" w:lineRule="auto"/>
              <w:rPr>
                <w:rFonts w:cs="Times New Roman"/>
                <w:sz w:val="22"/>
              </w:rPr>
            </w:pPr>
            <w:r w:rsidRPr="006B7B45">
              <w:rPr>
                <w:rFonts w:cs="Times New Roman"/>
                <w:sz w:val="22"/>
              </w:rPr>
              <w:t>Maize+FeSO</w:t>
            </w:r>
            <w:r w:rsidRPr="006B7B45">
              <w:rPr>
                <w:rFonts w:cs="Times New Roman"/>
                <w:sz w:val="22"/>
                <w:vertAlign w:val="subscript"/>
              </w:rPr>
              <w:t>4</w:t>
            </w:r>
            <w:r w:rsidRPr="006B7B45">
              <w:rPr>
                <w:rFonts w:cs="Times New Roman"/>
                <w:sz w:val="22"/>
              </w:rPr>
              <w:t>+ascorbic acid+mango+carrot</w:t>
            </w:r>
          </w:p>
        </w:tc>
        <w:tc>
          <w:tcPr>
            <w:tcW w:w="1654" w:type="dxa"/>
          </w:tcPr>
          <w:p w14:paraId="4944CF57" w14:textId="77777777" w:rsidR="006B3333" w:rsidRPr="006B7B45" w:rsidRDefault="006B3333" w:rsidP="006B3333">
            <w:pPr>
              <w:spacing w:after="0" w:line="240" w:lineRule="auto"/>
              <w:jc w:val="center"/>
              <w:rPr>
                <w:rFonts w:cs="Times New Roman"/>
                <w:sz w:val="22"/>
              </w:rPr>
            </w:pPr>
            <w:r w:rsidRPr="006B7B45">
              <w:rPr>
                <w:rFonts w:cs="Times New Roman"/>
                <w:sz w:val="22"/>
              </w:rPr>
              <w:t>68.7</w:t>
            </w:r>
          </w:p>
        </w:tc>
        <w:tc>
          <w:tcPr>
            <w:tcW w:w="1630" w:type="dxa"/>
          </w:tcPr>
          <w:p w14:paraId="6FD30D73" w14:textId="77777777" w:rsidR="006B3333" w:rsidRPr="006B7B45" w:rsidRDefault="006B3333" w:rsidP="006B3333">
            <w:pPr>
              <w:spacing w:after="0" w:line="240" w:lineRule="auto"/>
              <w:jc w:val="center"/>
              <w:rPr>
                <w:rFonts w:cs="Times New Roman"/>
                <w:sz w:val="22"/>
              </w:rPr>
            </w:pPr>
            <w:r w:rsidRPr="006B7B45">
              <w:rPr>
                <w:rFonts w:cs="Times New Roman"/>
                <w:sz w:val="22"/>
              </w:rPr>
              <w:t>70</w:t>
            </w:r>
          </w:p>
        </w:tc>
        <w:tc>
          <w:tcPr>
            <w:tcW w:w="1630" w:type="dxa"/>
          </w:tcPr>
          <w:p w14:paraId="0EB7F49C" w14:textId="77777777" w:rsidR="006B3333" w:rsidRPr="006B7B45" w:rsidRDefault="006B3333" w:rsidP="006B3333">
            <w:pPr>
              <w:spacing w:after="0" w:line="240" w:lineRule="auto"/>
              <w:jc w:val="center"/>
              <w:rPr>
                <w:rFonts w:cs="Times New Roman"/>
                <w:sz w:val="22"/>
              </w:rPr>
            </w:pPr>
            <w:r w:rsidRPr="006B7B45">
              <w:rPr>
                <w:rFonts w:cs="Times New Roman"/>
                <w:sz w:val="22"/>
              </w:rPr>
              <w:t>47.1</w:t>
            </w:r>
          </w:p>
        </w:tc>
        <w:tc>
          <w:tcPr>
            <w:tcW w:w="1644" w:type="dxa"/>
          </w:tcPr>
          <w:p w14:paraId="422FB3A7" w14:textId="77777777" w:rsidR="006B3333" w:rsidRPr="006B7B45" w:rsidRDefault="006B3333" w:rsidP="006B3333">
            <w:pPr>
              <w:spacing w:after="0" w:line="240" w:lineRule="auto"/>
              <w:jc w:val="center"/>
              <w:rPr>
                <w:rFonts w:cs="Times New Roman"/>
                <w:sz w:val="22"/>
              </w:rPr>
            </w:pPr>
            <w:r w:rsidRPr="006B7B45">
              <w:rPr>
                <w:rFonts w:cs="Times New Roman"/>
                <w:sz w:val="22"/>
              </w:rPr>
              <w:t>2.0:1</w:t>
            </w:r>
          </w:p>
        </w:tc>
      </w:tr>
      <w:tr w:rsidR="006B3333" w:rsidRPr="006B7B45" w14:paraId="13073AE2" w14:textId="77777777" w:rsidTr="006B3333">
        <w:tc>
          <w:tcPr>
            <w:tcW w:w="3331" w:type="dxa"/>
          </w:tcPr>
          <w:p w14:paraId="52195F45" w14:textId="639F5553" w:rsidR="006B3333" w:rsidRPr="006B7B45" w:rsidRDefault="006B3333" w:rsidP="006B3333">
            <w:pPr>
              <w:spacing w:after="0" w:line="240" w:lineRule="auto"/>
              <w:rPr>
                <w:rFonts w:cs="Times New Roman"/>
                <w:sz w:val="22"/>
              </w:rPr>
            </w:pPr>
            <w:r w:rsidRPr="006B7B45">
              <w:rPr>
                <w:rFonts w:cs="Times New Roman"/>
                <w:sz w:val="22"/>
              </w:rPr>
              <w:t>Maize+moringa (M+S)+mango+carrot</w:t>
            </w:r>
          </w:p>
        </w:tc>
        <w:tc>
          <w:tcPr>
            <w:tcW w:w="1654" w:type="dxa"/>
          </w:tcPr>
          <w:p w14:paraId="3268B82D" w14:textId="77777777" w:rsidR="006B3333" w:rsidRPr="006B7B45" w:rsidRDefault="006B3333" w:rsidP="006B3333">
            <w:pPr>
              <w:spacing w:after="0" w:line="240" w:lineRule="auto"/>
              <w:jc w:val="center"/>
              <w:rPr>
                <w:rFonts w:cs="Times New Roman"/>
                <w:sz w:val="22"/>
              </w:rPr>
            </w:pPr>
            <w:r w:rsidRPr="006B7B45">
              <w:rPr>
                <w:rFonts w:cs="Times New Roman"/>
                <w:sz w:val="22"/>
              </w:rPr>
              <w:t>6.1</w:t>
            </w:r>
          </w:p>
        </w:tc>
        <w:tc>
          <w:tcPr>
            <w:tcW w:w="1630" w:type="dxa"/>
          </w:tcPr>
          <w:p w14:paraId="766E7594" w14:textId="77777777" w:rsidR="006B3333" w:rsidRPr="006B7B45" w:rsidRDefault="006B3333" w:rsidP="006B3333">
            <w:pPr>
              <w:spacing w:after="0" w:line="240" w:lineRule="auto"/>
              <w:jc w:val="center"/>
              <w:rPr>
                <w:rFonts w:cs="Times New Roman"/>
                <w:sz w:val="22"/>
              </w:rPr>
            </w:pPr>
            <w:r w:rsidRPr="006B7B45">
              <w:rPr>
                <w:rFonts w:cs="Times New Roman"/>
                <w:sz w:val="22"/>
              </w:rPr>
              <w:t>458</w:t>
            </w:r>
          </w:p>
        </w:tc>
        <w:tc>
          <w:tcPr>
            <w:tcW w:w="1630" w:type="dxa"/>
          </w:tcPr>
          <w:p w14:paraId="06A1A9CD" w14:textId="77777777" w:rsidR="006B3333" w:rsidRPr="006B7B45" w:rsidRDefault="006B3333" w:rsidP="006B3333">
            <w:pPr>
              <w:spacing w:after="0" w:line="240" w:lineRule="auto"/>
              <w:jc w:val="center"/>
              <w:rPr>
                <w:rFonts w:cs="Times New Roman"/>
                <w:sz w:val="22"/>
              </w:rPr>
            </w:pPr>
            <w:r w:rsidRPr="006B7B45">
              <w:rPr>
                <w:rFonts w:cs="Times New Roman"/>
                <w:sz w:val="22"/>
              </w:rPr>
              <w:t>119.2</w:t>
            </w:r>
          </w:p>
        </w:tc>
        <w:tc>
          <w:tcPr>
            <w:tcW w:w="1644" w:type="dxa"/>
          </w:tcPr>
          <w:p w14:paraId="02FBDAD8" w14:textId="77777777" w:rsidR="006B3333" w:rsidRPr="006B7B45" w:rsidRDefault="006B3333" w:rsidP="006B3333">
            <w:pPr>
              <w:spacing w:after="0" w:line="240" w:lineRule="auto"/>
              <w:jc w:val="center"/>
              <w:rPr>
                <w:rFonts w:cs="Times New Roman"/>
                <w:sz w:val="22"/>
              </w:rPr>
            </w:pPr>
            <w:r w:rsidRPr="006B7B45">
              <w:rPr>
                <w:rFonts w:cs="Times New Roman"/>
                <w:sz w:val="22"/>
              </w:rPr>
              <w:t>0.2:1</w:t>
            </w:r>
          </w:p>
        </w:tc>
      </w:tr>
      <w:tr w:rsidR="006B3333" w:rsidRPr="006B7B45" w14:paraId="36179241" w14:textId="77777777" w:rsidTr="006B3333">
        <w:tc>
          <w:tcPr>
            <w:tcW w:w="3331" w:type="dxa"/>
          </w:tcPr>
          <w:p w14:paraId="176A9C3D" w14:textId="7299425E" w:rsidR="006B3333" w:rsidRPr="006B7B45" w:rsidRDefault="006B3333" w:rsidP="006B3333">
            <w:pPr>
              <w:spacing w:after="0" w:line="240" w:lineRule="auto"/>
              <w:rPr>
                <w:rFonts w:cs="Times New Roman"/>
                <w:sz w:val="22"/>
              </w:rPr>
            </w:pPr>
            <w:r w:rsidRPr="006B7B45">
              <w:rPr>
                <w:rFonts w:cs="Times New Roman"/>
                <w:sz w:val="22"/>
              </w:rPr>
              <w:t>Maize+FeSO</w:t>
            </w:r>
            <w:r w:rsidRPr="006B7B45">
              <w:rPr>
                <w:rFonts w:cs="Times New Roman"/>
                <w:sz w:val="22"/>
                <w:vertAlign w:val="subscript"/>
              </w:rPr>
              <w:t>4</w:t>
            </w:r>
            <w:r w:rsidRPr="006B7B45">
              <w:rPr>
                <w:rFonts w:cs="Times New Roman"/>
                <w:sz w:val="22"/>
              </w:rPr>
              <w:t>+baobab+mango+ carrot</w:t>
            </w:r>
          </w:p>
        </w:tc>
        <w:tc>
          <w:tcPr>
            <w:tcW w:w="1654" w:type="dxa"/>
          </w:tcPr>
          <w:p w14:paraId="6FF89A1D" w14:textId="77777777" w:rsidR="006B3333" w:rsidRPr="006B7B45" w:rsidRDefault="006B3333" w:rsidP="006B3333">
            <w:pPr>
              <w:spacing w:after="0" w:line="240" w:lineRule="auto"/>
              <w:jc w:val="center"/>
              <w:rPr>
                <w:rFonts w:cs="Times New Roman"/>
                <w:sz w:val="22"/>
              </w:rPr>
            </w:pPr>
            <w:r w:rsidRPr="006B7B45">
              <w:rPr>
                <w:rFonts w:cs="Times New Roman"/>
                <w:sz w:val="22"/>
              </w:rPr>
              <w:t>31.5</w:t>
            </w:r>
          </w:p>
        </w:tc>
        <w:tc>
          <w:tcPr>
            <w:tcW w:w="1630" w:type="dxa"/>
          </w:tcPr>
          <w:p w14:paraId="2F3D2F17" w14:textId="77777777" w:rsidR="006B3333" w:rsidRPr="006B7B45" w:rsidRDefault="006B3333" w:rsidP="006B3333">
            <w:pPr>
              <w:spacing w:after="0" w:line="240" w:lineRule="auto"/>
              <w:jc w:val="center"/>
              <w:rPr>
                <w:rFonts w:cs="Times New Roman"/>
                <w:sz w:val="22"/>
              </w:rPr>
            </w:pPr>
            <w:r w:rsidRPr="006B7B45">
              <w:rPr>
                <w:rFonts w:cs="Times New Roman"/>
                <w:sz w:val="22"/>
              </w:rPr>
              <w:t>736</w:t>
            </w:r>
          </w:p>
        </w:tc>
        <w:tc>
          <w:tcPr>
            <w:tcW w:w="1630" w:type="dxa"/>
          </w:tcPr>
          <w:p w14:paraId="59445634" w14:textId="77777777" w:rsidR="006B3333" w:rsidRPr="006B7B45" w:rsidRDefault="006B3333" w:rsidP="006B3333">
            <w:pPr>
              <w:spacing w:after="0" w:line="240" w:lineRule="auto"/>
              <w:jc w:val="center"/>
              <w:rPr>
                <w:rFonts w:cs="Times New Roman"/>
                <w:sz w:val="22"/>
              </w:rPr>
            </w:pPr>
            <w:r w:rsidRPr="006B7B45">
              <w:rPr>
                <w:rFonts w:cs="Times New Roman"/>
                <w:sz w:val="22"/>
              </w:rPr>
              <w:t>142.7</w:t>
            </w:r>
          </w:p>
        </w:tc>
        <w:tc>
          <w:tcPr>
            <w:tcW w:w="1644" w:type="dxa"/>
          </w:tcPr>
          <w:p w14:paraId="2DABE25B" w14:textId="77777777" w:rsidR="006B3333" w:rsidRPr="006B7B45" w:rsidRDefault="006B3333" w:rsidP="006B3333">
            <w:pPr>
              <w:spacing w:after="0" w:line="240" w:lineRule="auto"/>
              <w:jc w:val="center"/>
              <w:rPr>
                <w:rFonts w:cs="Times New Roman"/>
                <w:sz w:val="22"/>
              </w:rPr>
            </w:pPr>
            <w:r w:rsidRPr="006B7B45">
              <w:rPr>
                <w:rFonts w:cs="Times New Roman"/>
                <w:sz w:val="22"/>
              </w:rPr>
              <w:t>0.9:1</w:t>
            </w:r>
          </w:p>
        </w:tc>
      </w:tr>
      <w:tr w:rsidR="006B3333" w:rsidRPr="006B7B45" w14:paraId="7D331B20" w14:textId="77777777" w:rsidTr="006B3333">
        <w:tc>
          <w:tcPr>
            <w:tcW w:w="3331" w:type="dxa"/>
          </w:tcPr>
          <w:p w14:paraId="41528F3F" w14:textId="7C93FB98" w:rsidR="006B3333" w:rsidRPr="006B7B45" w:rsidRDefault="006B3333" w:rsidP="006B3333">
            <w:pPr>
              <w:spacing w:after="0" w:line="240" w:lineRule="auto"/>
              <w:rPr>
                <w:rFonts w:cs="Times New Roman"/>
                <w:sz w:val="22"/>
              </w:rPr>
            </w:pPr>
            <w:r w:rsidRPr="006B7B45">
              <w:rPr>
                <w:rFonts w:cs="Times New Roman"/>
                <w:sz w:val="22"/>
              </w:rPr>
              <w:t>Maize+moringa (M+S)+baobab+mango+carrot</w:t>
            </w:r>
          </w:p>
        </w:tc>
        <w:tc>
          <w:tcPr>
            <w:tcW w:w="1654" w:type="dxa"/>
          </w:tcPr>
          <w:p w14:paraId="174E303E" w14:textId="77777777" w:rsidR="006B3333" w:rsidRPr="006B7B45" w:rsidRDefault="006B3333" w:rsidP="006B3333">
            <w:pPr>
              <w:spacing w:after="0" w:line="240" w:lineRule="auto"/>
              <w:jc w:val="center"/>
              <w:rPr>
                <w:rFonts w:cs="Times New Roman"/>
                <w:sz w:val="22"/>
              </w:rPr>
            </w:pPr>
            <w:r w:rsidRPr="006B7B45">
              <w:rPr>
                <w:rFonts w:cs="Times New Roman"/>
                <w:sz w:val="22"/>
              </w:rPr>
              <w:t>32.3</w:t>
            </w:r>
          </w:p>
        </w:tc>
        <w:tc>
          <w:tcPr>
            <w:tcW w:w="1630" w:type="dxa"/>
          </w:tcPr>
          <w:p w14:paraId="2D9D7186" w14:textId="77777777" w:rsidR="006B3333" w:rsidRPr="006B7B45" w:rsidRDefault="006B3333" w:rsidP="006B3333">
            <w:pPr>
              <w:spacing w:after="0" w:line="240" w:lineRule="auto"/>
              <w:jc w:val="center"/>
              <w:rPr>
                <w:rFonts w:cs="Times New Roman"/>
                <w:sz w:val="22"/>
              </w:rPr>
            </w:pPr>
            <w:r w:rsidRPr="006B7B45">
              <w:rPr>
                <w:rFonts w:cs="Times New Roman"/>
                <w:sz w:val="22"/>
              </w:rPr>
              <w:t>1125</w:t>
            </w:r>
          </w:p>
        </w:tc>
        <w:tc>
          <w:tcPr>
            <w:tcW w:w="1630" w:type="dxa"/>
          </w:tcPr>
          <w:p w14:paraId="0C18E199" w14:textId="77777777" w:rsidR="006B3333" w:rsidRPr="006B7B45" w:rsidRDefault="006B3333" w:rsidP="006B3333">
            <w:pPr>
              <w:spacing w:after="0" w:line="240" w:lineRule="auto"/>
              <w:jc w:val="center"/>
              <w:rPr>
                <w:rFonts w:cs="Times New Roman"/>
                <w:sz w:val="22"/>
              </w:rPr>
            </w:pPr>
            <w:r w:rsidRPr="006B7B45">
              <w:rPr>
                <w:rFonts w:cs="Times New Roman"/>
                <w:sz w:val="22"/>
              </w:rPr>
              <w:t>214.8</w:t>
            </w:r>
          </w:p>
        </w:tc>
        <w:tc>
          <w:tcPr>
            <w:tcW w:w="1644" w:type="dxa"/>
          </w:tcPr>
          <w:p w14:paraId="31935BBC" w14:textId="77777777" w:rsidR="006B3333" w:rsidRPr="006B7B45" w:rsidRDefault="006B3333" w:rsidP="006B3333">
            <w:pPr>
              <w:spacing w:after="0" w:line="240" w:lineRule="auto"/>
              <w:jc w:val="center"/>
              <w:rPr>
                <w:rFonts w:cs="Times New Roman"/>
                <w:sz w:val="22"/>
              </w:rPr>
            </w:pPr>
            <w:r w:rsidRPr="006B7B45">
              <w:rPr>
                <w:rFonts w:cs="Times New Roman"/>
                <w:sz w:val="22"/>
              </w:rPr>
              <w:t>0.9:1</w:t>
            </w:r>
          </w:p>
        </w:tc>
      </w:tr>
    </w:tbl>
    <w:p w14:paraId="2CA4A70B" w14:textId="77777777" w:rsidR="00D609DA" w:rsidRPr="00A967D7" w:rsidRDefault="00D609DA" w:rsidP="00867505">
      <w:pPr>
        <w:spacing w:before="240" w:after="0" w:line="240" w:lineRule="auto"/>
        <w:rPr>
          <w:rFonts w:cs="Times New Roman"/>
          <w:sz w:val="20"/>
          <w:szCs w:val="20"/>
        </w:rPr>
      </w:pPr>
      <w:r w:rsidRPr="00A967D7">
        <w:rPr>
          <w:rFonts w:cs="Times New Roman"/>
          <w:sz w:val="20"/>
          <w:szCs w:val="20"/>
        </w:rPr>
        <w:t>Values are the mean ± 1 SD of three independent samples analysed in triplicate (n=9)</w:t>
      </w:r>
    </w:p>
    <w:p w14:paraId="43A913C2" w14:textId="77777777" w:rsidR="00D609DA" w:rsidRPr="00A967D7" w:rsidRDefault="00D609DA" w:rsidP="00867505">
      <w:pPr>
        <w:spacing w:after="0" w:line="240" w:lineRule="auto"/>
        <w:rPr>
          <w:rFonts w:cs="Times New Roman"/>
          <w:sz w:val="20"/>
          <w:szCs w:val="20"/>
        </w:rPr>
      </w:pPr>
      <w:r w:rsidRPr="00A967D7">
        <w:rPr>
          <w:rFonts w:cs="Times New Roman"/>
          <w:sz w:val="20"/>
          <w:szCs w:val="20"/>
        </w:rPr>
        <w:t>Ascorbic acid values of carrot</w:t>
      </w:r>
      <w:r>
        <w:rPr>
          <w:rFonts w:cs="Times New Roman"/>
          <w:sz w:val="20"/>
          <w:szCs w:val="20"/>
        </w:rPr>
        <w:t xml:space="preserve"> and moringa (S)</w:t>
      </w:r>
      <w:r w:rsidRPr="00A967D7">
        <w:rPr>
          <w:rFonts w:cs="Times New Roman"/>
          <w:sz w:val="20"/>
          <w:szCs w:val="20"/>
        </w:rPr>
        <w:t xml:space="preserve"> are the mean ± 1 SD of</w:t>
      </w:r>
      <w:r>
        <w:rPr>
          <w:rFonts w:cs="Times New Roman"/>
          <w:sz w:val="20"/>
          <w:szCs w:val="20"/>
        </w:rPr>
        <w:t xml:space="preserve"> </w:t>
      </w:r>
      <w:r w:rsidRPr="00A967D7">
        <w:rPr>
          <w:rFonts w:cs="Times New Roman"/>
          <w:sz w:val="20"/>
          <w:szCs w:val="20"/>
        </w:rPr>
        <w:t>two independent samples analysed in triplicate (n=6)</w:t>
      </w:r>
    </w:p>
    <w:p w14:paraId="4867CD3F" w14:textId="75F78665" w:rsidR="00D609DA" w:rsidRPr="00A967D7" w:rsidRDefault="00D609DA" w:rsidP="00D609DA">
      <w:pPr>
        <w:spacing w:after="0" w:line="240" w:lineRule="auto"/>
        <w:rPr>
          <w:rFonts w:cs="Times New Roman"/>
          <w:sz w:val="20"/>
          <w:szCs w:val="20"/>
        </w:rPr>
      </w:pPr>
      <w:r w:rsidRPr="00A967D7">
        <w:rPr>
          <w:rFonts w:cs="Times New Roman"/>
          <w:sz w:val="20"/>
          <w:szCs w:val="20"/>
        </w:rPr>
        <w:t>Means with different superscripts letters in a column differ significantly (</w:t>
      </w:r>
      <w:r w:rsidRPr="00C71F7E">
        <w:rPr>
          <w:rFonts w:cs="Times New Roman"/>
          <w:i/>
          <w:iCs/>
          <w:sz w:val="20"/>
          <w:szCs w:val="20"/>
        </w:rPr>
        <w:t>p</w:t>
      </w:r>
      <w:r w:rsidR="00202C06">
        <w:rPr>
          <w:rFonts w:cs="Times New Roman"/>
          <w:i/>
          <w:iCs/>
          <w:sz w:val="20"/>
          <w:szCs w:val="20"/>
        </w:rPr>
        <w:t>&lt;</w:t>
      </w:r>
      <w:r w:rsidRPr="00A967D7">
        <w:rPr>
          <w:rFonts w:cs="Times New Roman"/>
          <w:sz w:val="20"/>
          <w:szCs w:val="20"/>
        </w:rPr>
        <w:t>0.05)</w:t>
      </w:r>
      <w:r w:rsidR="00D701C8">
        <w:rPr>
          <w:rFonts w:cs="Times New Roman"/>
          <w:sz w:val="20"/>
          <w:szCs w:val="20"/>
        </w:rPr>
        <w:t>,</w:t>
      </w:r>
      <w:r w:rsidR="006B7B45" w:rsidRPr="006B7B45">
        <w:rPr>
          <w:rFonts w:cs="Times New Roman"/>
          <w:sz w:val="20"/>
          <w:szCs w:val="20"/>
          <w:vertAlign w:val="superscript"/>
        </w:rPr>
        <w:t xml:space="preserve"> </w:t>
      </w:r>
      <w:r w:rsidR="006B7B45" w:rsidRPr="00A967D7">
        <w:rPr>
          <w:rFonts w:cs="Times New Roman"/>
          <w:sz w:val="20"/>
          <w:szCs w:val="20"/>
          <w:vertAlign w:val="superscript"/>
        </w:rPr>
        <w:t>*</w:t>
      </w:r>
      <w:r w:rsidR="006B7B45">
        <w:rPr>
          <w:rFonts w:cs="Times New Roman"/>
          <w:sz w:val="20"/>
          <w:szCs w:val="20"/>
        </w:rPr>
        <w:t xml:space="preserve">Ascorbic acid, citric acid and the malic acid values of the porridge formulations </w:t>
      </w:r>
      <w:r w:rsidR="006B7B45" w:rsidRPr="00A967D7">
        <w:rPr>
          <w:rFonts w:cs="Times New Roman"/>
          <w:sz w:val="20"/>
          <w:szCs w:val="20"/>
        </w:rPr>
        <w:t>were calculated from the individual plant food ingredients</w:t>
      </w:r>
      <w:r w:rsidR="006B7B45">
        <w:rPr>
          <w:rFonts w:cs="Times New Roman"/>
          <w:sz w:val="20"/>
          <w:szCs w:val="20"/>
        </w:rPr>
        <w:t>’ ascorbic acid, citric acid and the malic acid values</w:t>
      </w:r>
      <w:r w:rsidR="00371D6D">
        <w:rPr>
          <w:rFonts w:cs="Times New Roman"/>
          <w:sz w:val="20"/>
          <w:szCs w:val="20"/>
        </w:rPr>
        <w:t xml:space="preserve">, respectively, </w:t>
      </w:r>
      <w:r w:rsidRPr="00A967D7">
        <w:rPr>
          <w:rFonts w:cs="Times New Roman"/>
          <w:sz w:val="20"/>
          <w:szCs w:val="20"/>
          <w:vertAlign w:val="superscript"/>
        </w:rPr>
        <w:t>$</w:t>
      </w:r>
      <w:r w:rsidRPr="00A967D7">
        <w:rPr>
          <w:rFonts w:cs="Times New Roman"/>
          <w:sz w:val="20"/>
          <w:szCs w:val="20"/>
        </w:rPr>
        <w:t>Moringa leaf powder from Mor Nutri (M); Moringa leaf</w:t>
      </w:r>
      <w:r w:rsidRPr="00A967D7">
        <w:rPr>
          <w:rFonts w:cs="Times New Roman"/>
          <w:vertAlign w:val="superscript"/>
        </w:rPr>
        <w:t xml:space="preserve"> </w:t>
      </w:r>
      <w:r w:rsidRPr="00A967D7">
        <w:rPr>
          <w:rFonts w:cs="Times New Roman"/>
          <w:sz w:val="20"/>
          <w:szCs w:val="20"/>
        </w:rPr>
        <w:t>powder from Sup</w:t>
      </w:r>
      <w:r w:rsidR="0015099A">
        <w:rPr>
          <w:rFonts w:cs="Times New Roman"/>
          <w:sz w:val="20"/>
          <w:szCs w:val="20"/>
        </w:rPr>
        <w:t>a</w:t>
      </w:r>
      <w:r w:rsidRPr="00A967D7">
        <w:rPr>
          <w:rFonts w:cs="Times New Roman"/>
          <w:sz w:val="20"/>
          <w:szCs w:val="20"/>
        </w:rPr>
        <w:t xml:space="preserve"> Nutri (S)</w:t>
      </w:r>
    </w:p>
    <w:p w14:paraId="5139C693" w14:textId="77777777" w:rsidR="00D609DA" w:rsidRDefault="00D609DA" w:rsidP="00D609DA">
      <w:pPr>
        <w:spacing w:after="0" w:line="240" w:lineRule="auto"/>
        <w:rPr>
          <w:rFonts w:cs="Times New Roman"/>
          <w:sz w:val="20"/>
          <w:szCs w:val="20"/>
        </w:rPr>
      </w:pPr>
      <w:r w:rsidRPr="00A967D7">
        <w:rPr>
          <w:rFonts w:cs="Times New Roman"/>
          <w:vertAlign w:val="superscript"/>
        </w:rPr>
        <w:t>1</w:t>
      </w:r>
      <w:r w:rsidRPr="00A967D7">
        <w:rPr>
          <w:rFonts w:cs="Times New Roman"/>
          <w:sz w:val="20"/>
          <w:szCs w:val="20"/>
        </w:rPr>
        <w:t xml:space="preserve">Amounts of ascorbic </w:t>
      </w:r>
      <w:r>
        <w:rPr>
          <w:rFonts w:cs="Times New Roman"/>
          <w:sz w:val="20"/>
          <w:szCs w:val="20"/>
        </w:rPr>
        <w:t xml:space="preserve">acid (23.3 mg) </w:t>
      </w:r>
      <w:r w:rsidRPr="00A967D7">
        <w:rPr>
          <w:rFonts w:cs="Times New Roman"/>
          <w:sz w:val="20"/>
          <w:szCs w:val="20"/>
        </w:rPr>
        <w:t xml:space="preserve">and citric acids </w:t>
      </w:r>
      <w:r>
        <w:rPr>
          <w:rFonts w:cs="Times New Roman"/>
          <w:sz w:val="20"/>
          <w:szCs w:val="20"/>
        </w:rPr>
        <w:t xml:space="preserve">(595 mg) </w:t>
      </w:r>
      <w:r w:rsidRPr="00A967D7">
        <w:rPr>
          <w:rFonts w:cs="Times New Roman"/>
          <w:sz w:val="20"/>
          <w:szCs w:val="20"/>
        </w:rPr>
        <w:t>used were similar to the levels in the baobab fruit</w:t>
      </w:r>
      <w:r>
        <w:rPr>
          <w:rFonts w:cs="Times New Roman"/>
          <w:sz w:val="20"/>
          <w:szCs w:val="20"/>
        </w:rPr>
        <w:t xml:space="preserve"> </w:t>
      </w:r>
    </w:p>
    <w:p w14:paraId="3083C354" w14:textId="08974A6C" w:rsidR="00D609DA" w:rsidRPr="00A967D7" w:rsidRDefault="00D609DA" w:rsidP="00D609DA">
      <w:pPr>
        <w:spacing w:after="0" w:line="240" w:lineRule="auto"/>
        <w:rPr>
          <w:rFonts w:cs="Times New Roman"/>
          <w:vertAlign w:val="superscript"/>
        </w:rPr>
      </w:pPr>
      <w:r w:rsidRPr="00A967D7">
        <w:rPr>
          <w:rFonts w:cs="Times New Roman"/>
          <w:sz w:val="20"/>
          <w:szCs w:val="20"/>
          <w:vertAlign w:val="superscript"/>
        </w:rPr>
        <w:t>2</w:t>
      </w:r>
      <w:r w:rsidRPr="00A967D7">
        <w:rPr>
          <w:rFonts w:cs="Times New Roman"/>
          <w:sz w:val="20"/>
          <w:szCs w:val="20"/>
        </w:rPr>
        <w:t>Amount of iro</w:t>
      </w:r>
      <w:r>
        <w:rPr>
          <w:rFonts w:cs="Times New Roman"/>
          <w:sz w:val="20"/>
          <w:szCs w:val="20"/>
        </w:rPr>
        <w:t xml:space="preserve">n </w:t>
      </w:r>
      <w:r w:rsidRPr="00A967D7">
        <w:rPr>
          <w:rFonts w:cs="Times New Roman"/>
          <w:sz w:val="20"/>
          <w:szCs w:val="20"/>
        </w:rPr>
        <w:t xml:space="preserve">used </w:t>
      </w:r>
      <w:r>
        <w:rPr>
          <w:rFonts w:cs="Times New Roman"/>
          <w:sz w:val="20"/>
          <w:szCs w:val="20"/>
        </w:rPr>
        <w:t xml:space="preserve">(4.7 mg) </w:t>
      </w:r>
      <w:r w:rsidRPr="00A967D7">
        <w:rPr>
          <w:rFonts w:cs="Times New Roman"/>
          <w:sz w:val="20"/>
          <w:szCs w:val="20"/>
        </w:rPr>
        <w:t>was similar to the levels in the moringa leaf powder (M)</w:t>
      </w:r>
    </w:p>
    <w:p w14:paraId="02C950AE" w14:textId="77777777" w:rsidR="00867505" w:rsidRPr="00867505" w:rsidRDefault="00867505" w:rsidP="006E2272">
      <w:pPr>
        <w:spacing w:before="240" w:after="0"/>
        <w:rPr>
          <w:rFonts w:eastAsia="Times New Roman" w:cs="Times New Roman"/>
          <w:szCs w:val="24"/>
        </w:rPr>
      </w:pPr>
    </w:p>
    <w:p w14:paraId="6FFAC896" w14:textId="77777777" w:rsidR="00D609DA" w:rsidRPr="00A967D7" w:rsidRDefault="00D609DA" w:rsidP="00D91B2C">
      <w:pPr>
        <w:pStyle w:val="Heading4"/>
      </w:pPr>
      <w:bookmarkStart w:id="115" w:name="_Toc65253602"/>
      <w:r>
        <w:t>4.2.4.</w:t>
      </w:r>
      <w:r w:rsidRPr="00A967D7">
        <w:t>4 Mineral bioaccessibility</w:t>
      </w:r>
      <w:bookmarkEnd w:id="115"/>
    </w:p>
    <w:p w14:paraId="02EE1A75" w14:textId="77777777" w:rsidR="00D609DA" w:rsidRPr="00867505" w:rsidRDefault="00D609DA" w:rsidP="0009779A">
      <w:pPr>
        <w:spacing w:after="0"/>
        <w:rPr>
          <w:i/>
          <w:iCs/>
        </w:rPr>
      </w:pPr>
      <w:r w:rsidRPr="00867505">
        <w:rPr>
          <w:i/>
          <w:iCs/>
        </w:rPr>
        <w:t>Iron bioaccessibility</w:t>
      </w:r>
    </w:p>
    <w:p w14:paraId="0379A6A4" w14:textId="5D1B3DE6" w:rsidR="00D609DA" w:rsidRDefault="00D609DA" w:rsidP="00D91B2C">
      <w:r w:rsidRPr="00A967D7">
        <w:t xml:space="preserve">In </w:t>
      </w:r>
      <w:r>
        <w:t>E</w:t>
      </w:r>
      <w:r w:rsidRPr="00A967D7">
        <w:t>xperiment 1</w:t>
      </w:r>
      <w:r>
        <w:t xml:space="preserve"> (simple porridges)</w:t>
      </w:r>
      <w:r w:rsidRPr="00A967D7">
        <w:t>, baobab fortified</w:t>
      </w:r>
      <w:r>
        <w:t>-</w:t>
      </w:r>
      <w:r w:rsidRPr="00A967D7">
        <w:t xml:space="preserve">maize porridge at </w:t>
      </w:r>
      <w:r>
        <w:t xml:space="preserve">the </w:t>
      </w:r>
      <w:r w:rsidRPr="00A967D7">
        <w:t>15:100</w:t>
      </w:r>
      <w:r>
        <w:t xml:space="preserve"> ratio</w:t>
      </w:r>
      <w:r w:rsidRPr="00A967D7">
        <w:t xml:space="preserve">, like </w:t>
      </w:r>
      <w:r>
        <w:t xml:space="preserve">the </w:t>
      </w:r>
      <w:r w:rsidRPr="00A967D7">
        <w:t>inclusion of ascorbic</w:t>
      </w:r>
      <w:r>
        <w:t xml:space="preserve"> acid</w:t>
      </w:r>
      <w:r w:rsidRPr="00A967D7">
        <w:t xml:space="preserve">+citric acid </w:t>
      </w:r>
      <w:r>
        <w:t>in</w:t>
      </w:r>
      <w:r w:rsidRPr="00A967D7">
        <w:t xml:space="preserve"> </w:t>
      </w:r>
      <w:r>
        <w:t xml:space="preserve">the </w:t>
      </w:r>
      <w:r w:rsidRPr="00A967D7">
        <w:t xml:space="preserve">maize porridge </w:t>
      </w:r>
      <w:r>
        <w:t xml:space="preserve">slightly but significantly </w:t>
      </w:r>
      <w:r w:rsidRPr="00A967D7">
        <w:t xml:space="preserve">increased </w:t>
      </w:r>
      <w:r>
        <w:t>(</w:t>
      </w:r>
      <w:r w:rsidRPr="002553AD">
        <w:rPr>
          <w:i/>
          <w:iCs/>
        </w:rPr>
        <w:t>p</w:t>
      </w:r>
      <w:r w:rsidR="00D210E8">
        <w:rPr>
          <w:i/>
          <w:iCs/>
        </w:rPr>
        <w:t>&lt;</w:t>
      </w:r>
      <w:r>
        <w:t xml:space="preserve">0.05) </w:t>
      </w:r>
      <w:r w:rsidRPr="00A967D7">
        <w:t>iron bioaccessibility</w:t>
      </w:r>
      <w:r>
        <w:t>,</w:t>
      </w:r>
      <w:r w:rsidRPr="00A967D7">
        <w:t xml:space="preserve"> in terms of percentage and amount by 19% and 16%, respectively</w:t>
      </w:r>
      <w:r>
        <w:t xml:space="preserve"> compared to maize porridge alone by pairwise comparison</w:t>
      </w:r>
      <w:r w:rsidRPr="00A967D7">
        <w:t xml:space="preserve"> (</w:t>
      </w:r>
      <w:r w:rsidRPr="00867505">
        <w:t>Table 4</w:t>
      </w:r>
      <w:r w:rsidR="00867505" w:rsidRPr="00867505">
        <w:t>.</w:t>
      </w:r>
      <w:r w:rsidR="00867505">
        <w:t>2.4</w:t>
      </w:r>
      <w:r w:rsidRPr="00A967D7">
        <w:t>)</w:t>
      </w:r>
      <w:r>
        <w:t>. However, the increase with a</w:t>
      </w:r>
      <w:r w:rsidRPr="00A967D7">
        <w:t>scorbic</w:t>
      </w:r>
      <w:r>
        <w:t xml:space="preserve"> acid</w:t>
      </w:r>
      <w:r w:rsidRPr="00A967D7">
        <w:t xml:space="preserve">+citric acid inclusion </w:t>
      </w:r>
      <w:r>
        <w:t>was rather higher, 27% for both</w:t>
      </w:r>
      <w:r w:rsidRPr="00A967D7">
        <w:t xml:space="preserve"> percentage and </w:t>
      </w:r>
      <w:r w:rsidR="00867505">
        <w:t>amount of</w:t>
      </w:r>
      <w:r w:rsidRPr="00A967D7">
        <w:t xml:space="preserve"> bioaccessible iron</w:t>
      </w:r>
      <w:r>
        <w:t>, probably due to the much lower total phenolics content and no tannins being in the porridge</w:t>
      </w:r>
      <w:r w:rsidRPr="00A967D7">
        <w:t>.</w:t>
      </w:r>
      <w:r>
        <w:t xml:space="preserve"> The ascorbic acid:iron molar ratio (3.6:1) of the two porridges was higher than </w:t>
      </w:r>
      <w:r w:rsidR="002553AD">
        <w:t xml:space="preserve">ascorbic acid:iron molar ratio </w:t>
      </w:r>
      <w:r>
        <w:t>2:1, which has been reported to improve iron bioavailability from cereal-based foods (Troesch et al., 2011)</w:t>
      </w:r>
      <w:r w:rsidR="00867505">
        <w:t>.</w:t>
      </w:r>
      <w:r>
        <w:t xml:space="preserve"> However, a much higher ratio, 40:1 </w:t>
      </w:r>
      <w:r w:rsidR="001D20B0">
        <w:t>is considered t</w:t>
      </w:r>
      <w:r>
        <w:t>o be optimal for improving iron bioavailability from cereal-based meals with high levels of iron bioavailability inhibitors (Teucher et al., 2004), such as the case with baobab fortified</w:t>
      </w:r>
      <w:r w:rsidR="00867505">
        <w:t xml:space="preserve">-maize </w:t>
      </w:r>
      <w:r>
        <w:t xml:space="preserve">porridge. This high ratio may only be required in the absence of other organic acids </w:t>
      </w:r>
      <w:r w:rsidR="00C4638C">
        <w:t xml:space="preserve">or food components </w:t>
      </w:r>
      <w:r>
        <w:t>that enhance iron bioavailability.</w:t>
      </w:r>
    </w:p>
    <w:p w14:paraId="6CFA9487" w14:textId="77777777" w:rsidR="00D609DA" w:rsidRDefault="00D609DA" w:rsidP="00867505">
      <w:pPr>
        <w:spacing w:after="0"/>
      </w:pPr>
    </w:p>
    <w:p w14:paraId="642103A8" w14:textId="2F81C7F9" w:rsidR="00D609DA" w:rsidRPr="003E13FE" w:rsidRDefault="00D609DA" w:rsidP="00D91B2C">
      <w:pPr>
        <w:rPr>
          <w:lang w:val="en-ZA"/>
        </w:rPr>
      </w:pPr>
      <w:r>
        <w:t>With the complex porridges</w:t>
      </w:r>
      <w:r w:rsidRPr="00537CAD">
        <w:t xml:space="preserve"> </w:t>
      </w:r>
      <w:r>
        <w:t>in E</w:t>
      </w:r>
      <w:r w:rsidRPr="00A967D7">
        <w:t>xperiment 2, baobab fortification</w:t>
      </w:r>
      <w:r>
        <w:t xml:space="preserve"> </w:t>
      </w:r>
      <w:r w:rsidRPr="00A967D7">
        <w:t xml:space="preserve">of </w:t>
      </w:r>
      <w:r>
        <w:t>the conventionally iron (FeSO</w:t>
      </w:r>
      <w:r w:rsidRPr="00E302F3">
        <w:rPr>
          <w:vertAlign w:val="subscript"/>
        </w:rPr>
        <w:t>4</w:t>
      </w:r>
      <w:r>
        <w:t>) fortified-</w:t>
      </w:r>
      <w:r w:rsidRPr="00A967D7">
        <w:t>maize</w:t>
      </w:r>
      <w:r>
        <w:t>-based</w:t>
      </w:r>
      <w:r w:rsidRPr="00A967D7">
        <w:t xml:space="preserve"> porridge</w:t>
      </w:r>
      <w:r>
        <w:t>,</w:t>
      </w:r>
      <w:r w:rsidRPr="00A967D7">
        <w:t xml:space="preserve"> containing</w:t>
      </w:r>
      <w:r>
        <w:t xml:space="preserve"> plant food </w:t>
      </w:r>
      <w:r w:rsidRPr="00A967D7">
        <w:t>provitamin A source</w:t>
      </w:r>
      <w:r>
        <w:t>s</w:t>
      </w:r>
      <w:r w:rsidRPr="00A967D7">
        <w:t xml:space="preserve">, increased the percentage and </w:t>
      </w:r>
      <w:r w:rsidR="00867505">
        <w:t>amount of</w:t>
      </w:r>
      <w:r w:rsidRPr="00A967D7">
        <w:t xml:space="preserve"> bioaccessible iron </w:t>
      </w:r>
      <w:r>
        <w:t>the most (</w:t>
      </w:r>
      <w:r w:rsidRPr="00C71F7E">
        <w:rPr>
          <w:i/>
          <w:iCs/>
        </w:rPr>
        <w:t>p</w:t>
      </w:r>
      <w:r w:rsidR="00F52B07">
        <w:t>&lt;</w:t>
      </w:r>
      <w:r>
        <w:t xml:space="preserve">0.05), </w:t>
      </w:r>
      <w:r w:rsidRPr="00A967D7">
        <w:t>by approximately 107% and 11</w:t>
      </w:r>
      <w:r>
        <w:t>1</w:t>
      </w:r>
      <w:r w:rsidRPr="00A967D7">
        <w:t>%, respectively</w:t>
      </w:r>
      <w:r>
        <w:t xml:space="preserve"> compared to the FeSO</w:t>
      </w:r>
      <w:r w:rsidRPr="00E302F3">
        <w:rPr>
          <w:vertAlign w:val="subscript"/>
        </w:rPr>
        <w:t>4</w:t>
      </w:r>
      <w:r>
        <w:t xml:space="preserve"> fortified-maize-based porridge control </w:t>
      </w:r>
      <w:r w:rsidRPr="00A967D7">
        <w:t>(</w:t>
      </w:r>
      <w:r w:rsidRPr="00867505">
        <w:t>Table</w:t>
      </w:r>
      <w:r w:rsidR="00867505" w:rsidRPr="00867505">
        <w:t xml:space="preserve"> 4.2.</w:t>
      </w:r>
      <w:r w:rsidRPr="00867505">
        <w:t>4)</w:t>
      </w:r>
      <w:r w:rsidRPr="00A967D7">
        <w:t>.</w:t>
      </w:r>
      <w:r>
        <w:t xml:space="preserve"> The i</w:t>
      </w:r>
      <w:r w:rsidRPr="00A967D7">
        <w:t xml:space="preserve">nclusion of </w:t>
      </w:r>
      <w:r>
        <w:t>ascorbic acid in</w:t>
      </w:r>
      <w:r w:rsidRPr="00A967D7">
        <w:t xml:space="preserve"> the </w:t>
      </w:r>
      <w:r>
        <w:t>FeSO</w:t>
      </w:r>
      <w:r w:rsidRPr="00E302F3">
        <w:rPr>
          <w:vertAlign w:val="subscript"/>
        </w:rPr>
        <w:t>4</w:t>
      </w:r>
      <w:r>
        <w:t xml:space="preserve"> fortified-</w:t>
      </w:r>
      <w:r w:rsidRPr="00A967D7">
        <w:t>maize</w:t>
      </w:r>
      <w:r>
        <w:t>-based</w:t>
      </w:r>
      <w:r w:rsidRPr="00A967D7">
        <w:t xml:space="preserve"> porridge</w:t>
      </w:r>
      <w:r>
        <w:t>, at approximately twice the level present in baobab fruit, however, resulted in a</w:t>
      </w:r>
      <w:r w:rsidRPr="00A967D7">
        <w:t xml:space="preserve"> </w:t>
      </w:r>
      <w:r>
        <w:t xml:space="preserve">rather slightly lower increase in </w:t>
      </w:r>
      <w:r w:rsidRPr="00A967D7">
        <w:t xml:space="preserve">both percentage and </w:t>
      </w:r>
      <w:r w:rsidR="00867505">
        <w:t>amount of</w:t>
      </w:r>
      <w:r w:rsidRPr="00A967D7">
        <w:t xml:space="preserve"> bioaccessible iron</w:t>
      </w:r>
      <w:r>
        <w:t xml:space="preserve"> (93% for both). The </w:t>
      </w:r>
      <w:r w:rsidR="00867505">
        <w:t>higher</w:t>
      </w:r>
      <w:r>
        <w:t xml:space="preserve"> improvement in iron bioaccessibility with baobab fortification of FeSO</w:t>
      </w:r>
      <w:r w:rsidRPr="00E302F3">
        <w:rPr>
          <w:vertAlign w:val="subscript"/>
        </w:rPr>
        <w:t>4</w:t>
      </w:r>
      <w:r>
        <w:t xml:space="preserve"> fortified-maize-based porridge was likely due to the presence of high levels of citric acid in baobab as well as ascorbic acid (</w:t>
      </w:r>
      <w:r w:rsidRPr="00867505">
        <w:t xml:space="preserve">Table </w:t>
      </w:r>
      <w:r w:rsidR="00867505" w:rsidRPr="00867505">
        <w:t>4.2.</w:t>
      </w:r>
      <w:r w:rsidRPr="00867505">
        <w:t>3)</w:t>
      </w:r>
      <w:r>
        <w:t xml:space="preserve">. Citric acid inclusion in pearl millet porridge was also found to increase both the percentage and </w:t>
      </w:r>
      <w:r w:rsidR="00867505">
        <w:t>amount of</w:t>
      </w:r>
      <w:r>
        <w:t xml:space="preserve"> bioaccessible iron (</w:t>
      </w:r>
      <w:r w:rsidR="00867505">
        <w:t>C</w:t>
      </w:r>
      <w:r>
        <w:t xml:space="preserve">hapter </w:t>
      </w:r>
      <w:r w:rsidR="00897218">
        <w:t>4.</w:t>
      </w:r>
      <w:r>
        <w:t xml:space="preserve">1).  In support of this, </w:t>
      </w:r>
      <w:r w:rsidRPr="007945FC">
        <w:t xml:space="preserve">Hemalatha et al. </w:t>
      </w:r>
      <w:r>
        <w:t>(</w:t>
      </w:r>
      <w:r w:rsidRPr="007945FC">
        <w:t>2005</w:t>
      </w:r>
      <w:r>
        <w:t>) also found that c</w:t>
      </w:r>
      <w:r w:rsidRPr="007945FC">
        <w:t xml:space="preserve">itric acid </w:t>
      </w:r>
      <w:r>
        <w:t xml:space="preserve">inclusion in </w:t>
      </w:r>
      <w:r w:rsidRPr="007945FC">
        <w:t>pressure cooked, and uncooked rice substantially increase</w:t>
      </w:r>
      <w:r>
        <w:t>d</w:t>
      </w:r>
      <w:r w:rsidRPr="007945FC">
        <w:t xml:space="preserve"> the percentage iro</w:t>
      </w:r>
      <w:r>
        <w:t>n bioaccessibility</w:t>
      </w:r>
      <w:r w:rsidRPr="007945FC">
        <w:t xml:space="preserve"> </w:t>
      </w:r>
      <w:r>
        <w:t>compared to unfortified rice</w:t>
      </w:r>
      <w:r w:rsidRPr="007945FC">
        <w:t>.</w:t>
      </w:r>
      <w:r>
        <w:t xml:space="preserve"> </w:t>
      </w:r>
      <w:r w:rsidR="00897218">
        <w:t>B</w:t>
      </w:r>
      <w:r>
        <w:t xml:space="preserve">aobab increased iron bioaccessibility, notwithstanding the fact that </w:t>
      </w:r>
      <w:r w:rsidR="00897218">
        <w:t xml:space="preserve">the </w:t>
      </w:r>
      <w:r>
        <w:t xml:space="preserve">baobab fortified-maize and </w:t>
      </w:r>
      <w:r w:rsidR="00562FD9">
        <w:t>-</w:t>
      </w:r>
      <w:r>
        <w:t>FeSO</w:t>
      </w:r>
      <w:r w:rsidRPr="00E302F3">
        <w:rPr>
          <w:vertAlign w:val="subscript"/>
        </w:rPr>
        <w:t>4</w:t>
      </w:r>
      <w:r>
        <w:t xml:space="preserve"> fortified-maize-based porridge formulations were much higher in total phenolics and tannins than their controls (</w:t>
      </w:r>
      <w:r w:rsidRPr="00867505">
        <w:t xml:space="preserve">Table </w:t>
      </w:r>
      <w:r w:rsidR="00867505" w:rsidRPr="00867505">
        <w:t>4.2.</w:t>
      </w:r>
      <w:r w:rsidRPr="00867505">
        <w:t>2)</w:t>
      </w:r>
      <w:r w:rsidRPr="00A967D7">
        <w:t xml:space="preserve">. </w:t>
      </w:r>
      <w:r w:rsidR="000510EB">
        <w:t>As previously stated, t</w:t>
      </w:r>
      <w:r w:rsidRPr="00A967D7">
        <w:t xml:space="preserve">hese organic acids are reported to </w:t>
      </w:r>
      <w:r w:rsidR="000510EB">
        <w:t>overcome</w:t>
      </w:r>
      <w:r w:rsidRPr="00A967D7">
        <w:t xml:space="preserve"> the limiting effect of iron bioavailability inhibitors such as phytate and polyphenols in a food matrix</w:t>
      </w:r>
      <w:r>
        <w:t xml:space="preserve"> by maintaining the mineral in a soluble and absorbable form </w:t>
      </w:r>
      <w:r w:rsidRPr="00A967D7">
        <w:t>(</w:t>
      </w:r>
      <w:r w:rsidR="000510EB" w:rsidRPr="000D7DDF">
        <w:rPr>
          <w:noProof/>
        </w:rPr>
        <w:t>Lönnerdal</w:t>
      </w:r>
      <w:r w:rsidR="000510EB">
        <w:rPr>
          <w:noProof/>
        </w:rPr>
        <w:t xml:space="preserve">, </w:t>
      </w:r>
      <w:r w:rsidR="000510EB" w:rsidRPr="000D7DDF">
        <w:rPr>
          <w:noProof/>
        </w:rPr>
        <w:t>2000</w:t>
      </w:r>
      <w:r w:rsidR="000510EB">
        <w:t xml:space="preserve">; </w:t>
      </w:r>
      <w:r w:rsidR="000510EB" w:rsidRPr="000D7DDF">
        <w:rPr>
          <w:rFonts w:cs="Times New Roman"/>
          <w:szCs w:val="24"/>
          <w:shd w:val="clear" w:color="auto" w:fill="FFFFFF"/>
        </w:rPr>
        <w:t>Hurrell</w:t>
      </w:r>
      <w:r w:rsidR="000510EB">
        <w:rPr>
          <w:rFonts w:cs="Times New Roman"/>
          <w:szCs w:val="24"/>
          <w:shd w:val="clear" w:color="auto" w:fill="FFFFFF"/>
        </w:rPr>
        <w:t xml:space="preserve"> </w:t>
      </w:r>
      <w:r w:rsidR="000510EB" w:rsidRPr="000D7DDF">
        <w:rPr>
          <w:rFonts w:cs="Times New Roman"/>
          <w:szCs w:val="24"/>
          <w:shd w:val="clear" w:color="auto" w:fill="FFFFFF"/>
        </w:rPr>
        <w:t>&amp; Egli, 2010</w:t>
      </w:r>
      <w:r w:rsidRPr="00A967D7">
        <w:t>)</w:t>
      </w:r>
      <w:r>
        <w:t xml:space="preserve">. </w:t>
      </w:r>
      <w:r w:rsidR="00562FD9">
        <w:t xml:space="preserve">Also, ascorbic acid </w:t>
      </w:r>
      <w:r w:rsidR="00545C8B">
        <w:t xml:space="preserve">can </w:t>
      </w:r>
      <w:r w:rsidR="00562FD9">
        <w:t>enhance iron bioavailability primarily by reducing insoluble Fe</w:t>
      </w:r>
      <w:r w:rsidR="00562FD9" w:rsidRPr="00545C8B">
        <w:rPr>
          <w:vertAlign w:val="superscript"/>
        </w:rPr>
        <w:t>3+</w:t>
      </w:r>
      <w:r w:rsidR="00562FD9">
        <w:t xml:space="preserve"> to </w:t>
      </w:r>
      <w:r w:rsidR="00545C8B">
        <w:t xml:space="preserve">soluble </w:t>
      </w:r>
      <w:r w:rsidR="00562FD9">
        <w:t>Fe</w:t>
      </w:r>
      <w:r w:rsidR="00562FD9" w:rsidRPr="00545C8B">
        <w:rPr>
          <w:vertAlign w:val="superscript"/>
        </w:rPr>
        <w:t>2+</w:t>
      </w:r>
      <w:r w:rsidR="00545C8B" w:rsidRPr="00545C8B">
        <w:t xml:space="preserve"> (</w:t>
      </w:r>
      <w:r w:rsidR="00545C8B" w:rsidRPr="000D7DDF">
        <w:rPr>
          <w:rFonts w:cs="Times New Roman"/>
          <w:szCs w:val="24"/>
          <w:shd w:val="clear" w:color="auto" w:fill="FFFFFF"/>
        </w:rPr>
        <w:t>Hurrell</w:t>
      </w:r>
      <w:r w:rsidR="00545C8B">
        <w:rPr>
          <w:rFonts w:cs="Times New Roman"/>
          <w:szCs w:val="24"/>
          <w:shd w:val="clear" w:color="auto" w:fill="FFFFFF"/>
        </w:rPr>
        <w:t xml:space="preserve"> </w:t>
      </w:r>
      <w:r w:rsidR="00545C8B" w:rsidRPr="000D7DDF">
        <w:rPr>
          <w:rFonts w:cs="Times New Roman"/>
          <w:szCs w:val="24"/>
          <w:shd w:val="clear" w:color="auto" w:fill="FFFFFF"/>
        </w:rPr>
        <w:t>&amp; Egli, 2010</w:t>
      </w:r>
      <w:r w:rsidR="00545C8B" w:rsidRPr="00545C8B">
        <w:t>)</w:t>
      </w:r>
      <w:r w:rsidR="00562FD9">
        <w:t>.</w:t>
      </w:r>
      <w:r w:rsidR="00545C8B">
        <w:t xml:space="preserve"> </w:t>
      </w:r>
      <w:r>
        <w:t xml:space="preserve">The findings of this study </w:t>
      </w:r>
      <w:r w:rsidR="00897218">
        <w:t xml:space="preserve">are in </w:t>
      </w:r>
      <w:r>
        <w:t>agree</w:t>
      </w:r>
      <w:r w:rsidR="00897218">
        <w:t>ment</w:t>
      </w:r>
      <w:r>
        <w:t xml:space="preserve"> with those of </w:t>
      </w:r>
      <w:r w:rsidR="00867505">
        <w:t>C</w:t>
      </w:r>
      <w:r>
        <w:t xml:space="preserve">hapter </w:t>
      </w:r>
      <w:r w:rsidR="00897218">
        <w:t>4.</w:t>
      </w:r>
      <w:r>
        <w:t xml:space="preserve">1 where baobab fortification of pearl millet porridge at a 15:100 ratio also increased the iron bioaccessibility.  </w:t>
      </w:r>
      <w:r w:rsidRPr="00A967D7">
        <w:t>Van der Merwe et al. (2019)</w:t>
      </w:r>
      <w:r>
        <w:t xml:space="preserve"> also showed that</w:t>
      </w:r>
      <w:r w:rsidRPr="00A967D7" w:rsidDel="003E7320">
        <w:t xml:space="preserve"> </w:t>
      </w:r>
      <w:r>
        <w:t xml:space="preserve">baobab fortification of a pearl millet-based porridge increased the iron bioaccessibility. </w:t>
      </w:r>
      <w:r w:rsidR="00867505">
        <w:t>Therefore, t</w:t>
      </w:r>
      <w:r>
        <w:t>h</w:t>
      </w:r>
      <w:r w:rsidR="00867505">
        <w:t>is</w:t>
      </w:r>
      <w:r>
        <w:t xml:space="preserve"> study confirms that baobab fruit, when included </w:t>
      </w:r>
      <w:r w:rsidR="00897218">
        <w:t xml:space="preserve">at a high </w:t>
      </w:r>
      <w:r>
        <w:t xml:space="preserve">enough </w:t>
      </w:r>
      <w:r w:rsidR="00545C8B">
        <w:t xml:space="preserve">amount </w:t>
      </w:r>
      <w:r>
        <w:t>does in fact improve iron bioaccessibility from a cereal-based food.</w:t>
      </w:r>
    </w:p>
    <w:p w14:paraId="61962211" w14:textId="77777777" w:rsidR="00D609DA" w:rsidRDefault="00D609DA" w:rsidP="00867505">
      <w:pPr>
        <w:spacing w:after="0"/>
      </w:pPr>
    </w:p>
    <w:p w14:paraId="57A5BE71" w14:textId="2E54F382" w:rsidR="00D609DA" w:rsidRDefault="00D609DA" w:rsidP="00D91B2C">
      <w:r w:rsidRPr="00A967D7">
        <w:t xml:space="preserve">However, it is noteworthy that the positive effect of baobab fruit in </w:t>
      </w:r>
      <w:r>
        <w:t>enhancing</w:t>
      </w:r>
      <w:r w:rsidRPr="00A967D7">
        <w:t xml:space="preserve"> iron bioaccessibility in </w:t>
      </w:r>
      <w:r>
        <w:t xml:space="preserve">the complex maize-based porridge </w:t>
      </w:r>
      <w:r w:rsidR="00867505">
        <w:t>formulation</w:t>
      </w:r>
      <w:r>
        <w:t xml:space="preserve"> </w:t>
      </w:r>
      <w:r w:rsidR="00897218">
        <w:t xml:space="preserve">(Experiment 2) </w:t>
      </w:r>
      <w:r w:rsidRPr="00A967D7">
        <w:t xml:space="preserve">was </w:t>
      </w:r>
      <w:r>
        <w:t xml:space="preserve">much </w:t>
      </w:r>
      <w:r w:rsidRPr="00A967D7">
        <w:t>greater</w:t>
      </w:r>
      <w:r w:rsidR="00897218">
        <w:t xml:space="preserve"> </w:t>
      </w:r>
      <w:r w:rsidRPr="00A967D7">
        <w:t xml:space="preserve">than in </w:t>
      </w:r>
      <w:r>
        <w:t xml:space="preserve">the simple maize porridge </w:t>
      </w:r>
      <w:r w:rsidR="00867505">
        <w:t>formulation</w:t>
      </w:r>
      <w:r>
        <w:t xml:space="preserve"> (E</w:t>
      </w:r>
      <w:r w:rsidRPr="00A967D7">
        <w:t>xperiment 1</w:t>
      </w:r>
      <w:r>
        <w:t>)</w:t>
      </w:r>
      <w:r w:rsidRPr="00A967D7">
        <w:t>.</w:t>
      </w:r>
      <w:r>
        <w:t xml:space="preserve"> This is presumably because the organic acids in baobab fruit also enhanced the solubility of the added iron (as FeSO</w:t>
      </w:r>
      <w:r w:rsidRPr="00BA4387">
        <w:rPr>
          <w:vertAlign w:val="subscript"/>
        </w:rPr>
        <w:t>4</w:t>
      </w:r>
      <w:r>
        <w:t>), thereby preventing the iron ions from the chelating effect of phytate in the food matrix. This suggests that the full potential of baobab fruit fortification and for that matter organic acid inclusion will only be maximised in the presence of substantial levels of potentially available iron in the food matrix. In support of this, baobab fortified-pearl millet porridge (</w:t>
      </w:r>
      <w:r w:rsidR="00867505">
        <w:t>C</w:t>
      </w:r>
      <w:r>
        <w:t xml:space="preserve">hapter </w:t>
      </w:r>
      <w:r w:rsidR="00897218">
        <w:t>4.</w:t>
      </w:r>
      <w:r>
        <w:t>1) increased iron bioaccessibility</w:t>
      </w:r>
      <w:r w:rsidR="00545DF0">
        <w:t>,</w:t>
      </w:r>
      <w:r>
        <w:t xml:space="preserve"> in terms of percentage and amount by approximately </w:t>
      </w:r>
      <w:r w:rsidR="00545DF0">
        <w:t>50%</w:t>
      </w:r>
      <w:r>
        <w:t xml:space="preserve"> compared to </w:t>
      </w:r>
      <w:r w:rsidR="00897218">
        <w:t xml:space="preserve">simple </w:t>
      </w:r>
      <w:r>
        <w:t>baobab fortified</w:t>
      </w:r>
      <w:r w:rsidR="00867505">
        <w:t xml:space="preserve"> </w:t>
      </w:r>
      <w:r>
        <w:t xml:space="preserve">maize porridge (Experiment 1), notwithstanding </w:t>
      </w:r>
      <w:r w:rsidR="00545DF0">
        <w:t>the millet porridge’s</w:t>
      </w:r>
      <w:r>
        <w:t xml:space="preserve"> relatively higher total phenolics content. The baobab fortified-pearl millet porridge also contained higher levels </w:t>
      </w:r>
      <w:r w:rsidRPr="00D76375">
        <w:t>(8.6 mg/100 g)</w:t>
      </w:r>
      <w:r>
        <w:t xml:space="preserve"> of iron compared to the fortified</w:t>
      </w:r>
      <w:r w:rsidR="00867505">
        <w:t xml:space="preserve"> </w:t>
      </w:r>
      <w:r>
        <w:t>simple maize porridge (2.0 mg/100 g). This could have contributed to its relatively greater effect.</w:t>
      </w:r>
    </w:p>
    <w:p w14:paraId="0C87CDD8" w14:textId="77777777" w:rsidR="00D609DA" w:rsidRDefault="00D609DA" w:rsidP="00F20877">
      <w:pPr>
        <w:spacing w:after="0"/>
      </w:pPr>
    </w:p>
    <w:p w14:paraId="50F0944F" w14:textId="1611219F" w:rsidR="00D609DA" w:rsidRDefault="00D609DA" w:rsidP="00D91B2C">
      <w:r>
        <w:t xml:space="preserve">The presence of carrot and mango in the food matrix of the maize-based porridge formulations could have also contributed to the greater improvement in iron bioaccessibility in Experiment 2. </w:t>
      </w:r>
      <w:r w:rsidR="0005734B">
        <w:t>As stated, c</w:t>
      </w:r>
      <w:r w:rsidRPr="00A967D7">
        <w:t xml:space="preserve">arrot and mango </w:t>
      </w:r>
      <w:r w:rsidR="0005734B">
        <w:t>have a</w:t>
      </w:r>
      <w:r w:rsidRPr="00A967D7">
        <w:t xml:space="preserve"> </w:t>
      </w:r>
      <w:r>
        <w:t>high</w:t>
      </w:r>
      <w:r w:rsidRPr="00A967D7">
        <w:t xml:space="preserve"> </w:t>
      </w:r>
      <w:r w:rsidR="0005734B">
        <w:t>content</w:t>
      </w:r>
      <w:r>
        <w:t xml:space="preserve"> </w:t>
      </w:r>
      <w:r w:rsidRPr="00A967D7">
        <w:t xml:space="preserve">of β-carotene. </w:t>
      </w:r>
      <w:r>
        <w:t xml:space="preserve">Beta-carotene has been shown to </w:t>
      </w:r>
      <w:r w:rsidRPr="00A967D7">
        <w:t>form a soluble complex with iron in the intestinal lumen, thus preventing</w:t>
      </w:r>
      <w:r>
        <w:t xml:space="preserve"> it</w:t>
      </w:r>
      <w:r w:rsidRPr="00A967D7">
        <w:t xml:space="preserve"> from the chelating effects of phytate and polyphenols </w:t>
      </w:r>
      <w:r>
        <w:t>(</w:t>
      </w:r>
      <w:r w:rsidRPr="00A967D7">
        <w:t>Garcia-Casal et al.</w:t>
      </w:r>
      <w:r>
        <w:t xml:space="preserve">, </w:t>
      </w:r>
      <w:r w:rsidRPr="00A967D7">
        <w:t>1998)</w:t>
      </w:r>
      <w:r>
        <w:t>. In support of this, the study of Van der Merwe et al. (2019) found that baobab fruit fortification of pearl millet-based porridge containing carrot and mango substantially increased percentage and total bioaccessible iron, by 98–159% and 126–267%, respectively compared to the pearl millet-based porridge alone.</w:t>
      </w:r>
    </w:p>
    <w:p w14:paraId="3876876C" w14:textId="77777777" w:rsidR="00D609DA" w:rsidRDefault="00D609DA" w:rsidP="00867505">
      <w:pPr>
        <w:spacing w:after="0"/>
      </w:pPr>
    </w:p>
    <w:p w14:paraId="0F296372" w14:textId="153D3288" w:rsidR="00412D69" w:rsidRDefault="00D609DA" w:rsidP="00D91B2C">
      <w:r>
        <w:t xml:space="preserve">Although, in </w:t>
      </w:r>
      <w:r w:rsidR="0005734B">
        <w:t xml:space="preserve">the </w:t>
      </w:r>
      <w:r w:rsidR="00D5016D">
        <w:rPr>
          <w:i/>
          <w:iCs/>
        </w:rPr>
        <w:t>i</w:t>
      </w:r>
      <w:r w:rsidR="00D5016D" w:rsidRPr="00D5016D">
        <w:rPr>
          <w:i/>
          <w:iCs/>
        </w:rPr>
        <w:t>n vitro</w:t>
      </w:r>
      <w:r>
        <w:t xml:space="preserve"> dialysability assay, the exact bioaccessible mineral is not directly comparable to bioavailable mineral in humans, its prediction of the direction of effect is </w:t>
      </w:r>
      <w:r w:rsidR="00867505">
        <w:t>likely</w:t>
      </w:r>
      <w:r>
        <w:t xml:space="preserve"> reliable (</w:t>
      </w:r>
      <w:r w:rsidRPr="00A967D7">
        <w:t>Fairweather-Tait et al.</w:t>
      </w:r>
      <w:r>
        <w:t>,</w:t>
      </w:r>
      <w:r w:rsidRPr="00A967D7">
        <w:t xml:space="preserve"> 2005)</w:t>
      </w:r>
      <w:r>
        <w:t>.</w:t>
      </w:r>
      <w:r w:rsidRPr="00A967D7">
        <w:t xml:space="preserve"> Thus, baobab fruit fortification of maize porridge </w:t>
      </w:r>
      <w:r w:rsidR="0005734B">
        <w:t xml:space="preserve">seems likely to </w:t>
      </w:r>
      <w:r w:rsidRPr="00A967D7">
        <w:t xml:space="preserve">have a positive effect on iron bioavailability. This positive effect </w:t>
      </w:r>
      <w:r>
        <w:t>could</w:t>
      </w:r>
      <w:r w:rsidRPr="00A967D7">
        <w:t xml:space="preserve"> potentially</w:t>
      </w:r>
      <w:r>
        <w:t xml:space="preserve"> slightly </w:t>
      </w:r>
      <w:r w:rsidRPr="00A967D7">
        <w:t>improve the contribution of</w:t>
      </w:r>
      <w:r>
        <w:t xml:space="preserve"> </w:t>
      </w:r>
      <w:r w:rsidRPr="00A967D7">
        <w:t>iron in 100 g porridge</w:t>
      </w:r>
      <w:r w:rsidR="00867505">
        <w:t>,</w:t>
      </w:r>
      <w:r w:rsidRPr="00A967D7">
        <w:t xml:space="preserve"> </w:t>
      </w:r>
      <w:r>
        <w:t xml:space="preserve">dry basis </w:t>
      </w:r>
      <w:r w:rsidRPr="00A967D7">
        <w:t xml:space="preserve">to the absolute requirement (AR) for </w:t>
      </w:r>
      <w:r>
        <w:t xml:space="preserve">adult </w:t>
      </w:r>
      <w:r w:rsidRPr="00A967D7">
        <w:t xml:space="preserve">women </w:t>
      </w:r>
      <w:r>
        <w:t>(19–50 years)</w:t>
      </w:r>
      <w:r w:rsidR="00867505">
        <w:t>.</w:t>
      </w:r>
      <w:r w:rsidRPr="00A967D7">
        <w:t xml:space="preserve"> </w:t>
      </w:r>
      <w:r>
        <w:t xml:space="preserve">Thus, the contribution to the iron AR could increase from </w:t>
      </w:r>
      <w:r w:rsidR="0005734B">
        <w:t>approximately 40</w:t>
      </w:r>
      <w:r>
        <w:t>% for unfortified porridge to 46% for the baobab fortified</w:t>
      </w:r>
      <w:r w:rsidR="00867505">
        <w:t xml:space="preserve"> </w:t>
      </w:r>
      <w:r>
        <w:t xml:space="preserve">porridge and </w:t>
      </w:r>
      <w:r w:rsidR="0005734B">
        <w:t xml:space="preserve">to </w:t>
      </w:r>
      <w:r>
        <w:t xml:space="preserve">50% for </w:t>
      </w:r>
      <w:r w:rsidRPr="00A967D7">
        <w:t xml:space="preserve">maize porridge containing ascorbic+citric acid </w:t>
      </w:r>
      <w:r>
        <w:t>(E</w:t>
      </w:r>
      <w:r w:rsidRPr="00A967D7">
        <w:t>xperiment 1</w:t>
      </w:r>
      <w:r>
        <w:t>)</w:t>
      </w:r>
      <w:r w:rsidRPr="00A967D7">
        <w:t xml:space="preserve"> (</w:t>
      </w:r>
      <w:r w:rsidRPr="00867505">
        <w:t xml:space="preserve">Table </w:t>
      </w:r>
      <w:r w:rsidR="00867505" w:rsidRPr="00867505">
        <w:t>4.2.</w:t>
      </w:r>
      <w:r w:rsidRPr="00867505">
        <w:t>4</w:t>
      </w:r>
      <w:r w:rsidRPr="00A967D7">
        <w:t>)</w:t>
      </w:r>
      <w:r>
        <w:t>.</w:t>
      </w:r>
      <w:r w:rsidDel="00C41694">
        <w:t xml:space="preserve"> </w:t>
      </w:r>
      <w:r>
        <w:t>However,</w:t>
      </w:r>
      <w:r w:rsidRPr="00A967D7">
        <w:t xml:space="preserve"> </w:t>
      </w:r>
      <w:r w:rsidR="00412D69">
        <w:t>baobab fortification or ascorbic acid inclusion in the FeSO</w:t>
      </w:r>
      <w:r w:rsidR="00412D69" w:rsidRPr="00E302F3">
        <w:rPr>
          <w:vertAlign w:val="subscript"/>
        </w:rPr>
        <w:t>4</w:t>
      </w:r>
      <w:r w:rsidR="00412D69">
        <w:t xml:space="preserve"> fortified-maize-based porridge </w:t>
      </w:r>
      <w:r w:rsidR="00412D69" w:rsidRPr="00A967D7">
        <w:t xml:space="preserve">may </w:t>
      </w:r>
      <w:r w:rsidR="00412D69">
        <w:t>make a much greater difference, potentially increasing</w:t>
      </w:r>
      <w:r w:rsidR="00412D69" w:rsidRPr="00A967D7">
        <w:t xml:space="preserve"> the contribution of</w:t>
      </w:r>
      <w:r w:rsidR="00412D69">
        <w:t xml:space="preserve"> </w:t>
      </w:r>
      <w:r w:rsidR="00412D69" w:rsidRPr="00A967D7">
        <w:t xml:space="preserve">iron </w:t>
      </w:r>
      <w:r w:rsidR="00412D69" w:rsidRPr="00763094">
        <w:t xml:space="preserve">to the AR </w:t>
      </w:r>
      <w:r w:rsidR="00412D69">
        <w:t xml:space="preserve">from approximately </w:t>
      </w:r>
      <w:r w:rsidR="00412D69" w:rsidRPr="00763094">
        <w:t>11</w:t>
      </w:r>
      <w:r w:rsidR="00412D69">
        <w:t>9</w:t>
      </w:r>
      <w:r w:rsidR="00412D69" w:rsidRPr="00763094">
        <w:t>%</w:t>
      </w:r>
      <w:r w:rsidR="00412D69">
        <w:t xml:space="preserve"> to 251% </w:t>
      </w:r>
      <w:r w:rsidR="00412D69" w:rsidRPr="00763094">
        <w:t xml:space="preserve">and </w:t>
      </w:r>
      <w:r w:rsidR="00412D69">
        <w:t>229%,</w:t>
      </w:r>
      <w:r w:rsidR="00412D69" w:rsidRPr="00763094">
        <w:t xml:space="preserve"> respectively</w:t>
      </w:r>
      <w:r w:rsidR="00412D69" w:rsidRPr="00A967D7">
        <w:t xml:space="preserve"> </w:t>
      </w:r>
      <w:r w:rsidR="00412D69">
        <w:t>(E</w:t>
      </w:r>
      <w:r w:rsidR="00412D69" w:rsidRPr="00A967D7">
        <w:t>xperiment 2</w:t>
      </w:r>
      <w:r w:rsidR="00412D69">
        <w:t xml:space="preserve">). As stated, this was </w:t>
      </w:r>
      <w:r w:rsidR="009E7815">
        <w:t>highly likely</w:t>
      </w:r>
      <w:r w:rsidR="00412D69">
        <w:t xml:space="preserve"> mainly due to the conventional iron fortification of the porridges, and hence, presence of more iron in the food matrix coupled with the enhancing effect of ascorbic and citric acid in baobab </w:t>
      </w:r>
      <w:r w:rsidR="00947C5A">
        <w:t>or</w:t>
      </w:r>
      <w:r w:rsidR="00412D69">
        <w:t xml:space="preserve"> the ascorbic acid </w:t>
      </w:r>
      <w:r w:rsidR="00C97453">
        <w:t xml:space="preserve">inclusion </w:t>
      </w:r>
      <w:r w:rsidR="000432A4">
        <w:t xml:space="preserve">plus the possible enhancing effect of </w:t>
      </w:r>
      <w:r w:rsidR="000432A4" w:rsidRPr="00A967D7">
        <w:t>β-carotene</w:t>
      </w:r>
      <w:r w:rsidR="000432A4">
        <w:t xml:space="preserve"> from carrot and mango </w:t>
      </w:r>
      <w:r w:rsidR="00412D69">
        <w:t>on the iron bioaccessibility.</w:t>
      </w:r>
    </w:p>
    <w:p w14:paraId="3E58D683" w14:textId="712A40B2" w:rsidR="00D609DA" w:rsidRDefault="00D609DA">
      <w:pPr>
        <w:spacing w:after="160" w:line="259" w:lineRule="auto"/>
        <w:rPr>
          <w:rFonts w:eastAsia="Times New Roman" w:cs="Times New Roman"/>
          <w:szCs w:val="24"/>
        </w:rPr>
      </w:pPr>
      <w:r>
        <w:rPr>
          <w:rFonts w:eastAsia="Times New Roman" w:cs="Times New Roman"/>
          <w:szCs w:val="24"/>
        </w:rPr>
        <w:br w:type="page"/>
      </w:r>
    </w:p>
    <w:p w14:paraId="7D00D616" w14:textId="77777777" w:rsidR="00D609DA" w:rsidRDefault="00D609DA" w:rsidP="00D609DA">
      <w:pPr>
        <w:rPr>
          <w:rFonts w:eastAsia="Times New Roman" w:cs="Times New Roman"/>
          <w:szCs w:val="24"/>
        </w:rPr>
        <w:sectPr w:rsidR="00D609DA" w:rsidSect="007E071A">
          <w:pgSz w:w="11907" w:h="16839" w:code="9"/>
          <w:pgMar w:top="1440" w:right="1440" w:bottom="1440" w:left="1440" w:header="720" w:footer="720" w:gutter="0"/>
          <w:cols w:space="720"/>
          <w:docGrid w:linePitch="360"/>
        </w:sectPr>
      </w:pPr>
    </w:p>
    <w:p w14:paraId="0D64FFD2" w14:textId="6682FBD3" w:rsidR="00D609DA" w:rsidRPr="00A967D7" w:rsidRDefault="00D609DA" w:rsidP="0009779A">
      <w:pPr>
        <w:pStyle w:val="MyTables"/>
        <w:spacing w:line="240" w:lineRule="auto"/>
      </w:pPr>
      <w:bookmarkStart w:id="116" w:name="_Toc65253637"/>
      <w:r w:rsidRPr="00B4041A">
        <w:rPr>
          <w:b/>
          <w:bCs/>
        </w:rPr>
        <w:t>Table 4</w:t>
      </w:r>
      <w:r w:rsidR="00B4041A" w:rsidRPr="00B4041A">
        <w:rPr>
          <w:b/>
          <w:bCs/>
        </w:rPr>
        <w:t>.2.4</w:t>
      </w:r>
      <w:r w:rsidRPr="00B4041A">
        <w:rPr>
          <w:b/>
          <w:bCs/>
        </w:rPr>
        <w:t>:</w:t>
      </w:r>
      <w:r w:rsidRPr="00A967D7">
        <w:t xml:space="preserve"> </w:t>
      </w:r>
      <w:r>
        <w:t>E</w:t>
      </w:r>
      <w:r w:rsidRPr="00A967D7">
        <w:t>ffects of food-to-food fortification of wholegrain white maize porridge</w:t>
      </w:r>
      <w:r>
        <w:t>, as</w:t>
      </w:r>
      <w:r w:rsidRPr="00107F36">
        <w:t xml:space="preserve"> simple and </w:t>
      </w:r>
      <w:r>
        <w:t>c</w:t>
      </w:r>
      <w:r w:rsidRPr="00107F36">
        <w:t xml:space="preserve">omplex </w:t>
      </w:r>
      <w:r>
        <w:t>porridges,</w:t>
      </w:r>
      <w:r w:rsidRPr="00A967D7">
        <w:t xml:space="preserve"> with baobab fruit pulp and moringa leaf powder on iron and zinc bioaccessibility and the percentage contribution of bioaccessible iron and zinc</w:t>
      </w:r>
      <w:bookmarkStart w:id="117" w:name="_Hlk47021253"/>
      <w:r w:rsidRPr="00A967D7">
        <w:t xml:space="preserve"> in the porridge formulations (100 g dry basis)</w:t>
      </w:r>
      <w:bookmarkEnd w:id="117"/>
      <w:r w:rsidRPr="00A967D7">
        <w:t xml:space="preserve"> to the absolute requirements (AR) of women of </w:t>
      </w:r>
      <w:r>
        <w:t>19–50 years</w:t>
      </w:r>
      <w:bookmarkEnd w:id="116"/>
    </w:p>
    <w:tbl>
      <w:tblPr>
        <w:tblW w:w="14459" w:type="dxa"/>
        <w:tblBorders>
          <w:top w:val="single" w:sz="4" w:space="0" w:color="auto"/>
          <w:bottom w:val="single" w:sz="4" w:space="0" w:color="auto"/>
        </w:tblBorders>
        <w:tblLook w:val="04A0" w:firstRow="1" w:lastRow="0" w:firstColumn="1" w:lastColumn="0" w:noHBand="0" w:noVBand="1"/>
      </w:tblPr>
      <w:tblGrid>
        <w:gridCol w:w="4237"/>
        <w:gridCol w:w="1669"/>
        <w:gridCol w:w="1708"/>
        <w:gridCol w:w="1768"/>
        <w:gridCol w:w="1600"/>
        <w:gridCol w:w="1711"/>
        <w:gridCol w:w="1766"/>
      </w:tblGrid>
      <w:tr w:rsidR="00D609DA" w:rsidRPr="00284094" w14:paraId="756B62EA" w14:textId="77777777" w:rsidTr="00B938AA">
        <w:tc>
          <w:tcPr>
            <w:tcW w:w="4237" w:type="dxa"/>
            <w:tcBorders>
              <w:top w:val="single" w:sz="4" w:space="0" w:color="auto"/>
              <w:bottom w:val="single" w:sz="4" w:space="0" w:color="auto"/>
            </w:tcBorders>
          </w:tcPr>
          <w:p w14:paraId="76B6E4A4" w14:textId="77777777" w:rsidR="00D609DA" w:rsidRPr="00284094" w:rsidRDefault="00D609DA" w:rsidP="00843E4B">
            <w:pPr>
              <w:spacing w:after="0" w:line="240" w:lineRule="auto"/>
              <w:jc w:val="left"/>
              <w:rPr>
                <w:rFonts w:cs="Times New Roman"/>
                <w:b/>
                <w:sz w:val="22"/>
              </w:rPr>
            </w:pPr>
            <w:r w:rsidRPr="00284094">
              <w:rPr>
                <w:rFonts w:cs="Times New Roman"/>
                <w:b/>
                <w:sz w:val="22"/>
              </w:rPr>
              <w:t xml:space="preserve">Porridge formulations </w:t>
            </w:r>
          </w:p>
        </w:tc>
        <w:tc>
          <w:tcPr>
            <w:tcW w:w="1669" w:type="dxa"/>
            <w:tcBorders>
              <w:top w:val="single" w:sz="4" w:space="0" w:color="auto"/>
              <w:bottom w:val="single" w:sz="4" w:space="0" w:color="auto"/>
            </w:tcBorders>
          </w:tcPr>
          <w:p w14:paraId="616E611C" w14:textId="77777777" w:rsidR="00D609DA" w:rsidRPr="00284094" w:rsidRDefault="00D609DA" w:rsidP="00D609DA">
            <w:pPr>
              <w:spacing w:after="0" w:line="240" w:lineRule="auto"/>
              <w:jc w:val="center"/>
              <w:rPr>
                <w:rFonts w:cs="Times New Roman"/>
                <w:b/>
                <w:sz w:val="22"/>
              </w:rPr>
            </w:pPr>
            <w:r w:rsidRPr="00284094">
              <w:rPr>
                <w:rFonts w:cs="Times New Roman"/>
                <w:b/>
                <w:sz w:val="22"/>
              </w:rPr>
              <w:t>Percentage bioaccessible iron</w:t>
            </w:r>
          </w:p>
        </w:tc>
        <w:tc>
          <w:tcPr>
            <w:tcW w:w="1708" w:type="dxa"/>
            <w:tcBorders>
              <w:top w:val="single" w:sz="4" w:space="0" w:color="auto"/>
              <w:bottom w:val="single" w:sz="4" w:space="0" w:color="auto"/>
            </w:tcBorders>
          </w:tcPr>
          <w:p w14:paraId="629060FC" w14:textId="77777777" w:rsidR="00D609DA" w:rsidRPr="00284094" w:rsidRDefault="00D609DA" w:rsidP="00D609DA">
            <w:pPr>
              <w:spacing w:after="0" w:line="240" w:lineRule="auto"/>
              <w:jc w:val="center"/>
              <w:rPr>
                <w:rFonts w:cs="Times New Roman"/>
                <w:b/>
                <w:sz w:val="22"/>
              </w:rPr>
            </w:pPr>
            <w:r w:rsidRPr="00284094">
              <w:rPr>
                <w:rFonts w:cs="Times New Roman"/>
                <w:b/>
                <w:sz w:val="22"/>
              </w:rPr>
              <w:t>Amount of bioaccessible iron (mg/100 g dry basis)</w:t>
            </w:r>
          </w:p>
        </w:tc>
        <w:tc>
          <w:tcPr>
            <w:tcW w:w="1768" w:type="dxa"/>
            <w:tcBorders>
              <w:top w:val="single" w:sz="4" w:space="0" w:color="auto"/>
              <w:bottom w:val="single" w:sz="4" w:space="0" w:color="auto"/>
            </w:tcBorders>
          </w:tcPr>
          <w:p w14:paraId="57E5A060" w14:textId="77777777" w:rsidR="00D609DA" w:rsidRPr="00284094" w:rsidRDefault="00D609DA" w:rsidP="00D609DA">
            <w:pPr>
              <w:spacing w:after="0" w:line="240" w:lineRule="auto"/>
              <w:jc w:val="center"/>
              <w:rPr>
                <w:rFonts w:cs="Times New Roman"/>
                <w:b/>
                <w:sz w:val="22"/>
              </w:rPr>
            </w:pPr>
            <w:r w:rsidRPr="00284094">
              <w:rPr>
                <w:rFonts w:cs="Times New Roman"/>
                <w:b/>
                <w:sz w:val="22"/>
              </w:rPr>
              <w:t>Percentage contribution of iron to the AR (1.46 mg/day)</w:t>
            </w:r>
            <w:r w:rsidRPr="00284094">
              <w:rPr>
                <w:rFonts w:cs="Times New Roman"/>
                <w:sz w:val="22"/>
                <w:vertAlign w:val="superscript"/>
              </w:rPr>
              <w:t>^</w:t>
            </w:r>
          </w:p>
        </w:tc>
        <w:tc>
          <w:tcPr>
            <w:tcW w:w="1600" w:type="dxa"/>
            <w:tcBorders>
              <w:top w:val="single" w:sz="4" w:space="0" w:color="auto"/>
              <w:bottom w:val="single" w:sz="4" w:space="0" w:color="auto"/>
            </w:tcBorders>
          </w:tcPr>
          <w:p w14:paraId="1F46743E" w14:textId="77777777" w:rsidR="00D609DA" w:rsidRPr="00284094" w:rsidRDefault="00D609DA" w:rsidP="00D609DA">
            <w:pPr>
              <w:spacing w:after="0" w:line="240" w:lineRule="auto"/>
              <w:jc w:val="center"/>
              <w:rPr>
                <w:rFonts w:cs="Times New Roman"/>
                <w:b/>
                <w:sz w:val="22"/>
              </w:rPr>
            </w:pPr>
            <w:r w:rsidRPr="00284094">
              <w:rPr>
                <w:rFonts w:cs="Times New Roman"/>
                <w:b/>
                <w:sz w:val="22"/>
              </w:rPr>
              <w:t>Percentage bioaccessible zinc</w:t>
            </w:r>
          </w:p>
        </w:tc>
        <w:tc>
          <w:tcPr>
            <w:tcW w:w="1711" w:type="dxa"/>
            <w:tcBorders>
              <w:top w:val="single" w:sz="4" w:space="0" w:color="auto"/>
              <w:bottom w:val="single" w:sz="4" w:space="0" w:color="auto"/>
            </w:tcBorders>
          </w:tcPr>
          <w:p w14:paraId="6CE6418B" w14:textId="77777777" w:rsidR="00D609DA" w:rsidRPr="00284094" w:rsidRDefault="00D609DA" w:rsidP="00D609DA">
            <w:pPr>
              <w:spacing w:after="0" w:line="240" w:lineRule="auto"/>
              <w:jc w:val="center"/>
              <w:rPr>
                <w:rFonts w:cs="Times New Roman"/>
                <w:b/>
                <w:sz w:val="22"/>
              </w:rPr>
            </w:pPr>
            <w:r w:rsidRPr="00284094">
              <w:rPr>
                <w:rFonts w:cs="Times New Roman"/>
                <w:b/>
                <w:sz w:val="22"/>
              </w:rPr>
              <w:t>Amount of bioaccessible zinc (mg/100 g dry basis)</w:t>
            </w:r>
          </w:p>
        </w:tc>
        <w:tc>
          <w:tcPr>
            <w:tcW w:w="1766" w:type="dxa"/>
            <w:tcBorders>
              <w:top w:val="single" w:sz="4" w:space="0" w:color="auto"/>
              <w:bottom w:val="single" w:sz="4" w:space="0" w:color="auto"/>
            </w:tcBorders>
          </w:tcPr>
          <w:p w14:paraId="586D5539" w14:textId="77777777" w:rsidR="00D609DA" w:rsidRPr="00284094" w:rsidRDefault="00D609DA" w:rsidP="00D609DA">
            <w:pPr>
              <w:spacing w:after="0" w:line="240" w:lineRule="auto"/>
              <w:jc w:val="center"/>
              <w:rPr>
                <w:rFonts w:cs="Times New Roman"/>
                <w:b/>
                <w:sz w:val="22"/>
              </w:rPr>
            </w:pPr>
            <w:r w:rsidRPr="00284094">
              <w:rPr>
                <w:rFonts w:cs="Times New Roman"/>
                <w:b/>
                <w:sz w:val="22"/>
              </w:rPr>
              <w:t>Percentage contribution of zinc to the AR (1.75 mg/day)</w:t>
            </w:r>
            <w:r w:rsidRPr="00284094">
              <w:rPr>
                <w:rFonts w:cs="Times New Roman"/>
                <w:bCs/>
                <w:sz w:val="22"/>
                <w:vertAlign w:val="superscript"/>
              </w:rPr>
              <w:t xml:space="preserve"> </w:t>
            </w:r>
            <w:r w:rsidRPr="00284094">
              <w:rPr>
                <w:rFonts w:cs="Times New Roman"/>
                <w:b/>
                <w:sz w:val="22"/>
                <w:vertAlign w:val="superscript"/>
              </w:rPr>
              <w:t>¥</w:t>
            </w:r>
          </w:p>
        </w:tc>
      </w:tr>
      <w:tr w:rsidR="00D609DA" w:rsidRPr="00284094" w14:paraId="34ACA916" w14:textId="77777777" w:rsidTr="00B938AA">
        <w:trPr>
          <w:trHeight w:val="70"/>
        </w:trPr>
        <w:tc>
          <w:tcPr>
            <w:tcW w:w="14459" w:type="dxa"/>
            <w:gridSpan w:val="7"/>
            <w:tcBorders>
              <w:top w:val="single" w:sz="4" w:space="0" w:color="auto"/>
              <w:bottom w:val="nil"/>
            </w:tcBorders>
          </w:tcPr>
          <w:p w14:paraId="33BEAAD6" w14:textId="77777777" w:rsidR="00D609DA" w:rsidRPr="00284094" w:rsidRDefault="00D609DA" w:rsidP="00843E4B">
            <w:pPr>
              <w:spacing w:after="0" w:line="240" w:lineRule="auto"/>
              <w:jc w:val="left"/>
              <w:rPr>
                <w:rFonts w:cs="Times New Roman"/>
                <w:sz w:val="22"/>
              </w:rPr>
            </w:pPr>
            <w:r w:rsidRPr="00284094">
              <w:rPr>
                <w:rFonts w:cs="Times New Roman"/>
                <w:b/>
                <w:sz w:val="22"/>
              </w:rPr>
              <w:t>Experiment 1 (Simple porridges)</w:t>
            </w:r>
          </w:p>
        </w:tc>
      </w:tr>
      <w:tr w:rsidR="00D609DA" w:rsidRPr="00284094" w14:paraId="7293438E" w14:textId="77777777" w:rsidTr="00B938AA">
        <w:trPr>
          <w:trHeight w:val="70"/>
        </w:trPr>
        <w:tc>
          <w:tcPr>
            <w:tcW w:w="4237" w:type="dxa"/>
            <w:tcBorders>
              <w:top w:val="nil"/>
            </w:tcBorders>
          </w:tcPr>
          <w:p w14:paraId="5EDF868F" w14:textId="77777777" w:rsidR="00D609DA" w:rsidRPr="00284094" w:rsidRDefault="00D609DA" w:rsidP="00843E4B">
            <w:pPr>
              <w:spacing w:after="0" w:line="240" w:lineRule="auto"/>
              <w:jc w:val="left"/>
              <w:rPr>
                <w:rFonts w:cs="Times New Roman"/>
                <w:sz w:val="22"/>
              </w:rPr>
            </w:pPr>
            <w:r w:rsidRPr="00284094">
              <w:rPr>
                <w:rFonts w:cs="Times New Roman"/>
                <w:sz w:val="22"/>
              </w:rPr>
              <w:t>Maize porridge (Control)</w:t>
            </w:r>
          </w:p>
        </w:tc>
        <w:tc>
          <w:tcPr>
            <w:tcW w:w="1669" w:type="dxa"/>
            <w:tcBorders>
              <w:top w:val="nil"/>
            </w:tcBorders>
          </w:tcPr>
          <w:p w14:paraId="403A066C"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28.4</w:t>
            </w:r>
            <w:r w:rsidRPr="00284094">
              <w:rPr>
                <w:rFonts w:cs="Times New Roman"/>
                <w:sz w:val="22"/>
                <w:vertAlign w:val="superscript"/>
              </w:rPr>
              <w:t>c</w:t>
            </w:r>
            <w:r w:rsidRPr="00284094">
              <w:rPr>
                <w:rFonts w:cs="Times New Roman"/>
                <w:sz w:val="22"/>
              </w:rPr>
              <w:t xml:space="preserve"> ± 1.8</w:t>
            </w:r>
          </w:p>
        </w:tc>
        <w:tc>
          <w:tcPr>
            <w:tcW w:w="1708" w:type="dxa"/>
            <w:tcBorders>
              <w:top w:val="nil"/>
            </w:tcBorders>
          </w:tcPr>
          <w:p w14:paraId="0D153B59"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0.58</w:t>
            </w:r>
            <w:r w:rsidRPr="00284094">
              <w:rPr>
                <w:rFonts w:cs="Times New Roman"/>
                <w:sz w:val="22"/>
                <w:vertAlign w:val="superscript"/>
              </w:rPr>
              <w:t xml:space="preserve"> b</w:t>
            </w:r>
            <w:r w:rsidRPr="00284094">
              <w:rPr>
                <w:rFonts w:cs="Times New Roman"/>
                <w:sz w:val="22"/>
              </w:rPr>
              <w:t xml:space="preserve"> ± 0.04</w:t>
            </w:r>
          </w:p>
        </w:tc>
        <w:tc>
          <w:tcPr>
            <w:tcW w:w="1768" w:type="dxa"/>
            <w:tcBorders>
              <w:top w:val="nil"/>
            </w:tcBorders>
          </w:tcPr>
          <w:p w14:paraId="02927E35" w14:textId="77777777" w:rsidR="00D609DA" w:rsidRPr="00284094" w:rsidRDefault="00D609DA" w:rsidP="00D609DA">
            <w:pPr>
              <w:spacing w:after="0" w:line="240" w:lineRule="auto"/>
              <w:jc w:val="center"/>
              <w:rPr>
                <w:rFonts w:cs="Times New Roman"/>
                <w:sz w:val="22"/>
              </w:rPr>
            </w:pPr>
            <w:r w:rsidRPr="00284094">
              <w:rPr>
                <w:rFonts w:cs="Times New Roman"/>
                <w:sz w:val="22"/>
              </w:rPr>
              <w:t>39.7</w:t>
            </w:r>
          </w:p>
        </w:tc>
        <w:tc>
          <w:tcPr>
            <w:tcW w:w="1600" w:type="dxa"/>
            <w:tcBorders>
              <w:top w:val="nil"/>
            </w:tcBorders>
          </w:tcPr>
          <w:p w14:paraId="4900658F"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54.8</w:t>
            </w:r>
            <w:r w:rsidRPr="00284094">
              <w:rPr>
                <w:rFonts w:cs="Times New Roman"/>
                <w:sz w:val="22"/>
                <w:vertAlign w:val="superscript"/>
              </w:rPr>
              <w:t>cd</w:t>
            </w:r>
            <w:r w:rsidRPr="00284094">
              <w:rPr>
                <w:rFonts w:cs="Times New Roman"/>
                <w:sz w:val="22"/>
              </w:rPr>
              <w:t xml:space="preserve"> ± 4.1</w:t>
            </w:r>
          </w:p>
        </w:tc>
        <w:tc>
          <w:tcPr>
            <w:tcW w:w="1711" w:type="dxa"/>
            <w:tcBorders>
              <w:top w:val="nil"/>
            </w:tcBorders>
          </w:tcPr>
          <w:p w14:paraId="2F450288"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1.03</w:t>
            </w:r>
            <w:r w:rsidRPr="00284094">
              <w:rPr>
                <w:rFonts w:cs="Times New Roman"/>
                <w:sz w:val="22"/>
                <w:vertAlign w:val="superscript"/>
              </w:rPr>
              <w:t>d</w:t>
            </w:r>
            <w:r w:rsidRPr="00284094">
              <w:rPr>
                <w:rFonts w:cs="Times New Roman"/>
                <w:sz w:val="22"/>
              </w:rPr>
              <w:t xml:space="preserve"> ± 0.08</w:t>
            </w:r>
          </w:p>
        </w:tc>
        <w:tc>
          <w:tcPr>
            <w:tcW w:w="1766" w:type="dxa"/>
            <w:tcBorders>
              <w:top w:val="nil"/>
            </w:tcBorders>
          </w:tcPr>
          <w:p w14:paraId="057EF540" w14:textId="77777777" w:rsidR="00D609DA" w:rsidRPr="00284094" w:rsidRDefault="00D609DA" w:rsidP="00D609DA">
            <w:pPr>
              <w:spacing w:after="0" w:line="240" w:lineRule="auto"/>
              <w:jc w:val="center"/>
              <w:rPr>
                <w:rFonts w:cs="Times New Roman"/>
                <w:sz w:val="22"/>
              </w:rPr>
            </w:pPr>
            <w:r w:rsidRPr="00284094">
              <w:rPr>
                <w:rFonts w:cs="Times New Roman"/>
                <w:sz w:val="22"/>
              </w:rPr>
              <w:t>59.3</w:t>
            </w:r>
          </w:p>
        </w:tc>
      </w:tr>
      <w:tr w:rsidR="00D609DA" w:rsidRPr="00284094" w14:paraId="463E9050" w14:textId="77777777" w:rsidTr="00B938AA">
        <w:tc>
          <w:tcPr>
            <w:tcW w:w="4237" w:type="dxa"/>
          </w:tcPr>
          <w:p w14:paraId="16939E57" w14:textId="77777777" w:rsidR="00D609DA" w:rsidRPr="00284094" w:rsidRDefault="00D609DA" w:rsidP="00843E4B">
            <w:pPr>
              <w:spacing w:after="0" w:line="240" w:lineRule="auto"/>
              <w:jc w:val="left"/>
              <w:rPr>
                <w:rFonts w:cs="Times New Roman"/>
                <w:sz w:val="22"/>
              </w:rPr>
            </w:pPr>
            <w:r w:rsidRPr="00284094">
              <w:rPr>
                <w:rFonts w:cs="Times New Roman"/>
                <w:sz w:val="22"/>
              </w:rPr>
              <w:t>Maize porridge+baobab (100:15)</w:t>
            </w:r>
          </w:p>
        </w:tc>
        <w:tc>
          <w:tcPr>
            <w:tcW w:w="1669" w:type="dxa"/>
          </w:tcPr>
          <w:p w14:paraId="382E3DE8" w14:textId="77777777" w:rsidR="00D609DA" w:rsidRPr="00284094" w:rsidRDefault="00D609DA" w:rsidP="00D609DA">
            <w:pPr>
              <w:spacing w:after="0" w:line="240" w:lineRule="auto"/>
              <w:jc w:val="center"/>
              <w:rPr>
                <w:rFonts w:cs="Times New Roman"/>
                <w:sz w:val="22"/>
              </w:rPr>
            </w:pPr>
            <w:r w:rsidRPr="00284094">
              <w:rPr>
                <w:rFonts w:cs="Times New Roman"/>
                <w:sz w:val="22"/>
              </w:rPr>
              <w:t>33.6</w:t>
            </w:r>
            <w:r w:rsidRPr="00284094">
              <w:rPr>
                <w:rFonts w:cs="Times New Roman"/>
                <w:sz w:val="22"/>
                <w:vertAlign w:val="superscript"/>
              </w:rPr>
              <w:t>d</w:t>
            </w:r>
            <w:r w:rsidRPr="00284094">
              <w:rPr>
                <w:rFonts w:cs="Times New Roman"/>
                <w:sz w:val="22"/>
              </w:rPr>
              <w:t xml:space="preserve"> ± 1.3 </w:t>
            </w:r>
          </w:p>
          <w:p w14:paraId="6109C000"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(19%)</w:t>
            </w:r>
            <w:r w:rsidRPr="00284094">
              <w:rPr>
                <w:rFonts w:cs="Times New Roman"/>
                <w:sz w:val="22"/>
                <w:vertAlign w:val="superscript"/>
              </w:rPr>
              <w:t>£</w:t>
            </w:r>
          </w:p>
        </w:tc>
        <w:tc>
          <w:tcPr>
            <w:tcW w:w="1708" w:type="dxa"/>
          </w:tcPr>
          <w:p w14:paraId="4E17AE38" w14:textId="77777777" w:rsidR="00D609DA" w:rsidRPr="00284094" w:rsidRDefault="00D609DA" w:rsidP="00D609DA">
            <w:pPr>
              <w:spacing w:after="0" w:line="240" w:lineRule="auto"/>
              <w:jc w:val="center"/>
              <w:rPr>
                <w:rFonts w:cs="Times New Roman"/>
                <w:sz w:val="22"/>
              </w:rPr>
            </w:pPr>
            <w:r w:rsidRPr="00284094">
              <w:rPr>
                <w:rFonts w:cs="Times New Roman"/>
                <w:sz w:val="22"/>
              </w:rPr>
              <w:t>0.67</w:t>
            </w:r>
            <w:r w:rsidRPr="00284094">
              <w:rPr>
                <w:rFonts w:cs="Times New Roman"/>
                <w:sz w:val="22"/>
                <w:vertAlign w:val="superscript"/>
              </w:rPr>
              <w:t>bc</w:t>
            </w:r>
            <w:r w:rsidRPr="00284094">
              <w:rPr>
                <w:rFonts w:cs="Times New Roman"/>
                <w:sz w:val="22"/>
              </w:rPr>
              <w:t xml:space="preserve"> ± 0.03 </w:t>
            </w:r>
          </w:p>
          <w:p w14:paraId="7D837B99"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(16%)</w:t>
            </w:r>
          </w:p>
        </w:tc>
        <w:tc>
          <w:tcPr>
            <w:tcW w:w="1768" w:type="dxa"/>
          </w:tcPr>
          <w:p w14:paraId="382993F2" w14:textId="77777777" w:rsidR="00D609DA" w:rsidRPr="00284094" w:rsidRDefault="00D609DA" w:rsidP="00D609DA">
            <w:pPr>
              <w:spacing w:after="0" w:line="240" w:lineRule="auto"/>
              <w:jc w:val="center"/>
              <w:rPr>
                <w:rFonts w:cs="Times New Roman"/>
                <w:sz w:val="22"/>
              </w:rPr>
            </w:pPr>
            <w:r w:rsidRPr="00284094">
              <w:rPr>
                <w:rFonts w:cs="Times New Roman"/>
                <w:sz w:val="22"/>
              </w:rPr>
              <w:t xml:space="preserve">46.2 </w:t>
            </w:r>
          </w:p>
          <w:p w14:paraId="2E1D6C07" w14:textId="77777777" w:rsidR="00D609DA" w:rsidRPr="00284094" w:rsidRDefault="00D609DA" w:rsidP="00D609DA">
            <w:pPr>
              <w:spacing w:after="0" w:line="240" w:lineRule="auto"/>
              <w:jc w:val="center"/>
              <w:rPr>
                <w:rFonts w:cs="Times New Roman"/>
                <w:sz w:val="22"/>
              </w:rPr>
            </w:pPr>
            <w:r w:rsidRPr="00284094">
              <w:rPr>
                <w:rFonts w:cs="Times New Roman"/>
                <w:sz w:val="22"/>
              </w:rPr>
              <w:t>(16%)</w:t>
            </w:r>
          </w:p>
        </w:tc>
        <w:tc>
          <w:tcPr>
            <w:tcW w:w="1600" w:type="dxa"/>
          </w:tcPr>
          <w:p w14:paraId="39C61C77"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54.3</w:t>
            </w:r>
            <w:r w:rsidRPr="00284094">
              <w:rPr>
                <w:rFonts w:cs="Times New Roman"/>
                <w:sz w:val="22"/>
                <w:vertAlign w:val="superscript"/>
              </w:rPr>
              <w:t>c</w:t>
            </w:r>
            <w:r w:rsidRPr="00284094">
              <w:rPr>
                <w:rFonts w:cs="Times New Roman"/>
                <w:sz w:val="22"/>
              </w:rPr>
              <w:t xml:space="preserve"> ± 1.6</w:t>
            </w:r>
          </w:p>
        </w:tc>
        <w:tc>
          <w:tcPr>
            <w:tcW w:w="1711" w:type="dxa"/>
          </w:tcPr>
          <w:p w14:paraId="003EC57F" w14:textId="77777777" w:rsidR="00D609DA" w:rsidRPr="00284094" w:rsidRDefault="00D609DA" w:rsidP="00D609DA">
            <w:pPr>
              <w:spacing w:after="0" w:line="240" w:lineRule="auto"/>
              <w:jc w:val="center"/>
              <w:rPr>
                <w:rFonts w:cs="Times New Roman"/>
                <w:sz w:val="22"/>
              </w:rPr>
            </w:pPr>
            <w:r w:rsidRPr="00284094">
              <w:rPr>
                <w:rFonts w:cs="Times New Roman"/>
                <w:sz w:val="22"/>
              </w:rPr>
              <w:t>0.96</w:t>
            </w:r>
            <w:r w:rsidRPr="00284094">
              <w:rPr>
                <w:rFonts w:cs="Times New Roman"/>
                <w:sz w:val="22"/>
                <w:vertAlign w:val="superscript"/>
              </w:rPr>
              <w:t>c</w:t>
            </w:r>
            <w:r w:rsidRPr="00284094">
              <w:rPr>
                <w:rFonts w:cs="Times New Roman"/>
                <w:sz w:val="22"/>
              </w:rPr>
              <w:t xml:space="preserve"> ± 0.03 </w:t>
            </w:r>
          </w:p>
          <w:p w14:paraId="032B3876"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(-7%)</w:t>
            </w:r>
          </w:p>
        </w:tc>
        <w:tc>
          <w:tcPr>
            <w:tcW w:w="1766" w:type="dxa"/>
          </w:tcPr>
          <w:p w14:paraId="2C21B780" w14:textId="77777777" w:rsidR="00D609DA" w:rsidRPr="00284094" w:rsidRDefault="00D609DA" w:rsidP="00D609DA">
            <w:pPr>
              <w:spacing w:after="0" w:line="240" w:lineRule="auto"/>
              <w:jc w:val="center"/>
              <w:rPr>
                <w:rFonts w:cs="Times New Roman"/>
                <w:sz w:val="22"/>
              </w:rPr>
            </w:pPr>
            <w:r w:rsidRPr="00284094">
              <w:rPr>
                <w:rFonts w:cs="Times New Roman"/>
                <w:sz w:val="22"/>
              </w:rPr>
              <w:t xml:space="preserve">55.0 </w:t>
            </w:r>
          </w:p>
          <w:p w14:paraId="248966EE" w14:textId="77777777" w:rsidR="00D609DA" w:rsidRPr="00284094" w:rsidRDefault="00D609DA" w:rsidP="00D609DA">
            <w:pPr>
              <w:spacing w:after="0" w:line="240" w:lineRule="auto"/>
              <w:jc w:val="center"/>
              <w:rPr>
                <w:rFonts w:cs="Times New Roman"/>
                <w:sz w:val="22"/>
              </w:rPr>
            </w:pPr>
            <w:r w:rsidRPr="00284094">
              <w:rPr>
                <w:rFonts w:cs="Times New Roman"/>
                <w:sz w:val="22"/>
              </w:rPr>
              <w:t>(-7%)</w:t>
            </w:r>
          </w:p>
        </w:tc>
      </w:tr>
      <w:tr w:rsidR="00D609DA" w:rsidRPr="00284094" w14:paraId="65F91B41" w14:textId="77777777" w:rsidTr="00B938AA">
        <w:tc>
          <w:tcPr>
            <w:tcW w:w="4237" w:type="dxa"/>
          </w:tcPr>
          <w:p w14:paraId="69333912" w14:textId="77777777" w:rsidR="00D609DA" w:rsidRPr="00284094" w:rsidRDefault="00D609DA" w:rsidP="00843E4B">
            <w:pPr>
              <w:spacing w:after="0" w:line="240" w:lineRule="auto"/>
              <w:jc w:val="left"/>
              <w:rPr>
                <w:rFonts w:cs="Times New Roman"/>
                <w:sz w:val="22"/>
              </w:rPr>
            </w:pPr>
            <w:r w:rsidRPr="00284094">
              <w:rPr>
                <w:rFonts w:cs="Times New Roman"/>
                <w:sz w:val="22"/>
              </w:rPr>
              <w:t>Maize porridge+ascorbic+citric acids</w:t>
            </w:r>
            <w:r w:rsidRPr="00284094">
              <w:rPr>
                <w:rFonts w:cs="Times New Roman"/>
                <w:sz w:val="22"/>
                <w:vertAlign w:val="superscript"/>
              </w:rPr>
              <w:t>1</w:t>
            </w:r>
          </w:p>
        </w:tc>
        <w:tc>
          <w:tcPr>
            <w:tcW w:w="1669" w:type="dxa"/>
          </w:tcPr>
          <w:p w14:paraId="6D214E30" w14:textId="77777777" w:rsidR="00D609DA" w:rsidRPr="00284094" w:rsidRDefault="00D609DA" w:rsidP="00D609DA">
            <w:pPr>
              <w:spacing w:after="0" w:line="240" w:lineRule="auto"/>
              <w:jc w:val="center"/>
              <w:rPr>
                <w:rFonts w:cs="Times New Roman"/>
                <w:sz w:val="22"/>
              </w:rPr>
            </w:pPr>
            <w:r w:rsidRPr="00284094">
              <w:rPr>
                <w:rFonts w:cs="Times New Roman"/>
                <w:sz w:val="22"/>
              </w:rPr>
              <w:t>36.0</w:t>
            </w:r>
            <w:r w:rsidRPr="00284094">
              <w:rPr>
                <w:rFonts w:cs="Times New Roman"/>
                <w:sz w:val="22"/>
                <w:vertAlign w:val="superscript"/>
              </w:rPr>
              <w:t>e</w:t>
            </w:r>
            <w:r w:rsidRPr="00284094">
              <w:rPr>
                <w:rFonts w:cs="Times New Roman"/>
                <w:sz w:val="22"/>
              </w:rPr>
              <w:t xml:space="preserve"> ± 1.8 </w:t>
            </w:r>
          </w:p>
          <w:p w14:paraId="31C181CC"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(27%)</w:t>
            </w:r>
          </w:p>
        </w:tc>
        <w:tc>
          <w:tcPr>
            <w:tcW w:w="1708" w:type="dxa"/>
          </w:tcPr>
          <w:p w14:paraId="679D3A69" w14:textId="77777777" w:rsidR="00D609DA" w:rsidRPr="00284094" w:rsidRDefault="00D609DA" w:rsidP="00D609DA">
            <w:pPr>
              <w:spacing w:after="0" w:line="240" w:lineRule="auto"/>
              <w:jc w:val="center"/>
              <w:rPr>
                <w:rFonts w:cs="Times New Roman"/>
                <w:sz w:val="22"/>
              </w:rPr>
            </w:pPr>
            <w:r w:rsidRPr="00284094">
              <w:rPr>
                <w:rFonts w:cs="Times New Roman"/>
                <w:sz w:val="22"/>
              </w:rPr>
              <w:t>0.74</w:t>
            </w:r>
            <w:r w:rsidRPr="00284094">
              <w:rPr>
                <w:rFonts w:cs="Times New Roman"/>
                <w:sz w:val="22"/>
                <w:vertAlign w:val="superscript"/>
              </w:rPr>
              <w:t>c</w:t>
            </w:r>
            <w:r w:rsidRPr="00284094">
              <w:rPr>
                <w:rFonts w:cs="Times New Roman"/>
                <w:sz w:val="22"/>
              </w:rPr>
              <w:t xml:space="preserve"> ± 0.04 </w:t>
            </w:r>
          </w:p>
          <w:p w14:paraId="15D6BD0B"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(27%)</w:t>
            </w:r>
          </w:p>
        </w:tc>
        <w:tc>
          <w:tcPr>
            <w:tcW w:w="1768" w:type="dxa"/>
          </w:tcPr>
          <w:p w14:paraId="6A1EFBE0" w14:textId="77777777" w:rsidR="00D609DA" w:rsidRPr="00284094" w:rsidRDefault="00D609DA" w:rsidP="00D609DA">
            <w:pPr>
              <w:spacing w:after="0" w:line="240" w:lineRule="auto"/>
              <w:jc w:val="center"/>
              <w:rPr>
                <w:rFonts w:cs="Times New Roman"/>
                <w:sz w:val="22"/>
              </w:rPr>
            </w:pPr>
            <w:r w:rsidRPr="00284094">
              <w:rPr>
                <w:rFonts w:cs="Times New Roman"/>
                <w:sz w:val="22"/>
              </w:rPr>
              <w:t xml:space="preserve">50.5 </w:t>
            </w:r>
          </w:p>
          <w:p w14:paraId="41B1B903" w14:textId="77777777" w:rsidR="00D609DA" w:rsidRPr="00284094" w:rsidRDefault="00D609DA" w:rsidP="00D609DA">
            <w:pPr>
              <w:spacing w:after="0" w:line="240" w:lineRule="auto"/>
              <w:jc w:val="center"/>
              <w:rPr>
                <w:rFonts w:cs="Times New Roman"/>
                <w:sz w:val="22"/>
              </w:rPr>
            </w:pPr>
            <w:r w:rsidRPr="00284094">
              <w:rPr>
                <w:rFonts w:cs="Times New Roman"/>
                <w:sz w:val="22"/>
              </w:rPr>
              <w:t>(27%)</w:t>
            </w:r>
          </w:p>
        </w:tc>
        <w:tc>
          <w:tcPr>
            <w:tcW w:w="1600" w:type="dxa"/>
          </w:tcPr>
          <w:p w14:paraId="5A136C80"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58.2</w:t>
            </w:r>
            <w:r w:rsidRPr="00284094">
              <w:rPr>
                <w:rFonts w:cs="Times New Roman"/>
                <w:sz w:val="22"/>
                <w:vertAlign w:val="superscript"/>
              </w:rPr>
              <w:t xml:space="preserve">d </w:t>
            </w:r>
            <w:r w:rsidRPr="00284094">
              <w:rPr>
                <w:rFonts w:cs="Times New Roman"/>
                <w:sz w:val="22"/>
              </w:rPr>
              <w:t>± 4.1</w:t>
            </w:r>
          </w:p>
        </w:tc>
        <w:tc>
          <w:tcPr>
            <w:tcW w:w="1711" w:type="dxa"/>
          </w:tcPr>
          <w:p w14:paraId="36363E1F"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1.10</w:t>
            </w:r>
            <w:r w:rsidRPr="00284094">
              <w:rPr>
                <w:rFonts w:cs="Times New Roman"/>
                <w:sz w:val="22"/>
                <w:vertAlign w:val="superscript"/>
              </w:rPr>
              <w:t>d</w:t>
            </w:r>
            <w:r w:rsidRPr="00284094">
              <w:rPr>
                <w:rFonts w:cs="Times New Roman"/>
                <w:sz w:val="22"/>
              </w:rPr>
              <w:t xml:space="preserve"> ± 0.08</w:t>
            </w:r>
          </w:p>
        </w:tc>
        <w:tc>
          <w:tcPr>
            <w:tcW w:w="1766" w:type="dxa"/>
          </w:tcPr>
          <w:p w14:paraId="59F9FA03" w14:textId="77777777" w:rsidR="00D609DA" w:rsidRPr="00284094" w:rsidRDefault="00D609DA" w:rsidP="00D609DA">
            <w:pPr>
              <w:spacing w:after="0" w:line="240" w:lineRule="auto"/>
              <w:jc w:val="center"/>
              <w:rPr>
                <w:rFonts w:cs="Times New Roman"/>
                <w:sz w:val="22"/>
              </w:rPr>
            </w:pPr>
            <w:r w:rsidRPr="00284094">
              <w:rPr>
                <w:rFonts w:cs="Times New Roman"/>
                <w:sz w:val="22"/>
              </w:rPr>
              <w:t xml:space="preserve">63.0 </w:t>
            </w:r>
          </w:p>
        </w:tc>
      </w:tr>
      <w:tr w:rsidR="00D609DA" w:rsidRPr="00284094" w14:paraId="20E47B35" w14:textId="77777777" w:rsidTr="00B938AA">
        <w:tc>
          <w:tcPr>
            <w:tcW w:w="4237" w:type="dxa"/>
          </w:tcPr>
          <w:p w14:paraId="20978879" w14:textId="77777777" w:rsidR="00D609DA" w:rsidRPr="00284094" w:rsidRDefault="00D609DA" w:rsidP="00843E4B">
            <w:pPr>
              <w:spacing w:after="0" w:line="240" w:lineRule="auto"/>
              <w:jc w:val="left"/>
              <w:rPr>
                <w:rFonts w:cs="Times New Roman"/>
                <w:sz w:val="22"/>
              </w:rPr>
            </w:pPr>
            <w:r w:rsidRPr="00284094">
              <w:rPr>
                <w:rFonts w:cs="Times New Roman"/>
                <w:sz w:val="22"/>
              </w:rPr>
              <w:t>Maize porridge+moringa (M)</w:t>
            </w:r>
            <w:r w:rsidRPr="00284094">
              <w:rPr>
                <w:rFonts w:cs="Times New Roman"/>
                <w:bCs/>
                <w:sz w:val="22"/>
                <w:vertAlign w:val="superscript"/>
              </w:rPr>
              <w:t>$</w:t>
            </w:r>
            <w:r w:rsidRPr="00284094">
              <w:rPr>
                <w:rFonts w:cs="Times New Roman"/>
                <w:sz w:val="22"/>
                <w:vertAlign w:val="superscript"/>
              </w:rPr>
              <w:t xml:space="preserve"> </w:t>
            </w:r>
            <w:r w:rsidRPr="00284094">
              <w:rPr>
                <w:rFonts w:cs="Times New Roman"/>
                <w:sz w:val="22"/>
              </w:rPr>
              <w:t>(100:15)</w:t>
            </w:r>
          </w:p>
        </w:tc>
        <w:tc>
          <w:tcPr>
            <w:tcW w:w="1669" w:type="dxa"/>
          </w:tcPr>
          <w:p w14:paraId="705B4719" w14:textId="77777777" w:rsidR="00D609DA" w:rsidRPr="00284094" w:rsidRDefault="00D609DA" w:rsidP="00D609DA">
            <w:pPr>
              <w:spacing w:after="0" w:line="240" w:lineRule="auto"/>
              <w:jc w:val="center"/>
              <w:rPr>
                <w:rFonts w:cs="Times New Roman"/>
                <w:sz w:val="22"/>
              </w:rPr>
            </w:pPr>
            <w:r w:rsidRPr="00284094">
              <w:rPr>
                <w:rFonts w:cs="Times New Roman"/>
                <w:sz w:val="22"/>
              </w:rPr>
              <w:t>4.4</w:t>
            </w:r>
            <w:r w:rsidRPr="00284094">
              <w:rPr>
                <w:rFonts w:cs="Times New Roman"/>
                <w:sz w:val="22"/>
                <w:vertAlign w:val="superscript"/>
              </w:rPr>
              <w:t>a</w:t>
            </w:r>
            <w:r w:rsidRPr="00284094">
              <w:rPr>
                <w:rFonts w:cs="Times New Roman"/>
                <w:sz w:val="22"/>
              </w:rPr>
              <w:t xml:space="preserve"> ± 0.6 </w:t>
            </w:r>
          </w:p>
          <w:p w14:paraId="78C36C4F"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(-84%)</w:t>
            </w:r>
          </w:p>
        </w:tc>
        <w:tc>
          <w:tcPr>
            <w:tcW w:w="1708" w:type="dxa"/>
          </w:tcPr>
          <w:p w14:paraId="7C1F17FE" w14:textId="77777777" w:rsidR="00D609DA" w:rsidRPr="00284094" w:rsidRDefault="00D609DA" w:rsidP="00D609DA">
            <w:pPr>
              <w:spacing w:after="0" w:line="240" w:lineRule="auto"/>
              <w:jc w:val="center"/>
              <w:rPr>
                <w:rFonts w:cs="Times New Roman"/>
                <w:sz w:val="22"/>
              </w:rPr>
            </w:pPr>
            <w:r w:rsidRPr="00284094">
              <w:rPr>
                <w:rFonts w:cs="Times New Roman"/>
                <w:sz w:val="22"/>
              </w:rPr>
              <w:t>0.28</w:t>
            </w:r>
            <w:r w:rsidRPr="00284094">
              <w:rPr>
                <w:rFonts w:cs="Times New Roman"/>
                <w:sz w:val="22"/>
                <w:vertAlign w:val="superscript"/>
              </w:rPr>
              <w:t>a</w:t>
            </w:r>
            <w:r w:rsidRPr="00284094">
              <w:rPr>
                <w:rFonts w:cs="Times New Roman"/>
                <w:sz w:val="22"/>
              </w:rPr>
              <w:t xml:space="preserve"> ± 0.04 </w:t>
            </w:r>
          </w:p>
          <w:p w14:paraId="4FE870DF"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(-52%)</w:t>
            </w:r>
          </w:p>
        </w:tc>
        <w:tc>
          <w:tcPr>
            <w:tcW w:w="1768" w:type="dxa"/>
          </w:tcPr>
          <w:p w14:paraId="233EEFC2" w14:textId="77777777" w:rsidR="00D609DA" w:rsidRPr="00284094" w:rsidRDefault="00D609DA" w:rsidP="00D609DA">
            <w:pPr>
              <w:spacing w:after="0" w:line="240" w:lineRule="auto"/>
              <w:jc w:val="center"/>
              <w:rPr>
                <w:rFonts w:cs="Times New Roman"/>
                <w:sz w:val="22"/>
              </w:rPr>
            </w:pPr>
            <w:r w:rsidRPr="00284094">
              <w:rPr>
                <w:rFonts w:cs="Times New Roman"/>
                <w:sz w:val="22"/>
              </w:rPr>
              <w:t xml:space="preserve">18.9 </w:t>
            </w:r>
          </w:p>
          <w:p w14:paraId="4080A9A9" w14:textId="77777777" w:rsidR="00D609DA" w:rsidRPr="00284094" w:rsidRDefault="00D609DA" w:rsidP="00D609DA">
            <w:pPr>
              <w:spacing w:after="0" w:line="240" w:lineRule="auto"/>
              <w:jc w:val="center"/>
              <w:rPr>
                <w:rFonts w:cs="Times New Roman"/>
                <w:sz w:val="22"/>
              </w:rPr>
            </w:pPr>
            <w:r w:rsidRPr="00284094">
              <w:rPr>
                <w:rFonts w:cs="Times New Roman"/>
                <w:sz w:val="22"/>
              </w:rPr>
              <w:t>(-52%)</w:t>
            </w:r>
          </w:p>
        </w:tc>
        <w:tc>
          <w:tcPr>
            <w:tcW w:w="1600" w:type="dxa"/>
          </w:tcPr>
          <w:p w14:paraId="22F99D7A" w14:textId="77777777" w:rsidR="00D609DA" w:rsidRPr="00284094" w:rsidRDefault="00D609DA" w:rsidP="00D609DA">
            <w:pPr>
              <w:spacing w:after="0" w:line="240" w:lineRule="auto"/>
              <w:jc w:val="center"/>
              <w:rPr>
                <w:rFonts w:cs="Times New Roman"/>
                <w:sz w:val="22"/>
              </w:rPr>
            </w:pPr>
            <w:r w:rsidRPr="00284094">
              <w:rPr>
                <w:rFonts w:cs="Times New Roman"/>
                <w:sz w:val="22"/>
              </w:rPr>
              <w:t>27.7</w:t>
            </w:r>
            <w:r w:rsidRPr="00284094">
              <w:rPr>
                <w:rFonts w:cs="Times New Roman"/>
                <w:sz w:val="22"/>
                <w:vertAlign w:val="superscript"/>
              </w:rPr>
              <w:t>a</w:t>
            </w:r>
            <w:r w:rsidRPr="00284094">
              <w:rPr>
                <w:rFonts w:cs="Times New Roman"/>
                <w:sz w:val="22"/>
              </w:rPr>
              <w:t xml:space="preserve"> ± 3.8 </w:t>
            </w:r>
          </w:p>
          <w:p w14:paraId="5D1B0612"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(-49%)</w:t>
            </w:r>
          </w:p>
        </w:tc>
        <w:tc>
          <w:tcPr>
            <w:tcW w:w="1711" w:type="dxa"/>
          </w:tcPr>
          <w:p w14:paraId="70C4B594" w14:textId="77777777" w:rsidR="00D609DA" w:rsidRPr="00284094" w:rsidRDefault="00D609DA" w:rsidP="00D609DA">
            <w:pPr>
              <w:spacing w:after="0" w:line="240" w:lineRule="auto"/>
              <w:jc w:val="center"/>
              <w:rPr>
                <w:rFonts w:cs="Times New Roman"/>
                <w:sz w:val="22"/>
              </w:rPr>
            </w:pPr>
            <w:r w:rsidRPr="00284094">
              <w:rPr>
                <w:rFonts w:cs="Times New Roman"/>
                <w:sz w:val="22"/>
              </w:rPr>
              <w:t>0.57</w:t>
            </w:r>
            <w:r w:rsidRPr="00284094">
              <w:rPr>
                <w:rFonts w:cs="Times New Roman"/>
                <w:sz w:val="22"/>
                <w:vertAlign w:val="superscript"/>
              </w:rPr>
              <w:t>a</w:t>
            </w:r>
            <w:r w:rsidRPr="00284094">
              <w:rPr>
                <w:rFonts w:cs="Times New Roman"/>
                <w:sz w:val="22"/>
              </w:rPr>
              <w:t xml:space="preserve"> ± 0.08 </w:t>
            </w:r>
          </w:p>
          <w:p w14:paraId="4576F530"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(-45%)</w:t>
            </w:r>
          </w:p>
        </w:tc>
        <w:tc>
          <w:tcPr>
            <w:tcW w:w="1766" w:type="dxa"/>
          </w:tcPr>
          <w:p w14:paraId="7FA9072E" w14:textId="77777777" w:rsidR="00D609DA" w:rsidRPr="00284094" w:rsidRDefault="00D609DA" w:rsidP="00D609DA">
            <w:pPr>
              <w:spacing w:after="0" w:line="240" w:lineRule="auto"/>
              <w:jc w:val="center"/>
              <w:rPr>
                <w:rFonts w:cs="Times New Roman"/>
                <w:sz w:val="22"/>
              </w:rPr>
            </w:pPr>
            <w:r w:rsidRPr="00284094">
              <w:rPr>
                <w:rFonts w:cs="Times New Roman"/>
                <w:sz w:val="22"/>
              </w:rPr>
              <w:t xml:space="preserve">32.5 </w:t>
            </w:r>
          </w:p>
          <w:p w14:paraId="12855A43" w14:textId="77777777" w:rsidR="00D609DA" w:rsidRPr="00284094" w:rsidRDefault="00D609DA" w:rsidP="00D609DA">
            <w:pPr>
              <w:spacing w:after="0" w:line="240" w:lineRule="auto"/>
              <w:jc w:val="center"/>
              <w:rPr>
                <w:rFonts w:cs="Times New Roman"/>
                <w:sz w:val="22"/>
              </w:rPr>
            </w:pPr>
            <w:r w:rsidRPr="00284094">
              <w:rPr>
                <w:rFonts w:cs="Times New Roman"/>
                <w:sz w:val="22"/>
              </w:rPr>
              <w:t>(-45%)</w:t>
            </w:r>
          </w:p>
        </w:tc>
      </w:tr>
      <w:tr w:rsidR="00D609DA" w:rsidRPr="00284094" w14:paraId="16F7900D" w14:textId="77777777" w:rsidTr="00B938AA">
        <w:tc>
          <w:tcPr>
            <w:tcW w:w="4237" w:type="dxa"/>
            <w:tcBorders>
              <w:bottom w:val="nil"/>
            </w:tcBorders>
          </w:tcPr>
          <w:p w14:paraId="785762F0" w14:textId="77777777" w:rsidR="00D609DA" w:rsidRPr="00284094" w:rsidRDefault="00D609DA" w:rsidP="00843E4B">
            <w:pPr>
              <w:spacing w:after="0" w:line="240" w:lineRule="auto"/>
              <w:jc w:val="left"/>
              <w:rPr>
                <w:rFonts w:cs="Times New Roman"/>
                <w:sz w:val="22"/>
              </w:rPr>
            </w:pPr>
            <w:r w:rsidRPr="00284094">
              <w:rPr>
                <w:rFonts w:cs="Times New Roman"/>
                <w:sz w:val="22"/>
              </w:rPr>
              <w:t>Maize porridge+FeSO</w:t>
            </w:r>
            <w:r w:rsidRPr="00284094">
              <w:rPr>
                <w:rFonts w:cs="Times New Roman"/>
                <w:sz w:val="22"/>
                <w:vertAlign w:val="subscript"/>
              </w:rPr>
              <w:t>4</w:t>
            </w:r>
            <w:r w:rsidRPr="00284094">
              <w:rPr>
                <w:rFonts w:cs="Times New Roman"/>
                <w:sz w:val="22"/>
                <w:vertAlign w:val="superscript"/>
              </w:rPr>
              <w:t>2</w:t>
            </w:r>
          </w:p>
        </w:tc>
        <w:tc>
          <w:tcPr>
            <w:tcW w:w="1669" w:type="dxa"/>
            <w:tcBorders>
              <w:bottom w:val="nil"/>
            </w:tcBorders>
          </w:tcPr>
          <w:p w14:paraId="4B7B845A" w14:textId="77777777" w:rsidR="00D609DA" w:rsidRPr="00284094" w:rsidRDefault="00D609DA" w:rsidP="00D609DA">
            <w:pPr>
              <w:spacing w:after="0" w:line="240" w:lineRule="auto"/>
              <w:jc w:val="center"/>
              <w:rPr>
                <w:rFonts w:cs="Times New Roman"/>
                <w:sz w:val="22"/>
              </w:rPr>
            </w:pPr>
            <w:r w:rsidRPr="00284094">
              <w:rPr>
                <w:rFonts w:cs="Times New Roman"/>
                <w:sz w:val="22"/>
              </w:rPr>
              <w:t>17.5</w:t>
            </w:r>
            <w:r w:rsidRPr="00284094">
              <w:rPr>
                <w:rFonts w:cs="Times New Roman"/>
                <w:sz w:val="22"/>
                <w:vertAlign w:val="superscript"/>
              </w:rPr>
              <w:t>b</w:t>
            </w:r>
            <w:r w:rsidRPr="00284094">
              <w:rPr>
                <w:rFonts w:cs="Times New Roman"/>
                <w:sz w:val="22"/>
              </w:rPr>
              <w:t xml:space="preserve"> ± 3.1</w:t>
            </w:r>
          </w:p>
          <w:p w14:paraId="5C915194"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 xml:space="preserve"> (-38%)</w:t>
            </w:r>
          </w:p>
        </w:tc>
        <w:tc>
          <w:tcPr>
            <w:tcW w:w="1708" w:type="dxa"/>
            <w:tcBorders>
              <w:bottom w:val="nil"/>
            </w:tcBorders>
          </w:tcPr>
          <w:p w14:paraId="4DF36F49" w14:textId="77777777" w:rsidR="00D609DA" w:rsidRPr="00284094" w:rsidRDefault="00D609DA" w:rsidP="00D609DA">
            <w:pPr>
              <w:spacing w:after="0" w:line="240" w:lineRule="auto"/>
              <w:jc w:val="center"/>
              <w:rPr>
                <w:rFonts w:cs="Times New Roman"/>
                <w:sz w:val="22"/>
              </w:rPr>
            </w:pPr>
            <w:r w:rsidRPr="00284094">
              <w:rPr>
                <w:rFonts w:cs="Times New Roman"/>
                <w:sz w:val="22"/>
              </w:rPr>
              <w:t>1.19</w:t>
            </w:r>
            <w:r w:rsidRPr="00284094">
              <w:rPr>
                <w:rFonts w:cs="Times New Roman"/>
                <w:sz w:val="22"/>
                <w:vertAlign w:val="superscript"/>
              </w:rPr>
              <w:t>d</w:t>
            </w:r>
            <w:r w:rsidRPr="00284094">
              <w:rPr>
                <w:rFonts w:cs="Times New Roman"/>
                <w:sz w:val="22"/>
              </w:rPr>
              <w:t xml:space="preserve"> ± 0.22 </w:t>
            </w:r>
          </w:p>
          <w:p w14:paraId="0F01192A"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(104%)</w:t>
            </w:r>
          </w:p>
        </w:tc>
        <w:tc>
          <w:tcPr>
            <w:tcW w:w="1768" w:type="dxa"/>
            <w:tcBorders>
              <w:bottom w:val="nil"/>
            </w:tcBorders>
          </w:tcPr>
          <w:p w14:paraId="382F2B56" w14:textId="77777777" w:rsidR="00D609DA" w:rsidRPr="00284094" w:rsidRDefault="00D609DA" w:rsidP="00D609DA">
            <w:pPr>
              <w:spacing w:after="0" w:line="240" w:lineRule="auto"/>
              <w:jc w:val="center"/>
              <w:rPr>
                <w:rFonts w:cs="Times New Roman"/>
                <w:sz w:val="22"/>
              </w:rPr>
            </w:pPr>
            <w:r w:rsidRPr="00284094">
              <w:rPr>
                <w:rFonts w:cs="Times New Roman"/>
                <w:sz w:val="22"/>
              </w:rPr>
              <w:t xml:space="preserve">81.2 </w:t>
            </w:r>
          </w:p>
          <w:p w14:paraId="049E5C3C" w14:textId="77777777" w:rsidR="00D609DA" w:rsidRPr="00284094" w:rsidRDefault="00D609DA" w:rsidP="00D609DA">
            <w:pPr>
              <w:spacing w:after="0" w:line="240" w:lineRule="auto"/>
              <w:jc w:val="center"/>
              <w:rPr>
                <w:rFonts w:cs="Times New Roman"/>
                <w:sz w:val="22"/>
              </w:rPr>
            </w:pPr>
            <w:r w:rsidRPr="00284094">
              <w:rPr>
                <w:rFonts w:cs="Times New Roman"/>
                <w:sz w:val="22"/>
              </w:rPr>
              <w:t>(104%)</w:t>
            </w:r>
          </w:p>
        </w:tc>
        <w:tc>
          <w:tcPr>
            <w:tcW w:w="1600" w:type="dxa"/>
            <w:tcBorders>
              <w:bottom w:val="nil"/>
            </w:tcBorders>
          </w:tcPr>
          <w:p w14:paraId="4A45230B" w14:textId="77777777" w:rsidR="00D609DA" w:rsidRPr="00284094" w:rsidRDefault="00D609DA" w:rsidP="00D609DA">
            <w:pPr>
              <w:spacing w:after="0" w:line="240" w:lineRule="auto"/>
              <w:jc w:val="center"/>
              <w:rPr>
                <w:rFonts w:cs="Times New Roman"/>
                <w:sz w:val="22"/>
              </w:rPr>
            </w:pPr>
            <w:r w:rsidRPr="00284094">
              <w:rPr>
                <w:rFonts w:cs="Times New Roman"/>
                <w:sz w:val="22"/>
              </w:rPr>
              <w:t>37.3</w:t>
            </w:r>
            <w:r w:rsidRPr="00284094">
              <w:rPr>
                <w:rFonts w:cs="Times New Roman"/>
                <w:sz w:val="22"/>
                <w:vertAlign w:val="superscript"/>
              </w:rPr>
              <w:t>b</w:t>
            </w:r>
            <w:r w:rsidRPr="00284094">
              <w:rPr>
                <w:rFonts w:cs="Times New Roman"/>
                <w:sz w:val="22"/>
              </w:rPr>
              <w:t xml:space="preserve"> ± 2.6 </w:t>
            </w:r>
          </w:p>
          <w:p w14:paraId="595E2E24"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(-33%)</w:t>
            </w:r>
          </w:p>
        </w:tc>
        <w:tc>
          <w:tcPr>
            <w:tcW w:w="1711" w:type="dxa"/>
            <w:tcBorders>
              <w:bottom w:val="nil"/>
            </w:tcBorders>
          </w:tcPr>
          <w:p w14:paraId="0D1D106B" w14:textId="77777777" w:rsidR="00D609DA" w:rsidRPr="00284094" w:rsidRDefault="00D609DA" w:rsidP="00D609DA">
            <w:pPr>
              <w:spacing w:after="0" w:line="240" w:lineRule="auto"/>
              <w:jc w:val="center"/>
              <w:rPr>
                <w:rFonts w:cs="Times New Roman"/>
                <w:sz w:val="22"/>
              </w:rPr>
            </w:pPr>
            <w:r w:rsidRPr="00284094">
              <w:rPr>
                <w:rFonts w:cs="Times New Roman"/>
                <w:sz w:val="22"/>
              </w:rPr>
              <w:t>0.71</w:t>
            </w:r>
            <w:r w:rsidRPr="00284094">
              <w:rPr>
                <w:rFonts w:cs="Times New Roman"/>
                <w:sz w:val="22"/>
                <w:vertAlign w:val="superscript"/>
              </w:rPr>
              <w:t>b</w:t>
            </w:r>
            <w:r w:rsidRPr="00284094">
              <w:rPr>
                <w:rFonts w:cs="Times New Roman"/>
                <w:sz w:val="22"/>
              </w:rPr>
              <w:t xml:space="preserve"> ± 0.05 </w:t>
            </w:r>
          </w:p>
          <w:p w14:paraId="2F0B9D95" w14:textId="77777777" w:rsidR="00D609DA" w:rsidRPr="00284094" w:rsidRDefault="00D609DA" w:rsidP="00D609DA">
            <w:pPr>
              <w:spacing w:after="0" w:line="240" w:lineRule="auto"/>
              <w:jc w:val="center"/>
              <w:rPr>
                <w:rFonts w:cs="Times New Roman"/>
                <w:sz w:val="22"/>
                <w:lang w:val="en-ZA"/>
              </w:rPr>
            </w:pPr>
            <w:r w:rsidRPr="00284094">
              <w:rPr>
                <w:rFonts w:cs="Times New Roman"/>
                <w:sz w:val="22"/>
              </w:rPr>
              <w:t>(-31%)</w:t>
            </w:r>
          </w:p>
        </w:tc>
        <w:tc>
          <w:tcPr>
            <w:tcW w:w="1766" w:type="dxa"/>
            <w:tcBorders>
              <w:bottom w:val="nil"/>
            </w:tcBorders>
          </w:tcPr>
          <w:p w14:paraId="6BA92642" w14:textId="77777777" w:rsidR="00D609DA" w:rsidRPr="00284094" w:rsidRDefault="00D609DA" w:rsidP="00D609DA">
            <w:pPr>
              <w:spacing w:after="0" w:line="240" w:lineRule="auto"/>
              <w:jc w:val="center"/>
              <w:rPr>
                <w:rFonts w:cs="Times New Roman"/>
                <w:sz w:val="22"/>
              </w:rPr>
            </w:pPr>
            <w:r w:rsidRPr="00284094">
              <w:rPr>
                <w:rFonts w:cs="Times New Roman"/>
                <w:sz w:val="22"/>
              </w:rPr>
              <w:t xml:space="preserve">40.4 </w:t>
            </w:r>
          </w:p>
          <w:p w14:paraId="532D969B" w14:textId="77777777" w:rsidR="00D609DA" w:rsidRPr="00284094" w:rsidRDefault="00D609DA" w:rsidP="00D609DA">
            <w:pPr>
              <w:spacing w:after="0" w:line="240" w:lineRule="auto"/>
              <w:jc w:val="center"/>
              <w:rPr>
                <w:rFonts w:cs="Times New Roman"/>
                <w:sz w:val="22"/>
              </w:rPr>
            </w:pPr>
            <w:r w:rsidRPr="00284094">
              <w:rPr>
                <w:rFonts w:cs="Times New Roman"/>
                <w:sz w:val="22"/>
              </w:rPr>
              <w:t>(-31%)</w:t>
            </w:r>
          </w:p>
        </w:tc>
      </w:tr>
      <w:tr w:rsidR="00D609DA" w:rsidRPr="00284094" w14:paraId="0086D8CF" w14:textId="77777777" w:rsidTr="00B938AA">
        <w:tc>
          <w:tcPr>
            <w:tcW w:w="14459" w:type="dxa"/>
            <w:gridSpan w:val="7"/>
            <w:tcBorders>
              <w:top w:val="nil"/>
            </w:tcBorders>
          </w:tcPr>
          <w:p w14:paraId="2A685B64" w14:textId="77777777" w:rsidR="00D609DA" w:rsidRPr="00284094" w:rsidRDefault="00D609DA" w:rsidP="00843E4B">
            <w:pPr>
              <w:spacing w:after="0" w:line="240" w:lineRule="auto"/>
              <w:jc w:val="left"/>
              <w:rPr>
                <w:rFonts w:cs="Times New Roman"/>
                <w:sz w:val="22"/>
              </w:rPr>
            </w:pPr>
            <w:r w:rsidRPr="00284094">
              <w:rPr>
                <w:rFonts w:cs="Times New Roman"/>
                <w:b/>
                <w:sz w:val="22"/>
              </w:rPr>
              <w:t>Experiment 2 (Complex porridges)</w:t>
            </w:r>
          </w:p>
        </w:tc>
      </w:tr>
      <w:tr w:rsidR="00D609DA" w:rsidRPr="00284094" w14:paraId="44DF08F2" w14:textId="77777777" w:rsidTr="00B938AA">
        <w:tc>
          <w:tcPr>
            <w:tcW w:w="4237" w:type="dxa"/>
          </w:tcPr>
          <w:p w14:paraId="503829A2" w14:textId="79B9C2D6" w:rsidR="00D609DA" w:rsidRPr="00284094" w:rsidRDefault="00D609DA" w:rsidP="00843E4B">
            <w:pPr>
              <w:spacing w:after="0" w:line="240" w:lineRule="auto"/>
              <w:jc w:val="left"/>
              <w:rPr>
                <w:rFonts w:cs="Times New Roman"/>
                <w:sz w:val="22"/>
              </w:rPr>
            </w:pPr>
            <w:r w:rsidRPr="00284094">
              <w:rPr>
                <w:rFonts w:cs="Times New Roman"/>
                <w:sz w:val="22"/>
              </w:rPr>
              <w:t>Maize porridge+FeSO</w:t>
            </w:r>
            <w:r w:rsidRPr="00284094">
              <w:rPr>
                <w:rFonts w:cs="Times New Roman"/>
                <w:sz w:val="22"/>
                <w:vertAlign w:val="subscript"/>
              </w:rPr>
              <w:t>4</w:t>
            </w:r>
            <w:r w:rsidRPr="00284094">
              <w:rPr>
                <w:rFonts w:cs="Times New Roman"/>
                <w:sz w:val="22"/>
              </w:rPr>
              <w:t>+mango+carrot (Control)</w:t>
            </w:r>
          </w:p>
        </w:tc>
        <w:tc>
          <w:tcPr>
            <w:tcW w:w="1669" w:type="dxa"/>
          </w:tcPr>
          <w:p w14:paraId="15A1FAAE" w14:textId="77777777" w:rsidR="00D609DA" w:rsidRPr="00284094" w:rsidRDefault="00D609DA" w:rsidP="00D609DA">
            <w:pPr>
              <w:spacing w:after="0" w:line="240" w:lineRule="auto"/>
              <w:jc w:val="center"/>
              <w:rPr>
                <w:rFonts w:cs="Times New Roman"/>
                <w:sz w:val="22"/>
              </w:rPr>
            </w:pPr>
            <w:r w:rsidRPr="00284094">
              <w:rPr>
                <w:rFonts w:cs="Times New Roman"/>
                <w:sz w:val="22"/>
              </w:rPr>
              <w:t>15.7</w:t>
            </w:r>
            <w:r w:rsidRPr="00284094">
              <w:rPr>
                <w:rFonts w:cs="Times New Roman"/>
                <w:sz w:val="22"/>
                <w:vertAlign w:val="superscript"/>
              </w:rPr>
              <w:t>c</w:t>
            </w:r>
            <w:r w:rsidRPr="00284094">
              <w:rPr>
                <w:rFonts w:cs="Times New Roman"/>
                <w:sz w:val="22"/>
              </w:rPr>
              <w:t xml:space="preserve"> ± 0.3</w:t>
            </w:r>
          </w:p>
        </w:tc>
        <w:tc>
          <w:tcPr>
            <w:tcW w:w="1708" w:type="dxa"/>
          </w:tcPr>
          <w:p w14:paraId="021AA774" w14:textId="77777777" w:rsidR="00D609DA" w:rsidRPr="00284094" w:rsidRDefault="00D609DA" w:rsidP="00D609DA">
            <w:pPr>
              <w:spacing w:after="0" w:line="240" w:lineRule="auto"/>
              <w:jc w:val="center"/>
              <w:rPr>
                <w:rFonts w:cs="Times New Roman"/>
                <w:sz w:val="22"/>
              </w:rPr>
            </w:pPr>
            <w:r w:rsidRPr="00284094">
              <w:rPr>
                <w:rFonts w:cs="Times New Roman"/>
                <w:sz w:val="22"/>
              </w:rPr>
              <w:t>1.73</w:t>
            </w:r>
            <w:r w:rsidRPr="00284094">
              <w:rPr>
                <w:rFonts w:cs="Times New Roman"/>
                <w:sz w:val="22"/>
                <w:vertAlign w:val="superscript"/>
              </w:rPr>
              <w:t>c</w:t>
            </w:r>
            <w:r w:rsidRPr="00284094">
              <w:rPr>
                <w:rFonts w:cs="Times New Roman"/>
                <w:sz w:val="22"/>
              </w:rPr>
              <w:t xml:space="preserve"> ± 0.04</w:t>
            </w:r>
          </w:p>
        </w:tc>
        <w:tc>
          <w:tcPr>
            <w:tcW w:w="1768" w:type="dxa"/>
          </w:tcPr>
          <w:p w14:paraId="5396B022" w14:textId="77777777" w:rsidR="00D609DA" w:rsidRPr="00284094" w:rsidRDefault="00D609DA" w:rsidP="00D609DA">
            <w:pPr>
              <w:spacing w:after="0" w:line="240" w:lineRule="auto"/>
              <w:jc w:val="center"/>
              <w:rPr>
                <w:rFonts w:cs="Times New Roman"/>
                <w:sz w:val="22"/>
              </w:rPr>
            </w:pPr>
            <w:r w:rsidRPr="00284094">
              <w:rPr>
                <w:rFonts w:cs="Times New Roman"/>
                <w:sz w:val="22"/>
              </w:rPr>
              <w:t>118.5</w:t>
            </w:r>
          </w:p>
        </w:tc>
        <w:tc>
          <w:tcPr>
            <w:tcW w:w="1600" w:type="dxa"/>
          </w:tcPr>
          <w:p w14:paraId="56EFDB86" w14:textId="77777777" w:rsidR="00D609DA" w:rsidRPr="00284094" w:rsidRDefault="00D609DA" w:rsidP="00D609DA">
            <w:pPr>
              <w:spacing w:after="0" w:line="240" w:lineRule="auto"/>
              <w:jc w:val="center"/>
              <w:rPr>
                <w:rFonts w:cs="Times New Roman"/>
                <w:sz w:val="22"/>
              </w:rPr>
            </w:pPr>
            <w:r w:rsidRPr="00284094">
              <w:rPr>
                <w:rFonts w:cs="Times New Roman"/>
                <w:sz w:val="22"/>
              </w:rPr>
              <w:t>37.5</w:t>
            </w:r>
            <w:r w:rsidRPr="00284094">
              <w:rPr>
                <w:rFonts w:cs="Times New Roman"/>
                <w:sz w:val="22"/>
                <w:vertAlign w:val="superscript"/>
              </w:rPr>
              <w:t>a</w:t>
            </w:r>
            <w:r w:rsidRPr="00284094">
              <w:rPr>
                <w:rFonts w:cs="Times New Roman"/>
                <w:sz w:val="22"/>
              </w:rPr>
              <w:t xml:space="preserve"> ± 0.7</w:t>
            </w:r>
          </w:p>
        </w:tc>
        <w:tc>
          <w:tcPr>
            <w:tcW w:w="1711" w:type="dxa"/>
          </w:tcPr>
          <w:p w14:paraId="4AC585FC" w14:textId="77777777" w:rsidR="00D609DA" w:rsidRPr="00284094" w:rsidRDefault="00D609DA" w:rsidP="00D609DA">
            <w:pPr>
              <w:spacing w:after="0" w:line="240" w:lineRule="auto"/>
              <w:jc w:val="center"/>
              <w:rPr>
                <w:rFonts w:cs="Times New Roman"/>
                <w:sz w:val="22"/>
              </w:rPr>
            </w:pPr>
            <w:r w:rsidRPr="00284094">
              <w:rPr>
                <w:rFonts w:cs="Times New Roman"/>
                <w:sz w:val="22"/>
              </w:rPr>
              <w:t>0.50</w:t>
            </w:r>
            <w:r w:rsidRPr="00284094">
              <w:rPr>
                <w:rFonts w:cs="Times New Roman"/>
                <w:sz w:val="22"/>
                <w:vertAlign w:val="superscript"/>
              </w:rPr>
              <w:t>a</w:t>
            </w:r>
            <w:r w:rsidRPr="00284094">
              <w:rPr>
                <w:rFonts w:cs="Times New Roman"/>
                <w:sz w:val="22"/>
              </w:rPr>
              <w:t xml:space="preserve"> ± 0.01</w:t>
            </w:r>
          </w:p>
        </w:tc>
        <w:tc>
          <w:tcPr>
            <w:tcW w:w="1766" w:type="dxa"/>
          </w:tcPr>
          <w:p w14:paraId="16B1FA61" w14:textId="77777777" w:rsidR="00D609DA" w:rsidRPr="00284094" w:rsidRDefault="00D609DA" w:rsidP="00D609DA">
            <w:pPr>
              <w:spacing w:after="0" w:line="240" w:lineRule="auto"/>
              <w:jc w:val="center"/>
              <w:rPr>
                <w:rFonts w:cs="Times New Roman"/>
                <w:sz w:val="22"/>
              </w:rPr>
            </w:pPr>
            <w:r w:rsidRPr="00284094">
              <w:rPr>
                <w:rFonts w:cs="Times New Roman"/>
                <w:sz w:val="22"/>
              </w:rPr>
              <w:t>28.5</w:t>
            </w:r>
          </w:p>
        </w:tc>
      </w:tr>
      <w:tr w:rsidR="00D609DA" w:rsidRPr="00284094" w14:paraId="11A00000" w14:textId="77777777" w:rsidTr="00B938AA">
        <w:tc>
          <w:tcPr>
            <w:tcW w:w="4237" w:type="dxa"/>
          </w:tcPr>
          <w:p w14:paraId="3B66FE1C" w14:textId="6674875F" w:rsidR="00D609DA" w:rsidRPr="00284094" w:rsidRDefault="00D609DA" w:rsidP="00843E4B">
            <w:pPr>
              <w:spacing w:after="0" w:line="240" w:lineRule="auto"/>
              <w:jc w:val="left"/>
              <w:rPr>
                <w:rFonts w:cs="Times New Roman"/>
                <w:sz w:val="22"/>
              </w:rPr>
            </w:pPr>
            <w:r w:rsidRPr="00284094">
              <w:rPr>
                <w:rFonts w:cs="Times New Roman"/>
                <w:sz w:val="22"/>
              </w:rPr>
              <w:t>Maize porridge+FeSO</w:t>
            </w:r>
            <w:r w:rsidRPr="00284094">
              <w:rPr>
                <w:rFonts w:cs="Times New Roman"/>
                <w:sz w:val="22"/>
                <w:vertAlign w:val="subscript"/>
              </w:rPr>
              <w:t>4</w:t>
            </w:r>
            <w:r w:rsidRPr="00284094">
              <w:rPr>
                <w:rFonts w:cs="Times New Roman"/>
                <w:sz w:val="22"/>
              </w:rPr>
              <w:t>+ascorbic acid+</w:t>
            </w:r>
            <w:r w:rsidRPr="00284094" w:rsidDel="000532BD">
              <w:rPr>
                <w:rFonts w:cs="Times New Roman"/>
                <w:sz w:val="22"/>
              </w:rPr>
              <w:t xml:space="preserve"> </w:t>
            </w:r>
            <w:r w:rsidRPr="00284094">
              <w:rPr>
                <w:rFonts w:cs="Times New Roman"/>
                <w:sz w:val="22"/>
              </w:rPr>
              <w:t>mango+carrot</w:t>
            </w:r>
          </w:p>
        </w:tc>
        <w:tc>
          <w:tcPr>
            <w:tcW w:w="1669" w:type="dxa"/>
          </w:tcPr>
          <w:p w14:paraId="792F5BF9" w14:textId="77777777" w:rsidR="00D609DA" w:rsidRPr="00284094" w:rsidRDefault="00D609DA" w:rsidP="00D609DA">
            <w:pPr>
              <w:spacing w:after="0" w:line="240" w:lineRule="auto"/>
              <w:jc w:val="center"/>
              <w:rPr>
                <w:rFonts w:cs="Times New Roman"/>
                <w:sz w:val="22"/>
              </w:rPr>
            </w:pPr>
            <w:r w:rsidRPr="00284094">
              <w:rPr>
                <w:rFonts w:cs="Times New Roman"/>
                <w:sz w:val="22"/>
              </w:rPr>
              <w:t>30.4</w:t>
            </w:r>
            <w:r w:rsidRPr="00284094">
              <w:rPr>
                <w:rFonts w:cs="Times New Roman"/>
                <w:sz w:val="22"/>
                <w:vertAlign w:val="superscript"/>
              </w:rPr>
              <w:t>d</w:t>
            </w:r>
            <w:r w:rsidRPr="00284094">
              <w:rPr>
                <w:rFonts w:cs="Times New Roman"/>
                <w:sz w:val="22"/>
              </w:rPr>
              <w:t xml:space="preserve"> ± 0.7 </w:t>
            </w:r>
          </w:p>
          <w:p w14:paraId="28E85D90" w14:textId="77777777" w:rsidR="00D609DA" w:rsidRPr="00284094" w:rsidRDefault="00D609DA" w:rsidP="00D609DA">
            <w:pPr>
              <w:spacing w:after="0" w:line="240" w:lineRule="auto"/>
              <w:jc w:val="center"/>
              <w:rPr>
                <w:rFonts w:cs="Times New Roman"/>
                <w:sz w:val="22"/>
              </w:rPr>
            </w:pPr>
            <w:r w:rsidRPr="00284094">
              <w:rPr>
                <w:rFonts w:cs="Times New Roman"/>
                <w:sz w:val="22"/>
              </w:rPr>
              <w:t>(93%)</w:t>
            </w:r>
          </w:p>
        </w:tc>
        <w:tc>
          <w:tcPr>
            <w:tcW w:w="1708" w:type="dxa"/>
          </w:tcPr>
          <w:p w14:paraId="755A2BC2" w14:textId="77777777" w:rsidR="00D609DA" w:rsidRPr="00284094" w:rsidRDefault="00D609DA" w:rsidP="00D609DA">
            <w:pPr>
              <w:spacing w:after="0" w:line="240" w:lineRule="auto"/>
              <w:jc w:val="center"/>
              <w:rPr>
                <w:rFonts w:cs="Times New Roman"/>
                <w:sz w:val="22"/>
              </w:rPr>
            </w:pPr>
            <w:r w:rsidRPr="00284094">
              <w:rPr>
                <w:rFonts w:cs="Times New Roman"/>
                <w:sz w:val="22"/>
              </w:rPr>
              <w:t>3.34</w:t>
            </w:r>
            <w:r w:rsidRPr="00284094">
              <w:rPr>
                <w:rFonts w:cs="Times New Roman"/>
                <w:sz w:val="22"/>
                <w:vertAlign w:val="superscript"/>
              </w:rPr>
              <w:t>d</w:t>
            </w:r>
            <w:r w:rsidRPr="00284094">
              <w:rPr>
                <w:rFonts w:cs="Times New Roman"/>
                <w:sz w:val="22"/>
              </w:rPr>
              <w:t xml:space="preserve"> ± 0.08 </w:t>
            </w:r>
          </w:p>
          <w:p w14:paraId="1F4DB880" w14:textId="77777777" w:rsidR="00D609DA" w:rsidRPr="00284094" w:rsidRDefault="00D609DA" w:rsidP="00D609DA">
            <w:pPr>
              <w:spacing w:after="0" w:line="240" w:lineRule="auto"/>
              <w:jc w:val="center"/>
              <w:rPr>
                <w:rFonts w:cs="Times New Roman"/>
                <w:sz w:val="22"/>
              </w:rPr>
            </w:pPr>
            <w:r w:rsidRPr="00284094">
              <w:rPr>
                <w:rFonts w:cs="Times New Roman"/>
                <w:sz w:val="22"/>
              </w:rPr>
              <w:t>(93%)</w:t>
            </w:r>
          </w:p>
        </w:tc>
        <w:tc>
          <w:tcPr>
            <w:tcW w:w="1768" w:type="dxa"/>
          </w:tcPr>
          <w:p w14:paraId="03ABC645" w14:textId="77777777" w:rsidR="00D609DA" w:rsidRPr="00284094" w:rsidRDefault="00D609DA" w:rsidP="00D609DA">
            <w:pPr>
              <w:spacing w:after="0" w:line="240" w:lineRule="auto"/>
              <w:jc w:val="center"/>
              <w:rPr>
                <w:rFonts w:cs="Times New Roman"/>
                <w:sz w:val="22"/>
              </w:rPr>
            </w:pPr>
            <w:r w:rsidRPr="00284094">
              <w:rPr>
                <w:rFonts w:cs="Times New Roman"/>
                <w:sz w:val="22"/>
              </w:rPr>
              <w:t xml:space="preserve">228.9 </w:t>
            </w:r>
          </w:p>
          <w:p w14:paraId="6FE1E848" w14:textId="77777777" w:rsidR="00D609DA" w:rsidRPr="00284094" w:rsidRDefault="00D609DA" w:rsidP="00D609DA">
            <w:pPr>
              <w:spacing w:after="0" w:line="240" w:lineRule="auto"/>
              <w:jc w:val="center"/>
              <w:rPr>
                <w:rFonts w:cs="Times New Roman"/>
                <w:sz w:val="22"/>
              </w:rPr>
            </w:pPr>
            <w:r w:rsidRPr="00284094">
              <w:rPr>
                <w:rFonts w:cs="Times New Roman"/>
                <w:sz w:val="22"/>
              </w:rPr>
              <w:t>(93%)</w:t>
            </w:r>
          </w:p>
        </w:tc>
        <w:tc>
          <w:tcPr>
            <w:tcW w:w="1600" w:type="dxa"/>
          </w:tcPr>
          <w:p w14:paraId="4898FA3B" w14:textId="77777777" w:rsidR="00D609DA" w:rsidRPr="00284094" w:rsidRDefault="00D609DA" w:rsidP="00D609DA">
            <w:pPr>
              <w:spacing w:after="0" w:line="240" w:lineRule="auto"/>
              <w:jc w:val="center"/>
              <w:rPr>
                <w:rFonts w:cs="Times New Roman"/>
                <w:sz w:val="22"/>
              </w:rPr>
            </w:pPr>
            <w:r w:rsidRPr="00284094">
              <w:rPr>
                <w:rFonts w:cs="Times New Roman"/>
                <w:sz w:val="22"/>
              </w:rPr>
              <w:t>40.9</w:t>
            </w:r>
            <w:r w:rsidRPr="00284094">
              <w:rPr>
                <w:rFonts w:cs="Times New Roman"/>
                <w:sz w:val="22"/>
                <w:vertAlign w:val="superscript"/>
              </w:rPr>
              <w:t>a</w:t>
            </w:r>
            <w:r w:rsidRPr="00284094">
              <w:rPr>
                <w:rFonts w:cs="Times New Roman"/>
                <w:sz w:val="22"/>
              </w:rPr>
              <w:t xml:space="preserve"> ± 1.6</w:t>
            </w:r>
          </w:p>
        </w:tc>
        <w:tc>
          <w:tcPr>
            <w:tcW w:w="1711" w:type="dxa"/>
          </w:tcPr>
          <w:p w14:paraId="2FC48ED0" w14:textId="77777777" w:rsidR="00D609DA" w:rsidRPr="00284094" w:rsidRDefault="00D609DA" w:rsidP="00D609DA">
            <w:pPr>
              <w:spacing w:after="0" w:line="240" w:lineRule="auto"/>
              <w:jc w:val="center"/>
              <w:rPr>
                <w:rFonts w:cs="Times New Roman"/>
                <w:sz w:val="22"/>
              </w:rPr>
            </w:pPr>
            <w:r w:rsidRPr="00284094">
              <w:rPr>
                <w:rFonts w:cs="Times New Roman"/>
                <w:sz w:val="22"/>
              </w:rPr>
              <w:t>0.54</w:t>
            </w:r>
            <w:r w:rsidRPr="00284094">
              <w:rPr>
                <w:rFonts w:cs="Times New Roman"/>
                <w:sz w:val="22"/>
                <w:vertAlign w:val="superscript"/>
              </w:rPr>
              <w:t>a</w:t>
            </w:r>
            <w:r w:rsidRPr="00284094">
              <w:rPr>
                <w:rFonts w:cs="Times New Roman"/>
                <w:sz w:val="22"/>
              </w:rPr>
              <w:t xml:space="preserve"> ± 0.02</w:t>
            </w:r>
          </w:p>
        </w:tc>
        <w:tc>
          <w:tcPr>
            <w:tcW w:w="1766" w:type="dxa"/>
          </w:tcPr>
          <w:p w14:paraId="22A79230" w14:textId="77777777" w:rsidR="00D609DA" w:rsidRPr="00284094" w:rsidRDefault="00D609DA" w:rsidP="00D609DA">
            <w:pPr>
              <w:spacing w:after="0" w:line="240" w:lineRule="auto"/>
              <w:jc w:val="center"/>
              <w:rPr>
                <w:rFonts w:cs="Times New Roman"/>
                <w:sz w:val="22"/>
              </w:rPr>
            </w:pPr>
            <w:r w:rsidRPr="00284094">
              <w:rPr>
                <w:rFonts w:cs="Times New Roman"/>
                <w:sz w:val="22"/>
              </w:rPr>
              <w:t>31.1</w:t>
            </w:r>
          </w:p>
        </w:tc>
      </w:tr>
      <w:tr w:rsidR="00D609DA" w:rsidRPr="00284094" w14:paraId="184A8B71" w14:textId="77777777" w:rsidTr="00B938AA">
        <w:tc>
          <w:tcPr>
            <w:tcW w:w="4237" w:type="dxa"/>
          </w:tcPr>
          <w:p w14:paraId="422CBB32" w14:textId="1F7A3CA0" w:rsidR="00D609DA" w:rsidRPr="00284094" w:rsidRDefault="00D609DA" w:rsidP="00843E4B">
            <w:pPr>
              <w:spacing w:after="0" w:line="240" w:lineRule="auto"/>
              <w:jc w:val="left"/>
              <w:rPr>
                <w:rFonts w:cs="Times New Roman"/>
                <w:sz w:val="22"/>
              </w:rPr>
            </w:pPr>
            <w:r w:rsidRPr="00284094">
              <w:rPr>
                <w:rFonts w:cs="Times New Roman"/>
                <w:sz w:val="22"/>
              </w:rPr>
              <w:t>Maize porridge+moringa (M+S)</w:t>
            </w:r>
            <w:r w:rsidRPr="00284094">
              <w:rPr>
                <w:rFonts w:cs="Times New Roman"/>
                <w:b/>
                <w:sz w:val="22"/>
                <w:vertAlign w:val="superscript"/>
              </w:rPr>
              <w:t>$</w:t>
            </w:r>
            <w:r w:rsidRPr="00284094">
              <w:rPr>
                <w:rFonts w:cs="Times New Roman"/>
                <w:sz w:val="22"/>
              </w:rPr>
              <w:t>+mango+carrot</w:t>
            </w:r>
          </w:p>
        </w:tc>
        <w:tc>
          <w:tcPr>
            <w:tcW w:w="1669" w:type="dxa"/>
          </w:tcPr>
          <w:p w14:paraId="491633AC" w14:textId="77777777" w:rsidR="00D609DA" w:rsidRPr="00284094" w:rsidRDefault="00D609DA" w:rsidP="00D609DA">
            <w:pPr>
              <w:spacing w:after="0" w:line="240" w:lineRule="auto"/>
              <w:jc w:val="center"/>
              <w:rPr>
                <w:rFonts w:cs="Times New Roman"/>
                <w:sz w:val="22"/>
              </w:rPr>
            </w:pPr>
            <w:r w:rsidRPr="00284094">
              <w:rPr>
                <w:rFonts w:cs="Times New Roman"/>
                <w:sz w:val="22"/>
              </w:rPr>
              <w:t>3.2</w:t>
            </w:r>
            <w:r w:rsidRPr="00284094">
              <w:rPr>
                <w:rFonts w:cs="Times New Roman"/>
                <w:sz w:val="22"/>
                <w:vertAlign w:val="superscript"/>
              </w:rPr>
              <w:t>a</w:t>
            </w:r>
            <w:r w:rsidRPr="00284094">
              <w:rPr>
                <w:rFonts w:cs="Times New Roman"/>
                <w:sz w:val="22"/>
              </w:rPr>
              <w:t xml:space="preserve"> ± 0.3 </w:t>
            </w:r>
          </w:p>
          <w:p w14:paraId="73C92466" w14:textId="77777777" w:rsidR="00D609DA" w:rsidRPr="00284094" w:rsidRDefault="00D609DA" w:rsidP="00D609DA">
            <w:pPr>
              <w:spacing w:after="0" w:line="240" w:lineRule="auto"/>
              <w:jc w:val="center"/>
              <w:rPr>
                <w:rFonts w:cs="Times New Roman"/>
                <w:sz w:val="22"/>
              </w:rPr>
            </w:pPr>
            <w:r w:rsidRPr="00284094">
              <w:rPr>
                <w:rFonts w:cs="Times New Roman"/>
                <w:sz w:val="22"/>
              </w:rPr>
              <w:t>(-80%)</w:t>
            </w:r>
          </w:p>
        </w:tc>
        <w:tc>
          <w:tcPr>
            <w:tcW w:w="1708" w:type="dxa"/>
          </w:tcPr>
          <w:p w14:paraId="068651DF" w14:textId="77777777" w:rsidR="00D609DA" w:rsidRPr="00284094" w:rsidRDefault="00D609DA" w:rsidP="00D609DA">
            <w:pPr>
              <w:spacing w:after="0" w:line="240" w:lineRule="auto"/>
              <w:jc w:val="center"/>
              <w:rPr>
                <w:rFonts w:cs="Times New Roman"/>
                <w:sz w:val="22"/>
              </w:rPr>
            </w:pPr>
            <w:r w:rsidRPr="00284094">
              <w:rPr>
                <w:rFonts w:cs="Times New Roman"/>
                <w:sz w:val="22"/>
              </w:rPr>
              <w:t>0.37</w:t>
            </w:r>
            <w:r w:rsidRPr="00284094">
              <w:rPr>
                <w:rFonts w:cs="Times New Roman"/>
                <w:sz w:val="22"/>
                <w:vertAlign w:val="superscript"/>
              </w:rPr>
              <w:t>a</w:t>
            </w:r>
            <w:r w:rsidRPr="00284094">
              <w:rPr>
                <w:rFonts w:cs="Times New Roman"/>
                <w:sz w:val="22"/>
              </w:rPr>
              <w:t xml:space="preserve"> ± 0.03 </w:t>
            </w:r>
          </w:p>
          <w:p w14:paraId="69FF9261" w14:textId="77777777" w:rsidR="00D609DA" w:rsidRPr="00284094" w:rsidRDefault="00D609DA" w:rsidP="00D609DA">
            <w:pPr>
              <w:spacing w:after="0" w:line="240" w:lineRule="auto"/>
              <w:jc w:val="center"/>
              <w:rPr>
                <w:rFonts w:cs="Times New Roman"/>
                <w:sz w:val="22"/>
              </w:rPr>
            </w:pPr>
            <w:r w:rsidRPr="00284094">
              <w:rPr>
                <w:rFonts w:cs="Times New Roman"/>
                <w:sz w:val="22"/>
              </w:rPr>
              <w:t>(-78%)</w:t>
            </w:r>
          </w:p>
        </w:tc>
        <w:tc>
          <w:tcPr>
            <w:tcW w:w="1768" w:type="dxa"/>
          </w:tcPr>
          <w:p w14:paraId="0C9F8030" w14:textId="77777777" w:rsidR="00D609DA" w:rsidRPr="00284094" w:rsidRDefault="00D609DA" w:rsidP="00D609DA">
            <w:pPr>
              <w:spacing w:after="0" w:line="240" w:lineRule="auto"/>
              <w:jc w:val="center"/>
              <w:rPr>
                <w:rFonts w:cs="Times New Roman"/>
                <w:sz w:val="22"/>
              </w:rPr>
            </w:pPr>
            <w:r w:rsidRPr="00284094">
              <w:rPr>
                <w:rFonts w:cs="Times New Roman"/>
                <w:sz w:val="22"/>
              </w:rPr>
              <w:t xml:space="preserve">25.2 </w:t>
            </w:r>
          </w:p>
          <w:p w14:paraId="5E0568F5" w14:textId="77777777" w:rsidR="00D609DA" w:rsidRPr="00284094" w:rsidRDefault="00D609DA" w:rsidP="00D609DA">
            <w:pPr>
              <w:spacing w:after="0" w:line="240" w:lineRule="auto"/>
              <w:jc w:val="center"/>
              <w:rPr>
                <w:rFonts w:cs="Times New Roman"/>
                <w:sz w:val="22"/>
              </w:rPr>
            </w:pPr>
            <w:r w:rsidRPr="00284094">
              <w:rPr>
                <w:rFonts w:cs="Times New Roman"/>
                <w:sz w:val="22"/>
              </w:rPr>
              <w:t>(-78%)</w:t>
            </w:r>
          </w:p>
        </w:tc>
        <w:tc>
          <w:tcPr>
            <w:tcW w:w="1600" w:type="dxa"/>
          </w:tcPr>
          <w:p w14:paraId="10986FB3" w14:textId="77777777" w:rsidR="00D609DA" w:rsidRPr="00284094" w:rsidRDefault="00D609DA" w:rsidP="00D609DA">
            <w:pPr>
              <w:spacing w:after="0" w:line="240" w:lineRule="auto"/>
              <w:jc w:val="center"/>
              <w:rPr>
                <w:rFonts w:cs="Times New Roman"/>
                <w:sz w:val="22"/>
              </w:rPr>
            </w:pPr>
            <w:r w:rsidRPr="00284094">
              <w:rPr>
                <w:rFonts w:cs="Times New Roman"/>
                <w:sz w:val="22"/>
              </w:rPr>
              <w:t>39.6</w:t>
            </w:r>
            <w:r w:rsidRPr="00284094">
              <w:rPr>
                <w:rFonts w:cs="Times New Roman"/>
                <w:sz w:val="22"/>
                <w:vertAlign w:val="superscript"/>
              </w:rPr>
              <w:t>a</w:t>
            </w:r>
            <w:r w:rsidRPr="00284094">
              <w:rPr>
                <w:rFonts w:cs="Times New Roman"/>
                <w:sz w:val="22"/>
              </w:rPr>
              <w:t xml:space="preserve"> ± 9.0</w:t>
            </w:r>
          </w:p>
        </w:tc>
        <w:tc>
          <w:tcPr>
            <w:tcW w:w="1711" w:type="dxa"/>
          </w:tcPr>
          <w:p w14:paraId="4301E0B2" w14:textId="77777777" w:rsidR="00D609DA" w:rsidRPr="00284094" w:rsidRDefault="00D609DA" w:rsidP="00D609DA">
            <w:pPr>
              <w:spacing w:after="0" w:line="240" w:lineRule="auto"/>
              <w:jc w:val="center"/>
              <w:rPr>
                <w:rFonts w:cs="Times New Roman"/>
                <w:sz w:val="22"/>
              </w:rPr>
            </w:pPr>
            <w:r w:rsidRPr="00284094">
              <w:rPr>
                <w:rFonts w:cs="Times New Roman"/>
                <w:sz w:val="22"/>
              </w:rPr>
              <w:t>0.68</w:t>
            </w:r>
            <w:r w:rsidRPr="00284094">
              <w:rPr>
                <w:rFonts w:cs="Times New Roman"/>
                <w:sz w:val="22"/>
                <w:vertAlign w:val="superscript"/>
              </w:rPr>
              <w:t>b</w:t>
            </w:r>
            <w:r w:rsidRPr="00284094">
              <w:rPr>
                <w:rFonts w:cs="Times New Roman"/>
                <w:sz w:val="22"/>
              </w:rPr>
              <w:t xml:space="preserve"> ± 0.15 </w:t>
            </w:r>
          </w:p>
          <w:p w14:paraId="3A15EF1F" w14:textId="77777777" w:rsidR="00D609DA" w:rsidRPr="00284094" w:rsidRDefault="00D609DA" w:rsidP="00D609DA">
            <w:pPr>
              <w:spacing w:after="0" w:line="240" w:lineRule="auto"/>
              <w:jc w:val="center"/>
              <w:rPr>
                <w:rFonts w:cs="Times New Roman"/>
                <w:sz w:val="22"/>
              </w:rPr>
            </w:pPr>
            <w:r w:rsidRPr="00284094">
              <w:rPr>
                <w:rFonts w:cs="Times New Roman"/>
                <w:sz w:val="22"/>
              </w:rPr>
              <w:t>(36%)</w:t>
            </w:r>
          </w:p>
        </w:tc>
        <w:tc>
          <w:tcPr>
            <w:tcW w:w="1766" w:type="dxa"/>
          </w:tcPr>
          <w:p w14:paraId="768345A9" w14:textId="77777777" w:rsidR="00D609DA" w:rsidRPr="00284094" w:rsidRDefault="00D609DA" w:rsidP="00D609DA">
            <w:pPr>
              <w:spacing w:after="0" w:line="240" w:lineRule="auto"/>
              <w:jc w:val="center"/>
              <w:rPr>
                <w:rFonts w:cs="Times New Roman"/>
                <w:sz w:val="22"/>
              </w:rPr>
            </w:pPr>
            <w:r w:rsidRPr="00284094">
              <w:rPr>
                <w:rFonts w:cs="Times New Roman"/>
                <w:sz w:val="22"/>
              </w:rPr>
              <w:t xml:space="preserve">38.9 </w:t>
            </w:r>
          </w:p>
          <w:p w14:paraId="25145696" w14:textId="77777777" w:rsidR="00D609DA" w:rsidRPr="00284094" w:rsidRDefault="00D609DA" w:rsidP="00D609DA">
            <w:pPr>
              <w:spacing w:after="0" w:line="240" w:lineRule="auto"/>
              <w:jc w:val="center"/>
              <w:rPr>
                <w:rFonts w:cs="Times New Roman"/>
                <w:sz w:val="22"/>
              </w:rPr>
            </w:pPr>
            <w:r w:rsidRPr="00284094">
              <w:rPr>
                <w:rFonts w:cs="Times New Roman"/>
                <w:sz w:val="22"/>
              </w:rPr>
              <w:t>(36%)</w:t>
            </w:r>
          </w:p>
        </w:tc>
      </w:tr>
      <w:tr w:rsidR="00D609DA" w:rsidRPr="00284094" w14:paraId="3A9D31C6" w14:textId="77777777" w:rsidTr="00B938AA">
        <w:tc>
          <w:tcPr>
            <w:tcW w:w="4237" w:type="dxa"/>
          </w:tcPr>
          <w:p w14:paraId="7ED42472" w14:textId="2F749C4B" w:rsidR="00D609DA" w:rsidRPr="00284094" w:rsidRDefault="00D609DA" w:rsidP="00843E4B">
            <w:pPr>
              <w:spacing w:after="0" w:line="240" w:lineRule="auto"/>
              <w:jc w:val="left"/>
              <w:rPr>
                <w:rFonts w:cs="Times New Roman"/>
                <w:sz w:val="22"/>
              </w:rPr>
            </w:pPr>
            <w:r w:rsidRPr="00284094">
              <w:rPr>
                <w:rFonts w:cs="Times New Roman"/>
                <w:sz w:val="22"/>
              </w:rPr>
              <w:t>Maize porridge+FeSO</w:t>
            </w:r>
            <w:r w:rsidRPr="00284094">
              <w:rPr>
                <w:rFonts w:cs="Times New Roman"/>
                <w:sz w:val="22"/>
                <w:vertAlign w:val="subscript"/>
              </w:rPr>
              <w:t>4</w:t>
            </w:r>
            <w:r w:rsidRPr="00284094">
              <w:rPr>
                <w:rFonts w:cs="Times New Roman"/>
                <w:sz w:val="22"/>
              </w:rPr>
              <w:t>+baobab+mango+ carrot</w:t>
            </w:r>
          </w:p>
        </w:tc>
        <w:tc>
          <w:tcPr>
            <w:tcW w:w="1669" w:type="dxa"/>
          </w:tcPr>
          <w:p w14:paraId="2B8724AC" w14:textId="77777777" w:rsidR="00D609DA" w:rsidRPr="00284094" w:rsidRDefault="00D609DA" w:rsidP="00D609DA">
            <w:pPr>
              <w:spacing w:after="0" w:line="240" w:lineRule="auto"/>
              <w:jc w:val="center"/>
              <w:rPr>
                <w:rFonts w:cs="Times New Roman"/>
                <w:sz w:val="22"/>
              </w:rPr>
            </w:pPr>
            <w:r w:rsidRPr="00284094">
              <w:rPr>
                <w:rFonts w:cs="Times New Roman"/>
                <w:sz w:val="22"/>
              </w:rPr>
              <w:t>32.5</w:t>
            </w:r>
            <w:r w:rsidRPr="00284094">
              <w:rPr>
                <w:rFonts w:cs="Times New Roman"/>
                <w:sz w:val="22"/>
                <w:vertAlign w:val="superscript"/>
              </w:rPr>
              <w:t>e</w:t>
            </w:r>
            <w:r w:rsidRPr="00284094">
              <w:rPr>
                <w:rFonts w:cs="Times New Roman"/>
                <w:sz w:val="22"/>
              </w:rPr>
              <w:t xml:space="preserve"> ± 2.0 </w:t>
            </w:r>
          </w:p>
          <w:p w14:paraId="7A96ACAD" w14:textId="77777777" w:rsidR="00D609DA" w:rsidRPr="00284094" w:rsidRDefault="00D609DA" w:rsidP="00D609DA">
            <w:pPr>
              <w:spacing w:after="0" w:line="240" w:lineRule="auto"/>
              <w:jc w:val="center"/>
              <w:rPr>
                <w:rFonts w:cs="Times New Roman"/>
                <w:sz w:val="22"/>
              </w:rPr>
            </w:pPr>
            <w:r w:rsidRPr="00284094">
              <w:rPr>
                <w:rFonts w:cs="Times New Roman"/>
                <w:sz w:val="22"/>
              </w:rPr>
              <w:t>(107%)</w:t>
            </w:r>
          </w:p>
        </w:tc>
        <w:tc>
          <w:tcPr>
            <w:tcW w:w="1708" w:type="dxa"/>
          </w:tcPr>
          <w:p w14:paraId="016B7305" w14:textId="77777777" w:rsidR="00D609DA" w:rsidRPr="00284094" w:rsidRDefault="00D609DA" w:rsidP="00D609DA">
            <w:pPr>
              <w:spacing w:after="0" w:line="240" w:lineRule="auto"/>
              <w:jc w:val="center"/>
              <w:rPr>
                <w:rFonts w:cs="Times New Roman"/>
                <w:sz w:val="22"/>
              </w:rPr>
            </w:pPr>
            <w:r w:rsidRPr="00284094">
              <w:rPr>
                <w:rFonts w:cs="Times New Roman"/>
                <w:sz w:val="22"/>
              </w:rPr>
              <w:t>3.66</w:t>
            </w:r>
            <w:r w:rsidRPr="00284094">
              <w:rPr>
                <w:rFonts w:cs="Times New Roman"/>
                <w:sz w:val="22"/>
                <w:vertAlign w:val="superscript"/>
              </w:rPr>
              <w:t>e</w:t>
            </w:r>
            <w:r w:rsidRPr="00284094">
              <w:rPr>
                <w:rFonts w:cs="Times New Roman"/>
                <w:sz w:val="22"/>
              </w:rPr>
              <w:t xml:space="preserve"> ± 0.22 </w:t>
            </w:r>
          </w:p>
          <w:p w14:paraId="12283833" w14:textId="77777777" w:rsidR="00D609DA" w:rsidRPr="00284094" w:rsidRDefault="00D609DA" w:rsidP="00D609DA">
            <w:pPr>
              <w:spacing w:after="0" w:line="240" w:lineRule="auto"/>
              <w:jc w:val="center"/>
              <w:rPr>
                <w:rFonts w:cs="Times New Roman"/>
                <w:sz w:val="22"/>
              </w:rPr>
            </w:pPr>
            <w:r w:rsidRPr="00284094">
              <w:rPr>
                <w:rFonts w:cs="Times New Roman"/>
                <w:sz w:val="22"/>
              </w:rPr>
              <w:t>(111%)</w:t>
            </w:r>
          </w:p>
        </w:tc>
        <w:tc>
          <w:tcPr>
            <w:tcW w:w="1768" w:type="dxa"/>
          </w:tcPr>
          <w:p w14:paraId="2C00A48B" w14:textId="77777777" w:rsidR="00D609DA" w:rsidRPr="00284094" w:rsidRDefault="00D609DA" w:rsidP="00D609DA">
            <w:pPr>
              <w:spacing w:after="0" w:line="240" w:lineRule="auto"/>
              <w:jc w:val="center"/>
              <w:rPr>
                <w:rFonts w:cs="Times New Roman"/>
                <w:sz w:val="22"/>
              </w:rPr>
            </w:pPr>
            <w:r w:rsidRPr="00284094">
              <w:rPr>
                <w:rFonts w:cs="Times New Roman"/>
                <w:sz w:val="22"/>
              </w:rPr>
              <w:t xml:space="preserve">250.6 </w:t>
            </w:r>
          </w:p>
          <w:p w14:paraId="2FB52753" w14:textId="77777777" w:rsidR="00D609DA" w:rsidRPr="00284094" w:rsidRDefault="00D609DA" w:rsidP="00D609DA">
            <w:pPr>
              <w:spacing w:after="0" w:line="240" w:lineRule="auto"/>
              <w:jc w:val="center"/>
              <w:rPr>
                <w:rFonts w:cs="Times New Roman"/>
                <w:sz w:val="22"/>
              </w:rPr>
            </w:pPr>
            <w:r w:rsidRPr="00284094">
              <w:rPr>
                <w:rFonts w:cs="Times New Roman"/>
                <w:sz w:val="22"/>
              </w:rPr>
              <w:t>(111%)</w:t>
            </w:r>
          </w:p>
        </w:tc>
        <w:tc>
          <w:tcPr>
            <w:tcW w:w="1600" w:type="dxa"/>
          </w:tcPr>
          <w:p w14:paraId="53B26D89" w14:textId="77777777" w:rsidR="00D609DA" w:rsidRPr="00284094" w:rsidRDefault="00D609DA" w:rsidP="00D609DA">
            <w:pPr>
              <w:spacing w:after="0" w:line="240" w:lineRule="auto"/>
              <w:jc w:val="center"/>
              <w:rPr>
                <w:rFonts w:cs="Times New Roman"/>
                <w:sz w:val="22"/>
              </w:rPr>
            </w:pPr>
            <w:r w:rsidRPr="00284094">
              <w:rPr>
                <w:rFonts w:cs="Times New Roman"/>
                <w:sz w:val="22"/>
              </w:rPr>
              <w:t>54.3</w:t>
            </w:r>
            <w:r w:rsidRPr="00284094">
              <w:rPr>
                <w:rFonts w:cs="Times New Roman"/>
                <w:sz w:val="22"/>
                <w:vertAlign w:val="superscript"/>
              </w:rPr>
              <w:t>b</w:t>
            </w:r>
            <w:r w:rsidRPr="00284094">
              <w:rPr>
                <w:rFonts w:cs="Times New Roman"/>
                <w:sz w:val="22"/>
              </w:rPr>
              <w:t xml:space="preserve"> ± 1.1 </w:t>
            </w:r>
          </w:p>
          <w:p w14:paraId="7F2102CF" w14:textId="77777777" w:rsidR="00D609DA" w:rsidRPr="00284094" w:rsidRDefault="00D609DA" w:rsidP="00D609DA">
            <w:pPr>
              <w:spacing w:after="0" w:line="240" w:lineRule="auto"/>
              <w:jc w:val="center"/>
              <w:rPr>
                <w:rFonts w:cs="Times New Roman"/>
                <w:sz w:val="22"/>
              </w:rPr>
            </w:pPr>
            <w:r w:rsidRPr="00284094">
              <w:rPr>
                <w:rFonts w:cs="Times New Roman"/>
                <w:sz w:val="22"/>
              </w:rPr>
              <w:t>(45%)</w:t>
            </w:r>
          </w:p>
        </w:tc>
        <w:tc>
          <w:tcPr>
            <w:tcW w:w="1711" w:type="dxa"/>
          </w:tcPr>
          <w:p w14:paraId="3075C639" w14:textId="77777777" w:rsidR="00D609DA" w:rsidRPr="00284094" w:rsidRDefault="00D609DA" w:rsidP="00D609DA">
            <w:pPr>
              <w:spacing w:after="0" w:line="240" w:lineRule="auto"/>
              <w:jc w:val="center"/>
              <w:rPr>
                <w:rFonts w:cs="Times New Roman"/>
                <w:sz w:val="22"/>
              </w:rPr>
            </w:pPr>
            <w:r w:rsidRPr="00284094">
              <w:rPr>
                <w:rFonts w:cs="Times New Roman"/>
                <w:sz w:val="22"/>
              </w:rPr>
              <w:t>0.80</w:t>
            </w:r>
            <w:r w:rsidRPr="00284094">
              <w:rPr>
                <w:rFonts w:cs="Times New Roman"/>
                <w:sz w:val="22"/>
                <w:vertAlign w:val="superscript"/>
              </w:rPr>
              <w:t>c</w:t>
            </w:r>
            <w:r w:rsidRPr="00284094">
              <w:rPr>
                <w:rFonts w:cs="Times New Roman"/>
                <w:sz w:val="22"/>
              </w:rPr>
              <w:t xml:space="preserve"> ± 0.02 </w:t>
            </w:r>
          </w:p>
          <w:p w14:paraId="31423879" w14:textId="77777777" w:rsidR="00D609DA" w:rsidRPr="00284094" w:rsidRDefault="00D609DA" w:rsidP="00D609DA">
            <w:pPr>
              <w:spacing w:after="0" w:line="240" w:lineRule="auto"/>
              <w:jc w:val="center"/>
              <w:rPr>
                <w:rFonts w:cs="Times New Roman"/>
                <w:sz w:val="22"/>
              </w:rPr>
            </w:pPr>
            <w:r w:rsidRPr="00284094">
              <w:rPr>
                <w:rFonts w:cs="Times New Roman"/>
                <w:sz w:val="22"/>
              </w:rPr>
              <w:t>(60%)</w:t>
            </w:r>
          </w:p>
        </w:tc>
        <w:tc>
          <w:tcPr>
            <w:tcW w:w="1766" w:type="dxa"/>
          </w:tcPr>
          <w:p w14:paraId="547D4389" w14:textId="77777777" w:rsidR="00D609DA" w:rsidRPr="00284094" w:rsidRDefault="00D609DA" w:rsidP="00D609DA">
            <w:pPr>
              <w:spacing w:after="0" w:line="240" w:lineRule="auto"/>
              <w:jc w:val="center"/>
              <w:rPr>
                <w:rFonts w:cs="Times New Roman"/>
                <w:sz w:val="22"/>
              </w:rPr>
            </w:pPr>
            <w:r w:rsidRPr="00284094">
              <w:rPr>
                <w:rFonts w:cs="Times New Roman"/>
                <w:sz w:val="22"/>
              </w:rPr>
              <w:t xml:space="preserve">45.7 </w:t>
            </w:r>
          </w:p>
          <w:p w14:paraId="6494C6D8" w14:textId="77777777" w:rsidR="00D609DA" w:rsidRPr="00284094" w:rsidRDefault="00D609DA" w:rsidP="00D609DA">
            <w:pPr>
              <w:spacing w:after="0" w:line="240" w:lineRule="auto"/>
              <w:jc w:val="center"/>
              <w:rPr>
                <w:rFonts w:cs="Times New Roman"/>
                <w:sz w:val="22"/>
              </w:rPr>
            </w:pPr>
            <w:r w:rsidRPr="00284094">
              <w:rPr>
                <w:rFonts w:cs="Times New Roman"/>
                <w:sz w:val="22"/>
              </w:rPr>
              <w:t>(60%)</w:t>
            </w:r>
          </w:p>
        </w:tc>
      </w:tr>
      <w:tr w:rsidR="00D609DA" w:rsidRPr="00284094" w14:paraId="0A913871" w14:textId="77777777" w:rsidTr="00B938AA">
        <w:tc>
          <w:tcPr>
            <w:tcW w:w="4237" w:type="dxa"/>
          </w:tcPr>
          <w:p w14:paraId="3B8B4296" w14:textId="279CBEBE" w:rsidR="00D609DA" w:rsidRPr="00284094" w:rsidRDefault="00D609DA" w:rsidP="00843E4B">
            <w:pPr>
              <w:spacing w:after="0" w:line="240" w:lineRule="auto"/>
              <w:jc w:val="left"/>
              <w:rPr>
                <w:rFonts w:cs="Times New Roman"/>
                <w:sz w:val="22"/>
              </w:rPr>
            </w:pPr>
            <w:r w:rsidRPr="00284094">
              <w:rPr>
                <w:rFonts w:cs="Times New Roman"/>
                <w:sz w:val="22"/>
              </w:rPr>
              <w:t>Maize porridge+moringa(M+S)</w:t>
            </w:r>
            <w:r w:rsidRPr="00284094">
              <w:rPr>
                <w:rFonts w:cs="Times New Roman"/>
                <w:b/>
                <w:sz w:val="22"/>
                <w:vertAlign w:val="superscript"/>
              </w:rPr>
              <w:t>$</w:t>
            </w:r>
            <w:r w:rsidRPr="00284094">
              <w:rPr>
                <w:rFonts w:cs="Times New Roman"/>
                <w:sz w:val="22"/>
              </w:rPr>
              <w:t>+baobab+ mango+carrot</w:t>
            </w:r>
          </w:p>
        </w:tc>
        <w:tc>
          <w:tcPr>
            <w:tcW w:w="1669" w:type="dxa"/>
          </w:tcPr>
          <w:p w14:paraId="68863D2C" w14:textId="77777777" w:rsidR="00D609DA" w:rsidRPr="00284094" w:rsidRDefault="00D609DA" w:rsidP="00D609DA">
            <w:pPr>
              <w:spacing w:after="0" w:line="240" w:lineRule="auto"/>
              <w:jc w:val="center"/>
              <w:rPr>
                <w:rFonts w:cs="Times New Roman"/>
                <w:sz w:val="22"/>
              </w:rPr>
            </w:pPr>
            <w:r w:rsidRPr="00284094">
              <w:rPr>
                <w:rFonts w:cs="Times New Roman"/>
                <w:sz w:val="22"/>
              </w:rPr>
              <w:t>4.71</w:t>
            </w:r>
            <w:r w:rsidRPr="00284094">
              <w:rPr>
                <w:rFonts w:cs="Times New Roman"/>
                <w:sz w:val="22"/>
                <w:vertAlign w:val="superscript"/>
              </w:rPr>
              <w:t>b</w:t>
            </w:r>
            <w:r w:rsidRPr="00284094">
              <w:rPr>
                <w:rFonts w:cs="Times New Roman"/>
                <w:sz w:val="22"/>
              </w:rPr>
              <w:t xml:space="preserve"> ± 0.31 </w:t>
            </w:r>
          </w:p>
          <w:p w14:paraId="00E5A22C" w14:textId="77777777" w:rsidR="00D609DA" w:rsidRPr="00284094" w:rsidRDefault="00D609DA" w:rsidP="00D609DA">
            <w:pPr>
              <w:spacing w:after="0" w:line="240" w:lineRule="auto"/>
              <w:jc w:val="center"/>
              <w:rPr>
                <w:rFonts w:cs="Times New Roman"/>
                <w:sz w:val="22"/>
              </w:rPr>
            </w:pPr>
            <w:r w:rsidRPr="00284094">
              <w:rPr>
                <w:rFonts w:cs="Times New Roman"/>
                <w:sz w:val="22"/>
              </w:rPr>
              <w:t>(-70%)</w:t>
            </w:r>
          </w:p>
        </w:tc>
        <w:tc>
          <w:tcPr>
            <w:tcW w:w="1708" w:type="dxa"/>
          </w:tcPr>
          <w:p w14:paraId="048B15A7" w14:textId="77777777" w:rsidR="00D609DA" w:rsidRPr="00284094" w:rsidRDefault="00D609DA" w:rsidP="00D609DA">
            <w:pPr>
              <w:spacing w:after="0" w:line="240" w:lineRule="auto"/>
              <w:jc w:val="center"/>
              <w:rPr>
                <w:rFonts w:cs="Times New Roman"/>
                <w:sz w:val="22"/>
              </w:rPr>
            </w:pPr>
            <w:r w:rsidRPr="00284094">
              <w:rPr>
                <w:rFonts w:cs="Times New Roman"/>
                <w:sz w:val="22"/>
              </w:rPr>
              <w:t>0.56</w:t>
            </w:r>
            <w:r w:rsidRPr="00284094">
              <w:rPr>
                <w:rFonts w:cs="Times New Roman"/>
                <w:sz w:val="22"/>
                <w:vertAlign w:val="superscript"/>
              </w:rPr>
              <w:t>b</w:t>
            </w:r>
            <w:r w:rsidRPr="00284094">
              <w:rPr>
                <w:rFonts w:cs="Times New Roman"/>
                <w:sz w:val="22"/>
              </w:rPr>
              <w:t xml:space="preserve"> ± 0.04 </w:t>
            </w:r>
          </w:p>
          <w:p w14:paraId="66CA6CD3" w14:textId="77777777" w:rsidR="00D609DA" w:rsidRPr="00284094" w:rsidRDefault="00D609DA" w:rsidP="00D609DA">
            <w:pPr>
              <w:spacing w:after="0" w:line="240" w:lineRule="auto"/>
              <w:jc w:val="center"/>
              <w:rPr>
                <w:rFonts w:cs="Times New Roman"/>
                <w:sz w:val="22"/>
              </w:rPr>
            </w:pPr>
            <w:r w:rsidRPr="00284094">
              <w:rPr>
                <w:rFonts w:cs="Times New Roman"/>
                <w:sz w:val="22"/>
              </w:rPr>
              <w:t>(-68%)</w:t>
            </w:r>
          </w:p>
        </w:tc>
        <w:tc>
          <w:tcPr>
            <w:tcW w:w="1768" w:type="dxa"/>
          </w:tcPr>
          <w:p w14:paraId="7EBDD916" w14:textId="77777777" w:rsidR="00D609DA" w:rsidRPr="00284094" w:rsidRDefault="00D609DA" w:rsidP="00D609DA">
            <w:pPr>
              <w:spacing w:after="0" w:line="240" w:lineRule="auto"/>
              <w:jc w:val="center"/>
              <w:rPr>
                <w:rFonts w:cs="Times New Roman"/>
                <w:sz w:val="22"/>
              </w:rPr>
            </w:pPr>
            <w:r w:rsidRPr="00284094">
              <w:rPr>
                <w:rFonts w:cs="Times New Roman"/>
                <w:sz w:val="22"/>
              </w:rPr>
              <w:t xml:space="preserve">38.4 </w:t>
            </w:r>
          </w:p>
          <w:p w14:paraId="543E1A4D" w14:textId="77777777" w:rsidR="00D609DA" w:rsidRPr="00284094" w:rsidRDefault="00D609DA" w:rsidP="00D609DA">
            <w:pPr>
              <w:spacing w:after="0" w:line="240" w:lineRule="auto"/>
              <w:jc w:val="center"/>
              <w:rPr>
                <w:rFonts w:cs="Times New Roman"/>
                <w:sz w:val="22"/>
              </w:rPr>
            </w:pPr>
            <w:r w:rsidRPr="00284094">
              <w:rPr>
                <w:rFonts w:cs="Times New Roman"/>
                <w:sz w:val="22"/>
              </w:rPr>
              <w:t>(-68%)</w:t>
            </w:r>
          </w:p>
        </w:tc>
        <w:tc>
          <w:tcPr>
            <w:tcW w:w="1600" w:type="dxa"/>
          </w:tcPr>
          <w:p w14:paraId="6D83D8CE" w14:textId="77777777" w:rsidR="00D609DA" w:rsidRPr="00284094" w:rsidRDefault="00D609DA" w:rsidP="00D609DA">
            <w:pPr>
              <w:spacing w:after="0" w:line="240" w:lineRule="auto"/>
              <w:jc w:val="center"/>
              <w:rPr>
                <w:rFonts w:cs="Times New Roman"/>
                <w:sz w:val="22"/>
              </w:rPr>
            </w:pPr>
            <w:r w:rsidRPr="00284094">
              <w:rPr>
                <w:rFonts w:cs="Times New Roman"/>
                <w:sz w:val="22"/>
              </w:rPr>
              <w:t>49.1</w:t>
            </w:r>
            <w:r w:rsidRPr="00284094">
              <w:rPr>
                <w:rFonts w:cs="Times New Roman"/>
                <w:sz w:val="22"/>
                <w:vertAlign w:val="superscript"/>
              </w:rPr>
              <w:t>b</w:t>
            </w:r>
            <w:r w:rsidRPr="00284094">
              <w:rPr>
                <w:rFonts w:cs="Times New Roman"/>
                <w:sz w:val="22"/>
              </w:rPr>
              <w:t xml:space="preserve"> ± 6.6 </w:t>
            </w:r>
          </w:p>
          <w:p w14:paraId="7621590F" w14:textId="77777777" w:rsidR="00D609DA" w:rsidRPr="00284094" w:rsidRDefault="00D609DA" w:rsidP="00D609DA">
            <w:pPr>
              <w:spacing w:after="0" w:line="240" w:lineRule="auto"/>
              <w:jc w:val="center"/>
              <w:rPr>
                <w:rFonts w:cs="Times New Roman"/>
                <w:sz w:val="22"/>
              </w:rPr>
            </w:pPr>
            <w:r w:rsidRPr="00284094">
              <w:rPr>
                <w:rFonts w:cs="Times New Roman"/>
                <w:sz w:val="22"/>
              </w:rPr>
              <w:t>(31%)</w:t>
            </w:r>
          </w:p>
        </w:tc>
        <w:tc>
          <w:tcPr>
            <w:tcW w:w="1711" w:type="dxa"/>
          </w:tcPr>
          <w:p w14:paraId="786288F6" w14:textId="77777777" w:rsidR="00D609DA" w:rsidRPr="00284094" w:rsidRDefault="00D609DA" w:rsidP="00D609DA">
            <w:pPr>
              <w:spacing w:after="0" w:line="240" w:lineRule="auto"/>
              <w:jc w:val="center"/>
              <w:rPr>
                <w:rFonts w:cs="Times New Roman"/>
                <w:sz w:val="22"/>
              </w:rPr>
            </w:pPr>
            <w:r w:rsidRPr="00284094">
              <w:rPr>
                <w:rFonts w:cs="Times New Roman"/>
                <w:sz w:val="22"/>
              </w:rPr>
              <w:t>0.91</w:t>
            </w:r>
            <w:r w:rsidRPr="00284094">
              <w:rPr>
                <w:rFonts w:cs="Times New Roman"/>
                <w:sz w:val="22"/>
                <w:vertAlign w:val="superscript"/>
              </w:rPr>
              <w:t>d</w:t>
            </w:r>
            <w:r w:rsidRPr="00284094">
              <w:rPr>
                <w:rFonts w:cs="Times New Roman"/>
                <w:sz w:val="22"/>
              </w:rPr>
              <w:t xml:space="preserve"> ± 0.12 </w:t>
            </w:r>
          </w:p>
          <w:p w14:paraId="772D3096" w14:textId="77777777" w:rsidR="00D609DA" w:rsidRPr="00284094" w:rsidRDefault="00D609DA" w:rsidP="00D609DA">
            <w:pPr>
              <w:spacing w:after="0" w:line="240" w:lineRule="auto"/>
              <w:jc w:val="center"/>
              <w:rPr>
                <w:rFonts w:cs="Times New Roman"/>
                <w:sz w:val="22"/>
              </w:rPr>
            </w:pPr>
            <w:r w:rsidRPr="00284094">
              <w:rPr>
                <w:rFonts w:cs="Times New Roman"/>
                <w:sz w:val="22"/>
              </w:rPr>
              <w:t>(83%)</w:t>
            </w:r>
          </w:p>
        </w:tc>
        <w:tc>
          <w:tcPr>
            <w:tcW w:w="1766" w:type="dxa"/>
          </w:tcPr>
          <w:p w14:paraId="1BADE800" w14:textId="77777777" w:rsidR="00D609DA" w:rsidRPr="00284094" w:rsidRDefault="00D609DA" w:rsidP="00D609DA">
            <w:pPr>
              <w:spacing w:after="0" w:line="240" w:lineRule="auto"/>
              <w:jc w:val="center"/>
              <w:rPr>
                <w:rFonts w:cs="Times New Roman"/>
                <w:sz w:val="22"/>
              </w:rPr>
            </w:pPr>
            <w:r w:rsidRPr="00284094">
              <w:rPr>
                <w:rFonts w:cs="Times New Roman"/>
                <w:sz w:val="22"/>
              </w:rPr>
              <w:t xml:space="preserve">52.1 </w:t>
            </w:r>
          </w:p>
          <w:p w14:paraId="79AA0510" w14:textId="77777777" w:rsidR="00D609DA" w:rsidRPr="00284094" w:rsidRDefault="00D609DA" w:rsidP="00D609DA">
            <w:pPr>
              <w:spacing w:after="0" w:line="240" w:lineRule="auto"/>
              <w:jc w:val="center"/>
              <w:rPr>
                <w:rFonts w:cs="Times New Roman"/>
                <w:sz w:val="22"/>
              </w:rPr>
            </w:pPr>
            <w:r w:rsidRPr="00284094">
              <w:rPr>
                <w:rFonts w:cs="Times New Roman"/>
                <w:sz w:val="22"/>
              </w:rPr>
              <w:t>(83%)</w:t>
            </w:r>
          </w:p>
        </w:tc>
      </w:tr>
    </w:tbl>
    <w:p w14:paraId="002F03D2" w14:textId="06C5FEAE" w:rsidR="00D609DA" w:rsidRPr="00A967D7" w:rsidRDefault="00D609DA" w:rsidP="00D609DA">
      <w:pPr>
        <w:spacing w:before="240" w:after="0" w:line="240" w:lineRule="auto"/>
        <w:rPr>
          <w:rFonts w:cs="Times New Roman"/>
          <w:sz w:val="20"/>
          <w:szCs w:val="20"/>
        </w:rPr>
      </w:pPr>
      <w:r w:rsidRPr="00A967D7">
        <w:rPr>
          <w:rFonts w:cs="Times New Roman"/>
          <w:sz w:val="20"/>
          <w:szCs w:val="20"/>
        </w:rPr>
        <w:t>Values are the mean ± 1 SD of two independent samples analysed in triplicate (n=6), Means with different superscripts letters in a column differ significantly (</w:t>
      </w:r>
      <w:r w:rsidRPr="004E47CA">
        <w:rPr>
          <w:rFonts w:cs="Times New Roman"/>
          <w:i/>
          <w:iCs/>
          <w:sz w:val="20"/>
          <w:szCs w:val="20"/>
        </w:rPr>
        <w:t>p</w:t>
      </w:r>
      <w:r w:rsidR="00D210E8">
        <w:rPr>
          <w:rFonts w:cs="Times New Roman"/>
          <w:sz w:val="20"/>
          <w:szCs w:val="20"/>
        </w:rPr>
        <w:t>&lt;</w:t>
      </w:r>
      <w:r w:rsidRPr="00A967D7">
        <w:rPr>
          <w:rFonts w:cs="Times New Roman"/>
          <w:sz w:val="20"/>
          <w:szCs w:val="20"/>
        </w:rPr>
        <w:t>0.05)</w:t>
      </w:r>
    </w:p>
    <w:p w14:paraId="26B24EAE" w14:textId="5EDF3B64" w:rsidR="00D609DA" w:rsidRDefault="00D609DA" w:rsidP="00D609DA">
      <w:pPr>
        <w:spacing w:after="0" w:line="240" w:lineRule="auto"/>
        <w:rPr>
          <w:rFonts w:cs="Times New Roman"/>
          <w:sz w:val="20"/>
          <w:szCs w:val="20"/>
        </w:rPr>
      </w:pPr>
      <w:r w:rsidRPr="00A967D7">
        <w:rPr>
          <w:rFonts w:cs="Times New Roman"/>
          <w:szCs w:val="24"/>
          <w:vertAlign w:val="superscript"/>
        </w:rPr>
        <w:t>^</w:t>
      </w:r>
      <w:r w:rsidRPr="00A967D7">
        <w:rPr>
          <w:rFonts w:cs="Times New Roman"/>
          <w:sz w:val="20"/>
          <w:szCs w:val="20"/>
        </w:rPr>
        <w:t>WHO</w:t>
      </w:r>
      <w:r w:rsidRPr="00A967D7">
        <w:rPr>
          <w:rFonts w:cs="Times New Roman"/>
          <w:szCs w:val="24"/>
          <w:vertAlign w:val="superscript"/>
        </w:rPr>
        <w:t xml:space="preserve"> </w:t>
      </w:r>
      <w:r w:rsidRPr="00A967D7">
        <w:rPr>
          <w:rFonts w:cs="Times New Roman"/>
          <w:sz w:val="20"/>
          <w:szCs w:val="20"/>
        </w:rPr>
        <w:t xml:space="preserve">and FAO </w:t>
      </w:r>
      <w:r>
        <w:rPr>
          <w:rFonts w:cs="Times New Roman"/>
          <w:sz w:val="20"/>
          <w:szCs w:val="20"/>
        </w:rPr>
        <w:t>(</w:t>
      </w:r>
      <w:r w:rsidRPr="00A967D7">
        <w:rPr>
          <w:rFonts w:cs="Times New Roman"/>
          <w:sz w:val="20"/>
          <w:szCs w:val="20"/>
        </w:rPr>
        <w:t>200</w:t>
      </w:r>
      <w:r>
        <w:rPr>
          <w:rFonts w:cs="Times New Roman"/>
          <w:sz w:val="20"/>
          <w:szCs w:val="20"/>
        </w:rPr>
        <w:t xml:space="preserve">4), </w:t>
      </w:r>
      <w:bookmarkStart w:id="118" w:name="_Hlk47113399"/>
      <w:r>
        <w:rPr>
          <w:rFonts w:cs="Times New Roman"/>
          <w:bCs/>
          <w:sz w:val="20"/>
          <w:szCs w:val="20"/>
          <w:vertAlign w:val="superscript"/>
        </w:rPr>
        <w:t>¥</w:t>
      </w:r>
      <w:r w:rsidRPr="00DC2316">
        <w:rPr>
          <w:rFonts w:cs="Times New Roman"/>
          <w:bCs/>
          <w:sz w:val="20"/>
          <w:szCs w:val="20"/>
        </w:rPr>
        <w:t xml:space="preserve">Sandstead </w:t>
      </w:r>
      <w:r>
        <w:rPr>
          <w:rFonts w:cs="Times New Roman"/>
          <w:bCs/>
          <w:sz w:val="20"/>
          <w:szCs w:val="20"/>
        </w:rPr>
        <w:t>(</w:t>
      </w:r>
      <w:r w:rsidRPr="00DC2316">
        <w:rPr>
          <w:rFonts w:cs="Times New Roman"/>
          <w:bCs/>
          <w:sz w:val="20"/>
          <w:szCs w:val="20"/>
        </w:rPr>
        <w:t>2015</w:t>
      </w:r>
      <w:r>
        <w:rPr>
          <w:rFonts w:cs="Times New Roman"/>
          <w:bCs/>
          <w:sz w:val="20"/>
          <w:szCs w:val="20"/>
        </w:rPr>
        <w:t>)</w:t>
      </w:r>
      <w:bookmarkEnd w:id="118"/>
      <w:r>
        <w:rPr>
          <w:rFonts w:cs="Times New Roman"/>
          <w:bCs/>
          <w:sz w:val="20"/>
          <w:szCs w:val="20"/>
        </w:rPr>
        <w:t xml:space="preserve">, </w:t>
      </w:r>
      <w:bookmarkStart w:id="119" w:name="_Hlk47114827"/>
      <w:r w:rsidRPr="007644F6">
        <w:rPr>
          <w:rFonts w:cs="Times New Roman"/>
          <w:sz w:val="20"/>
          <w:szCs w:val="20"/>
          <w:vertAlign w:val="superscript"/>
        </w:rPr>
        <w:t>£</w:t>
      </w:r>
      <w:r w:rsidRPr="00A967D7">
        <w:rPr>
          <w:rFonts w:cs="Times New Roman"/>
          <w:sz w:val="20"/>
          <w:szCs w:val="20"/>
        </w:rPr>
        <w:t xml:space="preserve">Percentage </w:t>
      </w:r>
      <w:r>
        <w:rPr>
          <w:rFonts w:cs="Times New Roman"/>
          <w:sz w:val="20"/>
          <w:szCs w:val="20"/>
        </w:rPr>
        <w:t>values</w:t>
      </w:r>
      <w:r w:rsidRPr="00A967D7">
        <w:rPr>
          <w:rFonts w:cs="Times New Roman"/>
          <w:sz w:val="20"/>
          <w:szCs w:val="20"/>
        </w:rPr>
        <w:t xml:space="preserve"> in bracket</w:t>
      </w:r>
      <w:r>
        <w:rPr>
          <w:rFonts w:cs="Times New Roman"/>
          <w:sz w:val="20"/>
          <w:szCs w:val="20"/>
        </w:rPr>
        <w:t>s</w:t>
      </w:r>
      <w:r w:rsidRPr="00A967D7">
        <w:rPr>
          <w:rFonts w:cs="Times New Roman"/>
          <w:sz w:val="20"/>
          <w:szCs w:val="20"/>
        </w:rPr>
        <w:t xml:space="preserve"> </w:t>
      </w:r>
      <w:r>
        <w:rPr>
          <w:rFonts w:cs="Times New Roman"/>
          <w:sz w:val="20"/>
          <w:szCs w:val="20"/>
        </w:rPr>
        <w:t>are</w:t>
      </w:r>
      <w:r w:rsidRPr="00A967D7">
        <w:rPr>
          <w:rFonts w:cs="Times New Roman"/>
          <w:sz w:val="20"/>
          <w:szCs w:val="20"/>
        </w:rPr>
        <w:t xml:space="preserve"> significantly different to </w:t>
      </w:r>
      <w:r>
        <w:rPr>
          <w:rFonts w:cs="Times New Roman"/>
          <w:sz w:val="20"/>
          <w:szCs w:val="20"/>
        </w:rPr>
        <w:t xml:space="preserve">the control </w:t>
      </w:r>
      <w:r w:rsidRPr="00A967D7">
        <w:rPr>
          <w:rFonts w:cs="Times New Roman"/>
          <w:sz w:val="20"/>
          <w:szCs w:val="20"/>
        </w:rPr>
        <w:t>maize porridge</w:t>
      </w:r>
      <w:bookmarkStart w:id="120" w:name="_Hlk51688985"/>
      <w:r w:rsidRPr="00A967D7">
        <w:rPr>
          <w:rFonts w:cs="Times New Roman"/>
          <w:sz w:val="20"/>
          <w:szCs w:val="20"/>
        </w:rPr>
        <w:t xml:space="preserve"> </w:t>
      </w:r>
      <w:r>
        <w:rPr>
          <w:rFonts w:cs="Times New Roman"/>
          <w:sz w:val="20"/>
          <w:szCs w:val="20"/>
        </w:rPr>
        <w:t>by pairwise comparison</w:t>
      </w:r>
      <w:bookmarkEnd w:id="120"/>
      <w:r w:rsidRPr="00A967D7" w:rsidDel="003C2DB8">
        <w:rPr>
          <w:rFonts w:cs="Times New Roman"/>
          <w:sz w:val="20"/>
          <w:szCs w:val="20"/>
        </w:rPr>
        <w:t xml:space="preserve"> </w:t>
      </w:r>
      <w:r w:rsidRPr="00A967D7">
        <w:rPr>
          <w:rFonts w:cs="Times New Roman"/>
          <w:sz w:val="20"/>
          <w:szCs w:val="20"/>
        </w:rPr>
        <w:t>(</w:t>
      </w:r>
      <w:r w:rsidRPr="004E47CA">
        <w:rPr>
          <w:rFonts w:cs="Times New Roman"/>
          <w:i/>
          <w:iCs/>
          <w:sz w:val="20"/>
          <w:szCs w:val="20"/>
        </w:rPr>
        <w:t>p</w:t>
      </w:r>
      <w:r w:rsidR="00D210E8">
        <w:rPr>
          <w:rFonts w:cs="Times New Roman"/>
          <w:i/>
          <w:iCs/>
          <w:sz w:val="20"/>
          <w:szCs w:val="20"/>
        </w:rPr>
        <w:t>&lt;</w:t>
      </w:r>
      <w:r w:rsidRPr="00A967D7">
        <w:rPr>
          <w:rFonts w:cs="Times New Roman"/>
          <w:sz w:val="20"/>
          <w:szCs w:val="20"/>
        </w:rPr>
        <w:t>0.05)</w:t>
      </w:r>
      <w:bookmarkEnd w:id="119"/>
    </w:p>
    <w:p w14:paraId="21813651" w14:textId="04060A78" w:rsidR="00D609DA" w:rsidRPr="00A967D7" w:rsidRDefault="00D609DA" w:rsidP="00D609DA">
      <w:pPr>
        <w:spacing w:after="0" w:line="240" w:lineRule="auto"/>
        <w:rPr>
          <w:rFonts w:cs="Times New Roman"/>
          <w:sz w:val="20"/>
          <w:szCs w:val="20"/>
        </w:rPr>
      </w:pPr>
      <w:r w:rsidRPr="00A967D7">
        <w:rPr>
          <w:rFonts w:cs="Times New Roman"/>
          <w:sz w:val="20"/>
          <w:szCs w:val="20"/>
          <w:vertAlign w:val="superscript"/>
        </w:rPr>
        <w:t>$</w:t>
      </w:r>
      <w:r w:rsidRPr="00A967D7">
        <w:rPr>
          <w:rFonts w:cs="Times New Roman"/>
          <w:sz w:val="20"/>
          <w:szCs w:val="20"/>
        </w:rPr>
        <w:t>Moringa leaf powder from Mor Nutri (M); Moringa leaf</w:t>
      </w:r>
      <w:r w:rsidRPr="00A967D7">
        <w:rPr>
          <w:rFonts w:cs="Times New Roman"/>
          <w:vertAlign w:val="superscript"/>
        </w:rPr>
        <w:t xml:space="preserve"> </w:t>
      </w:r>
      <w:r w:rsidRPr="00A967D7">
        <w:rPr>
          <w:rFonts w:cs="Times New Roman"/>
          <w:sz w:val="20"/>
          <w:szCs w:val="20"/>
        </w:rPr>
        <w:t>powder from Sup</w:t>
      </w:r>
      <w:r w:rsidR="0015099A">
        <w:rPr>
          <w:rFonts w:cs="Times New Roman"/>
          <w:sz w:val="20"/>
          <w:szCs w:val="20"/>
        </w:rPr>
        <w:t>a</w:t>
      </w:r>
      <w:r w:rsidRPr="00A967D7">
        <w:rPr>
          <w:rFonts w:cs="Times New Roman"/>
          <w:sz w:val="20"/>
          <w:szCs w:val="20"/>
        </w:rPr>
        <w:t xml:space="preserve"> Nutri (S)</w:t>
      </w:r>
    </w:p>
    <w:p w14:paraId="750D7FC3" w14:textId="77777777" w:rsidR="00D609DA" w:rsidRDefault="00D609DA" w:rsidP="00D609DA">
      <w:pPr>
        <w:spacing w:after="0" w:line="240" w:lineRule="auto"/>
        <w:rPr>
          <w:rFonts w:cs="Times New Roman"/>
          <w:sz w:val="20"/>
          <w:szCs w:val="20"/>
        </w:rPr>
      </w:pPr>
      <w:r w:rsidRPr="00A967D7">
        <w:rPr>
          <w:rFonts w:cs="Times New Roman"/>
          <w:vertAlign w:val="superscript"/>
        </w:rPr>
        <w:t>1</w:t>
      </w:r>
      <w:r w:rsidRPr="00A967D7">
        <w:rPr>
          <w:rFonts w:cs="Times New Roman"/>
          <w:sz w:val="20"/>
          <w:szCs w:val="20"/>
        </w:rPr>
        <w:t xml:space="preserve">Amounts of ascorbic </w:t>
      </w:r>
      <w:r>
        <w:rPr>
          <w:rFonts w:cs="Times New Roman"/>
          <w:sz w:val="20"/>
          <w:szCs w:val="20"/>
        </w:rPr>
        <w:t xml:space="preserve">acid (23.3 mg) </w:t>
      </w:r>
      <w:r w:rsidRPr="00A967D7">
        <w:rPr>
          <w:rFonts w:cs="Times New Roman"/>
          <w:sz w:val="20"/>
          <w:szCs w:val="20"/>
        </w:rPr>
        <w:t xml:space="preserve">and citric acids </w:t>
      </w:r>
      <w:r>
        <w:rPr>
          <w:rFonts w:cs="Times New Roman"/>
          <w:sz w:val="20"/>
          <w:szCs w:val="20"/>
        </w:rPr>
        <w:t xml:space="preserve">(595 mg) </w:t>
      </w:r>
      <w:r w:rsidRPr="00A967D7">
        <w:rPr>
          <w:rFonts w:cs="Times New Roman"/>
          <w:sz w:val="20"/>
          <w:szCs w:val="20"/>
        </w:rPr>
        <w:t>used were similar to the levels in the baobab fruit</w:t>
      </w:r>
      <w:r>
        <w:rPr>
          <w:rFonts w:cs="Times New Roman"/>
          <w:sz w:val="20"/>
          <w:szCs w:val="20"/>
        </w:rPr>
        <w:t xml:space="preserve"> </w:t>
      </w:r>
    </w:p>
    <w:p w14:paraId="38F13BFA" w14:textId="41ED772E" w:rsidR="0001705F" w:rsidRDefault="00D609DA" w:rsidP="00284094">
      <w:pPr>
        <w:spacing w:after="0" w:line="240" w:lineRule="auto"/>
        <w:rPr>
          <w:rFonts w:eastAsia="Times New Roman" w:cs="Times New Roman"/>
          <w:szCs w:val="24"/>
        </w:rPr>
      </w:pPr>
      <w:r w:rsidRPr="00A967D7">
        <w:rPr>
          <w:rFonts w:cs="Times New Roman"/>
          <w:sz w:val="20"/>
          <w:szCs w:val="20"/>
          <w:vertAlign w:val="superscript"/>
        </w:rPr>
        <w:t>2</w:t>
      </w:r>
      <w:r w:rsidRPr="00A967D7">
        <w:rPr>
          <w:rFonts w:cs="Times New Roman"/>
          <w:sz w:val="20"/>
          <w:szCs w:val="20"/>
        </w:rPr>
        <w:t>Amount of iro</w:t>
      </w:r>
      <w:r>
        <w:rPr>
          <w:rFonts w:cs="Times New Roman"/>
          <w:sz w:val="20"/>
          <w:szCs w:val="20"/>
        </w:rPr>
        <w:t xml:space="preserve">n </w:t>
      </w:r>
      <w:r w:rsidRPr="00A967D7">
        <w:rPr>
          <w:rFonts w:cs="Times New Roman"/>
          <w:sz w:val="20"/>
          <w:szCs w:val="20"/>
        </w:rPr>
        <w:t xml:space="preserve">used </w:t>
      </w:r>
      <w:r>
        <w:rPr>
          <w:rFonts w:cs="Times New Roman"/>
          <w:sz w:val="20"/>
          <w:szCs w:val="20"/>
        </w:rPr>
        <w:t xml:space="preserve">(4.7 mg) </w:t>
      </w:r>
      <w:r w:rsidRPr="00A967D7">
        <w:rPr>
          <w:rFonts w:cs="Times New Roman"/>
          <w:sz w:val="20"/>
          <w:szCs w:val="20"/>
        </w:rPr>
        <w:t>was similar to the levels in the moringa leaf powder (M)</w:t>
      </w:r>
    </w:p>
    <w:p w14:paraId="43D10FC5" w14:textId="77777777" w:rsidR="0001705F" w:rsidRDefault="0001705F" w:rsidP="00D609DA">
      <w:pPr>
        <w:rPr>
          <w:rFonts w:eastAsia="Times New Roman" w:cs="Times New Roman"/>
          <w:szCs w:val="24"/>
        </w:rPr>
        <w:sectPr w:rsidR="0001705F" w:rsidSect="00D609DA">
          <w:pgSz w:w="16839" w:h="11907" w:orient="landscape" w:code="9"/>
          <w:pgMar w:top="1440" w:right="1440" w:bottom="1440" w:left="1440" w:header="720" w:footer="720" w:gutter="0"/>
          <w:cols w:space="720"/>
          <w:docGrid w:linePitch="360"/>
        </w:sectPr>
      </w:pPr>
    </w:p>
    <w:p w14:paraId="5B545636" w14:textId="3919F59E" w:rsidR="00B4041A" w:rsidRDefault="00B4041A" w:rsidP="00D91B2C">
      <w:r w:rsidRPr="00A967D7">
        <w:t>Unlike baobab fruit</w:t>
      </w:r>
      <w:r>
        <w:t>, moringa leaf powder fortification of the maize porridge at a 15:100 ratio</w:t>
      </w:r>
      <w:r w:rsidRPr="00A967D7">
        <w:t xml:space="preserve"> </w:t>
      </w:r>
      <w:r>
        <w:t xml:space="preserve">greatly </w:t>
      </w:r>
      <w:r w:rsidRPr="00A967D7">
        <w:t xml:space="preserve">decreased </w:t>
      </w:r>
      <w:r w:rsidR="006E0491">
        <w:t xml:space="preserve">both </w:t>
      </w:r>
      <w:r w:rsidRPr="00A967D7">
        <w:t xml:space="preserve">the percentage and </w:t>
      </w:r>
      <w:r w:rsidR="00867505">
        <w:t>amount of</w:t>
      </w:r>
      <w:r w:rsidRPr="00A967D7">
        <w:t xml:space="preserve"> bioaccessible iron</w:t>
      </w:r>
      <w:r>
        <w:t>,</w:t>
      </w:r>
      <w:r w:rsidRPr="00A967D7">
        <w:t xml:space="preserve"> by 84% and 52% respectively in </w:t>
      </w:r>
      <w:r>
        <w:t>E</w:t>
      </w:r>
      <w:r w:rsidRPr="00A967D7">
        <w:t>xperiment 1 (</w:t>
      </w:r>
      <w:r w:rsidRPr="00867505">
        <w:t xml:space="preserve">Table </w:t>
      </w:r>
      <w:r w:rsidR="00867505" w:rsidRPr="00867505">
        <w:t>4.2.</w:t>
      </w:r>
      <w:r w:rsidRPr="00867505">
        <w:t>4</w:t>
      </w:r>
      <w:r w:rsidRPr="00A967D7">
        <w:t>)</w:t>
      </w:r>
      <w:r>
        <w:t>.  This was</w:t>
      </w:r>
      <w:r w:rsidRPr="00A967D7">
        <w:t xml:space="preserve"> despite </w:t>
      </w:r>
      <w:r>
        <w:t>the</w:t>
      </w:r>
      <w:r w:rsidRPr="00A967D7">
        <w:t xml:space="preserve"> high iron content </w:t>
      </w:r>
      <w:r w:rsidR="006E0491">
        <w:t xml:space="preserve">of the moringa </w:t>
      </w:r>
      <w:r w:rsidRPr="00A967D7">
        <w:t xml:space="preserve">and </w:t>
      </w:r>
      <w:r>
        <w:t>a relatively</w:t>
      </w:r>
      <w:r w:rsidRPr="00A967D7">
        <w:t xml:space="preserve"> lower phytate:iron molar ratio, 11:1 </w:t>
      </w:r>
      <w:r w:rsidR="006E0491">
        <w:t>in</w:t>
      </w:r>
      <w:r>
        <w:t xml:space="preserve"> the moringa fortified-maize porridge </w:t>
      </w:r>
      <w:r w:rsidRPr="00A967D7">
        <w:t>compared to</w:t>
      </w:r>
      <w:r>
        <w:t xml:space="preserve"> the </w:t>
      </w:r>
      <w:r w:rsidRPr="00A967D7">
        <w:t>maize porridge</w:t>
      </w:r>
      <w:r>
        <w:t xml:space="preserve"> control</w:t>
      </w:r>
      <w:r w:rsidRPr="00A967D7">
        <w:t xml:space="preserve"> (34:1). </w:t>
      </w:r>
      <w:r>
        <w:t>In contrast</w:t>
      </w:r>
      <w:r w:rsidRPr="00A967D7">
        <w:t xml:space="preserve">, </w:t>
      </w:r>
      <w:r>
        <w:t xml:space="preserve">conventional fortification of maize porridge with an </w:t>
      </w:r>
      <w:r w:rsidRPr="00A967D7">
        <w:t xml:space="preserve">equivalent </w:t>
      </w:r>
      <w:r>
        <w:t>content</w:t>
      </w:r>
      <w:r w:rsidRPr="00A967D7">
        <w:t xml:space="preserve"> of iron</w:t>
      </w:r>
      <w:r>
        <w:t xml:space="preserve">, </w:t>
      </w:r>
      <w:r w:rsidRPr="00A967D7">
        <w:t xml:space="preserve">decreased the percentage bioaccessible iron by 38%, </w:t>
      </w:r>
      <w:r>
        <w:t xml:space="preserve">but </w:t>
      </w:r>
      <w:r w:rsidRPr="00A967D7">
        <w:t xml:space="preserve">increased the </w:t>
      </w:r>
      <w:r>
        <w:t>amount of</w:t>
      </w:r>
      <w:r w:rsidRPr="00A967D7">
        <w:t xml:space="preserve"> bioaccessible iron by 104%</w:t>
      </w:r>
      <w:r>
        <w:t>. Similarly, i</w:t>
      </w:r>
      <w:r w:rsidRPr="00A967D7">
        <w:t xml:space="preserve">n </w:t>
      </w:r>
      <w:r>
        <w:t>E</w:t>
      </w:r>
      <w:r w:rsidRPr="00A967D7">
        <w:t>xperiment 2</w:t>
      </w:r>
      <w:r>
        <w:t>,</w:t>
      </w:r>
      <w:r w:rsidRPr="00A967D7">
        <w:t xml:space="preserve"> moringa fortification of maize</w:t>
      </w:r>
      <w:r>
        <w:t>-based</w:t>
      </w:r>
      <w:r w:rsidRPr="00A967D7">
        <w:t xml:space="preserve"> porridge (13.5 g/100 g) </w:t>
      </w:r>
      <w:r>
        <w:t xml:space="preserve">greatly </w:t>
      </w:r>
      <w:r w:rsidRPr="00A967D7">
        <w:t xml:space="preserve">decreased the iron bioaccessibility in terms of </w:t>
      </w:r>
      <w:r w:rsidR="006E0491">
        <w:t xml:space="preserve">both </w:t>
      </w:r>
      <w:r w:rsidRPr="00A967D7">
        <w:t>percentage and amount</w:t>
      </w:r>
      <w:r>
        <w:t>,</w:t>
      </w:r>
      <w:r w:rsidRPr="00A967D7">
        <w:t xml:space="preserve"> by 80% and 78% respectively</w:t>
      </w:r>
      <w:r>
        <w:t xml:space="preserve">, compared to the control maize-based porridge conventionally fortified </w:t>
      </w:r>
      <w:r w:rsidRPr="00FB41BF">
        <w:t>with</w:t>
      </w:r>
      <w:r>
        <w:t xml:space="preserve"> a similar amount of iron. The strong inhibitory effects of moringa fortification compared to conventional iron fortification of the porridges on iron bioaccessibility was </w:t>
      </w:r>
      <w:r w:rsidR="009E7815">
        <w:t>highly likely</w:t>
      </w:r>
      <w:r>
        <w:t xml:space="preserve"> due to</w:t>
      </w:r>
      <w:r w:rsidRPr="00A967D7">
        <w:t xml:space="preserve"> the </w:t>
      </w:r>
      <w:r>
        <w:t xml:space="preserve">very </w:t>
      </w:r>
      <w:r w:rsidRPr="00A967D7">
        <w:t>high calcium content of moringa lea</w:t>
      </w:r>
      <w:r>
        <w:t>f powder together with its phytate content.</w:t>
      </w:r>
      <w:r w:rsidRPr="00A967D7">
        <w:t xml:space="preserve"> </w:t>
      </w:r>
      <w:r>
        <w:t xml:space="preserve">Rousseau et al. (2020) reported that high contents of calcium in foods </w:t>
      </w:r>
      <w:r w:rsidR="008E4C5E">
        <w:t>can</w:t>
      </w:r>
      <w:r>
        <w:t xml:space="preserve"> increase the inhibitory effect of phytate on iron bioavailability by iron-calcium-phytate complexes, which are less soluble than phytate complexes formed with either of the mineral</w:t>
      </w:r>
      <w:r w:rsidR="008E4C5E">
        <w:t>s</w:t>
      </w:r>
      <w:r>
        <w:t>. The calculated calcium contents of the moringa fortified</w:t>
      </w:r>
      <w:r w:rsidR="00867505">
        <w:t xml:space="preserve"> </w:t>
      </w:r>
      <w:r>
        <w:t>porridges increased greatly, from</w:t>
      </w:r>
      <w:r w:rsidRPr="00A967D7">
        <w:t xml:space="preserve"> 5 mg/100 g to 309 mg/100 g in </w:t>
      </w:r>
      <w:r>
        <w:t>E</w:t>
      </w:r>
      <w:r w:rsidRPr="00A967D7">
        <w:t>xperiment 1 and from 11 mg/100 g to 421–476 mg/100</w:t>
      </w:r>
      <w:r>
        <w:t xml:space="preserve"> </w:t>
      </w:r>
      <w:r w:rsidRPr="00A967D7">
        <w:t xml:space="preserve">g in </w:t>
      </w:r>
      <w:r>
        <w:t>E</w:t>
      </w:r>
      <w:r w:rsidRPr="00A967D7">
        <w:t xml:space="preserve">xperiment 2 </w:t>
      </w:r>
      <w:r w:rsidRPr="00867505">
        <w:t xml:space="preserve">(Table </w:t>
      </w:r>
      <w:r w:rsidR="00867505" w:rsidRPr="00867505">
        <w:t>4.2.</w:t>
      </w:r>
      <w:r w:rsidRPr="00867505">
        <w:t>1)</w:t>
      </w:r>
      <w:r w:rsidRPr="00A967D7">
        <w:t>.</w:t>
      </w:r>
      <w:r>
        <w:t xml:space="preserve"> </w:t>
      </w:r>
      <w:r w:rsidRPr="00A967D7">
        <w:t xml:space="preserve">Hallberg </w:t>
      </w:r>
      <w:r w:rsidR="00C8069F">
        <w:t>&amp;</w:t>
      </w:r>
      <w:r w:rsidRPr="00A967D7">
        <w:t xml:space="preserve"> </w:t>
      </w:r>
      <w:r w:rsidRPr="00A967D7">
        <w:rPr>
          <w:shd w:val="clear" w:color="auto" w:fill="FFFFFF"/>
        </w:rPr>
        <w:t xml:space="preserve">Hulthén </w:t>
      </w:r>
      <w:r>
        <w:rPr>
          <w:shd w:val="clear" w:color="auto" w:fill="FFFFFF"/>
        </w:rPr>
        <w:t>(</w:t>
      </w:r>
      <w:r w:rsidRPr="00A967D7">
        <w:t>2000</w:t>
      </w:r>
      <w:r>
        <w:t xml:space="preserve">) </w:t>
      </w:r>
      <w:r w:rsidR="008E4C5E">
        <w:t>similarly</w:t>
      </w:r>
      <w:r>
        <w:t xml:space="preserve"> reported that food c</w:t>
      </w:r>
      <w:r w:rsidRPr="00A967D7">
        <w:t xml:space="preserve">alcium contents </w:t>
      </w:r>
      <w:r w:rsidR="008E4C5E">
        <w:t xml:space="preserve">of </w:t>
      </w:r>
      <w:r w:rsidRPr="00A967D7">
        <w:t>more than 50 mg/100 g inhibit</w:t>
      </w:r>
      <w:r>
        <w:t>ed</w:t>
      </w:r>
      <w:r w:rsidRPr="00A967D7">
        <w:t xml:space="preserve"> non-haem iron bioavailability in plant-based foods</w:t>
      </w:r>
      <w:r>
        <w:t xml:space="preserve">. Furthermore, the higher content of phenolics in moringa fortified-porridges compared to that in unfortified porridges </w:t>
      </w:r>
      <w:r w:rsidR="008E4C5E">
        <w:t xml:space="preserve">may </w:t>
      </w:r>
      <w:r>
        <w:t xml:space="preserve">also, in part, </w:t>
      </w:r>
      <w:r w:rsidR="008E4C5E">
        <w:t xml:space="preserve">have </w:t>
      </w:r>
      <w:r w:rsidRPr="00A967D7">
        <w:t>contributed to the negative effect of moringa on iron bioaccessibility</w:t>
      </w:r>
      <w:r>
        <w:t>. Moringa leaves have been found to be particularly high in polyphenols such as chlorogenic acid (Van der Merwe et al., 2019), which strongly chelates iron (Andjelkovic et al., 2006)</w:t>
      </w:r>
      <w:r w:rsidR="008E4C5E">
        <w:t>.</w:t>
      </w:r>
      <w:r>
        <w:t xml:space="preserve">  </w:t>
      </w:r>
    </w:p>
    <w:p w14:paraId="4D7C4AF4" w14:textId="77777777" w:rsidR="00B4041A" w:rsidRDefault="00B4041A" w:rsidP="00867505">
      <w:pPr>
        <w:spacing w:after="0"/>
      </w:pPr>
    </w:p>
    <w:p w14:paraId="34545DB7" w14:textId="10C09977" w:rsidR="00B4041A" w:rsidRDefault="00B4041A" w:rsidP="00D91B2C">
      <w:r>
        <w:t>Therefore, moringa fortification of maize porridge will probably substantially reduce the contribution of iron to the AR</w:t>
      </w:r>
      <w:r w:rsidR="008E4C5E">
        <w:t>, theoretically</w:t>
      </w:r>
      <w:r>
        <w:t xml:space="preserve"> from </w:t>
      </w:r>
      <w:r w:rsidR="008E4C5E">
        <w:t>approximately 40</w:t>
      </w:r>
      <w:r>
        <w:t xml:space="preserve">% to </w:t>
      </w:r>
      <w:r w:rsidR="008E4C5E">
        <w:t>1</w:t>
      </w:r>
      <w:r>
        <w:t>9</w:t>
      </w:r>
      <w:r w:rsidR="008E4C5E">
        <w:t>%</w:t>
      </w:r>
      <w:r>
        <w:t xml:space="preserve"> as opposed to conventional iron fortification, which could substantially improve it, to 81% (Experiment 1)</w:t>
      </w:r>
      <w:r w:rsidR="00867505">
        <w:t xml:space="preserve"> (Table 4.2.4)</w:t>
      </w:r>
      <w:r>
        <w:t xml:space="preserve">. In Experiment 2, moringa fortification of maize-based porridge </w:t>
      </w:r>
      <w:r w:rsidR="008E4C5E">
        <w:t>would also likely</w:t>
      </w:r>
      <w:r>
        <w:t xml:space="preserve"> reduce contribution to the iron AR, from </w:t>
      </w:r>
      <w:r w:rsidR="008E4C5E">
        <w:t xml:space="preserve">approximately </w:t>
      </w:r>
      <w:r>
        <w:t>11</w:t>
      </w:r>
      <w:r w:rsidR="00F50D72">
        <w:t>9</w:t>
      </w:r>
      <w:r>
        <w:t xml:space="preserve">% </w:t>
      </w:r>
      <w:r w:rsidR="00867505">
        <w:t>for</w:t>
      </w:r>
      <w:r>
        <w:t xml:space="preserve"> control FeSO</w:t>
      </w:r>
      <w:r w:rsidRPr="00E302F3">
        <w:rPr>
          <w:vertAlign w:val="subscript"/>
        </w:rPr>
        <w:t>4</w:t>
      </w:r>
      <w:r>
        <w:t xml:space="preserve"> fortified-maize-based porridge to 25%.  </w:t>
      </w:r>
      <w:r w:rsidRPr="00A967D7">
        <w:t xml:space="preserve">In </w:t>
      </w:r>
      <w:r>
        <w:t xml:space="preserve">slight </w:t>
      </w:r>
      <w:r w:rsidRPr="00A967D7">
        <w:t>contrast</w:t>
      </w:r>
      <w:r>
        <w:t xml:space="preserve"> to the findings here,</w:t>
      </w:r>
      <w:r w:rsidRPr="00A967D7">
        <w:t xml:space="preserve"> Van der Merwe et al. (2019) showed that moringa lea</w:t>
      </w:r>
      <w:r>
        <w:t>f</w:t>
      </w:r>
      <w:r w:rsidRPr="00A967D7">
        <w:t xml:space="preserve"> </w:t>
      </w:r>
      <w:r>
        <w:t>fortification of</w:t>
      </w:r>
      <w:r w:rsidRPr="00A967D7">
        <w:t xml:space="preserve"> pearl millet-based porridge </w:t>
      </w:r>
      <w:r>
        <w:t xml:space="preserve">at a ratio 10:100 </w:t>
      </w:r>
      <w:r w:rsidRPr="00A967D7">
        <w:t>increased iron bioaccessibility</w:t>
      </w:r>
      <w:r>
        <w:t xml:space="preserve"> both in terms of percentage and amount</w:t>
      </w:r>
      <w:r w:rsidRPr="00A967D7">
        <w:t>. However,</w:t>
      </w:r>
      <w:r w:rsidR="00F50D72">
        <w:t xml:space="preserve"> it was found that</w:t>
      </w:r>
      <w:r w:rsidRPr="00A967D7">
        <w:t xml:space="preserve"> when the </w:t>
      </w:r>
      <w:r>
        <w:t xml:space="preserve">fortification proportion was </w:t>
      </w:r>
      <w:r w:rsidRPr="00A967D7">
        <w:t xml:space="preserve">increased to </w:t>
      </w:r>
      <w:r>
        <w:t>30:100,</w:t>
      </w:r>
      <w:r w:rsidRPr="00A967D7">
        <w:t xml:space="preserve"> the percentage iron bioaccessibility decreased.  </w:t>
      </w:r>
      <w:r>
        <w:t xml:space="preserve"> </w:t>
      </w:r>
    </w:p>
    <w:p w14:paraId="239BFE9D" w14:textId="77777777" w:rsidR="00B4041A" w:rsidRDefault="00B4041A" w:rsidP="00867505">
      <w:pPr>
        <w:spacing w:after="0"/>
        <w:rPr>
          <w:i/>
          <w:iCs/>
        </w:rPr>
      </w:pPr>
    </w:p>
    <w:p w14:paraId="32838B4D" w14:textId="77777777" w:rsidR="00B4041A" w:rsidRPr="00867505" w:rsidRDefault="00B4041A" w:rsidP="0009779A">
      <w:pPr>
        <w:spacing w:after="0"/>
        <w:rPr>
          <w:i/>
          <w:iCs/>
        </w:rPr>
      </w:pPr>
      <w:r w:rsidRPr="00867505">
        <w:rPr>
          <w:i/>
          <w:iCs/>
        </w:rPr>
        <w:t>Zinc bioaccessibility</w:t>
      </w:r>
    </w:p>
    <w:p w14:paraId="7A0B336E" w14:textId="1869E999" w:rsidR="00B4041A" w:rsidRPr="00A967D7" w:rsidRDefault="00B4041A" w:rsidP="00D91B2C">
      <w:r>
        <w:t>In Experiment 1 n</w:t>
      </w:r>
      <w:r w:rsidRPr="00A967D7">
        <w:t>one of the food fortificants had a</w:t>
      </w:r>
      <w:r>
        <w:t>n enhancing</w:t>
      </w:r>
      <w:r w:rsidRPr="00A967D7">
        <w:t xml:space="preserve"> effect on zinc bioaccessibility (Table 4</w:t>
      </w:r>
      <w:r w:rsidR="00867505">
        <w:t>.2.4</w:t>
      </w:r>
      <w:r w:rsidRPr="00A967D7">
        <w:t xml:space="preserve">). In fact, moringa and </w:t>
      </w:r>
      <w:r w:rsidRPr="00A23195">
        <w:t>conventional</w:t>
      </w:r>
      <w:r>
        <w:t xml:space="preserve"> iron</w:t>
      </w:r>
      <w:r w:rsidRPr="00A967D7">
        <w:t xml:space="preserve"> </w:t>
      </w:r>
      <w:r>
        <w:t xml:space="preserve">fortification of maize porridge </w:t>
      </w:r>
      <w:r w:rsidRPr="00A967D7">
        <w:t xml:space="preserve">substantially decreased the percentage bioaccessible zinc by 49% and 33%, respectively and the </w:t>
      </w:r>
      <w:r>
        <w:t>amount of</w:t>
      </w:r>
      <w:r w:rsidRPr="00A967D7">
        <w:t xml:space="preserve"> bioaccessible zinc by 45% and 31%, respectively</w:t>
      </w:r>
      <w:r>
        <w:t xml:space="preserve">. </w:t>
      </w:r>
      <w:r w:rsidR="00F50D72" w:rsidRPr="00F50D72">
        <w:t xml:space="preserve">The high calcium content in moringa leaf powder together with its high phytate contents were also </w:t>
      </w:r>
      <w:r w:rsidR="009E7815">
        <w:t>most likely</w:t>
      </w:r>
      <w:r w:rsidR="00F50D72" w:rsidRPr="00F50D72">
        <w:t xml:space="preserve"> largely responsible for the reduction in zinc bioaccessibility. </w:t>
      </w:r>
      <w:r w:rsidRPr="007E5B58">
        <w:t>The findings of this study agree with those of Hemalatha et al. (2009) who found that when pressure-cooked rice-</w:t>
      </w:r>
      <w:r w:rsidR="00355CE1">
        <w:t>red gram</w:t>
      </w:r>
      <w:r w:rsidRPr="007E5B58">
        <w:t xml:space="preserve"> grains were fortified with iron in the form of FeSO</w:t>
      </w:r>
      <w:r w:rsidRPr="007E5B58">
        <w:rPr>
          <w:vertAlign w:val="subscript"/>
        </w:rPr>
        <w:t>4</w:t>
      </w:r>
      <w:r w:rsidRPr="007E5B58">
        <w:t>, zinc bioaccessibility decreased by approx</w:t>
      </w:r>
      <w:r>
        <w:t>imately</w:t>
      </w:r>
      <w:r w:rsidRPr="007E5B58">
        <w:t xml:space="preserve"> 27%.</w:t>
      </w:r>
      <w:r>
        <w:t xml:space="preserve"> </w:t>
      </w:r>
      <w:r w:rsidRPr="00C0466D">
        <w:t>Sandström (2001) reported that in the presence of phytate, calcium is inhibitory to zinc absorption due to co-precipitation of calcium with phytate and zinc.</w:t>
      </w:r>
      <w:r>
        <w:t xml:space="preserve"> </w:t>
      </w:r>
      <w:r w:rsidRPr="00A967D7">
        <w:t xml:space="preserve"> </w:t>
      </w:r>
      <w:r w:rsidR="00927E2B">
        <w:t>T</w:t>
      </w:r>
      <w:r w:rsidR="00B13107">
        <w:t>he zinc-calcium-phy</w:t>
      </w:r>
      <w:r w:rsidR="00927E2B">
        <w:t>t</w:t>
      </w:r>
      <w:r w:rsidR="00B13107">
        <w:t xml:space="preserve">ate complexes </w:t>
      </w:r>
      <w:r w:rsidR="00387369">
        <w:t>are</w:t>
      </w:r>
      <w:r w:rsidR="00B13107">
        <w:t xml:space="preserve"> reported to be stronger than phytate complexes formed with either of the minerals as previously described for iron (Rousseau et al., 2020). </w:t>
      </w:r>
      <w:r>
        <w:t>I</w:t>
      </w:r>
      <w:r w:rsidRPr="00A967D7">
        <w:t xml:space="preserve">n </w:t>
      </w:r>
      <w:r w:rsidR="00F50D72">
        <w:t xml:space="preserve">the </w:t>
      </w:r>
      <w:r w:rsidRPr="00A967D7">
        <w:t>moringa fortified-maize porridge</w:t>
      </w:r>
      <w:r>
        <w:t xml:space="preserve"> the</w:t>
      </w:r>
      <w:r w:rsidRPr="00A967D7">
        <w:t xml:space="preserve"> calcium</w:t>
      </w:r>
      <w:r w:rsidRPr="00A967D7">
        <w:rPr>
          <w:b/>
          <w:bCs/>
        </w:rPr>
        <w:t>×</w:t>
      </w:r>
      <w:r w:rsidRPr="00A967D7">
        <w:t xml:space="preserve">phytate:zinc molar ratio </w:t>
      </w:r>
      <w:r>
        <w:t xml:space="preserve">of </w:t>
      </w:r>
      <w:r w:rsidRPr="00A967D7">
        <w:t xml:space="preserve">318:1 was </w:t>
      </w:r>
      <w:r>
        <w:t xml:space="preserve">substantially </w:t>
      </w:r>
      <w:r w:rsidR="00F50D72">
        <w:t>greater than</w:t>
      </w:r>
      <w:r w:rsidRPr="00A967D7">
        <w:t xml:space="preserve"> the critical value </w:t>
      </w:r>
      <w:r w:rsidR="00F50D72">
        <w:t xml:space="preserve">of </w:t>
      </w:r>
      <w:r w:rsidRPr="00A967D7">
        <w:t xml:space="preserve">200:1 at which zinc bioavailability is impaired (Morris </w:t>
      </w:r>
      <w:r w:rsidR="00F24A85">
        <w:t>&amp;</w:t>
      </w:r>
      <w:r w:rsidRPr="00A967D7">
        <w:t xml:space="preserve"> Ellis, 1989). </w:t>
      </w:r>
      <w:r w:rsidR="00F24A85">
        <w:rPr>
          <w:i/>
          <w:iCs/>
        </w:rPr>
        <w:t>I</w:t>
      </w:r>
      <w:r w:rsidR="00D5016D" w:rsidRPr="00D5016D">
        <w:rPr>
          <w:i/>
          <w:iCs/>
        </w:rPr>
        <w:t>n vivo</w:t>
      </w:r>
      <w:r>
        <w:t>, t</w:t>
      </w:r>
      <w:r w:rsidRPr="00F46533">
        <w:t xml:space="preserve">he co-occurrence of different minerals </w:t>
      </w:r>
      <w:r>
        <w:t xml:space="preserve">with similar chemical structures, such as iron, zinc and calcium, </w:t>
      </w:r>
      <w:r w:rsidRPr="00F46533">
        <w:t>within a food matrix</w:t>
      </w:r>
      <w:r w:rsidR="001335B3">
        <w:t>, depending on their relative concentrations,</w:t>
      </w:r>
      <w:r w:rsidRPr="00F46533">
        <w:t xml:space="preserve"> may </w:t>
      </w:r>
      <w:r w:rsidR="00F24A85">
        <w:t>additional</w:t>
      </w:r>
      <w:r w:rsidR="00C54223">
        <w:t>ly</w:t>
      </w:r>
      <w:r w:rsidR="00F24A85">
        <w:t xml:space="preserve"> adversely </w:t>
      </w:r>
      <w:r w:rsidRPr="00F46533">
        <w:t xml:space="preserve">affect mineral bioavailability </w:t>
      </w:r>
      <w:r w:rsidR="00F24A85">
        <w:t>because</w:t>
      </w:r>
      <w:r>
        <w:t xml:space="preserve"> they </w:t>
      </w:r>
      <w:r w:rsidRPr="00F46533">
        <w:t xml:space="preserve">can compete for </w:t>
      </w:r>
      <w:r w:rsidRPr="00D44FFC">
        <w:t>transport proteins</w:t>
      </w:r>
      <w:r>
        <w:t xml:space="preserve"> and other</w:t>
      </w:r>
      <w:r w:rsidRPr="00F46533">
        <w:t xml:space="preserve"> mechanisms required for their aqueous uptake</w:t>
      </w:r>
      <w:r>
        <w:t xml:space="preserve"> </w:t>
      </w:r>
      <w:r w:rsidRPr="00BE5338">
        <w:t>(</w:t>
      </w:r>
      <w:r w:rsidR="00C54223">
        <w:t>Sandström, 2001</w:t>
      </w:r>
      <w:r w:rsidRPr="00BE5338">
        <w:t>)</w:t>
      </w:r>
      <w:r w:rsidRPr="00F46533">
        <w:t>.</w:t>
      </w:r>
      <w:r>
        <w:t xml:space="preserve"> As a result of the substantial negative effect of moringa leaves and conventional iron fortification on zinc bioaccessibility, the moringa and </w:t>
      </w:r>
      <w:r w:rsidR="00867505">
        <w:t>FeSO</w:t>
      </w:r>
      <w:r w:rsidR="00867505" w:rsidRPr="00867505">
        <w:rPr>
          <w:vertAlign w:val="subscript"/>
        </w:rPr>
        <w:t>4</w:t>
      </w:r>
      <w:r>
        <w:t xml:space="preserve"> fortified</w:t>
      </w:r>
      <w:r w:rsidR="00867505">
        <w:t xml:space="preserve"> </w:t>
      </w:r>
      <w:r>
        <w:t xml:space="preserve">simple maize porridges could potentially reduce the contribution of zinc to the AR from </w:t>
      </w:r>
      <w:r w:rsidR="00F24A85">
        <w:t xml:space="preserve">approximately </w:t>
      </w:r>
      <w:r>
        <w:t xml:space="preserve">59% </w:t>
      </w:r>
      <w:r w:rsidR="00867505">
        <w:t>for</w:t>
      </w:r>
      <w:r>
        <w:t xml:space="preserve"> unfortified porridge to 3</w:t>
      </w:r>
      <w:r w:rsidR="00F24A85">
        <w:t>3</w:t>
      </w:r>
      <w:r>
        <w:t>% and 40%, respectively.</w:t>
      </w:r>
    </w:p>
    <w:p w14:paraId="1AC0F3A8" w14:textId="77777777" w:rsidR="00B4041A" w:rsidRDefault="00B4041A" w:rsidP="00867505">
      <w:pPr>
        <w:spacing w:after="0"/>
      </w:pPr>
    </w:p>
    <w:p w14:paraId="77502EB2" w14:textId="4F02E7BB" w:rsidR="00B4041A" w:rsidRDefault="00B4041A" w:rsidP="00D91B2C">
      <w:r w:rsidRPr="00D91B2C">
        <w:t xml:space="preserve">In contrast to the findings of Experiment 1, baobab fortification of </w:t>
      </w:r>
      <w:r w:rsidR="00F24A85">
        <w:t xml:space="preserve">the </w:t>
      </w:r>
      <w:r w:rsidRPr="00D91B2C">
        <w:t>complex FeSO</w:t>
      </w:r>
      <w:r w:rsidRPr="00867505">
        <w:rPr>
          <w:vertAlign w:val="subscript"/>
        </w:rPr>
        <w:t>4</w:t>
      </w:r>
      <w:r w:rsidRPr="00D91B2C">
        <w:t xml:space="preserve"> fortified-maize-based porridge and </w:t>
      </w:r>
      <w:r w:rsidR="007351C4" w:rsidRPr="00D91B2C">
        <w:t xml:space="preserve">moringa+baobab </w:t>
      </w:r>
      <w:r w:rsidRPr="00D91B2C">
        <w:t xml:space="preserve">fortification of </w:t>
      </w:r>
      <w:r w:rsidR="007351C4">
        <w:t xml:space="preserve">maize-based </w:t>
      </w:r>
      <w:r w:rsidRPr="00D91B2C">
        <w:t>porridge increased zinc bioaccessibility</w:t>
      </w:r>
      <w:r w:rsidR="00F24A85">
        <w:t>,</w:t>
      </w:r>
      <w:r w:rsidRPr="00D91B2C">
        <w:t xml:space="preserve"> in terms of percentage by approximately 45% and 31%, respectively, and in terms of amount, by 60% and 83%</w:t>
      </w:r>
      <w:r w:rsidR="00F24A85">
        <w:t>,</w:t>
      </w:r>
      <w:r w:rsidRPr="00D91B2C">
        <w:t xml:space="preserve"> respectively compared to the control (Experiment 2)</w:t>
      </w:r>
      <w:r w:rsidR="00867505">
        <w:t xml:space="preserve"> (Table 4.2.4)</w:t>
      </w:r>
      <w:r w:rsidRPr="00D91B2C">
        <w:t>. This is notwithstanding the high phytate:zinc molar</w:t>
      </w:r>
      <w:r w:rsidRPr="00A967D7">
        <w:t xml:space="preserve"> </w:t>
      </w:r>
      <w:r w:rsidRPr="00D91B2C">
        <w:t xml:space="preserve">ratios (41–43:1) of </w:t>
      </w:r>
      <w:r w:rsidR="007351C4">
        <w:t xml:space="preserve">the </w:t>
      </w:r>
      <w:r w:rsidRPr="00D91B2C">
        <w:t xml:space="preserve">baobab and moringa+baobab fortified porridges and the high calcium×phytate:zinc molar ratio (509:1) of moringa+baobab fortified porridge. Furthermore, although moringa fortification of the maize-based porridge did not significantly increase the percentage zinc bioaccessibility, it increased the amount of bioaccessible zinc, presumably due to its relatively high zinc content. </w:t>
      </w:r>
      <w:r w:rsidR="00F5297E">
        <w:t>B</w:t>
      </w:r>
      <w:r w:rsidRPr="00D91B2C">
        <w:t>aobab and moringa+baobab fortification of the complex</w:t>
      </w:r>
      <w:r w:rsidR="00867505">
        <w:t xml:space="preserve"> </w:t>
      </w:r>
      <w:r w:rsidRPr="00D91B2C">
        <w:t xml:space="preserve">porridge may have enhanced zinc bioaccessibility due to the presence of the plant food provitamin A sources. </w:t>
      </w:r>
      <w:r w:rsidR="00867505">
        <w:t>Thus, b</w:t>
      </w:r>
      <w:r w:rsidRPr="00D91B2C">
        <w:t xml:space="preserve">aobab and moringa+baobab fortification of the complex porridge containing plant-based provitamin A sources could potentially improve their contribution to the zinc AR from </w:t>
      </w:r>
      <w:r w:rsidR="00F5297E">
        <w:t xml:space="preserve">approximately </w:t>
      </w:r>
      <w:r w:rsidRPr="00D91B2C">
        <w:t>2</w:t>
      </w:r>
      <w:r w:rsidR="00F5297E">
        <w:t>9</w:t>
      </w:r>
      <w:r w:rsidRPr="00D91B2C">
        <w:t>% to 4</w:t>
      </w:r>
      <w:r w:rsidR="00F5297E">
        <w:t>6</w:t>
      </w:r>
      <w:r w:rsidRPr="00D91B2C">
        <w:t>% and to 52%, respectively. The positive effect of baobab fruit on zinc bioaccessibility could</w:t>
      </w:r>
      <w:r w:rsidR="00867505">
        <w:t xml:space="preserve"> </w:t>
      </w:r>
      <w:r w:rsidRPr="00D91B2C">
        <w:t>be due to its high citric acid content (</w:t>
      </w:r>
      <w:r w:rsidRPr="00D27358">
        <w:t xml:space="preserve">Table </w:t>
      </w:r>
      <w:r w:rsidR="00867505" w:rsidRPr="00D27358">
        <w:t>4.2.</w:t>
      </w:r>
      <w:r w:rsidRPr="00D27358">
        <w:t>3)</w:t>
      </w:r>
      <w:r w:rsidRPr="00D91B2C">
        <w:t xml:space="preserve"> in combination with the β-carotene in the carrot and mango. The role of β-carotene in zinc bioavailability has not been elucidated. However, studies have shown that β-carotene fortification of cereal grains increased the percentage zinc bioaccessibility (Gautam et al., 2010; Luo </w:t>
      </w:r>
      <w:r w:rsidR="00841F3C">
        <w:t>&amp;</w:t>
      </w:r>
      <w:r w:rsidRPr="00D91B2C">
        <w:t xml:space="preserve"> Xie, 2012). The study of Van der Merwe et al. (2019) also showed that baobab fruit and/or moringa leaf fortification of pearl millet-based porridge, containing approx. 40% plant food provitamin A (β-carotene) sources</w:t>
      </w:r>
      <w:r w:rsidR="00F5297E">
        <w:t>,</w:t>
      </w:r>
      <w:r w:rsidRPr="00D91B2C">
        <w:t xml:space="preserve"> </w:t>
      </w:r>
      <w:r w:rsidR="00F5297E">
        <w:t xml:space="preserve">similarly </w:t>
      </w:r>
      <w:r w:rsidRPr="00D91B2C">
        <w:t xml:space="preserve">substantially increased zinc bioaccessibility. </w:t>
      </w:r>
      <w:r w:rsidR="00867505">
        <w:t>Also</w:t>
      </w:r>
      <w:r w:rsidRPr="00D91B2C">
        <w:t xml:space="preserve">, the </w:t>
      </w:r>
      <w:r w:rsidR="00F5297E">
        <w:t>research in</w:t>
      </w:r>
      <w:r w:rsidRPr="00D91B2C">
        <w:t xml:space="preserve"> </w:t>
      </w:r>
      <w:r w:rsidR="00867505">
        <w:t>C</w:t>
      </w:r>
      <w:r w:rsidRPr="00D91B2C">
        <w:t xml:space="preserve">hapter </w:t>
      </w:r>
      <w:r w:rsidR="00F5297E">
        <w:t>4.</w:t>
      </w:r>
      <w:r w:rsidR="00867505">
        <w:t xml:space="preserve">1 </w:t>
      </w:r>
      <w:r w:rsidRPr="00D91B2C">
        <w:t>showed that inclusion of citric acid in pearl millet porridge increased the</w:t>
      </w:r>
      <w:r w:rsidRPr="002107E6">
        <w:t xml:space="preserve"> zinc bioaccessibility.</w:t>
      </w:r>
      <w:r>
        <w:t xml:space="preserve">  </w:t>
      </w:r>
      <w:r w:rsidR="00F5297E">
        <w:t>Moreover</w:t>
      </w:r>
      <w:r>
        <w:t xml:space="preserve">, </w:t>
      </w:r>
      <w:r w:rsidRPr="00A967D7">
        <w:t xml:space="preserve">Gabaza et al. (2018) attributed </w:t>
      </w:r>
      <w:r>
        <w:t xml:space="preserve">an observed </w:t>
      </w:r>
      <w:r w:rsidRPr="00A967D7">
        <w:t xml:space="preserve">positive effect of baobab fruit on zinc bioaccessibility in a fermented </w:t>
      </w:r>
      <w:r>
        <w:t xml:space="preserve">wholegrain </w:t>
      </w:r>
      <w:r w:rsidRPr="00A967D7">
        <w:t xml:space="preserve">maize porridge to its high citric acid content. Citric acid is reported to enhance zinc bioavailability by </w:t>
      </w:r>
      <w:r>
        <w:t xml:space="preserve">chelating and </w:t>
      </w:r>
      <w:r w:rsidRPr="00A967D7">
        <w:t xml:space="preserve">keeping it in a soluble and absorbable form (Gibson, 2006). </w:t>
      </w:r>
    </w:p>
    <w:p w14:paraId="5A1C6B7B" w14:textId="77777777" w:rsidR="00B4041A" w:rsidRDefault="00B4041A" w:rsidP="00867505">
      <w:pPr>
        <w:spacing w:after="0"/>
      </w:pPr>
    </w:p>
    <w:p w14:paraId="0F54419A" w14:textId="319C4774" w:rsidR="00B4041A" w:rsidRDefault="00B4041A" w:rsidP="00D91B2C">
      <w:r>
        <w:t>Although in Experiment 2 zinc bioaccessibility and its potential contribution to the zinc</w:t>
      </w:r>
      <w:r w:rsidRPr="00A967D7">
        <w:t xml:space="preserve"> </w:t>
      </w:r>
      <w:r w:rsidRPr="00C068E1">
        <w:t>AR</w:t>
      </w:r>
      <w:r>
        <w:t xml:space="preserve"> was improved by baobab fortification of FeSO</w:t>
      </w:r>
      <w:r w:rsidRPr="00E302F3">
        <w:rPr>
          <w:vertAlign w:val="subscript"/>
        </w:rPr>
        <w:t>4</w:t>
      </w:r>
      <w:r>
        <w:t xml:space="preserve"> fortified-</w:t>
      </w:r>
      <w:r w:rsidRPr="00A967D7">
        <w:t>maize</w:t>
      </w:r>
      <w:r>
        <w:t xml:space="preserve">-based </w:t>
      </w:r>
      <w:r w:rsidRPr="00A967D7">
        <w:t xml:space="preserve">porridge </w:t>
      </w:r>
      <w:r>
        <w:t xml:space="preserve">and moringa+baobab fortification of </w:t>
      </w:r>
      <w:r w:rsidR="00385A83">
        <w:t xml:space="preserve">maize-based </w:t>
      </w:r>
      <w:r>
        <w:t xml:space="preserve">porridge, the percentage bioaccessible zinc of these porridges (49.1–54.3%) was essentially the same as that of the unfortified simple maize porridge (54.8%) (Experiment 1). Also, the amount of bioaccessible zinc of these fortified porridges, 0.80–0.91 mg/100 g and their potential contribution to the zinc AR (45.7–52.1%) were slightly lower compared to that of unfortified simple maize porridge, 1.04 mg/100 g and 59.3% respectively. This is likely due to the slightly lower zinc contents of </w:t>
      </w:r>
      <w:r w:rsidR="00867505">
        <w:t xml:space="preserve">the </w:t>
      </w:r>
      <w:r>
        <w:t>baobab</w:t>
      </w:r>
      <w:r w:rsidR="00867505">
        <w:t>+</w:t>
      </w:r>
      <w:r w:rsidR="00867505" w:rsidRPr="00867505">
        <w:t>FeSO</w:t>
      </w:r>
      <w:r w:rsidR="00867505" w:rsidRPr="00867505">
        <w:rPr>
          <w:vertAlign w:val="subscript"/>
        </w:rPr>
        <w:t>4</w:t>
      </w:r>
      <w:r w:rsidR="00867505">
        <w:t xml:space="preserve"> fortified-</w:t>
      </w:r>
      <w:r w:rsidRPr="00867505">
        <w:t>maize</w:t>
      </w:r>
      <w:r>
        <w:t xml:space="preserve">-based porridge, 1.47 mg/100 g compared to that of unfortified </w:t>
      </w:r>
      <w:r w:rsidR="00867505">
        <w:t xml:space="preserve">simple </w:t>
      </w:r>
      <w:r>
        <w:t xml:space="preserve">maize porridge, 1.89 mg/100 g. </w:t>
      </w:r>
      <w:r w:rsidR="00F05B1A">
        <w:t xml:space="preserve">Hence, </w:t>
      </w:r>
      <w:r>
        <w:t xml:space="preserve">overall, </w:t>
      </w:r>
      <w:r w:rsidR="00F05B1A">
        <w:t xml:space="preserve">none of </w:t>
      </w:r>
      <w:r>
        <w:t>the food-to-food fortifica</w:t>
      </w:r>
      <w:r w:rsidR="00F05B1A">
        <w:t>nts</w:t>
      </w:r>
      <w:r>
        <w:t xml:space="preserve"> </w:t>
      </w:r>
      <w:r w:rsidR="00F05B1A">
        <w:t xml:space="preserve">studied </w:t>
      </w:r>
      <w:r>
        <w:t>in Experiment 2 improve</w:t>
      </w:r>
      <w:r w:rsidR="00F05B1A">
        <w:t>d</w:t>
      </w:r>
      <w:r>
        <w:t xml:space="preserve"> zinc bioaccessibility. </w:t>
      </w:r>
    </w:p>
    <w:p w14:paraId="30D2EED8" w14:textId="77777777" w:rsidR="00BF60CE" w:rsidRDefault="00BF60CE" w:rsidP="0009779A">
      <w:pPr>
        <w:spacing w:after="0"/>
        <w:rPr>
          <w:i/>
          <w:iCs/>
        </w:rPr>
      </w:pPr>
    </w:p>
    <w:p w14:paraId="2E656459" w14:textId="76FF0796" w:rsidR="00B4041A" w:rsidRPr="00867505" w:rsidRDefault="00B4041A" w:rsidP="0009779A">
      <w:pPr>
        <w:spacing w:after="0"/>
        <w:rPr>
          <w:i/>
          <w:iCs/>
        </w:rPr>
      </w:pPr>
      <w:r w:rsidRPr="00867505">
        <w:rPr>
          <w:i/>
          <w:iCs/>
        </w:rPr>
        <w:t>Calcium bioaccessibility</w:t>
      </w:r>
    </w:p>
    <w:p w14:paraId="02C7750A" w14:textId="5D2A06B0" w:rsidR="00B4041A" w:rsidRDefault="00B4041A" w:rsidP="00D91B2C">
      <w:pPr>
        <w:rPr>
          <w:rFonts w:eastAsia="Times New Roman"/>
        </w:rPr>
      </w:pPr>
      <w:r>
        <w:t>In Experiment 1, baobab and moringa fortification of maize porridge decreased the percentage calcium bioaccessibility (</w:t>
      </w:r>
      <w:r w:rsidRPr="00772448">
        <w:t xml:space="preserve">Table </w:t>
      </w:r>
      <w:r w:rsidR="00772448" w:rsidRPr="00772448">
        <w:t>4.2.</w:t>
      </w:r>
      <w:r w:rsidRPr="00772448">
        <w:t>5)</w:t>
      </w:r>
      <w:r>
        <w:t xml:space="preserve">. Similarly, in Experiment 2, baobab and moringa fortification of complex maize-based porridge, either alone or in combination also decreased the percentage calcium bioaccessibility. This was </w:t>
      </w:r>
      <w:r w:rsidRPr="00A967D7">
        <w:t xml:space="preserve">presumably due to their </w:t>
      </w:r>
      <w:r>
        <w:t xml:space="preserve">relatively </w:t>
      </w:r>
      <w:r w:rsidRPr="00A967D7">
        <w:t xml:space="preserve">high </w:t>
      </w:r>
      <w:r>
        <w:t>phenolic</w:t>
      </w:r>
      <w:r w:rsidRPr="00A967D7">
        <w:t xml:space="preserve"> contents</w:t>
      </w:r>
      <w:r>
        <w:t xml:space="preserve"> compared to their respective control porridges</w:t>
      </w:r>
      <w:r w:rsidRPr="00A967D7">
        <w:t xml:space="preserve">. </w:t>
      </w:r>
      <w:r>
        <w:t xml:space="preserve">Vitali et al. (2008) similarly found that wholegrain wheat-based biscuits </w:t>
      </w:r>
      <w:r w:rsidR="00F05B1A">
        <w:t>which were</w:t>
      </w:r>
      <w:r>
        <w:t xml:space="preserve"> high </w:t>
      </w:r>
      <w:r w:rsidR="00F05B1A">
        <w:t>in</w:t>
      </w:r>
      <w:r>
        <w:t xml:space="preserve"> polyphenols decreased the percentage calcium bioaccessibility compared to wholegrain wheat-based biscuits with a much lower polyphenol content.  </w:t>
      </w:r>
      <w:r w:rsidRPr="00A967D7">
        <w:rPr>
          <w:rFonts w:eastAsia="Times New Roman"/>
        </w:rPr>
        <w:t xml:space="preserve">However, </w:t>
      </w:r>
      <w:r>
        <w:rPr>
          <w:rFonts w:eastAsia="Times New Roman"/>
        </w:rPr>
        <w:t xml:space="preserve">in both </w:t>
      </w:r>
      <w:r w:rsidR="00F05B1A">
        <w:rPr>
          <w:rFonts w:eastAsia="Times New Roman"/>
        </w:rPr>
        <w:t>E</w:t>
      </w:r>
      <w:r>
        <w:rPr>
          <w:rFonts w:eastAsia="Times New Roman"/>
        </w:rPr>
        <w:t>xperiment</w:t>
      </w:r>
      <w:r w:rsidR="00F05B1A">
        <w:rPr>
          <w:rFonts w:eastAsia="Times New Roman"/>
        </w:rPr>
        <w:t xml:space="preserve"> 1 and 2</w:t>
      </w:r>
      <w:r>
        <w:rPr>
          <w:rFonts w:eastAsia="Times New Roman"/>
        </w:rPr>
        <w:t xml:space="preserve"> </w:t>
      </w:r>
      <w:r w:rsidRPr="00A967D7">
        <w:rPr>
          <w:rFonts w:eastAsia="Times New Roman"/>
        </w:rPr>
        <w:t xml:space="preserve">there was a </w:t>
      </w:r>
      <w:r w:rsidR="00F05B1A">
        <w:rPr>
          <w:rFonts w:eastAsia="Times New Roman"/>
        </w:rPr>
        <w:t>great</w:t>
      </w:r>
      <w:r w:rsidRPr="00A967D7">
        <w:rPr>
          <w:rFonts w:eastAsia="Times New Roman"/>
        </w:rPr>
        <w:t xml:space="preserve"> increase in the </w:t>
      </w:r>
      <w:r>
        <w:rPr>
          <w:rFonts w:eastAsia="Times New Roman"/>
        </w:rPr>
        <w:t>amount of</w:t>
      </w:r>
      <w:r w:rsidRPr="00A967D7">
        <w:rPr>
          <w:rFonts w:eastAsia="Times New Roman"/>
        </w:rPr>
        <w:t xml:space="preserve"> bioaccessible calcium in the</w:t>
      </w:r>
      <w:r>
        <w:rPr>
          <w:rFonts w:eastAsia="Times New Roman"/>
        </w:rPr>
        <w:t xml:space="preserve"> moringa fortified</w:t>
      </w:r>
      <w:r w:rsidR="00772448">
        <w:rPr>
          <w:rFonts w:eastAsia="Times New Roman"/>
        </w:rPr>
        <w:t xml:space="preserve"> </w:t>
      </w:r>
      <w:r w:rsidRPr="00A967D7">
        <w:rPr>
          <w:rFonts w:eastAsia="Times New Roman"/>
        </w:rPr>
        <w:t>porridges</w:t>
      </w:r>
      <w:r>
        <w:rPr>
          <w:rFonts w:eastAsia="Times New Roman"/>
        </w:rPr>
        <w:t xml:space="preserve">. This was as a result of the very </w:t>
      </w:r>
      <w:r w:rsidRPr="00A967D7">
        <w:rPr>
          <w:rFonts w:eastAsia="Times New Roman"/>
        </w:rPr>
        <w:t>high calcium content</w:t>
      </w:r>
      <w:r>
        <w:rPr>
          <w:rFonts w:eastAsia="Times New Roman"/>
        </w:rPr>
        <w:t xml:space="preserve"> of moringa</w:t>
      </w:r>
      <w:r w:rsidRPr="00A967D7">
        <w:rPr>
          <w:rFonts w:eastAsia="Times New Roman"/>
        </w:rPr>
        <w:t xml:space="preserve"> (</w:t>
      </w:r>
      <w:r w:rsidRPr="00772448">
        <w:rPr>
          <w:rFonts w:eastAsia="Times New Roman"/>
        </w:rPr>
        <w:t xml:space="preserve">Table </w:t>
      </w:r>
      <w:r w:rsidR="00772448" w:rsidRPr="00772448">
        <w:rPr>
          <w:rFonts w:eastAsia="Times New Roman"/>
        </w:rPr>
        <w:t>4.2.</w:t>
      </w:r>
      <w:r w:rsidRPr="00772448">
        <w:rPr>
          <w:rFonts w:eastAsia="Times New Roman"/>
        </w:rPr>
        <w:t>1</w:t>
      </w:r>
      <w:r w:rsidRPr="00A967D7">
        <w:rPr>
          <w:rFonts w:eastAsia="Times New Roman"/>
        </w:rPr>
        <w:t>).</w:t>
      </w:r>
      <w:r>
        <w:rPr>
          <w:rFonts w:eastAsia="Times New Roman"/>
        </w:rPr>
        <w:t xml:space="preserve"> Baobab fortification of the porridges also substantially increased their amount of bioaccessible calcium, due to its relatively higher calcium content compared to </w:t>
      </w:r>
      <w:r w:rsidR="00772448">
        <w:rPr>
          <w:rFonts w:eastAsia="Times New Roman"/>
        </w:rPr>
        <w:t>their</w:t>
      </w:r>
      <w:r>
        <w:rPr>
          <w:rFonts w:eastAsia="Times New Roman"/>
        </w:rPr>
        <w:t xml:space="preserve"> </w:t>
      </w:r>
      <w:r w:rsidR="00772448">
        <w:rPr>
          <w:rFonts w:eastAsia="Times New Roman"/>
        </w:rPr>
        <w:t xml:space="preserve">control </w:t>
      </w:r>
      <w:r>
        <w:rPr>
          <w:rFonts w:eastAsia="Times New Roman"/>
        </w:rPr>
        <w:t xml:space="preserve">porridges. </w:t>
      </w:r>
      <w:r w:rsidR="00F05B1A">
        <w:rPr>
          <w:rFonts w:eastAsia="Times New Roman"/>
        </w:rPr>
        <w:t>These findings are similar to</w:t>
      </w:r>
      <w:r w:rsidR="00772448">
        <w:rPr>
          <w:rFonts w:eastAsia="Times New Roman"/>
        </w:rPr>
        <w:t xml:space="preserve"> </w:t>
      </w:r>
      <w:r w:rsidR="00537D27">
        <w:rPr>
          <w:rFonts w:eastAsia="Times New Roman"/>
        </w:rPr>
        <w:t xml:space="preserve">those with </w:t>
      </w:r>
      <w:r w:rsidR="00772448">
        <w:rPr>
          <w:rFonts w:eastAsia="Times New Roman"/>
        </w:rPr>
        <w:t>b</w:t>
      </w:r>
      <w:r>
        <w:rPr>
          <w:rFonts w:eastAsia="Times New Roman"/>
        </w:rPr>
        <w:t xml:space="preserve">aobab and moringa fortification of pearl millet porridge </w:t>
      </w:r>
      <w:r w:rsidR="00F05B1A">
        <w:rPr>
          <w:rFonts w:eastAsia="Times New Roman"/>
        </w:rPr>
        <w:t>which</w:t>
      </w:r>
      <w:r>
        <w:rPr>
          <w:rFonts w:eastAsia="Times New Roman"/>
        </w:rPr>
        <w:t xml:space="preserve"> decreased the percentage calcium bioaccessibility but increased the amount of bioaccessible calcium (</w:t>
      </w:r>
      <w:r w:rsidR="00772448">
        <w:rPr>
          <w:rFonts w:eastAsia="Times New Roman"/>
        </w:rPr>
        <w:t>C</w:t>
      </w:r>
      <w:r>
        <w:rPr>
          <w:rFonts w:eastAsia="Times New Roman"/>
        </w:rPr>
        <w:t xml:space="preserve">hapter </w:t>
      </w:r>
      <w:r w:rsidR="00F05B1A">
        <w:rPr>
          <w:rFonts w:eastAsia="Times New Roman"/>
        </w:rPr>
        <w:t>4.</w:t>
      </w:r>
      <w:r>
        <w:rPr>
          <w:rFonts w:eastAsia="Times New Roman"/>
        </w:rPr>
        <w:t>1).</w:t>
      </w:r>
    </w:p>
    <w:p w14:paraId="38E1B7C8" w14:textId="77777777" w:rsidR="00B4041A" w:rsidRDefault="00B4041A" w:rsidP="00772448">
      <w:pPr>
        <w:spacing w:after="0"/>
        <w:rPr>
          <w:rFonts w:eastAsia="Times New Roman"/>
        </w:rPr>
      </w:pPr>
    </w:p>
    <w:p w14:paraId="46544182" w14:textId="5AFC7A6F" w:rsidR="00B4041A" w:rsidRPr="00A967D7" w:rsidRDefault="00B4041A" w:rsidP="00D91B2C">
      <w:r>
        <w:t>I</w:t>
      </w:r>
      <w:r w:rsidRPr="00A967D7">
        <w:t xml:space="preserve">ron </w:t>
      </w:r>
      <w:r>
        <w:t>fortification alone of</w:t>
      </w:r>
      <w:r w:rsidRPr="00A967D7">
        <w:t xml:space="preserve"> maize porridge </w:t>
      </w:r>
      <w:r>
        <w:t>also reduced</w:t>
      </w:r>
      <w:r w:rsidRPr="00A967D7">
        <w:t xml:space="preserve"> the percentage calcium bioaccessibility </w:t>
      </w:r>
      <w:r>
        <w:t>(E</w:t>
      </w:r>
      <w:r w:rsidRPr="00A967D7">
        <w:t>xperiment 1</w:t>
      </w:r>
      <w:r>
        <w:t>)</w:t>
      </w:r>
      <w:r w:rsidRPr="00A967D7">
        <w:t xml:space="preserve"> (</w:t>
      </w:r>
      <w:r w:rsidRPr="00772448">
        <w:t xml:space="preserve">Table </w:t>
      </w:r>
      <w:r w:rsidR="00772448" w:rsidRPr="00772448">
        <w:t>4.2.</w:t>
      </w:r>
      <w:r w:rsidRPr="00772448">
        <w:t>5)</w:t>
      </w:r>
      <w:r>
        <w:t xml:space="preserve"> but</w:t>
      </w:r>
      <w:r w:rsidRPr="00A967D7">
        <w:t xml:space="preserve"> </w:t>
      </w:r>
      <w:r>
        <w:t xml:space="preserve">inclusion of ascorbic+citric acid had no effect on calcium bioaccessibility. However, </w:t>
      </w:r>
      <w:r w:rsidRPr="00A967D7">
        <w:t xml:space="preserve">inclusion of ascorbic acid </w:t>
      </w:r>
      <w:r>
        <w:t>in</w:t>
      </w:r>
      <w:r w:rsidRPr="00A967D7">
        <w:t xml:space="preserve"> the </w:t>
      </w:r>
      <w:r>
        <w:t>complex FeSO</w:t>
      </w:r>
      <w:r w:rsidRPr="00E302F3">
        <w:rPr>
          <w:vertAlign w:val="subscript"/>
        </w:rPr>
        <w:t>4</w:t>
      </w:r>
      <w:r>
        <w:t xml:space="preserve"> fortified-</w:t>
      </w:r>
      <w:r w:rsidRPr="00A967D7">
        <w:t>maize</w:t>
      </w:r>
      <w:r>
        <w:t>-based</w:t>
      </w:r>
      <w:r w:rsidRPr="00A967D7">
        <w:t xml:space="preserve"> porridge </w:t>
      </w:r>
      <w:r>
        <w:t>(E</w:t>
      </w:r>
      <w:r w:rsidRPr="00A967D7">
        <w:t>xperiment 2</w:t>
      </w:r>
      <w:r>
        <w:t>)</w:t>
      </w:r>
      <w:r w:rsidRPr="00A967D7">
        <w:t xml:space="preserve"> increased the percentage </w:t>
      </w:r>
      <w:r>
        <w:t xml:space="preserve">bioaccessible </w:t>
      </w:r>
      <w:r w:rsidRPr="00A967D7">
        <w:t xml:space="preserve">calcium but did not significantly </w:t>
      </w:r>
      <w:r>
        <w:t>affect</w:t>
      </w:r>
      <w:r w:rsidRPr="00A967D7">
        <w:t xml:space="preserve"> the amount of bioaccessible calcium. </w:t>
      </w:r>
      <w:r>
        <w:t xml:space="preserve">This indicates that the β-carotene in the food matrix of the porridge </w:t>
      </w:r>
      <w:r w:rsidR="00537D27">
        <w:t>formulation</w:t>
      </w:r>
      <w:r>
        <w:t xml:space="preserve"> may have contributed to the enhancing effect of ascorbic acid on the percentage calcium bioaccessibility, presumably by enhancing calcium solubilization. </w:t>
      </w:r>
      <w:r w:rsidR="00537D27">
        <w:t>This finding is similar to that in Chapter 4.1, where a</w:t>
      </w:r>
      <w:r>
        <w:t>scorbic acid and citric acid increase</w:t>
      </w:r>
      <w:r w:rsidR="00537D27">
        <w:t>d</w:t>
      </w:r>
      <w:r>
        <w:t xml:space="preserve"> </w:t>
      </w:r>
      <w:r w:rsidR="00537D27">
        <w:t xml:space="preserve">the </w:t>
      </w:r>
      <w:r>
        <w:t>percentage calcium bioaccessibility in pearl millet porridge. Pearl millet can contain some β-carotene, approx. 86–170 µg/100 g (Sihag et al., 2015</w:t>
      </w:r>
      <w:r w:rsidR="00537D27">
        <w:t>;</w:t>
      </w:r>
      <w:r>
        <w:t xml:space="preserve"> Sowmiya et al., 2016) unlike white maize, which contains a negligible amount (USDA, 2019). This may, in part, explain why the inclusion of the ascorbic and citric acids in the pearl millet porridge were effective in increasing calcium bioaccessibility but not in the simple maize porridge. The higher ascorbic acid content (68.7 mg/100 g) of FeSO</w:t>
      </w:r>
      <w:r w:rsidRPr="00E302F3">
        <w:rPr>
          <w:vertAlign w:val="subscript"/>
        </w:rPr>
        <w:t>4</w:t>
      </w:r>
      <w:r>
        <w:t xml:space="preserve"> fortified-maize-based porridge+ascorbic acid formulation in Experiment 2 compared to 23.3 mg/100 g in the maize porridge+ascorbic+citric acids formulation could have also contributed to this effect. Singh </w:t>
      </w:r>
      <w:r w:rsidR="0057624B">
        <w:t>&amp;</w:t>
      </w:r>
      <w:r>
        <w:t xml:space="preserve"> Prasad (2018) </w:t>
      </w:r>
      <w:r w:rsidR="00537D27">
        <w:t>similarly</w:t>
      </w:r>
      <w:r>
        <w:t xml:space="preserve"> found that ascorbic acid inclusion in wholegrain wheat bread at 250 to 500 mg/100 g increased percentage calcium bioaccessibility in a dose dependent manner.</w:t>
      </w:r>
    </w:p>
    <w:p w14:paraId="2961FE81" w14:textId="77777777" w:rsidR="00B4041A" w:rsidRDefault="00B4041A" w:rsidP="0009779A">
      <w:pPr>
        <w:spacing w:after="0"/>
        <w:rPr>
          <w:rFonts w:cs="Times New Roman"/>
          <w:szCs w:val="24"/>
        </w:rPr>
      </w:pPr>
    </w:p>
    <w:p w14:paraId="77478E4D" w14:textId="77777777" w:rsidR="005F7AC1" w:rsidRPr="00772448" w:rsidRDefault="005F7AC1" w:rsidP="005F7AC1">
      <w:pPr>
        <w:spacing w:after="0"/>
        <w:rPr>
          <w:rFonts w:eastAsia="Times New Roman"/>
          <w:i/>
          <w:iCs/>
        </w:rPr>
      </w:pPr>
      <w:r w:rsidRPr="00772448">
        <w:rPr>
          <w:i/>
          <w:iCs/>
        </w:rPr>
        <w:t>Magnesium bioaccessibility</w:t>
      </w:r>
    </w:p>
    <w:p w14:paraId="30B91836" w14:textId="546BAEEF" w:rsidR="005F7AC1" w:rsidRDefault="005F7AC1" w:rsidP="00E70C8D">
      <w:pPr>
        <w:rPr>
          <w:b/>
          <w:bCs/>
        </w:rPr>
      </w:pPr>
      <w:r w:rsidRPr="00A967D7">
        <w:t>Only ascorbic+citric acid inclusion in maize porridge had a positive effect on both the percentage and the amount of bioaccessible magnesium</w:t>
      </w:r>
      <w:r>
        <w:t xml:space="preserve"> (E</w:t>
      </w:r>
      <w:r w:rsidRPr="00A967D7">
        <w:t>xperiment 1</w:t>
      </w:r>
      <w:r>
        <w:t>)</w:t>
      </w:r>
      <w:r w:rsidRPr="00A967D7">
        <w:t xml:space="preserve"> (</w:t>
      </w:r>
      <w:r w:rsidRPr="00772448">
        <w:t>Table 4.2.5)</w:t>
      </w:r>
      <w:r w:rsidRPr="00A967D7">
        <w:t xml:space="preserve">. </w:t>
      </w:r>
      <w:r>
        <w:t>B</w:t>
      </w:r>
      <w:r w:rsidRPr="00A967D7">
        <w:t>aobab fortification of maize porridge</w:t>
      </w:r>
      <w:r>
        <w:t>, although</w:t>
      </w:r>
      <w:r w:rsidRPr="00A967D7">
        <w:t xml:space="preserve"> ha</w:t>
      </w:r>
      <w:r>
        <w:t>ving</w:t>
      </w:r>
      <w:r w:rsidRPr="00A967D7">
        <w:t xml:space="preserve"> no effect on the percentage bioaccessible magnesium</w:t>
      </w:r>
      <w:r>
        <w:t>,</w:t>
      </w:r>
      <w:r w:rsidRPr="00A967D7">
        <w:t xml:space="preserve"> increased the amount of bioaccessible magnesium. </w:t>
      </w:r>
      <w:r>
        <w:t>Similarly</w:t>
      </w:r>
      <w:r w:rsidRPr="00A967D7">
        <w:t xml:space="preserve">, </w:t>
      </w:r>
      <w:r>
        <w:t xml:space="preserve">with the complex porridges (Experiment 2), </w:t>
      </w:r>
      <w:r w:rsidRPr="00A967D7">
        <w:t xml:space="preserve">baobab </w:t>
      </w:r>
      <w:r>
        <w:t>fortification</w:t>
      </w:r>
      <w:r w:rsidRPr="00A967D7">
        <w:t xml:space="preserve"> had no effect on the percentage bioaccessible magnesium but increased the amount of bioaccessible magnesium. </w:t>
      </w:r>
      <w:r>
        <w:t>Inclusion of a</w:t>
      </w:r>
      <w:r w:rsidRPr="00A967D7">
        <w:t xml:space="preserve">scorbic acid also had no effect. </w:t>
      </w:r>
      <w:r>
        <w:t>These findings are in slight contrast</w:t>
      </w:r>
      <w:r w:rsidR="00F86C25">
        <w:t xml:space="preserve"> </w:t>
      </w:r>
      <w:r>
        <w:t>to those of Chapter 4.1 where it was found that baobab fortification of pearl millet porridge slightly increased the percentage bioaccessible magnesium, despite pearl millet’s relatively higher phenolic content. The reason for this difference is unclear. Nevertheless, in agreement with the findings of Experiment 1, citric acid inclusion in pearl millet porridge also increased the percentage bioaccessible magnesium. Thus, these findings suggest that the citric acid in the maize+ascorbic+citric acid</w:t>
      </w:r>
      <w:r w:rsidR="0056482E">
        <w:t xml:space="preserve"> porridge</w:t>
      </w:r>
      <w:r>
        <w:t xml:space="preserve"> formulation (Experiment 1) may be responsible for the increase in percentage bioaccessible magnesium. </w:t>
      </w:r>
      <w:r w:rsidRPr="00A967D7">
        <w:t xml:space="preserve">In both experiments, </w:t>
      </w:r>
      <w:r>
        <w:t>m</w:t>
      </w:r>
      <w:r w:rsidRPr="00A967D7">
        <w:t>oringa fortification</w:t>
      </w:r>
      <w:r>
        <w:t xml:space="preserve"> </w:t>
      </w:r>
      <w:r w:rsidRPr="00A967D7">
        <w:t>o</w:t>
      </w:r>
      <w:r>
        <w:t>f</w:t>
      </w:r>
      <w:r w:rsidRPr="00A967D7">
        <w:t xml:space="preserve"> </w:t>
      </w:r>
      <w:r>
        <w:t>the</w:t>
      </w:r>
      <w:r w:rsidRPr="00A967D7">
        <w:t xml:space="preserve"> porridge</w:t>
      </w:r>
      <w:r>
        <w:t>s</w:t>
      </w:r>
      <w:r w:rsidRPr="00A967D7">
        <w:t xml:space="preserve"> decreased the percentage</w:t>
      </w:r>
      <w:r>
        <w:t xml:space="preserve"> </w:t>
      </w:r>
      <w:r w:rsidRPr="00A967D7">
        <w:t>bioaccessible magnesium</w:t>
      </w:r>
      <w:r>
        <w:t xml:space="preserve">, presumably due to the high levels of calcium and phenolics in moringa, which may have prevented magnesium solubilization. These findings agree with those of Chapter 4.1, where moringa fortification of pearl millet porridge decreased the percentage magnesium bioaccessibility. Similarly, </w:t>
      </w:r>
      <w:r w:rsidRPr="003D1277">
        <w:t xml:space="preserve">Vitali et al. (2008) showed that carob </w:t>
      </w:r>
      <w:r>
        <w:t xml:space="preserve">flour (high in polyphenols) </w:t>
      </w:r>
      <w:r w:rsidRPr="003D1277">
        <w:t>fortifi</w:t>
      </w:r>
      <w:r>
        <w:t>cation of</w:t>
      </w:r>
      <w:r w:rsidRPr="003D1277">
        <w:t xml:space="preserve"> wholegrain wheat-based biscuit</w:t>
      </w:r>
      <w:r>
        <w:t xml:space="preserve"> reduced the</w:t>
      </w:r>
      <w:r w:rsidRPr="003D1277">
        <w:t xml:space="preserve"> percentage </w:t>
      </w:r>
      <w:r>
        <w:t xml:space="preserve">bioaccessible </w:t>
      </w:r>
      <w:r w:rsidRPr="003D1277">
        <w:t>magnesium.</w:t>
      </w:r>
      <w:r>
        <w:t xml:space="preserve"> These findings agree with </w:t>
      </w:r>
      <w:r w:rsidRPr="00D5016D">
        <w:rPr>
          <w:i/>
        </w:rPr>
        <w:t>in vivo</w:t>
      </w:r>
      <w:r>
        <w:t xml:space="preserve"> studies. Green et al. (2003) showed that increased calcium intake either in the form of high calcium skimmed milk or as tricalcium phosphate decreased magnesium absorption and increased urinary magnesium excretion in postmenopausal women. Increased dietary calcium was also shown to reduce femur and serum magnesium concentration in a dose dependent manner in rats (Bertinato et al., 2014).</w:t>
      </w:r>
    </w:p>
    <w:p w14:paraId="6D42A1D8" w14:textId="3047E02B" w:rsidR="0097694E" w:rsidRDefault="0097694E">
      <w:pPr>
        <w:spacing w:after="160" w:line="259" w:lineRule="auto"/>
        <w:jc w:val="left"/>
        <w:rPr>
          <w:b/>
          <w:bCs/>
          <w:iCs/>
          <w:szCs w:val="18"/>
        </w:rPr>
      </w:pPr>
      <w:r>
        <w:rPr>
          <w:b/>
          <w:bCs/>
        </w:rPr>
        <w:br w:type="page"/>
      </w:r>
    </w:p>
    <w:p w14:paraId="506F9F79" w14:textId="77777777" w:rsidR="0097694E" w:rsidRDefault="0097694E" w:rsidP="0009779A">
      <w:pPr>
        <w:pStyle w:val="MyTables"/>
        <w:spacing w:line="240" w:lineRule="auto"/>
        <w:rPr>
          <w:b/>
          <w:bCs/>
        </w:rPr>
        <w:sectPr w:rsidR="0097694E" w:rsidSect="0001705F">
          <w:pgSz w:w="11907" w:h="16839" w:code="9"/>
          <w:pgMar w:top="1440" w:right="1440" w:bottom="1440" w:left="1440" w:header="720" w:footer="720" w:gutter="0"/>
          <w:cols w:space="720"/>
          <w:docGrid w:linePitch="360"/>
        </w:sectPr>
      </w:pPr>
    </w:p>
    <w:p w14:paraId="32F11194" w14:textId="3EE1ECCF" w:rsidR="0097694E" w:rsidRDefault="00B4041A" w:rsidP="0097694E">
      <w:pPr>
        <w:pStyle w:val="MyTables"/>
        <w:spacing w:line="240" w:lineRule="auto"/>
      </w:pPr>
      <w:bookmarkStart w:id="121" w:name="_Toc65253638"/>
      <w:r w:rsidRPr="00772448">
        <w:rPr>
          <w:b/>
          <w:bCs/>
        </w:rPr>
        <w:t xml:space="preserve">Table </w:t>
      </w:r>
      <w:r w:rsidR="00772448" w:rsidRPr="00772448">
        <w:rPr>
          <w:b/>
          <w:bCs/>
        </w:rPr>
        <w:t>4.2.</w:t>
      </w:r>
      <w:r w:rsidRPr="00772448">
        <w:rPr>
          <w:b/>
          <w:bCs/>
        </w:rPr>
        <w:t>5:</w:t>
      </w:r>
      <w:r w:rsidRPr="00A967D7">
        <w:t xml:space="preserve"> </w:t>
      </w:r>
      <w:r>
        <w:t>E</w:t>
      </w:r>
      <w:r w:rsidRPr="00A967D7">
        <w:t>ffects of food-to-food fortification of wholegrain white maize porridge</w:t>
      </w:r>
      <w:r>
        <w:t>, as</w:t>
      </w:r>
      <w:r w:rsidRPr="00107F36">
        <w:t xml:space="preserve"> simple and a more complex </w:t>
      </w:r>
      <w:r>
        <w:t>composite porridge,</w:t>
      </w:r>
      <w:r w:rsidRPr="00A967D7">
        <w:t xml:space="preserve"> with baobab fruit pulp and moringa leaf powder on </w:t>
      </w:r>
      <w:r>
        <w:t>calcium</w:t>
      </w:r>
      <w:r w:rsidRPr="00A967D7">
        <w:t xml:space="preserve"> and </w:t>
      </w:r>
      <w:r>
        <w:t>magnesium</w:t>
      </w:r>
      <w:r w:rsidRPr="00A967D7">
        <w:t xml:space="preserve"> bioaccessibility</w:t>
      </w:r>
      <w:bookmarkEnd w:id="121"/>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2657"/>
        <w:gridCol w:w="2658"/>
        <w:gridCol w:w="2658"/>
        <w:gridCol w:w="2658"/>
      </w:tblGrid>
      <w:tr w:rsidR="005F5508" w:rsidRPr="008D1E08" w14:paraId="490337E4" w14:textId="77777777" w:rsidTr="00F86C25">
        <w:tc>
          <w:tcPr>
            <w:tcW w:w="3544" w:type="dxa"/>
            <w:tcBorders>
              <w:top w:val="single" w:sz="4" w:space="0" w:color="auto"/>
              <w:bottom w:val="single" w:sz="4" w:space="0" w:color="auto"/>
            </w:tcBorders>
          </w:tcPr>
          <w:p w14:paraId="4A65D028" w14:textId="112075B5" w:rsidR="005F5508" w:rsidRPr="008D1E08" w:rsidRDefault="005F5508" w:rsidP="008D1E08">
            <w:pPr>
              <w:spacing w:after="0" w:line="240" w:lineRule="auto"/>
              <w:jc w:val="left"/>
              <w:rPr>
                <w:b/>
                <w:bCs/>
                <w:sz w:val="22"/>
              </w:rPr>
            </w:pPr>
            <w:r w:rsidRPr="008D1E08">
              <w:rPr>
                <w:b/>
                <w:bCs/>
                <w:sz w:val="22"/>
              </w:rPr>
              <w:t xml:space="preserve">Porridge formulations </w:t>
            </w:r>
          </w:p>
        </w:tc>
        <w:tc>
          <w:tcPr>
            <w:tcW w:w="2657" w:type="dxa"/>
            <w:tcBorders>
              <w:top w:val="single" w:sz="4" w:space="0" w:color="auto"/>
              <w:bottom w:val="single" w:sz="4" w:space="0" w:color="auto"/>
            </w:tcBorders>
          </w:tcPr>
          <w:p w14:paraId="3EEF764F" w14:textId="25504878" w:rsidR="005F5508" w:rsidRPr="008D1E08" w:rsidRDefault="005F5508" w:rsidP="008D1E08">
            <w:pPr>
              <w:spacing w:after="0" w:line="240" w:lineRule="auto"/>
              <w:jc w:val="center"/>
              <w:rPr>
                <w:b/>
                <w:bCs/>
                <w:sz w:val="22"/>
              </w:rPr>
            </w:pPr>
            <w:r w:rsidRPr="008D1E08">
              <w:rPr>
                <w:b/>
                <w:bCs/>
                <w:sz w:val="22"/>
              </w:rPr>
              <w:t>Percentage bioaccessible calcium</w:t>
            </w:r>
          </w:p>
        </w:tc>
        <w:tc>
          <w:tcPr>
            <w:tcW w:w="2658" w:type="dxa"/>
            <w:tcBorders>
              <w:top w:val="single" w:sz="4" w:space="0" w:color="auto"/>
              <w:bottom w:val="single" w:sz="4" w:space="0" w:color="auto"/>
            </w:tcBorders>
          </w:tcPr>
          <w:p w14:paraId="039A7E22" w14:textId="13F8E16A" w:rsidR="005F5508" w:rsidRPr="008D1E08" w:rsidRDefault="005F5508" w:rsidP="008D1E08">
            <w:pPr>
              <w:spacing w:after="0" w:line="240" w:lineRule="auto"/>
              <w:jc w:val="center"/>
              <w:rPr>
                <w:b/>
                <w:bCs/>
                <w:sz w:val="22"/>
              </w:rPr>
            </w:pPr>
            <w:r w:rsidRPr="008D1E08">
              <w:rPr>
                <w:b/>
                <w:bCs/>
                <w:sz w:val="22"/>
              </w:rPr>
              <w:t>Amount of bioaccessible calcium (mg/100 g dry basis)</w:t>
            </w:r>
          </w:p>
        </w:tc>
        <w:tc>
          <w:tcPr>
            <w:tcW w:w="2658" w:type="dxa"/>
            <w:tcBorders>
              <w:top w:val="single" w:sz="4" w:space="0" w:color="auto"/>
              <w:bottom w:val="single" w:sz="4" w:space="0" w:color="auto"/>
            </w:tcBorders>
          </w:tcPr>
          <w:p w14:paraId="58E59220" w14:textId="4DEC4D5D" w:rsidR="005F5508" w:rsidRPr="008D1E08" w:rsidRDefault="005F5508" w:rsidP="008D1E08">
            <w:pPr>
              <w:spacing w:after="0" w:line="240" w:lineRule="auto"/>
              <w:jc w:val="center"/>
              <w:rPr>
                <w:b/>
                <w:bCs/>
                <w:sz w:val="22"/>
              </w:rPr>
            </w:pPr>
            <w:r w:rsidRPr="008D1E08">
              <w:rPr>
                <w:b/>
                <w:bCs/>
                <w:sz w:val="22"/>
              </w:rPr>
              <w:t>Percentage bioaccessible magnesium</w:t>
            </w:r>
          </w:p>
        </w:tc>
        <w:tc>
          <w:tcPr>
            <w:tcW w:w="2658" w:type="dxa"/>
            <w:tcBorders>
              <w:top w:val="single" w:sz="4" w:space="0" w:color="auto"/>
              <w:bottom w:val="single" w:sz="4" w:space="0" w:color="auto"/>
            </w:tcBorders>
          </w:tcPr>
          <w:p w14:paraId="7A23C32B" w14:textId="7D60C8EA" w:rsidR="005F5508" w:rsidRPr="008D1E08" w:rsidRDefault="005F5508" w:rsidP="008D1E08">
            <w:pPr>
              <w:spacing w:after="0" w:line="240" w:lineRule="auto"/>
              <w:jc w:val="center"/>
              <w:rPr>
                <w:b/>
                <w:bCs/>
                <w:sz w:val="22"/>
              </w:rPr>
            </w:pPr>
            <w:r w:rsidRPr="008D1E08">
              <w:rPr>
                <w:b/>
                <w:bCs/>
                <w:sz w:val="22"/>
              </w:rPr>
              <w:t>Amount of bioaccessible magnesium (mg/100 g dry basis)</w:t>
            </w:r>
          </w:p>
        </w:tc>
      </w:tr>
      <w:tr w:rsidR="005F5508" w:rsidRPr="008D1E08" w14:paraId="120434DA" w14:textId="77777777" w:rsidTr="00F86C25">
        <w:tc>
          <w:tcPr>
            <w:tcW w:w="14175" w:type="dxa"/>
            <w:gridSpan w:val="5"/>
            <w:tcBorders>
              <w:top w:val="single" w:sz="4" w:space="0" w:color="auto"/>
            </w:tcBorders>
          </w:tcPr>
          <w:p w14:paraId="0DA51ADC" w14:textId="368569B6" w:rsidR="005F5508" w:rsidRPr="008D1E08" w:rsidRDefault="005F5508" w:rsidP="008D1E08">
            <w:pPr>
              <w:spacing w:after="0" w:line="240" w:lineRule="auto"/>
              <w:jc w:val="left"/>
              <w:rPr>
                <w:b/>
                <w:sz w:val="22"/>
              </w:rPr>
            </w:pPr>
            <w:r w:rsidRPr="008D1E08">
              <w:rPr>
                <w:b/>
                <w:sz w:val="22"/>
              </w:rPr>
              <w:t>Experiment 1 (Simple porridges)</w:t>
            </w:r>
          </w:p>
        </w:tc>
      </w:tr>
      <w:tr w:rsidR="005F5508" w:rsidRPr="008D1E08" w14:paraId="5079B78D" w14:textId="77777777" w:rsidTr="00F86C25">
        <w:tc>
          <w:tcPr>
            <w:tcW w:w="3544" w:type="dxa"/>
          </w:tcPr>
          <w:p w14:paraId="466C5B3F" w14:textId="7FF3C7F7" w:rsidR="005F5508" w:rsidRPr="008D1E08" w:rsidRDefault="005F5508" w:rsidP="008D1E08">
            <w:pPr>
              <w:spacing w:after="0" w:line="240" w:lineRule="auto"/>
              <w:jc w:val="left"/>
              <w:rPr>
                <w:sz w:val="22"/>
              </w:rPr>
            </w:pPr>
            <w:r w:rsidRPr="008D1E08">
              <w:rPr>
                <w:sz w:val="22"/>
              </w:rPr>
              <w:t>Maize porridge</w:t>
            </w:r>
          </w:p>
        </w:tc>
        <w:tc>
          <w:tcPr>
            <w:tcW w:w="2657" w:type="dxa"/>
          </w:tcPr>
          <w:p w14:paraId="45F567BD" w14:textId="464B5108" w:rsidR="005F5508" w:rsidRPr="008D1E08" w:rsidRDefault="005F5508" w:rsidP="008D1E08">
            <w:pPr>
              <w:spacing w:after="0" w:line="240" w:lineRule="auto"/>
              <w:jc w:val="center"/>
              <w:rPr>
                <w:sz w:val="22"/>
              </w:rPr>
            </w:pPr>
            <w:r w:rsidRPr="008D1E08">
              <w:rPr>
                <w:sz w:val="22"/>
              </w:rPr>
              <w:t>100.1</w:t>
            </w:r>
            <w:r w:rsidRPr="008D1E08">
              <w:rPr>
                <w:sz w:val="22"/>
                <w:vertAlign w:val="superscript"/>
              </w:rPr>
              <w:t>d</w:t>
            </w:r>
            <w:r w:rsidRPr="008D1E08">
              <w:rPr>
                <w:sz w:val="22"/>
              </w:rPr>
              <w:t xml:space="preserve"> ± 13.8</w:t>
            </w:r>
          </w:p>
        </w:tc>
        <w:tc>
          <w:tcPr>
            <w:tcW w:w="2658" w:type="dxa"/>
          </w:tcPr>
          <w:p w14:paraId="72998E0E" w14:textId="527074F3" w:rsidR="005F5508" w:rsidRPr="008D1E08" w:rsidRDefault="005F5508" w:rsidP="008D1E08">
            <w:pPr>
              <w:spacing w:after="0" w:line="240" w:lineRule="auto"/>
              <w:jc w:val="center"/>
              <w:rPr>
                <w:sz w:val="22"/>
              </w:rPr>
            </w:pPr>
            <w:r w:rsidRPr="008D1E08">
              <w:rPr>
                <w:sz w:val="22"/>
              </w:rPr>
              <w:t>5.3</w:t>
            </w:r>
            <w:r w:rsidRPr="008D1E08">
              <w:rPr>
                <w:sz w:val="22"/>
                <w:vertAlign w:val="superscript"/>
              </w:rPr>
              <w:t>a</w:t>
            </w:r>
            <w:r w:rsidRPr="008D1E08">
              <w:rPr>
                <w:sz w:val="22"/>
              </w:rPr>
              <w:t xml:space="preserve"> ± 0.7</w:t>
            </w:r>
          </w:p>
        </w:tc>
        <w:tc>
          <w:tcPr>
            <w:tcW w:w="2658" w:type="dxa"/>
          </w:tcPr>
          <w:p w14:paraId="07EBAB78" w14:textId="3F436E56" w:rsidR="005F5508" w:rsidRPr="008D1E08" w:rsidRDefault="005F5508" w:rsidP="008D1E08">
            <w:pPr>
              <w:spacing w:after="0" w:line="240" w:lineRule="auto"/>
              <w:jc w:val="center"/>
              <w:rPr>
                <w:sz w:val="22"/>
              </w:rPr>
            </w:pPr>
            <w:r w:rsidRPr="008D1E08">
              <w:rPr>
                <w:sz w:val="22"/>
              </w:rPr>
              <w:t>44.2</w:t>
            </w:r>
            <w:r w:rsidRPr="008D1E08">
              <w:rPr>
                <w:sz w:val="22"/>
                <w:vertAlign w:val="superscript"/>
              </w:rPr>
              <w:t>b</w:t>
            </w:r>
            <w:r w:rsidRPr="008D1E08">
              <w:rPr>
                <w:sz w:val="22"/>
              </w:rPr>
              <w:t xml:space="preserve"> ± 2.8</w:t>
            </w:r>
          </w:p>
        </w:tc>
        <w:tc>
          <w:tcPr>
            <w:tcW w:w="2658" w:type="dxa"/>
          </w:tcPr>
          <w:p w14:paraId="771DE226" w14:textId="18ECADD7" w:rsidR="005F5508" w:rsidRPr="008D1E08" w:rsidRDefault="005F5508" w:rsidP="008D1E08">
            <w:pPr>
              <w:spacing w:after="0" w:line="240" w:lineRule="auto"/>
              <w:jc w:val="center"/>
              <w:rPr>
                <w:sz w:val="22"/>
              </w:rPr>
            </w:pPr>
            <w:r w:rsidRPr="008D1E08">
              <w:rPr>
                <w:sz w:val="22"/>
              </w:rPr>
              <w:t>52.0</w:t>
            </w:r>
            <w:r w:rsidRPr="008D1E08">
              <w:rPr>
                <w:sz w:val="22"/>
                <w:vertAlign w:val="superscript"/>
              </w:rPr>
              <w:t>b</w:t>
            </w:r>
            <w:r w:rsidRPr="008D1E08">
              <w:rPr>
                <w:sz w:val="22"/>
              </w:rPr>
              <w:t xml:space="preserve"> ± 3.3</w:t>
            </w:r>
          </w:p>
        </w:tc>
      </w:tr>
      <w:tr w:rsidR="005F5508" w:rsidRPr="008D1E08" w14:paraId="622F3029" w14:textId="77777777" w:rsidTr="00F86C25">
        <w:tc>
          <w:tcPr>
            <w:tcW w:w="3544" w:type="dxa"/>
          </w:tcPr>
          <w:p w14:paraId="68837DDA" w14:textId="4AD5C75A" w:rsidR="005F5508" w:rsidRPr="008D1E08" w:rsidRDefault="005F5508" w:rsidP="008D1E08">
            <w:pPr>
              <w:spacing w:after="0" w:line="240" w:lineRule="auto"/>
              <w:jc w:val="left"/>
              <w:rPr>
                <w:sz w:val="22"/>
              </w:rPr>
            </w:pPr>
            <w:r w:rsidRPr="008D1E08">
              <w:rPr>
                <w:sz w:val="22"/>
              </w:rPr>
              <w:t>Maize porridge+baobab (100:15)</w:t>
            </w:r>
          </w:p>
        </w:tc>
        <w:tc>
          <w:tcPr>
            <w:tcW w:w="2657" w:type="dxa"/>
          </w:tcPr>
          <w:p w14:paraId="064DB505" w14:textId="5C40DAEE" w:rsidR="005F5508" w:rsidRPr="008D1E08" w:rsidRDefault="005F5508" w:rsidP="008D1E08">
            <w:pPr>
              <w:spacing w:after="0" w:line="240" w:lineRule="auto"/>
              <w:jc w:val="center"/>
              <w:rPr>
                <w:sz w:val="22"/>
              </w:rPr>
            </w:pPr>
            <w:r w:rsidRPr="008D1E08">
              <w:rPr>
                <w:sz w:val="22"/>
              </w:rPr>
              <w:t>34.6</w:t>
            </w:r>
            <w:r w:rsidRPr="008D1E08">
              <w:rPr>
                <w:sz w:val="22"/>
                <w:vertAlign w:val="superscript"/>
              </w:rPr>
              <w:t>b</w:t>
            </w:r>
            <w:r w:rsidRPr="008D1E08">
              <w:rPr>
                <w:sz w:val="22"/>
              </w:rPr>
              <w:t xml:space="preserve"> ± 1.4</w:t>
            </w:r>
          </w:p>
          <w:p w14:paraId="1780080A" w14:textId="6E2634D0" w:rsidR="005F5508" w:rsidRPr="008D1E08" w:rsidRDefault="005F5508" w:rsidP="008D1E08">
            <w:pPr>
              <w:spacing w:after="0" w:line="240" w:lineRule="auto"/>
              <w:jc w:val="center"/>
              <w:rPr>
                <w:sz w:val="22"/>
              </w:rPr>
            </w:pPr>
            <w:r w:rsidRPr="008D1E08">
              <w:rPr>
                <w:sz w:val="22"/>
              </w:rPr>
              <w:t>(-65%)</w:t>
            </w:r>
            <w:r w:rsidRPr="008D1E08">
              <w:rPr>
                <w:sz w:val="22"/>
                <w:vertAlign w:val="superscript"/>
              </w:rPr>
              <w:t>£</w:t>
            </w:r>
          </w:p>
        </w:tc>
        <w:tc>
          <w:tcPr>
            <w:tcW w:w="2658" w:type="dxa"/>
          </w:tcPr>
          <w:p w14:paraId="4AC51203" w14:textId="3F1BBA93" w:rsidR="005F5508" w:rsidRPr="008D1E08" w:rsidRDefault="005F5508" w:rsidP="008D1E08">
            <w:pPr>
              <w:spacing w:after="0" w:line="240" w:lineRule="auto"/>
              <w:jc w:val="center"/>
              <w:rPr>
                <w:sz w:val="22"/>
              </w:rPr>
            </w:pPr>
            <w:r w:rsidRPr="008D1E08">
              <w:rPr>
                <w:sz w:val="22"/>
              </w:rPr>
              <w:t>18.0</w:t>
            </w:r>
            <w:r w:rsidRPr="008D1E08">
              <w:rPr>
                <w:sz w:val="22"/>
                <w:vertAlign w:val="superscript"/>
              </w:rPr>
              <w:t>b</w:t>
            </w:r>
            <w:r w:rsidRPr="008D1E08">
              <w:rPr>
                <w:sz w:val="22"/>
              </w:rPr>
              <w:t xml:space="preserve"> ± 0.7</w:t>
            </w:r>
          </w:p>
          <w:p w14:paraId="25C11411" w14:textId="0550E013" w:rsidR="005F5508" w:rsidRPr="008D1E08" w:rsidRDefault="005F5508" w:rsidP="008D1E08">
            <w:pPr>
              <w:spacing w:after="0" w:line="240" w:lineRule="auto"/>
              <w:jc w:val="center"/>
              <w:rPr>
                <w:sz w:val="22"/>
              </w:rPr>
            </w:pPr>
            <w:r w:rsidRPr="008D1E08">
              <w:rPr>
                <w:sz w:val="22"/>
              </w:rPr>
              <w:t>(248%)</w:t>
            </w:r>
          </w:p>
        </w:tc>
        <w:tc>
          <w:tcPr>
            <w:tcW w:w="2658" w:type="dxa"/>
          </w:tcPr>
          <w:p w14:paraId="7B2B9EFF" w14:textId="0AB0EA5C" w:rsidR="005F5508" w:rsidRPr="008D1E08" w:rsidRDefault="005F5508" w:rsidP="008D1E08">
            <w:pPr>
              <w:spacing w:after="0" w:line="240" w:lineRule="auto"/>
              <w:jc w:val="center"/>
              <w:rPr>
                <w:sz w:val="22"/>
              </w:rPr>
            </w:pPr>
            <w:r w:rsidRPr="008D1E08">
              <w:rPr>
                <w:sz w:val="22"/>
              </w:rPr>
              <w:t>44.3</w:t>
            </w:r>
            <w:r w:rsidRPr="008D1E08">
              <w:rPr>
                <w:sz w:val="22"/>
                <w:vertAlign w:val="superscript"/>
              </w:rPr>
              <w:t>b</w:t>
            </w:r>
            <w:r w:rsidRPr="008D1E08">
              <w:rPr>
                <w:sz w:val="22"/>
              </w:rPr>
              <w:t xml:space="preserve"> ± 0.4</w:t>
            </w:r>
          </w:p>
        </w:tc>
        <w:tc>
          <w:tcPr>
            <w:tcW w:w="2658" w:type="dxa"/>
          </w:tcPr>
          <w:p w14:paraId="401B7A67" w14:textId="25D16947" w:rsidR="005F5508" w:rsidRPr="008D1E08" w:rsidRDefault="005F5508" w:rsidP="008D1E08">
            <w:pPr>
              <w:spacing w:after="0" w:line="240" w:lineRule="auto"/>
              <w:jc w:val="center"/>
              <w:rPr>
                <w:sz w:val="22"/>
              </w:rPr>
            </w:pPr>
            <w:r w:rsidRPr="008D1E08">
              <w:rPr>
                <w:sz w:val="22"/>
              </w:rPr>
              <w:t>58.8</w:t>
            </w:r>
            <w:r w:rsidRPr="008D1E08">
              <w:rPr>
                <w:sz w:val="22"/>
                <w:vertAlign w:val="superscript"/>
              </w:rPr>
              <w:t>c</w:t>
            </w:r>
            <w:r w:rsidRPr="008D1E08">
              <w:rPr>
                <w:sz w:val="22"/>
              </w:rPr>
              <w:t xml:space="preserve"> ± 0.5</w:t>
            </w:r>
          </w:p>
          <w:p w14:paraId="537FA023" w14:textId="793396FC" w:rsidR="005F5508" w:rsidRPr="008D1E08" w:rsidRDefault="005F5508" w:rsidP="008D1E08">
            <w:pPr>
              <w:spacing w:after="0" w:line="240" w:lineRule="auto"/>
              <w:jc w:val="center"/>
              <w:rPr>
                <w:sz w:val="22"/>
              </w:rPr>
            </w:pPr>
            <w:r w:rsidRPr="008D1E08">
              <w:rPr>
                <w:sz w:val="22"/>
              </w:rPr>
              <w:t>(10%)</w:t>
            </w:r>
          </w:p>
        </w:tc>
      </w:tr>
      <w:tr w:rsidR="005F5508" w:rsidRPr="008D1E08" w14:paraId="5487551C" w14:textId="77777777" w:rsidTr="00F86C25">
        <w:tc>
          <w:tcPr>
            <w:tcW w:w="3544" w:type="dxa"/>
          </w:tcPr>
          <w:p w14:paraId="47577FBE" w14:textId="4B342C05" w:rsidR="005F5508" w:rsidRPr="008D1E08" w:rsidRDefault="005F5508" w:rsidP="008D1E08">
            <w:pPr>
              <w:spacing w:after="0" w:line="240" w:lineRule="auto"/>
              <w:jc w:val="left"/>
              <w:rPr>
                <w:sz w:val="22"/>
              </w:rPr>
            </w:pPr>
            <w:r w:rsidRPr="008D1E08">
              <w:rPr>
                <w:sz w:val="22"/>
              </w:rPr>
              <w:t>Maize porridge+ascorbic acid+citric acid</w:t>
            </w:r>
            <w:r w:rsidRPr="008D1E08">
              <w:rPr>
                <w:sz w:val="22"/>
                <w:vertAlign w:val="superscript"/>
              </w:rPr>
              <w:t>1</w:t>
            </w:r>
          </w:p>
        </w:tc>
        <w:tc>
          <w:tcPr>
            <w:tcW w:w="2657" w:type="dxa"/>
          </w:tcPr>
          <w:p w14:paraId="02CC769E" w14:textId="2B899A01" w:rsidR="005F5508" w:rsidRPr="008D1E08" w:rsidRDefault="005F5508" w:rsidP="008D1E08">
            <w:pPr>
              <w:spacing w:after="0" w:line="240" w:lineRule="auto"/>
              <w:jc w:val="center"/>
              <w:rPr>
                <w:sz w:val="22"/>
              </w:rPr>
            </w:pPr>
            <w:r w:rsidRPr="008D1E08">
              <w:rPr>
                <w:sz w:val="22"/>
              </w:rPr>
              <w:t>102.1</w:t>
            </w:r>
            <w:r w:rsidRPr="008D1E08">
              <w:rPr>
                <w:sz w:val="22"/>
                <w:vertAlign w:val="superscript"/>
              </w:rPr>
              <w:t>d</w:t>
            </w:r>
            <w:r w:rsidRPr="008D1E08">
              <w:rPr>
                <w:sz w:val="22"/>
              </w:rPr>
              <w:t xml:space="preserve"> ± 6.3</w:t>
            </w:r>
          </w:p>
        </w:tc>
        <w:tc>
          <w:tcPr>
            <w:tcW w:w="2658" w:type="dxa"/>
          </w:tcPr>
          <w:p w14:paraId="78EF2FA9" w14:textId="58E5D833" w:rsidR="005F5508" w:rsidRPr="008D1E08" w:rsidRDefault="005F5508" w:rsidP="008D1E08">
            <w:pPr>
              <w:spacing w:after="0" w:line="240" w:lineRule="auto"/>
              <w:jc w:val="center"/>
              <w:rPr>
                <w:sz w:val="22"/>
              </w:rPr>
            </w:pPr>
            <w:r w:rsidRPr="008D1E08">
              <w:rPr>
                <w:sz w:val="22"/>
              </w:rPr>
              <w:t>5.4</w:t>
            </w:r>
            <w:r w:rsidRPr="008D1E08">
              <w:rPr>
                <w:sz w:val="22"/>
                <w:vertAlign w:val="superscript"/>
              </w:rPr>
              <w:t>a</w:t>
            </w:r>
            <w:r w:rsidRPr="008D1E08">
              <w:rPr>
                <w:sz w:val="22"/>
              </w:rPr>
              <w:t xml:space="preserve"> ± 0.3</w:t>
            </w:r>
          </w:p>
        </w:tc>
        <w:tc>
          <w:tcPr>
            <w:tcW w:w="2658" w:type="dxa"/>
          </w:tcPr>
          <w:p w14:paraId="04A41371" w14:textId="6DC09465" w:rsidR="005F5508" w:rsidRPr="008D1E08" w:rsidRDefault="005F5508" w:rsidP="008D1E08">
            <w:pPr>
              <w:spacing w:after="0" w:line="240" w:lineRule="auto"/>
              <w:jc w:val="center"/>
              <w:rPr>
                <w:sz w:val="22"/>
              </w:rPr>
            </w:pPr>
            <w:r w:rsidRPr="008D1E08">
              <w:rPr>
                <w:sz w:val="22"/>
              </w:rPr>
              <w:t>52.5</w:t>
            </w:r>
            <w:r w:rsidRPr="008D1E08">
              <w:rPr>
                <w:sz w:val="22"/>
                <w:vertAlign w:val="superscript"/>
              </w:rPr>
              <w:t>c</w:t>
            </w:r>
            <w:r w:rsidRPr="008D1E08">
              <w:rPr>
                <w:sz w:val="22"/>
              </w:rPr>
              <w:t xml:space="preserve"> ± 1.5</w:t>
            </w:r>
          </w:p>
          <w:p w14:paraId="0B04634E" w14:textId="258A93A5" w:rsidR="005F5508" w:rsidRPr="008D1E08" w:rsidRDefault="005F5508" w:rsidP="008D1E08">
            <w:pPr>
              <w:spacing w:after="0" w:line="240" w:lineRule="auto"/>
              <w:jc w:val="center"/>
              <w:rPr>
                <w:sz w:val="22"/>
              </w:rPr>
            </w:pPr>
            <w:r w:rsidRPr="008D1E08">
              <w:rPr>
                <w:sz w:val="22"/>
              </w:rPr>
              <w:t>(19%)</w:t>
            </w:r>
          </w:p>
        </w:tc>
        <w:tc>
          <w:tcPr>
            <w:tcW w:w="2658" w:type="dxa"/>
          </w:tcPr>
          <w:p w14:paraId="504EE041" w14:textId="1009CB19" w:rsidR="005F5508" w:rsidRPr="008D1E08" w:rsidRDefault="005F5508" w:rsidP="008D1E08">
            <w:pPr>
              <w:spacing w:after="0" w:line="240" w:lineRule="auto"/>
              <w:jc w:val="center"/>
              <w:rPr>
                <w:sz w:val="22"/>
              </w:rPr>
            </w:pPr>
            <w:r w:rsidRPr="008D1E08">
              <w:rPr>
                <w:sz w:val="22"/>
              </w:rPr>
              <w:t>61.8</w:t>
            </w:r>
            <w:r w:rsidRPr="008D1E08">
              <w:rPr>
                <w:sz w:val="22"/>
                <w:vertAlign w:val="superscript"/>
              </w:rPr>
              <w:t>c</w:t>
            </w:r>
            <w:r w:rsidRPr="008D1E08">
              <w:rPr>
                <w:sz w:val="22"/>
              </w:rPr>
              <w:t xml:space="preserve"> ± 1.8</w:t>
            </w:r>
          </w:p>
          <w:p w14:paraId="426269F3" w14:textId="7CFE0A1B" w:rsidR="005F5508" w:rsidRPr="008D1E08" w:rsidRDefault="005F5508" w:rsidP="008D1E08">
            <w:pPr>
              <w:spacing w:after="0" w:line="240" w:lineRule="auto"/>
              <w:jc w:val="center"/>
              <w:rPr>
                <w:sz w:val="22"/>
              </w:rPr>
            </w:pPr>
            <w:r w:rsidRPr="008D1E08">
              <w:rPr>
                <w:sz w:val="22"/>
              </w:rPr>
              <w:t>(19%)</w:t>
            </w:r>
          </w:p>
        </w:tc>
      </w:tr>
      <w:tr w:rsidR="005F5508" w:rsidRPr="008D1E08" w14:paraId="186642F0" w14:textId="77777777" w:rsidTr="00F86C25">
        <w:tc>
          <w:tcPr>
            <w:tcW w:w="3544" w:type="dxa"/>
          </w:tcPr>
          <w:p w14:paraId="66D8F819" w14:textId="38D6AE9C" w:rsidR="005F5508" w:rsidRPr="008D1E08" w:rsidRDefault="005F5508" w:rsidP="008D1E08">
            <w:pPr>
              <w:spacing w:after="0" w:line="240" w:lineRule="auto"/>
              <w:jc w:val="left"/>
              <w:rPr>
                <w:sz w:val="22"/>
              </w:rPr>
            </w:pPr>
            <w:r w:rsidRPr="008D1E08">
              <w:rPr>
                <w:sz w:val="22"/>
              </w:rPr>
              <w:t>Maize porridge+moringa (M)</w:t>
            </w:r>
            <w:r w:rsidRPr="008D1E08">
              <w:rPr>
                <w:sz w:val="22"/>
                <w:vertAlign w:val="superscript"/>
              </w:rPr>
              <w:t>$</w:t>
            </w:r>
            <w:r w:rsidRPr="008D1E08">
              <w:rPr>
                <w:sz w:val="22"/>
              </w:rPr>
              <w:t xml:space="preserve"> (100:15)</w:t>
            </w:r>
          </w:p>
        </w:tc>
        <w:tc>
          <w:tcPr>
            <w:tcW w:w="2657" w:type="dxa"/>
          </w:tcPr>
          <w:p w14:paraId="1EF579CE" w14:textId="62C140D7" w:rsidR="005F5508" w:rsidRPr="008D1E08" w:rsidRDefault="005F5508" w:rsidP="008D1E08">
            <w:pPr>
              <w:spacing w:after="0" w:line="240" w:lineRule="auto"/>
              <w:jc w:val="center"/>
              <w:rPr>
                <w:sz w:val="22"/>
              </w:rPr>
            </w:pPr>
            <w:r w:rsidRPr="008D1E08">
              <w:rPr>
                <w:sz w:val="22"/>
              </w:rPr>
              <w:t>13.2</w:t>
            </w:r>
            <w:r w:rsidRPr="008D1E08">
              <w:rPr>
                <w:sz w:val="22"/>
                <w:vertAlign w:val="superscript"/>
              </w:rPr>
              <w:t>a</w:t>
            </w:r>
            <w:r w:rsidRPr="008D1E08">
              <w:rPr>
                <w:sz w:val="22"/>
              </w:rPr>
              <w:t xml:space="preserve"> ± 2.2</w:t>
            </w:r>
          </w:p>
          <w:p w14:paraId="2CB2CA9F" w14:textId="4A4E933A" w:rsidR="005F5508" w:rsidRPr="008D1E08" w:rsidRDefault="005F5508" w:rsidP="008D1E08">
            <w:pPr>
              <w:spacing w:after="0" w:line="240" w:lineRule="auto"/>
              <w:jc w:val="center"/>
              <w:rPr>
                <w:sz w:val="22"/>
              </w:rPr>
            </w:pPr>
            <w:r w:rsidRPr="008D1E08">
              <w:rPr>
                <w:sz w:val="22"/>
              </w:rPr>
              <w:t>(-87%)</w:t>
            </w:r>
          </w:p>
        </w:tc>
        <w:tc>
          <w:tcPr>
            <w:tcW w:w="2658" w:type="dxa"/>
          </w:tcPr>
          <w:p w14:paraId="4372E52C" w14:textId="2AE1723D" w:rsidR="005F5508" w:rsidRPr="008D1E08" w:rsidRDefault="005F5508" w:rsidP="008D1E08">
            <w:pPr>
              <w:spacing w:after="0" w:line="240" w:lineRule="auto"/>
              <w:jc w:val="center"/>
              <w:rPr>
                <w:sz w:val="22"/>
              </w:rPr>
            </w:pPr>
            <w:r w:rsidRPr="008D1E08">
              <w:rPr>
                <w:sz w:val="22"/>
              </w:rPr>
              <w:t>40.8</w:t>
            </w:r>
            <w:r w:rsidRPr="008D1E08">
              <w:rPr>
                <w:sz w:val="22"/>
                <w:vertAlign w:val="superscript"/>
              </w:rPr>
              <w:t>c</w:t>
            </w:r>
            <w:r w:rsidRPr="008D1E08">
              <w:rPr>
                <w:sz w:val="22"/>
              </w:rPr>
              <w:t xml:space="preserve"> ± 6.3</w:t>
            </w:r>
          </w:p>
          <w:p w14:paraId="6214130C" w14:textId="29CE9F4E" w:rsidR="005F5508" w:rsidRPr="008D1E08" w:rsidRDefault="005F5508" w:rsidP="008D1E08">
            <w:pPr>
              <w:spacing w:after="0" w:line="240" w:lineRule="auto"/>
              <w:jc w:val="center"/>
              <w:rPr>
                <w:sz w:val="22"/>
              </w:rPr>
            </w:pPr>
            <w:r w:rsidRPr="008D1E08">
              <w:rPr>
                <w:sz w:val="22"/>
              </w:rPr>
              <w:t>(693%)</w:t>
            </w:r>
          </w:p>
        </w:tc>
        <w:tc>
          <w:tcPr>
            <w:tcW w:w="2658" w:type="dxa"/>
          </w:tcPr>
          <w:p w14:paraId="76C23066" w14:textId="25E86AD9" w:rsidR="005F5508" w:rsidRPr="008D1E08" w:rsidRDefault="005F5508" w:rsidP="008D1E08">
            <w:pPr>
              <w:spacing w:after="0" w:line="240" w:lineRule="auto"/>
              <w:jc w:val="center"/>
              <w:rPr>
                <w:sz w:val="22"/>
              </w:rPr>
            </w:pPr>
            <w:r w:rsidRPr="008D1E08">
              <w:rPr>
                <w:sz w:val="22"/>
              </w:rPr>
              <w:t>38.5</w:t>
            </w:r>
            <w:r w:rsidRPr="008D1E08">
              <w:rPr>
                <w:sz w:val="22"/>
                <w:vertAlign w:val="superscript"/>
              </w:rPr>
              <w:t>a</w:t>
            </w:r>
            <w:r w:rsidRPr="008D1E08">
              <w:rPr>
                <w:sz w:val="22"/>
              </w:rPr>
              <w:t xml:space="preserve"> ± 4.0</w:t>
            </w:r>
          </w:p>
          <w:p w14:paraId="372B92AB" w14:textId="12C7BAAF" w:rsidR="005F5508" w:rsidRPr="008D1E08" w:rsidRDefault="005F5508" w:rsidP="008D1E08">
            <w:pPr>
              <w:spacing w:after="0" w:line="240" w:lineRule="auto"/>
              <w:jc w:val="center"/>
              <w:rPr>
                <w:sz w:val="22"/>
              </w:rPr>
            </w:pPr>
            <w:r w:rsidRPr="008D1E08">
              <w:rPr>
                <w:sz w:val="22"/>
              </w:rPr>
              <w:t>(-13%)</w:t>
            </w:r>
          </w:p>
        </w:tc>
        <w:tc>
          <w:tcPr>
            <w:tcW w:w="2658" w:type="dxa"/>
          </w:tcPr>
          <w:p w14:paraId="13518858" w14:textId="6057D4C1" w:rsidR="005F5508" w:rsidRPr="008D1E08" w:rsidRDefault="005F5508" w:rsidP="008D1E08">
            <w:pPr>
              <w:spacing w:after="0" w:line="240" w:lineRule="auto"/>
              <w:jc w:val="center"/>
              <w:rPr>
                <w:sz w:val="22"/>
              </w:rPr>
            </w:pPr>
            <w:r w:rsidRPr="008D1E08">
              <w:rPr>
                <w:sz w:val="22"/>
              </w:rPr>
              <w:t>79.9</w:t>
            </w:r>
            <w:r w:rsidRPr="008D1E08">
              <w:rPr>
                <w:sz w:val="22"/>
                <w:vertAlign w:val="superscript"/>
              </w:rPr>
              <w:t>d</w:t>
            </w:r>
            <w:r w:rsidRPr="008D1E08">
              <w:rPr>
                <w:sz w:val="22"/>
              </w:rPr>
              <w:t xml:space="preserve"> ± 8.4</w:t>
            </w:r>
          </w:p>
          <w:p w14:paraId="1DA685C3" w14:textId="39E8575C" w:rsidR="005F5508" w:rsidRPr="008D1E08" w:rsidRDefault="005F5508" w:rsidP="008D1E08">
            <w:pPr>
              <w:spacing w:after="0" w:line="240" w:lineRule="auto"/>
              <w:jc w:val="center"/>
              <w:rPr>
                <w:sz w:val="22"/>
              </w:rPr>
            </w:pPr>
            <w:r w:rsidRPr="008D1E08">
              <w:rPr>
                <w:sz w:val="22"/>
              </w:rPr>
              <w:t>(49%)</w:t>
            </w:r>
          </w:p>
        </w:tc>
      </w:tr>
      <w:tr w:rsidR="005F5508" w:rsidRPr="008D1E08" w14:paraId="15CFE07C" w14:textId="77777777" w:rsidTr="00F86C25">
        <w:tc>
          <w:tcPr>
            <w:tcW w:w="3544" w:type="dxa"/>
          </w:tcPr>
          <w:p w14:paraId="2622B466" w14:textId="216C3186" w:rsidR="005F5508" w:rsidRPr="008D1E08" w:rsidRDefault="005F5508" w:rsidP="008D1E08">
            <w:pPr>
              <w:spacing w:after="0" w:line="240" w:lineRule="auto"/>
              <w:jc w:val="left"/>
              <w:rPr>
                <w:sz w:val="22"/>
              </w:rPr>
            </w:pPr>
            <w:r w:rsidRPr="008D1E08">
              <w:rPr>
                <w:sz w:val="22"/>
              </w:rPr>
              <w:t>Maize porridge+FeSO</w:t>
            </w:r>
            <w:r w:rsidRPr="008D1E08">
              <w:rPr>
                <w:sz w:val="22"/>
                <w:vertAlign w:val="subscript"/>
              </w:rPr>
              <w:t>4</w:t>
            </w:r>
            <w:r w:rsidRPr="008D1E08">
              <w:rPr>
                <w:sz w:val="22"/>
                <w:vertAlign w:val="superscript"/>
              </w:rPr>
              <w:t>2</w:t>
            </w:r>
          </w:p>
        </w:tc>
        <w:tc>
          <w:tcPr>
            <w:tcW w:w="2657" w:type="dxa"/>
          </w:tcPr>
          <w:p w14:paraId="4EB4B7FF" w14:textId="2489ECB9" w:rsidR="005F5508" w:rsidRPr="008D1E08" w:rsidRDefault="005F5508" w:rsidP="008D1E08">
            <w:pPr>
              <w:spacing w:after="0" w:line="240" w:lineRule="auto"/>
              <w:jc w:val="center"/>
              <w:rPr>
                <w:sz w:val="22"/>
              </w:rPr>
            </w:pPr>
            <w:r w:rsidRPr="008D1E08">
              <w:rPr>
                <w:sz w:val="22"/>
              </w:rPr>
              <w:t>67.2</w:t>
            </w:r>
            <w:r w:rsidRPr="008D1E08">
              <w:rPr>
                <w:sz w:val="22"/>
                <w:vertAlign w:val="superscript"/>
              </w:rPr>
              <w:t>c</w:t>
            </w:r>
            <w:r w:rsidRPr="008D1E08">
              <w:rPr>
                <w:sz w:val="22"/>
              </w:rPr>
              <w:t xml:space="preserve"> ± 5.0</w:t>
            </w:r>
          </w:p>
          <w:p w14:paraId="1C6F8446" w14:textId="06039512" w:rsidR="005F5508" w:rsidRPr="008D1E08" w:rsidRDefault="005F5508" w:rsidP="008D1E08">
            <w:pPr>
              <w:spacing w:after="0" w:line="240" w:lineRule="auto"/>
              <w:jc w:val="center"/>
              <w:rPr>
                <w:sz w:val="22"/>
              </w:rPr>
            </w:pPr>
            <w:r w:rsidRPr="008D1E08">
              <w:rPr>
                <w:sz w:val="22"/>
              </w:rPr>
              <w:t>(-32%)</w:t>
            </w:r>
          </w:p>
        </w:tc>
        <w:tc>
          <w:tcPr>
            <w:tcW w:w="2658" w:type="dxa"/>
          </w:tcPr>
          <w:p w14:paraId="7D323563" w14:textId="527A8870" w:rsidR="005F5508" w:rsidRPr="008D1E08" w:rsidRDefault="005F5508" w:rsidP="008D1E08">
            <w:pPr>
              <w:spacing w:after="0" w:line="240" w:lineRule="auto"/>
              <w:jc w:val="center"/>
              <w:rPr>
                <w:sz w:val="22"/>
              </w:rPr>
            </w:pPr>
            <w:r w:rsidRPr="008D1E08">
              <w:rPr>
                <w:sz w:val="22"/>
              </w:rPr>
              <w:t>3.5</w:t>
            </w:r>
            <w:r w:rsidRPr="008D1E08">
              <w:rPr>
                <w:sz w:val="22"/>
                <w:vertAlign w:val="superscript"/>
              </w:rPr>
              <w:t>a</w:t>
            </w:r>
            <w:r w:rsidRPr="008D1E08">
              <w:rPr>
                <w:sz w:val="22"/>
              </w:rPr>
              <w:t xml:space="preserve"> ± 0.3</w:t>
            </w:r>
          </w:p>
        </w:tc>
        <w:tc>
          <w:tcPr>
            <w:tcW w:w="2658" w:type="dxa"/>
          </w:tcPr>
          <w:p w14:paraId="41D113AB" w14:textId="5A4B2B4E" w:rsidR="005F5508" w:rsidRPr="008D1E08" w:rsidRDefault="005F5508" w:rsidP="008D1E08">
            <w:pPr>
              <w:spacing w:after="0" w:line="240" w:lineRule="auto"/>
              <w:jc w:val="center"/>
              <w:rPr>
                <w:sz w:val="22"/>
              </w:rPr>
            </w:pPr>
            <w:r w:rsidRPr="008D1E08">
              <w:rPr>
                <w:sz w:val="22"/>
              </w:rPr>
              <w:t>35.3</w:t>
            </w:r>
            <w:r w:rsidRPr="008D1E08">
              <w:rPr>
                <w:sz w:val="22"/>
                <w:vertAlign w:val="superscript"/>
              </w:rPr>
              <w:t>a</w:t>
            </w:r>
            <w:r w:rsidRPr="008D1E08">
              <w:rPr>
                <w:sz w:val="22"/>
              </w:rPr>
              <w:t xml:space="preserve"> ± 3.5</w:t>
            </w:r>
          </w:p>
          <w:p w14:paraId="0A370D81" w14:textId="0CEC5EF1" w:rsidR="005F5508" w:rsidRPr="008D1E08" w:rsidRDefault="005F5508" w:rsidP="008D1E08">
            <w:pPr>
              <w:spacing w:after="0" w:line="240" w:lineRule="auto"/>
              <w:jc w:val="center"/>
              <w:rPr>
                <w:sz w:val="22"/>
              </w:rPr>
            </w:pPr>
            <w:r w:rsidRPr="008D1E08">
              <w:rPr>
                <w:sz w:val="22"/>
              </w:rPr>
              <w:t>(-20%)</w:t>
            </w:r>
          </w:p>
        </w:tc>
        <w:tc>
          <w:tcPr>
            <w:tcW w:w="2658" w:type="dxa"/>
          </w:tcPr>
          <w:p w14:paraId="6302F287" w14:textId="10C92EB9" w:rsidR="005F5508" w:rsidRPr="008D1E08" w:rsidRDefault="005F5508" w:rsidP="008D1E08">
            <w:pPr>
              <w:spacing w:after="0" w:line="240" w:lineRule="auto"/>
              <w:jc w:val="center"/>
              <w:rPr>
                <w:sz w:val="22"/>
              </w:rPr>
            </w:pPr>
            <w:r w:rsidRPr="008D1E08">
              <w:rPr>
                <w:sz w:val="22"/>
              </w:rPr>
              <w:t>41.5</w:t>
            </w:r>
            <w:r w:rsidRPr="008D1E08">
              <w:rPr>
                <w:sz w:val="22"/>
                <w:vertAlign w:val="superscript"/>
              </w:rPr>
              <w:t>a</w:t>
            </w:r>
            <w:r w:rsidRPr="008D1E08">
              <w:rPr>
                <w:sz w:val="22"/>
              </w:rPr>
              <w:t xml:space="preserve"> ± 4.1</w:t>
            </w:r>
          </w:p>
          <w:p w14:paraId="7D0DCF1F" w14:textId="031F20FA" w:rsidR="005F5508" w:rsidRPr="008D1E08" w:rsidRDefault="005F5508" w:rsidP="008D1E08">
            <w:pPr>
              <w:spacing w:after="0" w:line="240" w:lineRule="auto"/>
              <w:jc w:val="center"/>
              <w:rPr>
                <w:sz w:val="22"/>
              </w:rPr>
            </w:pPr>
            <w:r w:rsidRPr="008D1E08">
              <w:rPr>
                <w:sz w:val="22"/>
              </w:rPr>
              <w:t>(-20)</w:t>
            </w:r>
          </w:p>
        </w:tc>
      </w:tr>
      <w:tr w:rsidR="005F5508" w:rsidRPr="008D1E08" w14:paraId="794BB234" w14:textId="77777777" w:rsidTr="00F86C25">
        <w:tc>
          <w:tcPr>
            <w:tcW w:w="14175" w:type="dxa"/>
            <w:gridSpan w:val="5"/>
          </w:tcPr>
          <w:p w14:paraId="59A064E6" w14:textId="3A7F7246" w:rsidR="005F5508" w:rsidRPr="008D1E08" w:rsidRDefault="005F5508" w:rsidP="008D1E08">
            <w:pPr>
              <w:spacing w:after="0" w:line="240" w:lineRule="auto"/>
              <w:jc w:val="left"/>
              <w:rPr>
                <w:b/>
                <w:sz w:val="22"/>
              </w:rPr>
            </w:pPr>
            <w:r w:rsidRPr="008D1E08">
              <w:rPr>
                <w:b/>
                <w:sz w:val="22"/>
              </w:rPr>
              <w:t>Experiment 2 (Complex porridges)</w:t>
            </w:r>
          </w:p>
        </w:tc>
      </w:tr>
      <w:tr w:rsidR="005F5508" w:rsidRPr="008D1E08" w14:paraId="0C32277F" w14:textId="77777777" w:rsidTr="00F86C25">
        <w:tc>
          <w:tcPr>
            <w:tcW w:w="3544" w:type="dxa"/>
          </w:tcPr>
          <w:p w14:paraId="066A4088" w14:textId="434E3C2A" w:rsidR="005F5508" w:rsidRPr="008D1E08" w:rsidRDefault="005F5508" w:rsidP="008D1E08">
            <w:pPr>
              <w:spacing w:after="0" w:line="240" w:lineRule="auto"/>
              <w:jc w:val="left"/>
              <w:rPr>
                <w:sz w:val="22"/>
              </w:rPr>
            </w:pPr>
            <w:r w:rsidRPr="008D1E08">
              <w:rPr>
                <w:sz w:val="22"/>
              </w:rPr>
              <w:t>Maize porridge+FeSO</w:t>
            </w:r>
            <w:r w:rsidRPr="008D1E08">
              <w:rPr>
                <w:sz w:val="22"/>
                <w:vertAlign w:val="subscript"/>
              </w:rPr>
              <w:t>4</w:t>
            </w:r>
            <w:r w:rsidRPr="008D1E08">
              <w:rPr>
                <w:sz w:val="22"/>
              </w:rPr>
              <w:t>+mango+carrot</w:t>
            </w:r>
          </w:p>
        </w:tc>
        <w:tc>
          <w:tcPr>
            <w:tcW w:w="2657" w:type="dxa"/>
          </w:tcPr>
          <w:p w14:paraId="353A5149" w14:textId="1D440C20" w:rsidR="005F5508" w:rsidRPr="008D1E08" w:rsidRDefault="005F5508" w:rsidP="008D1E08">
            <w:pPr>
              <w:spacing w:after="0" w:line="240" w:lineRule="auto"/>
              <w:jc w:val="center"/>
              <w:rPr>
                <w:sz w:val="22"/>
              </w:rPr>
            </w:pPr>
            <w:r w:rsidRPr="008D1E08">
              <w:rPr>
                <w:sz w:val="22"/>
              </w:rPr>
              <w:t>49.4</w:t>
            </w:r>
            <w:r w:rsidRPr="008D1E08">
              <w:rPr>
                <w:sz w:val="22"/>
                <w:vertAlign w:val="superscript"/>
              </w:rPr>
              <w:t>c</w:t>
            </w:r>
            <w:r w:rsidRPr="008D1E08">
              <w:rPr>
                <w:sz w:val="22"/>
              </w:rPr>
              <w:t xml:space="preserve"> ± 3.8</w:t>
            </w:r>
          </w:p>
        </w:tc>
        <w:tc>
          <w:tcPr>
            <w:tcW w:w="2658" w:type="dxa"/>
          </w:tcPr>
          <w:p w14:paraId="194D39FC" w14:textId="5691DD59" w:rsidR="005F5508" w:rsidRPr="008D1E08" w:rsidRDefault="005F5508" w:rsidP="008D1E08">
            <w:pPr>
              <w:spacing w:after="0" w:line="240" w:lineRule="auto"/>
              <w:jc w:val="center"/>
              <w:rPr>
                <w:sz w:val="22"/>
              </w:rPr>
            </w:pPr>
            <w:r w:rsidRPr="008D1E08">
              <w:rPr>
                <w:sz w:val="22"/>
              </w:rPr>
              <w:t>5.6</w:t>
            </w:r>
            <w:r w:rsidRPr="008D1E08">
              <w:rPr>
                <w:sz w:val="22"/>
                <w:vertAlign w:val="superscript"/>
              </w:rPr>
              <w:t>a</w:t>
            </w:r>
            <w:r w:rsidRPr="008D1E08">
              <w:rPr>
                <w:sz w:val="22"/>
              </w:rPr>
              <w:t xml:space="preserve"> ± 0.4</w:t>
            </w:r>
          </w:p>
        </w:tc>
        <w:tc>
          <w:tcPr>
            <w:tcW w:w="2658" w:type="dxa"/>
          </w:tcPr>
          <w:p w14:paraId="42B63191" w14:textId="34E5823D" w:rsidR="005F5508" w:rsidRPr="008D1E08" w:rsidRDefault="005F5508" w:rsidP="008D1E08">
            <w:pPr>
              <w:spacing w:after="0" w:line="240" w:lineRule="auto"/>
              <w:jc w:val="center"/>
              <w:rPr>
                <w:sz w:val="22"/>
              </w:rPr>
            </w:pPr>
            <w:r w:rsidRPr="008D1E08">
              <w:rPr>
                <w:sz w:val="22"/>
              </w:rPr>
              <w:t>55.3</w:t>
            </w:r>
            <w:r w:rsidRPr="008D1E08">
              <w:rPr>
                <w:sz w:val="22"/>
                <w:vertAlign w:val="superscript"/>
              </w:rPr>
              <w:t>c</w:t>
            </w:r>
            <w:r w:rsidRPr="008D1E08">
              <w:rPr>
                <w:sz w:val="22"/>
              </w:rPr>
              <w:t xml:space="preserve"> ± 0.8</w:t>
            </w:r>
          </w:p>
        </w:tc>
        <w:tc>
          <w:tcPr>
            <w:tcW w:w="2658" w:type="dxa"/>
          </w:tcPr>
          <w:p w14:paraId="62986A48" w14:textId="63C22F02" w:rsidR="005F5508" w:rsidRPr="008D1E08" w:rsidRDefault="005F5508" w:rsidP="008D1E08">
            <w:pPr>
              <w:spacing w:after="0" w:line="240" w:lineRule="auto"/>
              <w:jc w:val="center"/>
              <w:rPr>
                <w:sz w:val="22"/>
              </w:rPr>
            </w:pPr>
            <w:r w:rsidRPr="008D1E08">
              <w:rPr>
                <w:sz w:val="22"/>
              </w:rPr>
              <w:t>44.9</w:t>
            </w:r>
            <w:r w:rsidRPr="008D1E08">
              <w:rPr>
                <w:sz w:val="22"/>
                <w:vertAlign w:val="superscript"/>
              </w:rPr>
              <w:t>a</w:t>
            </w:r>
            <w:r w:rsidRPr="008D1E08">
              <w:rPr>
                <w:sz w:val="22"/>
              </w:rPr>
              <w:t xml:space="preserve"> ± 0.6</w:t>
            </w:r>
          </w:p>
        </w:tc>
      </w:tr>
      <w:tr w:rsidR="005F5508" w:rsidRPr="008D1E08" w14:paraId="008CD143" w14:textId="77777777" w:rsidTr="00F86C25">
        <w:tc>
          <w:tcPr>
            <w:tcW w:w="3544" w:type="dxa"/>
          </w:tcPr>
          <w:p w14:paraId="2DFE4184" w14:textId="2B66F97E" w:rsidR="005F5508" w:rsidRPr="008D1E08" w:rsidRDefault="005F5508" w:rsidP="008D1E08">
            <w:pPr>
              <w:spacing w:after="0" w:line="240" w:lineRule="auto"/>
              <w:jc w:val="left"/>
              <w:rPr>
                <w:sz w:val="22"/>
              </w:rPr>
            </w:pPr>
            <w:r w:rsidRPr="008D1E08">
              <w:rPr>
                <w:sz w:val="22"/>
              </w:rPr>
              <w:t>Maize porridge+FeSO</w:t>
            </w:r>
            <w:r w:rsidRPr="008D1E08">
              <w:rPr>
                <w:sz w:val="22"/>
                <w:vertAlign w:val="subscript"/>
              </w:rPr>
              <w:t>4</w:t>
            </w:r>
            <w:r w:rsidRPr="008D1E08">
              <w:rPr>
                <w:sz w:val="22"/>
              </w:rPr>
              <w:t>+ascorbic acid+mango+carrot</w:t>
            </w:r>
          </w:p>
        </w:tc>
        <w:tc>
          <w:tcPr>
            <w:tcW w:w="2657" w:type="dxa"/>
          </w:tcPr>
          <w:p w14:paraId="23A8E1FF" w14:textId="3023E046" w:rsidR="005F5508" w:rsidRPr="008D1E08" w:rsidRDefault="005F5508" w:rsidP="008D1E08">
            <w:pPr>
              <w:spacing w:after="0" w:line="240" w:lineRule="auto"/>
              <w:jc w:val="center"/>
              <w:rPr>
                <w:sz w:val="22"/>
              </w:rPr>
            </w:pPr>
            <w:r w:rsidRPr="008D1E08">
              <w:rPr>
                <w:sz w:val="22"/>
              </w:rPr>
              <w:t>65.8</w:t>
            </w:r>
            <w:r w:rsidRPr="008D1E08">
              <w:rPr>
                <w:sz w:val="22"/>
                <w:vertAlign w:val="superscript"/>
              </w:rPr>
              <w:t>d</w:t>
            </w:r>
            <w:r w:rsidRPr="008D1E08">
              <w:rPr>
                <w:sz w:val="22"/>
              </w:rPr>
              <w:t xml:space="preserve"> ± 5.1</w:t>
            </w:r>
          </w:p>
          <w:p w14:paraId="0E243607" w14:textId="20F2BB45" w:rsidR="005F5508" w:rsidRPr="008D1E08" w:rsidRDefault="005F5508" w:rsidP="008D1E08">
            <w:pPr>
              <w:spacing w:after="0" w:line="240" w:lineRule="auto"/>
              <w:jc w:val="center"/>
              <w:rPr>
                <w:sz w:val="22"/>
              </w:rPr>
            </w:pPr>
            <w:r w:rsidRPr="008D1E08">
              <w:rPr>
                <w:sz w:val="22"/>
              </w:rPr>
              <w:t>(33%)</w:t>
            </w:r>
          </w:p>
        </w:tc>
        <w:tc>
          <w:tcPr>
            <w:tcW w:w="2658" w:type="dxa"/>
          </w:tcPr>
          <w:p w14:paraId="1E39728D" w14:textId="1B07126C" w:rsidR="005F5508" w:rsidRPr="008D1E08" w:rsidRDefault="005F5508" w:rsidP="008D1E08">
            <w:pPr>
              <w:spacing w:after="0" w:line="240" w:lineRule="auto"/>
              <w:jc w:val="center"/>
              <w:rPr>
                <w:sz w:val="22"/>
              </w:rPr>
            </w:pPr>
            <w:r w:rsidRPr="008D1E08">
              <w:rPr>
                <w:sz w:val="22"/>
              </w:rPr>
              <w:t>7.4</w:t>
            </w:r>
            <w:r w:rsidRPr="008D1E08">
              <w:rPr>
                <w:sz w:val="22"/>
                <w:vertAlign w:val="superscript"/>
              </w:rPr>
              <w:t>a</w:t>
            </w:r>
            <w:r w:rsidRPr="008D1E08">
              <w:rPr>
                <w:sz w:val="22"/>
              </w:rPr>
              <w:t xml:space="preserve"> ± 0.6</w:t>
            </w:r>
          </w:p>
        </w:tc>
        <w:tc>
          <w:tcPr>
            <w:tcW w:w="2658" w:type="dxa"/>
          </w:tcPr>
          <w:p w14:paraId="1CEC540E" w14:textId="795A703B" w:rsidR="005F5508" w:rsidRPr="008D1E08" w:rsidRDefault="005F5508" w:rsidP="008D1E08">
            <w:pPr>
              <w:spacing w:after="0" w:line="240" w:lineRule="auto"/>
              <w:jc w:val="center"/>
              <w:rPr>
                <w:sz w:val="22"/>
              </w:rPr>
            </w:pPr>
            <w:r w:rsidRPr="008D1E08">
              <w:rPr>
                <w:sz w:val="22"/>
              </w:rPr>
              <w:t>55.3</w:t>
            </w:r>
            <w:r w:rsidRPr="008D1E08">
              <w:rPr>
                <w:sz w:val="22"/>
                <w:vertAlign w:val="superscript"/>
              </w:rPr>
              <w:t>c</w:t>
            </w:r>
            <w:r w:rsidRPr="008D1E08">
              <w:rPr>
                <w:sz w:val="22"/>
              </w:rPr>
              <w:t xml:space="preserve"> ± 0.5</w:t>
            </w:r>
          </w:p>
        </w:tc>
        <w:tc>
          <w:tcPr>
            <w:tcW w:w="2658" w:type="dxa"/>
          </w:tcPr>
          <w:p w14:paraId="316165D8" w14:textId="1D906DB7" w:rsidR="005F5508" w:rsidRPr="008D1E08" w:rsidRDefault="005F5508" w:rsidP="008D1E08">
            <w:pPr>
              <w:spacing w:after="0" w:line="240" w:lineRule="auto"/>
              <w:jc w:val="center"/>
              <w:rPr>
                <w:sz w:val="22"/>
              </w:rPr>
            </w:pPr>
            <w:r w:rsidRPr="008D1E08">
              <w:rPr>
                <w:sz w:val="22"/>
              </w:rPr>
              <w:t>44.8</w:t>
            </w:r>
            <w:r w:rsidRPr="008D1E08">
              <w:rPr>
                <w:sz w:val="22"/>
                <w:vertAlign w:val="superscript"/>
              </w:rPr>
              <w:t>a</w:t>
            </w:r>
            <w:r w:rsidRPr="008D1E08">
              <w:rPr>
                <w:sz w:val="22"/>
              </w:rPr>
              <w:t xml:space="preserve"> ± 0.4</w:t>
            </w:r>
          </w:p>
        </w:tc>
      </w:tr>
      <w:tr w:rsidR="005F5508" w:rsidRPr="008D1E08" w14:paraId="59DE6B8E" w14:textId="77777777" w:rsidTr="00F86C25">
        <w:tc>
          <w:tcPr>
            <w:tcW w:w="3544" w:type="dxa"/>
          </w:tcPr>
          <w:p w14:paraId="466CB692" w14:textId="287E0F45" w:rsidR="005F5508" w:rsidRPr="008D1E08" w:rsidRDefault="005F5508" w:rsidP="008D1E08">
            <w:pPr>
              <w:spacing w:after="0" w:line="240" w:lineRule="auto"/>
              <w:jc w:val="left"/>
              <w:rPr>
                <w:sz w:val="22"/>
              </w:rPr>
            </w:pPr>
            <w:r w:rsidRPr="008D1E08">
              <w:rPr>
                <w:sz w:val="22"/>
              </w:rPr>
              <w:t>Maize porridge+moringa (M+S)</w:t>
            </w:r>
            <w:r w:rsidRPr="008D1E08">
              <w:rPr>
                <w:sz w:val="22"/>
                <w:vertAlign w:val="superscript"/>
              </w:rPr>
              <w:t>$</w:t>
            </w:r>
            <w:r w:rsidRPr="008D1E08">
              <w:rPr>
                <w:sz w:val="22"/>
              </w:rPr>
              <w:t>+mango+carrot</w:t>
            </w:r>
          </w:p>
        </w:tc>
        <w:tc>
          <w:tcPr>
            <w:tcW w:w="2657" w:type="dxa"/>
          </w:tcPr>
          <w:p w14:paraId="16E7248F" w14:textId="6B5FB9F7" w:rsidR="005F5508" w:rsidRPr="008D1E08" w:rsidRDefault="005F5508" w:rsidP="008D1E08">
            <w:pPr>
              <w:spacing w:after="0" w:line="240" w:lineRule="auto"/>
              <w:jc w:val="center"/>
              <w:rPr>
                <w:sz w:val="22"/>
              </w:rPr>
            </w:pPr>
            <w:r w:rsidRPr="008D1E08">
              <w:rPr>
                <w:sz w:val="22"/>
              </w:rPr>
              <w:t>20.5</w:t>
            </w:r>
            <w:r w:rsidRPr="008D1E08">
              <w:rPr>
                <w:sz w:val="22"/>
                <w:vertAlign w:val="superscript"/>
              </w:rPr>
              <w:t>a</w:t>
            </w:r>
            <w:r w:rsidRPr="008D1E08">
              <w:rPr>
                <w:sz w:val="22"/>
              </w:rPr>
              <w:t xml:space="preserve"> ± 1.9</w:t>
            </w:r>
          </w:p>
          <w:p w14:paraId="53A4CBC4" w14:textId="3C723D85" w:rsidR="005F5508" w:rsidRPr="008D1E08" w:rsidRDefault="005F5508" w:rsidP="008D1E08">
            <w:pPr>
              <w:spacing w:after="0" w:line="240" w:lineRule="auto"/>
              <w:jc w:val="center"/>
              <w:rPr>
                <w:sz w:val="22"/>
              </w:rPr>
            </w:pPr>
            <w:r w:rsidRPr="008D1E08">
              <w:rPr>
                <w:sz w:val="22"/>
              </w:rPr>
              <w:t>(-59%)</w:t>
            </w:r>
          </w:p>
        </w:tc>
        <w:tc>
          <w:tcPr>
            <w:tcW w:w="2658" w:type="dxa"/>
          </w:tcPr>
          <w:p w14:paraId="05AEDA4E" w14:textId="526E1F15" w:rsidR="005F5508" w:rsidRPr="008D1E08" w:rsidRDefault="005F5508" w:rsidP="008D1E08">
            <w:pPr>
              <w:spacing w:after="0" w:line="240" w:lineRule="auto"/>
              <w:jc w:val="center"/>
              <w:rPr>
                <w:sz w:val="22"/>
              </w:rPr>
            </w:pPr>
            <w:r w:rsidRPr="008D1E08">
              <w:rPr>
                <w:sz w:val="22"/>
              </w:rPr>
              <w:t>86.2</w:t>
            </w:r>
            <w:r w:rsidRPr="008D1E08">
              <w:rPr>
                <w:sz w:val="22"/>
                <w:vertAlign w:val="superscript"/>
              </w:rPr>
              <w:t>c</w:t>
            </w:r>
            <w:r w:rsidRPr="008D1E08">
              <w:rPr>
                <w:sz w:val="22"/>
              </w:rPr>
              <w:t xml:space="preserve"> ± 8.1</w:t>
            </w:r>
          </w:p>
          <w:p w14:paraId="7429F80A" w14:textId="1FF9A4A6" w:rsidR="005F5508" w:rsidRPr="008D1E08" w:rsidRDefault="005F5508" w:rsidP="008D1E08">
            <w:pPr>
              <w:spacing w:after="0" w:line="240" w:lineRule="auto"/>
              <w:jc w:val="center"/>
              <w:rPr>
                <w:sz w:val="22"/>
              </w:rPr>
            </w:pPr>
            <w:r w:rsidRPr="008D1E08">
              <w:rPr>
                <w:sz w:val="22"/>
              </w:rPr>
              <w:t>(1445%)</w:t>
            </w:r>
          </w:p>
        </w:tc>
        <w:tc>
          <w:tcPr>
            <w:tcW w:w="2658" w:type="dxa"/>
          </w:tcPr>
          <w:p w14:paraId="472E44A1" w14:textId="65AB4743" w:rsidR="005F5508" w:rsidRPr="008D1E08" w:rsidRDefault="005F5508" w:rsidP="008D1E08">
            <w:pPr>
              <w:spacing w:after="0" w:line="240" w:lineRule="auto"/>
              <w:jc w:val="center"/>
              <w:rPr>
                <w:sz w:val="22"/>
              </w:rPr>
            </w:pPr>
            <w:r w:rsidRPr="008D1E08">
              <w:rPr>
                <w:sz w:val="22"/>
              </w:rPr>
              <w:t>47.9</w:t>
            </w:r>
            <w:r w:rsidRPr="008D1E08">
              <w:rPr>
                <w:sz w:val="22"/>
                <w:vertAlign w:val="superscript"/>
              </w:rPr>
              <w:t>b</w:t>
            </w:r>
            <w:r w:rsidRPr="008D1E08">
              <w:rPr>
                <w:sz w:val="22"/>
              </w:rPr>
              <w:t xml:space="preserve"> ± 1.0</w:t>
            </w:r>
          </w:p>
          <w:p w14:paraId="091D8FAC" w14:textId="550BA389" w:rsidR="005F5508" w:rsidRPr="008D1E08" w:rsidRDefault="005F5508" w:rsidP="008D1E08">
            <w:pPr>
              <w:spacing w:after="0" w:line="240" w:lineRule="auto"/>
              <w:jc w:val="center"/>
              <w:rPr>
                <w:sz w:val="22"/>
              </w:rPr>
            </w:pPr>
            <w:r w:rsidRPr="008D1E08">
              <w:rPr>
                <w:sz w:val="22"/>
              </w:rPr>
              <w:t>(-13%)</w:t>
            </w:r>
          </w:p>
        </w:tc>
        <w:tc>
          <w:tcPr>
            <w:tcW w:w="2658" w:type="dxa"/>
          </w:tcPr>
          <w:p w14:paraId="3A8DB0D0" w14:textId="76D9BEFC" w:rsidR="005F5508" w:rsidRPr="008D1E08" w:rsidRDefault="005F5508" w:rsidP="008D1E08">
            <w:pPr>
              <w:spacing w:after="0" w:line="240" w:lineRule="auto"/>
              <w:jc w:val="center"/>
              <w:rPr>
                <w:sz w:val="22"/>
              </w:rPr>
            </w:pPr>
            <w:r w:rsidRPr="008D1E08">
              <w:rPr>
                <w:sz w:val="22"/>
              </w:rPr>
              <w:t>87.8</w:t>
            </w:r>
            <w:r w:rsidRPr="008D1E08">
              <w:rPr>
                <w:sz w:val="22"/>
                <w:vertAlign w:val="superscript"/>
              </w:rPr>
              <w:t>c</w:t>
            </w:r>
            <w:r w:rsidRPr="008D1E08">
              <w:rPr>
                <w:sz w:val="22"/>
              </w:rPr>
              <w:t xml:space="preserve"> ± 1.7</w:t>
            </w:r>
          </w:p>
          <w:p w14:paraId="4E1D6CA9" w14:textId="68C4E092" w:rsidR="005F5508" w:rsidRPr="008D1E08" w:rsidRDefault="005F5508" w:rsidP="008D1E08">
            <w:pPr>
              <w:spacing w:after="0" w:line="240" w:lineRule="auto"/>
              <w:jc w:val="center"/>
              <w:rPr>
                <w:sz w:val="22"/>
              </w:rPr>
            </w:pPr>
            <w:r w:rsidRPr="008D1E08">
              <w:rPr>
                <w:sz w:val="22"/>
              </w:rPr>
              <w:t>(96%)</w:t>
            </w:r>
          </w:p>
        </w:tc>
      </w:tr>
      <w:tr w:rsidR="005F5508" w:rsidRPr="008D1E08" w14:paraId="6A6855DB" w14:textId="77777777" w:rsidTr="00F86C25">
        <w:tc>
          <w:tcPr>
            <w:tcW w:w="3544" w:type="dxa"/>
          </w:tcPr>
          <w:p w14:paraId="0BBB53E6" w14:textId="071CA243" w:rsidR="005F5508" w:rsidRPr="008D1E08" w:rsidRDefault="005F5508" w:rsidP="008D1E08">
            <w:pPr>
              <w:spacing w:after="0" w:line="240" w:lineRule="auto"/>
              <w:jc w:val="left"/>
              <w:rPr>
                <w:sz w:val="22"/>
              </w:rPr>
            </w:pPr>
            <w:r w:rsidRPr="008D1E08">
              <w:rPr>
                <w:sz w:val="22"/>
              </w:rPr>
              <w:t>Maize porridge+FeSO</w:t>
            </w:r>
            <w:r w:rsidRPr="008D1E08">
              <w:rPr>
                <w:sz w:val="22"/>
                <w:vertAlign w:val="subscript"/>
              </w:rPr>
              <w:t>4</w:t>
            </w:r>
            <w:r w:rsidRPr="008D1E08">
              <w:rPr>
                <w:sz w:val="22"/>
              </w:rPr>
              <w:t>+baobab+mango+ carrot</w:t>
            </w:r>
          </w:p>
        </w:tc>
        <w:tc>
          <w:tcPr>
            <w:tcW w:w="2657" w:type="dxa"/>
          </w:tcPr>
          <w:p w14:paraId="5C084824" w14:textId="1A80CE19" w:rsidR="005F5508" w:rsidRPr="008D1E08" w:rsidRDefault="005F5508" w:rsidP="008D1E08">
            <w:pPr>
              <w:spacing w:after="0" w:line="240" w:lineRule="auto"/>
              <w:jc w:val="center"/>
              <w:rPr>
                <w:sz w:val="22"/>
              </w:rPr>
            </w:pPr>
            <w:r w:rsidRPr="008D1E08">
              <w:rPr>
                <w:sz w:val="22"/>
              </w:rPr>
              <w:t>33.0</w:t>
            </w:r>
            <w:r w:rsidRPr="008D1E08">
              <w:rPr>
                <w:sz w:val="22"/>
                <w:vertAlign w:val="superscript"/>
              </w:rPr>
              <w:t>b</w:t>
            </w:r>
            <w:r w:rsidRPr="008D1E08">
              <w:rPr>
                <w:sz w:val="22"/>
              </w:rPr>
              <w:t xml:space="preserve"> ± 2.1</w:t>
            </w:r>
          </w:p>
          <w:p w14:paraId="2C8E43F2" w14:textId="44C4663E" w:rsidR="005F5508" w:rsidRPr="008D1E08" w:rsidRDefault="005F5508" w:rsidP="008D1E08">
            <w:pPr>
              <w:spacing w:after="0" w:line="240" w:lineRule="auto"/>
              <w:jc w:val="center"/>
              <w:rPr>
                <w:sz w:val="22"/>
              </w:rPr>
            </w:pPr>
            <w:r w:rsidRPr="008D1E08">
              <w:rPr>
                <w:sz w:val="22"/>
              </w:rPr>
              <w:t>(-33%)</w:t>
            </w:r>
          </w:p>
        </w:tc>
        <w:tc>
          <w:tcPr>
            <w:tcW w:w="2658" w:type="dxa"/>
          </w:tcPr>
          <w:p w14:paraId="3D933835" w14:textId="5A6F54FF" w:rsidR="005F5508" w:rsidRPr="008D1E08" w:rsidRDefault="005F5508" w:rsidP="008D1E08">
            <w:pPr>
              <w:spacing w:after="0" w:line="240" w:lineRule="auto"/>
              <w:jc w:val="center"/>
              <w:rPr>
                <w:sz w:val="22"/>
              </w:rPr>
            </w:pPr>
            <w:r w:rsidRPr="008D1E08">
              <w:rPr>
                <w:sz w:val="22"/>
              </w:rPr>
              <w:t>21.7</w:t>
            </w:r>
            <w:r w:rsidRPr="008D1E08">
              <w:rPr>
                <w:sz w:val="22"/>
                <w:vertAlign w:val="superscript"/>
              </w:rPr>
              <w:t>b</w:t>
            </w:r>
            <w:r w:rsidRPr="008D1E08">
              <w:rPr>
                <w:sz w:val="22"/>
              </w:rPr>
              <w:t xml:space="preserve"> ± 1.4</w:t>
            </w:r>
          </w:p>
          <w:p w14:paraId="68D166E4" w14:textId="53E0215E" w:rsidR="005F5508" w:rsidRPr="008D1E08" w:rsidRDefault="005F5508" w:rsidP="008D1E08">
            <w:pPr>
              <w:spacing w:after="0" w:line="240" w:lineRule="auto"/>
              <w:jc w:val="center"/>
              <w:rPr>
                <w:sz w:val="22"/>
              </w:rPr>
            </w:pPr>
            <w:r w:rsidRPr="008D1E08">
              <w:rPr>
                <w:sz w:val="22"/>
              </w:rPr>
              <w:t>(289%)</w:t>
            </w:r>
          </w:p>
        </w:tc>
        <w:tc>
          <w:tcPr>
            <w:tcW w:w="2658" w:type="dxa"/>
          </w:tcPr>
          <w:p w14:paraId="446519B6" w14:textId="586D045D" w:rsidR="005F5508" w:rsidRPr="008D1E08" w:rsidRDefault="005F5508" w:rsidP="008D1E08">
            <w:pPr>
              <w:spacing w:after="0" w:line="240" w:lineRule="auto"/>
              <w:jc w:val="center"/>
              <w:rPr>
                <w:sz w:val="22"/>
              </w:rPr>
            </w:pPr>
            <w:r w:rsidRPr="008D1E08">
              <w:rPr>
                <w:sz w:val="22"/>
              </w:rPr>
              <w:t>55.1</w:t>
            </w:r>
            <w:r w:rsidRPr="008D1E08">
              <w:rPr>
                <w:sz w:val="22"/>
                <w:vertAlign w:val="superscript"/>
              </w:rPr>
              <w:t xml:space="preserve"> c</w:t>
            </w:r>
            <w:r w:rsidRPr="008D1E08">
              <w:rPr>
                <w:sz w:val="22"/>
              </w:rPr>
              <w:t xml:space="preserve"> ± 0.3</w:t>
            </w:r>
          </w:p>
        </w:tc>
        <w:tc>
          <w:tcPr>
            <w:tcW w:w="2658" w:type="dxa"/>
          </w:tcPr>
          <w:p w14:paraId="694D4F3B" w14:textId="7C1C9226" w:rsidR="005F5508" w:rsidRPr="008D1E08" w:rsidRDefault="005F5508" w:rsidP="008D1E08">
            <w:pPr>
              <w:spacing w:after="0" w:line="240" w:lineRule="auto"/>
              <w:jc w:val="center"/>
              <w:rPr>
                <w:sz w:val="22"/>
              </w:rPr>
            </w:pPr>
            <w:r w:rsidRPr="008D1E08">
              <w:rPr>
                <w:sz w:val="22"/>
              </w:rPr>
              <w:t>63.9</w:t>
            </w:r>
            <w:r w:rsidRPr="008D1E08">
              <w:rPr>
                <w:sz w:val="22"/>
                <w:vertAlign w:val="superscript"/>
              </w:rPr>
              <w:t>b</w:t>
            </w:r>
            <w:r w:rsidRPr="008D1E08">
              <w:rPr>
                <w:sz w:val="22"/>
              </w:rPr>
              <w:t xml:space="preserve"> ± 0.4</w:t>
            </w:r>
          </w:p>
          <w:p w14:paraId="75982FA2" w14:textId="55E57667" w:rsidR="005F5508" w:rsidRPr="008D1E08" w:rsidRDefault="005F5508" w:rsidP="008D1E08">
            <w:pPr>
              <w:spacing w:after="0" w:line="240" w:lineRule="auto"/>
              <w:jc w:val="center"/>
              <w:rPr>
                <w:sz w:val="22"/>
              </w:rPr>
            </w:pPr>
            <w:r w:rsidRPr="008D1E08">
              <w:rPr>
                <w:sz w:val="22"/>
              </w:rPr>
              <w:t>(43%)</w:t>
            </w:r>
          </w:p>
        </w:tc>
      </w:tr>
      <w:tr w:rsidR="005F5508" w:rsidRPr="008D1E08" w14:paraId="6E34EC23" w14:textId="77777777" w:rsidTr="00F86C25">
        <w:tc>
          <w:tcPr>
            <w:tcW w:w="3544" w:type="dxa"/>
          </w:tcPr>
          <w:p w14:paraId="2AAE5876" w14:textId="70898FCC" w:rsidR="005F5508" w:rsidRPr="008D1E08" w:rsidRDefault="005F5508" w:rsidP="008D1E08">
            <w:pPr>
              <w:spacing w:after="0" w:line="240" w:lineRule="auto"/>
              <w:jc w:val="left"/>
              <w:rPr>
                <w:sz w:val="22"/>
              </w:rPr>
            </w:pPr>
            <w:r w:rsidRPr="008D1E08">
              <w:rPr>
                <w:sz w:val="22"/>
              </w:rPr>
              <w:t>Maize porridge+moringa (M+S)</w:t>
            </w:r>
            <w:r w:rsidRPr="008D1E08">
              <w:rPr>
                <w:sz w:val="22"/>
                <w:vertAlign w:val="superscript"/>
              </w:rPr>
              <w:t>$</w:t>
            </w:r>
            <w:r w:rsidRPr="008D1E08">
              <w:rPr>
                <w:sz w:val="22"/>
              </w:rPr>
              <w:t>+baobab+ mango+carrot</w:t>
            </w:r>
          </w:p>
        </w:tc>
        <w:tc>
          <w:tcPr>
            <w:tcW w:w="2657" w:type="dxa"/>
          </w:tcPr>
          <w:p w14:paraId="4F2D9066" w14:textId="6F1FC200" w:rsidR="005F5508" w:rsidRPr="008D1E08" w:rsidRDefault="005F5508" w:rsidP="008D1E08">
            <w:pPr>
              <w:spacing w:after="0" w:line="240" w:lineRule="auto"/>
              <w:jc w:val="center"/>
              <w:rPr>
                <w:sz w:val="22"/>
              </w:rPr>
            </w:pPr>
            <w:r w:rsidRPr="008D1E08">
              <w:rPr>
                <w:sz w:val="22"/>
              </w:rPr>
              <w:t>17.1</w:t>
            </w:r>
            <w:r w:rsidRPr="008D1E08">
              <w:rPr>
                <w:sz w:val="22"/>
                <w:vertAlign w:val="superscript"/>
              </w:rPr>
              <w:t>a</w:t>
            </w:r>
            <w:r w:rsidRPr="008D1E08">
              <w:rPr>
                <w:sz w:val="22"/>
              </w:rPr>
              <w:t xml:space="preserve"> ± 1.2</w:t>
            </w:r>
          </w:p>
          <w:p w14:paraId="7D847889" w14:textId="22098361" w:rsidR="005F5508" w:rsidRPr="008D1E08" w:rsidRDefault="005F5508" w:rsidP="008D1E08">
            <w:pPr>
              <w:spacing w:after="0" w:line="240" w:lineRule="auto"/>
              <w:jc w:val="center"/>
              <w:rPr>
                <w:sz w:val="22"/>
              </w:rPr>
            </w:pPr>
            <w:r w:rsidRPr="008D1E08">
              <w:rPr>
                <w:sz w:val="22"/>
              </w:rPr>
              <w:t>(-65%)</w:t>
            </w:r>
          </w:p>
        </w:tc>
        <w:tc>
          <w:tcPr>
            <w:tcW w:w="2658" w:type="dxa"/>
          </w:tcPr>
          <w:p w14:paraId="6201F069" w14:textId="30626021" w:rsidR="005F5508" w:rsidRPr="008D1E08" w:rsidRDefault="005F5508" w:rsidP="008D1E08">
            <w:pPr>
              <w:spacing w:after="0" w:line="240" w:lineRule="auto"/>
              <w:jc w:val="center"/>
              <w:rPr>
                <w:sz w:val="22"/>
              </w:rPr>
            </w:pPr>
            <w:r w:rsidRPr="008D1E08">
              <w:rPr>
                <w:sz w:val="22"/>
              </w:rPr>
              <w:t>81.5</w:t>
            </w:r>
            <w:r w:rsidRPr="008D1E08">
              <w:rPr>
                <w:sz w:val="22"/>
                <w:vertAlign w:val="superscript"/>
              </w:rPr>
              <w:t>c</w:t>
            </w:r>
            <w:r w:rsidRPr="008D1E08">
              <w:rPr>
                <w:sz w:val="22"/>
              </w:rPr>
              <w:t xml:space="preserve"> ± 5.7</w:t>
            </w:r>
          </w:p>
          <w:p w14:paraId="5E111F85" w14:textId="7F70D39E" w:rsidR="005F5508" w:rsidRPr="008D1E08" w:rsidRDefault="005F5508" w:rsidP="008D1E08">
            <w:pPr>
              <w:spacing w:after="0" w:line="240" w:lineRule="auto"/>
              <w:jc w:val="center"/>
              <w:rPr>
                <w:sz w:val="22"/>
              </w:rPr>
            </w:pPr>
            <w:r w:rsidRPr="008D1E08">
              <w:rPr>
                <w:sz w:val="22"/>
              </w:rPr>
              <w:t>(1359%)</w:t>
            </w:r>
          </w:p>
        </w:tc>
        <w:tc>
          <w:tcPr>
            <w:tcW w:w="2658" w:type="dxa"/>
          </w:tcPr>
          <w:p w14:paraId="26734EAF" w14:textId="490E9BA4" w:rsidR="005F5508" w:rsidRPr="008D1E08" w:rsidRDefault="005F5508" w:rsidP="008D1E08">
            <w:pPr>
              <w:spacing w:after="0" w:line="240" w:lineRule="auto"/>
              <w:jc w:val="center"/>
              <w:rPr>
                <w:sz w:val="22"/>
              </w:rPr>
            </w:pPr>
            <w:r w:rsidRPr="008D1E08">
              <w:rPr>
                <w:sz w:val="22"/>
              </w:rPr>
              <w:t>45.0</w:t>
            </w:r>
            <w:r w:rsidRPr="008D1E08">
              <w:rPr>
                <w:sz w:val="22"/>
                <w:vertAlign w:val="superscript"/>
              </w:rPr>
              <w:t>a</w:t>
            </w:r>
            <w:r w:rsidRPr="008D1E08">
              <w:rPr>
                <w:sz w:val="22"/>
              </w:rPr>
              <w:t xml:space="preserve"> ± 1.0</w:t>
            </w:r>
          </w:p>
          <w:p w14:paraId="51F325FB" w14:textId="309E53D6" w:rsidR="005F5508" w:rsidRPr="008D1E08" w:rsidRDefault="005F5508" w:rsidP="008D1E08">
            <w:pPr>
              <w:spacing w:after="0" w:line="240" w:lineRule="auto"/>
              <w:jc w:val="center"/>
              <w:rPr>
                <w:sz w:val="22"/>
              </w:rPr>
            </w:pPr>
            <w:r w:rsidRPr="008D1E08">
              <w:rPr>
                <w:sz w:val="22"/>
              </w:rPr>
              <w:t>(-19%)</w:t>
            </w:r>
          </w:p>
        </w:tc>
        <w:tc>
          <w:tcPr>
            <w:tcW w:w="2658" w:type="dxa"/>
          </w:tcPr>
          <w:p w14:paraId="4502FE6D" w14:textId="5075D19F" w:rsidR="005F5508" w:rsidRPr="008D1E08" w:rsidRDefault="005F5508" w:rsidP="008D1E08">
            <w:pPr>
              <w:spacing w:after="0" w:line="240" w:lineRule="auto"/>
              <w:jc w:val="center"/>
              <w:rPr>
                <w:sz w:val="22"/>
              </w:rPr>
            </w:pPr>
            <w:r w:rsidRPr="008D1E08">
              <w:rPr>
                <w:sz w:val="22"/>
              </w:rPr>
              <w:t>98.2</w:t>
            </w:r>
            <w:r w:rsidRPr="008D1E08">
              <w:rPr>
                <w:sz w:val="22"/>
                <w:vertAlign w:val="superscript"/>
              </w:rPr>
              <w:t>d</w:t>
            </w:r>
            <w:r w:rsidRPr="008D1E08">
              <w:rPr>
                <w:sz w:val="22"/>
              </w:rPr>
              <w:t xml:space="preserve"> ± 2.3</w:t>
            </w:r>
          </w:p>
          <w:p w14:paraId="7804E0E7" w14:textId="1EE77297" w:rsidR="005F5508" w:rsidRPr="008D1E08" w:rsidRDefault="005F5508" w:rsidP="008D1E08">
            <w:pPr>
              <w:spacing w:after="0" w:line="240" w:lineRule="auto"/>
              <w:jc w:val="center"/>
              <w:rPr>
                <w:sz w:val="22"/>
              </w:rPr>
            </w:pPr>
            <w:r w:rsidRPr="008D1E08">
              <w:rPr>
                <w:sz w:val="22"/>
              </w:rPr>
              <w:t>(119%)</w:t>
            </w:r>
          </w:p>
        </w:tc>
      </w:tr>
    </w:tbl>
    <w:p w14:paraId="74226DE6" w14:textId="2212291A" w:rsidR="00B4041A" w:rsidRPr="00A967D7" w:rsidRDefault="00B4041A" w:rsidP="00B4041A">
      <w:pPr>
        <w:spacing w:before="240" w:after="0" w:line="240" w:lineRule="auto"/>
        <w:rPr>
          <w:rFonts w:cs="Times New Roman"/>
          <w:sz w:val="20"/>
          <w:szCs w:val="20"/>
        </w:rPr>
      </w:pPr>
      <w:r w:rsidRPr="00A967D7">
        <w:rPr>
          <w:rFonts w:cs="Times New Roman"/>
          <w:sz w:val="20"/>
          <w:szCs w:val="20"/>
        </w:rPr>
        <w:t>Values are the mean ± 1 SD of two independent samples analysed in triplicate (n=6), Means with different superscripts letters in a column differ significantly (</w:t>
      </w:r>
      <w:r w:rsidRPr="004E47CA">
        <w:rPr>
          <w:rFonts w:cs="Times New Roman"/>
          <w:i/>
          <w:iCs/>
          <w:sz w:val="20"/>
          <w:szCs w:val="20"/>
        </w:rPr>
        <w:t>p</w:t>
      </w:r>
      <w:r w:rsidR="000A34FD">
        <w:rPr>
          <w:rFonts w:cs="Times New Roman"/>
          <w:sz w:val="20"/>
          <w:szCs w:val="20"/>
        </w:rPr>
        <w:t>&lt;</w:t>
      </w:r>
      <w:r w:rsidRPr="00A967D7">
        <w:rPr>
          <w:rFonts w:cs="Times New Roman"/>
          <w:sz w:val="20"/>
          <w:szCs w:val="20"/>
        </w:rPr>
        <w:t>0.05)</w:t>
      </w:r>
    </w:p>
    <w:p w14:paraId="67DF13AD" w14:textId="7B1A2A84" w:rsidR="00B4041A" w:rsidRPr="00A967D7" w:rsidRDefault="00B4041A" w:rsidP="00B4041A">
      <w:pPr>
        <w:spacing w:after="0" w:line="240" w:lineRule="auto"/>
        <w:rPr>
          <w:rFonts w:cs="Times New Roman"/>
          <w:sz w:val="20"/>
          <w:szCs w:val="20"/>
        </w:rPr>
      </w:pPr>
      <w:r w:rsidRPr="007644F6">
        <w:rPr>
          <w:rFonts w:cs="Times New Roman"/>
          <w:sz w:val="20"/>
          <w:szCs w:val="20"/>
          <w:vertAlign w:val="superscript"/>
        </w:rPr>
        <w:t>£</w:t>
      </w:r>
      <w:r w:rsidRPr="00A967D7">
        <w:rPr>
          <w:rFonts w:cs="Times New Roman"/>
          <w:sz w:val="20"/>
          <w:szCs w:val="20"/>
        </w:rPr>
        <w:t xml:space="preserve">Percentage </w:t>
      </w:r>
      <w:r>
        <w:rPr>
          <w:rFonts w:cs="Times New Roman"/>
          <w:sz w:val="20"/>
          <w:szCs w:val="20"/>
        </w:rPr>
        <w:t>values</w:t>
      </w:r>
      <w:r w:rsidRPr="00A967D7">
        <w:rPr>
          <w:rFonts w:cs="Times New Roman"/>
          <w:sz w:val="20"/>
          <w:szCs w:val="20"/>
        </w:rPr>
        <w:t xml:space="preserve"> in bracket</w:t>
      </w:r>
      <w:r>
        <w:rPr>
          <w:rFonts w:cs="Times New Roman"/>
          <w:sz w:val="20"/>
          <w:szCs w:val="20"/>
        </w:rPr>
        <w:t>s</w:t>
      </w:r>
      <w:r w:rsidRPr="00A967D7">
        <w:rPr>
          <w:rFonts w:cs="Times New Roman"/>
          <w:sz w:val="20"/>
          <w:szCs w:val="20"/>
        </w:rPr>
        <w:t xml:space="preserve"> </w:t>
      </w:r>
      <w:r>
        <w:rPr>
          <w:rFonts w:cs="Times New Roman"/>
          <w:sz w:val="20"/>
          <w:szCs w:val="20"/>
        </w:rPr>
        <w:t>are</w:t>
      </w:r>
      <w:r w:rsidRPr="00A967D7">
        <w:rPr>
          <w:rFonts w:cs="Times New Roman"/>
          <w:sz w:val="20"/>
          <w:szCs w:val="20"/>
        </w:rPr>
        <w:t xml:space="preserve"> significantly different to </w:t>
      </w:r>
      <w:r>
        <w:rPr>
          <w:rFonts w:cs="Times New Roman"/>
          <w:sz w:val="20"/>
          <w:szCs w:val="20"/>
        </w:rPr>
        <w:t xml:space="preserve">the control </w:t>
      </w:r>
      <w:r w:rsidRPr="00A967D7">
        <w:rPr>
          <w:rFonts w:cs="Times New Roman"/>
          <w:sz w:val="20"/>
          <w:szCs w:val="20"/>
        </w:rPr>
        <w:t xml:space="preserve">maize porridge </w:t>
      </w:r>
      <w:r>
        <w:rPr>
          <w:rFonts w:cs="Times New Roman"/>
          <w:sz w:val="20"/>
          <w:szCs w:val="20"/>
        </w:rPr>
        <w:t>by pairwise comparison</w:t>
      </w:r>
      <w:r w:rsidRPr="00A967D7">
        <w:rPr>
          <w:rFonts w:cs="Times New Roman"/>
          <w:sz w:val="20"/>
          <w:szCs w:val="20"/>
        </w:rPr>
        <w:t xml:space="preserve"> (</w:t>
      </w:r>
      <w:r w:rsidRPr="004E47CA">
        <w:rPr>
          <w:rFonts w:cs="Times New Roman"/>
          <w:i/>
          <w:iCs/>
          <w:sz w:val="20"/>
          <w:szCs w:val="20"/>
        </w:rPr>
        <w:t>p</w:t>
      </w:r>
      <w:r w:rsidR="000A34FD">
        <w:rPr>
          <w:rFonts w:cs="Times New Roman"/>
          <w:sz w:val="20"/>
          <w:szCs w:val="20"/>
        </w:rPr>
        <w:t>&lt;</w:t>
      </w:r>
      <w:r w:rsidRPr="00A967D7">
        <w:rPr>
          <w:rFonts w:cs="Times New Roman"/>
          <w:sz w:val="20"/>
          <w:szCs w:val="20"/>
        </w:rPr>
        <w:t>0.05)</w:t>
      </w:r>
      <w:r>
        <w:rPr>
          <w:rFonts w:cs="Times New Roman"/>
          <w:sz w:val="20"/>
          <w:szCs w:val="20"/>
        </w:rPr>
        <w:t xml:space="preserve">, </w:t>
      </w:r>
      <w:r w:rsidRPr="00A967D7">
        <w:rPr>
          <w:rFonts w:cs="Times New Roman"/>
          <w:sz w:val="20"/>
          <w:szCs w:val="20"/>
          <w:vertAlign w:val="superscript"/>
        </w:rPr>
        <w:t>$</w:t>
      </w:r>
      <w:r w:rsidRPr="00A967D7">
        <w:rPr>
          <w:rFonts w:cs="Times New Roman"/>
          <w:sz w:val="20"/>
          <w:szCs w:val="20"/>
        </w:rPr>
        <w:t>Moringa leaf powder from Mor Nutri (M); Moringa leaf</w:t>
      </w:r>
      <w:r w:rsidRPr="00A967D7">
        <w:rPr>
          <w:rFonts w:cs="Times New Roman"/>
          <w:vertAlign w:val="superscript"/>
        </w:rPr>
        <w:t xml:space="preserve"> </w:t>
      </w:r>
      <w:r w:rsidRPr="00A967D7">
        <w:rPr>
          <w:rFonts w:cs="Times New Roman"/>
          <w:sz w:val="20"/>
          <w:szCs w:val="20"/>
        </w:rPr>
        <w:t>powder from Sup</w:t>
      </w:r>
      <w:r w:rsidR="00537D27">
        <w:rPr>
          <w:rFonts w:cs="Times New Roman"/>
          <w:sz w:val="20"/>
          <w:szCs w:val="20"/>
        </w:rPr>
        <w:t>a</w:t>
      </w:r>
      <w:r w:rsidRPr="00A967D7">
        <w:rPr>
          <w:rFonts w:cs="Times New Roman"/>
          <w:sz w:val="20"/>
          <w:szCs w:val="20"/>
        </w:rPr>
        <w:t xml:space="preserve"> Nutri (S)</w:t>
      </w:r>
    </w:p>
    <w:p w14:paraId="7402CF40" w14:textId="77777777" w:rsidR="00B4041A" w:rsidRDefault="00B4041A" w:rsidP="00B4041A">
      <w:pPr>
        <w:spacing w:after="0" w:line="240" w:lineRule="auto"/>
        <w:rPr>
          <w:rFonts w:cs="Times New Roman"/>
          <w:sz w:val="20"/>
          <w:szCs w:val="20"/>
        </w:rPr>
      </w:pPr>
      <w:r w:rsidRPr="00A967D7">
        <w:rPr>
          <w:rFonts w:cs="Times New Roman"/>
          <w:vertAlign w:val="superscript"/>
        </w:rPr>
        <w:t>1</w:t>
      </w:r>
      <w:r w:rsidRPr="00A967D7">
        <w:rPr>
          <w:rFonts w:cs="Times New Roman"/>
          <w:sz w:val="20"/>
          <w:szCs w:val="20"/>
        </w:rPr>
        <w:t xml:space="preserve">Amounts of ascorbic </w:t>
      </w:r>
      <w:r>
        <w:rPr>
          <w:rFonts w:cs="Times New Roman"/>
          <w:sz w:val="20"/>
          <w:szCs w:val="20"/>
        </w:rPr>
        <w:t xml:space="preserve">acid (23.3 mg) </w:t>
      </w:r>
      <w:r w:rsidRPr="00A967D7">
        <w:rPr>
          <w:rFonts w:cs="Times New Roman"/>
          <w:sz w:val="20"/>
          <w:szCs w:val="20"/>
        </w:rPr>
        <w:t xml:space="preserve">and citric acids </w:t>
      </w:r>
      <w:r>
        <w:rPr>
          <w:rFonts w:cs="Times New Roman"/>
          <w:sz w:val="20"/>
          <w:szCs w:val="20"/>
        </w:rPr>
        <w:t xml:space="preserve">(595 mg) </w:t>
      </w:r>
      <w:r w:rsidRPr="00A967D7">
        <w:rPr>
          <w:rFonts w:cs="Times New Roman"/>
          <w:sz w:val="20"/>
          <w:szCs w:val="20"/>
        </w:rPr>
        <w:t>used were similar to the levels in the baobab fruit</w:t>
      </w:r>
      <w:r>
        <w:rPr>
          <w:rFonts w:cs="Times New Roman"/>
          <w:sz w:val="20"/>
          <w:szCs w:val="20"/>
        </w:rPr>
        <w:t xml:space="preserve"> </w:t>
      </w:r>
    </w:p>
    <w:p w14:paraId="30131302" w14:textId="5CC88596" w:rsidR="0097694E" w:rsidRDefault="00B4041A" w:rsidP="006C7A3E">
      <w:pPr>
        <w:spacing w:after="160" w:line="259" w:lineRule="auto"/>
        <w:jc w:val="left"/>
        <w:rPr>
          <w:rFonts w:eastAsia="Times New Roman"/>
        </w:rPr>
        <w:sectPr w:rsidR="0097694E" w:rsidSect="0097694E">
          <w:pgSz w:w="16839" w:h="11907" w:orient="landscape" w:code="9"/>
          <w:pgMar w:top="1440" w:right="1440" w:bottom="1440" w:left="1440" w:header="720" w:footer="720" w:gutter="0"/>
          <w:cols w:space="720"/>
          <w:docGrid w:linePitch="360"/>
        </w:sectPr>
      </w:pPr>
      <w:r w:rsidRPr="00A967D7">
        <w:rPr>
          <w:rFonts w:cs="Times New Roman"/>
          <w:sz w:val="20"/>
          <w:szCs w:val="20"/>
          <w:vertAlign w:val="superscript"/>
        </w:rPr>
        <w:t>2</w:t>
      </w:r>
      <w:r w:rsidRPr="00A967D7">
        <w:rPr>
          <w:rFonts w:cs="Times New Roman"/>
          <w:sz w:val="20"/>
          <w:szCs w:val="20"/>
        </w:rPr>
        <w:t>Amount of iro</w:t>
      </w:r>
      <w:r>
        <w:rPr>
          <w:rFonts w:cs="Times New Roman"/>
          <w:sz w:val="20"/>
          <w:szCs w:val="20"/>
        </w:rPr>
        <w:t xml:space="preserve">n </w:t>
      </w:r>
      <w:r w:rsidRPr="00A967D7">
        <w:rPr>
          <w:rFonts w:cs="Times New Roman"/>
          <w:sz w:val="20"/>
          <w:szCs w:val="20"/>
        </w:rPr>
        <w:t xml:space="preserve">used </w:t>
      </w:r>
      <w:r>
        <w:rPr>
          <w:rFonts w:cs="Times New Roman"/>
          <w:sz w:val="20"/>
          <w:szCs w:val="20"/>
        </w:rPr>
        <w:t xml:space="preserve">(4.7 mg) </w:t>
      </w:r>
      <w:r w:rsidRPr="00A967D7">
        <w:rPr>
          <w:rFonts w:cs="Times New Roman"/>
          <w:sz w:val="20"/>
          <w:szCs w:val="20"/>
        </w:rPr>
        <w:t>was similar to the levels in the moringa leaf powder (M)</w:t>
      </w:r>
      <w:r>
        <w:rPr>
          <w:rFonts w:eastAsia="Times New Roman"/>
        </w:rPr>
        <w:t xml:space="preserve"> </w:t>
      </w:r>
    </w:p>
    <w:p w14:paraId="7BBCE4DF" w14:textId="2D8457BE" w:rsidR="00B4041A" w:rsidRPr="00A967D7" w:rsidRDefault="00B4041A" w:rsidP="00D91B2C">
      <w:pPr>
        <w:rPr>
          <w:rFonts w:eastAsia="Times New Roman"/>
        </w:rPr>
      </w:pPr>
      <w:r>
        <w:rPr>
          <w:rFonts w:eastAsia="Times New Roman"/>
        </w:rPr>
        <w:t>In Experiment 1, conventional iron fortification of maize porridge also decreased magnesium bioaccessibility in terms of percentage and amount (</w:t>
      </w:r>
      <w:r w:rsidRPr="00772448">
        <w:rPr>
          <w:rFonts w:eastAsia="Times New Roman"/>
        </w:rPr>
        <w:t>Table</w:t>
      </w:r>
      <w:r>
        <w:rPr>
          <w:rFonts w:eastAsia="Times New Roman"/>
        </w:rPr>
        <w:t xml:space="preserve"> </w:t>
      </w:r>
      <w:r w:rsidR="00772448">
        <w:rPr>
          <w:rFonts w:eastAsia="Times New Roman"/>
        </w:rPr>
        <w:t>4.2.</w:t>
      </w:r>
      <w:r>
        <w:rPr>
          <w:rFonts w:eastAsia="Times New Roman"/>
        </w:rPr>
        <w:t xml:space="preserve">5). This was </w:t>
      </w:r>
      <w:r w:rsidR="009E7815">
        <w:rPr>
          <w:rFonts w:eastAsia="Times New Roman"/>
        </w:rPr>
        <w:t>likely</w:t>
      </w:r>
      <w:r>
        <w:rPr>
          <w:rFonts w:eastAsia="Times New Roman"/>
        </w:rPr>
        <w:t xml:space="preserve"> due to mineral-mineral interaction between iron and magnesium</w:t>
      </w:r>
      <w:r w:rsidRPr="00A967D7">
        <w:rPr>
          <w:rFonts w:eastAsia="Times New Roman"/>
        </w:rPr>
        <w:t xml:space="preserve">. </w:t>
      </w:r>
      <w:r w:rsidR="00EE32D3">
        <w:t>Confirmation of this by other</w:t>
      </w:r>
      <w:r>
        <w:t xml:space="preserve"> studies that specifically </w:t>
      </w:r>
      <w:r w:rsidR="00EE32D3">
        <w:t>investigate</w:t>
      </w:r>
      <w:r>
        <w:t xml:space="preserve"> the effects of iron fortification on magnesium bioaccessibility or bioavailability are</w:t>
      </w:r>
      <w:r w:rsidR="00EE32D3">
        <w:t>, however,</w:t>
      </w:r>
      <w:r>
        <w:t xml:space="preserve"> lacking. In contrast</w:t>
      </w:r>
      <w:r w:rsidRPr="00A967D7">
        <w:rPr>
          <w:rFonts w:eastAsia="Times New Roman"/>
        </w:rPr>
        <w:t xml:space="preserve">, </w:t>
      </w:r>
      <w:r>
        <w:rPr>
          <w:rFonts w:eastAsia="Times New Roman"/>
        </w:rPr>
        <w:t xml:space="preserve">fortification with </w:t>
      </w:r>
      <w:r w:rsidRPr="00A967D7">
        <w:rPr>
          <w:rFonts w:eastAsia="Times New Roman"/>
        </w:rPr>
        <w:t>moringa lea</w:t>
      </w:r>
      <w:r>
        <w:rPr>
          <w:rFonts w:eastAsia="Times New Roman"/>
        </w:rPr>
        <w:t>ves</w:t>
      </w:r>
      <w:r w:rsidRPr="00A967D7">
        <w:rPr>
          <w:rFonts w:eastAsia="Times New Roman"/>
        </w:rPr>
        <w:t xml:space="preserve"> increased the total </w:t>
      </w:r>
      <w:r>
        <w:rPr>
          <w:rFonts w:eastAsia="Times New Roman"/>
        </w:rPr>
        <w:t xml:space="preserve">amount of </w:t>
      </w:r>
      <w:r w:rsidRPr="00A967D7">
        <w:rPr>
          <w:rFonts w:eastAsia="Times New Roman"/>
        </w:rPr>
        <w:t>bioaccessible magnesium in both experiments.</w:t>
      </w:r>
      <w:r>
        <w:rPr>
          <w:rFonts w:eastAsia="Times New Roman"/>
        </w:rPr>
        <w:t xml:space="preserve"> T</w:t>
      </w:r>
      <w:r w:rsidRPr="00A967D7">
        <w:rPr>
          <w:rFonts w:eastAsia="Times New Roman"/>
        </w:rPr>
        <w:t xml:space="preserve">he positive effect of baobab fruit and moringa leaves on the </w:t>
      </w:r>
      <w:r>
        <w:rPr>
          <w:rFonts w:eastAsia="Times New Roman"/>
        </w:rPr>
        <w:t>amount of</w:t>
      </w:r>
      <w:r w:rsidRPr="00A967D7">
        <w:rPr>
          <w:rFonts w:eastAsia="Times New Roman"/>
        </w:rPr>
        <w:t xml:space="preserve"> bioaccessible magnesium </w:t>
      </w:r>
      <w:r w:rsidR="00EF243D">
        <w:rPr>
          <w:rFonts w:eastAsia="Times New Roman"/>
        </w:rPr>
        <w:t>was</w:t>
      </w:r>
      <w:r w:rsidRPr="00A967D7">
        <w:rPr>
          <w:rFonts w:eastAsia="Times New Roman"/>
        </w:rPr>
        <w:t xml:space="preserve"> due to their high magnesium contents (</w:t>
      </w:r>
      <w:r w:rsidRPr="00772448">
        <w:rPr>
          <w:rFonts w:eastAsia="Times New Roman"/>
        </w:rPr>
        <w:t xml:space="preserve">Table </w:t>
      </w:r>
      <w:r w:rsidR="00772448" w:rsidRPr="00772448">
        <w:rPr>
          <w:rFonts w:eastAsia="Times New Roman"/>
        </w:rPr>
        <w:t>4.2.</w:t>
      </w:r>
      <w:r w:rsidRPr="00772448">
        <w:rPr>
          <w:rFonts w:eastAsia="Times New Roman"/>
        </w:rPr>
        <w:t>1</w:t>
      </w:r>
      <w:r w:rsidRPr="00A967D7">
        <w:rPr>
          <w:rFonts w:eastAsia="Times New Roman"/>
        </w:rPr>
        <w:t>).</w:t>
      </w:r>
      <w:r>
        <w:rPr>
          <w:rFonts w:eastAsia="Times New Roman"/>
        </w:rPr>
        <w:t xml:space="preserve"> </w:t>
      </w:r>
    </w:p>
    <w:p w14:paraId="18A54177" w14:textId="77777777" w:rsidR="00B4041A" w:rsidRDefault="00B4041A" w:rsidP="00D365FD">
      <w:pPr>
        <w:spacing w:after="0"/>
        <w:rPr>
          <w:rFonts w:cs="Times New Roman"/>
          <w:szCs w:val="24"/>
        </w:rPr>
      </w:pPr>
    </w:p>
    <w:p w14:paraId="16CD2EDA" w14:textId="06019AD1" w:rsidR="00B4041A" w:rsidRPr="002F77C0" w:rsidRDefault="00B4041A" w:rsidP="00D91B2C">
      <w:pPr>
        <w:pStyle w:val="Heading3"/>
      </w:pPr>
      <w:bookmarkStart w:id="122" w:name="_Toc65253603"/>
      <w:r>
        <w:t>4.2.5</w:t>
      </w:r>
      <w:r w:rsidR="00D91B2C">
        <w:tab/>
      </w:r>
      <w:r w:rsidR="00D365FD" w:rsidRPr="002F77C0">
        <w:t>C</w:t>
      </w:r>
      <w:r w:rsidR="00D91B2C" w:rsidRPr="002F77C0">
        <w:t>onclusions</w:t>
      </w:r>
      <w:bookmarkEnd w:id="122"/>
    </w:p>
    <w:p w14:paraId="588B12A6" w14:textId="4D081701" w:rsidR="00B4041A" w:rsidRDefault="00B4041A" w:rsidP="00D91B2C">
      <w:r>
        <w:t xml:space="preserve">Moringa leaf powder fortification of maize porridge </w:t>
      </w:r>
      <w:r w:rsidR="00CD1DE4">
        <w:t>is</w:t>
      </w:r>
      <w:r>
        <w:t xml:space="preserve"> strongly inhibitory to iron bioaccessibility and may potentially negatively affect </w:t>
      </w:r>
      <w:r w:rsidR="00EF243D">
        <w:t xml:space="preserve">the </w:t>
      </w:r>
      <w:r>
        <w:t>contribution of iron to the absolute requirement (AR) for adult women (19–50 years)</w:t>
      </w:r>
      <w:r w:rsidR="00EF243D">
        <w:t xml:space="preserve"> consuming this porridge</w:t>
      </w:r>
      <w:r>
        <w:t xml:space="preserve">. This is </w:t>
      </w:r>
      <w:r w:rsidR="009E7815">
        <w:t>most likely</w:t>
      </w:r>
      <w:r>
        <w:t xml:space="preserve"> due to </w:t>
      </w:r>
      <w:r w:rsidR="00EF243D">
        <w:t>moringa’</w:t>
      </w:r>
      <w:r w:rsidR="006B1FCF">
        <w:t>s</w:t>
      </w:r>
      <w:r>
        <w:t xml:space="preserve"> high calcium and phytate contents and their formation of insoluble iron-calcium-phytate complexes. Conventional iron fortification could be a better option </w:t>
      </w:r>
      <w:r w:rsidR="00EF243D">
        <w:t>than</w:t>
      </w:r>
      <w:r>
        <w:t xml:space="preserve"> moringa fortification </w:t>
      </w:r>
      <w:r w:rsidR="00EF243D">
        <w:t>to</w:t>
      </w:r>
      <w:r>
        <w:t xml:space="preserve"> improv</w:t>
      </w:r>
      <w:r w:rsidR="00EF243D">
        <w:t>e</w:t>
      </w:r>
      <w:r>
        <w:t xml:space="preserve"> iron bioaccessibility. Unlike moringa, baobab fruit fortification of maize porridge </w:t>
      </w:r>
      <w:r w:rsidR="006B1FCF">
        <w:t xml:space="preserve">can </w:t>
      </w:r>
      <w:r>
        <w:t xml:space="preserve">enhance iron bioaccessibility but </w:t>
      </w:r>
      <w:r w:rsidR="00F86C25">
        <w:t>is</w:t>
      </w:r>
      <w:r>
        <w:t xml:space="preserve"> </w:t>
      </w:r>
      <w:r w:rsidR="00EF243D">
        <w:t xml:space="preserve">far </w:t>
      </w:r>
      <w:r>
        <w:t xml:space="preserve">more effective in the presence of enough potentially available iron. This positive effect </w:t>
      </w:r>
      <w:r w:rsidR="0050720A">
        <w:t>is</w:t>
      </w:r>
      <w:r>
        <w:t xml:space="preserve"> </w:t>
      </w:r>
      <w:r w:rsidR="009E7815">
        <w:t>most likely</w:t>
      </w:r>
      <w:r>
        <w:t xml:space="preserve"> due to it</w:t>
      </w:r>
      <w:r w:rsidR="00EF243D">
        <w:t>s</w:t>
      </w:r>
      <w:r>
        <w:t xml:space="preserve"> high contents of ascorbic and citric acid, which </w:t>
      </w:r>
      <w:r w:rsidR="0067147A">
        <w:t>can</w:t>
      </w:r>
      <w:r>
        <w:t xml:space="preserve"> enhance solubility of the iron in the food matrix. </w:t>
      </w:r>
      <w:r w:rsidR="00EF243D">
        <w:t>B</w:t>
      </w:r>
      <w:r>
        <w:t xml:space="preserve">aobab fruit fortification of conventionally iron fortified maize porridge </w:t>
      </w:r>
      <w:r w:rsidR="00EF243D">
        <w:t>could</w:t>
      </w:r>
      <w:r>
        <w:t xml:space="preserve"> potentially </w:t>
      </w:r>
      <w:r w:rsidR="00772448">
        <w:t>double</w:t>
      </w:r>
      <w:r>
        <w:t xml:space="preserve"> the contribution to the iron AR. </w:t>
      </w:r>
      <w:r w:rsidR="00EF243D">
        <w:t>Furthermore</w:t>
      </w:r>
      <w:r>
        <w:t xml:space="preserve">, baobab fruit food-to-food fortification </w:t>
      </w:r>
      <w:r w:rsidR="009F38E0">
        <w:t>could be a better option than</w:t>
      </w:r>
      <w:r>
        <w:t xml:space="preserve"> ascorbic acid </w:t>
      </w:r>
      <w:r w:rsidR="009F38E0">
        <w:t xml:space="preserve">alone </w:t>
      </w:r>
      <w:r>
        <w:t>inclusion in improving iron bioaccessibility</w:t>
      </w:r>
      <w:r w:rsidR="00772448">
        <w:t>,</w:t>
      </w:r>
      <w:r>
        <w:t xml:space="preserve"> </w:t>
      </w:r>
      <w:r w:rsidR="009E7815">
        <w:t xml:space="preserve">highly likely </w:t>
      </w:r>
      <w:r>
        <w:t>because baobab contains high level</w:t>
      </w:r>
      <w:r w:rsidR="00EF243D">
        <w:t>s</w:t>
      </w:r>
      <w:r>
        <w:t xml:space="preserve"> of both citric and ascorbic acids.  However, zinc </w:t>
      </w:r>
      <w:r>
        <w:rPr>
          <w:lang w:val="en-ZA"/>
        </w:rPr>
        <w:t xml:space="preserve">bioaccessibility </w:t>
      </w:r>
      <w:r w:rsidR="0050720A">
        <w:rPr>
          <w:lang w:val="en-ZA"/>
        </w:rPr>
        <w:t>is</w:t>
      </w:r>
      <w:r>
        <w:rPr>
          <w:lang w:val="en-ZA"/>
        </w:rPr>
        <w:t xml:space="preserve"> not improved by the food fortificants. </w:t>
      </w:r>
      <w:bookmarkStart w:id="123" w:name="_Hlk44947495"/>
      <w:r>
        <w:rPr>
          <w:lang w:val="en-ZA"/>
        </w:rPr>
        <w:t>In fact, moringa</w:t>
      </w:r>
      <w:r w:rsidR="00EF243D">
        <w:rPr>
          <w:lang w:val="en-ZA"/>
        </w:rPr>
        <w:t xml:space="preserve"> and</w:t>
      </w:r>
      <w:r>
        <w:rPr>
          <w:lang w:val="en-ZA"/>
        </w:rPr>
        <w:t xml:space="preserve"> convention</w:t>
      </w:r>
      <w:r w:rsidR="00EF243D">
        <w:rPr>
          <w:lang w:val="en-ZA"/>
        </w:rPr>
        <w:t>al</w:t>
      </w:r>
      <w:r>
        <w:rPr>
          <w:lang w:val="en-ZA"/>
        </w:rPr>
        <w:t xml:space="preserve"> iron fortification </w:t>
      </w:r>
      <w:r w:rsidR="00EF243D">
        <w:rPr>
          <w:lang w:val="en-ZA"/>
        </w:rPr>
        <w:t xml:space="preserve">both </w:t>
      </w:r>
      <w:r w:rsidR="0067147A">
        <w:rPr>
          <w:lang w:val="en-ZA"/>
        </w:rPr>
        <w:t xml:space="preserve">may </w:t>
      </w:r>
      <w:r w:rsidR="009F38E0">
        <w:rPr>
          <w:lang w:val="en-ZA"/>
        </w:rPr>
        <w:t xml:space="preserve">be </w:t>
      </w:r>
      <w:r>
        <w:rPr>
          <w:lang w:val="en-ZA"/>
        </w:rPr>
        <w:t>substantially inhibit</w:t>
      </w:r>
      <w:r w:rsidR="009F38E0">
        <w:rPr>
          <w:lang w:val="en-ZA"/>
        </w:rPr>
        <w:t>ory</w:t>
      </w:r>
      <w:r>
        <w:rPr>
          <w:lang w:val="en-ZA"/>
        </w:rPr>
        <w:t xml:space="preserve"> zinc bioaccessibility. </w:t>
      </w:r>
      <w:r w:rsidR="0050720A">
        <w:rPr>
          <w:lang w:val="en-ZA"/>
        </w:rPr>
        <w:t>With moringa, t</w:t>
      </w:r>
      <w:r>
        <w:rPr>
          <w:lang w:val="en-ZA"/>
        </w:rPr>
        <w:t xml:space="preserve">his </w:t>
      </w:r>
      <w:r w:rsidR="0067147A">
        <w:rPr>
          <w:lang w:val="en-ZA"/>
        </w:rPr>
        <w:t>is</w:t>
      </w:r>
      <w:r>
        <w:rPr>
          <w:lang w:val="en-ZA"/>
        </w:rPr>
        <w:t xml:space="preserve"> likely due to formation of insoluble calcium-phytate-zinc complexes.</w:t>
      </w:r>
      <w:bookmarkEnd w:id="123"/>
      <w:r>
        <w:rPr>
          <w:lang w:val="en-ZA"/>
        </w:rPr>
        <w:t xml:space="preserve"> </w:t>
      </w:r>
      <w:r w:rsidR="00825799">
        <w:rPr>
          <w:lang w:val="en-ZA"/>
        </w:rPr>
        <w:t>Notwithstanding this, m</w:t>
      </w:r>
      <w:r w:rsidR="00B9417C">
        <w:rPr>
          <w:lang w:val="en-ZA"/>
        </w:rPr>
        <w:t>oringa fortification</w:t>
      </w:r>
      <w:r w:rsidR="00825799">
        <w:rPr>
          <w:lang w:val="en-ZA"/>
        </w:rPr>
        <w:t xml:space="preserve"> </w:t>
      </w:r>
      <w:r w:rsidR="00B9417C">
        <w:rPr>
          <w:lang w:val="en-ZA"/>
        </w:rPr>
        <w:t xml:space="preserve">is by far the most effective to improve amount of bioaccessible calcium </w:t>
      </w:r>
      <w:r w:rsidR="00825799">
        <w:rPr>
          <w:lang w:val="en-ZA"/>
        </w:rPr>
        <w:t>and magnesium because of its very high calcium and</w:t>
      </w:r>
      <w:r w:rsidR="00296C9A">
        <w:rPr>
          <w:lang w:val="en-ZA"/>
        </w:rPr>
        <w:t xml:space="preserve"> high</w:t>
      </w:r>
      <w:r w:rsidR="00825799">
        <w:rPr>
          <w:lang w:val="en-ZA"/>
        </w:rPr>
        <w:t xml:space="preserve"> magnesium contents</w:t>
      </w:r>
      <w:r w:rsidR="00296C9A">
        <w:rPr>
          <w:lang w:val="en-ZA"/>
        </w:rPr>
        <w:t>.</w:t>
      </w:r>
    </w:p>
    <w:p w14:paraId="4D82BD16" w14:textId="302C36E6" w:rsidR="00537D27" w:rsidRDefault="00B4041A" w:rsidP="00D91B2C">
      <w:r>
        <w:t xml:space="preserve">Thus, baobab fruit </w:t>
      </w:r>
      <w:r>
        <w:rPr>
          <w:lang w:val="en-ZA"/>
        </w:rPr>
        <w:t>food-to-food fortification</w:t>
      </w:r>
      <w:r w:rsidRPr="00D8148F">
        <w:t xml:space="preserve"> </w:t>
      </w:r>
      <w:r>
        <w:t xml:space="preserve">of staple cereal foods, </w:t>
      </w:r>
      <w:bookmarkStart w:id="124" w:name="_Hlk44884980"/>
      <w:r>
        <w:t>in the presence of sufficient potentially available iron</w:t>
      </w:r>
      <w:bookmarkEnd w:id="124"/>
      <w:r>
        <w:t>,</w:t>
      </w:r>
      <w:r w:rsidRPr="00D8148F">
        <w:t xml:space="preserve"> </w:t>
      </w:r>
      <w:r w:rsidR="001A1118">
        <w:t xml:space="preserve">appears to be </w:t>
      </w:r>
      <w:r w:rsidR="0067147A">
        <w:t xml:space="preserve">a </w:t>
      </w:r>
      <w:r w:rsidR="001A1118">
        <w:t>promising technology to</w:t>
      </w:r>
      <w:r>
        <w:t xml:space="preserve"> complement existing nutritional interventions to improve bioavailable iron in the diet of people </w:t>
      </w:r>
      <w:r w:rsidRPr="00D8148F">
        <w:t>in</w:t>
      </w:r>
      <w:r>
        <w:t xml:space="preserve"> rural Africa</w:t>
      </w:r>
      <w:r w:rsidR="00E05388">
        <w:t>.</w:t>
      </w:r>
    </w:p>
    <w:p w14:paraId="52EECCDC" w14:textId="77777777" w:rsidR="00537D27" w:rsidRDefault="00537D27">
      <w:pPr>
        <w:spacing w:after="160" w:line="259" w:lineRule="auto"/>
        <w:jc w:val="left"/>
      </w:pPr>
      <w:r>
        <w:br w:type="page"/>
      </w:r>
    </w:p>
    <w:p w14:paraId="7D38A51E" w14:textId="2603D5BF" w:rsidR="00A74659" w:rsidRDefault="00A74659" w:rsidP="00D91B2C">
      <w:pPr>
        <w:pStyle w:val="Heading2"/>
        <w:rPr>
          <w:lang w:val="en-ZA"/>
        </w:rPr>
      </w:pPr>
      <w:bookmarkStart w:id="125" w:name="_Toc65253604"/>
      <w:r>
        <w:rPr>
          <w:lang w:val="en-ZA"/>
        </w:rPr>
        <w:t>4.3</w:t>
      </w:r>
      <w:r w:rsidR="00D91B2C">
        <w:rPr>
          <w:lang w:val="en-ZA"/>
        </w:rPr>
        <w:tab/>
      </w:r>
      <w:bookmarkStart w:id="126" w:name="_Hlk65000074"/>
      <w:r w:rsidR="00C20DF9" w:rsidRPr="008C0D18">
        <w:rPr>
          <w:szCs w:val="24"/>
          <w:lang w:val="en-ZA"/>
        </w:rPr>
        <w:t>Potential</w:t>
      </w:r>
      <w:r w:rsidR="00C20DF9">
        <w:rPr>
          <w:szCs w:val="24"/>
          <w:lang w:val="en-ZA"/>
        </w:rPr>
        <w:t>s</w:t>
      </w:r>
      <w:r w:rsidR="00C20DF9" w:rsidRPr="008C0D18">
        <w:rPr>
          <w:szCs w:val="24"/>
          <w:lang w:val="en-ZA"/>
        </w:rPr>
        <w:t xml:space="preserve"> of Food-to-Food </w:t>
      </w:r>
      <w:r w:rsidR="00C20DF9">
        <w:rPr>
          <w:szCs w:val="24"/>
          <w:lang w:val="en-ZA"/>
        </w:rPr>
        <w:t xml:space="preserve">Fortification with </w:t>
      </w:r>
      <w:r w:rsidR="00C20DF9" w:rsidRPr="0064089B">
        <w:rPr>
          <w:szCs w:val="24"/>
          <w:lang w:val="en-ZA"/>
        </w:rPr>
        <w:t xml:space="preserve">Provitamin A-rich and Organic Acid-rich Plant Foods </w:t>
      </w:r>
      <w:r w:rsidR="00C20DF9">
        <w:rPr>
          <w:szCs w:val="24"/>
          <w:lang w:val="en-ZA"/>
        </w:rPr>
        <w:t>or</w:t>
      </w:r>
      <w:r w:rsidR="00C20DF9" w:rsidRPr="008C0D18">
        <w:rPr>
          <w:szCs w:val="24"/>
          <w:lang w:val="en-ZA"/>
        </w:rPr>
        <w:t xml:space="preserve"> with Micronutrient Premix Fortification of Wholegrain Maize and Extrusion-Cooked Pearl Millet Porridges to improve Essential Mineral Bioaccessibility</w:t>
      </w:r>
      <w:bookmarkEnd w:id="125"/>
      <w:bookmarkEnd w:id="126"/>
    </w:p>
    <w:p w14:paraId="26938436" w14:textId="77777777" w:rsidR="00EF4864" w:rsidRPr="00EF4864" w:rsidRDefault="00EF4864" w:rsidP="00EF4864">
      <w:pPr>
        <w:rPr>
          <w:lang w:val="en-ZA"/>
        </w:rPr>
      </w:pPr>
    </w:p>
    <w:p w14:paraId="01237C78" w14:textId="2F442FB6" w:rsidR="00A74659" w:rsidRDefault="00A74659" w:rsidP="00EF4864">
      <w:pPr>
        <w:pStyle w:val="Heading3"/>
        <w:rPr>
          <w:lang w:val="en-ZA"/>
        </w:rPr>
      </w:pPr>
      <w:bookmarkStart w:id="127" w:name="_Toc65253605"/>
      <w:r w:rsidRPr="009048D2">
        <w:rPr>
          <w:lang w:val="en-ZA"/>
        </w:rPr>
        <w:t>4.3.1</w:t>
      </w:r>
      <w:r w:rsidR="00846D36">
        <w:rPr>
          <w:lang w:val="en-ZA"/>
        </w:rPr>
        <w:tab/>
      </w:r>
      <w:r w:rsidRPr="009048D2">
        <w:rPr>
          <w:lang w:val="en-ZA"/>
        </w:rPr>
        <w:t>Abstract</w:t>
      </w:r>
      <w:bookmarkEnd w:id="127"/>
    </w:p>
    <w:p w14:paraId="23F24E1B" w14:textId="090A8554" w:rsidR="00A74659" w:rsidRDefault="00A74659" w:rsidP="00EF4864">
      <w:r>
        <w:rPr>
          <w:lang w:val="en-ZA"/>
        </w:rPr>
        <w:t>Iron, zinc and vitamin A deficiencies are still of widespread public health concern in Africa. The study determined whether food-to</w:t>
      </w:r>
      <w:r>
        <w:t xml:space="preserve">-food fortification of wholegrain maize porridge with carrot+mango (as provitamin A (β-carotene) source) </w:t>
      </w:r>
      <w:r w:rsidR="00772448">
        <w:t>(100:15)</w:t>
      </w:r>
      <w:r>
        <w:t xml:space="preserve"> or </w:t>
      </w:r>
      <w:r w:rsidR="00227633">
        <w:t xml:space="preserve">together </w:t>
      </w:r>
      <w:r>
        <w:t xml:space="preserve">with baobab fruit </w:t>
      </w:r>
      <w:r w:rsidR="00772448">
        <w:t xml:space="preserve">(100:15:15) </w:t>
      </w:r>
      <w:r>
        <w:t>can improve iron and zinc bioaccessibility.</w:t>
      </w:r>
      <w:r>
        <w:rPr>
          <w:lang w:val="en-ZA"/>
        </w:rPr>
        <w:t xml:space="preserve"> The</w:t>
      </w:r>
      <w:r w:rsidRPr="00127D6A">
        <w:t xml:space="preserve"> study </w:t>
      </w:r>
      <w:r>
        <w:t xml:space="preserve">also </w:t>
      </w:r>
      <w:r w:rsidRPr="00127D6A">
        <w:t xml:space="preserve">investigated whether </w:t>
      </w:r>
      <w:r>
        <w:t xml:space="preserve">food-to-food fortification with combinations of plant foods rich in </w:t>
      </w:r>
      <w:r>
        <w:rPr>
          <w:lang w:val="en-ZA"/>
        </w:rPr>
        <w:t>p</w:t>
      </w:r>
      <w:r w:rsidRPr="00461B9B">
        <w:rPr>
          <w:lang w:val="en-ZA"/>
        </w:rPr>
        <w:t>rovitamin A</w:t>
      </w:r>
      <w:r>
        <w:rPr>
          <w:lang w:val="en-ZA"/>
        </w:rPr>
        <w:t xml:space="preserve">, </w:t>
      </w:r>
      <w:r w:rsidRPr="00461B9B">
        <w:rPr>
          <w:lang w:val="en-ZA"/>
        </w:rPr>
        <w:t>organic acid</w:t>
      </w:r>
      <w:r>
        <w:rPr>
          <w:lang w:val="en-ZA"/>
        </w:rPr>
        <w:t>s and</w:t>
      </w:r>
      <w:r w:rsidRPr="00461B9B">
        <w:rPr>
          <w:lang w:val="en-ZA"/>
        </w:rPr>
        <w:t xml:space="preserve"> mineral</w:t>
      </w:r>
      <w:r>
        <w:rPr>
          <w:lang w:val="en-ZA"/>
        </w:rPr>
        <w:t>s</w:t>
      </w:r>
      <w:r w:rsidRPr="00461B9B">
        <w:t xml:space="preserve"> </w:t>
      </w:r>
      <w:r w:rsidR="00772448">
        <w:t>(2.5 g–14.9 g/100 g porridge) or</w:t>
      </w:r>
      <w:r>
        <w:t xml:space="preserve"> together with a micronutrient premix</w:t>
      </w:r>
      <w:r w:rsidR="00772448">
        <w:t xml:space="preserve"> (iron (2.1 mg) zinc (1.65 mg), vitamin A (840 IU)/100 g porridge)</w:t>
      </w:r>
      <w:r>
        <w:t xml:space="preserve"> </w:t>
      </w:r>
      <w:r w:rsidRPr="00127D6A">
        <w:t>can improve</w:t>
      </w:r>
      <w:r>
        <w:t xml:space="preserve"> mineral bioaccessibility </w:t>
      </w:r>
      <w:r w:rsidRPr="00127D6A">
        <w:t>in</w:t>
      </w:r>
      <w:r>
        <w:t xml:space="preserve"> extrusion-cooked</w:t>
      </w:r>
      <w:r w:rsidRPr="00127D6A">
        <w:t xml:space="preserve"> </w:t>
      </w:r>
      <w:r>
        <w:t>wholegrain pearl millet-based porridges.</w:t>
      </w:r>
      <w:r>
        <w:rPr>
          <w:lang w:val="en-ZA"/>
        </w:rPr>
        <w:t xml:space="preserve"> With the maize-based porridges, carrot+mango fortification alone did not improve iron and zinc bioaccessibility, </w:t>
      </w:r>
      <w:r>
        <w:t>presumably due to them containing significant levels of polyphenols.</w:t>
      </w:r>
      <w:r>
        <w:rPr>
          <w:lang w:val="en-ZA"/>
        </w:rPr>
        <w:t xml:space="preserve"> Carrot+mango together with baobab increased iron and zinc bioaccessibility</w:t>
      </w:r>
      <w:r w:rsidR="00A83A53">
        <w:rPr>
          <w:lang w:val="en-ZA"/>
        </w:rPr>
        <w:t xml:space="preserve"> by</w:t>
      </w:r>
      <w:r>
        <w:rPr>
          <w:lang w:val="en-ZA"/>
        </w:rPr>
        <w:t xml:space="preserve"> up to 31% and 25%, respectively. The high organic acid contents of baobab and mango was probably primarily responsible. Fortification </w:t>
      </w:r>
      <w:r w:rsidR="00A83A53">
        <w:rPr>
          <w:lang w:val="en-ZA"/>
        </w:rPr>
        <w:t xml:space="preserve">of </w:t>
      </w:r>
      <w:r w:rsidR="00A83A53" w:rsidRPr="00A83A53">
        <w:t>extrusion-cooked pearl millet-based porridges</w:t>
      </w:r>
      <w:r w:rsidR="00A83A53" w:rsidRPr="00A83A53">
        <w:rPr>
          <w:lang w:val="en-ZA"/>
        </w:rPr>
        <w:t xml:space="preserve"> </w:t>
      </w:r>
      <w:r>
        <w:rPr>
          <w:lang w:val="en-ZA"/>
        </w:rPr>
        <w:t xml:space="preserve">with </w:t>
      </w:r>
      <w:r>
        <w:t xml:space="preserve">carrot, papaya, baobab with micronutrient premix or with </w:t>
      </w:r>
      <w:r>
        <w:rPr>
          <w:lang w:val="en-ZA"/>
        </w:rPr>
        <w:t>carrot, mango, baobab and moringa</w:t>
      </w:r>
      <w:r>
        <w:t xml:space="preserve"> leaves </w:t>
      </w:r>
      <w:r w:rsidR="00A83A53">
        <w:t>appeared</w:t>
      </w:r>
      <w:r>
        <w:t xml:space="preserve"> to greatly enhance iron bioaccessibility</w:t>
      </w:r>
      <w:r>
        <w:rPr>
          <w:lang w:val="en-ZA"/>
        </w:rPr>
        <w:t>,</w:t>
      </w:r>
      <w:r w:rsidR="00227633">
        <w:rPr>
          <w:lang w:val="en-ZA"/>
        </w:rPr>
        <w:t xml:space="preserve"> in terms of percentage and amount by</w:t>
      </w:r>
      <w:r>
        <w:t xml:space="preserve"> up to </w:t>
      </w:r>
      <w:r>
        <w:rPr>
          <w:lang w:val="en-ZA"/>
        </w:rPr>
        <w:t xml:space="preserve">22-fold </w:t>
      </w:r>
      <w:r>
        <w:t>and zinc</w:t>
      </w:r>
      <w:r w:rsidR="00227633">
        <w:t>,</w:t>
      </w:r>
      <w:r>
        <w:rPr>
          <w:lang w:val="en-ZA"/>
        </w:rPr>
        <w:t xml:space="preserve"> up to 4-fold</w:t>
      </w:r>
      <w:r>
        <w:t xml:space="preserve">. However, the extruded products were </w:t>
      </w:r>
      <w:r w:rsidR="00A83A53">
        <w:t>exceptionally</w:t>
      </w:r>
      <w:r>
        <w:t xml:space="preserve"> high in iron due to contamination during extrusion.  The enhancement in bioaccessibility was presumably primarily because the organic acids and </w:t>
      </w:r>
      <w:r>
        <w:rPr>
          <w:lang w:val="en-ZA"/>
        </w:rPr>
        <w:t>β-carotene</w:t>
      </w:r>
      <w:r>
        <w:t xml:space="preserve"> in the food fortificants and vitamin A in the micronutrient premix improved the solubility of the contaminating iron plus the intrinsic iron and zinc in the foods. </w:t>
      </w:r>
      <w:r w:rsidR="00144016" w:rsidRPr="00EF532B">
        <w:rPr>
          <w:shd w:val="clear" w:color="auto" w:fill="FFFFFF"/>
        </w:rPr>
        <w:t xml:space="preserve">Thus, food-to-food fortification of cereal porridges with carrot plus mango as a β-carotene source </w:t>
      </w:r>
      <w:r w:rsidR="00911DD0">
        <w:rPr>
          <w:shd w:val="clear" w:color="auto" w:fill="FFFFFF"/>
        </w:rPr>
        <w:t>w</w:t>
      </w:r>
      <w:r w:rsidR="00144016">
        <w:rPr>
          <w:shd w:val="clear" w:color="auto" w:fill="FFFFFF"/>
        </w:rPr>
        <w:t>ould</w:t>
      </w:r>
      <w:r w:rsidR="00144016" w:rsidRPr="00EF532B">
        <w:rPr>
          <w:shd w:val="clear" w:color="auto" w:fill="FFFFFF"/>
        </w:rPr>
        <w:t xml:space="preserve"> not only substantial</w:t>
      </w:r>
      <w:r w:rsidR="00144016">
        <w:rPr>
          <w:shd w:val="clear" w:color="auto" w:fill="FFFFFF"/>
        </w:rPr>
        <w:t>ly</w:t>
      </w:r>
      <w:r w:rsidR="00144016" w:rsidRPr="00EF532B">
        <w:rPr>
          <w:shd w:val="clear" w:color="auto" w:fill="FFFFFF"/>
        </w:rPr>
        <w:t xml:space="preserve"> contribut</w:t>
      </w:r>
      <w:r w:rsidR="00144016">
        <w:rPr>
          <w:shd w:val="clear" w:color="auto" w:fill="FFFFFF"/>
        </w:rPr>
        <w:t>e</w:t>
      </w:r>
      <w:r w:rsidR="00144016" w:rsidRPr="00EF532B">
        <w:rPr>
          <w:shd w:val="clear" w:color="auto" w:fill="FFFFFF"/>
        </w:rPr>
        <w:t xml:space="preserve"> to </w:t>
      </w:r>
      <w:r w:rsidR="00144016">
        <w:rPr>
          <w:shd w:val="clear" w:color="auto" w:fill="FFFFFF"/>
        </w:rPr>
        <w:t>the vitamin A requirements of at-risk groups in Africa but</w:t>
      </w:r>
      <w:r w:rsidR="00144016" w:rsidRPr="00EF532B">
        <w:rPr>
          <w:shd w:val="clear" w:color="auto" w:fill="FFFFFF"/>
        </w:rPr>
        <w:t xml:space="preserve"> may also slightly improve iron and zinc bioavailability from </w:t>
      </w:r>
      <w:r w:rsidR="00144016">
        <w:rPr>
          <w:shd w:val="clear" w:color="auto" w:fill="FFFFFF"/>
        </w:rPr>
        <w:t xml:space="preserve">cereal-based </w:t>
      </w:r>
      <w:r w:rsidR="00144016" w:rsidRPr="00EF532B">
        <w:rPr>
          <w:shd w:val="clear" w:color="auto" w:fill="FFFFFF"/>
        </w:rPr>
        <w:t>porridge</w:t>
      </w:r>
      <w:r w:rsidR="00144016">
        <w:rPr>
          <w:shd w:val="clear" w:color="auto" w:fill="FFFFFF"/>
        </w:rPr>
        <w:t>s</w:t>
      </w:r>
      <w:r w:rsidR="00144016" w:rsidRPr="00EF532B">
        <w:rPr>
          <w:shd w:val="clear" w:color="auto" w:fill="FFFFFF"/>
        </w:rPr>
        <w:t>.</w:t>
      </w:r>
      <w:r w:rsidR="00144016">
        <w:t xml:space="preserve"> Also, a hybrid fortification strategy including food-to-food fortification with various plant foods rich in especially organic acids, </w:t>
      </w:r>
      <w:r w:rsidR="00144016" w:rsidRPr="00EF532B">
        <w:rPr>
          <w:shd w:val="clear" w:color="auto" w:fill="FFFFFF"/>
        </w:rPr>
        <w:t>β-carotene</w:t>
      </w:r>
      <w:r w:rsidR="00144016">
        <w:t xml:space="preserve"> and minerals together with addition of micronutrients in the form of a premix may be a viable food-based strategy to improve iron and zinc bioavailability in cereal porridges, including ready-to-eat cereal-based porridges.</w:t>
      </w:r>
    </w:p>
    <w:p w14:paraId="00FDEA61" w14:textId="72611009" w:rsidR="00A74659" w:rsidRDefault="00A74659" w:rsidP="00EF4864">
      <w:pPr>
        <w:pStyle w:val="Heading3"/>
        <w:rPr>
          <w:lang w:val="en-ZA"/>
        </w:rPr>
      </w:pPr>
      <w:bookmarkStart w:id="128" w:name="_Toc65253606"/>
      <w:r w:rsidRPr="00F47E68">
        <w:rPr>
          <w:lang w:val="en-ZA"/>
        </w:rPr>
        <w:t>4.3.2</w:t>
      </w:r>
      <w:r w:rsidR="005A6734">
        <w:rPr>
          <w:lang w:val="en-ZA"/>
        </w:rPr>
        <w:tab/>
      </w:r>
      <w:r w:rsidRPr="00F47E68">
        <w:rPr>
          <w:lang w:val="en-ZA"/>
        </w:rPr>
        <w:t>I</w:t>
      </w:r>
      <w:r w:rsidR="00EF4864" w:rsidRPr="00F47E68">
        <w:rPr>
          <w:lang w:val="en-ZA"/>
        </w:rPr>
        <w:t>ntroduction</w:t>
      </w:r>
      <w:bookmarkEnd w:id="128"/>
    </w:p>
    <w:p w14:paraId="2815448F" w14:textId="0E51BDCB" w:rsidR="00A74659" w:rsidRDefault="00A74659" w:rsidP="00D679D3">
      <w:pPr>
        <w:rPr>
          <w:lang w:val="en-ZA"/>
        </w:rPr>
      </w:pPr>
      <w:r>
        <w:rPr>
          <w:lang w:val="en-ZA"/>
        </w:rPr>
        <w:t>Essential micronutrient deficiencies</w:t>
      </w:r>
      <w:r w:rsidR="00732B38" w:rsidRPr="00732B38">
        <w:rPr>
          <w:lang w:val="en-ZA"/>
        </w:rPr>
        <w:t xml:space="preserve"> particularly among women and children</w:t>
      </w:r>
      <w:r>
        <w:rPr>
          <w:lang w:val="en-ZA"/>
        </w:rPr>
        <w:t xml:space="preserve">, especially </w:t>
      </w:r>
      <w:r w:rsidR="00C1215F">
        <w:rPr>
          <w:lang w:val="en-ZA"/>
        </w:rPr>
        <w:t>o</w:t>
      </w:r>
      <w:r w:rsidR="00732B38">
        <w:rPr>
          <w:lang w:val="en-ZA"/>
        </w:rPr>
        <w:t xml:space="preserve">f </w:t>
      </w:r>
      <w:r>
        <w:rPr>
          <w:lang w:val="en-ZA"/>
        </w:rPr>
        <w:t>iron, zinc and vitamin A are still of widespread public health concern in Africa (</w:t>
      </w:r>
      <w:r>
        <w:t>Harika et al., 2017</w:t>
      </w:r>
      <w:r w:rsidR="00C1215F">
        <w:t>a; Harika et al., 2017b</w:t>
      </w:r>
      <w:r>
        <w:rPr>
          <w:lang w:val="en-ZA"/>
        </w:rPr>
        <w:t>). Th</w:t>
      </w:r>
      <w:r w:rsidR="00732B38">
        <w:rPr>
          <w:lang w:val="en-ZA"/>
        </w:rPr>
        <w:t>ese deficiencies</w:t>
      </w:r>
      <w:r>
        <w:rPr>
          <w:lang w:val="en-ZA"/>
        </w:rPr>
        <w:t xml:space="preserve"> </w:t>
      </w:r>
      <w:r w:rsidR="00732B38">
        <w:rPr>
          <w:lang w:val="en-ZA"/>
        </w:rPr>
        <w:t>are</w:t>
      </w:r>
      <w:r>
        <w:rPr>
          <w:lang w:val="en-ZA"/>
        </w:rPr>
        <w:t xml:space="preserve"> often </w:t>
      </w:r>
      <w:r w:rsidR="00732B38">
        <w:rPr>
          <w:lang w:val="en-ZA"/>
        </w:rPr>
        <w:t>a consequence of</w:t>
      </w:r>
      <w:r>
        <w:rPr>
          <w:lang w:val="en-ZA"/>
        </w:rPr>
        <w:t xml:space="preserve"> monotonous consumption of plant-based staple foods high in mineral bioavailability inhibitors but low in enhancers of mineral bioavailability enhancers (Platel </w:t>
      </w:r>
      <w:r w:rsidR="003218FD">
        <w:rPr>
          <w:lang w:val="en-ZA"/>
        </w:rPr>
        <w:t>&amp;</w:t>
      </w:r>
      <w:r>
        <w:rPr>
          <w:lang w:val="en-ZA"/>
        </w:rPr>
        <w:t xml:space="preserve"> Srinivasan, 2016). Increasing consumption of fruits and vegetables rich in minerals and their absorption enhancers is regarded as an important approach to complement existing nutritional interventions aimed at alleviating essential micronutrient deficiencies in at-risk communities (WHO, 2017).</w:t>
      </w:r>
    </w:p>
    <w:p w14:paraId="52F3FA11" w14:textId="77777777" w:rsidR="00A74659" w:rsidRDefault="00A74659" w:rsidP="006A6E94">
      <w:pPr>
        <w:spacing w:after="0"/>
        <w:rPr>
          <w:lang w:val="en-ZA"/>
        </w:rPr>
      </w:pPr>
    </w:p>
    <w:p w14:paraId="74CD3487" w14:textId="7AF16489" w:rsidR="00A74659" w:rsidRDefault="00A74659" w:rsidP="00D679D3">
      <w:pPr>
        <w:rPr>
          <w:lang w:val="en-ZA"/>
        </w:rPr>
      </w:pPr>
      <w:r>
        <w:rPr>
          <w:lang w:val="en-ZA"/>
        </w:rPr>
        <w:t>Organic acids such as ascorbic acid and citric acid are well-known to enhance essential mineral bioavailability in plant-based foods by maintaining the minerals in a soluble and absorbable form (</w:t>
      </w:r>
      <w:r w:rsidR="00D71474" w:rsidRPr="000D7DDF">
        <w:rPr>
          <w:noProof/>
        </w:rPr>
        <w:t>Lönnerdal</w:t>
      </w:r>
      <w:r w:rsidR="00D71474">
        <w:rPr>
          <w:noProof/>
        </w:rPr>
        <w:t>,</w:t>
      </w:r>
      <w:r w:rsidR="00D71474" w:rsidRPr="000D7DDF">
        <w:rPr>
          <w:noProof/>
        </w:rPr>
        <w:t xml:space="preserve"> 2000</w:t>
      </w:r>
      <w:r w:rsidR="00D71474">
        <w:rPr>
          <w:noProof/>
        </w:rPr>
        <w:t>)</w:t>
      </w:r>
      <w:r>
        <w:rPr>
          <w:lang w:val="en-ZA"/>
        </w:rPr>
        <w:t xml:space="preserve">. In </w:t>
      </w:r>
      <w:r w:rsidR="006A6E94">
        <w:rPr>
          <w:lang w:val="en-ZA"/>
        </w:rPr>
        <w:t>C</w:t>
      </w:r>
      <w:r>
        <w:rPr>
          <w:lang w:val="en-ZA"/>
        </w:rPr>
        <w:t>hapters</w:t>
      </w:r>
      <w:r w:rsidR="00732B38">
        <w:rPr>
          <w:lang w:val="en-ZA"/>
        </w:rPr>
        <w:t xml:space="preserve"> 4.1 and 4.2</w:t>
      </w:r>
      <w:r>
        <w:rPr>
          <w:lang w:val="en-ZA"/>
        </w:rPr>
        <w:t xml:space="preserve">, food-to-food fortification of </w:t>
      </w:r>
      <w:r w:rsidR="00732B38" w:rsidRPr="00732B38">
        <w:rPr>
          <w:lang w:val="en-ZA"/>
        </w:rPr>
        <w:t>pearl millet and maize porridges</w:t>
      </w:r>
      <w:r w:rsidR="00732B38">
        <w:rPr>
          <w:lang w:val="en-ZA"/>
        </w:rPr>
        <w:t>,</w:t>
      </w:r>
      <w:r w:rsidR="00732B38" w:rsidRPr="00732B38">
        <w:rPr>
          <w:lang w:val="en-ZA"/>
        </w:rPr>
        <w:t xml:space="preserve"> </w:t>
      </w:r>
      <w:r>
        <w:rPr>
          <w:lang w:val="en-ZA"/>
        </w:rPr>
        <w:t>African staple cereal</w:t>
      </w:r>
      <w:r w:rsidR="00732B38">
        <w:rPr>
          <w:lang w:val="en-ZA"/>
        </w:rPr>
        <w:t xml:space="preserve"> f</w:t>
      </w:r>
      <w:r>
        <w:rPr>
          <w:lang w:val="en-ZA"/>
        </w:rPr>
        <w:t>oods</w:t>
      </w:r>
      <w:r w:rsidR="00732B38">
        <w:rPr>
          <w:lang w:val="en-ZA"/>
        </w:rPr>
        <w:t>,</w:t>
      </w:r>
      <w:r>
        <w:rPr>
          <w:lang w:val="en-ZA"/>
        </w:rPr>
        <w:t xml:space="preserve"> with baobab fruit (as </w:t>
      </w:r>
      <w:r w:rsidR="00732B38">
        <w:rPr>
          <w:lang w:val="en-ZA"/>
        </w:rPr>
        <w:t xml:space="preserve">an </w:t>
      </w:r>
      <w:r>
        <w:rPr>
          <w:lang w:val="en-ZA"/>
        </w:rPr>
        <w:t xml:space="preserve">organic acid source), which is widely available in tropical Africa, was shown to enhance iron bioaccessibility. This effect of baobab was much </w:t>
      </w:r>
      <w:r w:rsidR="006A6E94">
        <w:rPr>
          <w:lang w:val="en-ZA"/>
        </w:rPr>
        <w:t>more pronounced</w:t>
      </w:r>
      <w:r>
        <w:rPr>
          <w:lang w:val="en-ZA"/>
        </w:rPr>
        <w:t xml:space="preserve"> with maize porridges containing plant food provitamin A sources</w:t>
      </w:r>
      <w:r w:rsidR="006A6E94">
        <w:rPr>
          <w:lang w:val="en-ZA"/>
        </w:rPr>
        <w:t>,</w:t>
      </w:r>
      <w:r>
        <w:rPr>
          <w:lang w:val="en-ZA"/>
        </w:rPr>
        <w:t xml:space="preserve"> which could, in part, contribute to this effect. However, the effect of the provitamin A sources could not be ascertained due to the experimental design</w:t>
      </w:r>
      <w:r w:rsidR="005C5A23">
        <w:rPr>
          <w:lang w:val="en-ZA"/>
        </w:rPr>
        <w:t>s</w:t>
      </w:r>
      <w:r>
        <w:rPr>
          <w:lang w:val="en-ZA"/>
        </w:rPr>
        <w:t xml:space="preserve"> used. In contrast, this food-to-food fortification did not generally enhance zinc bioaccessibility, although zinc bioaccessibility was somewhat improved in maize-based porridge </w:t>
      </w:r>
      <w:r w:rsidR="005C5A23">
        <w:rPr>
          <w:lang w:val="en-ZA"/>
        </w:rPr>
        <w:t xml:space="preserve">formulations </w:t>
      </w:r>
      <w:r>
        <w:rPr>
          <w:lang w:val="en-ZA"/>
        </w:rPr>
        <w:t xml:space="preserve">containing these provitamin A sources. There is evidence that </w:t>
      </w:r>
      <w:r w:rsidR="006A6E94">
        <w:rPr>
          <w:lang w:val="en-ZA"/>
        </w:rPr>
        <w:t xml:space="preserve">plant food </w:t>
      </w:r>
      <w:r>
        <w:rPr>
          <w:lang w:val="en-ZA"/>
        </w:rPr>
        <w:t>provitamin A sources can enhance zinc bioaccessibility. Provitamin A (β</w:t>
      </w:r>
      <w:r w:rsidRPr="00E257BC">
        <w:t>-carotene</w:t>
      </w:r>
      <w:r>
        <w:t>)</w:t>
      </w:r>
      <w:r w:rsidRPr="00E257BC">
        <w:t xml:space="preserve"> in foods can form a soluble complex with non-haem iron, thereby preventing the iron from </w:t>
      </w:r>
      <w:r w:rsidR="005C5A23">
        <w:t>being chelated by</w:t>
      </w:r>
      <w:r w:rsidRPr="00E257BC">
        <w:t xml:space="preserve"> phytate and polyphenols</w:t>
      </w:r>
      <w:r>
        <w:t xml:space="preserve"> (</w:t>
      </w:r>
      <w:r w:rsidR="000F79C5" w:rsidRPr="000D7DDF">
        <w:rPr>
          <w:rFonts w:cs="Times New Roman"/>
          <w:szCs w:val="24"/>
          <w:shd w:val="clear" w:color="auto" w:fill="FFFFFF"/>
        </w:rPr>
        <w:t>Garcı́a</w:t>
      </w:r>
      <w:r>
        <w:rPr>
          <w:lang w:val="en-ZA"/>
        </w:rPr>
        <w:t>-Casal et al., 1998)</w:t>
      </w:r>
      <w:r w:rsidRPr="00E257BC">
        <w:t>.</w:t>
      </w:r>
      <w:r>
        <w:t xml:space="preserve"> Beta-carotene may possibly have similar effect on zinc</w:t>
      </w:r>
      <w:r>
        <w:rPr>
          <w:lang w:val="en-ZA"/>
        </w:rPr>
        <w:t>. Research by Kruger (2020) showed that foodstuffs rich in β-carotene, such as orange-fleshed sweet potatoes and cowpea leaves (a</w:t>
      </w:r>
      <w:r w:rsidR="005C5A23">
        <w:rPr>
          <w:lang w:val="en-ZA"/>
        </w:rPr>
        <w:t>lso a</w:t>
      </w:r>
      <w:r>
        <w:rPr>
          <w:lang w:val="en-ZA"/>
        </w:rPr>
        <w:t xml:space="preserve"> good source of minerals) improved iron and zinc uptake by Caco-2 cells from maize-based porridges. </w:t>
      </w:r>
    </w:p>
    <w:p w14:paraId="7F65192C" w14:textId="77777777" w:rsidR="00A74659" w:rsidRDefault="00A74659" w:rsidP="006A6E94">
      <w:pPr>
        <w:spacing w:after="0"/>
        <w:rPr>
          <w:lang w:val="en-ZA"/>
        </w:rPr>
      </w:pPr>
    </w:p>
    <w:p w14:paraId="6483B02F" w14:textId="23A63A54" w:rsidR="00A74659" w:rsidRDefault="00A74659" w:rsidP="00D679D3">
      <w:r>
        <w:rPr>
          <w:lang w:val="en-ZA"/>
        </w:rPr>
        <w:t>Carrot, mango and papaya are widely available and consumed plant foods in Africa (Sharma et al., 2012; Kurozawa et al., 2014; Ntsoan</w:t>
      </w:r>
      <w:r w:rsidR="00D40B27">
        <w:rPr>
          <w:lang w:val="en-ZA"/>
        </w:rPr>
        <w:t>e</w:t>
      </w:r>
      <w:r>
        <w:rPr>
          <w:lang w:val="en-ZA"/>
        </w:rPr>
        <w:t xml:space="preserve"> et al., 2019)</w:t>
      </w:r>
      <w:r w:rsidR="00D40B27">
        <w:rPr>
          <w:lang w:val="en-ZA"/>
        </w:rPr>
        <w:t xml:space="preserve"> </w:t>
      </w:r>
      <w:r w:rsidR="005C5A23">
        <w:rPr>
          <w:lang w:val="en-ZA"/>
        </w:rPr>
        <w:t>and</w:t>
      </w:r>
      <w:r>
        <w:rPr>
          <w:lang w:val="en-ZA"/>
        </w:rPr>
        <w:t xml:space="preserve"> are important sources of provitamin A in diet</w:t>
      </w:r>
      <w:r w:rsidR="005C5A23">
        <w:rPr>
          <w:lang w:val="en-ZA"/>
        </w:rPr>
        <w:t>s</w:t>
      </w:r>
      <w:r>
        <w:rPr>
          <w:lang w:val="en-ZA"/>
        </w:rPr>
        <w:t xml:space="preserve">. For example, dehydrated carrot, mango and papaya contain approximately 33954 </w:t>
      </w:r>
      <w:r w:rsidRPr="00692F22">
        <w:rPr>
          <w:rFonts w:eastAsia="Times New Roman"/>
        </w:rPr>
        <w:t>µg/100 g</w:t>
      </w:r>
      <w:r>
        <w:rPr>
          <w:rFonts w:eastAsia="Times New Roman"/>
        </w:rPr>
        <w:t>,</w:t>
      </w:r>
      <w:r w:rsidRPr="00692F22">
        <w:rPr>
          <w:rFonts w:eastAsia="Times New Roman"/>
        </w:rPr>
        <w:t xml:space="preserve"> 786 µg/100 g</w:t>
      </w:r>
      <w:r>
        <w:rPr>
          <w:rFonts w:eastAsia="Times New Roman"/>
        </w:rPr>
        <w:t xml:space="preserve"> and 453 </w:t>
      </w:r>
      <w:r w:rsidRPr="00692F22">
        <w:rPr>
          <w:rFonts w:eastAsia="Times New Roman"/>
        </w:rPr>
        <w:t>µg</w:t>
      </w:r>
      <w:r>
        <w:rPr>
          <w:rFonts w:eastAsia="Times New Roman"/>
        </w:rPr>
        <w:t xml:space="preserve"> </w:t>
      </w:r>
      <w:r w:rsidRPr="00AF56AA">
        <w:rPr>
          <w:rFonts w:eastAsia="Times New Roman"/>
        </w:rPr>
        <w:t>β-carotene</w:t>
      </w:r>
      <w:r w:rsidRPr="00692F22">
        <w:rPr>
          <w:rFonts w:eastAsia="Times New Roman"/>
        </w:rPr>
        <w:t>/100 g</w:t>
      </w:r>
      <w:r w:rsidRPr="00692F22">
        <w:t>, respectively</w:t>
      </w:r>
      <w:r>
        <w:t xml:space="preserve"> (</w:t>
      </w:r>
      <w:r w:rsidRPr="000705F7">
        <w:t>USDA, 2019</w:t>
      </w:r>
      <w:r>
        <w:t xml:space="preserve">). Thus, </w:t>
      </w:r>
      <w:r w:rsidR="005C5A23">
        <w:t>an</w:t>
      </w:r>
      <w:r>
        <w:t xml:space="preserve"> aim of this study was to establish whether carrot </w:t>
      </w:r>
      <w:r w:rsidR="006A6E94">
        <w:t>plus</w:t>
      </w:r>
      <w:r>
        <w:t xml:space="preserve"> mango food-to-food fortification of wholegrain maize porridge can also improve iron, zinc and other mineral bioaccessibilities in addition to providing provitamin A. </w:t>
      </w:r>
      <w:r w:rsidDel="009303AE">
        <w:t xml:space="preserve"> </w:t>
      </w:r>
    </w:p>
    <w:p w14:paraId="0CAA4923" w14:textId="77777777" w:rsidR="006A6E94" w:rsidRDefault="006A6E94" w:rsidP="006A6E94">
      <w:pPr>
        <w:spacing w:after="0"/>
      </w:pPr>
    </w:p>
    <w:p w14:paraId="10F4348E" w14:textId="559365A6" w:rsidR="00A74659" w:rsidRDefault="00A74659" w:rsidP="00D679D3">
      <w:r>
        <w:t>Due to</w:t>
      </w:r>
      <w:r w:rsidRPr="00127D6A">
        <w:t xml:space="preserve"> </w:t>
      </w:r>
      <w:r>
        <w:t xml:space="preserve">rapid </w:t>
      </w:r>
      <w:r w:rsidRPr="00127D6A">
        <w:t xml:space="preserve">urbanisation in Africa, nutrition transition is taking place and </w:t>
      </w:r>
      <w:r>
        <w:t xml:space="preserve">as a result, demands for </w:t>
      </w:r>
      <w:r w:rsidRPr="00127D6A">
        <w:t xml:space="preserve">convenience-type staple foods </w:t>
      </w:r>
      <w:r>
        <w:t>are increasing (Haggblade et al., 2016)</w:t>
      </w:r>
      <w:r w:rsidRPr="00127D6A">
        <w:t xml:space="preserve">.  Hence, the second </w:t>
      </w:r>
      <w:r w:rsidR="00A16D1B">
        <w:t>component</w:t>
      </w:r>
      <w:r w:rsidRPr="00127D6A">
        <w:t xml:space="preserve"> of this study investigated whether </w:t>
      </w:r>
      <w:r>
        <w:t xml:space="preserve">food-to-food fortification with various combinations of </w:t>
      </w:r>
      <w:r>
        <w:rPr>
          <w:lang w:val="en-ZA"/>
        </w:rPr>
        <w:t>p</w:t>
      </w:r>
      <w:r w:rsidRPr="00461B9B">
        <w:rPr>
          <w:lang w:val="en-ZA"/>
        </w:rPr>
        <w:t>rovitamin A-rich and organic acid-rich plant foods together with mineral-rich plant foodstuffs</w:t>
      </w:r>
      <w:r w:rsidRPr="00461B9B">
        <w:t xml:space="preserve"> </w:t>
      </w:r>
      <w:r w:rsidR="001A279C">
        <w:t xml:space="preserve">or together with a micronutrient premix </w:t>
      </w:r>
      <w:r w:rsidRPr="00127D6A">
        <w:t xml:space="preserve">can improve </w:t>
      </w:r>
      <w:r>
        <w:t xml:space="preserve">iron, zinc and other mineral bioaccessibilities </w:t>
      </w:r>
      <w:r w:rsidRPr="00127D6A">
        <w:t xml:space="preserve">in ready-to-eat </w:t>
      </w:r>
      <w:r>
        <w:t>cereal porridges</w:t>
      </w:r>
      <w:r w:rsidRPr="00127D6A">
        <w:t xml:space="preserve"> made </w:t>
      </w:r>
      <w:r w:rsidR="00A16D1B">
        <w:t>by</w:t>
      </w:r>
      <w:r w:rsidRPr="00127D6A">
        <w:t xml:space="preserve"> </w:t>
      </w:r>
      <w:r w:rsidR="00A16D1B">
        <w:t>precooking</w:t>
      </w:r>
      <w:r w:rsidRPr="00127D6A">
        <w:t xml:space="preserve"> pearl millet flour</w:t>
      </w:r>
      <w:r w:rsidR="001A279C">
        <w:t xml:space="preserve"> </w:t>
      </w:r>
      <w:r w:rsidR="00A16D1B">
        <w:t>together with the fortificants using</w:t>
      </w:r>
      <w:r w:rsidRPr="00264775">
        <w:t xml:space="preserve"> extrusion cooking.</w:t>
      </w:r>
    </w:p>
    <w:p w14:paraId="575F3E36" w14:textId="7BE27DD2" w:rsidR="00A74659" w:rsidRDefault="00A74659" w:rsidP="00A74659">
      <w:pPr>
        <w:spacing w:after="0"/>
        <w:rPr>
          <w:rFonts w:cs="Times New Roman"/>
          <w:szCs w:val="24"/>
        </w:rPr>
      </w:pPr>
    </w:p>
    <w:p w14:paraId="6395A829" w14:textId="35510122" w:rsidR="00A74659" w:rsidRPr="00AD7863" w:rsidRDefault="00A74659" w:rsidP="00872B2C">
      <w:pPr>
        <w:pStyle w:val="Heading3"/>
        <w:rPr>
          <w:lang w:val="en-ZA"/>
        </w:rPr>
      </w:pPr>
      <w:bookmarkStart w:id="129" w:name="_Toc65253607"/>
      <w:r w:rsidRPr="00AD7863">
        <w:rPr>
          <w:lang w:val="en-ZA"/>
        </w:rPr>
        <w:t xml:space="preserve">4.3.3 </w:t>
      </w:r>
      <w:r>
        <w:rPr>
          <w:lang w:val="en-ZA"/>
        </w:rPr>
        <w:tab/>
      </w:r>
      <w:r w:rsidRPr="00AD7863">
        <w:rPr>
          <w:lang w:val="en-ZA"/>
        </w:rPr>
        <w:t>M</w:t>
      </w:r>
      <w:r w:rsidR="00872B2C" w:rsidRPr="00AD7863">
        <w:rPr>
          <w:lang w:val="en-ZA"/>
        </w:rPr>
        <w:t>aterials and method</w:t>
      </w:r>
      <w:r w:rsidR="00872B2C">
        <w:rPr>
          <w:lang w:val="en-ZA"/>
        </w:rPr>
        <w:t>s</w:t>
      </w:r>
      <w:bookmarkEnd w:id="129"/>
    </w:p>
    <w:p w14:paraId="7F611737" w14:textId="7B6E227F" w:rsidR="00A74659" w:rsidRPr="00D64427" w:rsidRDefault="00A74659" w:rsidP="00D64427">
      <w:pPr>
        <w:pStyle w:val="Heading4"/>
      </w:pPr>
      <w:bookmarkStart w:id="130" w:name="_Toc65253608"/>
      <w:r w:rsidRPr="00D64427">
        <w:t>4.3.3.1</w:t>
      </w:r>
      <w:r w:rsidR="00872B2C" w:rsidRPr="00D64427">
        <w:tab/>
      </w:r>
      <w:r w:rsidRPr="00D64427">
        <w:t>Plant food materials</w:t>
      </w:r>
      <w:bookmarkEnd w:id="130"/>
    </w:p>
    <w:p w14:paraId="4AC48F84" w14:textId="77777777" w:rsidR="00A74659" w:rsidRDefault="00A74659" w:rsidP="00A83D23">
      <w:pPr>
        <w:rPr>
          <w:lang w:val="en-ZA"/>
        </w:rPr>
      </w:pPr>
      <w:r>
        <w:rPr>
          <w:lang w:val="en-ZA"/>
        </w:rPr>
        <w:t xml:space="preserve">Non-GM white maize (cultivar </w:t>
      </w:r>
      <w:r w:rsidRPr="00B712BB">
        <w:rPr>
          <w:lang w:val="en-ZA"/>
        </w:rPr>
        <w:t>P 2369</w:t>
      </w:r>
      <w:r>
        <w:rPr>
          <w:lang w:val="en-ZA"/>
        </w:rPr>
        <w:t xml:space="preserve"> W) was kindly donated by Tongaat Hulett Starch, Germiston, South Africa. The grain was milled into a coarse wholegrain flour using a hammer mill fitted with 1 mm opening screen;</w:t>
      </w:r>
    </w:p>
    <w:p w14:paraId="71C2A294" w14:textId="77777777" w:rsidR="00A74659" w:rsidRDefault="00A74659" w:rsidP="00A83D23">
      <w:pPr>
        <w:rPr>
          <w:lang w:val="en-ZA"/>
        </w:rPr>
      </w:pPr>
      <w:r>
        <w:rPr>
          <w:lang w:val="en-ZA"/>
        </w:rPr>
        <w:t xml:space="preserve">Pearl millet (variety Souna 3) was sourced from Diourbel Kaolack, Senegal. It was milled into fine wholegrain flour using a hammer mill fitted with a 500 µm opening screen; </w:t>
      </w:r>
    </w:p>
    <w:p w14:paraId="52E3E99F" w14:textId="5CEC6F68" w:rsidR="00A74659" w:rsidRDefault="00A74659" w:rsidP="00A83D23">
      <w:pPr>
        <w:rPr>
          <w:lang w:val="en-ZA"/>
        </w:rPr>
      </w:pPr>
      <w:r>
        <w:rPr>
          <w:lang w:val="en-ZA"/>
        </w:rPr>
        <w:t>Carrot powder, papaya powder and mango fruit powder</w:t>
      </w:r>
      <w:r>
        <w:t xml:space="preserve"> were used as provitamin A sources. Carrot and mango powders</w:t>
      </w:r>
      <w:r>
        <w:rPr>
          <w:lang w:val="en-ZA"/>
        </w:rPr>
        <w:t xml:space="preserve"> were from </w:t>
      </w:r>
      <w:r w:rsidRPr="00C95C03">
        <w:t>Sunspray Food Ingredients</w:t>
      </w:r>
      <w:r>
        <w:t xml:space="preserve">, </w:t>
      </w:r>
      <w:r w:rsidRPr="00C95C03">
        <w:t>Johannesburg, South Africa</w:t>
      </w:r>
      <w:r>
        <w:rPr>
          <w:lang w:val="en-ZA"/>
        </w:rPr>
        <w:t xml:space="preserve"> and the </w:t>
      </w:r>
      <w:r w:rsidRPr="00E3562C">
        <w:t>Institut de Technologie Alimentaire (ITA)</w:t>
      </w:r>
      <w:r>
        <w:t xml:space="preserve">, Dakar, </w:t>
      </w:r>
      <w:r w:rsidRPr="00E3562C">
        <w:t>Senegal</w:t>
      </w:r>
      <w:r>
        <w:t>. Papaya powder was also from ITA;</w:t>
      </w:r>
      <w:r w:rsidRPr="00E3562C">
        <w:rPr>
          <w:lang w:val="en-ZA"/>
        </w:rPr>
        <w:t xml:space="preserve"> </w:t>
      </w:r>
    </w:p>
    <w:p w14:paraId="0C865B4C" w14:textId="77777777" w:rsidR="00A74659" w:rsidRDefault="00A74659" w:rsidP="00A83D23">
      <w:pPr>
        <w:rPr>
          <w:bCs/>
        </w:rPr>
      </w:pPr>
      <w:r>
        <w:rPr>
          <w:lang w:val="en-ZA"/>
        </w:rPr>
        <w:t xml:space="preserve">Baobab fruit pulp powders were from </w:t>
      </w:r>
      <w:r w:rsidRPr="00D24CC9">
        <w:rPr>
          <w:bCs/>
        </w:rPr>
        <w:t>Nautica Organic Trading, Durban, South Africa</w:t>
      </w:r>
      <w:r>
        <w:rPr>
          <w:bCs/>
        </w:rPr>
        <w:t xml:space="preserve"> and Maria Distribution, Dakar, Senegal;</w:t>
      </w:r>
    </w:p>
    <w:p w14:paraId="1969209E" w14:textId="77777777" w:rsidR="00A74659" w:rsidRDefault="00A74659" w:rsidP="00A83D23">
      <w:pPr>
        <w:rPr>
          <w:bCs/>
        </w:rPr>
      </w:pPr>
      <w:r>
        <w:rPr>
          <w:bCs/>
        </w:rPr>
        <w:t xml:space="preserve">Moringa leaf powder and hibiscus calyx powders were from Maria Distribution; </w:t>
      </w:r>
    </w:p>
    <w:p w14:paraId="7115151A" w14:textId="7E5CE815" w:rsidR="00A74659" w:rsidRDefault="00A74659" w:rsidP="00A83D23">
      <w:r>
        <w:rPr>
          <w:bCs/>
        </w:rPr>
        <w:t>Beta-carotene (C9750) was from Sigma Aldrich, Johannesburg, South Africa; A micronutrient premix (</w:t>
      </w:r>
      <w:r>
        <w:t>iron (in the form of iron sodium-EDTA</w:t>
      </w:r>
      <w:r w:rsidR="006A6E94">
        <w:t>,</w:t>
      </w:r>
      <w:r>
        <w:t xml:space="preserve"> zinc (in the form of zinc oxide)</w:t>
      </w:r>
      <w:r w:rsidR="006A6E94">
        <w:t xml:space="preserve"> and (vitamin A (in the form of vitamin A palmitate)</w:t>
      </w:r>
      <w:r>
        <w:t>) was from DSM Nutritional Products, Isando, South Africa</w:t>
      </w:r>
      <w:r w:rsidR="006A6E94">
        <w:t>.</w:t>
      </w:r>
      <w:r>
        <w:t xml:space="preserve"> </w:t>
      </w:r>
    </w:p>
    <w:p w14:paraId="0FCA4BE8" w14:textId="5A105BA6" w:rsidR="00D3564D" w:rsidRDefault="00A74659" w:rsidP="00A83D23">
      <w:r>
        <w:t>All these materials were stored in airtight containers at 10</w:t>
      </w:r>
      <w:r w:rsidRPr="00462581">
        <w:rPr>
          <w:vertAlign w:val="superscript"/>
        </w:rPr>
        <w:t>o</w:t>
      </w:r>
      <w:r>
        <w:t>C prior to analysis.</w:t>
      </w:r>
      <w:r w:rsidR="0066456F">
        <w:t xml:space="preserve"> </w:t>
      </w:r>
      <w:r w:rsidR="0066456F">
        <w:rPr>
          <w:bCs/>
        </w:rPr>
        <w:t>Beta-carotene was stored at -20</w:t>
      </w:r>
      <w:r w:rsidR="0066456F" w:rsidRPr="00462581">
        <w:rPr>
          <w:vertAlign w:val="superscript"/>
        </w:rPr>
        <w:t>o</w:t>
      </w:r>
      <w:r w:rsidR="0066456F">
        <w:t>C.</w:t>
      </w:r>
    </w:p>
    <w:p w14:paraId="50D78021" w14:textId="1A141730" w:rsidR="00A74659" w:rsidRPr="004E22BB" w:rsidRDefault="00A74659" w:rsidP="00D3564D">
      <w:pPr>
        <w:spacing w:after="0"/>
        <w:rPr>
          <w:bCs/>
        </w:rPr>
      </w:pPr>
      <w:r>
        <w:t xml:space="preserve"> </w:t>
      </w:r>
    </w:p>
    <w:p w14:paraId="2761D6B9" w14:textId="1044724C" w:rsidR="00A74659" w:rsidRDefault="00A74659" w:rsidP="00A83D23">
      <w:pPr>
        <w:pStyle w:val="Heading4"/>
      </w:pPr>
      <w:bookmarkStart w:id="131" w:name="_Toc65253609"/>
      <w:r>
        <w:t>4.3.3.2</w:t>
      </w:r>
      <w:r w:rsidR="00A83D23">
        <w:tab/>
      </w:r>
      <w:r>
        <w:t>Cereal p</w:t>
      </w:r>
      <w:r w:rsidRPr="00BE1D46">
        <w:t>orridge formulations</w:t>
      </w:r>
      <w:r>
        <w:t xml:space="preserve"> and preparation</w:t>
      </w:r>
      <w:bookmarkEnd w:id="131"/>
    </w:p>
    <w:p w14:paraId="6F774B59" w14:textId="5933F8FB" w:rsidR="00A74659" w:rsidRDefault="00A74659" w:rsidP="00006913">
      <w:pPr>
        <w:rPr>
          <w:lang w:val="en-ZA"/>
        </w:rPr>
      </w:pPr>
      <w:r>
        <w:rPr>
          <w:lang w:val="en-ZA"/>
        </w:rPr>
        <w:t>Five conventionally wet cooked maize porridges were formulated.</w:t>
      </w:r>
      <w:r>
        <w:rPr>
          <w:lang w:val="en-ZA"/>
        </w:rPr>
        <w:br/>
        <w:t xml:space="preserve">They were: Maize porridge; Maize porridge fortified with plant food provitamin A sources (carrot plus mango powders 1:1 ratio), at </w:t>
      </w:r>
      <w:r w:rsidR="006A6E94">
        <w:rPr>
          <w:lang w:val="en-ZA"/>
        </w:rPr>
        <w:t xml:space="preserve">a </w:t>
      </w:r>
      <w:r>
        <w:rPr>
          <w:lang w:val="en-ZA"/>
        </w:rPr>
        <w:t xml:space="preserve">ratio 100:15; Maize porridge fortified with carrot plus mango </w:t>
      </w:r>
      <w:r w:rsidR="006A6E94">
        <w:rPr>
          <w:lang w:val="en-ZA"/>
        </w:rPr>
        <w:t>together with</w:t>
      </w:r>
      <w:r>
        <w:rPr>
          <w:lang w:val="en-ZA"/>
        </w:rPr>
        <w:t xml:space="preserve"> baobab, at a ratio 100:15:15; Maize porridges containing equivalent amount of β-carotene as in the carrot plus mango powders were also formulated with or without baobab. </w:t>
      </w:r>
    </w:p>
    <w:p w14:paraId="2F6E37CA" w14:textId="77777777" w:rsidR="00A74659" w:rsidRDefault="00A74659" w:rsidP="006A6E94">
      <w:pPr>
        <w:spacing w:after="0"/>
        <w:rPr>
          <w:lang w:val="en-ZA"/>
        </w:rPr>
      </w:pPr>
    </w:p>
    <w:p w14:paraId="4E9294DC" w14:textId="51D5E00A" w:rsidR="00A74659" w:rsidRDefault="00A74659" w:rsidP="00006913">
      <w:pPr>
        <w:rPr>
          <w:color w:val="000000" w:themeColor="text1"/>
        </w:rPr>
      </w:pPr>
      <w:r>
        <w:t xml:space="preserve">The maize porridge formulations </w:t>
      </w:r>
      <w:r w:rsidR="0056508C">
        <w:t xml:space="preserve">and preparation </w:t>
      </w:r>
      <w:r>
        <w:t xml:space="preserve">are presented in Figure 4.3.1. </w:t>
      </w:r>
      <w:r w:rsidRPr="000C15B5">
        <w:rPr>
          <w:color w:val="000000" w:themeColor="text1"/>
        </w:rPr>
        <w:t>Deionised water (100 ml) was added to 30 g</w:t>
      </w:r>
      <w:r>
        <w:rPr>
          <w:color w:val="000000" w:themeColor="text1"/>
        </w:rPr>
        <w:t xml:space="preserve"> </w:t>
      </w:r>
      <w:r w:rsidRPr="000C15B5">
        <w:rPr>
          <w:color w:val="000000" w:themeColor="text1"/>
        </w:rPr>
        <w:t>wholegrain maize flour</w:t>
      </w:r>
      <w:r>
        <w:rPr>
          <w:lang w:val="en-ZA"/>
        </w:rPr>
        <w:t>. The maize slurry was heated to boiling and maintained for 15 min with constant stirring. The cooked maize porridge was cooled to ambient temperature (approximately 25</w:t>
      </w:r>
      <w:r w:rsidRPr="00B8756F">
        <w:rPr>
          <w:vertAlign w:val="superscript"/>
          <w:lang w:val="en-ZA"/>
        </w:rPr>
        <w:t>o</w:t>
      </w:r>
      <w:r>
        <w:rPr>
          <w:lang w:val="en-ZA"/>
        </w:rPr>
        <w:t xml:space="preserve">C). With the maize porridges fortified with carrot plus mango or containing β-carotene alone or with baobab, the maize slurries were cooked for 10 minutes, after which carrot powder or β-carotene was added and the porridges were cooked further </w:t>
      </w:r>
      <w:r w:rsidR="006A6E94">
        <w:rPr>
          <w:lang w:val="en-ZA"/>
        </w:rPr>
        <w:t xml:space="preserve">for </w:t>
      </w:r>
      <w:r>
        <w:rPr>
          <w:lang w:val="en-ZA"/>
        </w:rPr>
        <w:t xml:space="preserve">five minutes. After cooling, mango powder or mango and baobab were added. The porridges were immediately frozen, then freeze-dried. </w:t>
      </w:r>
      <w:r w:rsidRPr="004F135B">
        <w:rPr>
          <w:color w:val="000000" w:themeColor="text1"/>
        </w:rPr>
        <w:t>The dried porridge</w:t>
      </w:r>
      <w:r>
        <w:rPr>
          <w:color w:val="000000" w:themeColor="text1"/>
        </w:rPr>
        <w:t>s</w:t>
      </w:r>
      <w:r w:rsidRPr="004F135B">
        <w:rPr>
          <w:color w:val="000000" w:themeColor="text1"/>
        </w:rPr>
        <w:t xml:space="preserve"> w</w:t>
      </w:r>
      <w:r>
        <w:rPr>
          <w:color w:val="000000" w:themeColor="text1"/>
        </w:rPr>
        <w:t>ere</w:t>
      </w:r>
      <w:r w:rsidRPr="004F135B">
        <w:rPr>
          <w:color w:val="000000" w:themeColor="text1"/>
        </w:rPr>
        <w:t xml:space="preserve"> </w:t>
      </w:r>
      <w:r>
        <w:rPr>
          <w:color w:val="000000" w:themeColor="text1"/>
        </w:rPr>
        <w:t xml:space="preserve">then </w:t>
      </w:r>
      <w:r w:rsidRPr="004F135B">
        <w:rPr>
          <w:color w:val="000000" w:themeColor="text1"/>
        </w:rPr>
        <w:t>finely milled using</w:t>
      </w:r>
      <w:r w:rsidRPr="004F135B">
        <w:rPr>
          <w:bCs/>
        </w:rPr>
        <w:t xml:space="preserve"> IKA A11 mill</w:t>
      </w:r>
      <w:r w:rsidRPr="004F135B">
        <w:rPr>
          <w:color w:val="000000" w:themeColor="text1"/>
        </w:rPr>
        <w:t xml:space="preserve"> </w:t>
      </w:r>
      <w:r>
        <w:rPr>
          <w:color w:val="000000" w:themeColor="text1"/>
        </w:rPr>
        <w:t xml:space="preserve">(Staufen, Germany), wrapped with aluminium foil </w:t>
      </w:r>
      <w:r w:rsidRPr="004F135B">
        <w:rPr>
          <w:color w:val="000000" w:themeColor="text1"/>
        </w:rPr>
        <w:t>and stored at -20</w:t>
      </w:r>
      <w:r w:rsidRPr="004F135B">
        <w:rPr>
          <w:color w:val="000000" w:themeColor="text1"/>
          <w:vertAlign w:val="superscript"/>
        </w:rPr>
        <w:t>o</w:t>
      </w:r>
      <w:r w:rsidRPr="004F135B">
        <w:rPr>
          <w:color w:val="000000" w:themeColor="text1"/>
        </w:rPr>
        <w:t>C prior to further analyses.</w:t>
      </w:r>
    </w:p>
    <w:p w14:paraId="68659BC1" w14:textId="77777777" w:rsidR="00A74659" w:rsidRDefault="00A74659" w:rsidP="00006913">
      <w:pPr>
        <w:rPr>
          <w:color w:val="000000" w:themeColor="text1"/>
        </w:rPr>
      </w:pPr>
    </w:p>
    <w:p w14:paraId="3917F494" w14:textId="77777777" w:rsidR="0056508C" w:rsidRDefault="0056508C" w:rsidP="00A74659">
      <w:pPr>
        <w:rPr>
          <w:szCs w:val="24"/>
        </w:rPr>
      </w:pPr>
    </w:p>
    <w:p w14:paraId="3A137CE2" w14:textId="37B1BDD6" w:rsidR="0056508C" w:rsidRDefault="00EC7DF8" w:rsidP="00EC7DF8">
      <w:pPr>
        <w:spacing w:after="0"/>
        <w:rPr>
          <w:szCs w:val="24"/>
        </w:rPr>
      </w:pPr>
      <w:r>
        <w:rPr>
          <w:noProof/>
          <w:szCs w:val="24"/>
          <w:lang w:val="en-ZA" w:eastAsia="en-ZA"/>
        </w:rPr>
        <w:drawing>
          <wp:inline distT="0" distB="0" distL="0" distR="0" wp14:anchorId="74A9A581" wp14:editId="2A704BF0">
            <wp:extent cx="5970641" cy="3242496"/>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96624" cy="3256606"/>
                    </a:xfrm>
                    <a:prstGeom prst="rect">
                      <a:avLst/>
                    </a:prstGeom>
                    <a:noFill/>
                  </pic:spPr>
                </pic:pic>
              </a:graphicData>
            </a:graphic>
          </wp:inline>
        </w:drawing>
      </w:r>
    </w:p>
    <w:p w14:paraId="5A32C635" w14:textId="13B640EB" w:rsidR="00C67367" w:rsidRDefault="0056508C" w:rsidP="00D5398A">
      <w:pPr>
        <w:pStyle w:val="Myfigures"/>
        <w:spacing w:after="0" w:line="240" w:lineRule="auto"/>
      </w:pPr>
      <w:bookmarkStart w:id="132" w:name="_Toc65253650"/>
      <w:r w:rsidRPr="00A74659">
        <w:rPr>
          <w:b/>
          <w:bCs/>
        </w:rPr>
        <w:t>Figure 4.</w:t>
      </w:r>
      <w:r>
        <w:rPr>
          <w:b/>
          <w:bCs/>
        </w:rPr>
        <w:t>3</w:t>
      </w:r>
      <w:r w:rsidRPr="00A74659">
        <w:rPr>
          <w:b/>
          <w:bCs/>
        </w:rPr>
        <w:t>.1:</w:t>
      </w:r>
      <w:r>
        <w:t xml:space="preserve"> Flow chart of maize porridge formulations and preparation.</w:t>
      </w:r>
      <w:bookmarkEnd w:id="132"/>
      <w:r>
        <w:t xml:space="preserve"> </w:t>
      </w:r>
    </w:p>
    <w:p w14:paraId="427D4899" w14:textId="0C3E6C85" w:rsidR="00331437" w:rsidRPr="00331437" w:rsidRDefault="00331437" w:rsidP="00D5398A">
      <w:pPr>
        <w:spacing w:after="0" w:line="240" w:lineRule="auto"/>
        <w:rPr>
          <w:sz w:val="20"/>
          <w:szCs w:val="20"/>
        </w:rPr>
      </w:pPr>
      <w:r>
        <w:rPr>
          <w:sz w:val="20"/>
          <w:szCs w:val="20"/>
        </w:rPr>
        <w:t xml:space="preserve">The different maize porridge formulations studied are highlighted in </w:t>
      </w:r>
      <w:r w:rsidRPr="00331437">
        <w:rPr>
          <w:sz w:val="20"/>
          <w:szCs w:val="20"/>
          <w:highlight w:val="yellow"/>
        </w:rPr>
        <w:t>yellow</w:t>
      </w:r>
    </w:p>
    <w:p w14:paraId="17B2DCB0" w14:textId="3DC60A5F" w:rsidR="00E52EFA" w:rsidRDefault="00E52EFA" w:rsidP="00D5398A">
      <w:pPr>
        <w:spacing w:after="0" w:line="240" w:lineRule="auto"/>
        <w:rPr>
          <w:sz w:val="20"/>
          <w:szCs w:val="20"/>
        </w:rPr>
      </w:pPr>
      <w:r w:rsidRPr="005A3186">
        <w:rPr>
          <w:sz w:val="20"/>
          <w:szCs w:val="20"/>
          <w:vertAlign w:val="superscript"/>
        </w:rPr>
        <w:t>1</w:t>
      </w:r>
      <w:r w:rsidR="00A60391">
        <w:rPr>
          <w:sz w:val="20"/>
          <w:szCs w:val="20"/>
        </w:rPr>
        <w:t>Maize (100.0 g) (Control);</w:t>
      </w:r>
      <w:r w:rsidRPr="00E52EFA">
        <w:rPr>
          <w:sz w:val="20"/>
          <w:szCs w:val="20"/>
          <w:vertAlign w:val="superscript"/>
        </w:rPr>
        <w:t xml:space="preserve"> </w:t>
      </w:r>
      <w:r>
        <w:rPr>
          <w:sz w:val="20"/>
          <w:szCs w:val="20"/>
          <w:vertAlign w:val="superscript"/>
        </w:rPr>
        <w:t>2</w:t>
      </w:r>
      <w:r w:rsidR="00A60391">
        <w:rPr>
          <w:sz w:val="20"/>
          <w:szCs w:val="20"/>
        </w:rPr>
        <w:t>Maize (87.0 g)</w:t>
      </w:r>
      <w:r w:rsidR="00D5398A">
        <w:rPr>
          <w:sz w:val="20"/>
          <w:szCs w:val="20"/>
        </w:rPr>
        <w:t xml:space="preserve"> with</w:t>
      </w:r>
      <w:r w:rsidR="00A60391">
        <w:rPr>
          <w:sz w:val="20"/>
          <w:szCs w:val="20"/>
        </w:rPr>
        <w:t xml:space="preserve"> carrot (6.5 g), mango (6.5 g)/100 g porridge formulation (</w:t>
      </w:r>
      <w:r w:rsidR="008B77BF">
        <w:rPr>
          <w:sz w:val="20"/>
          <w:szCs w:val="20"/>
        </w:rPr>
        <w:t>c</w:t>
      </w:r>
      <w:r w:rsidR="00A60391">
        <w:rPr>
          <w:sz w:val="20"/>
          <w:szCs w:val="20"/>
        </w:rPr>
        <w:t xml:space="preserve">arrot and mango powders were in ratio 1:1); </w:t>
      </w:r>
      <w:r>
        <w:rPr>
          <w:sz w:val="20"/>
          <w:szCs w:val="20"/>
          <w:vertAlign w:val="superscript"/>
        </w:rPr>
        <w:t>3</w:t>
      </w:r>
      <w:r w:rsidR="00A60391">
        <w:rPr>
          <w:sz w:val="20"/>
          <w:szCs w:val="20"/>
        </w:rPr>
        <w:t>Maize (100.0 g)</w:t>
      </w:r>
      <w:r w:rsidR="00D5398A">
        <w:rPr>
          <w:sz w:val="20"/>
          <w:szCs w:val="20"/>
        </w:rPr>
        <w:t xml:space="preserve"> with</w:t>
      </w:r>
      <w:r w:rsidR="00A60391">
        <w:rPr>
          <w:sz w:val="20"/>
          <w:szCs w:val="20"/>
        </w:rPr>
        <w:t xml:space="preserve"> </w:t>
      </w:r>
      <w:r w:rsidR="00A60391">
        <w:rPr>
          <w:rFonts w:cs="Times New Roman"/>
          <w:sz w:val="20"/>
          <w:szCs w:val="20"/>
        </w:rPr>
        <w:t>β</w:t>
      </w:r>
      <w:r w:rsidR="00A60391">
        <w:rPr>
          <w:sz w:val="20"/>
          <w:szCs w:val="20"/>
        </w:rPr>
        <w:t xml:space="preserve">-carotene (5056 </w:t>
      </w:r>
      <w:r w:rsidR="00A60391">
        <w:rPr>
          <w:rFonts w:cs="Times New Roman"/>
          <w:sz w:val="20"/>
          <w:szCs w:val="20"/>
        </w:rPr>
        <w:t>µ</w:t>
      </w:r>
      <w:r w:rsidR="00A60391">
        <w:rPr>
          <w:sz w:val="20"/>
          <w:szCs w:val="20"/>
        </w:rPr>
        <w:t>g)/100 g porridge formulation (</w:t>
      </w:r>
      <w:r>
        <w:rPr>
          <w:sz w:val="20"/>
          <w:szCs w:val="20"/>
        </w:rPr>
        <w:t>a</w:t>
      </w:r>
      <w:r w:rsidR="00A60391" w:rsidRPr="005A3186">
        <w:rPr>
          <w:sz w:val="20"/>
          <w:szCs w:val="20"/>
        </w:rPr>
        <w:t xml:space="preserve">mount of </w:t>
      </w:r>
      <w:r w:rsidR="00A60391">
        <w:rPr>
          <w:rFonts w:cs="Times New Roman"/>
          <w:sz w:val="20"/>
          <w:szCs w:val="20"/>
        </w:rPr>
        <w:t>β</w:t>
      </w:r>
      <w:r w:rsidR="00A60391">
        <w:rPr>
          <w:sz w:val="20"/>
          <w:szCs w:val="20"/>
        </w:rPr>
        <w:t xml:space="preserve">-carotene </w:t>
      </w:r>
      <w:r w:rsidR="00A60391" w:rsidRPr="005A3186">
        <w:rPr>
          <w:sz w:val="20"/>
          <w:szCs w:val="20"/>
        </w:rPr>
        <w:t>w</w:t>
      </w:r>
      <w:r w:rsidR="00A60391">
        <w:rPr>
          <w:sz w:val="20"/>
          <w:szCs w:val="20"/>
        </w:rPr>
        <w:t>as</w:t>
      </w:r>
      <w:r w:rsidR="00A60391" w:rsidRPr="005A3186">
        <w:rPr>
          <w:sz w:val="20"/>
          <w:szCs w:val="20"/>
        </w:rPr>
        <w:t xml:space="preserve"> similar to the levels in the </w:t>
      </w:r>
      <w:r w:rsidR="00A60391">
        <w:rPr>
          <w:sz w:val="20"/>
          <w:szCs w:val="20"/>
        </w:rPr>
        <w:t xml:space="preserve">carrot plus mango); </w:t>
      </w:r>
    </w:p>
    <w:p w14:paraId="2ACC1FE1" w14:textId="2018C5BE" w:rsidR="00A60391" w:rsidRPr="00D5398A" w:rsidRDefault="00E52EFA" w:rsidP="006A6E94">
      <w:pPr>
        <w:spacing w:line="240" w:lineRule="auto"/>
        <w:rPr>
          <w:sz w:val="20"/>
          <w:szCs w:val="20"/>
        </w:rPr>
      </w:pPr>
      <w:r>
        <w:rPr>
          <w:sz w:val="20"/>
          <w:szCs w:val="20"/>
          <w:vertAlign w:val="superscript"/>
        </w:rPr>
        <w:t>4</w:t>
      </w:r>
      <w:r>
        <w:rPr>
          <w:sz w:val="20"/>
          <w:szCs w:val="20"/>
        </w:rPr>
        <w:t xml:space="preserve">Maize (79.6 g) with carrot (5.8 g), mango (5.8 g), baobab fruit powder (11.5 g)/100 g porridge formulation; </w:t>
      </w:r>
      <w:r>
        <w:rPr>
          <w:sz w:val="20"/>
          <w:szCs w:val="20"/>
          <w:vertAlign w:val="superscript"/>
        </w:rPr>
        <w:t>5</w:t>
      </w:r>
      <w:r>
        <w:rPr>
          <w:sz w:val="20"/>
          <w:szCs w:val="20"/>
        </w:rPr>
        <w:t xml:space="preserve">Maize (87.0 g) with </w:t>
      </w:r>
      <w:r>
        <w:rPr>
          <w:rFonts w:cs="Times New Roman"/>
          <w:sz w:val="20"/>
          <w:szCs w:val="20"/>
        </w:rPr>
        <w:t>β</w:t>
      </w:r>
      <w:r>
        <w:rPr>
          <w:sz w:val="20"/>
          <w:szCs w:val="20"/>
        </w:rPr>
        <w:t xml:space="preserve">-carotene (5070 </w:t>
      </w:r>
      <w:r>
        <w:rPr>
          <w:rFonts w:cs="Times New Roman"/>
          <w:sz w:val="20"/>
          <w:szCs w:val="20"/>
        </w:rPr>
        <w:t>µ</w:t>
      </w:r>
      <w:r>
        <w:rPr>
          <w:sz w:val="20"/>
          <w:szCs w:val="20"/>
        </w:rPr>
        <w:t>g), baobab fruit pulp (13.0 g)/100 g porridge formulation.</w:t>
      </w:r>
    </w:p>
    <w:p w14:paraId="15C573B4" w14:textId="77777777" w:rsidR="0056508C" w:rsidRDefault="0056508C" w:rsidP="0056508C">
      <w:pPr>
        <w:spacing w:after="0"/>
        <w:rPr>
          <w:szCs w:val="24"/>
        </w:rPr>
      </w:pPr>
    </w:p>
    <w:p w14:paraId="1D15212B" w14:textId="462FBBEA" w:rsidR="00A74659" w:rsidRDefault="00571BAE" w:rsidP="00941171">
      <w:r>
        <w:rPr>
          <w:szCs w:val="24"/>
        </w:rPr>
        <w:t>As pearl millet is the major cereal staple in the Sahel region of Africa, where this study is primarily focused, f</w:t>
      </w:r>
      <w:r w:rsidRPr="00120B82">
        <w:rPr>
          <w:szCs w:val="24"/>
        </w:rPr>
        <w:t>our extrusion cooked pearl millet-based ready-to-eat porridge</w:t>
      </w:r>
      <w:r>
        <w:rPr>
          <w:szCs w:val="24"/>
        </w:rPr>
        <w:t xml:space="preserve"> products</w:t>
      </w:r>
      <w:r w:rsidRPr="00120B82">
        <w:rPr>
          <w:szCs w:val="24"/>
        </w:rPr>
        <w:t xml:space="preserve"> were also formulated</w:t>
      </w:r>
      <w:r>
        <w:rPr>
          <w:szCs w:val="24"/>
        </w:rPr>
        <w:t>.</w:t>
      </w:r>
      <w:r>
        <w:t xml:space="preserve"> </w:t>
      </w:r>
      <w:r w:rsidR="00A74659" w:rsidRPr="00B33E54">
        <w:t>The</w:t>
      </w:r>
      <w:r w:rsidR="00A74659">
        <w:t>y were:</w:t>
      </w:r>
      <w:r w:rsidR="00A74659" w:rsidRPr="00B33E54">
        <w:t xml:space="preserve"> </w:t>
      </w:r>
      <w:r w:rsidR="00A74659">
        <w:t>P</w:t>
      </w:r>
      <w:r w:rsidR="00A74659" w:rsidRPr="00B33E54">
        <w:t xml:space="preserve">earl millet </w:t>
      </w:r>
      <w:r w:rsidR="00A74659">
        <w:t xml:space="preserve">fortified with carrot, mango, baobab and moringa powders at 14.9 g, 5.0 g, 5.0 g and 2.5 g, respectively per 100 g porridge; Pearl millet fortified with carrot, papaya and baobab at 14.9 g, 5.0 g and 10.0 g, respectively per 100 g porridge; Pearl millet fortified with carrot, papaya, baobab and micronutrient premix (iron (2.1 mg), zinc  (1.65 mg) and vitamin A (840 IU)) at 11.9 g, 7.5 g, 5.0 g and 25 mg, respectively per 100 g porridge; Pearl millet fortified with baobab and hibiscus calyx powder at 10.0 g and 5.0 g, respectively per 100 g porridge. All the </w:t>
      </w:r>
      <w:r w:rsidR="006A6E94">
        <w:t xml:space="preserve">extrusion-cooked </w:t>
      </w:r>
      <w:r w:rsidR="00A74659">
        <w:t>pearl millet-based porridge formulations also contained 0.1 g each of citric acid and table salt per 100 g porridge.</w:t>
      </w:r>
    </w:p>
    <w:p w14:paraId="4EA6313B" w14:textId="77777777" w:rsidR="00A74659" w:rsidRDefault="00A74659" w:rsidP="006A6E94">
      <w:pPr>
        <w:spacing w:after="0"/>
      </w:pPr>
    </w:p>
    <w:p w14:paraId="3B01EA2F" w14:textId="547E28BD" w:rsidR="00A74659" w:rsidRDefault="0056508C" w:rsidP="00941171">
      <w:pPr>
        <w:rPr>
          <w:rFonts w:cs="Times New Roman"/>
          <w:shd w:val="clear" w:color="auto" w:fill="FFFFFF"/>
        </w:rPr>
      </w:pPr>
      <w:r>
        <w:t xml:space="preserve">The </w:t>
      </w:r>
      <w:r w:rsidR="00543614">
        <w:t xml:space="preserve">extrusion cooked </w:t>
      </w:r>
      <w:r>
        <w:t xml:space="preserve">pearl millet-based porridge formulations and preparation are presented in </w:t>
      </w:r>
      <w:r w:rsidRPr="006A6E94">
        <w:t>Figure 4.3.2.</w:t>
      </w:r>
      <w:r w:rsidR="00A74659" w:rsidRPr="0098183F">
        <w:t xml:space="preserve"> The pearl millet flour together with the plant food source </w:t>
      </w:r>
      <w:r w:rsidR="00A74659">
        <w:t>ingredients</w:t>
      </w:r>
      <w:r w:rsidR="00A74659" w:rsidRPr="0098183F">
        <w:t xml:space="preserve"> </w:t>
      </w:r>
      <w:r w:rsidR="00A74659">
        <w:t>powders</w:t>
      </w:r>
      <w:r w:rsidR="00A74659" w:rsidRPr="0098183F">
        <w:t xml:space="preserve"> and the </w:t>
      </w:r>
      <w:r w:rsidR="00A74659">
        <w:t xml:space="preserve">micronutrient premix </w:t>
      </w:r>
      <w:r w:rsidR="00A74659" w:rsidRPr="0098183F">
        <w:t xml:space="preserve">were </w:t>
      </w:r>
      <w:r w:rsidR="00A74659">
        <w:t xml:space="preserve">cooked </w:t>
      </w:r>
      <w:r w:rsidR="00543614">
        <w:t>together</w:t>
      </w:r>
      <w:r w:rsidR="00A74659">
        <w:t xml:space="preserve"> in an extrusion cooker</w:t>
      </w:r>
      <w:r w:rsidR="00A74659" w:rsidRPr="0098183F">
        <w:t xml:space="preserve">.  </w:t>
      </w:r>
      <w:r w:rsidR="00A74659" w:rsidRPr="0098183F">
        <w:rPr>
          <w:rFonts w:cs="Times New Roman"/>
          <w:shd w:val="clear" w:color="auto" w:fill="FFFFFF"/>
        </w:rPr>
        <w:t xml:space="preserve">A 30 kg/h single screw </w:t>
      </w:r>
      <w:r w:rsidR="00A74659">
        <w:rPr>
          <w:rFonts w:cs="Times New Roman"/>
          <w:shd w:val="clear" w:color="auto" w:fill="FFFFFF"/>
        </w:rPr>
        <w:t xml:space="preserve">friction-heated </w:t>
      </w:r>
      <w:r w:rsidR="00A74659" w:rsidRPr="0098183F">
        <w:rPr>
          <w:rFonts w:cs="Times New Roman"/>
          <w:shd w:val="clear" w:color="auto" w:fill="FFFFFF"/>
        </w:rPr>
        <w:t>extruder</w:t>
      </w:r>
      <w:r w:rsidR="00A74659">
        <w:rPr>
          <w:rFonts w:cs="Times New Roman"/>
          <w:shd w:val="clear" w:color="auto" w:fill="FFFFFF"/>
        </w:rPr>
        <w:t xml:space="preserve"> </w:t>
      </w:r>
      <w:r w:rsidR="00A74659" w:rsidRPr="0098183F">
        <w:rPr>
          <w:rFonts w:cs="Times New Roman"/>
          <w:shd w:val="clear" w:color="auto" w:fill="FFFFFF"/>
        </w:rPr>
        <w:t>(Technochem, Boone, IA, USA)</w:t>
      </w:r>
      <w:r w:rsidR="00A74659">
        <w:rPr>
          <w:rFonts w:cs="Times New Roman"/>
          <w:shd w:val="clear" w:color="auto" w:fill="FFFFFF"/>
        </w:rPr>
        <w:t xml:space="preserve"> with an</w:t>
      </w:r>
      <w:r w:rsidR="00A74659" w:rsidRPr="0098183F">
        <w:rPr>
          <w:rFonts w:cs="Times New Roman"/>
          <w:shd w:val="clear" w:color="auto" w:fill="FFFFFF"/>
        </w:rPr>
        <w:t xml:space="preserve"> </w:t>
      </w:r>
      <w:r w:rsidR="00A74659" w:rsidRPr="00E56BF4">
        <w:rPr>
          <w:rFonts w:cs="Times New Roman"/>
          <w:shd w:val="clear" w:color="auto" w:fill="FFFFFF"/>
        </w:rPr>
        <w:t xml:space="preserve">extruder barrel length to screw diameter (L/D) ratio </w:t>
      </w:r>
      <w:r w:rsidR="00A74659">
        <w:rPr>
          <w:rFonts w:cs="Times New Roman"/>
          <w:shd w:val="clear" w:color="auto" w:fill="FFFFFF"/>
        </w:rPr>
        <w:t>of</w:t>
      </w:r>
      <w:r w:rsidR="00A74659" w:rsidRPr="00E56BF4">
        <w:rPr>
          <w:rFonts w:cs="Times New Roman"/>
          <w:shd w:val="clear" w:color="auto" w:fill="FFFFFF"/>
        </w:rPr>
        <w:t xml:space="preserve"> 40:1 and a die diameter 6 mm was used</w:t>
      </w:r>
      <w:r w:rsidR="00A74659" w:rsidRPr="0098183F">
        <w:rPr>
          <w:rFonts w:cs="Times New Roman"/>
          <w:shd w:val="clear" w:color="auto" w:fill="FFFFFF"/>
        </w:rPr>
        <w:t>. Wholegrain pearl millet grits were equilibrated to 30% moisture prior to extrusion. Extrusion cooking was carried out at 120°C; screw speed 700 rpm</w:t>
      </w:r>
      <w:r w:rsidR="00A74659">
        <w:rPr>
          <w:rFonts w:cs="Times New Roman"/>
          <w:shd w:val="clear" w:color="auto" w:fill="FFFFFF"/>
        </w:rPr>
        <w:t>.</w:t>
      </w:r>
      <w:r w:rsidR="00A74659" w:rsidRPr="0098183F">
        <w:rPr>
          <w:rFonts w:cs="Times New Roman"/>
          <w:shd w:val="clear" w:color="auto" w:fill="FFFFFF"/>
        </w:rPr>
        <w:t xml:space="preserve"> </w:t>
      </w:r>
      <w:r w:rsidR="00A74659">
        <w:rPr>
          <w:rFonts w:cs="Times New Roman"/>
          <w:shd w:val="clear" w:color="auto" w:fill="FFFFFF"/>
        </w:rPr>
        <w:t>Ex</w:t>
      </w:r>
      <w:r w:rsidR="00A74659" w:rsidRPr="0098183F">
        <w:rPr>
          <w:rFonts w:cs="Times New Roman"/>
          <w:shd w:val="clear" w:color="auto" w:fill="FFFFFF"/>
        </w:rPr>
        <w:t>trudates were air dried in a convection oven at 50°C for 24 h, and then hammer milled to a flour of particle size &lt;300 µm</w:t>
      </w:r>
      <w:r w:rsidR="00A74659">
        <w:rPr>
          <w:rFonts w:cs="Times New Roman"/>
          <w:shd w:val="clear" w:color="auto" w:fill="FFFFFF"/>
        </w:rPr>
        <w:t>.</w:t>
      </w:r>
    </w:p>
    <w:p w14:paraId="37FA3BB7" w14:textId="15D1B40C" w:rsidR="0056508C" w:rsidRDefault="0056508C" w:rsidP="00A74659">
      <w:pPr>
        <w:rPr>
          <w:rFonts w:cs="Times New Roman"/>
          <w:szCs w:val="24"/>
          <w:shd w:val="clear" w:color="auto" w:fill="FFFFFF"/>
        </w:rPr>
      </w:pPr>
    </w:p>
    <w:p w14:paraId="28F4FEA9" w14:textId="3AECFA04" w:rsidR="0056508C" w:rsidRDefault="00D26ACC" w:rsidP="00A74659">
      <w:pPr>
        <w:rPr>
          <w:rFonts w:eastAsia="Times New Roman" w:cs="Times New Roman"/>
          <w:szCs w:val="24"/>
        </w:rPr>
      </w:pPr>
      <w:r>
        <w:rPr>
          <w:rFonts w:eastAsia="Times New Roman" w:cs="Times New Roman"/>
          <w:noProof/>
          <w:szCs w:val="24"/>
          <w:lang w:val="en-ZA" w:eastAsia="en-ZA"/>
        </w:rPr>
        <w:drawing>
          <wp:inline distT="0" distB="0" distL="0" distR="0" wp14:anchorId="0199F097" wp14:editId="1CD5D8CC">
            <wp:extent cx="5954361" cy="2566035"/>
            <wp:effectExtent l="0" t="0" r="8890" b="571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80285" cy="2577207"/>
                    </a:xfrm>
                    <a:prstGeom prst="rect">
                      <a:avLst/>
                    </a:prstGeom>
                    <a:noFill/>
                  </pic:spPr>
                </pic:pic>
              </a:graphicData>
            </a:graphic>
          </wp:inline>
        </w:drawing>
      </w:r>
    </w:p>
    <w:p w14:paraId="1DCA7848" w14:textId="611CC70A" w:rsidR="00BC0CD7" w:rsidRDefault="008D4DCA" w:rsidP="00CD5A52">
      <w:pPr>
        <w:pStyle w:val="Myfigures"/>
        <w:spacing w:after="0" w:line="240" w:lineRule="auto"/>
      </w:pPr>
      <w:bookmarkStart w:id="133" w:name="_Toc65253651"/>
      <w:r w:rsidRPr="006A6E94">
        <w:rPr>
          <w:b/>
          <w:bCs/>
        </w:rPr>
        <w:t>Figure 4.3.2:</w:t>
      </w:r>
      <w:r w:rsidRPr="006A6E94">
        <w:t xml:space="preserve"> </w:t>
      </w:r>
      <w:r w:rsidRPr="00BC0CD7">
        <w:t>Flow chart of wholegrain pearl millet-based porridge formulations and preparation</w:t>
      </w:r>
      <w:bookmarkEnd w:id="133"/>
    </w:p>
    <w:p w14:paraId="74D8AD83" w14:textId="5C4F1671" w:rsidR="00CD5A52" w:rsidRDefault="00CD5A52" w:rsidP="00BC0CD7">
      <w:pPr>
        <w:pStyle w:val="CommentText"/>
        <w:spacing w:after="0"/>
        <w:rPr>
          <w:rFonts w:cs="Times New Roman"/>
          <w:lang w:val="en-ZA"/>
        </w:rPr>
      </w:pPr>
      <w:r>
        <w:rPr>
          <w:rFonts w:cs="Times New Roman"/>
          <w:lang w:val="en-ZA"/>
        </w:rPr>
        <w:t xml:space="preserve">The different pearl millet-based porridge formulations studied are highlighted in </w:t>
      </w:r>
      <w:r w:rsidRPr="00CD5A52">
        <w:rPr>
          <w:rFonts w:cs="Times New Roman"/>
          <w:highlight w:val="yellow"/>
          <w:lang w:val="en-ZA"/>
        </w:rPr>
        <w:t>yellow</w:t>
      </w:r>
    </w:p>
    <w:p w14:paraId="2445A939" w14:textId="03E9DDCE" w:rsidR="00BC0CD7" w:rsidRPr="00BC0CD7" w:rsidRDefault="00CD5A52" w:rsidP="00BC0CD7">
      <w:pPr>
        <w:pStyle w:val="CommentText"/>
        <w:spacing w:after="0"/>
        <w:rPr>
          <w:rFonts w:cs="Times New Roman"/>
          <w:lang w:val="en-ZA"/>
        </w:rPr>
      </w:pPr>
      <w:r>
        <w:rPr>
          <w:rFonts w:cs="Times New Roman"/>
          <w:vertAlign w:val="superscript"/>
        </w:rPr>
        <w:t>1</w:t>
      </w:r>
      <w:r>
        <w:rPr>
          <w:rFonts w:cs="Times New Roman"/>
          <w:lang w:val="en-ZA"/>
        </w:rPr>
        <w:t>Raw w</w:t>
      </w:r>
      <w:r w:rsidR="003D7851">
        <w:rPr>
          <w:rFonts w:cs="Times New Roman"/>
          <w:lang w:val="en-ZA"/>
        </w:rPr>
        <w:t>holegrain pearl millet flour (100.0 g) (control);</w:t>
      </w:r>
      <w:r w:rsidR="003D7851">
        <w:rPr>
          <w:rFonts w:cs="Times New Roman"/>
          <w:vertAlign w:val="superscript"/>
        </w:rPr>
        <w:t xml:space="preserve"> 2</w:t>
      </w:r>
      <w:r w:rsidR="00BC0CD7" w:rsidRPr="00BC0CD7">
        <w:rPr>
          <w:rFonts w:cs="Times New Roman"/>
          <w:lang w:val="en-ZA"/>
        </w:rPr>
        <w:t>Pearl millet (72.4 g) with carrot (14.9 g), mango (5.0 g), baobab fruit pulp (5.0 g), moringa leaf powder (2.5 g), citric acid (0.1 g), salt (0.1 g)</w:t>
      </w:r>
      <w:r w:rsidR="003D7851">
        <w:rPr>
          <w:rFonts w:cs="Times New Roman"/>
          <w:lang w:val="en-ZA"/>
        </w:rPr>
        <w:t>/100 g porridge formulation;</w:t>
      </w:r>
    </w:p>
    <w:p w14:paraId="1F79C3A1" w14:textId="71C66AF4" w:rsidR="00BC0CD7" w:rsidRPr="00BC0CD7" w:rsidRDefault="003D7851" w:rsidP="00BC0CD7">
      <w:pPr>
        <w:pStyle w:val="CommentText"/>
        <w:spacing w:after="0"/>
        <w:rPr>
          <w:rFonts w:cs="Times New Roman"/>
          <w:lang w:val="en-ZA"/>
        </w:rPr>
      </w:pPr>
      <w:r>
        <w:rPr>
          <w:rFonts w:cs="Times New Roman"/>
          <w:vertAlign w:val="superscript"/>
          <w:lang w:val="en-ZA"/>
        </w:rPr>
        <w:t>3</w:t>
      </w:r>
      <w:r w:rsidR="00BC0CD7" w:rsidRPr="00BC0CD7">
        <w:rPr>
          <w:rFonts w:cs="Times New Roman"/>
          <w:lang w:val="en-ZA"/>
        </w:rPr>
        <w:t>Peal millet (69.9 g) with carrot (14.9 g), papaya (5.0 g), baobab fruit pulp (10 g), citric acid (0.1 g), salt (0.1 g)</w:t>
      </w:r>
      <w:r>
        <w:rPr>
          <w:rFonts w:cs="Times New Roman"/>
          <w:lang w:val="en-ZA"/>
        </w:rPr>
        <w:t>/100 g porridge formulation;</w:t>
      </w:r>
    </w:p>
    <w:p w14:paraId="689095E1" w14:textId="3340CD41" w:rsidR="00BC0CD7" w:rsidRDefault="003D7851" w:rsidP="00BC0CD7">
      <w:pPr>
        <w:spacing w:after="0" w:line="240" w:lineRule="auto"/>
        <w:rPr>
          <w:rFonts w:cs="Times New Roman"/>
          <w:sz w:val="20"/>
          <w:szCs w:val="20"/>
          <w:vertAlign w:val="superscript"/>
          <w:lang w:val="en-ZA"/>
        </w:rPr>
      </w:pPr>
      <w:r>
        <w:rPr>
          <w:rFonts w:cs="Times New Roman"/>
          <w:sz w:val="20"/>
          <w:szCs w:val="20"/>
          <w:vertAlign w:val="superscript"/>
          <w:lang w:val="en-ZA"/>
        </w:rPr>
        <w:t>4</w:t>
      </w:r>
      <w:r w:rsidR="00BC0CD7" w:rsidRPr="00BC0CD7">
        <w:rPr>
          <w:rFonts w:cs="Times New Roman"/>
          <w:sz w:val="20"/>
          <w:szCs w:val="20"/>
          <w:lang w:val="en-ZA"/>
        </w:rPr>
        <w:t>Pearl millet (75.4 g), with carrot (11.9 g), papaya (7.5 g), baobab fruit pulp (5.0 g), micronutrient premix, (25 mg (</w:t>
      </w:r>
      <w:r w:rsidR="00BC0CD7" w:rsidRPr="00BC0CD7">
        <w:rPr>
          <w:rFonts w:cs="Times New Roman"/>
          <w:sz w:val="20"/>
          <w:szCs w:val="20"/>
        </w:rPr>
        <w:t>iron (2.1 mg) as iron sodium-EDTA</w:t>
      </w:r>
      <w:r w:rsidR="00BB3F3E">
        <w:rPr>
          <w:rFonts w:cs="Times New Roman"/>
          <w:sz w:val="20"/>
          <w:szCs w:val="20"/>
        </w:rPr>
        <w:t>,</w:t>
      </w:r>
      <w:r w:rsidR="00BC0CD7" w:rsidRPr="00BC0CD7">
        <w:rPr>
          <w:rFonts w:cs="Times New Roman"/>
          <w:sz w:val="20"/>
          <w:szCs w:val="20"/>
        </w:rPr>
        <w:t xml:space="preserve"> zinc (1.65 mg) as zinc oxide</w:t>
      </w:r>
      <w:r w:rsidR="00BB3F3E">
        <w:rPr>
          <w:rFonts w:cs="Times New Roman"/>
          <w:sz w:val="20"/>
          <w:szCs w:val="20"/>
        </w:rPr>
        <w:t xml:space="preserve"> and </w:t>
      </w:r>
      <w:r w:rsidR="00BB3F3E" w:rsidRPr="00BC0CD7">
        <w:rPr>
          <w:rFonts w:cs="Times New Roman"/>
          <w:sz w:val="20"/>
          <w:szCs w:val="20"/>
        </w:rPr>
        <w:t>vitamin A (840 IU) as vitamin A palmitate</w:t>
      </w:r>
      <w:r w:rsidR="00BC0CD7" w:rsidRPr="00BC0CD7">
        <w:rPr>
          <w:rFonts w:cs="Times New Roman"/>
          <w:sz w:val="20"/>
          <w:szCs w:val="20"/>
        </w:rPr>
        <w:t>)</w:t>
      </w:r>
      <w:r w:rsidR="00BC0CD7" w:rsidRPr="00BC0CD7">
        <w:rPr>
          <w:rFonts w:cs="Times New Roman"/>
          <w:sz w:val="20"/>
          <w:szCs w:val="20"/>
          <w:lang w:val="en-ZA"/>
        </w:rPr>
        <w:t>), citric acid (0.1 g), salt (0.1 g)</w:t>
      </w:r>
      <w:r>
        <w:rPr>
          <w:rFonts w:cs="Times New Roman"/>
          <w:sz w:val="20"/>
          <w:szCs w:val="20"/>
          <w:lang w:val="en-ZA"/>
        </w:rPr>
        <w:t>/100 g porridge formulation;</w:t>
      </w:r>
      <w:r w:rsidR="00BC0CD7" w:rsidRPr="00BC0CD7">
        <w:rPr>
          <w:rFonts w:cs="Times New Roman"/>
          <w:sz w:val="20"/>
          <w:szCs w:val="20"/>
          <w:lang w:val="en-ZA"/>
        </w:rPr>
        <w:t xml:space="preserve">  </w:t>
      </w:r>
    </w:p>
    <w:p w14:paraId="430BFA29" w14:textId="3B3B6104" w:rsidR="008D4DCA" w:rsidRDefault="00CD5A52" w:rsidP="00BC0CD7">
      <w:pPr>
        <w:spacing w:line="240" w:lineRule="auto"/>
        <w:rPr>
          <w:rFonts w:cs="Times New Roman"/>
          <w:sz w:val="20"/>
          <w:szCs w:val="20"/>
          <w:lang w:val="en-ZA"/>
        </w:rPr>
      </w:pPr>
      <w:r>
        <w:rPr>
          <w:rFonts w:cs="Times New Roman"/>
          <w:sz w:val="20"/>
          <w:szCs w:val="20"/>
          <w:vertAlign w:val="superscript"/>
          <w:lang w:val="en-ZA"/>
        </w:rPr>
        <w:t>5</w:t>
      </w:r>
      <w:r w:rsidR="00BC0CD7" w:rsidRPr="00BC0CD7">
        <w:rPr>
          <w:rFonts w:cs="Times New Roman"/>
          <w:sz w:val="20"/>
          <w:szCs w:val="20"/>
          <w:lang w:val="en-ZA"/>
        </w:rPr>
        <w:t>Pearl millet (84.9 g), with baobab fruit pulp (10.0 g), hibiscus calyx powder (5.0 g), citric acid (0.1 g), salt (0.1</w:t>
      </w:r>
      <w:r w:rsidR="00BC0CD7">
        <w:rPr>
          <w:rFonts w:cs="Times New Roman"/>
          <w:sz w:val="20"/>
          <w:szCs w:val="20"/>
          <w:lang w:val="en-ZA"/>
        </w:rPr>
        <w:t xml:space="preserve"> g)</w:t>
      </w:r>
      <w:r w:rsidR="003D7851">
        <w:rPr>
          <w:rFonts w:cs="Times New Roman"/>
          <w:sz w:val="20"/>
          <w:szCs w:val="20"/>
          <w:lang w:val="en-ZA"/>
        </w:rPr>
        <w:t>/100 g porridge formulation.</w:t>
      </w:r>
    </w:p>
    <w:p w14:paraId="4F7E3296" w14:textId="3767939D" w:rsidR="00CC0726" w:rsidRDefault="00CC0726" w:rsidP="00BC0CD7">
      <w:pPr>
        <w:spacing w:line="240" w:lineRule="auto"/>
        <w:rPr>
          <w:rFonts w:cs="Times New Roman"/>
          <w:szCs w:val="24"/>
          <w:lang w:val="en-ZA"/>
        </w:rPr>
      </w:pPr>
    </w:p>
    <w:p w14:paraId="1540FDE1" w14:textId="69811846" w:rsidR="000671E2" w:rsidRDefault="000671E2" w:rsidP="00941171">
      <w:pPr>
        <w:pStyle w:val="Heading4"/>
      </w:pPr>
      <w:bookmarkStart w:id="134" w:name="_Toc65253610"/>
      <w:r>
        <w:t>4.3.3.3</w:t>
      </w:r>
      <w:r w:rsidR="00C67367">
        <w:tab/>
      </w:r>
      <w:r>
        <w:t>Analyses</w:t>
      </w:r>
      <w:bookmarkEnd w:id="134"/>
    </w:p>
    <w:p w14:paraId="7958533D" w14:textId="40DB9F31" w:rsidR="000671E2" w:rsidRPr="006A6E94" w:rsidRDefault="000671E2" w:rsidP="00BD44C6">
      <w:pPr>
        <w:spacing w:after="0"/>
        <w:rPr>
          <w:i/>
          <w:iCs/>
        </w:rPr>
      </w:pPr>
      <w:r w:rsidRPr="006A6E94">
        <w:rPr>
          <w:i/>
          <w:iCs/>
        </w:rPr>
        <w:t>Moisture</w:t>
      </w:r>
    </w:p>
    <w:p w14:paraId="20D0E68E" w14:textId="06EDB986" w:rsidR="000671E2" w:rsidRDefault="000671E2" w:rsidP="00941171">
      <w:r>
        <w:t>The moisture and dry matter contents of the plant food ingredients were determined using a high constant temperature oven method (ISTA, 2018). Ingredients flours were dried at 103</w:t>
      </w:r>
      <w:r w:rsidRPr="00C478D4">
        <w:rPr>
          <w:vertAlign w:val="superscript"/>
        </w:rPr>
        <w:t>o</w:t>
      </w:r>
      <w:r>
        <w:t>C for 17 h.</w:t>
      </w:r>
    </w:p>
    <w:p w14:paraId="0929A5EA" w14:textId="72B21FDD" w:rsidR="000671E2" w:rsidRPr="006A6E94" w:rsidRDefault="000671E2" w:rsidP="006A6E94">
      <w:pPr>
        <w:spacing w:after="0"/>
        <w:rPr>
          <w:i/>
          <w:iCs/>
        </w:rPr>
      </w:pPr>
      <w:r w:rsidRPr="006A6E94">
        <w:rPr>
          <w:i/>
          <w:iCs/>
        </w:rPr>
        <w:t>Mineral contents</w:t>
      </w:r>
    </w:p>
    <w:p w14:paraId="5343171B" w14:textId="68F2FB81" w:rsidR="00941171" w:rsidRDefault="000671E2" w:rsidP="00941171">
      <w:r>
        <w:t xml:space="preserve">Mineral contents of the plant food ingredients and the final porridge formulations were analysed as described in Chapter </w:t>
      </w:r>
      <w:r w:rsidR="00543614">
        <w:t>4.</w:t>
      </w:r>
      <w:r>
        <w:t>1.</w:t>
      </w:r>
      <w:r w:rsidDel="00636B64">
        <w:t xml:space="preserve"> </w:t>
      </w:r>
    </w:p>
    <w:p w14:paraId="250606FB" w14:textId="31D13EE5" w:rsidR="000671E2" w:rsidRPr="006A6E94" w:rsidRDefault="000671E2" w:rsidP="006A6E94">
      <w:pPr>
        <w:spacing w:after="0"/>
        <w:rPr>
          <w:i/>
          <w:iCs/>
        </w:rPr>
      </w:pPr>
      <w:r w:rsidRPr="006A6E94">
        <w:rPr>
          <w:i/>
          <w:iCs/>
        </w:rPr>
        <w:t>Beta-carotene</w:t>
      </w:r>
    </w:p>
    <w:p w14:paraId="734689D2" w14:textId="580EF447" w:rsidR="000671E2" w:rsidRDefault="000671E2" w:rsidP="00941171">
      <w:pPr>
        <w:rPr>
          <w:rFonts w:cs="Times New Roman"/>
          <w:szCs w:val="24"/>
        </w:rPr>
      </w:pPr>
      <w:r>
        <w:rPr>
          <w:rFonts w:cs="Times New Roman"/>
          <w:szCs w:val="24"/>
        </w:rPr>
        <w:t>Beta-carotene was extracted and quantified as described by Scott (2001)</w:t>
      </w:r>
      <w:r w:rsidR="00543614">
        <w:rPr>
          <w:rFonts w:cs="Times New Roman"/>
          <w:szCs w:val="24"/>
        </w:rPr>
        <w:t>,</w:t>
      </w:r>
      <w:r>
        <w:rPr>
          <w:rFonts w:cs="Times New Roman"/>
          <w:szCs w:val="24"/>
        </w:rPr>
        <w:t xml:space="preserve"> with slight modification. Centrifugation was in place of filtration for the separation of sample supernatants from solids. In short, 1</w:t>
      </w:r>
      <w:r w:rsidRPr="008C4EB3">
        <w:rPr>
          <w:rFonts w:cs="Times New Roman"/>
          <w:szCs w:val="24"/>
        </w:rPr>
        <w:t xml:space="preserve"> g </w:t>
      </w:r>
      <w:r>
        <w:rPr>
          <w:rFonts w:cs="Times New Roman"/>
          <w:szCs w:val="24"/>
        </w:rPr>
        <w:t xml:space="preserve">sample was </w:t>
      </w:r>
      <w:r w:rsidRPr="008C4EB3">
        <w:rPr>
          <w:rFonts w:cs="Times New Roman"/>
          <w:szCs w:val="24"/>
        </w:rPr>
        <w:t>weighed into a 100 ml centrifuge tube</w:t>
      </w:r>
      <w:r>
        <w:rPr>
          <w:rFonts w:cs="Times New Roman"/>
          <w:szCs w:val="24"/>
        </w:rPr>
        <w:t xml:space="preserve"> after which</w:t>
      </w:r>
      <w:r w:rsidRPr="008C4EB3">
        <w:rPr>
          <w:rFonts w:cs="Times New Roman"/>
          <w:szCs w:val="24"/>
        </w:rPr>
        <w:t xml:space="preserve"> sodium bicarbonate was added to neutralise any organic acids in the sample. Water and methanol (10 ml and 50 ml respectively) </w:t>
      </w:r>
      <w:r w:rsidRPr="008C4EB3">
        <w:rPr>
          <w:rFonts w:cs="Times New Roman"/>
          <w:noProof/>
          <w:szCs w:val="24"/>
        </w:rPr>
        <w:t>were</w:t>
      </w:r>
      <w:r w:rsidRPr="008C4EB3">
        <w:rPr>
          <w:rFonts w:cs="Times New Roman"/>
          <w:szCs w:val="24"/>
        </w:rPr>
        <w:t xml:space="preserve"> added to the tube. It was homogenised at 10 000 rpm for 30 seconds using the Ultra Turrex (Janke &amp; Kunkel, IKA-Labortechnik,</w:t>
      </w:r>
      <w:r w:rsidRPr="008C4EB3">
        <w:rPr>
          <w:rFonts w:cs="Times New Roman"/>
          <w:color w:val="000000" w:themeColor="text1"/>
          <w:szCs w:val="24"/>
        </w:rPr>
        <w:t xml:space="preserve"> Meckenheim,</w:t>
      </w:r>
      <w:r w:rsidRPr="008C4EB3">
        <w:rPr>
          <w:rFonts w:cs="Times New Roman"/>
          <w:szCs w:val="24"/>
        </w:rPr>
        <w:t xml:space="preserve"> Germany). The </w:t>
      </w:r>
      <w:r>
        <w:rPr>
          <w:rFonts w:cs="Times New Roman"/>
          <w:szCs w:val="24"/>
        </w:rPr>
        <w:t>mixture</w:t>
      </w:r>
      <w:r w:rsidRPr="008C4EB3">
        <w:rPr>
          <w:rFonts w:cs="Times New Roman"/>
          <w:szCs w:val="24"/>
        </w:rPr>
        <w:t xml:space="preserve"> was then centrifuged at 4100 rpm for 5 minutes, resulting in separation of the sample into supernatant and pellet.</w:t>
      </w:r>
      <w:r>
        <w:rPr>
          <w:rFonts w:cs="Times New Roman"/>
          <w:szCs w:val="24"/>
        </w:rPr>
        <w:t xml:space="preserve"> To achieve efficient extraction of carotenoids and separation of </w:t>
      </w:r>
      <w:r w:rsidR="00C81BC9">
        <w:rPr>
          <w:rFonts w:cs="Times New Roman"/>
          <w:szCs w:val="24"/>
        </w:rPr>
        <w:t xml:space="preserve">the </w:t>
      </w:r>
      <w:r>
        <w:rPr>
          <w:rFonts w:cs="Times New Roman"/>
          <w:szCs w:val="24"/>
        </w:rPr>
        <w:t xml:space="preserve">different </w:t>
      </w:r>
      <w:r w:rsidR="00C81BC9">
        <w:rPr>
          <w:rFonts w:cs="Times New Roman"/>
          <w:szCs w:val="24"/>
        </w:rPr>
        <w:t>types</w:t>
      </w:r>
      <w:r>
        <w:rPr>
          <w:rFonts w:cs="Times New Roman"/>
          <w:szCs w:val="24"/>
        </w:rPr>
        <w:t xml:space="preserve"> of carotenoids from the plant food ingredients, a mixture of acetone and hexane at a ratio 1:1 was additionally added to the </w:t>
      </w:r>
      <w:r w:rsidR="006A6E94">
        <w:rPr>
          <w:rFonts w:cs="Times New Roman"/>
          <w:szCs w:val="24"/>
        </w:rPr>
        <w:t xml:space="preserve">solid </w:t>
      </w:r>
      <w:r>
        <w:rPr>
          <w:rFonts w:cs="Times New Roman"/>
          <w:szCs w:val="24"/>
        </w:rPr>
        <w:t xml:space="preserve">pellets, after which the mixture was centrifuged as above and supernatant was collected and added to the previously collected supernatant. The pooled supernatant was reacted with 10% KOH in methanol to saponify the chlorophyll in the plant food ingredients. </w:t>
      </w:r>
      <w:r w:rsidRPr="008C4EB3">
        <w:rPr>
          <w:rFonts w:cs="Times New Roman"/>
          <w:szCs w:val="24"/>
        </w:rPr>
        <w:t xml:space="preserve">The </w:t>
      </w:r>
      <w:r>
        <w:rPr>
          <w:rFonts w:cs="Times New Roman"/>
          <w:szCs w:val="24"/>
        </w:rPr>
        <w:t>absorbance</w:t>
      </w:r>
      <w:r w:rsidR="00BB3F3E">
        <w:rPr>
          <w:rFonts w:cs="Times New Roman"/>
          <w:szCs w:val="24"/>
        </w:rPr>
        <w:t xml:space="preserve"> </w:t>
      </w:r>
      <w:r w:rsidR="00C81BC9">
        <w:rPr>
          <w:rFonts w:cs="Times New Roman"/>
          <w:szCs w:val="24"/>
        </w:rPr>
        <w:t>of</w:t>
      </w:r>
      <w:r>
        <w:rPr>
          <w:rFonts w:cs="Times New Roman"/>
          <w:szCs w:val="24"/>
        </w:rPr>
        <w:t xml:space="preserve"> </w:t>
      </w:r>
      <w:r w:rsidR="00C81BC9">
        <w:rPr>
          <w:rFonts w:cs="Times New Roman"/>
          <w:szCs w:val="24"/>
        </w:rPr>
        <w:t xml:space="preserve">the </w:t>
      </w:r>
      <w:r>
        <w:rPr>
          <w:rFonts w:cs="Times New Roman"/>
          <w:szCs w:val="24"/>
        </w:rPr>
        <w:t>carotenoid-hexane layer (extract) w</w:t>
      </w:r>
      <w:r w:rsidR="00C81BC9">
        <w:rPr>
          <w:rFonts w:cs="Times New Roman"/>
          <w:szCs w:val="24"/>
        </w:rPr>
        <w:t>ere</w:t>
      </w:r>
      <w:r>
        <w:rPr>
          <w:rFonts w:cs="Times New Roman"/>
          <w:szCs w:val="24"/>
        </w:rPr>
        <w:t xml:space="preserve"> then measured at 450 nm. Quantification of </w:t>
      </w:r>
      <w:r w:rsidRPr="008C4EB3">
        <w:rPr>
          <w:rFonts w:cs="Times New Roman"/>
          <w:szCs w:val="24"/>
        </w:rPr>
        <w:t xml:space="preserve">β-carotene </w:t>
      </w:r>
      <w:r>
        <w:rPr>
          <w:rFonts w:cs="Times New Roman"/>
          <w:szCs w:val="24"/>
        </w:rPr>
        <w:t xml:space="preserve">was achieved using a </w:t>
      </w:r>
      <w:r w:rsidR="00C81BC9" w:rsidRPr="00C81BC9">
        <w:rPr>
          <w:rFonts w:cs="Times New Roman"/>
          <w:szCs w:val="24"/>
        </w:rPr>
        <w:t xml:space="preserve">β-carotene </w:t>
      </w:r>
      <w:r>
        <w:rPr>
          <w:rFonts w:cs="Times New Roman"/>
          <w:szCs w:val="24"/>
        </w:rPr>
        <w:t xml:space="preserve">standard curve and was expressed as µg </w:t>
      </w:r>
      <w:r w:rsidRPr="008C4EB3">
        <w:rPr>
          <w:rFonts w:cs="Times New Roman"/>
          <w:szCs w:val="24"/>
        </w:rPr>
        <w:t>β-carotene</w:t>
      </w:r>
      <w:r>
        <w:rPr>
          <w:rFonts w:cs="Times New Roman"/>
          <w:szCs w:val="24"/>
        </w:rPr>
        <w:t xml:space="preserve"> equivalent/100 g, dry basis.</w:t>
      </w:r>
    </w:p>
    <w:p w14:paraId="5FC36659" w14:textId="36473331" w:rsidR="000671E2" w:rsidRPr="006A6E94" w:rsidRDefault="00D5016D" w:rsidP="006A6E94">
      <w:pPr>
        <w:spacing w:after="0"/>
        <w:rPr>
          <w:i/>
          <w:iCs/>
        </w:rPr>
      </w:pPr>
      <w:r w:rsidRPr="006A6E94">
        <w:rPr>
          <w:i/>
          <w:iCs/>
        </w:rPr>
        <w:t>In vitro</w:t>
      </w:r>
      <w:r w:rsidR="000671E2" w:rsidRPr="006A6E94">
        <w:rPr>
          <w:i/>
          <w:iCs/>
        </w:rPr>
        <w:t xml:space="preserve"> mineral dialysability assay</w:t>
      </w:r>
    </w:p>
    <w:p w14:paraId="663A4B0F" w14:textId="61FE0FD8" w:rsidR="000671E2" w:rsidRDefault="000671E2" w:rsidP="00941171">
      <w:r w:rsidRPr="00052E95">
        <w:t xml:space="preserve">The porridge formulations were subject to </w:t>
      </w:r>
      <w:r w:rsidR="00D5016D">
        <w:rPr>
          <w:i/>
          <w:iCs/>
        </w:rPr>
        <w:t>i</w:t>
      </w:r>
      <w:r w:rsidR="00D5016D" w:rsidRPr="00D5016D">
        <w:rPr>
          <w:i/>
          <w:iCs/>
        </w:rPr>
        <w:t>n vitro</w:t>
      </w:r>
      <w:r w:rsidRPr="00052E95">
        <w:t xml:space="preserve"> digestion to </w:t>
      </w:r>
      <w:r>
        <w:t>simulate</w:t>
      </w:r>
      <w:r w:rsidRPr="00052E95">
        <w:t xml:space="preserve"> </w:t>
      </w:r>
      <w:r>
        <w:t xml:space="preserve">the human </w:t>
      </w:r>
      <w:r w:rsidRPr="00052E95">
        <w:t>gastric and intestinal digestion</w:t>
      </w:r>
      <w:r>
        <w:t xml:space="preserve"> as described in Chapter </w:t>
      </w:r>
      <w:r w:rsidR="00C81BC9">
        <w:t>4.</w:t>
      </w:r>
      <w:r>
        <w:t>1.</w:t>
      </w:r>
    </w:p>
    <w:p w14:paraId="6F98FE9D" w14:textId="2373B823" w:rsidR="000671E2" w:rsidRPr="006A6E94" w:rsidRDefault="000671E2" w:rsidP="006A6E94">
      <w:pPr>
        <w:spacing w:after="0"/>
        <w:rPr>
          <w:i/>
          <w:iCs/>
        </w:rPr>
      </w:pPr>
      <w:r w:rsidRPr="006A6E94">
        <w:rPr>
          <w:i/>
          <w:iCs/>
        </w:rPr>
        <w:t>Assessment of mineral contents as compared to mineral requirements</w:t>
      </w:r>
    </w:p>
    <w:p w14:paraId="5B6CB556" w14:textId="59A8C731" w:rsidR="000671E2" w:rsidRDefault="000671E2" w:rsidP="00941171">
      <w:r w:rsidRPr="00052E95">
        <w:t>The contribution of iron, zinc, calcium and magnesium from</w:t>
      </w:r>
      <w:r>
        <w:t xml:space="preserve"> 100 g porridge (dry basis) (a 300–400 g serving size</w:t>
      </w:r>
      <w:r w:rsidRPr="00052E95">
        <w:t xml:space="preserve"> </w:t>
      </w:r>
      <w:r>
        <w:t>depending on its solids content)</w:t>
      </w:r>
      <w:r w:rsidRPr="00052E95">
        <w:t xml:space="preserve"> to the recommended nutrient intakes (RNI) for </w:t>
      </w:r>
      <w:r w:rsidR="006A6E94">
        <w:t xml:space="preserve">school age children (4–9 years) and adult </w:t>
      </w:r>
      <w:r w:rsidRPr="00052E95">
        <w:t>women</w:t>
      </w:r>
      <w:r w:rsidR="006A6E94">
        <w:t xml:space="preserve"> (19–50 years)</w:t>
      </w:r>
      <w:r w:rsidRPr="00052E95">
        <w:t xml:space="preserve"> was calculated and expressed as a percentage of the RNI</w:t>
      </w:r>
      <w:r>
        <w:t xml:space="preserve"> (</w:t>
      </w:r>
      <w:r w:rsidRPr="002C5294">
        <w:t xml:space="preserve">WHO </w:t>
      </w:r>
      <w:r w:rsidR="00C81BC9">
        <w:t>&amp;</w:t>
      </w:r>
      <w:r w:rsidRPr="002C5294">
        <w:t xml:space="preserve"> FAO, 2004</w:t>
      </w:r>
      <w:r>
        <w:t>)</w:t>
      </w:r>
      <w:r w:rsidRPr="00052E95">
        <w:t>.</w:t>
      </w:r>
      <w:r>
        <w:t xml:space="preserve"> Likewise, the percentage contribution that the bioaccessible iron and zinc in 100 g (dry basis) of the different porridge formulations could potentially make to the daily iron and zinc absolute requirement (AR) of </w:t>
      </w:r>
      <w:r w:rsidR="006A6E94">
        <w:t xml:space="preserve">the children and </w:t>
      </w:r>
      <w:r>
        <w:t>women was calculated (</w:t>
      </w:r>
      <w:r w:rsidRPr="002C5294">
        <w:t xml:space="preserve">WHO </w:t>
      </w:r>
      <w:r w:rsidR="00C81BC9">
        <w:t>&amp;</w:t>
      </w:r>
      <w:r w:rsidRPr="002C5294">
        <w:t xml:space="preserve"> FAO, 2004</w:t>
      </w:r>
      <w:r w:rsidR="009F19DC">
        <w:t xml:space="preserve">; </w:t>
      </w:r>
      <w:r w:rsidR="009F19DC" w:rsidRPr="000D7DDF">
        <w:t>Sandstead</w:t>
      </w:r>
      <w:r w:rsidR="009F19DC">
        <w:t>, 2015</w:t>
      </w:r>
      <w:r>
        <w:t>).</w:t>
      </w:r>
    </w:p>
    <w:p w14:paraId="598CC7A5" w14:textId="6C02065E" w:rsidR="000671E2" w:rsidRPr="006A6E94" w:rsidRDefault="000671E2" w:rsidP="006A6E94">
      <w:pPr>
        <w:spacing w:after="0"/>
        <w:rPr>
          <w:i/>
          <w:iCs/>
        </w:rPr>
      </w:pPr>
      <w:r w:rsidRPr="006A6E94">
        <w:rPr>
          <w:i/>
          <w:iCs/>
        </w:rPr>
        <w:t>Statistical analyses</w:t>
      </w:r>
    </w:p>
    <w:p w14:paraId="1B96AFD3" w14:textId="1665E631" w:rsidR="00CC0726" w:rsidRDefault="000671E2" w:rsidP="00941171">
      <w:pPr>
        <w:rPr>
          <w:lang w:val="en-US"/>
        </w:rPr>
      </w:pPr>
      <w:r>
        <w:rPr>
          <w:color w:val="000000" w:themeColor="text1"/>
        </w:rPr>
        <w:t>The compositional analyses on the plant foods were conducted in duplicate</w:t>
      </w:r>
      <w:r w:rsidR="00C81BC9">
        <w:rPr>
          <w:color w:val="000000" w:themeColor="text1"/>
        </w:rPr>
        <w:t>-</w:t>
      </w:r>
      <w:r w:rsidR="006A6E94">
        <w:rPr>
          <w:color w:val="000000" w:themeColor="text1"/>
        </w:rPr>
        <w:t xml:space="preserve">quadruplicate </w:t>
      </w:r>
      <w:r>
        <w:rPr>
          <w:color w:val="000000" w:themeColor="text1"/>
        </w:rPr>
        <w:t>and analysed twice</w:t>
      </w:r>
      <w:r w:rsidR="003B6B08">
        <w:rPr>
          <w:color w:val="000000" w:themeColor="text1"/>
        </w:rPr>
        <w:t xml:space="preserve"> i.e. independent digestion or extraction were performed 2–4 times with each of the digests or extract analysed twice</w:t>
      </w:r>
      <w:r>
        <w:rPr>
          <w:color w:val="000000" w:themeColor="text1"/>
        </w:rPr>
        <w:t xml:space="preserve">. Independent bioaccessibility experiments were performed two times with the intestinal step being each time performed three times. </w:t>
      </w:r>
      <w:r w:rsidRPr="00DF3389">
        <w:rPr>
          <w:color w:val="000000" w:themeColor="text1"/>
        </w:rPr>
        <w:t xml:space="preserve">Data were analysed </w:t>
      </w:r>
      <w:r>
        <w:rPr>
          <w:color w:val="000000" w:themeColor="text1"/>
        </w:rPr>
        <w:t>using</w:t>
      </w:r>
      <w:r w:rsidRPr="00DF3389">
        <w:rPr>
          <w:color w:val="000000" w:themeColor="text1"/>
        </w:rPr>
        <w:t xml:space="preserve"> one-way analysis of variance (ANOVA) </w:t>
      </w:r>
      <w:r>
        <w:rPr>
          <w:color w:val="000000" w:themeColor="text1"/>
        </w:rPr>
        <w:t>with</w:t>
      </w:r>
      <w:r w:rsidRPr="00DF3389">
        <w:rPr>
          <w:lang w:val="en-US"/>
        </w:rPr>
        <w:t xml:space="preserve"> SPSS Statistics</w:t>
      </w:r>
      <w:r>
        <w:rPr>
          <w:lang w:val="en-US"/>
        </w:rPr>
        <w:t xml:space="preserve"> software</w:t>
      </w:r>
      <w:r w:rsidRPr="00DF3389">
        <w:rPr>
          <w:lang w:val="en-US"/>
        </w:rPr>
        <w:t xml:space="preserve"> </w:t>
      </w:r>
      <w:r>
        <w:rPr>
          <w:lang w:val="en-US"/>
        </w:rPr>
        <w:t>16</w:t>
      </w:r>
      <w:r w:rsidRPr="00DF3389">
        <w:rPr>
          <w:lang w:val="en-US"/>
        </w:rPr>
        <w:t xml:space="preserve">.0 </w:t>
      </w:r>
      <w:r w:rsidR="00C81BC9">
        <w:rPr>
          <w:lang w:val="en-US"/>
        </w:rPr>
        <w:t>(</w:t>
      </w:r>
      <w:r>
        <w:rPr>
          <w:color w:val="000000" w:themeColor="text1"/>
        </w:rPr>
        <w:t>Chicago, USA</w:t>
      </w:r>
      <w:r w:rsidRPr="00DF3389">
        <w:rPr>
          <w:lang w:val="en-US"/>
        </w:rPr>
        <w:t xml:space="preserve">. Tukey’s </w:t>
      </w:r>
      <w:r>
        <w:rPr>
          <w:lang w:val="en-US"/>
        </w:rPr>
        <w:t>Honest Significant Difference</w:t>
      </w:r>
      <w:r w:rsidRPr="00DF3389">
        <w:rPr>
          <w:lang w:val="en-US"/>
        </w:rPr>
        <w:t xml:space="preserve"> </w:t>
      </w:r>
      <w:r>
        <w:rPr>
          <w:lang w:val="en-US"/>
        </w:rPr>
        <w:t>(</w:t>
      </w:r>
      <w:r w:rsidRPr="00DF3389">
        <w:rPr>
          <w:lang w:val="en-US"/>
        </w:rPr>
        <w:t>HSD</w:t>
      </w:r>
      <w:r>
        <w:rPr>
          <w:lang w:val="en-US"/>
        </w:rPr>
        <w:t>)</w:t>
      </w:r>
      <w:r w:rsidRPr="00DF3389">
        <w:rPr>
          <w:lang w:val="en-US"/>
        </w:rPr>
        <w:t xml:space="preserve"> Post-hoc test was applied to determine significant differences between specific means at a confidence level of 95% (</w:t>
      </w:r>
      <w:r w:rsidRPr="00AE1C6D">
        <w:rPr>
          <w:i/>
          <w:lang w:val="en-US"/>
        </w:rPr>
        <w:t>p</w:t>
      </w:r>
      <w:r w:rsidRPr="00DF3389">
        <w:rPr>
          <w:lang w:val="en-US"/>
        </w:rPr>
        <w:t xml:space="preserve">&lt;0.05). Fisher’s </w:t>
      </w:r>
      <w:r>
        <w:rPr>
          <w:lang w:val="en-US"/>
        </w:rPr>
        <w:t>Least Significant Difference</w:t>
      </w:r>
      <w:r w:rsidRPr="00DF3389">
        <w:rPr>
          <w:lang w:val="en-US"/>
        </w:rPr>
        <w:t xml:space="preserve"> </w:t>
      </w:r>
      <w:r>
        <w:rPr>
          <w:lang w:val="en-US"/>
        </w:rPr>
        <w:t>(</w:t>
      </w:r>
      <w:r w:rsidRPr="00DF3389">
        <w:rPr>
          <w:lang w:val="en-US"/>
        </w:rPr>
        <w:t>LSD</w:t>
      </w:r>
      <w:r>
        <w:rPr>
          <w:lang w:val="en-US"/>
        </w:rPr>
        <w:t>)</w:t>
      </w:r>
      <w:r w:rsidRPr="00DF3389">
        <w:rPr>
          <w:lang w:val="en-US"/>
        </w:rPr>
        <w:t xml:space="preserve"> Post-hoc test was also applied for pair-wise comparison between the control </w:t>
      </w:r>
      <w:r>
        <w:rPr>
          <w:lang w:val="en-US"/>
        </w:rPr>
        <w:t>unfortified cereal porridges</w:t>
      </w:r>
      <w:r w:rsidRPr="00DF3389">
        <w:rPr>
          <w:lang w:val="en-US"/>
        </w:rPr>
        <w:t xml:space="preserve"> and the</w:t>
      </w:r>
      <w:r>
        <w:rPr>
          <w:lang w:val="en-US"/>
        </w:rPr>
        <w:t>ir fortified cereal porridge test formulations at a confidence level of 95%.</w:t>
      </w:r>
    </w:p>
    <w:p w14:paraId="4B670FD3" w14:textId="4BD6EA4B" w:rsidR="008F593A" w:rsidRDefault="008F593A" w:rsidP="006A6E94">
      <w:pPr>
        <w:spacing w:after="0"/>
        <w:rPr>
          <w:lang w:val="en-US"/>
        </w:rPr>
      </w:pPr>
    </w:p>
    <w:p w14:paraId="3C685FDC" w14:textId="0E982C09" w:rsidR="009053A7" w:rsidRDefault="009053A7" w:rsidP="00941171">
      <w:pPr>
        <w:pStyle w:val="Heading3"/>
        <w:rPr>
          <w:lang w:val="en-ZA"/>
        </w:rPr>
      </w:pPr>
      <w:bookmarkStart w:id="135" w:name="_Toc65253611"/>
      <w:r w:rsidRPr="002E367F">
        <w:rPr>
          <w:lang w:val="en-ZA"/>
        </w:rPr>
        <w:t>4.3.4</w:t>
      </w:r>
      <w:r w:rsidR="00941171">
        <w:rPr>
          <w:lang w:val="en-ZA"/>
        </w:rPr>
        <w:tab/>
      </w:r>
      <w:r w:rsidRPr="002E367F">
        <w:rPr>
          <w:lang w:val="en-ZA"/>
        </w:rPr>
        <w:t>R</w:t>
      </w:r>
      <w:r w:rsidR="00941171" w:rsidRPr="002E367F">
        <w:rPr>
          <w:lang w:val="en-ZA"/>
        </w:rPr>
        <w:t>esults and discussion</w:t>
      </w:r>
      <w:bookmarkEnd w:id="135"/>
    </w:p>
    <w:p w14:paraId="0B325690" w14:textId="29863C17" w:rsidR="009053A7" w:rsidRDefault="009053A7" w:rsidP="00941171">
      <w:pPr>
        <w:pStyle w:val="Heading4"/>
        <w:rPr>
          <w:lang w:val="en-ZA"/>
        </w:rPr>
      </w:pPr>
      <w:bookmarkStart w:id="136" w:name="_Toc65253612"/>
      <w:r>
        <w:rPr>
          <w:lang w:val="en-ZA"/>
        </w:rPr>
        <w:t>4.3.4.1</w:t>
      </w:r>
      <w:r w:rsidR="00941171">
        <w:rPr>
          <w:lang w:val="en-ZA"/>
        </w:rPr>
        <w:tab/>
      </w:r>
      <w:r>
        <w:rPr>
          <w:lang w:val="en-ZA"/>
        </w:rPr>
        <w:t>Mineral contents</w:t>
      </w:r>
      <w:bookmarkEnd w:id="136"/>
    </w:p>
    <w:p w14:paraId="252F8B69" w14:textId="73AA6A03" w:rsidR="009053A7" w:rsidRDefault="009053A7" w:rsidP="00941171">
      <w:r>
        <w:rPr>
          <w:lang w:val="en-ZA"/>
        </w:rPr>
        <w:t xml:space="preserve">Carrot powder had the highest iron content of the maize porridge ingredients, twice as high compared to wholegrain maize (Table </w:t>
      </w:r>
      <w:r w:rsidR="00292ABA">
        <w:rPr>
          <w:lang w:val="en-ZA"/>
        </w:rPr>
        <w:t>4.3.</w:t>
      </w:r>
      <w:r>
        <w:rPr>
          <w:lang w:val="en-ZA"/>
        </w:rPr>
        <w:t xml:space="preserve">1). The iron content of carrot is in the range of reported values (4.1–6.1 mg/100 g) (Wierzbowska et al., 2017; USDA, 2019).  However, fortification of maize porridge with carrot plus mango powder (1:1 ratio) or in combination with baobab fruit, at a 100:15 and 100:15:15 ratio, respectively slightly decreased the iron content of the fortified maize-based porridges. This was due to the relatively low iron contents of mango and baobab (1.75–1.85 mg/100 g). </w:t>
      </w:r>
      <w:r>
        <w:t xml:space="preserve">According to the CODEX standards, a food source is regarded as a significant source of a mineral if one serving meets </w:t>
      </w:r>
      <w:r w:rsidR="00E96D5F">
        <w:t>at least</w:t>
      </w:r>
      <w:r>
        <w:t xml:space="preserve"> 15% of the </w:t>
      </w:r>
      <w:r w:rsidRPr="00A967D7">
        <w:t>recommended nutrient intake</w:t>
      </w:r>
      <w:r>
        <w:t xml:space="preserve"> (RNI) (Lewis, 2019). However, none of</w:t>
      </w:r>
      <w:r>
        <w:rPr>
          <w:lang w:val="en-ZA"/>
        </w:rPr>
        <w:t xml:space="preserve"> the maize porridge formulations (a 100 g (dry basis) serving) contributed 15% of the daily iron </w:t>
      </w:r>
      <w:r w:rsidRPr="00A967D7">
        <w:t xml:space="preserve">RNI for </w:t>
      </w:r>
      <w:r>
        <w:rPr>
          <w:lang w:val="en-ZA"/>
        </w:rPr>
        <w:t>school-age children and</w:t>
      </w:r>
      <w:r w:rsidRPr="00A967D7">
        <w:t xml:space="preserve"> women </w:t>
      </w:r>
      <w:r>
        <w:t xml:space="preserve">(19–50 years), </w:t>
      </w:r>
      <w:r w:rsidRPr="00727F03">
        <w:t>at 5% iron bioavailability</w:t>
      </w:r>
      <w:r>
        <w:t xml:space="preserve">. This was due to their low iron contents. The </w:t>
      </w:r>
      <w:r w:rsidRPr="00A967D7">
        <w:t xml:space="preserve">5% </w:t>
      </w:r>
      <w:r>
        <w:t>level of iron bioavailability (</w:t>
      </w:r>
      <w:r w:rsidRPr="00A967D7">
        <w:t xml:space="preserve">lowest level of </w:t>
      </w:r>
      <w:r>
        <w:t>iron</w:t>
      </w:r>
      <w:r w:rsidRPr="00A967D7">
        <w:t xml:space="preserve"> bioavailability</w:t>
      </w:r>
      <w:r>
        <w:t>)</w:t>
      </w:r>
      <w:r w:rsidRPr="00A967D7">
        <w:t xml:space="preserve"> </w:t>
      </w:r>
      <w:r>
        <w:t>i</w:t>
      </w:r>
      <w:r w:rsidR="006A6E94">
        <w:t>s expected</w:t>
      </w:r>
      <w:r>
        <w:t xml:space="preserve"> </w:t>
      </w:r>
      <w:r w:rsidRPr="00A967D7">
        <w:t xml:space="preserve">for plant-based diet </w:t>
      </w:r>
      <w:r>
        <w:t>high in mineral bioavailability inhibitors such as phytate and polyphenols</w:t>
      </w:r>
      <w:r w:rsidRPr="00A967D7">
        <w:t xml:space="preserve"> (WHO </w:t>
      </w:r>
      <w:r w:rsidR="00E96D5F">
        <w:t>&amp;</w:t>
      </w:r>
      <w:r w:rsidRPr="00A967D7">
        <w:t xml:space="preserve"> FAO, 200</w:t>
      </w:r>
      <w:r>
        <w:t>4</w:t>
      </w:r>
      <w:r w:rsidRPr="00A967D7">
        <w:t>)</w:t>
      </w:r>
      <w:r>
        <w:t xml:space="preserve">. In contrast to these findings, the iron contribution of </w:t>
      </w:r>
      <w:r w:rsidR="006A6E94">
        <w:t>FeSO</w:t>
      </w:r>
      <w:r w:rsidR="006A6E94" w:rsidRPr="006A6E94">
        <w:rPr>
          <w:vertAlign w:val="subscript"/>
        </w:rPr>
        <w:t>4</w:t>
      </w:r>
      <w:r w:rsidR="006A6E94">
        <w:t xml:space="preserve"> fortified </w:t>
      </w:r>
      <w:r>
        <w:t xml:space="preserve">complex maize-based porridges containing carrot plus mango </w:t>
      </w:r>
      <w:r w:rsidR="006A6E94">
        <w:t>and</w:t>
      </w:r>
      <w:r>
        <w:t xml:space="preserve"> </w:t>
      </w:r>
      <w:r w:rsidR="006A6E94">
        <w:t xml:space="preserve">fortified </w:t>
      </w:r>
      <w:r>
        <w:t>with baobab (</w:t>
      </w:r>
      <w:r w:rsidR="006A6E94">
        <w:t>C</w:t>
      </w:r>
      <w:r>
        <w:t xml:space="preserve">hapter </w:t>
      </w:r>
      <w:r w:rsidR="00E96D5F">
        <w:t>4.</w:t>
      </w:r>
      <w:r>
        <w:t>2) would meet this CODEX as they were specifically fortified to meet approx</w:t>
      </w:r>
      <w:r w:rsidR="006A6E94">
        <w:t>imately</w:t>
      </w:r>
      <w:r>
        <w:t xml:space="preserve"> 20% of the iron RNI for women (19–50 years).</w:t>
      </w:r>
    </w:p>
    <w:p w14:paraId="2C03FE5B" w14:textId="77777777" w:rsidR="009053A7" w:rsidRDefault="009053A7" w:rsidP="006A6E94">
      <w:pPr>
        <w:spacing w:after="0"/>
      </w:pPr>
    </w:p>
    <w:p w14:paraId="3041C047" w14:textId="360B02F8" w:rsidR="009053A7" w:rsidRDefault="009053A7" w:rsidP="00941171">
      <w:r>
        <w:t xml:space="preserve">Carrot was also highest in zinc, approx. 76% higher than maize </w:t>
      </w:r>
      <w:r w:rsidRPr="006A6E94">
        <w:t xml:space="preserve">(Table </w:t>
      </w:r>
      <w:r w:rsidR="006A6E94" w:rsidRPr="006A6E94">
        <w:t>4.3.</w:t>
      </w:r>
      <w:r w:rsidRPr="006A6E94">
        <w:t>1)</w:t>
      </w:r>
      <w:r>
        <w:t xml:space="preserve">. However, fortification of maize porridge with carrot plus mango or in combination with baobab at the </w:t>
      </w:r>
      <w:r w:rsidR="006A6E94">
        <w:t>100:</w:t>
      </w:r>
      <w:r>
        <w:t xml:space="preserve">15 and 100:15:15 ratio, respectively made no difference to the zinc contents and the fortified-porridges’ contribution to the zinc RNIs. This was due to the low zinc contents of mango and baobab, which were approx. 78% and 40% </w:t>
      </w:r>
      <w:r w:rsidR="00E96D5F">
        <w:t>less than</w:t>
      </w:r>
      <w:r>
        <w:t xml:space="preserve"> maize. However, carrot and mango fortified</w:t>
      </w:r>
      <w:r w:rsidR="006A6E94">
        <w:t xml:space="preserve"> </w:t>
      </w:r>
      <w:r>
        <w:t xml:space="preserve">porridge’s zinc contribution to the RNI for women (19–50 years) (16.3%) was slightly higher than 13.6% from maize-based porridge containing carrot plus mango in </w:t>
      </w:r>
      <w:r w:rsidR="006A6E94">
        <w:t>C</w:t>
      </w:r>
      <w:r>
        <w:t xml:space="preserve">hapter </w:t>
      </w:r>
      <w:r w:rsidR="00E96D5F">
        <w:t>4.</w:t>
      </w:r>
      <w:r>
        <w:t xml:space="preserve">2. This was because the proportion of carrot in the fortified porridge </w:t>
      </w:r>
      <w:r w:rsidR="00E96D5F">
        <w:t xml:space="preserve">in this present study </w:t>
      </w:r>
      <w:r>
        <w:t>was a</w:t>
      </w:r>
      <w:r w:rsidR="00C50D14">
        <w:t>pproximately</w:t>
      </w:r>
      <w:r>
        <w:t xml:space="preserve"> twice as </w:t>
      </w:r>
      <w:r w:rsidR="00E96D5F">
        <w:t>high</w:t>
      </w:r>
      <w:r>
        <w:t>.</w:t>
      </w:r>
    </w:p>
    <w:p w14:paraId="657A27C0" w14:textId="77777777" w:rsidR="009053A7" w:rsidRDefault="009053A7" w:rsidP="006A6E94">
      <w:pPr>
        <w:spacing w:after="0"/>
      </w:pPr>
    </w:p>
    <w:p w14:paraId="0EE71485" w14:textId="0D0FD57B" w:rsidR="008F593A" w:rsidRDefault="009053A7" w:rsidP="00941171">
      <w:r>
        <w:t>Due to the relatively high calcium content of carrot and mango (</w:t>
      </w:r>
      <w:r w:rsidRPr="006A6E94">
        <w:t>Table</w:t>
      </w:r>
      <w:r>
        <w:t xml:space="preserve"> </w:t>
      </w:r>
      <w:r w:rsidR="006A6E94">
        <w:t>4.3.</w:t>
      </w:r>
      <w:r>
        <w:t>1)</w:t>
      </w:r>
      <w:r w:rsidR="00E96D5F">
        <w:t>,</w:t>
      </w:r>
      <w:r>
        <w:t xml:space="preserve"> fortification of maize porridge with carrot plus mango increased the calcium content from 5.1 mg/100 g to 17.4 mg/100 g. However, due to the relatively low magnesium contents of carrot and mango, their fortification of maize porridge decreased the magnesium content by a very small percentage (5%</w:t>
      </w:r>
      <w:r w:rsidR="00C50D14">
        <w:t>),</w:t>
      </w:r>
      <w:r>
        <w:t xml:space="preserve"> but which was statistically significant (</w:t>
      </w:r>
      <w:r w:rsidRPr="002B728D">
        <w:rPr>
          <w:i/>
          <w:iCs/>
        </w:rPr>
        <w:t>p</w:t>
      </w:r>
      <w:r w:rsidR="00B24B9A">
        <w:t>&lt;</w:t>
      </w:r>
      <w:r>
        <w:t>0.05). In contrast, baobab fortification of the carrot plus mango fortified maize porridge increased both the calcium and magnesium contents, by 986% and 5%</w:t>
      </w:r>
      <w:r w:rsidR="006C10AC">
        <w:t xml:space="preserve"> (</w:t>
      </w:r>
      <w:r w:rsidR="006C10AC" w:rsidRPr="002B728D">
        <w:rPr>
          <w:i/>
          <w:iCs/>
        </w:rPr>
        <w:t>p</w:t>
      </w:r>
      <w:r w:rsidR="006C10AC">
        <w:t>&lt;0.05)</w:t>
      </w:r>
      <w:r>
        <w:t>, respectively compared to unfortified maize porridge. This was due to baobab’s relatively high calcium and magnesium contents, which were 71- and 2-fold higher, respectively compared to maize.</w:t>
      </w:r>
    </w:p>
    <w:p w14:paraId="683DB01E" w14:textId="219A66B6" w:rsidR="009053A7" w:rsidRDefault="009053A7">
      <w:pPr>
        <w:spacing w:after="160" w:line="259" w:lineRule="auto"/>
        <w:rPr>
          <w:rFonts w:eastAsia="Times New Roman" w:cs="Times New Roman"/>
          <w:szCs w:val="24"/>
        </w:rPr>
      </w:pPr>
      <w:r>
        <w:rPr>
          <w:rFonts w:eastAsia="Times New Roman" w:cs="Times New Roman"/>
          <w:szCs w:val="24"/>
        </w:rPr>
        <w:br w:type="page"/>
      </w:r>
    </w:p>
    <w:p w14:paraId="3B63189A" w14:textId="77777777" w:rsidR="009053A7" w:rsidRDefault="009053A7" w:rsidP="009053A7">
      <w:pPr>
        <w:rPr>
          <w:rFonts w:eastAsia="Times New Roman" w:cs="Times New Roman"/>
          <w:szCs w:val="24"/>
        </w:rPr>
        <w:sectPr w:rsidR="009053A7" w:rsidSect="0097694E">
          <w:pgSz w:w="11907" w:h="16839" w:code="9"/>
          <w:pgMar w:top="1440" w:right="1440" w:bottom="1440" w:left="1440" w:header="720" w:footer="720" w:gutter="0"/>
          <w:cols w:space="720"/>
          <w:docGrid w:linePitch="360"/>
        </w:sectPr>
      </w:pPr>
    </w:p>
    <w:p w14:paraId="54D9C3AB" w14:textId="4D9BB7DC" w:rsidR="009053A7" w:rsidRPr="000B0DA3" w:rsidRDefault="009053A7" w:rsidP="006A6E94">
      <w:pPr>
        <w:pStyle w:val="MyTables"/>
        <w:spacing w:line="240" w:lineRule="auto"/>
      </w:pPr>
      <w:bookmarkStart w:id="137" w:name="_Toc65253639"/>
      <w:r w:rsidRPr="00A34C41">
        <w:rPr>
          <w:b/>
          <w:bCs/>
          <w:lang w:val="en-ZA"/>
        </w:rPr>
        <w:t xml:space="preserve">Table </w:t>
      </w:r>
      <w:r w:rsidR="00A34C41" w:rsidRPr="00A34C41">
        <w:rPr>
          <w:b/>
          <w:bCs/>
          <w:lang w:val="en-ZA"/>
        </w:rPr>
        <w:t>4.3.</w:t>
      </w:r>
      <w:r w:rsidRPr="00A34C41">
        <w:rPr>
          <w:b/>
          <w:bCs/>
          <w:lang w:val="en-ZA"/>
        </w:rPr>
        <w:t>1:</w:t>
      </w:r>
      <w:r>
        <w:rPr>
          <w:lang w:val="en-ZA"/>
        </w:rPr>
        <w:t xml:space="preserve"> </w:t>
      </w:r>
      <w:r w:rsidRPr="00A967D7">
        <w:t>Mineral contents (mg/100 g</w:t>
      </w:r>
      <w:r>
        <w:t>,</w:t>
      </w:r>
      <w:r w:rsidRPr="00A967D7">
        <w:t xml:space="preserve"> dry basis) of </w:t>
      </w:r>
      <w:r>
        <w:t>wet cooked wholegrain maize-based porridge formulations and their ingredients with</w:t>
      </w:r>
      <w:r w:rsidRPr="00A967D7">
        <w:t xml:space="preserve"> their estimated percentage </w:t>
      </w:r>
      <w:r>
        <w:t>iron and zinc</w:t>
      </w:r>
      <w:r w:rsidRPr="00A967D7">
        <w:t xml:space="preserve"> contribution</w:t>
      </w:r>
      <w:r>
        <w:t>s</w:t>
      </w:r>
      <w:r w:rsidRPr="00A967D7">
        <w:t xml:space="preserve"> to the daily recommended nutrient intake</w:t>
      </w:r>
      <w:r>
        <w:t>s</w:t>
      </w:r>
      <w:r w:rsidRPr="00A967D7">
        <w:t xml:space="preserve"> (RNI)</w:t>
      </w:r>
      <w:r w:rsidRPr="003943B5">
        <w:rPr>
          <w:vertAlign w:val="superscript"/>
        </w:rPr>
        <w:t>#</w:t>
      </w:r>
      <w:r w:rsidRPr="00A967D7">
        <w:t xml:space="preserve"> for </w:t>
      </w:r>
      <w:r>
        <w:t xml:space="preserve">school-age children (7–9 years) and </w:t>
      </w:r>
      <w:r w:rsidRPr="00A967D7">
        <w:t>women</w:t>
      </w:r>
      <w:r>
        <w:t xml:space="preserve"> of 19–50 years,  approximately childbearing age</w:t>
      </w:r>
      <w:bookmarkEnd w:id="137"/>
    </w:p>
    <w:tbl>
      <w:tblPr>
        <w:tblW w:w="15706" w:type="dxa"/>
        <w:tblInd w:w="-572" w:type="dxa"/>
        <w:tblBorders>
          <w:top w:val="single" w:sz="4" w:space="0" w:color="auto"/>
          <w:bottom w:val="single" w:sz="4" w:space="0" w:color="auto"/>
        </w:tblBorders>
        <w:tblLook w:val="04A0" w:firstRow="1" w:lastRow="0" w:firstColumn="1" w:lastColumn="0" w:noHBand="0" w:noVBand="1"/>
      </w:tblPr>
      <w:tblGrid>
        <w:gridCol w:w="3129"/>
        <w:gridCol w:w="1077"/>
        <w:gridCol w:w="1164"/>
        <w:gridCol w:w="1051"/>
        <w:gridCol w:w="1187"/>
        <w:gridCol w:w="1041"/>
        <w:gridCol w:w="1772"/>
        <w:gridCol w:w="1772"/>
        <w:gridCol w:w="1765"/>
        <w:gridCol w:w="1748"/>
      </w:tblGrid>
      <w:tr w:rsidR="009053A7" w:rsidRPr="00495671" w14:paraId="39AB8E66" w14:textId="77777777" w:rsidTr="009053A7">
        <w:tc>
          <w:tcPr>
            <w:tcW w:w="3129" w:type="dxa"/>
            <w:tcBorders>
              <w:top w:val="single" w:sz="4" w:space="0" w:color="auto"/>
              <w:bottom w:val="single" w:sz="4" w:space="0" w:color="auto"/>
            </w:tcBorders>
          </w:tcPr>
          <w:p w14:paraId="4134590D" w14:textId="77777777" w:rsidR="009053A7" w:rsidRPr="00495671" w:rsidRDefault="009053A7" w:rsidP="00C50D14">
            <w:pPr>
              <w:spacing w:after="0" w:line="240" w:lineRule="auto"/>
              <w:jc w:val="left"/>
              <w:rPr>
                <w:rFonts w:cs="Times New Roman"/>
                <w:b/>
                <w:bCs/>
                <w:sz w:val="22"/>
                <w:lang w:val="en-ZA"/>
              </w:rPr>
            </w:pPr>
            <w:r w:rsidRPr="00495671">
              <w:rPr>
                <w:rFonts w:cs="Times New Roman"/>
                <w:b/>
                <w:bCs/>
                <w:sz w:val="22"/>
                <w:lang w:val="en-ZA"/>
              </w:rPr>
              <w:t xml:space="preserve">Porridge ingredients and formulations </w:t>
            </w:r>
          </w:p>
        </w:tc>
        <w:tc>
          <w:tcPr>
            <w:tcW w:w="1077" w:type="dxa"/>
            <w:tcBorders>
              <w:top w:val="single" w:sz="4" w:space="0" w:color="auto"/>
              <w:bottom w:val="single" w:sz="4" w:space="0" w:color="auto"/>
            </w:tcBorders>
          </w:tcPr>
          <w:p w14:paraId="10493113" w14:textId="77777777" w:rsidR="009053A7" w:rsidRPr="00495671" w:rsidRDefault="009053A7" w:rsidP="009053A7">
            <w:pPr>
              <w:spacing w:after="0" w:line="240" w:lineRule="auto"/>
              <w:jc w:val="center"/>
              <w:rPr>
                <w:rFonts w:cs="Times New Roman"/>
                <w:b/>
                <w:bCs/>
                <w:sz w:val="22"/>
                <w:lang w:val="en-ZA"/>
              </w:rPr>
            </w:pPr>
            <w:r w:rsidRPr="00495671">
              <w:rPr>
                <w:rFonts w:cs="Times New Roman"/>
                <w:b/>
                <w:bCs/>
                <w:sz w:val="22"/>
                <w:lang w:val="en-ZA"/>
              </w:rPr>
              <w:t>Fe</w:t>
            </w:r>
          </w:p>
        </w:tc>
        <w:tc>
          <w:tcPr>
            <w:tcW w:w="1164" w:type="dxa"/>
            <w:tcBorders>
              <w:top w:val="single" w:sz="4" w:space="0" w:color="auto"/>
              <w:bottom w:val="single" w:sz="4" w:space="0" w:color="auto"/>
            </w:tcBorders>
          </w:tcPr>
          <w:p w14:paraId="62EC6836" w14:textId="77777777" w:rsidR="009053A7" w:rsidRPr="00495671" w:rsidRDefault="009053A7" w:rsidP="009053A7">
            <w:pPr>
              <w:spacing w:after="0" w:line="240" w:lineRule="auto"/>
              <w:jc w:val="center"/>
              <w:rPr>
                <w:rFonts w:cs="Times New Roman"/>
                <w:b/>
                <w:bCs/>
                <w:sz w:val="22"/>
                <w:lang w:val="en-ZA"/>
              </w:rPr>
            </w:pPr>
            <w:r w:rsidRPr="00495671">
              <w:rPr>
                <w:rFonts w:cs="Times New Roman"/>
                <w:b/>
                <w:bCs/>
                <w:sz w:val="22"/>
                <w:lang w:val="en-ZA"/>
              </w:rPr>
              <w:t>Zn</w:t>
            </w:r>
          </w:p>
        </w:tc>
        <w:tc>
          <w:tcPr>
            <w:tcW w:w="1051" w:type="dxa"/>
            <w:tcBorders>
              <w:top w:val="single" w:sz="4" w:space="0" w:color="auto"/>
              <w:bottom w:val="single" w:sz="4" w:space="0" w:color="auto"/>
            </w:tcBorders>
          </w:tcPr>
          <w:p w14:paraId="2266D64E" w14:textId="77777777" w:rsidR="009053A7" w:rsidRPr="00495671" w:rsidRDefault="009053A7" w:rsidP="009053A7">
            <w:pPr>
              <w:spacing w:after="0" w:line="240" w:lineRule="auto"/>
              <w:jc w:val="center"/>
              <w:rPr>
                <w:rFonts w:cs="Times New Roman"/>
                <w:b/>
                <w:bCs/>
                <w:sz w:val="22"/>
                <w:lang w:val="en-ZA"/>
              </w:rPr>
            </w:pPr>
            <w:r w:rsidRPr="00495671">
              <w:rPr>
                <w:rFonts w:cs="Times New Roman"/>
                <w:b/>
                <w:bCs/>
                <w:sz w:val="22"/>
                <w:lang w:val="en-ZA"/>
              </w:rPr>
              <w:t>Ca</w:t>
            </w:r>
          </w:p>
        </w:tc>
        <w:tc>
          <w:tcPr>
            <w:tcW w:w="1187" w:type="dxa"/>
            <w:tcBorders>
              <w:top w:val="single" w:sz="4" w:space="0" w:color="auto"/>
              <w:bottom w:val="single" w:sz="4" w:space="0" w:color="auto"/>
            </w:tcBorders>
          </w:tcPr>
          <w:p w14:paraId="5E383D62" w14:textId="77777777" w:rsidR="009053A7" w:rsidRPr="00495671" w:rsidRDefault="009053A7" w:rsidP="009053A7">
            <w:pPr>
              <w:spacing w:after="0" w:line="240" w:lineRule="auto"/>
              <w:jc w:val="center"/>
              <w:rPr>
                <w:rFonts w:cs="Times New Roman"/>
                <w:b/>
                <w:bCs/>
                <w:sz w:val="22"/>
                <w:lang w:val="en-ZA"/>
              </w:rPr>
            </w:pPr>
            <w:r w:rsidRPr="00495671">
              <w:rPr>
                <w:rFonts w:cs="Times New Roman"/>
                <w:b/>
                <w:bCs/>
                <w:sz w:val="22"/>
                <w:lang w:val="en-ZA"/>
              </w:rPr>
              <w:t>Mg</w:t>
            </w:r>
          </w:p>
        </w:tc>
        <w:tc>
          <w:tcPr>
            <w:tcW w:w="1041" w:type="dxa"/>
            <w:tcBorders>
              <w:top w:val="single" w:sz="4" w:space="0" w:color="auto"/>
              <w:bottom w:val="single" w:sz="4" w:space="0" w:color="auto"/>
            </w:tcBorders>
          </w:tcPr>
          <w:p w14:paraId="2E97CAA5" w14:textId="77777777" w:rsidR="009053A7" w:rsidRPr="00495671" w:rsidRDefault="009053A7" w:rsidP="009053A7">
            <w:pPr>
              <w:spacing w:after="0" w:line="240" w:lineRule="auto"/>
              <w:jc w:val="center"/>
              <w:rPr>
                <w:rFonts w:cs="Times New Roman"/>
                <w:b/>
                <w:bCs/>
                <w:sz w:val="22"/>
                <w:lang w:val="en-ZA"/>
              </w:rPr>
            </w:pPr>
            <w:r w:rsidRPr="00495671">
              <w:rPr>
                <w:rFonts w:cs="Times New Roman"/>
                <w:b/>
                <w:bCs/>
                <w:sz w:val="22"/>
                <w:lang w:val="en-ZA"/>
              </w:rPr>
              <w:t>P</w:t>
            </w:r>
          </w:p>
        </w:tc>
        <w:tc>
          <w:tcPr>
            <w:tcW w:w="1772" w:type="dxa"/>
            <w:tcBorders>
              <w:top w:val="single" w:sz="4" w:space="0" w:color="auto"/>
              <w:bottom w:val="single" w:sz="4" w:space="0" w:color="auto"/>
            </w:tcBorders>
          </w:tcPr>
          <w:p w14:paraId="1045E0F4" w14:textId="77777777" w:rsidR="009053A7" w:rsidRPr="00495671" w:rsidRDefault="009053A7" w:rsidP="009053A7">
            <w:pPr>
              <w:spacing w:after="0" w:line="240" w:lineRule="auto"/>
              <w:jc w:val="center"/>
              <w:rPr>
                <w:rFonts w:cs="Times New Roman"/>
                <w:b/>
                <w:bCs/>
                <w:sz w:val="22"/>
                <w:lang w:val="en-ZA"/>
              </w:rPr>
            </w:pPr>
            <w:r w:rsidRPr="00495671">
              <w:rPr>
                <w:rFonts w:cs="Times New Roman"/>
                <w:b/>
                <w:bCs/>
                <w:sz w:val="22"/>
                <w:lang w:val="en-ZA"/>
              </w:rPr>
              <w:t>% Contribution to the RNI for iron for children (17.8 mg/day)</w:t>
            </w:r>
          </w:p>
        </w:tc>
        <w:tc>
          <w:tcPr>
            <w:tcW w:w="1772" w:type="dxa"/>
            <w:tcBorders>
              <w:top w:val="single" w:sz="4" w:space="0" w:color="auto"/>
              <w:bottom w:val="single" w:sz="4" w:space="0" w:color="auto"/>
            </w:tcBorders>
          </w:tcPr>
          <w:p w14:paraId="63D3AF47" w14:textId="77777777" w:rsidR="009053A7" w:rsidRPr="00495671" w:rsidRDefault="009053A7" w:rsidP="009053A7">
            <w:pPr>
              <w:spacing w:after="0" w:line="240" w:lineRule="auto"/>
              <w:jc w:val="center"/>
              <w:rPr>
                <w:rFonts w:cs="Times New Roman"/>
                <w:b/>
                <w:bCs/>
                <w:sz w:val="22"/>
                <w:lang w:val="en-ZA"/>
              </w:rPr>
            </w:pPr>
            <w:r w:rsidRPr="00495671">
              <w:rPr>
                <w:rFonts w:cs="Times New Roman"/>
                <w:b/>
                <w:bCs/>
                <w:sz w:val="22"/>
                <w:lang w:val="en-ZA"/>
              </w:rPr>
              <w:t>% Contribution to the RNI for iron for women (58.8 mg/day)</w:t>
            </w:r>
            <w:r w:rsidRPr="00495671">
              <w:rPr>
                <w:rFonts w:cs="Times New Roman"/>
                <w:sz w:val="22"/>
                <w:vertAlign w:val="superscript"/>
              </w:rPr>
              <w:t xml:space="preserve"> </w:t>
            </w:r>
          </w:p>
        </w:tc>
        <w:tc>
          <w:tcPr>
            <w:tcW w:w="1765" w:type="dxa"/>
            <w:tcBorders>
              <w:top w:val="single" w:sz="4" w:space="0" w:color="auto"/>
              <w:bottom w:val="single" w:sz="4" w:space="0" w:color="auto"/>
            </w:tcBorders>
          </w:tcPr>
          <w:p w14:paraId="4AF8314D" w14:textId="77777777" w:rsidR="009053A7" w:rsidRPr="00495671" w:rsidRDefault="009053A7" w:rsidP="009053A7">
            <w:pPr>
              <w:spacing w:after="0" w:line="240" w:lineRule="auto"/>
              <w:jc w:val="center"/>
              <w:rPr>
                <w:rFonts w:cs="Times New Roman"/>
                <w:b/>
                <w:bCs/>
                <w:sz w:val="22"/>
                <w:lang w:val="en-ZA"/>
              </w:rPr>
            </w:pPr>
            <w:r w:rsidRPr="00495671">
              <w:rPr>
                <w:rFonts w:cs="Times New Roman"/>
                <w:b/>
                <w:bCs/>
                <w:sz w:val="22"/>
                <w:lang w:val="en-ZA"/>
              </w:rPr>
              <w:t>% contribution to the RNI for zinc for children (11.2 mg/day)</w:t>
            </w:r>
            <w:r w:rsidRPr="00495671">
              <w:rPr>
                <w:rFonts w:cs="Times New Roman"/>
                <w:sz w:val="22"/>
                <w:vertAlign w:val="superscript"/>
              </w:rPr>
              <w:t xml:space="preserve"> </w:t>
            </w:r>
          </w:p>
        </w:tc>
        <w:tc>
          <w:tcPr>
            <w:tcW w:w="1748" w:type="dxa"/>
            <w:tcBorders>
              <w:top w:val="single" w:sz="4" w:space="0" w:color="auto"/>
              <w:bottom w:val="single" w:sz="4" w:space="0" w:color="auto"/>
            </w:tcBorders>
          </w:tcPr>
          <w:p w14:paraId="2E883024" w14:textId="77777777" w:rsidR="009053A7" w:rsidRPr="00495671" w:rsidRDefault="009053A7" w:rsidP="009053A7">
            <w:pPr>
              <w:spacing w:after="0" w:line="240" w:lineRule="auto"/>
              <w:jc w:val="center"/>
              <w:rPr>
                <w:rFonts w:cs="Times New Roman"/>
                <w:b/>
                <w:bCs/>
                <w:sz w:val="22"/>
                <w:lang w:val="en-ZA"/>
              </w:rPr>
            </w:pPr>
            <w:r w:rsidRPr="00495671">
              <w:rPr>
                <w:rFonts w:cs="Times New Roman"/>
                <w:b/>
                <w:bCs/>
                <w:sz w:val="22"/>
                <w:lang w:val="en-ZA"/>
              </w:rPr>
              <w:t>% contribution to the RNI for zinc for women (9.8 mg/day)</w:t>
            </w:r>
          </w:p>
        </w:tc>
      </w:tr>
      <w:tr w:rsidR="009053A7" w:rsidRPr="00495671" w14:paraId="02B9DDD8" w14:textId="77777777" w:rsidTr="00B938AA">
        <w:tc>
          <w:tcPr>
            <w:tcW w:w="15706" w:type="dxa"/>
            <w:gridSpan w:val="10"/>
            <w:tcBorders>
              <w:top w:val="single" w:sz="4" w:space="0" w:color="auto"/>
            </w:tcBorders>
          </w:tcPr>
          <w:p w14:paraId="0582B72D" w14:textId="77777777" w:rsidR="009053A7" w:rsidRPr="00495671" w:rsidRDefault="009053A7" w:rsidP="009053A7">
            <w:pPr>
              <w:spacing w:after="0" w:line="240" w:lineRule="auto"/>
              <w:rPr>
                <w:rFonts w:cs="Times New Roman"/>
                <w:b/>
                <w:bCs/>
                <w:sz w:val="22"/>
                <w:lang w:val="en-ZA"/>
              </w:rPr>
            </w:pPr>
            <w:r w:rsidRPr="00495671">
              <w:rPr>
                <w:rFonts w:cs="Times New Roman"/>
                <w:b/>
                <w:bCs/>
                <w:sz w:val="22"/>
                <w:lang w:val="en-ZA"/>
              </w:rPr>
              <w:t>Ingredients</w:t>
            </w:r>
          </w:p>
        </w:tc>
      </w:tr>
      <w:tr w:rsidR="009053A7" w:rsidRPr="00495671" w14:paraId="502B64B3" w14:textId="77777777" w:rsidTr="009053A7">
        <w:tc>
          <w:tcPr>
            <w:tcW w:w="3129" w:type="dxa"/>
          </w:tcPr>
          <w:p w14:paraId="056B2F75" w14:textId="77777777" w:rsidR="009053A7" w:rsidRPr="00495671" w:rsidRDefault="009053A7" w:rsidP="009053A7">
            <w:pPr>
              <w:spacing w:after="0" w:line="240" w:lineRule="auto"/>
              <w:rPr>
                <w:rFonts w:cs="Times New Roman"/>
                <w:bCs/>
                <w:sz w:val="22"/>
                <w:lang w:val="en-ZA"/>
              </w:rPr>
            </w:pPr>
            <w:r w:rsidRPr="00495671">
              <w:rPr>
                <w:rFonts w:cs="Times New Roman"/>
                <w:bCs/>
                <w:sz w:val="22"/>
                <w:lang w:val="en-ZA"/>
              </w:rPr>
              <w:t>Baobab fruit pulp</w:t>
            </w:r>
            <w:r w:rsidRPr="00495671">
              <w:rPr>
                <w:rFonts w:cs="Times New Roman"/>
                <w:sz w:val="22"/>
                <w:vertAlign w:val="superscript"/>
                <w:lang w:val="en-ZA"/>
              </w:rPr>
              <w:t>₳</w:t>
            </w:r>
          </w:p>
        </w:tc>
        <w:tc>
          <w:tcPr>
            <w:tcW w:w="1077" w:type="dxa"/>
          </w:tcPr>
          <w:p w14:paraId="7C0844B6"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1.75</w:t>
            </w:r>
            <w:r w:rsidRPr="00495671">
              <w:rPr>
                <w:rFonts w:cs="Times New Roman"/>
                <w:sz w:val="22"/>
                <w:vertAlign w:val="superscript"/>
                <w:lang w:val="en-ZA"/>
              </w:rPr>
              <w:t>a</w:t>
            </w:r>
          </w:p>
          <w:p w14:paraId="6440F692"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0.05</w:t>
            </w:r>
          </w:p>
        </w:tc>
        <w:tc>
          <w:tcPr>
            <w:tcW w:w="1164" w:type="dxa"/>
          </w:tcPr>
          <w:p w14:paraId="2B403401"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0.95</w:t>
            </w:r>
            <w:r w:rsidRPr="00495671">
              <w:rPr>
                <w:rFonts w:cs="Times New Roman"/>
                <w:sz w:val="22"/>
                <w:vertAlign w:val="superscript"/>
                <w:lang w:val="en-ZA"/>
              </w:rPr>
              <w:t>b</w:t>
            </w:r>
          </w:p>
          <w:p w14:paraId="5917D298"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0.01</w:t>
            </w:r>
          </w:p>
        </w:tc>
        <w:tc>
          <w:tcPr>
            <w:tcW w:w="1051" w:type="dxa"/>
          </w:tcPr>
          <w:p w14:paraId="01F6EEF5"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363.1</w:t>
            </w:r>
            <w:r w:rsidRPr="00495671">
              <w:rPr>
                <w:rFonts w:cs="Times New Roman"/>
                <w:sz w:val="22"/>
                <w:vertAlign w:val="superscript"/>
                <w:lang w:val="en-ZA"/>
              </w:rPr>
              <w:t>g</w:t>
            </w:r>
          </w:p>
          <w:p w14:paraId="7939E965"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2.3</w:t>
            </w:r>
          </w:p>
        </w:tc>
        <w:tc>
          <w:tcPr>
            <w:tcW w:w="1187" w:type="dxa"/>
          </w:tcPr>
          <w:p w14:paraId="3DBBB0F8"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233.6</w:t>
            </w:r>
            <w:r w:rsidRPr="00495671">
              <w:rPr>
                <w:rFonts w:cs="Times New Roman"/>
                <w:sz w:val="22"/>
                <w:vertAlign w:val="superscript"/>
                <w:lang w:val="en-ZA"/>
              </w:rPr>
              <w:t>g</w:t>
            </w:r>
          </w:p>
          <w:p w14:paraId="6480EC70"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1.9</w:t>
            </w:r>
          </w:p>
        </w:tc>
        <w:tc>
          <w:tcPr>
            <w:tcW w:w="1041" w:type="dxa"/>
          </w:tcPr>
          <w:p w14:paraId="40FB766E"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55.8</w:t>
            </w:r>
            <w:r w:rsidRPr="00495671">
              <w:rPr>
                <w:rFonts w:cs="Times New Roman"/>
                <w:sz w:val="22"/>
                <w:vertAlign w:val="superscript"/>
                <w:lang w:val="en-ZA"/>
              </w:rPr>
              <w:t>a</w:t>
            </w:r>
          </w:p>
          <w:p w14:paraId="09FB2977"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±0.4</w:t>
            </w:r>
          </w:p>
        </w:tc>
        <w:tc>
          <w:tcPr>
            <w:tcW w:w="1772" w:type="dxa"/>
          </w:tcPr>
          <w:p w14:paraId="037262FF"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NA</w:t>
            </w:r>
            <w:r w:rsidRPr="00495671">
              <w:rPr>
                <w:rFonts w:cs="Times New Roman"/>
                <w:sz w:val="22"/>
                <w:vertAlign w:val="superscript"/>
              </w:rPr>
              <w:t>£</w:t>
            </w:r>
          </w:p>
        </w:tc>
        <w:tc>
          <w:tcPr>
            <w:tcW w:w="1772" w:type="dxa"/>
          </w:tcPr>
          <w:p w14:paraId="564C7CEB"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NA</w:t>
            </w:r>
          </w:p>
        </w:tc>
        <w:tc>
          <w:tcPr>
            <w:tcW w:w="1765" w:type="dxa"/>
          </w:tcPr>
          <w:p w14:paraId="4F612A9F"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NA</w:t>
            </w:r>
          </w:p>
        </w:tc>
        <w:tc>
          <w:tcPr>
            <w:tcW w:w="1748" w:type="dxa"/>
          </w:tcPr>
          <w:p w14:paraId="5DACFB23"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NA</w:t>
            </w:r>
          </w:p>
        </w:tc>
      </w:tr>
      <w:tr w:rsidR="009053A7" w:rsidRPr="00495671" w14:paraId="440F17EC" w14:textId="77777777" w:rsidTr="009053A7">
        <w:tc>
          <w:tcPr>
            <w:tcW w:w="3129" w:type="dxa"/>
          </w:tcPr>
          <w:p w14:paraId="2BC311F4" w14:textId="77777777" w:rsidR="009053A7" w:rsidRPr="00495671" w:rsidRDefault="009053A7" w:rsidP="009053A7">
            <w:pPr>
              <w:spacing w:after="0" w:line="240" w:lineRule="auto"/>
              <w:rPr>
                <w:rFonts w:cs="Times New Roman"/>
                <w:bCs/>
                <w:sz w:val="22"/>
                <w:lang w:val="en-ZA"/>
              </w:rPr>
            </w:pPr>
            <w:r w:rsidRPr="00495671">
              <w:rPr>
                <w:rFonts w:cs="Times New Roman"/>
                <w:bCs/>
                <w:sz w:val="22"/>
                <w:lang w:val="en-ZA"/>
              </w:rPr>
              <w:t>Carrot powder</w:t>
            </w:r>
            <w:r w:rsidRPr="00495671">
              <w:rPr>
                <w:rFonts w:cs="Times New Roman"/>
                <w:sz w:val="22"/>
                <w:vertAlign w:val="superscript"/>
              </w:rPr>
              <w:t>∞</w:t>
            </w:r>
          </w:p>
        </w:tc>
        <w:tc>
          <w:tcPr>
            <w:tcW w:w="1077" w:type="dxa"/>
          </w:tcPr>
          <w:p w14:paraId="759478D5"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5.30</w:t>
            </w:r>
            <w:r w:rsidRPr="00495671">
              <w:rPr>
                <w:rFonts w:cs="Times New Roman"/>
                <w:sz w:val="22"/>
                <w:vertAlign w:val="superscript"/>
                <w:lang w:val="en-ZA"/>
              </w:rPr>
              <w:t>d</w:t>
            </w:r>
          </w:p>
          <w:p w14:paraId="5BEC7040"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0.04</w:t>
            </w:r>
          </w:p>
        </w:tc>
        <w:tc>
          <w:tcPr>
            <w:tcW w:w="1164" w:type="dxa"/>
          </w:tcPr>
          <w:p w14:paraId="189B1E3F"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2.78</w:t>
            </w:r>
            <w:r w:rsidRPr="00495671">
              <w:rPr>
                <w:rFonts w:cs="Times New Roman"/>
                <w:sz w:val="22"/>
                <w:vertAlign w:val="superscript"/>
                <w:lang w:val="en-ZA"/>
              </w:rPr>
              <w:t>e</w:t>
            </w:r>
          </w:p>
          <w:p w14:paraId="11E405F2"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0.01</w:t>
            </w:r>
          </w:p>
        </w:tc>
        <w:tc>
          <w:tcPr>
            <w:tcW w:w="1051" w:type="dxa"/>
          </w:tcPr>
          <w:p w14:paraId="73C4CB16"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166.7</w:t>
            </w:r>
            <w:r w:rsidRPr="00495671">
              <w:rPr>
                <w:rFonts w:cs="Times New Roman"/>
                <w:sz w:val="22"/>
                <w:vertAlign w:val="superscript"/>
                <w:lang w:val="en-ZA"/>
              </w:rPr>
              <w:t>f</w:t>
            </w:r>
            <w:r w:rsidRPr="00495671">
              <w:rPr>
                <w:rFonts w:cs="Times New Roman"/>
                <w:sz w:val="22"/>
                <w:lang w:val="en-ZA"/>
              </w:rPr>
              <w:t xml:space="preserve"> </w:t>
            </w:r>
          </w:p>
          <w:p w14:paraId="5FAFF158"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2.3</w:t>
            </w:r>
          </w:p>
        </w:tc>
        <w:tc>
          <w:tcPr>
            <w:tcW w:w="1187" w:type="dxa"/>
          </w:tcPr>
          <w:p w14:paraId="7BCA9B9A"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96.8</w:t>
            </w:r>
            <w:r w:rsidRPr="00495671">
              <w:rPr>
                <w:rFonts w:cs="Times New Roman"/>
                <w:sz w:val="22"/>
                <w:vertAlign w:val="superscript"/>
                <w:lang w:val="en-ZA"/>
              </w:rPr>
              <w:t>b</w:t>
            </w:r>
          </w:p>
          <w:p w14:paraId="26C04C99"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0.7</w:t>
            </w:r>
          </w:p>
        </w:tc>
        <w:tc>
          <w:tcPr>
            <w:tcW w:w="1041" w:type="dxa"/>
          </w:tcPr>
          <w:p w14:paraId="3A47418E"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240.6</w:t>
            </w:r>
            <w:r w:rsidRPr="00495671">
              <w:rPr>
                <w:rFonts w:cs="Times New Roman"/>
                <w:sz w:val="22"/>
                <w:vertAlign w:val="superscript"/>
                <w:lang w:val="en-ZA"/>
              </w:rPr>
              <w:t>b</w:t>
            </w:r>
          </w:p>
          <w:p w14:paraId="5AAAB25C"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1.5</w:t>
            </w:r>
          </w:p>
        </w:tc>
        <w:tc>
          <w:tcPr>
            <w:tcW w:w="1772" w:type="dxa"/>
          </w:tcPr>
          <w:p w14:paraId="61896217"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NA</w:t>
            </w:r>
          </w:p>
        </w:tc>
        <w:tc>
          <w:tcPr>
            <w:tcW w:w="1772" w:type="dxa"/>
          </w:tcPr>
          <w:p w14:paraId="6E84F10E"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NA</w:t>
            </w:r>
          </w:p>
        </w:tc>
        <w:tc>
          <w:tcPr>
            <w:tcW w:w="1765" w:type="dxa"/>
          </w:tcPr>
          <w:p w14:paraId="7D20AB15"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NA</w:t>
            </w:r>
          </w:p>
        </w:tc>
        <w:tc>
          <w:tcPr>
            <w:tcW w:w="1748" w:type="dxa"/>
          </w:tcPr>
          <w:p w14:paraId="69502E5A"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NA</w:t>
            </w:r>
          </w:p>
        </w:tc>
      </w:tr>
      <w:tr w:rsidR="009053A7" w:rsidRPr="00495671" w14:paraId="4D3841B5" w14:textId="77777777" w:rsidTr="009053A7">
        <w:tc>
          <w:tcPr>
            <w:tcW w:w="3129" w:type="dxa"/>
          </w:tcPr>
          <w:p w14:paraId="1215A1C9" w14:textId="77777777" w:rsidR="009053A7" w:rsidRPr="00495671" w:rsidRDefault="009053A7" w:rsidP="009053A7">
            <w:pPr>
              <w:spacing w:after="0" w:line="240" w:lineRule="auto"/>
              <w:rPr>
                <w:rFonts w:cs="Times New Roman"/>
                <w:bCs/>
                <w:sz w:val="22"/>
                <w:lang w:val="en-ZA"/>
              </w:rPr>
            </w:pPr>
            <w:r w:rsidRPr="00495671">
              <w:rPr>
                <w:rFonts w:cs="Times New Roman"/>
                <w:bCs/>
                <w:sz w:val="22"/>
                <w:lang w:val="en-ZA"/>
              </w:rPr>
              <w:t>Mango powder</w:t>
            </w:r>
            <w:r w:rsidRPr="00495671">
              <w:rPr>
                <w:rFonts w:cs="Times New Roman"/>
                <w:sz w:val="22"/>
                <w:vertAlign w:val="superscript"/>
              </w:rPr>
              <w:t>∞</w:t>
            </w:r>
          </w:p>
        </w:tc>
        <w:tc>
          <w:tcPr>
            <w:tcW w:w="1077" w:type="dxa"/>
          </w:tcPr>
          <w:p w14:paraId="62EC68D2"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1.85</w:t>
            </w:r>
            <w:r w:rsidRPr="00495671">
              <w:rPr>
                <w:rFonts w:cs="Times New Roman"/>
                <w:sz w:val="22"/>
                <w:vertAlign w:val="superscript"/>
                <w:lang w:val="en-ZA"/>
              </w:rPr>
              <w:t>a</w:t>
            </w:r>
          </w:p>
          <w:p w14:paraId="227E2119"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0.01</w:t>
            </w:r>
          </w:p>
        </w:tc>
        <w:tc>
          <w:tcPr>
            <w:tcW w:w="1164" w:type="dxa"/>
          </w:tcPr>
          <w:p w14:paraId="5BC889A2"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0.35</w:t>
            </w:r>
            <w:r w:rsidRPr="00495671">
              <w:rPr>
                <w:rFonts w:cs="Times New Roman"/>
                <w:sz w:val="22"/>
                <w:vertAlign w:val="superscript"/>
                <w:lang w:val="en-ZA"/>
              </w:rPr>
              <w:t>a</w:t>
            </w:r>
          </w:p>
          <w:p w14:paraId="3754E59E"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0.01</w:t>
            </w:r>
          </w:p>
        </w:tc>
        <w:tc>
          <w:tcPr>
            <w:tcW w:w="1051" w:type="dxa"/>
          </w:tcPr>
          <w:p w14:paraId="4EF9A91A"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60.6</w:t>
            </w:r>
            <w:r w:rsidRPr="00495671">
              <w:rPr>
                <w:rFonts w:cs="Times New Roman"/>
                <w:sz w:val="22"/>
                <w:vertAlign w:val="superscript"/>
                <w:lang w:val="en-ZA"/>
              </w:rPr>
              <w:t>e</w:t>
            </w:r>
          </w:p>
          <w:p w14:paraId="5AD927F4"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1.7</w:t>
            </w:r>
          </w:p>
        </w:tc>
        <w:tc>
          <w:tcPr>
            <w:tcW w:w="1187" w:type="dxa"/>
          </w:tcPr>
          <w:p w14:paraId="57DEAFDA"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51.3</w:t>
            </w:r>
            <w:r w:rsidRPr="00495671">
              <w:rPr>
                <w:rFonts w:cs="Times New Roman"/>
                <w:sz w:val="22"/>
                <w:vertAlign w:val="superscript"/>
                <w:lang w:val="en-ZA"/>
              </w:rPr>
              <w:t>a</w:t>
            </w:r>
          </w:p>
          <w:p w14:paraId="150D33D6"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1.5</w:t>
            </w:r>
          </w:p>
        </w:tc>
        <w:tc>
          <w:tcPr>
            <w:tcW w:w="1041" w:type="dxa"/>
          </w:tcPr>
          <w:p w14:paraId="368A52F6"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358.0</w:t>
            </w:r>
            <w:r w:rsidRPr="00495671">
              <w:rPr>
                <w:rFonts w:cs="Times New Roman"/>
                <w:sz w:val="22"/>
                <w:vertAlign w:val="superscript"/>
                <w:lang w:val="en-ZA"/>
              </w:rPr>
              <w:t>d</w:t>
            </w:r>
          </w:p>
          <w:p w14:paraId="739D8660"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12.1</w:t>
            </w:r>
          </w:p>
        </w:tc>
        <w:tc>
          <w:tcPr>
            <w:tcW w:w="1772" w:type="dxa"/>
          </w:tcPr>
          <w:p w14:paraId="7D38F700"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NA</w:t>
            </w:r>
          </w:p>
        </w:tc>
        <w:tc>
          <w:tcPr>
            <w:tcW w:w="1772" w:type="dxa"/>
          </w:tcPr>
          <w:p w14:paraId="0D68AB05"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NA</w:t>
            </w:r>
          </w:p>
        </w:tc>
        <w:tc>
          <w:tcPr>
            <w:tcW w:w="1765" w:type="dxa"/>
          </w:tcPr>
          <w:p w14:paraId="0375A793"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NA</w:t>
            </w:r>
          </w:p>
        </w:tc>
        <w:tc>
          <w:tcPr>
            <w:tcW w:w="1748" w:type="dxa"/>
          </w:tcPr>
          <w:p w14:paraId="53AA7430"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NA</w:t>
            </w:r>
          </w:p>
        </w:tc>
      </w:tr>
      <w:tr w:rsidR="009053A7" w:rsidRPr="00495671" w14:paraId="127BD7BA" w14:textId="77777777" w:rsidTr="00B938AA">
        <w:tc>
          <w:tcPr>
            <w:tcW w:w="15706" w:type="dxa"/>
            <w:gridSpan w:val="10"/>
          </w:tcPr>
          <w:p w14:paraId="023DA8A8" w14:textId="77777777" w:rsidR="009053A7" w:rsidRPr="00495671" w:rsidRDefault="009053A7" w:rsidP="009053A7">
            <w:pPr>
              <w:spacing w:after="0" w:line="240" w:lineRule="auto"/>
              <w:rPr>
                <w:rFonts w:cs="Times New Roman"/>
                <w:sz w:val="22"/>
                <w:lang w:val="en-ZA"/>
              </w:rPr>
            </w:pPr>
            <w:r w:rsidRPr="00495671">
              <w:rPr>
                <w:rFonts w:cs="Times New Roman"/>
                <w:b/>
                <w:sz w:val="22"/>
                <w:lang w:val="en-ZA"/>
              </w:rPr>
              <w:t>Porridge formulations</w:t>
            </w:r>
          </w:p>
        </w:tc>
      </w:tr>
      <w:tr w:rsidR="009053A7" w:rsidRPr="00495671" w14:paraId="7DA81AF8" w14:textId="77777777" w:rsidTr="009053A7">
        <w:tc>
          <w:tcPr>
            <w:tcW w:w="3129" w:type="dxa"/>
          </w:tcPr>
          <w:p w14:paraId="340FB1DF" w14:textId="77777777" w:rsidR="009053A7" w:rsidRPr="00495671" w:rsidRDefault="009053A7" w:rsidP="009053A7">
            <w:pPr>
              <w:spacing w:after="0" w:line="240" w:lineRule="auto"/>
              <w:rPr>
                <w:rFonts w:cs="Times New Roman"/>
                <w:sz w:val="22"/>
                <w:lang w:val="en-ZA"/>
              </w:rPr>
            </w:pPr>
            <w:r w:rsidRPr="00495671">
              <w:rPr>
                <w:rFonts w:cs="Times New Roman"/>
                <w:sz w:val="22"/>
                <w:lang w:val="en-ZA"/>
              </w:rPr>
              <w:t>Maize (Control)</w:t>
            </w:r>
          </w:p>
        </w:tc>
        <w:tc>
          <w:tcPr>
            <w:tcW w:w="1077" w:type="dxa"/>
          </w:tcPr>
          <w:p w14:paraId="59278470"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2.41</w:t>
            </w:r>
            <w:r w:rsidRPr="00495671">
              <w:rPr>
                <w:rFonts w:cs="Times New Roman"/>
                <w:sz w:val="22"/>
                <w:vertAlign w:val="superscript"/>
                <w:lang w:val="en-ZA"/>
              </w:rPr>
              <w:t>c</w:t>
            </w:r>
          </w:p>
          <w:p w14:paraId="5C10A104"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0.06</w:t>
            </w:r>
          </w:p>
        </w:tc>
        <w:tc>
          <w:tcPr>
            <w:tcW w:w="1164" w:type="dxa"/>
          </w:tcPr>
          <w:p w14:paraId="04FDF89D"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1.58</w:t>
            </w:r>
            <w:r w:rsidRPr="00495671">
              <w:rPr>
                <w:rFonts w:cs="Times New Roman"/>
                <w:sz w:val="22"/>
                <w:vertAlign w:val="superscript"/>
                <w:lang w:val="en-ZA"/>
              </w:rPr>
              <w:t>d</w:t>
            </w:r>
          </w:p>
          <w:p w14:paraId="1E375091"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0.13</w:t>
            </w:r>
          </w:p>
        </w:tc>
        <w:tc>
          <w:tcPr>
            <w:tcW w:w="1051" w:type="dxa"/>
          </w:tcPr>
          <w:p w14:paraId="4B1A80A0"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5.1</w:t>
            </w:r>
            <w:r w:rsidRPr="00495671">
              <w:rPr>
                <w:rFonts w:cs="Times New Roman"/>
                <w:sz w:val="22"/>
                <w:vertAlign w:val="superscript"/>
                <w:lang w:val="en-ZA"/>
              </w:rPr>
              <w:t>a</w:t>
            </w:r>
          </w:p>
          <w:p w14:paraId="52C54B92"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0.7</w:t>
            </w:r>
          </w:p>
        </w:tc>
        <w:tc>
          <w:tcPr>
            <w:tcW w:w="1187" w:type="dxa"/>
          </w:tcPr>
          <w:p w14:paraId="75F10AE2"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115.9</w:t>
            </w:r>
            <w:r w:rsidRPr="00495671">
              <w:rPr>
                <w:rFonts w:cs="Times New Roman"/>
                <w:sz w:val="22"/>
                <w:vertAlign w:val="superscript"/>
                <w:lang w:val="en-ZA"/>
              </w:rPr>
              <w:t>d</w:t>
            </w:r>
          </w:p>
          <w:p w14:paraId="3B3B810E"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3.7</w:t>
            </w:r>
          </w:p>
        </w:tc>
        <w:tc>
          <w:tcPr>
            <w:tcW w:w="1041" w:type="dxa"/>
          </w:tcPr>
          <w:p w14:paraId="74D2C0C9"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264.6</w:t>
            </w:r>
            <w:r w:rsidRPr="00495671">
              <w:rPr>
                <w:rFonts w:cs="Times New Roman"/>
                <w:sz w:val="22"/>
                <w:vertAlign w:val="superscript"/>
                <w:lang w:val="en-ZA"/>
              </w:rPr>
              <w:t>c</w:t>
            </w:r>
          </w:p>
          <w:p w14:paraId="543AE2E4"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6.9</w:t>
            </w:r>
          </w:p>
        </w:tc>
        <w:tc>
          <w:tcPr>
            <w:tcW w:w="1772" w:type="dxa"/>
          </w:tcPr>
          <w:p w14:paraId="721F390A"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13.5</w:t>
            </w:r>
          </w:p>
        </w:tc>
        <w:tc>
          <w:tcPr>
            <w:tcW w:w="1772" w:type="dxa"/>
          </w:tcPr>
          <w:p w14:paraId="32DC2A45"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4.1</w:t>
            </w:r>
          </w:p>
        </w:tc>
        <w:tc>
          <w:tcPr>
            <w:tcW w:w="1765" w:type="dxa"/>
          </w:tcPr>
          <w:p w14:paraId="434E79CD"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14.1</w:t>
            </w:r>
          </w:p>
        </w:tc>
        <w:tc>
          <w:tcPr>
            <w:tcW w:w="1748" w:type="dxa"/>
          </w:tcPr>
          <w:p w14:paraId="34A3740E"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16.1</w:t>
            </w:r>
          </w:p>
        </w:tc>
      </w:tr>
      <w:tr w:rsidR="009053A7" w:rsidRPr="00495671" w14:paraId="6FD653C4" w14:textId="77777777" w:rsidTr="009053A7">
        <w:tc>
          <w:tcPr>
            <w:tcW w:w="3129" w:type="dxa"/>
          </w:tcPr>
          <w:p w14:paraId="351F8CC9" w14:textId="77777777" w:rsidR="009053A7" w:rsidRPr="00495671" w:rsidRDefault="009053A7" w:rsidP="009053A7">
            <w:pPr>
              <w:spacing w:after="0" w:line="240" w:lineRule="auto"/>
              <w:rPr>
                <w:rFonts w:cs="Times New Roman"/>
                <w:sz w:val="22"/>
                <w:lang w:val="en-ZA"/>
              </w:rPr>
            </w:pPr>
            <w:r w:rsidRPr="00495671">
              <w:rPr>
                <w:rFonts w:cs="Times New Roman"/>
                <w:sz w:val="22"/>
                <w:lang w:val="en-ZA"/>
              </w:rPr>
              <w:t>Maize+carrot+mango</w:t>
            </w:r>
            <w:r w:rsidRPr="00495671">
              <w:rPr>
                <w:rFonts w:cs="Times New Roman"/>
                <w:sz w:val="22"/>
                <w:vertAlign w:val="superscript"/>
                <w:lang w:val="en-ZA"/>
              </w:rPr>
              <w:t>1</w:t>
            </w:r>
            <w:r w:rsidRPr="00495671">
              <w:rPr>
                <w:rFonts w:cs="Times New Roman"/>
                <w:sz w:val="22"/>
                <w:lang w:val="en-ZA"/>
              </w:rPr>
              <w:t xml:space="preserve"> (100:15)</w:t>
            </w:r>
          </w:p>
        </w:tc>
        <w:tc>
          <w:tcPr>
            <w:tcW w:w="1077" w:type="dxa"/>
          </w:tcPr>
          <w:p w14:paraId="1668DC0E"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2.15</w:t>
            </w:r>
            <w:r w:rsidRPr="00495671">
              <w:rPr>
                <w:rFonts w:cs="Times New Roman"/>
                <w:sz w:val="22"/>
                <w:vertAlign w:val="superscript"/>
                <w:lang w:val="en-ZA"/>
              </w:rPr>
              <w:t>b</w:t>
            </w:r>
          </w:p>
          <w:p w14:paraId="4FCEC12E"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0.09</w:t>
            </w:r>
          </w:p>
        </w:tc>
        <w:tc>
          <w:tcPr>
            <w:tcW w:w="1164" w:type="dxa"/>
          </w:tcPr>
          <w:p w14:paraId="49D5CF1D"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1.61</w:t>
            </w:r>
            <w:r w:rsidRPr="00495671">
              <w:rPr>
                <w:rFonts w:cs="Times New Roman"/>
                <w:sz w:val="22"/>
                <w:vertAlign w:val="superscript"/>
                <w:lang w:val="en-ZA"/>
              </w:rPr>
              <w:t>d</w:t>
            </w:r>
          </w:p>
          <w:p w14:paraId="2A77575D"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0.07</w:t>
            </w:r>
          </w:p>
        </w:tc>
        <w:tc>
          <w:tcPr>
            <w:tcW w:w="1051" w:type="dxa"/>
          </w:tcPr>
          <w:p w14:paraId="3F5F5DBB"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17.4</w:t>
            </w:r>
            <w:r w:rsidRPr="00495671">
              <w:rPr>
                <w:rFonts w:cs="Times New Roman"/>
                <w:sz w:val="22"/>
                <w:vertAlign w:val="superscript"/>
                <w:lang w:val="en-ZA"/>
              </w:rPr>
              <w:t>b</w:t>
            </w:r>
          </w:p>
          <w:p w14:paraId="489BABB2"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0.5</w:t>
            </w:r>
          </w:p>
        </w:tc>
        <w:tc>
          <w:tcPr>
            <w:tcW w:w="1187" w:type="dxa"/>
          </w:tcPr>
          <w:p w14:paraId="1716A090"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110.2</w:t>
            </w:r>
            <w:r w:rsidRPr="00495671">
              <w:rPr>
                <w:rFonts w:cs="Times New Roman"/>
                <w:sz w:val="22"/>
                <w:vertAlign w:val="superscript"/>
                <w:lang w:val="en-ZA"/>
              </w:rPr>
              <w:t>c</w:t>
            </w:r>
          </w:p>
          <w:p w14:paraId="5A1A6012"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1.9</w:t>
            </w:r>
          </w:p>
        </w:tc>
        <w:tc>
          <w:tcPr>
            <w:tcW w:w="1041" w:type="dxa"/>
          </w:tcPr>
          <w:p w14:paraId="40E46F60"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260.2</w:t>
            </w:r>
            <w:r w:rsidRPr="00495671">
              <w:rPr>
                <w:rFonts w:cs="Times New Roman"/>
                <w:sz w:val="22"/>
                <w:vertAlign w:val="superscript"/>
                <w:lang w:val="en-ZA"/>
              </w:rPr>
              <w:t>c</w:t>
            </w:r>
          </w:p>
          <w:p w14:paraId="169191BD"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4.1</w:t>
            </w:r>
          </w:p>
        </w:tc>
        <w:tc>
          <w:tcPr>
            <w:tcW w:w="1772" w:type="dxa"/>
          </w:tcPr>
          <w:p w14:paraId="6990CDA9"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12.1</w:t>
            </w:r>
          </w:p>
        </w:tc>
        <w:tc>
          <w:tcPr>
            <w:tcW w:w="1772" w:type="dxa"/>
          </w:tcPr>
          <w:p w14:paraId="732EA99A"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3.7</w:t>
            </w:r>
          </w:p>
        </w:tc>
        <w:tc>
          <w:tcPr>
            <w:tcW w:w="1765" w:type="dxa"/>
          </w:tcPr>
          <w:p w14:paraId="602D77A6"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14.3</w:t>
            </w:r>
          </w:p>
        </w:tc>
        <w:tc>
          <w:tcPr>
            <w:tcW w:w="1748" w:type="dxa"/>
          </w:tcPr>
          <w:p w14:paraId="4B53FB23"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16.3</w:t>
            </w:r>
          </w:p>
        </w:tc>
      </w:tr>
      <w:tr w:rsidR="009053A7" w:rsidRPr="00495671" w14:paraId="1242EF8E" w14:textId="77777777" w:rsidTr="009053A7">
        <w:tc>
          <w:tcPr>
            <w:tcW w:w="3129" w:type="dxa"/>
          </w:tcPr>
          <w:p w14:paraId="0C586F2E" w14:textId="77777777" w:rsidR="009053A7" w:rsidRPr="00495671" w:rsidRDefault="009053A7" w:rsidP="009053A7">
            <w:pPr>
              <w:spacing w:after="0" w:line="240" w:lineRule="auto"/>
              <w:rPr>
                <w:rFonts w:cs="Times New Roman"/>
                <w:sz w:val="22"/>
                <w:lang w:val="en-ZA"/>
              </w:rPr>
            </w:pPr>
            <w:r w:rsidRPr="00495671">
              <w:rPr>
                <w:rFonts w:cs="Times New Roman"/>
                <w:sz w:val="22"/>
                <w:lang w:val="en-ZA"/>
              </w:rPr>
              <w:t>Maize+β-carotene</w:t>
            </w:r>
            <w:r w:rsidRPr="00495671">
              <w:rPr>
                <w:rFonts w:cs="Times New Roman"/>
                <w:sz w:val="22"/>
                <w:vertAlign w:val="superscript"/>
                <w:lang w:val="en-ZA"/>
              </w:rPr>
              <w:t>2</w:t>
            </w:r>
          </w:p>
        </w:tc>
        <w:tc>
          <w:tcPr>
            <w:tcW w:w="1077" w:type="dxa"/>
          </w:tcPr>
          <w:p w14:paraId="37ADFD9F"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2.04</w:t>
            </w:r>
            <w:r w:rsidRPr="00495671">
              <w:rPr>
                <w:rFonts w:cs="Times New Roman"/>
                <w:sz w:val="22"/>
                <w:vertAlign w:val="superscript"/>
                <w:lang w:val="en-ZA"/>
              </w:rPr>
              <w:t>b</w:t>
            </w:r>
          </w:p>
          <w:p w14:paraId="28E7824C"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0.06</w:t>
            </w:r>
          </w:p>
        </w:tc>
        <w:tc>
          <w:tcPr>
            <w:tcW w:w="1164" w:type="dxa"/>
          </w:tcPr>
          <w:p w14:paraId="547E66AA"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1.49</w:t>
            </w:r>
            <w:r w:rsidRPr="00495671">
              <w:rPr>
                <w:rFonts w:cs="Times New Roman"/>
                <w:sz w:val="22"/>
                <w:vertAlign w:val="superscript"/>
                <w:lang w:val="en-ZA"/>
              </w:rPr>
              <w:t>cd</w:t>
            </w:r>
          </w:p>
          <w:p w14:paraId="1035656C"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0.03</w:t>
            </w:r>
          </w:p>
        </w:tc>
        <w:tc>
          <w:tcPr>
            <w:tcW w:w="1051" w:type="dxa"/>
          </w:tcPr>
          <w:p w14:paraId="6B8095A8"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5.2</w:t>
            </w:r>
            <w:r w:rsidRPr="00495671">
              <w:rPr>
                <w:rFonts w:cs="Times New Roman"/>
                <w:sz w:val="22"/>
                <w:vertAlign w:val="superscript"/>
                <w:lang w:val="en-ZA"/>
              </w:rPr>
              <w:t>a</w:t>
            </w:r>
          </w:p>
          <w:p w14:paraId="3EFA3B6D"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0.1</w:t>
            </w:r>
          </w:p>
        </w:tc>
        <w:tc>
          <w:tcPr>
            <w:tcW w:w="1187" w:type="dxa"/>
          </w:tcPr>
          <w:p w14:paraId="20C6A5EF"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113.3</w:t>
            </w:r>
            <w:r w:rsidRPr="00495671">
              <w:rPr>
                <w:rFonts w:cs="Times New Roman"/>
                <w:sz w:val="22"/>
                <w:vertAlign w:val="superscript"/>
                <w:lang w:val="en-ZA"/>
              </w:rPr>
              <w:t>cd</w:t>
            </w:r>
          </w:p>
          <w:p w14:paraId="7FD8736C"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2.9</w:t>
            </w:r>
          </w:p>
        </w:tc>
        <w:tc>
          <w:tcPr>
            <w:tcW w:w="1041" w:type="dxa"/>
          </w:tcPr>
          <w:p w14:paraId="2DD0FFE1"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258.4</w:t>
            </w:r>
            <w:r w:rsidRPr="00495671">
              <w:rPr>
                <w:rFonts w:cs="Times New Roman"/>
                <w:sz w:val="22"/>
                <w:vertAlign w:val="superscript"/>
                <w:lang w:val="en-ZA"/>
              </w:rPr>
              <w:t>c</w:t>
            </w:r>
          </w:p>
          <w:p w14:paraId="45F52824"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7.5</w:t>
            </w:r>
          </w:p>
        </w:tc>
        <w:tc>
          <w:tcPr>
            <w:tcW w:w="1772" w:type="dxa"/>
          </w:tcPr>
          <w:p w14:paraId="6911B8E7"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11.5</w:t>
            </w:r>
          </w:p>
        </w:tc>
        <w:tc>
          <w:tcPr>
            <w:tcW w:w="1772" w:type="dxa"/>
          </w:tcPr>
          <w:p w14:paraId="67EF6F3A"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3.5</w:t>
            </w:r>
          </w:p>
        </w:tc>
        <w:tc>
          <w:tcPr>
            <w:tcW w:w="1765" w:type="dxa"/>
          </w:tcPr>
          <w:p w14:paraId="678AE0D4"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13.3</w:t>
            </w:r>
          </w:p>
        </w:tc>
        <w:tc>
          <w:tcPr>
            <w:tcW w:w="1748" w:type="dxa"/>
          </w:tcPr>
          <w:p w14:paraId="55E02046"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15.2</w:t>
            </w:r>
          </w:p>
        </w:tc>
      </w:tr>
      <w:tr w:rsidR="009053A7" w:rsidRPr="00495671" w14:paraId="76BE0315" w14:textId="77777777" w:rsidTr="009053A7">
        <w:tc>
          <w:tcPr>
            <w:tcW w:w="3129" w:type="dxa"/>
          </w:tcPr>
          <w:p w14:paraId="2CECD10F" w14:textId="77777777" w:rsidR="009053A7" w:rsidRPr="00495671" w:rsidRDefault="009053A7" w:rsidP="009053A7">
            <w:pPr>
              <w:spacing w:after="0" w:line="240" w:lineRule="auto"/>
              <w:rPr>
                <w:rFonts w:cs="Times New Roman"/>
                <w:sz w:val="22"/>
                <w:lang w:val="en-ZA"/>
              </w:rPr>
            </w:pPr>
            <w:r w:rsidRPr="00495671">
              <w:rPr>
                <w:rFonts w:cs="Times New Roman"/>
                <w:sz w:val="22"/>
                <w:lang w:val="en-ZA"/>
              </w:rPr>
              <w:t>Maize+carrot+mango+baobab (100:15:15)</w:t>
            </w:r>
          </w:p>
        </w:tc>
        <w:tc>
          <w:tcPr>
            <w:tcW w:w="1077" w:type="dxa"/>
          </w:tcPr>
          <w:p w14:paraId="141D0850"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2.12</w:t>
            </w:r>
            <w:r w:rsidRPr="00495671">
              <w:rPr>
                <w:rFonts w:cs="Times New Roman"/>
                <w:sz w:val="22"/>
                <w:vertAlign w:val="superscript"/>
                <w:lang w:val="en-ZA"/>
              </w:rPr>
              <w:t>b</w:t>
            </w:r>
          </w:p>
          <w:p w14:paraId="38D4B310"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0.13</w:t>
            </w:r>
          </w:p>
        </w:tc>
        <w:tc>
          <w:tcPr>
            <w:tcW w:w="1164" w:type="dxa"/>
          </w:tcPr>
          <w:p w14:paraId="52E64A06"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1.48</w:t>
            </w:r>
            <w:r w:rsidRPr="00495671">
              <w:rPr>
                <w:rFonts w:cs="Times New Roman"/>
                <w:sz w:val="22"/>
                <w:vertAlign w:val="superscript"/>
                <w:lang w:val="en-ZA"/>
              </w:rPr>
              <w:t>cd</w:t>
            </w:r>
          </w:p>
          <w:p w14:paraId="67B2A085"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0.04</w:t>
            </w:r>
          </w:p>
        </w:tc>
        <w:tc>
          <w:tcPr>
            <w:tcW w:w="1051" w:type="dxa"/>
          </w:tcPr>
          <w:p w14:paraId="4AC4EE13"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55.4</w:t>
            </w:r>
            <w:r w:rsidRPr="00495671">
              <w:rPr>
                <w:rFonts w:cs="Times New Roman"/>
                <w:sz w:val="22"/>
                <w:vertAlign w:val="superscript"/>
                <w:lang w:val="en-ZA"/>
              </w:rPr>
              <w:t>d</w:t>
            </w:r>
          </w:p>
          <w:p w14:paraId="7FEE2DFC"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1.3</w:t>
            </w:r>
          </w:p>
        </w:tc>
        <w:tc>
          <w:tcPr>
            <w:tcW w:w="1187" w:type="dxa"/>
          </w:tcPr>
          <w:p w14:paraId="6F6709A4"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121.4</w:t>
            </w:r>
            <w:r w:rsidRPr="00495671">
              <w:rPr>
                <w:rFonts w:cs="Times New Roman"/>
                <w:sz w:val="22"/>
                <w:vertAlign w:val="superscript"/>
                <w:lang w:val="en-ZA"/>
              </w:rPr>
              <w:t>e</w:t>
            </w:r>
          </w:p>
          <w:p w14:paraId="5EE9C466"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2.6</w:t>
            </w:r>
          </w:p>
        </w:tc>
        <w:tc>
          <w:tcPr>
            <w:tcW w:w="1041" w:type="dxa"/>
          </w:tcPr>
          <w:p w14:paraId="49206594"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235.8</w:t>
            </w:r>
            <w:r w:rsidRPr="00495671">
              <w:rPr>
                <w:rFonts w:cs="Times New Roman"/>
                <w:sz w:val="22"/>
                <w:vertAlign w:val="superscript"/>
                <w:lang w:val="en-ZA"/>
              </w:rPr>
              <w:t>b</w:t>
            </w:r>
          </w:p>
          <w:p w14:paraId="7AE5C783"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5.5</w:t>
            </w:r>
          </w:p>
        </w:tc>
        <w:tc>
          <w:tcPr>
            <w:tcW w:w="1772" w:type="dxa"/>
          </w:tcPr>
          <w:p w14:paraId="5C23EA3E"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11.9</w:t>
            </w:r>
          </w:p>
        </w:tc>
        <w:tc>
          <w:tcPr>
            <w:tcW w:w="1772" w:type="dxa"/>
          </w:tcPr>
          <w:p w14:paraId="68DE3DE3"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3.6</w:t>
            </w:r>
          </w:p>
        </w:tc>
        <w:tc>
          <w:tcPr>
            <w:tcW w:w="1765" w:type="dxa"/>
          </w:tcPr>
          <w:p w14:paraId="30F926DA"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13.2</w:t>
            </w:r>
          </w:p>
        </w:tc>
        <w:tc>
          <w:tcPr>
            <w:tcW w:w="1748" w:type="dxa"/>
          </w:tcPr>
          <w:p w14:paraId="6154368F"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15.1</w:t>
            </w:r>
          </w:p>
        </w:tc>
      </w:tr>
      <w:tr w:rsidR="009053A7" w:rsidRPr="00495671" w14:paraId="2D91CEF2" w14:textId="77777777" w:rsidTr="009053A7">
        <w:tc>
          <w:tcPr>
            <w:tcW w:w="3129" w:type="dxa"/>
          </w:tcPr>
          <w:p w14:paraId="7289357C" w14:textId="77777777" w:rsidR="009053A7" w:rsidRPr="00495671" w:rsidRDefault="009053A7" w:rsidP="009053A7">
            <w:pPr>
              <w:spacing w:after="0" w:line="240" w:lineRule="auto"/>
              <w:rPr>
                <w:rFonts w:cs="Times New Roman"/>
                <w:sz w:val="22"/>
                <w:lang w:val="en-ZA"/>
              </w:rPr>
            </w:pPr>
            <w:r w:rsidRPr="00495671">
              <w:rPr>
                <w:rFonts w:cs="Times New Roman"/>
                <w:sz w:val="22"/>
                <w:lang w:val="en-ZA"/>
              </w:rPr>
              <w:t>Maize+β-carotene+baobab (100:15)</w:t>
            </w:r>
          </w:p>
        </w:tc>
        <w:tc>
          <w:tcPr>
            <w:tcW w:w="1077" w:type="dxa"/>
          </w:tcPr>
          <w:p w14:paraId="14D5D5CD"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2.10</w:t>
            </w:r>
            <w:r w:rsidRPr="00495671">
              <w:rPr>
                <w:rFonts w:cs="Times New Roman"/>
                <w:sz w:val="22"/>
                <w:vertAlign w:val="superscript"/>
                <w:lang w:val="en-ZA"/>
              </w:rPr>
              <w:t>b</w:t>
            </w:r>
          </w:p>
          <w:p w14:paraId="6A77E7C5"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0.02</w:t>
            </w:r>
          </w:p>
        </w:tc>
        <w:tc>
          <w:tcPr>
            <w:tcW w:w="1164" w:type="dxa"/>
          </w:tcPr>
          <w:p w14:paraId="150369A7"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1.43</w:t>
            </w:r>
            <w:r w:rsidRPr="00495671">
              <w:rPr>
                <w:rFonts w:cs="Times New Roman"/>
                <w:sz w:val="22"/>
                <w:vertAlign w:val="superscript"/>
                <w:lang w:val="en-ZA"/>
              </w:rPr>
              <w:t>c</w:t>
            </w:r>
          </w:p>
          <w:p w14:paraId="3EF8F386"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0.04</w:t>
            </w:r>
          </w:p>
        </w:tc>
        <w:tc>
          <w:tcPr>
            <w:tcW w:w="1051" w:type="dxa"/>
          </w:tcPr>
          <w:p w14:paraId="6FA33CEF"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50.5</w:t>
            </w:r>
            <w:r w:rsidRPr="00495671">
              <w:rPr>
                <w:rFonts w:cs="Times New Roman"/>
                <w:sz w:val="22"/>
                <w:vertAlign w:val="superscript"/>
                <w:lang w:val="en-ZA"/>
              </w:rPr>
              <w:t>c</w:t>
            </w:r>
          </w:p>
          <w:p w14:paraId="6465942F"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0.6</w:t>
            </w:r>
          </w:p>
        </w:tc>
        <w:tc>
          <w:tcPr>
            <w:tcW w:w="1187" w:type="dxa"/>
          </w:tcPr>
          <w:p w14:paraId="27F2B68D"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127.9</w:t>
            </w:r>
            <w:r w:rsidRPr="00495671">
              <w:rPr>
                <w:rFonts w:cs="Times New Roman"/>
                <w:sz w:val="22"/>
                <w:vertAlign w:val="superscript"/>
                <w:lang w:val="en-ZA"/>
              </w:rPr>
              <w:t>f</w:t>
            </w:r>
          </w:p>
          <w:p w14:paraId="25521325"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0.6</w:t>
            </w:r>
          </w:p>
        </w:tc>
        <w:tc>
          <w:tcPr>
            <w:tcW w:w="1041" w:type="dxa"/>
          </w:tcPr>
          <w:p w14:paraId="58B536B3" w14:textId="77777777" w:rsidR="009053A7" w:rsidRPr="00495671" w:rsidRDefault="009053A7" w:rsidP="009053A7">
            <w:pPr>
              <w:spacing w:after="0" w:line="240" w:lineRule="auto"/>
              <w:jc w:val="center"/>
              <w:rPr>
                <w:rFonts w:cs="Times New Roman"/>
                <w:sz w:val="22"/>
                <w:vertAlign w:val="superscript"/>
                <w:lang w:val="en-ZA"/>
              </w:rPr>
            </w:pPr>
            <w:r w:rsidRPr="00495671">
              <w:rPr>
                <w:rFonts w:cs="Times New Roman"/>
                <w:sz w:val="22"/>
                <w:lang w:val="en-ZA"/>
              </w:rPr>
              <w:t>236.8</w:t>
            </w:r>
            <w:r w:rsidRPr="00495671">
              <w:rPr>
                <w:rFonts w:cs="Times New Roman"/>
                <w:sz w:val="22"/>
                <w:vertAlign w:val="superscript"/>
                <w:lang w:val="en-ZA"/>
              </w:rPr>
              <w:t>b</w:t>
            </w:r>
          </w:p>
          <w:p w14:paraId="3B005D13"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 xml:space="preserve"> ± 2.2</w:t>
            </w:r>
          </w:p>
        </w:tc>
        <w:tc>
          <w:tcPr>
            <w:tcW w:w="1772" w:type="dxa"/>
          </w:tcPr>
          <w:p w14:paraId="17FF78E6"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11.8</w:t>
            </w:r>
          </w:p>
        </w:tc>
        <w:tc>
          <w:tcPr>
            <w:tcW w:w="1772" w:type="dxa"/>
          </w:tcPr>
          <w:p w14:paraId="3ECDBE9C"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3.6</w:t>
            </w:r>
          </w:p>
        </w:tc>
        <w:tc>
          <w:tcPr>
            <w:tcW w:w="1765" w:type="dxa"/>
          </w:tcPr>
          <w:p w14:paraId="76164335"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12.8</w:t>
            </w:r>
          </w:p>
        </w:tc>
        <w:tc>
          <w:tcPr>
            <w:tcW w:w="1748" w:type="dxa"/>
          </w:tcPr>
          <w:p w14:paraId="4F1D2E9B" w14:textId="77777777" w:rsidR="009053A7" w:rsidRPr="00495671" w:rsidRDefault="009053A7" w:rsidP="009053A7">
            <w:pPr>
              <w:spacing w:after="0" w:line="240" w:lineRule="auto"/>
              <w:jc w:val="center"/>
              <w:rPr>
                <w:rFonts w:cs="Times New Roman"/>
                <w:sz w:val="22"/>
                <w:lang w:val="en-ZA"/>
              </w:rPr>
            </w:pPr>
            <w:r w:rsidRPr="00495671">
              <w:rPr>
                <w:rFonts w:cs="Times New Roman"/>
                <w:sz w:val="22"/>
                <w:lang w:val="en-ZA"/>
              </w:rPr>
              <w:t>14.6</w:t>
            </w:r>
          </w:p>
        </w:tc>
      </w:tr>
    </w:tbl>
    <w:p w14:paraId="464E7FA3" w14:textId="35CF37A3" w:rsidR="009053A7" w:rsidRDefault="009053A7" w:rsidP="00B938AA">
      <w:pPr>
        <w:spacing w:before="240" w:after="0" w:line="240" w:lineRule="auto"/>
        <w:rPr>
          <w:rFonts w:cs="Times New Roman"/>
          <w:sz w:val="20"/>
          <w:szCs w:val="20"/>
          <w:lang w:val="en-ZA"/>
        </w:rPr>
      </w:pPr>
      <w:r w:rsidRPr="00A967D7">
        <w:rPr>
          <w:rFonts w:cs="Times New Roman"/>
          <w:sz w:val="20"/>
          <w:szCs w:val="20"/>
        </w:rPr>
        <w:t xml:space="preserve">Values are the mean ± 1 SD of </w:t>
      </w:r>
      <w:r>
        <w:rPr>
          <w:rFonts w:cs="Times New Roman"/>
          <w:sz w:val="20"/>
          <w:szCs w:val="20"/>
        </w:rPr>
        <w:t>two</w:t>
      </w:r>
      <w:r w:rsidRPr="00A967D7">
        <w:rPr>
          <w:rFonts w:cs="Times New Roman"/>
          <w:sz w:val="20"/>
          <w:szCs w:val="20"/>
        </w:rPr>
        <w:t xml:space="preserve"> independent samples analysed in </w:t>
      </w:r>
      <w:r>
        <w:rPr>
          <w:rFonts w:cs="Times New Roman"/>
          <w:sz w:val="20"/>
          <w:szCs w:val="20"/>
        </w:rPr>
        <w:t>duplicate</w:t>
      </w:r>
      <w:r w:rsidRPr="00A967D7">
        <w:rPr>
          <w:rFonts w:cs="Times New Roman"/>
          <w:sz w:val="20"/>
          <w:szCs w:val="20"/>
        </w:rPr>
        <w:t xml:space="preserve"> (n=</w:t>
      </w:r>
      <w:r>
        <w:rPr>
          <w:rFonts w:cs="Times New Roman"/>
          <w:sz w:val="20"/>
          <w:szCs w:val="20"/>
        </w:rPr>
        <w:t>4</w:t>
      </w:r>
      <w:r w:rsidRPr="00A967D7">
        <w:rPr>
          <w:rFonts w:cs="Times New Roman"/>
          <w:sz w:val="20"/>
          <w:szCs w:val="20"/>
        </w:rPr>
        <w:t>)</w:t>
      </w:r>
      <w:r>
        <w:rPr>
          <w:rFonts w:cs="Times New Roman"/>
          <w:sz w:val="20"/>
          <w:szCs w:val="20"/>
        </w:rPr>
        <w:t xml:space="preserve">, </w:t>
      </w:r>
      <w:r w:rsidR="00184558" w:rsidRPr="00A967D7">
        <w:rPr>
          <w:rFonts w:cs="Times New Roman"/>
          <w:sz w:val="20"/>
          <w:szCs w:val="20"/>
        </w:rPr>
        <w:t>Means with different superscripts letters in a column differ significantly (</w:t>
      </w:r>
      <w:r w:rsidR="00184558" w:rsidRPr="003F4880">
        <w:rPr>
          <w:rFonts w:cs="Times New Roman"/>
          <w:i/>
          <w:iCs/>
          <w:sz w:val="20"/>
          <w:szCs w:val="20"/>
        </w:rPr>
        <w:t>p</w:t>
      </w:r>
      <w:r w:rsidR="00AE1C6D">
        <w:rPr>
          <w:rFonts w:cs="Times New Roman"/>
          <w:sz w:val="20"/>
          <w:szCs w:val="20"/>
        </w:rPr>
        <w:t>&lt;</w:t>
      </w:r>
      <w:r w:rsidR="00184558" w:rsidRPr="00A967D7">
        <w:rPr>
          <w:rFonts w:cs="Times New Roman"/>
          <w:sz w:val="20"/>
          <w:szCs w:val="20"/>
        </w:rPr>
        <w:t>0.05)</w:t>
      </w:r>
      <w:r w:rsidR="00184558">
        <w:rPr>
          <w:rFonts w:cs="Times New Roman"/>
          <w:sz w:val="20"/>
          <w:szCs w:val="20"/>
        </w:rPr>
        <w:t xml:space="preserve">, </w:t>
      </w:r>
      <w:r w:rsidRPr="00E13C93">
        <w:rPr>
          <w:rFonts w:cs="Times New Roman"/>
          <w:sz w:val="20"/>
          <w:szCs w:val="20"/>
          <w:vertAlign w:val="superscript"/>
        </w:rPr>
        <w:t>£</w:t>
      </w:r>
      <w:r>
        <w:rPr>
          <w:rFonts w:cs="Times New Roman"/>
          <w:sz w:val="20"/>
          <w:szCs w:val="20"/>
        </w:rPr>
        <w:t xml:space="preserve">Not applicable </w:t>
      </w:r>
      <w:r w:rsidRPr="00753EE6">
        <w:rPr>
          <w:rFonts w:cs="Times New Roman"/>
          <w:sz w:val="20"/>
          <w:szCs w:val="20"/>
          <w:vertAlign w:val="superscript"/>
        </w:rPr>
        <w:t>#</w:t>
      </w:r>
      <w:r w:rsidRPr="00753EE6">
        <w:rPr>
          <w:rFonts w:cs="Times New Roman"/>
          <w:sz w:val="20"/>
          <w:szCs w:val="20"/>
        </w:rPr>
        <w:t xml:space="preserve">RNI for school-age children and women consuming a plant-based diet with the lowest level of mineral bioavailability, 5% for iron and 15% for zinc (WHO </w:t>
      </w:r>
      <w:r w:rsidR="00E96D5F">
        <w:rPr>
          <w:rFonts w:cs="Times New Roman"/>
          <w:sz w:val="20"/>
          <w:szCs w:val="20"/>
        </w:rPr>
        <w:t>&amp;</w:t>
      </w:r>
      <w:r w:rsidRPr="00753EE6">
        <w:rPr>
          <w:rFonts w:cs="Times New Roman"/>
          <w:sz w:val="20"/>
          <w:szCs w:val="20"/>
        </w:rPr>
        <w:t xml:space="preserve"> FAO, 2004)</w:t>
      </w:r>
      <w:r>
        <w:rPr>
          <w:rFonts w:cs="Times New Roman"/>
          <w:sz w:val="20"/>
          <w:szCs w:val="20"/>
          <w:vertAlign w:val="superscript"/>
        </w:rPr>
        <w:t>∞</w:t>
      </w:r>
      <w:r w:rsidRPr="002A5730">
        <w:rPr>
          <w:rFonts w:cs="Times New Roman"/>
          <w:sz w:val="20"/>
          <w:szCs w:val="20"/>
        </w:rPr>
        <w:t>Carrot</w:t>
      </w:r>
      <w:r>
        <w:rPr>
          <w:rFonts w:cs="Times New Roman"/>
          <w:sz w:val="20"/>
          <w:szCs w:val="20"/>
        </w:rPr>
        <w:t xml:space="preserve"> and mango powders from Sunspray, </w:t>
      </w:r>
      <w:r w:rsidRPr="00893BA5">
        <w:rPr>
          <w:rFonts w:cs="Times New Roman"/>
          <w:sz w:val="20"/>
          <w:szCs w:val="20"/>
          <w:vertAlign w:val="superscript"/>
          <w:lang w:val="en-ZA"/>
        </w:rPr>
        <w:t>₳</w:t>
      </w:r>
      <w:r>
        <w:rPr>
          <w:rFonts w:cs="Times New Roman"/>
          <w:sz w:val="20"/>
          <w:szCs w:val="20"/>
        </w:rPr>
        <w:t>Baobab fruit pulp from Nautica Organics</w:t>
      </w:r>
      <w:r w:rsidR="00B938AA">
        <w:t xml:space="preserve"> </w:t>
      </w:r>
      <w:r w:rsidRPr="007A657C">
        <w:rPr>
          <w:rFonts w:cs="Times New Roman"/>
          <w:sz w:val="20"/>
          <w:szCs w:val="20"/>
          <w:vertAlign w:val="superscript"/>
        </w:rPr>
        <w:t>1</w:t>
      </w:r>
      <w:r>
        <w:rPr>
          <w:rFonts w:cs="Times New Roman"/>
          <w:sz w:val="20"/>
          <w:szCs w:val="20"/>
        </w:rPr>
        <w:t xml:space="preserve">Carrot and mango powders were in ratio 1:1, </w:t>
      </w:r>
      <w:r w:rsidRPr="007A657C">
        <w:rPr>
          <w:rFonts w:cs="Times New Roman"/>
          <w:sz w:val="20"/>
          <w:szCs w:val="20"/>
          <w:vertAlign w:val="superscript"/>
        </w:rPr>
        <w:t>2</w:t>
      </w:r>
      <w:r>
        <w:rPr>
          <w:rFonts w:cs="Times New Roman"/>
          <w:sz w:val="20"/>
          <w:szCs w:val="20"/>
          <w:lang w:val="en-ZA"/>
        </w:rPr>
        <w:t xml:space="preserve">Content of </w:t>
      </w:r>
      <w:r w:rsidRPr="00FA0738">
        <w:rPr>
          <w:rFonts w:cs="Times New Roman"/>
          <w:sz w:val="20"/>
          <w:szCs w:val="20"/>
          <w:lang w:val="en-ZA"/>
        </w:rPr>
        <w:t>β-</w:t>
      </w:r>
      <w:r>
        <w:rPr>
          <w:rFonts w:cs="Times New Roman"/>
          <w:sz w:val="20"/>
          <w:szCs w:val="20"/>
          <w:lang w:val="en-ZA"/>
        </w:rPr>
        <w:t>carotene was similar to the levels in carrot+mango</w:t>
      </w:r>
      <w:r w:rsidR="00B938AA">
        <w:rPr>
          <w:rFonts w:cs="Times New Roman"/>
          <w:sz w:val="20"/>
          <w:szCs w:val="20"/>
          <w:lang w:val="en-ZA"/>
        </w:rPr>
        <w:t xml:space="preserve"> </w:t>
      </w:r>
    </w:p>
    <w:p w14:paraId="55A942B9" w14:textId="77777777" w:rsidR="00B938AA" w:rsidRDefault="00B938AA" w:rsidP="00B938AA">
      <w:pPr>
        <w:spacing w:before="240" w:after="0" w:line="240" w:lineRule="auto"/>
        <w:rPr>
          <w:rFonts w:cs="Times New Roman"/>
          <w:sz w:val="20"/>
          <w:szCs w:val="20"/>
        </w:rPr>
        <w:sectPr w:rsidR="00B938AA" w:rsidSect="009053A7">
          <w:pgSz w:w="16839" w:h="11907" w:orient="landscape" w:code="9"/>
          <w:pgMar w:top="1440" w:right="1440" w:bottom="1440" w:left="1440" w:header="720" w:footer="720" w:gutter="0"/>
          <w:cols w:space="720"/>
          <w:docGrid w:linePitch="360"/>
        </w:sectPr>
      </w:pPr>
    </w:p>
    <w:p w14:paraId="017E61BA" w14:textId="69A0D896" w:rsidR="00B938AA" w:rsidRDefault="00495671" w:rsidP="00941171">
      <w:r>
        <w:t xml:space="preserve">As expected, moringa leaf powder and hibiscus calyx powder were the highest and second highest in iron of the </w:t>
      </w:r>
      <w:r w:rsidRPr="00F220C9">
        <w:t>extrusion</w:t>
      </w:r>
      <w:r>
        <w:t>-</w:t>
      </w:r>
      <w:r w:rsidRPr="00F220C9">
        <w:t>cooked pearl millet</w:t>
      </w:r>
      <w:r w:rsidR="006A6E94">
        <w:t>-based</w:t>
      </w:r>
      <w:r w:rsidRPr="00F220C9">
        <w:t xml:space="preserve"> porridge </w:t>
      </w:r>
      <w:r>
        <w:t>i</w:t>
      </w:r>
      <w:r w:rsidRPr="00F220C9">
        <w:t>ngredients</w:t>
      </w:r>
      <w:r>
        <w:t xml:space="preserve"> (food fortificants) </w:t>
      </w:r>
      <w:r w:rsidRPr="006A6E94">
        <w:t>(Table</w:t>
      </w:r>
      <w:r>
        <w:t xml:space="preserve"> </w:t>
      </w:r>
      <w:r w:rsidR="006A6E94">
        <w:t>4.3.</w:t>
      </w:r>
      <w:r>
        <w:t>2). They were approx. 5- and 4-fold higher in iron, respectively compared to pearl millet grain. The iron contents of the extrusion-cooked pearl millet-based porridges, except for pearl millet</w:t>
      </w:r>
      <w:r w:rsidR="006A6E94">
        <w:t>-based</w:t>
      </w:r>
      <w:r>
        <w:t xml:space="preserve"> porridge fortified with carrot</w:t>
      </w:r>
      <w:r w:rsidR="006A6E94">
        <w:t>,</w:t>
      </w:r>
      <w:r>
        <w:t xml:space="preserve"> mango, baobab </w:t>
      </w:r>
      <w:r w:rsidR="006A6E94">
        <w:t>together with</w:t>
      </w:r>
      <w:r>
        <w:t xml:space="preserve"> moringa, were unexpectedly high, with the baobab plus hibiscus fortified-pearl millet</w:t>
      </w:r>
      <w:r w:rsidR="006A6E94">
        <w:t>-based</w:t>
      </w:r>
      <w:r>
        <w:t xml:space="preserve"> porridge having the highest iron content (</w:t>
      </w:r>
      <w:r w:rsidRPr="006A6E94">
        <w:t>Table</w:t>
      </w:r>
      <w:r>
        <w:t xml:space="preserve"> </w:t>
      </w:r>
      <w:r w:rsidR="006A6E94">
        <w:t>4.3.</w:t>
      </w:r>
      <w:r>
        <w:t xml:space="preserve">2).  </w:t>
      </w:r>
      <w:r w:rsidR="00EF070D" w:rsidRPr="00EF070D">
        <w:t xml:space="preserve">The iron contents of the extrusion-cooked pearl millet-based porridges fortified with carrot, papaya together with baobab; fortified with carrot, papaya, baobab together with micronutrient premix; and fortified with baobab plus hibiscus calyx were approximately 84%, 106% and 276% higher, respectively compared to their respective calculated iron contents. </w:t>
      </w:r>
      <w:r>
        <w:t xml:space="preserve">As the actual contents of the minerals in the porridges and their calculated values were in good agreement, the high iron contents of the porridges were </w:t>
      </w:r>
      <w:r w:rsidR="00EF070D">
        <w:t xml:space="preserve">very </w:t>
      </w:r>
      <w:r w:rsidR="004D0A6C">
        <w:t>likely</w:t>
      </w:r>
      <w:r>
        <w:t xml:space="preserve"> due to iron contamination of the porridges during extrusion processing. Other researchers have also </w:t>
      </w:r>
      <w:r w:rsidR="00EF070D">
        <w:t>found</w:t>
      </w:r>
      <w:r>
        <w:t xml:space="preserve"> that </w:t>
      </w:r>
      <w:r w:rsidRPr="001652AD">
        <w:t>iron concentration</w:t>
      </w:r>
      <w:r>
        <w:t>s</w:t>
      </w:r>
      <w:r w:rsidRPr="001652AD">
        <w:t xml:space="preserve"> of </w:t>
      </w:r>
      <w:r>
        <w:t>cereal and legume products</w:t>
      </w:r>
      <w:r w:rsidRPr="001652AD">
        <w:t xml:space="preserve"> increased substantially after the</w:t>
      </w:r>
      <w:r>
        <w:t xml:space="preserve"> process of extrusion cooking (Alonso</w:t>
      </w:r>
      <w:r w:rsidR="00184558">
        <w:t xml:space="preserve"> et al.</w:t>
      </w:r>
      <w:r>
        <w:t xml:space="preserve">, 2001; </w:t>
      </w:r>
      <w:r w:rsidRPr="001652AD">
        <w:t>Mutambuka</w:t>
      </w:r>
      <w:r>
        <w:t>,</w:t>
      </w:r>
      <w:r w:rsidRPr="001652AD">
        <w:t xml:space="preserve"> 2013</w:t>
      </w:r>
      <w:r>
        <w:t>; Nkundabombi et al., 2016</w:t>
      </w:r>
      <w:r w:rsidRPr="001652AD">
        <w:t>)</w:t>
      </w:r>
      <w:r>
        <w:t xml:space="preserve">.  They attributed </w:t>
      </w:r>
      <w:r w:rsidR="008D4DD6">
        <w:t>this</w:t>
      </w:r>
      <w:r>
        <w:t xml:space="preserve"> to contaminating iron from </w:t>
      </w:r>
      <w:r w:rsidR="008D4DD6">
        <w:t xml:space="preserve">the </w:t>
      </w:r>
      <w:r w:rsidRPr="001652AD">
        <w:t xml:space="preserve">extruder parts. </w:t>
      </w:r>
      <w:r>
        <w:t xml:space="preserve"> In a systematic review, Geerligs et al. (2003) showed that consumption of iron-contaminated foods from iron-cooking pots increased haemoglobin concentration of anaemic and iron deficient individuals. This indicates that contaminating iron from food processing equipment could be potentially bioavailable. Thus, a 100 g (dry basis) </w:t>
      </w:r>
      <w:r w:rsidRPr="00A967D7">
        <w:t>se</w:t>
      </w:r>
      <w:r>
        <w:t>rving</w:t>
      </w:r>
      <w:r w:rsidRPr="00A967D7">
        <w:t xml:space="preserve"> </w:t>
      </w:r>
      <w:r>
        <w:t>of the iron-contaminated extrusion-cooked fortified-pearl millet-based porridges</w:t>
      </w:r>
      <w:r w:rsidRPr="00A967D7">
        <w:t xml:space="preserve"> </w:t>
      </w:r>
      <w:r w:rsidR="008D4DD6">
        <w:t>could potentially</w:t>
      </w:r>
      <w:r>
        <w:t xml:space="preserve"> increase the percentage contribution of</w:t>
      </w:r>
      <w:r w:rsidRPr="00A967D7">
        <w:t xml:space="preserve"> </w:t>
      </w:r>
      <w:r>
        <w:t>iron RNI</w:t>
      </w:r>
      <w:r w:rsidRPr="00A967D7">
        <w:t xml:space="preserve"> </w:t>
      </w:r>
      <w:r>
        <w:t>from approx</w:t>
      </w:r>
      <w:r w:rsidR="006A6E94">
        <w:t>imately</w:t>
      </w:r>
      <w:r>
        <w:t xml:space="preserve"> 55% to 90–241% </w:t>
      </w:r>
      <w:r w:rsidRPr="00A967D7">
        <w:t xml:space="preserve">for </w:t>
      </w:r>
      <w:r>
        <w:t xml:space="preserve">school-age children and from 17% to 27–73% for adult </w:t>
      </w:r>
      <w:r w:rsidRPr="00A967D7">
        <w:t>women</w:t>
      </w:r>
      <w:r>
        <w:t xml:space="preserve"> (19–50 years). Baobab plus hibiscus fortified-pearl millet porridge contributed the most to the iron RNIs, because it had the highest iron content.</w:t>
      </w:r>
    </w:p>
    <w:p w14:paraId="6AA46569" w14:textId="3FD367A7" w:rsidR="00495671" w:rsidRDefault="00495671">
      <w:pPr>
        <w:spacing w:after="160" w:line="259" w:lineRule="auto"/>
        <w:rPr>
          <w:rFonts w:cs="Times New Roman"/>
          <w:sz w:val="20"/>
          <w:szCs w:val="20"/>
        </w:rPr>
      </w:pPr>
      <w:r>
        <w:rPr>
          <w:rFonts w:cs="Times New Roman"/>
          <w:sz w:val="20"/>
          <w:szCs w:val="20"/>
        </w:rPr>
        <w:br w:type="page"/>
      </w:r>
    </w:p>
    <w:p w14:paraId="2C3C4AD6" w14:textId="77777777" w:rsidR="00495671" w:rsidRDefault="00495671" w:rsidP="00495671">
      <w:pPr>
        <w:spacing w:after="160"/>
        <w:rPr>
          <w:rFonts w:cs="Times New Roman"/>
          <w:sz w:val="20"/>
          <w:szCs w:val="20"/>
        </w:rPr>
        <w:sectPr w:rsidR="00495671" w:rsidSect="00B938AA">
          <w:pgSz w:w="11907" w:h="16839" w:code="9"/>
          <w:pgMar w:top="1440" w:right="1440" w:bottom="1440" w:left="1440" w:header="720" w:footer="720" w:gutter="0"/>
          <w:cols w:space="720"/>
          <w:docGrid w:linePitch="360"/>
        </w:sectPr>
      </w:pPr>
    </w:p>
    <w:p w14:paraId="7330D8F3" w14:textId="0BC8929F" w:rsidR="00495671" w:rsidRDefault="00495671" w:rsidP="006A6E94">
      <w:pPr>
        <w:pStyle w:val="MyTables"/>
        <w:spacing w:line="240" w:lineRule="auto"/>
      </w:pPr>
      <w:bookmarkStart w:id="138" w:name="_Toc65253640"/>
      <w:r w:rsidRPr="00A34C41">
        <w:rPr>
          <w:b/>
          <w:bCs/>
          <w:lang w:val="en-ZA"/>
        </w:rPr>
        <w:t xml:space="preserve">Table </w:t>
      </w:r>
      <w:r w:rsidR="00A34C41" w:rsidRPr="00A34C41">
        <w:rPr>
          <w:b/>
          <w:bCs/>
          <w:lang w:val="en-ZA"/>
        </w:rPr>
        <w:t>4.3.</w:t>
      </w:r>
      <w:r w:rsidRPr="00A34C41">
        <w:rPr>
          <w:b/>
          <w:bCs/>
          <w:lang w:val="en-ZA"/>
        </w:rPr>
        <w:t>2:</w:t>
      </w:r>
      <w:r>
        <w:rPr>
          <w:lang w:val="en-ZA"/>
        </w:rPr>
        <w:t xml:space="preserve"> </w:t>
      </w:r>
      <w:r w:rsidRPr="00A967D7">
        <w:t>Mineral contents (mg/100 g</w:t>
      </w:r>
      <w:r>
        <w:t>,</w:t>
      </w:r>
      <w:r w:rsidRPr="00A967D7">
        <w:t xml:space="preserve"> dry basis) of </w:t>
      </w:r>
      <w:r>
        <w:t xml:space="preserve">extrusion cooked </w:t>
      </w:r>
      <w:r w:rsidRPr="00A967D7">
        <w:t xml:space="preserve">wholegrain </w:t>
      </w:r>
      <w:r>
        <w:t>pearl millet-based porridge formulations and their ingredients with</w:t>
      </w:r>
      <w:r w:rsidRPr="00A967D7">
        <w:t xml:space="preserve"> their estimated percentage </w:t>
      </w:r>
      <w:r>
        <w:t>iron and zinc</w:t>
      </w:r>
      <w:r w:rsidRPr="00A967D7">
        <w:t xml:space="preserve"> contribution</w:t>
      </w:r>
      <w:r>
        <w:t>s</w:t>
      </w:r>
      <w:r w:rsidRPr="00A967D7">
        <w:t xml:space="preserve"> to the daily recommended nutrient intake</w:t>
      </w:r>
      <w:r>
        <w:t>s</w:t>
      </w:r>
      <w:r w:rsidRPr="00A967D7">
        <w:t xml:space="preserve"> (RNI)</w:t>
      </w:r>
      <w:r w:rsidRPr="003943B5">
        <w:rPr>
          <w:vertAlign w:val="superscript"/>
        </w:rPr>
        <w:t>#</w:t>
      </w:r>
      <w:r w:rsidRPr="00A967D7">
        <w:t xml:space="preserve"> for </w:t>
      </w:r>
      <w:r>
        <w:t xml:space="preserve">school-age children (7–9 years) and </w:t>
      </w:r>
      <w:r w:rsidRPr="00A967D7">
        <w:t>women</w:t>
      </w:r>
      <w:r>
        <w:t xml:space="preserve"> of 19–50 years</w:t>
      </w:r>
      <w:bookmarkEnd w:id="138"/>
    </w:p>
    <w:tbl>
      <w:tblPr>
        <w:tblW w:w="15735" w:type="dxa"/>
        <w:tblInd w:w="-572" w:type="dxa"/>
        <w:tblBorders>
          <w:top w:val="single" w:sz="4" w:space="0" w:color="auto"/>
          <w:bottom w:val="single" w:sz="4" w:space="0" w:color="auto"/>
        </w:tblBorders>
        <w:tblLook w:val="04A0" w:firstRow="1" w:lastRow="0" w:firstColumn="1" w:lastColumn="0" w:noHBand="0" w:noVBand="1"/>
      </w:tblPr>
      <w:tblGrid>
        <w:gridCol w:w="3008"/>
        <w:gridCol w:w="1114"/>
        <w:gridCol w:w="1115"/>
        <w:gridCol w:w="1113"/>
        <w:gridCol w:w="1116"/>
        <w:gridCol w:w="1118"/>
        <w:gridCol w:w="1823"/>
        <w:gridCol w:w="1823"/>
        <w:gridCol w:w="1820"/>
        <w:gridCol w:w="1685"/>
      </w:tblGrid>
      <w:tr w:rsidR="00495671" w:rsidRPr="00495671" w14:paraId="0669A2D7" w14:textId="77777777" w:rsidTr="00961673">
        <w:tc>
          <w:tcPr>
            <w:tcW w:w="3008" w:type="dxa"/>
            <w:tcBorders>
              <w:top w:val="single" w:sz="4" w:space="0" w:color="auto"/>
              <w:bottom w:val="single" w:sz="4" w:space="0" w:color="auto"/>
            </w:tcBorders>
          </w:tcPr>
          <w:p w14:paraId="33FFE7A7" w14:textId="77777777" w:rsidR="00495671" w:rsidRPr="00495671" w:rsidRDefault="00495671" w:rsidP="00C94B7B">
            <w:pPr>
              <w:spacing w:after="0" w:line="240" w:lineRule="auto"/>
              <w:jc w:val="left"/>
              <w:rPr>
                <w:rFonts w:cs="Times New Roman"/>
                <w:sz w:val="22"/>
              </w:rPr>
            </w:pPr>
            <w:r w:rsidRPr="00495671">
              <w:rPr>
                <w:rFonts w:cs="Times New Roman"/>
                <w:b/>
                <w:bCs/>
                <w:sz w:val="22"/>
                <w:lang w:val="en-ZA"/>
              </w:rPr>
              <w:t xml:space="preserve">Porridge ingredients and formulations </w:t>
            </w:r>
          </w:p>
        </w:tc>
        <w:tc>
          <w:tcPr>
            <w:tcW w:w="1114" w:type="dxa"/>
            <w:tcBorders>
              <w:top w:val="single" w:sz="4" w:space="0" w:color="auto"/>
              <w:bottom w:val="single" w:sz="4" w:space="0" w:color="auto"/>
            </w:tcBorders>
          </w:tcPr>
          <w:p w14:paraId="7B66BFD1" w14:textId="77777777" w:rsidR="00495671" w:rsidRPr="00495671" w:rsidRDefault="00495671" w:rsidP="00495671">
            <w:pPr>
              <w:spacing w:after="0" w:line="240" w:lineRule="auto"/>
              <w:jc w:val="center"/>
              <w:rPr>
                <w:rFonts w:cs="Times New Roman"/>
                <w:sz w:val="22"/>
              </w:rPr>
            </w:pPr>
            <w:r w:rsidRPr="00495671">
              <w:rPr>
                <w:rFonts w:cs="Times New Roman"/>
                <w:b/>
                <w:bCs/>
                <w:sz w:val="22"/>
                <w:lang w:val="en-ZA"/>
              </w:rPr>
              <w:t>Fe</w:t>
            </w:r>
          </w:p>
        </w:tc>
        <w:tc>
          <w:tcPr>
            <w:tcW w:w="1115" w:type="dxa"/>
            <w:tcBorders>
              <w:top w:val="single" w:sz="4" w:space="0" w:color="auto"/>
              <w:bottom w:val="single" w:sz="4" w:space="0" w:color="auto"/>
            </w:tcBorders>
          </w:tcPr>
          <w:p w14:paraId="2FD9A013" w14:textId="77777777" w:rsidR="00495671" w:rsidRPr="00495671" w:rsidRDefault="00495671" w:rsidP="00495671">
            <w:pPr>
              <w:spacing w:after="0" w:line="240" w:lineRule="auto"/>
              <w:jc w:val="center"/>
              <w:rPr>
                <w:rFonts w:cs="Times New Roman"/>
                <w:sz w:val="22"/>
              </w:rPr>
            </w:pPr>
            <w:r w:rsidRPr="00495671">
              <w:rPr>
                <w:rFonts w:cs="Times New Roman"/>
                <w:b/>
                <w:bCs/>
                <w:sz w:val="22"/>
                <w:lang w:val="en-ZA"/>
              </w:rPr>
              <w:t>Zn</w:t>
            </w:r>
          </w:p>
        </w:tc>
        <w:tc>
          <w:tcPr>
            <w:tcW w:w="1113" w:type="dxa"/>
            <w:tcBorders>
              <w:top w:val="single" w:sz="4" w:space="0" w:color="auto"/>
              <w:bottom w:val="single" w:sz="4" w:space="0" w:color="auto"/>
            </w:tcBorders>
          </w:tcPr>
          <w:p w14:paraId="4ADEC926" w14:textId="77777777" w:rsidR="00495671" w:rsidRPr="00495671" w:rsidRDefault="00495671" w:rsidP="00495671">
            <w:pPr>
              <w:spacing w:after="0" w:line="240" w:lineRule="auto"/>
              <w:jc w:val="center"/>
              <w:rPr>
                <w:rFonts w:cs="Times New Roman"/>
                <w:sz w:val="22"/>
              </w:rPr>
            </w:pPr>
            <w:r w:rsidRPr="00495671">
              <w:rPr>
                <w:rFonts w:cs="Times New Roman"/>
                <w:b/>
                <w:bCs/>
                <w:sz w:val="22"/>
                <w:lang w:val="en-ZA"/>
              </w:rPr>
              <w:t>Ca</w:t>
            </w:r>
          </w:p>
        </w:tc>
        <w:tc>
          <w:tcPr>
            <w:tcW w:w="1116" w:type="dxa"/>
            <w:tcBorders>
              <w:top w:val="single" w:sz="4" w:space="0" w:color="auto"/>
              <w:bottom w:val="single" w:sz="4" w:space="0" w:color="auto"/>
            </w:tcBorders>
          </w:tcPr>
          <w:p w14:paraId="5FD7A53F" w14:textId="77777777" w:rsidR="00495671" w:rsidRPr="00495671" w:rsidRDefault="00495671" w:rsidP="00495671">
            <w:pPr>
              <w:spacing w:after="0" w:line="240" w:lineRule="auto"/>
              <w:jc w:val="center"/>
              <w:rPr>
                <w:rFonts w:cs="Times New Roman"/>
                <w:sz w:val="22"/>
              </w:rPr>
            </w:pPr>
            <w:r w:rsidRPr="00495671">
              <w:rPr>
                <w:rFonts w:cs="Times New Roman"/>
                <w:b/>
                <w:bCs/>
                <w:sz w:val="22"/>
                <w:lang w:val="en-ZA"/>
              </w:rPr>
              <w:t>Mg</w:t>
            </w:r>
          </w:p>
        </w:tc>
        <w:tc>
          <w:tcPr>
            <w:tcW w:w="1118" w:type="dxa"/>
            <w:tcBorders>
              <w:top w:val="single" w:sz="4" w:space="0" w:color="auto"/>
              <w:bottom w:val="single" w:sz="4" w:space="0" w:color="auto"/>
            </w:tcBorders>
          </w:tcPr>
          <w:p w14:paraId="6EEB580C" w14:textId="77777777" w:rsidR="00495671" w:rsidRPr="00495671" w:rsidRDefault="00495671" w:rsidP="00495671">
            <w:pPr>
              <w:spacing w:after="0" w:line="240" w:lineRule="auto"/>
              <w:jc w:val="center"/>
              <w:rPr>
                <w:rFonts w:cs="Times New Roman"/>
                <w:sz w:val="22"/>
              </w:rPr>
            </w:pPr>
            <w:r w:rsidRPr="00495671">
              <w:rPr>
                <w:rFonts w:cs="Times New Roman"/>
                <w:b/>
                <w:bCs/>
                <w:sz w:val="22"/>
                <w:lang w:val="en-ZA"/>
              </w:rPr>
              <w:t>P</w:t>
            </w:r>
          </w:p>
        </w:tc>
        <w:tc>
          <w:tcPr>
            <w:tcW w:w="1823" w:type="dxa"/>
            <w:tcBorders>
              <w:top w:val="single" w:sz="4" w:space="0" w:color="auto"/>
              <w:bottom w:val="single" w:sz="4" w:space="0" w:color="auto"/>
            </w:tcBorders>
          </w:tcPr>
          <w:p w14:paraId="559DAF5B" w14:textId="77777777" w:rsidR="00495671" w:rsidRPr="00495671" w:rsidRDefault="00495671" w:rsidP="00495671">
            <w:pPr>
              <w:spacing w:after="0" w:line="240" w:lineRule="auto"/>
              <w:jc w:val="center"/>
              <w:rPr>
                <w:rFonts w:cs="Times New Roman"/>
                <w:sz w:val="22"/>
              </w:rPr>
            </w:pPr>
            <w:r w:rsidRPr="00495671">
              <w:rPr>
                <w:rFonts w:cs="Times New Roman"/>
                <w:b/>
                <w:bCs/>
                <w:sz w:val="22"/>
                <w:lang w:val="en-ZA"/>
              </w:rPr>
              <w:t>% Contribution to the RNI for iron for children (17.8 mg/day)</w:t>
            </w:r>
          </w:p>
        </w:tc>
        <w:tc>
          <w:tcPr>
            <w:tcW w:w="1823" w:type="dxa"/>
            <w:tcBorders>
              <w:top w:val="single" w:sz="4" w:space="0" w:color="auto"/>
              <w:bottom w:val="single" w:sz="4" w:space="0" w:color="auto"/>
            </w:tcBorders>
          </w:tcPr>
          <w:p w14:paraId="1D5D1E96" w14:textId="77777777" w:rsidR="00495671" w:rsidRPr="00495671" w:rsidRDefault="00495671" w:rsidP="00495671">
            <w:pPr>
              <w:spacing w:after="0" w:line="240" w:lineRule="auto"/>
              <w:jc w:val="center"/>
              <w:rPr>
                <w:rFonts w:cs="Times New Roman"/>
                <w:sz w:val="22"/>
              </w:rPr>
            </w:pPr>
            <w:r w:rsidRPr="00495671">
              <w:rPr>
                <w:rFonts w:cs="Times New Roman"/>
                <w:b/>
                <w:bCs/>
                <w:sz w:val="22"/>
                <w:lang w:val="en-ZA"/>
              </w:rPr>
              <w:t>% Contribution to the RNI for iron for women (58.8 mg/day)</w:t>
            </w:r>
          </w:p>
        </w:tc>
        <w:tc>
          <w:tcPr>
            <w:tcW w:w="1820" w:type="dxa"/>
            <w:tcBorders>
              <w:top w:val="single" w:sz="4" w:space="0" w:color="auto"/>
              <w:bottom w:val="single" w:sz="4" w:space="0" w:color="auto"/>
            </w:tcBorders>
          </w:tcPr>
          <w:p w14:paraId="186B22E2" w14:textId="77777777" w:rsidR="00495671" w:rsidRPr="00495671" w:rsidRDefault="00495671" w:rsidP="00495671">
            <w:pPr>
              <w:spacing w:after="0" w:line="240" w:lineRule="auto"/>
              <w:jc w:val="center"/>
              <w:rPr>
                <w:rFonts w:cs="Times New Roman"/>
                <w:sz w:val="22"/>
              </w:rPr>
            </w:pPr>
            <w:r w:rsidRPr="00495671">
              <w:rPr>
                <w:rFonts w:cs="Times New Roman"/>
                <w:b/>
                <w:bCs/>
                <w:sz w:val="22"/>
                <w:lang w:val="en-ZA"/>
              </w:rPr>
              <w:t>% contribution to the RNI for zinc for children (11.2 mg/day)</w:t>
            </w:r>
          </w:p>
        </w:tc>
        <w:tc>
          <w:tcPr>
            <w:tcW w:w="1685" w:type="dxa"/>
            <w:tcBorders>
              <w:top w:val="single" w:sz="4" w:space="0" w:color="auto"/>
              <w:bottom w:val="single" w:sz="4" w:space="0" w:color="auto"/>
            </w:tcBorders>
          </w:tcPr>
          <w:p w14:paraId="6125E907" w14:textId="77777777" w:rsidR="00495671" w:rsidRPr="00495671" w:rsidRDefault="00495671" w:rsidP="00495671">
            <w:pPr>
              <w:spacing w:after="0" w:line="240" w:lineRule="auto"/>
              <w:jc w:val="center"/>
              <w:rPr>
                <w:rFonts w:cs="Times New Roman"/>
                <w:sz w:val="22"/>
              </w:rPr>
            </w:pPr>
            <w:r w:rsidRPr="00495671">
              <w:rPr>
                <w:rFonts w:cs="Times New Roman"/>
                <w:b/>
                <w:bCs/>
                <w:sz w:val="22"/>
                <w:lang w:val="en-ZA"/>
              </w:rPr>
              <w:t>% contribution to the RNI for zinc for women (9.8 mg/day)</w:t>
            </w:r>
          </w:p>
        </w:tc>
      </w:tr>
      <w:tr w:rsidR="00495671" w:rsidRPr="00495671" w14:paraId="06CFCE9A" w14:textId="77777777" w:rsidTr="00961673">
        <w:tc>
          <w:tcPr>
            <w:tcW w:w="15735" w:type="dxa"/>
            <w:gridSpan w:val="10"/>
            <w:tcBorders>
              <w:top w:val="single" w:sz="4" w:space="0" w:color="auto"/>
            </w:tcBorders>
          </w:tcPr>
          <w:p w14:paraId="1D98B7CC" w14:textId="77777777" w:rsidR="00495671" w:rsidRPr="00495671" w:rsidRDefault="00495671" w:rsidP="001711B1">
            <w:pPr>
              <w:spacing w:after="0" w:line="240" w:lineRule="auto"/>
              <w:jc w:val="left"/>
              <w:rPr>
                <w:rFonts w:cs="Times New Roman"/>
                <w:sz w:val="22"/>
                <w:lang w:val="en-ZA"/>
              </w:rPr>
            </w:pPr>
            <w:r w:rsidRPr="00495671">
              <w:rPr>
                <w:rFonts w:cs="Times New Roman"/>
                <w:b/>
                <w:bCs/>
                <w:sz w:val="22"/>
                <w:lang w:val="en-ZA"/>
              </w:rPr>
              <w:t>Ingredients</w:t>
            </w:r>
          </w:p>
        </w:tc>
      </w:tr>
      <w:tr w:rsidR="00495671" w:rsidRPr="00495671" w14:paraId="43B11236" w14:textId="77777777" w:rsidTr="00961673">
        <w:tc>
          <w:tcPr>
            <w:tcW w:w="3008" w:type="dxa"/>
          </w:tcPr>
          <w:p w14:paraId="6D3593FA" w14:textId="77777777" w:rsidR="00495671" w:rsidRPr="00495671" w:rsidRDefault="00495671" w:rsidP="001711B1">
            <w:pPr>
              <w:spacing w:after="0" w:line="240" w:lineRule="auto"/>
              <w:jc w:val="left"/>
              <w:rPr>
                <w:rFonts w:cs="Times New Roman"/>
                <w:sz w:val="22"/>
              </w:rPr>
            </w:pPr>
            <w:r w:rsidRPr="00495671">
              <w:rPr>
                <w:rFonts w:cs="Times New Roman"/>
                <w:sz w:val="22"/>
                <w:lang w:val="en-ZA"/>
              </w:rPr>
              <w:t>Pearl millet grain (Control)</w:t>
            </w:r>
            <w:r w:rsidRPr="00495671">
              <w:rPr>
                <w:rFonts w:cs="Times New Roman"/>
                <w:sz w:val="22"/>
                <w:vertAlign w:val="superscript"/>
                <w:lang w:val="en-ZA"/>
              </w:rPr>
              <w:t>1</w:t>
            </w:r>
          </w:p>
        </w:tc>
        <w:tc>
          <w:tcPr>
            <w:tcW w:w="1114" w:type="dxa"/>
          </w:tcPr>
          <w:p w14:paraId="3B7ADA34"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9.8</w:t>
            </w:r>
            <w:r w:rsidRPr="00495671">
              <w:rPr>
                <w:rFonts w:cs="Times New Roman"/>
                <w:sz w:val="22"/>
                <w:vertAlign w:val="superscript"/>
                <w:lang w:val="en-ZA"/>
              </w:rPr>
              <w:t>b</w:t>
            </w:r>
          </w:p>
          <w:p w14:paraId="7311C472"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0.7</w:t>
            </w:r>
          </w:p>
        </w:tc>
        <w:tc>
          <w:tcPr>
            <w:tcW w:w="1115" w:type="dxa"/>
          </w:tcPr>
          <w:p w14:paraId="0BAA352A"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3.88</w:t>
            </w:r>
            <w:r w:rsidRPr="00495671">
              <w:rPr>
                <w:rFonts w:cs="Times New Roman"/>
                <w:sz w:val="22"/>
                <w:vertAlign w:val="superscript"/>
                <w:lang w:val="en-ZA"/>
              </w:rPr>
              <w:t>f</w:t>
            </w:r>
          </w:p>
          <w:p w14:paraId="1BC64787" w14:textId="77777777" w:rsidR="00495671" w:rsidRPr="00495671" w:rsidRDefault="00495671" w:rsidP="00495671">
            <w:pPr>
              <w:spacing w:after="0" w:line="240" w:lineRule="auto"/>
              <w:jc w:val="center"/>
              <w:rPr>
                <w:rFonts w:cs="Times New Roman"/>
                <w:sz w:val="22"/>
              </w:rPr>
            </w:pPr>
            <w:r w:rsidRPr="00495671">
              <w:rPr>
                <w:rFonts w:cs="Times New Roman"/>
                <w:sz w:val="22"/>
                <w:vertAlign w:val="superscript"/>
                <w:lang w:val="en-ZA"/>
              </w:rPr>
              <w:t>-</w:t>
            </w:r>
            <w:r w:rsidRPr="00495671">
              <w:rPr>
                <w:rFonts w:cs="Times New Roman"/>
                <w:sz w:val="22"/>
                <w:lang w:val="en-ZA"/>
              </w:rPr>
              <w:t>± 0.22</w:t>
            </w:r>
          </w:p>
        </w:tc>
        <w:tc>
          <w:tcPr>
            <w:tcW w:w="1113" w:type="dxa"/>
          </w:tcPr>
          <w:p w14:paraId="20B2D385"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16</w:t>
            </w:r>
            <w:r w:rsidRPr="00495671">
              <w:rPr>
                <w:rFonts w:cs="Times New Roman"/>
                <w:sz w:val="22"/>
                <w:vertAlign w:val="superscript"/>
                <w:lang w:val="en-ZA"/>
              </w:rPr>
              <w:t>a</w:t>
            </w:r>
          </w:p>
          <w:p w14:paraId="0769681E"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1</w:t>
            </w:r>
          </w:p>
        </w:tc>
        <w:tc>
          <w:tcPr>
            <w:tcW w:w="1116" w:type="dxa"/>
          </w:tcPr>
          <w:p w14:paraId="71CBEF5B"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105.9</w:t>
            </w:r>
            <w:r w:rsidRPr="00495671">
              <w:rPr>
                <w:rFonts w:cs="Times New Roman"/>
                <w:sz w:val="22"/>
                <w:vertAlign w:val="superscript"/>
                <w:lang w:val="en-ZA"/>
              </w:rPr>
              <w:t>b</w:t>
            </w:r>
          </w:p>
          <w:p w14:paraId="37AA798F"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2.6</w:t>
            </w:r>
          </w:p>
        </w:tc>
        <w:tc>
          <w:tcPr>
            <w:tcW w:w="1118" w:type="dxa"/>
          </w:tcPr>
          <w:p w14:paraId="22063466"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259.9</w:t>
            </w:r>
            <w:r w:rsidRPr="00495671">
              <w:rPr>
                <w:rFonts w:cs="Times New Roman"/>
                <w:sz w:val="22"/>
                <w:vertAlign w:val="superscript"/>
                <w:lang w:val="en-ZA"/>
              </w:rPr>
              <w:t>d</w:t>
            </w:r>
          </w:p>
          <w:p w14:paraId="6314F18A"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9.1</w:t>
            </w:r>
          </w:p>
        </w:tc>
        <w:tc>
          <w:tcPr>
            <w:tcW w:w="1823" w:type="dxa"/>
          </w:tcPr>
          <w:p w14:paraId="358315B9"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55.0</w:t>
            </w:r>
          </w:p>
        </w:tc>
        <w:tc>
          <w:tcPr>
            <w:tcW w:w="1823" w:type="dxa"/>
          </w:tcPr>
          <w:p w14:paraId="00E524D7"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16.6</w:t>
            </w:r>
          </w:p>
        </w:tc>
        <w:tc>
          <w:tcPr>
            <w:tcW w:w="1820" w:type="dxa"/>
          </w:tcPr>
          <w:p w14:paraId="71C2FC48"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34.6</w:t>
            </w:r>
          </w:p>
        </w:tc>
        <w:tc>
          <w:tcPr>
            <w:tcW w:w="1685" w:type="dxa"/>
          </w:tcPr>
          <w:p w14:paraId="60554E7E"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39.6</w:t>
            </w:r>
          </w:p>
        </w:tc>
      </w:tr>
      <w:tr w:rsidR="00495671" w:rsidRPr="00495671" w14:paraId="61038A11" w14:textId="77777777" w:rsidTr="00961673">
        <w:tc>
          <w:tcPr>
            <w:tcW w:w="3008" w:type="dxa"/>
          </w:tcPr>
          <w:p w14:paraId="7B1484AB" w14:textId="77777777" w:rsidR="00495671" w:rsidRPr="00495671" w:rsidRDefault="00495671" w:rsidP="001711B1">
            <w:pPr>
              <w:spacing w:after="0" w:line="240" w:lineRule="auto"/>
              <w:jc w:val="left"/>
              <w:rPr>
                <w:rFonts w:cs="Times New Roman"/>
                <w:sz w:val="22"/>
              </w:rPr>
            </w:pPr>
            <w:r w:rsidRPr="00495671">
              <w:rPr>
                <w:rFonts w:cs="Times New Roman"/>
                <w:sz w:val="22"/>
                <w:lang w:val="en-ZA"/>
              </w:rPr>
              <w:t>Baobab fruit pulp</w:t>
            </w:r>
            <w:r w:rsidRPr="00495671">
              <w:rPr>
                <w:rFonts w:cs="Times New Roman"/>
                <w:sz w:val="22"/>
                <w:vertAlign w:val="superscript"/>
                <w:lang w:val="en-ZA"/>
              </w:rPr>
              <w:t>*</w:t>
            </w:r>
          </w:p>
        </w:tc>
        <w:tc>
          <w:tcPr>
            <w:tcW w:w="1114" w:type="dxa"/>
          </w:tcPr>
          <w:p w14:paraId="5D329944"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13.0</w:t>
            </w:r>
            <w:r w:rsidRPr="00495671">
              <w:rPr>
                <w:rFonts w:cs="Times New Roman"/>
                <w:sz w:val="22"/>
                <w:vertAlign w:val="superscript"/>
                <w:lang w:val="en-ZA"/>
              </w:rPr>
              <w:t>c</w:t>
            </w:r>
          </w:p>
          <w:p w14:paraId="792EBD5C"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1.2</w:t>
            </w:r>
          </w:p>
        </w:tc>
        <w:tc>
          <w:tcPr>
            <w:tcW w:w="1115" w:type="dxa"/>
          </w:tcPr>
          <w:p w14:paraId="112375B3"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1.93</w:t>
            </w:r>
            <w:r w:rsidRPr="00495671">
              <w:rPr>
                <w:rFonts w:cs="Times New Roman"/>
                <w:sz w:val="22"/>
                <w:vertAlign w:val="superscript"/>
                <w:lang w:val="en-ZA"/>
              </w:rPr>
              <w:t>b</w:t>
            </w:r>
          </w:p>
          <w:p w14:paraId="1867107F"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0.18</w:t>
            </w:r>
          </w:p>
        </w:tc>
        <w:tc>
          <w:tcPr>
            <w:tcW w:w="1113" w:type="dxa"/>
          </w:tcPr>
          <w:p w14:paraId="44F0A204"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339</w:t>
            </w:r>
            <w:r w:rsidRPr="00495671">
              <w:rPr>
                <w:rFonts w:cs="Times New Roman"/>
                <w:sz w:val="22"/>
                <w:vertAlign w:val="superscript"/>
                <w:lang w:val="en-ZA"/>
              </w:rPr>
              <w:t>d</w:t>
            </w:r>
          </w:p>
          <w:p w14:paraId="5E845109"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9</w:t>
            </w:r>
          </w:p>
        </w:tc>
        <w:tc>
          <w:tcPr>
            <w:tcW w:w="1116" w:type="dxa"/>
          </w:tcPr>
          <w:p w14:paraId="1525C174"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165.8</w:t>
            </w:r>
            <w:r w:rsidRPr="00495671">
              <w:rPr>
                <w:rFonts w:cs="Times New Roman"/>
                <w:sz w:val="22"/>
                <w:vertAlign w:val="superscript"/>
                <w:lang w:val="en-ZA"/>
              </w:rPr>
              <w:t>e</w:t>
            </w:r>
          </w:p>
          <w:p w14:paraId="647B4A4B"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w:t>
            </w:r>
          </w:p>
        </w:tc>
        <w:tc>
          <w:tcPr>
            <w:tcW w:w="1118" w:type="dxa"/>
          </w:tcPr>
          <w:p w14:paraId="68DE0033"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57.3</w:t>
            </w:r>
            <w:r w:rsidRPr="00495671">
              <w:rPr>
                <w:rFonts w:cs="Times New Roman"/>
                <w:sz w:val="22"/>
                <w:vertAlign w:val="superscript"/>
                <w:lang w:val="en-ZA"/>
              </w:rPr>
              <w:t>a</w:t>
            </w:r>
          </w:p>
          <w:p w14:paraId="27BAA661"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2.2</w:t>
            </w:r>
          </w:p>
        </w:tc>
        <w:tc>
          <w:tcPr>
            <w:tcW w:w="1823" w:type="dxa"/>
          </w:tcPr>
          <w:p w14:paraId="3E8DA8C3"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r w:rsidRPr="00495671">
              <w:rPr>
                <w:rFonts w:cs="Times New Roman"/>
                <w:sz w:val="22"/>
                <w:vertAlign w:val="superscript"/>
              </w:rPr>
              <w:t>£</w:t>
            </w:r>
          </w:p>
        </w:tc>
        <w:tc>
          <w:tcPr>
            <w:tcW w:w="1823" w:type="dxa"/>
          </w:tcPr>
          <w:p w14:paraId="5B900C4B"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820" w:type="dxa"/>
          </w:tcPr>
          <w:p w14:paraId="40346FB7"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685" w:type="dxa"/>
          </w:tcPr>
          <w:p w14:paraId="36AE8A7C"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r>
      <w:tr w:rsidR="00495671" w:rsidRPr="00495671" w14:paraId="575ABB1B" w14:textId="77777777" w:rsidTr="00961673">
        <w:tc>
          <w:tcPr>
            <w:tcW w:w="3008" w:type="dxa"/>
          </w:tcPr>
          <w:p w14:paraId="5FD491E7" w14:textId="77777777" w:rsidR="00495671" w:rsidRPr="00495671" w:rsidRDefault="00495671" w:rsidP="001711B1">
            <w:pPr>
              <w:spacing w:after="0" w:line="240" w:lineRule="auto"/>
              <w:jc w:val="left"/>
              <w:rPr>
                <w:rFonts w:cs="Times New Roman"/>
                <w:sz w:val="22"/>
              </w:rPr>
            </w:pPr>
            <w:r w:rsidRPr="00495671">
              <w:rPr>
                <w:rFonts w:cs="Times New Roman"/>
                <w:sz w:val="22"/>
                <w:lang w:val="en-ZA"/>
              </w:rPr>
              <w:t>Moringa leaf powder</w:t>
            </w:r>
          </w:p>
        </w:tc>
        <w:tc>
          <w:tcPr>
            <w:tcW w:w="1114" w:type="dxa"/>
          </w:tcPr>
          <w:p w14:paraId="78EE420D"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45.9</w:t>
            </w:r>
            <w:r w:rsidRPr="00495671">
              <w:rPr>
                <w:rFonts w:cs="Times New Roman"/>
                <w:sz w:val="22"/>
                <w:vertAlign w:val="superscript"/>
                <w:lang w:val="en-ZA"/>
              </w:rPr>
              <w:t>h</w:t>
            </w:r>
          </w:p>
          <w:p w14:paraId="6768E594"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4.8</w:t>
            </w:r>
          </w:p>
        </w:tc>
        <w:tc>
          <w:tcPr>
            <w:tcW w:w="1115" w:type="dxa"/>
          </w:tcPr>
          <w:p w14:paraId="3E3C5E85"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2.05</w:t>
            </w:r>
            <w:r w:rsidRPr="00495671">
              <w:rPr>
                <w:rFonts w:cs="Times New Roman"/>
                <w:sz w:val="22"/>
                <w:vertAlign w:val="superscript"/>
                <w:lang w:val="en-ZA"/>
              </w:rPr>
              <w:t>b</w:t>
            </w:r>
          </w:p>
          <w:p w14:paraId="2D02E28B"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0.07</w:t>
            </w:r>
          </w:p>
        </w:tc>
        <w:tc>
          <w:tcPr>
            <w:tcW w:w="1113" w:type="dxa"/>
          </w:tcPr>
          <w:p w14:paraId="62B9BA3F"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2545</w:t>
            </w:r>
            <w:r w:rsidRPr="00495671">
              <w:rPr>
                <w:rFonts w:cs="Times New Roman"/>
                <w:sz w:val="22"/>
                <w:vertAlign w:val="superscript"/>
                <w:lang w:val="en-ZA"/>
              </w:rPr>
              <w:t>f</w:t>
            </w:r>
          </w:p>
          <w:p w14:paraId="0A2AF53B"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29</w:t>
            </w:r>
          </w:p>
        </w:tc>
        <w:tc>
          <w:tcPr>
            <w:tcW w:w="1116" w:type="dxa"/>
          </w:tcPr>
          <w:p w14:paraId="2D0E92F4"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567.0</w:t>
            </w:r>
            <w:r w:rsidRPr="00495671">
              <w:rPr>
                <w:rFonts w:cs="Times New Roman"/>
                <w:sz w:val="22"/>
                <w:vertAlign w:val="superscript"/>
                <w:lang w:val="en-ZA"/>
              </w:rPr>
              <w:t>g</w:t>
            </w:r>
          </w:p>
          <w:p w14:paraId="23286F29"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6.1</w:t>
            </w:r>
          </w:p>
        </w:tc>
        <w:tc>
          <w:tcPr>
            <w:tcW w:w="1118" w:type="dxa"/>
          </w:tcPr>
          <w:p w14:paraId="613D4D89"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346.1</w:t>
            </w:r>
            <w:r w:rsidRPr="00495671">
              <w:rPr>
                <w:rFonts w:cs="Times New Roman"/>
                <w:sz w:val="22"/>
                <w:vertAlign w:val="superscript"/>
                <w:lang w:val="en-ZA"/>
              </w:rPr>
              <w:t>g</w:t>
            </w:r>
          </w:p>
          <w:p w14:paraId="07D47237"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9.7</w:t>
            </w:r>
          </w:p>
        </w:tc>
        <w:tc>
          <w:tcPr>
            <w:tcW w:w="1823" w:type="dxa"/>
          </w:tcPr>
          <w:p w14:paraId="7C2E5B9A"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823" w:type="dxa"/>
          </w:tcPr>
          <w:p w14:paraId="197D28EB"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820" w:type="dxa"/>
          </w:tcPr>
          <w:p w14:paraId="71979084"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685" w:type="dxa"/>
          </w:tcPr>
          <w:p w14:paraId="5E900D4A"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r>
      <w:tr w:rsidR="00495671" w:rsidRPr="00495671" w14:paraId="57AF6F0F" w14:textId="77777777" w:rsidTr="00961673">
        <w:tc>
          <w:tcPr>
            <w:tcW w:w="3008" w:type="dxa"/>
          </w:tcPr>
          <w:p w14:paraId="4EC8D1E0" w14:textId="77777777" w:rsidR="00495671" w:rsidRPr="00495671" w:rsidRDefault="00495671" w:rsidP="001711B1">
            <w:pPr>
              <w:spacing w:after="0" w:line="240" w:lineRule="auto"/>
              <w:jc w:val="left"/>
              <w:rPr>
                <w:rFonts w:cs="Times New Roman"/>
                <w:sz w:val="22"/>
              </w:rPr>
            </w:pPr>
            <w:r w:rsidRPr="00495671">
              <w:rPr>
                <w:rFonts w:cs="Times New Roman"/>
                <w:sz w:val="22"/>
                <w:lang w:val="en-ZA"/>
              </w:rPr>
              <w:t>Hibiscus calyx powder</w:t>
            </w:r>
          </w:p>
        </w:tc>
        <w:tc>
          <w:tcPr>
            <w:tcW w:w="1114" w:type="dxa"/>
          </w:tcPr>
          <w:p w14:paraId="09285AC4"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36.1</w:t>
            </w:r>
            <w:r w:rsidRPr="00495671">
              <w:rPr>
                <w:rFonts w:cs="Times New Roman"/>
                <w:sz w:val="22"/>
                <w:vertAlign w:val="superscript"/>
                <w:lang w:val="en-ZA"/>
              </w:rPr>
              <w:t>f</w:t>
            </w:r>
          </w:p>
          <w:p w14:paraId="6C2EC341"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2.4</w:t>
            </w:r>
          </w:p>
        </w:tc>
        <w:tc>
          <w:tcPr>
            <w:tcW w:w="1115" w:type="dxa"/>
          </w:tcPr>
          <w:p w14:paraId="59057B57"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2.73</w:t>
            </w:r>
            <w:r w:rsidRPr="00495671">
              <w:rPr>
                <w:rFonts w:cs="Times New Roman"/>
                <w:sz w:val="22"/>
                <w:vertAlign w:val="superscript"/>
                <w:lang w:val="en-ZA"/>
              </w:rPr>
              <w:t>c</w:t>
            </w:r>
          </w:p>
          <w:p w14:paraId="425993A5"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0.17</w:t>
            </w:r>
          </w:p>
        </w:tc>
        <w:tc>
          <w:tcPr>
            <w:tcW w:w="1113" w:type="dxa"/>
          </w:tcPr>
          <w:p w14:paraId="0181EF05"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1300</w:t>
            </w:r>
            <w:r w:rsidRPr="00495671">
              <w:rPr>
                <w:rFonts w:cs="Times New Roman"/>
                <w:sz w:val="22"/>
                <w:vertAlign w:val="superscript"/>
                <w:lang w:val="en-ZA"/>
              </w:rPr>
              <w:t>e</w:t>
            </w:r>
          </w:p>
          <w:p w14:paraId="70BB50A1"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64</w:t>
            </w:r>
          </w:p>
        </w:tc>
        <w:tc>
          <w:tcPr>
            <w:tcW w:w="1116" w:type="dxa"/>
          </w:tcPr>
          <w:p w14:paraId="5D112B12"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438.6</w:t>
            </w:r>
            <w:r w:rsidRPr="00495671">
              <w:rPr>
                <w:rFonts w:cs="Times New Roman"/>
                <w:sz w:val="22"/>
                <w:vertAlign w:val="superscript"/>
                <w:lang w:val="en-ZA"/>
              </w:rPr>
              <w:t>f</w:t>
            </w:r>
          </w:p>
          <w:p w14:paraId="76AE3D35"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3.9</w:t>
            </w:r>
          </w:p>
        </w:tc>
        <w:tc>
          <w:tcPr>
            <w:tcW w:w="1118" w:type="dxa"/>
          </w:tcPr>
          <w:p w14:paraId="156F1B22"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157.7</w:t>
            </w:r>
            <w:r w:rsidRPr="00495671">
              <w:rPr>
                <w:rFonts w:cs="Times New Roman"/>
                <w:sz w:val="22"/>
                <w:vertAlign w:val="superscript"/>
                <w:lang w:val="en-ZA"/>
              </w:rPr>
              <w:t>c</w:t>
            </w:r>
          </w:p>
          <w:p w14:paraId="6270AB03"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4.8</w:t>
            </w:r>
          </w:p>
        </w:tc>
        <w:tc>
          <w:tcPr>
            <w:tcW w:w="1823" w:type="dxa"/>
          </w:tcPr>
          <w:p w14:paraId="175D6CC2"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823" w:type="dxa"/>
          </w:tcPr>
          <w:p w14:paraId="7621F9B5"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820" w:type="dxa"/>
          </w:tcPr>
          <w:p w14:paraId="10758D8B"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685" w:type="dxa"/>
          </w:tcPr>
          <w:p w14:paraId="08C3B97C"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r>
      <w:tr w:rsidR="00495671" w:rsidRPr="00495671" w14:paraId="60049B5D" w14:textId="77777777" w:rsidTr="00961673">
        <w:tc>
          <w:tcPr>
            <w:tcW w:w="3008" w:type="dxa"/>
          </w:tcPr>
          <w:p w14:paraId="00448851" w14:textId="77777777" w:rsidR="00495671" w:rsidRPr="00495671" w:rsidRDefault="00495671" w:rsidP="001711B1">
            <w:pPr>
              <w:spacing w:after="0" w:line="240" w:lineRule="auto"/>
              <w:jc w:val="left"/>
              <w:rPr>
                <w:rFonts w:cs="Times New Roman"/>
                <w:sz w:val="22"/>
              </w:rPr>
            </w:pPr>
            <w:r w:rsidRPr="00495671">
              <w:rPr>
                <w:rFonts w:cs="Times New Roman"/>
                <w:sz w:val="22"/>
                <w:lang w:val="en-ZA"/>
              </w:rPr>
              <w:t>Carrot powder</w:t>
            </w:r>
            <w:r w:rsidRPr="00495671">
              <w:rPr>
                <w:rFonts w:cs="Times New Roman"/>
                <w:sz w:val="22"/>
                <w:vertAlign w:val="superscript"/>
              </w:rPr>
              <w:t>^</w:t>
            </w:r>
          </w:p>
        </w:tc>
        <w:tc>
          <w:tcPr>
            <w:tcW w:w="1114" w:type="dxa"/>
          </w:tcPr>
          <w:p w14:paraId="602E342F"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2.9</w:t>
            </w:r>
            <w:r w:rsidRPr="00495671">
              <w:rPr>
                <w:rFonts w:cs="Times New Roman"/>
                <w:sz w:val="22"/>
                <w:vertAlign w:val="superscript"/>
                <w:lang w:val="en-ZA"/>
              </w:rPr>
              <w:t>a</w:t>
            </w:r>
          </w:p>
          <w:p w14:paraId="6794E815"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0.9</w:t>
            </w:r>
          </w:p>
        </w:tc>
        <w:tc>
          <w:tcPr>
            <w:tcW w:w="1115" w:type="dxa"/>
          </w:tcPr>
          <w:p w14:paraId="56986344"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2.04</w:t>
            </w:r>
            <w:r w:rsidRPr="00495671">
              <w:rPr>
                <w:rFonts w:cs="Times New Roman"/>
                <w:sz w:val="22"/>
                <w:vertAlign w:val="superscript"/>
                <w:lang w:val="en-ZA"/>
              </w:rPr>
              <w:t>b</w:t>
            </w:r>
          </w:p>
          <w:p w14:paraId="2F250849"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0.11</w:t>
            </w:r>
          </w:p>
        </w:tc>
        <w:tc>
          <w:tcPr>
            <w:tcW w:w="1113" w:type="dxa"/>
          </w:tcPr>
          <w:p w14:paraId="3ABBB787"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321</w:t>
            </w:r>
            <w:r w:rsidRPr="00495671">
              <w:rPr>
                <w:rFonts w:cs="Times New Roman"/>
                <w:sz w:val="22"/>
                <w:vertAlign w:val="superscript"/>
                <w:lang w:val="en-ZA"/>
              </w:rPr>
              <w:t>d</w:t>
            </w:r>
          </w:p>
          <w:p w14:paraId="4E7C9C2B"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16</w:t>
            </w:r>
          </w:p>
        </w:tc>
        <w:tc>
          <w:tcPr>
            <w:tcW w:w="1116" w:type="dxa"/>
          </w:tcPr>
          <w:p w14:paraId="1D800D91"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132.2</w:t>
            </w:r>
            <w:r w:rsidRPr="00495671">
              <w:rPr>
                <w:rFonts w:cs="Times New Roman"/>
                <w:sz w:val="22"/>
                <w:vertAlign w:val="superscript"/>
                <w:lang w:val="en-ZA"/>
              </w:rPr>
              <w:t>c</w:t>
            </w:r>
          </w:p>
          <w:p w14:paraId="54953563"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3.2</w:t>
            </w:r>
          </w:p>
        </w:tc>
        <w:tc>
          <w:tcPr>
            <w:tcW w:w="1118" w:type="dxa"/>
          </w:tcPr>
          <w:p w14:paraId="7B2DFC44"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465.9</w:t>
            </w:r>
            <w:r w:rsidRPr="00495671">
              <w:rPr>
                <w:rFonts w:cs="Times New Roman"/>
                <w:sz w:val="22"/>
                <w:vertAlign w:val="superscript"/>
                <w:lang w:val="en-ZA"/>
              </w:rPr>
              <w:t>h</w:t>
            </w:r>
          </w:p>
          <w:p w14:paraId="2E33ACB9"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24.8</w:t>
            </w:r>
          </w:p>
        </w:tc>
        <w:tc>
          <w:tcPr>
            <w:tcW w:w="1823" w:type="dxa"/>
          </w:tcPr>
          <w:p w14:paraId="0F75FDF7"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823" w:type="dxa"/>
          </w:tcPr>
          <w:p w14:paraId="3C9CAE85"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820" w:type="dxa"/>
          </w:tcPr>
          <w:p w14:paraId="61DFEA39"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685" w:type="dxa"/>
          </w:tcPr>
          <w:p w14:paraId="6629789A"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r>
      <w:tr w:rsidR="00495671" w:rsidRPr="00495671" w14:paraId="47725A79" w14:textId="77777777" w:rsidTr="00961673">
        <w:tc>
          <w:tcPr>
            <w:tcW w:w="3008" w:type="dxa"/>
          </w:tcPr>
          <w:p w14:paraId="2BC91C72" w14:textId="77777777" w:rsidR="00495671" w:rsidRPr="00495671" w:rsidRDefault="00495671" w:rsidP="001711B1">
            <w:pPr>
              <w:spacing w:after="0" w:line="240" w:lineRule="auto"/>
              <w:jc w:val="left"/>
              <w:rPr>
                <w:rFonts w:cs="Times New Roman"/>
                <w:sz w:val="22"/>
              </w:rPr>
            </w:pPr>
            <w:r w:rsidRPr="00495671">
              <w:rPr>
                <w:rFonts w:cs="Times New Roman"/>
                <w:sz w:val="22"/>
                <w:lang w:val="en-ZA"/>
              </w:rPr>
              <w:t>Mango powder</w:t>
            </w:r>
            <w:r w:rsidRPr="00495671">
              <w:rPr>
                <w:rFonts w:cs="Times New Roman"/>
                <w:sz w:val="22"/>
                <w:vertAlign w:val="superscript"/>
              </w:rPr>
              <w:t>^</w:t>
            </w:r>
          </w:p>
        </w:tc>
        <w:tc>
          <w:tcPr>
            <w:tcW w:w="1114" w:type="dxa"/>
          </w:tcPr>
          <w:p w14:paraId="5D551D33"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1.1</w:t>
            </w:r>
            <w:r w:rsidRPr="00495671">
              <w:rPr>
                <w:rFonts w:cs="Times New Roman"/>
                <w:sz w:val="22"/>
                <w:vertAlign w:val="superscript"/>
                <w:lang w:val="en-ZA"/>
              </w:rPr>
              <w:t>a</w:t>
            </w:r>
          </w:p>
          <w:p w14:paraId="254E1AED"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0.0</w:t>
            </w:r>
          </w:p>
        </w:tc>
        <w:tc>
          <w:tcPr>
            <w:tcW w:w="1115" w:type="dxa"/>
          </w:tcPr>
          <w:p w14:paraId="406BB111"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0.59</w:t>
            </w:r>
            <w:r w:rsidRPr="00495671">
              <w:rPr>
                <w:rFonts w:cs="Times New Roman"/>
                <w:sz w:val="22"/>
                <w:vertAlign w:val="superscript"/>
                <w:lang w:val="en-ZA"/>
              </w:rPr>
              <w:t>a</w:t>
            </w:r>
          </w:p>
          <w:p w14:paraId="7E74B123"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0.08</w:t>
            </w:r>
          </w:p>
        </w:tc>
        <w:tc>
          <w:tcPr>
            <w:tcW w:w="1113" w:type="dxa"/>
          </w:tcPr>
          <w:p w14:paraId="5DBC955B"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34</w:t>
            </w:r>
            <w:r w:rsidRPr="00495671">
              <w:rPr>
                <w:rFonts w:cs="Times New Roman"/>
                <w:sz w:val="22"/>
                <w:vertAlign w:val="superscript"/>
                <w:lang w:val="en-ZA"/>
              </w:rPr>
              <w:t>a</w:t>
            </w:r>
          </w:p>
          <w:p w14:paraId="26BAB7D3"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1</w:t>
            </w:r>
          </w:p>
        </w:tc>
        <w:tc>
          <w:tcPr>
            <w:tcW w:w="1116" w:type="dxa"/>
          </w:tcPr>
          <w:p w14:paraId="642AE57A"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61.7</w:t>
            </w:r>
            <w:r w:rsidRPr="00495671">
              <w:rPr>
                <w:rFonts w:cs="Times New Roman"/>
                <w:sz w:val="22"/>
                <w:vertAlign w:val="superscript"/>
                <w:lang w:val="en-ZA"/>
              </w:rPr>
              <w:t>a</w:t>
            </w:r>
          </w:p>
          <w:p w14:paraId="5CB272A1"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3.2</w:t>
            </w:r>
          </w:p>
        </w:tc>
        <w:tc>
          <w:tcPr>
            <w:tcW w:w="1118" w:type="dxa"/>
          </w:tcPr>
          <w:p w14:paraId="44E46740"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104.6</w:t>
            </w:r>
            <w:r w:rsidRPr="00495671">
              <w:rPr>
                <w:rFonts w:cs="Times New Roman"/>
                <w:sz w:val="22"/>
                <w:vertAlign w:val="superscript"/>
                <w:lang w:val="en-ZA"/>
              </w:rPr>
              <w:t>b</w:t>
            </w:r>
          </w:p>
          <w:p w14:paraId="0959D726"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1.0</w:t>
            </w:r>
          </w:p>
        </w:tc>
        <w:tc>
          <w:tcPr>
            <w:tcW w:w="1823" w:type="dxa"/>
          </w:tcPr>
          <w:p w14:paraId="569F7890"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823" w:type="dxa"/>
          </w:tcPr>
          <w:p w14:paraId="3EE10926"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820" w:type="dxa"/>
          </w:tcPr>
          <w:p w14:paraId="5A28D2AA"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685" w:type="dxa"/>
          </w:tcPr>
          <w:p w14:paraId="6B26B81E"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r>
      <w:tr w:rsidR="00495671" w:rsidRPr="00495671" w14:paraId="2C80CA36" w14:textId="77777777" w:rsidTr="00961673">
        <w:tc>
          <w:tcPr>
            <w:tcW w:w="3008" w:type="dxa"/>
          </w:tcPr>
          <w:p w14:paraId="0905AC4D" w14:textId="77777777" w:rsidR="00495671" w:rsidRPr="00495671" w:rsidRDefault="00495671" w:rsidP="001711B1">
            <w:pPr>
              <w:spacing w:after="0" w:line="240" w:lineRule="auto"/>
              <w:jc w:val="left"/>
              <w:rPr>
                <w:rFonts w:cs="Times New Roman"/>
                <w:sz w:val="22"/>
              </w:rPr>
            </w:pPr>
            <w:r w:rsidRPr="00495671">
              <w:rPr>
                <w:rFonts w:cs="Times New Roman"/>
                <w:sz w:val="22"/>
                <w:lang w:val="en-ZA"/>
              </w:rPr>
              <w:t>Papaya</w:t>
            </w:r>
          </w:p>
        </w:tc>
        <w:tc>
          <w:tcPr>
            <w:tcW w:w="1114" w:type="dxa"/>
          </w:tcPr>
          <w:p w14:paraId="39AFBF5E"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2.3</w:t>
            </w:r>
            <w:r w:rsidRPr="00495671">
              <w:rPr>
                <w:rFonts w:cs="Times New Roman"/>
                <w:sz w:val="22"/>
                <w:vertAlign w:val="superscript"/>
                <w:lang w:val="en-ZA"/>
              </w:rPr>
              <w:t>a</w:t>
            </w:r>
          </w:p>
          <w:p w14:paraId="264D583C"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0.3</w:t>
            </w:r>
          </w:p>
        </w:tc>
        <w:tc>
          <w:tcPr>
            <w:tcW w:w="1115" w:type="dxa"/>
          </w:tcPr>
          <w:p w14:paraId="003EBC89"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0.56</w:t>
            </w:r>
            <w:r w:rsidRPr="00495671">
              <w:rPr>
                <w:rFonts w:cs="Times New Roman"/>
                <w:sz w:val="22"/>
                <w:vertAlign w:val="superscript"/>
                <w:lang w:val="en-ZA"/>
              </w:rPr>
              <w:t>a</w:t>
            </w:r>
          </w:p>
          <w:p w14:paraId="01D372DE"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0.05</w:t>
            </w:r>
          </w:p>
        </w:tc>
        <w:tc>
          <w:tcPr>
            <w:tcW w:w="1113" w:type="dxa"/>
          </w:tcPr>
          <w:p w14:paraId="27EA70BD"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168</w:t>
            </w:r>
            <w:r w:rsidRPr="00495671">
              <w:rPr>
                <w:rFonts w:cs="Times New Roman"/>
                <w:sz w:val="22"/>
                <w:vertAlign w:val="superscript"/>
                <w:lang w:val="en-ZA"/>
              </w:rPr>
              <w:t>c</w:t>
            </w:r>
          </w:p>
          <w:p w14:paraId="67F3CC73"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12</w:t>
            </w:r>
          </w:p>
        </w:tc>
        <w:tc>
          <w:tcPr>
            <w:tcW w:w="1116" w:type="dxa"/>
          </w:tcPr>
          <w:p w14:paraId="0EF754E0"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157.7</w:t>
            </w:r>
            <w:r w:rsidRPr="00495671">
              <w:rPr>
                <w:rFonts w:cs="Times New Roman"/>
                <w:sz w:val="22"/>
                <w:vertAlign w:val="superscript"/>
                <w:lang w:val="en-ZA"/>
              </w:rPr>
              <w:t>d</w:t>
            </w:r>
          </w:p>
          <w:p w14:paraId="417FBF2F"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1.7</w:t>
            </w:r>
          </w:p>
        </w:tc>
        <w:tc>
          <w:tcPr>
            <w:tcW w:w="1118" w:type="dxa"/>
          </w:tcPr>
          <w:p w14:paraId="5CD6558C"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149.9</w:t>
            </w:r>
            <w:r w:rsidRPr="00495671">
              <w:rPr>
                <w:rFonts w:cs="Times New Roman"/>
                <w:sz w:val="22"/>
                <w:vertAlign w:val="superscript"/>
                <w:lang w:val="en-ZA"/>
              </w:rPr>
              <w:t>c</w:t>
            </w:r>
          </w:p>
          <w:p w14:paraId="259CD625"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4.9</w:t>
            </w:r>
          </w:p>
        </w:tc>
        <w:tc>
          <w:tcPr>
            <w:tcW w:w="1823" w:type="dxa"/>
          </w:tcPr>
          <w:p w14:paraId="0CD00DB4"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823" w:type="dxa"/>
          </w:tcPr>
          <w:p w14:paraId="24AA7813"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820" w:type="dxa"/>
          </w:tcPr>
          <w:p w14:paraId="3ACD47E5"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c>
          <w:tcPr>
            <w:tcW w:w="1685" w:type="dxa"/>
          </w:tcPr>
          <w:p w14:paraId="704BF19B"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NA</w:t>
            </w:r>
          </w:p>
        </w:tc>
      </w:tr>
      <w:tr w:rsidR="00495671" w:rsidRPr="00495671" w14:paraId="45E3ADAA" w14:textId="77777777" w:rsidTr="00961673">
        <w:tc>
          <w:tcPr>
            <w:tcW w:w="15735" w:type="dxa"/>
            <w:gridSpan w:val="10"/>
          </w:tcPr>
          <w:p w14:paraId="63DA39AE" w14:textId="77777777" w:rsidR="00495671" w:rsidRPr="00495671" w:rsidRDefault="00495671" w:rsidP="001711B1">
            <w:pPr>
              <w:spacing w:after="0" w:line="240" w:lineRule="auto"/>
              <w:jc w:val="left"/>
              <w:rPr>
                <w:rFonts w:cs="Times New Roman"/>
                <w:b/>
                <w:bCs/>
                <w:sz w:val="22"/>
                <w:lang w:val="en-ZA"/>
              </w:rPr>
            </w:pPr>
            <w:r w:rsidRPr="00495671">
              <w:rPr>
                <w:rFonts w:cs="Times New Roman"/>
                <w:b/>
                <w:bCs/>
                <w:sz w:val="22"/>
                <w:lang w:val="en-ZA"/>
              </w:rPr>
              <w:t>Porridge formulations</w:t>
            </w:r>
          </w:p>
        </w:tc>
      </w:tr>
      <w:tr w:rsidR="00495671" w:rsidRPr="00495671" w14:paraId="69DDFA13" w14:textId="77777777" w:rsidTr="00961673">
        <w:tc>
          <w:tcPr>
            <w:tcW w:w="3008" w:type="dxa"/>
          </w:tcPr>
          <w:p w14:paraId="4A8A2A59" w14:textId="77777777" w:rsidR="00495671" w:rsidRPr="00495671" w:rsidRDefault="00495671" w:rsidP="001711B1">
            <w:pPr>
              <w:spacing w:after="0" w:line="240" w:lineRule="auto"/>
              <w:jc w:val="left"/>
              <w:rPr>
                <w:rFonts w:cs="Times New Roman"/>
                <w:sz w:val="22"/>
                <w:lang w:val="en-ZA"/>
              </w:rPr>
            </w:pPr>
            <w:r w:rsidRPr="00495671">
              <w:rPr>
                <w:rFonts w:cs="Times New Roman"/>
                <w:sz w:val="22"/>
                <w:lang w:val="en-ZA"/>
              </w:rPr>
              <w:t>Pearl millet grain (Control)</w:t>
            </w:r>
            <w:r w:rsidRPr="00495671">
              <w:rPr>
                <w:rFonts w:cs="Times New Roman"/>
                <w:sz w:val="22"/>
                <w:vertAlign w:val="superscript"/>
                <w:lang w:val="en-ZA"/>
              </w:rPr>
              <w:t>1</w:t>
            </w:r>
          </w:p>
        </w:tc>
        <w:tc>
          <w:tcPr>
            <w:tcW w:w="1114" w:type="dxa"/>
          </w:tcPr>
          <w:p w14:paraId="31877F23"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9.8</w:t>
            </w:r>
            <w:r w:rsidRPr="00495671">
              <w:rPr>
                <w:rFonts w:cs="Times New Roman"/>
                <w:sz w:val="22"/>
                <w:vertAlign w:val="superscript"/>
                <w:lang w:val="en-ZA"/>
              </w:rPr>
              <w:t>b</w:t>
            </w:r>
          </w:p>
          <w:p w14:paraId="36251D49"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lang w:val="en-ZA"/>
              </w:rPr>
              <w:t xml:space="preserve"> ± 0.7</w:t>
            </w:r>
          </w:p>
        </w:tc>
        <w:tc>
          <w:tcPr>
            <w:tcW w:w="1115" w:type="dxa"/>
          </w:tcPr>
          <w:p w14:paraId="48E13C81"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3.88</w:t>
            </w:r>
            <w:r w:rsidRPr="00495671">
              <w:rPr>
                <w:rFonts w:cs="Times New Roman"/>
                <w:sz w:val="22"/>
                <w:vertAlign w:val="superscript"/>
                <w:lang w:val="en-ZA"/>
              </w:rPr>
              <w:t>f</w:t>
            </w:r>
          </w:p>
          <w:p w14:paraId="03DB098B"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vertAlign w:val="superscript"/>
                <w:lang w:val="en-ZA"/>
              </w:rPr>
              <w:t>-</w:t>
            </w:r>
            <w:r w:rsidRPr="00495671">
              <w:rPr>
                <w:rFonts w:cs="Times New Roman"/>
                <w:sz w:val="22"/>
                <w:lang w:val="en-ZA"/>
              </w:rPr>
              <w:t>± 0.22</w:t>
            </w:r>
          </w:p>
        </w:tc>
        <w:tc>
          <w:tcPr>
            <w:tcW w:w="1113" w:type="dxa"/>
          </w:tcPr>
          <w:p w14:paraId="0509C376"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16</w:t>
            </w:r>
            <w:r w:rsidRPr="00495671">
              <w:rPr>
                <w:rFonts w:cs="Times New Roman"/>
                <w:sz w:val="22"/>
                <w:vertAlign w:val="superscript"/>
                <w:lang w:val="en-ZA"/>
              </w:rPr>
              <w:t>a</w:t>
            </w:r>
          </w:p>
          <w:p w14:paraId="629C2E8D"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lang w:val="en-ZA"/>
              </w:rPr>
              <w:t xml:space="preserve"> ± 1</w:t>
            </w:r>
          </w:p>
        </w:tc>
        <w:tc>
          <w:tcPr>
            <w:tcW w:w="1116" w:type="dxa"/>
          </w:tcPr>
          <w:p w14:paraId="1CB2C944"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105.9</w:t>
            </w:r>
            <w:r w:rsidRPr="00495671">
              <w:rPr>
                <w:rFonts w:cs="Times New Roman"/>
                <w:sz w:val="22"/>
                <w:vertAlign w:val="superscript"/>
                <w:lang w:val="en-ZA"/>
              </w:rPr>
              <w:t>b</w:t>
            </w:r>
          </w:p>
          <w:p w14:paraId="11DFFAB7"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lang w:val="en-ZA"/>
              </w:rPr>
              <w:t xml:space="preserve"> ± 2.6</w:t>
            </w:r>
          </w:p>
        </w:tc>
        <w:tc>
          <w:tcPr>
            <w:tcW w:w="1118" w:type="dxa"/>
          </w:tcPr>
          <w:p w14:paraId="58A1FD1F"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259.9</w:t>
            </w:r>
            <w:r w:rsidRPr="00495671">
              <w:rPr>
                <w:rFonts w:cs="Times New Roman"/>
                <w:sz w:val="22"/>
                <w:vertAlign w:val="superscript"/>
                <w:lang w:val="en-ZA"/>
              </w:rPr>
              <w:t>d</w:t>
            </w:r>
          </w:p>
          <w:p w14:paraId="59786268"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lang w:val="en-ZA"/>
              </w:rPr>
              <w:t xml:space="preserve"> ± 9.1</w:t>
            </w:r>
          </w:p>
        </w:tc>
        <w:tc>
          <w:tcPr>
            <w:tcW w:w="1823" w:type="dxa"/>
          </w:tcPr>
          <w:p w14:paraId="7A6408F1"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lang w:val="en-ZA"/>
              </w:rPr>
              <w:t>55.0</w:t>
            </w:r>
          </w:p>
        </w:tc>
        <w:tc>
          <w:tcPr>
            <w:tcW w:w="1823" w:type="dxa"/>
          </w:tcPr>
          <w:p w14:paraId="6AB80B98"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lang w:val="en-ZA"/>
              </w:rPr>
              <w:t>16.6</w:t>
            </w:r>
          </w:p>
        </w:tc>
        <w:tc>
          <w:tcPr>
            <w:tcW w:w="1820" w:type="dxa"/>
          </w:tcPr>
          <w:p w14:paraId="31A1C4C6"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lang w:val="en-ZA"/>
              </w:rPr>
              <w:t>34.6</w:t>
            </w:r>
          </w:p>
        </w:tc>
        <w:tc>
          <w:tcPr>
            <w:tcW w:w="1685" w:type="dxa"/>
          </w:tcPr>
          <w:p w14:paraId="2606B1C1"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lang w:val="en-ZA"/>
              </w:rPr>
              <w:t>39.6</w:t>
            </w:r>
          </w:p>
        </w:tc>
      </w:tr>
      <w:tr w:rsidR="00495671" w:rsidRPr="00495671" w14:paraId="12BAC53D" w14:textId="77777777" w:rsidTr="00961673">
        <w:tc>
          <w:tcPr>
            <w:tcW w:w="3008" w:type="dxa"/>
          </w:tcPr>
          <w:p w14:paraId="03CF9741" w14:textId="4378EA53" w:rsidR="00495671" w:rsidRPr="00495671" w:rsidRDefault="00495671" w:rsidP="001711B1">
            <w:pPr>
              <w:spacing w:after="0" w:line="240" w:lineRule="auto"/>
              <w:jc w:val="left"/>
              <w:rPr>
                <w:rFonts w:cs="Times New Roman"/>
                <w:sz w:val="22"/>
              </w:rPr>
            </w:pPr>
            <w:r w:rsidRPr="00495671">
              <w:rPr>
                <w:rFonts w:cs="Times New Roman"/>
                <w:sz w:val="22"/>
                <w:lang w:val="en-ZA"/>
              </w:rPr>
              <w:t>Pearl millet+carrot+mango+ baobab+moringa</w:t>
            </w:r>
          </w:p>
        </w:tc>
        <w:tc>
          <w:tcPr>
            <w:tcW w:w="1114" w:type="dxa"/>
          </w:tcPr>
          <w:p w14:paraId="4DEA3EC0"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11.3</w:t>
            </w:r>
            <w:r w:rsidRPr="00495671">
              <w:rPr>
                <w:rFonts w:cs="Times New Roman"/>
                <w:sz w:val="22"/>
                <w:vertAlign w:val="superscript"/>
                <w:lang w:val="en-ZA"/>
              </w:rPr>
              <w:t>bc</w:t>
            </w:r>
          </w:p>
          <w:p w14:paraId="2E76370C"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0.5 (9.4)</w:t>
            </w:r>
            <w:r w:rsidRPr="00495671">
              <w:rPr>
                <w:rFonts w:cs="Times New Roman"/>
                <w:sz w:val="22"/>
                <w:vertAlign w:val="superscript"/>
                <w:lang w:val="en-ZA"/>
              </w:rPr>
              <w:t>$</w:t>
            </w:r>
          </w:p>
        </w:tc>
        <w:tc>
          <w:tcPr>
            <w:tcW w:w="1115" w:type="dxa"/>
          </w:tcPr>
          <w:p w14:paraId="082AA566"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3.02</w:t>
            </w:r>
            <w:r w:rsidRPr="00495671">
              <w:rPr>
                <w:rFonts w:cs="Times New Roman"/>
                <w:sz w:val="22"/>
                <w:vertAlign w:val="superscript"/>
                <w:lang w:val="en-ZA"/>
              </w:rPr>
              <w:t>d</w:t>
            </w:r>
          </w:p>
          <w:p w14:paraId="6717EBF4"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0.10 (3.29)</w:t>
            </w:r>
          </w:p>
        </w:tc>
        <w:tc>
          <w:tcPr>
            <w:tcW w:w="1113" w:type="dxa"/>
          </w:tcPr>
          <w:p w14:paraId="1BC3EECC"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158</w:t>
            </w:r>
            <w:r w:rsidRPr="00495671">
              <w:rPr>
                <w:rFonts w:cs="Times New Roman"/>
                <w:sz w:val="22"/>
                <w:vertAlign w:val="superscript"/>
                <w:lang w:val="en-ZA"/>
              </w:rPr>
              <w:t>c</w:t>
            </w:r>
          </w:p>
          <w:p w14:paraId="46ACC4F3"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5  (142)</w:t>
            </w:r>
          </w:p>
        </w:tc>
        <w:tc>
          <w:tcPr>
            <w:tcW w:w="1116" w:type="dxa"/>
          </w:tcPr>
          <w:p w14:paraId="6D0C8AFF"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130.3</w:t>
            </w:r>
            <w:r w:rsidRPr="00495671">
              <w:rPr>
                <w:rFonts w:cs="Times New Roman"/>
                <w:sz w:val="22"/>
                <w:vertAlign w:val="superscript"/>
                <w:lang w:val="en-ZA"/>
              </w:rPr>
              <w:t>c</w:t>
            </w:r>
          </w:p>
          <w:p w14:paraId="153D47FC"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7.1 (121.9)</w:t>
            </w:r>
          </w:p>
        </w:tc>
        <w:tc>
          <w:tcPr>
            <w:tcW w:w="1118" w:type="dxa"/>
          </w:tcPr>
          <w:p w14:paraId="6AFF3F06"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292.9</w:t>
            </w:r>
            <w:r w:rsidRPr="00495671">
              <w:rPr>
                <w:rFonts w:cs="Times New Roman"/>
                <w:sz w:val="22"/>
                <w:vertAlign w:val="superscript"/>
                <w:lang w:val="en-ZA"/>
              </w:rPr>
              <w:t>ef</w:t>
            </w:r>
          </w:p>
          <w:p w14:paraId="5D21B706"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6.9 (274.4)</w:t>
            </w:r>
          </w:p>
        </w:tc>
        <w:tc>
          <w:tcPr>
            <w:tcW w:w="1823" w:type="dxa"/>
          </w:tcPr>
          <w:p w14:paraId="7177461B"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lang w:val="en-ZA"/>
              </w:rPr>
              <w:t>63.2</w:t>
            </w:r>
          </w:p>
          <w:p w14:paraId="07C96D5A"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[52.7]</w:t>
            </w:r>
            <w:r w:rsidRPr="00495671">
              <w:rPr>
                <w:rFonts w:cs="Times New Roman"/>
                <w:sz w:val="22"/>
                <w:vertAlign w:val="superscript"/>
                <w:lang w:val="en-ZA"/>
              </w:rPr>
              <w:t>¥</w:t>
            </w:r>
          </w:p>
        </w:tc>
        <w:tc>
          <w:tcPr>
            <w:tcW w:w="1823" w:type="dxa"/>
          </w:tcPr>
          <w:p w14:paraId="5574CCC4"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lang w:val="en-ZA"/>
              </w:rPr>
              <w:t>19.1</w:t>
            </w:r>
          </w:p>
          <w:p w14:paraId="7CE06872"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[15.9]</w:t>
            </w:r>
          </w:p>
        </w:tc>
        <w:tc>
          <w:tcPr>
            <w:tcW w:w="1820" w:type="dxa"/>
          </w:tcPr>
          <w:p w14:paraId="4813D72C"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lang w:val="en-ZA"/>
              </w:rPr>
              <w:t xml:space="preserve">26.9 </w:t>
            </w:r>
          </w:p>
          <w:p w14:paraId="3C329345" w14:textId="77777777" w:rsidR="00495671" w:rsidRPr="00495671" w:rsidRDefault="00495671" w:rsidP="00495671">
            <w:pPr>
              <w:spacing w:after="0" w:line="240" w:lineRule="auto"/>
              <w:jc w:val="center"/>
              <w:rPr>
                <w:rFonts w:cs="Times New Roman"/>
                <w:sz w:val="22"/>
              </w:rPr>
            </w:pPr>
            <w:r w:rsidRPr="00495671">
              <w:rPr>
                <w:rFonts w:cs="Times New Roman"/>
                <w:sz w:val="22"/>
              </w:rPr>
              <w:t>[29.4]</w:t>
            </w:r>
          </w:p>
        </w:tc>
        <w:tc>
          <w:tcPr>
            <w:tcW w:w="1685" w:type="dxa"/>
          </w:tcPr>
          <w:p w14:paraId="7B488133"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lang w:val="en-ZA"/>
              </w:rPr>
              <w:t xml:space="preserve">30.8 </w:t>
            </w:r>
          </w:p>
          <w:p w14:paraId="27917824" w14:textId="77777777" w:rsidR="00495671" w:rsidRPr="00495671" w:rsidRDefault="00495671" w:rsidP="00495671">
            <w:pPr>
              <w:spacing w:after="0" w:line="240" w:lineRule="auto"/>
              <w:jc w:val="center"/>
              <w:rPr>
                <w:rFonts w:cs="Times New Roman"/>
                <w:sz w:val="22"/>
              </w:rPr>
            </w:pPr>
            <w:r w:rsidRPr="00495671">
              <w:rPr>
                <w:rFonts w:cs="Times New Roman"/>
                <w:sz w:val="22"/>
              </w:rPr>
              <w:t>[33.6]</w:t>
            </w:r>
          </w:p>
        </w:tc>
      </w:tr>
      <w:tr w:rsidR="00495671" w:rsidRPr="00495671" w14:paraId="74B07F6D" w14:textId="77777777" w:rsidTr="00961673">
        <w:tc>
          <w:tcPr>
            <w:tcW w:w="3008" w:type="dxa"/>
          </w:tcPr>
          <w:p w14:paraId="222D6591" w14:textId="10C2470D" w:rsidR="00495671" w:rsidRPr="00495671" w:rsidRDefault="00495671" w:rsidP="001711B1">
            <w:pPr>
              <w:spacing w:after="0" w:line="240" w:lineRule="auto"/>
              <w:jc w:val="left"/>
              <w:rPr>
                <w:rFonts w:cs="Times New Roman"/>
                <w:sz w:val="22"/>
              </w:rPr>
            </w:pPr>
            <w:r w:rsidRPr="00495671">
              <w:rPr>
                <w:rFonts w:cs="Times New Roman"/>
                <w:sz w:val="22"/>
                <w:lang w:val="en-ZA"/>
              </w:rPr>
              <w:t>Pearl millet+carrot+papaya+ baobab</w:t>
            </w:r>
          </w:p>
        </w:tc>
        <w:tc>
          <w:tcPr>
            <w:tcW w:w="1114" w:type="dxa"/>
          </w:tcPr>
          <w:p w14:paraId="429E2C30"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16.0</w:t>
            </w:r>
            <w:r w:rsidRPr="00495671">
              <w:rPr>
                <w:rFonts w:cs="Times New Roman"/>
                <w:sz w:val="22"/>
                <w:vertAlign w:val="superscript"/>
                <w:lang w:val="en-ZA"/>
              </w:rPr>
              <w:t>d</w:t>
            </w:r>
          </w:p>
          <w:p w14:paraId="49121656"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0.5 (8.7)</w:t>
            </w:r>
          </w:p>
        </w:tc>
        <w:tc>
          <w:tcPr>
            <w:tcW w:w="1115" w:type="dxa"/>
          </w:tcPr>
          <w:p w14:paraId="55EFC678"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3.04</w:t>
            </w:r>
            <w:r w:rsidRPr="00495671">
              <w:rPr>
                <w:rFonts w:cs="Times New Roman"/>
                <w:sz w:val="22"/>
                <w:vertAlign w:val="superscript"/>
                <w:lang w:val="en-ZA"/>
              </w:rPr>
              <w:t>d</w:t>
            </w:r>
          </w:p>
          <w:p w14:paraId="6A9DD2A4"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0.04 (3.24)</w:t>
            </w:r>
          </w:p>
        </w:tc>
        <w:tc>
          <w:tcPr>
            <w:tcW w:w="1113" w:type="dxa"/>
          </w:tcPr>
          <w:p w14:paraId="43A6D0BE"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119</w:t>
            </w:r>
            <w:r w:rsidRPr="00495671">
              <w:rPr>
                <w:rFonts w:cs="Times New Roman"/>
                <w:sz w:val="22"/>
                <w:vertAlign w:val="superscript"/>
                <w:lang w:val="en-ZA"/>
              </w:rPr>
              <w:t>b</w:t>
            </w:r>
          </w:p>
          <w:p w14:paraId="71A2E9D4"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5  (101)</w:t>
            </w:r>
          </w:p>
        </w:tc>
        <w:tc>
          <w:tcPr>
            <w:tcW w:w="1116" w:type="dxa"/>
          </w:tcPr>
          <w:p w14:paraId="11F15DEF"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130.2</w:t>
            </w:r>
            <w:r w:rsidRPr="00495671">
              <w:rPr>
                <w:rFonts w:cs="Times New Roman"/>
                <w:sz w:val="22"/>
                <w:vertAlign w:val="superscript"/>
                <w:lang w:val="en-ZA"/>
              </w:rPr>
              <w:t>c</w:t>
            </w:r>
          </w:p>
          <w:p w14:paraId="73AD4D4C"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3.4 (118.2)</w:t>
            </w:r>
          </w:p>
        </w:tc>
        <w:tc>
          <w:tcPr>
            <w:tcW w:w="1118" w:type="dxa"/>
          </w:tcPr>
          <w:p w14:paraId="5A7B54A5" w14:textId="77777777" w:rsidR="00495671" w:rsidRPr="00495671" w:rsidRDefault="00495671" w:rsidP="00495671">
            <w:pPr>
              <w:spacing w:after="0" w:line="240" w:lineRule="auto"/>
              <w:jc w:val="center"/>
              <w:rPr>
                <w:rFonts w:cs="Times New Roman"/>
                <w:sz w:val="22"/>
                <w:vertAlign w:val="superscript"/>
                <w:lang w:val="en-ZA"/>
              </w:rPr>
            </w:pPr>
            <w:r w:rsidRPr="00495671">
              <w:rPr>
                <w:rFonts w:cs="Times New Roman"/>
                <w:sz w:val="22"/>
                <w:lang w:val="en-ZA"/>
              </w:rPr>
              <w:t>281.3</w:t>
            </w:r>
            <w:r w:rsidRPr="00495671">
              <w:rPr>
                <w:rFonts w:cs="Times New Roman"/>
                <w:sz w:val="22"/>
                <w:vertAlign w:val="superscript"/>
                <w:lang w:val="en-ZA"/>
              </w:rPr>
              <w:t>e</w:t>
            </w:r>
          </w:p>
          <w:p w14:paraId="486B177B"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 4.3 (264.3)</w:t>
            </w:r>
          </w:p>
        </w:tc>
        <w:tc>
          <w:tcPr>
            <w:tcW w:w="1823" w:type="dxa"/>
          </w:tcPr>
          <w:p w14:paraId="4F70A5D8"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lang w:val="en-ZA"/>
              </w:rPr>
              <w:t>89.7</w:t>
            </w:r>
          </w:p>
          <w:p w14:paraId="2F973958"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[48.8]</w:t>
            </w:r>
          </w:p>
        </w:tc>
        <w:tc>
          <w:tcPr>
            <w:tcW w:w="1823" w:type="dxa"/>
          </w:tcPr>
          <w:p w14:paraId="577FB1B2"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lang w:val="en-ZA"/>
              </w:rPr>
              <w:t>27.2</w:t>
            </w:r>
          </w:p>
          <w:p w14:paraId="58D0D380" w14:textId="77777777" w:rsidR="00495671" w:rsidRPr="00495671" w:rsidRDefault="00495671" w:rsidP="00495671">
            <w:pPr>
              <w:spacing w:after="0" w:line="240" w:lineRule="auto"/>
              <w:jc w:val="center"/>
              <w:rPr>
                <w:rFonts w:cs="Times New Roman"/>
                <w:sz w:val="22"/>
              </w:rPr>
            </w:pPr>
            <w:r w:rsidRPr="00495671">
              <w:rPr>
                <w:rFonts w:cs="Times New Roman"/>
                <w:sz w:val="22"/>
                <w:lang w:val="en-ZA"/>
              </w:rPr>
              <w:t xml:space="preserve"> [14.8]</w:t>
            </w:r>
          </w:p>
        </w:tc>
        <w:tc>
          <w:tcPr>
            <w:tcW w:w="1820" w:type="dxa"/>
          </w:tcPr>
          <w:p w14:paraId="5E4ECD89"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lang w:val="en-ZA"/>
              </w:rPr>
              <w:t xml:space="preserve">27.2 </w:t>
            </w:r>
          </w:p>
          <w:p w14:paraId="102FDA2A" w14:textId="77777777" w:rsidR="00495671" w:rsidRPr="00495671" w:rsidRDefault="00495671" w:rsidP="00495671">
            <w:pPr>
              <w:spacing w:after="0" w:line="240" w:lineRule="auto"/>
              <w:jc w:val="center"/>
              <w:rPr>
                <w:rFonts w:cs="Times New Roman"/>
                <w:sz w:val="22"/>
              </w:rPr>
            </w:pPr>
            <w:r w:rsidRPr="00495671">
              <w:rPr>
                <w:rFonts w:cs="Times New Roman"/>
                <w:sz w:val="22"/>
              </w:rPr>
              <w:t>[28.9]</w:t>
            </w:r>
          </w:p>
        </w:tc>
        <w:tc>
          <w:tcPr>
            <w:tcW w:w="1685" w:type="dxa"/>
          </w:tcPr>
          <w:p w14:paraId="16D1251F" w14:textId="77777777" w:rsidR="00495671" w:rsidRPr="00495671" w:rsidRDefault="00495671" w:rsidP="00495671">
            <w:pPr>
              <w:spacing w:after="0" w:line="240" w:lineRule="auto"/>
              <w:jc w:val="center"/>
              <w:rPr>
                <w:rFonts w:cs="Times New Roman"/>
                <w:sz w:val="22"/>
                <w:lang w:val="en-ZA"/>
              </w:rPr>
            </w:pPr>
            <w:r w:rsidRPr="00495671">
              <w:rPr>
                <w:rFonts w:cs="Times New Roman"/>
                <w:sz w:val="22"/>
                <w:lang w:val="en-ZA"/>
              </w:rPr>
              <w:t xml:space="preserve">31.1 </w:t>
            </w:r>
          </w:p>
          <w:p w14:paraId="7089E203" w14:textId="77777777" w:rsidR="00495671" w:rsidRPr="00495671" w:rsidRDefault="00495671" w:rsidP="00495671">
            <w:pPr>
              <w:spacing w:after="0" w:line="240" w:lineRule="auto"/>
              <w:jc w:val="center"/>
              <w:rPr>
                <w:rFonts w:cs="Times New Roman"/>
                <w:sz w:val="22"/>
              </w:rPr>
            </w:pPr>
            <w:r w:rsidRPr="00495671">
              <w:rPr>
                <w:rFonts w:cs="Times New Roman"/>
                <w:sz w:val="22"/>
              </w:rPr>
              <w:t>[33.0]</w:t>
            </w:r>
          </w:p>
        </w:tc>
      </w:tr>
    </w:tbl>
    <w:p w14:paraId="3F3DC273" w14:textId="77777777" w:rsidR="002F1D4E" w:rsidRDefault="002F1D4E" w:rsidP="00495671">
      <w:pPr>
        <w:spacing w:before="240" w:after="0" w:line="240" w:lineRule="auto"/>
        <w:rPr>
          <w:rFonts w:cs="Times New Roman"/>
          <w:sz w:val="20"/>
          <w:szCs w:val="20"/>
        </w:rPr>
      </w:pPr>
    </w:p>
    <w:p w14:paraId="69633804" w14:textId="5FAC88EF" w:rsidR="002F1D4E" w:rsidRPr="001711B1" w:rsidRDefault="00C94B7B" w:rsidP="001711B1">
      <w:pPr>
        <w:spacing w:before="240" w:line="240" w:lineRule="auto"/>
        <w:rPr>
          <w:rFonts w:cs="Times New Roman"/>
          <w:b/>
          <w:bCs/>
          <w:szCs w:val="24"/>
        </w:rPr>
      </w:pPr>
      <w:r w:rsidRPr="001711B1">
        <w:rPr>
          <w:rFonts w:cs="Times New Roman"/>
          <w:b/>
          <w:bCs/>
          <w:szCs w:val="24"/>
        </w:rPr>
        <w:t>Table 4.</w:t>
      </w:r>
      <w:r w:rsidR="001711B1" w:rsidRPr="001711B1">
        <w:rPr>
          <w:rFonts w:cs="Times New Roman"/>
          <w:b/>
          <w:bCs/>
          <w:szCs w:val="24"/>
        </w:rPr>
        <w:t>3.2 cont.</w:t>
      </w:r>
    </w:p>
    <w:tbl>
      <w:tblPr>
        <w:tblW w:w="15735" w:type="dxa"/>
        <w:tblInd w:w="-572" w:type="dxa"/>
        <w:tblBorders>
          <w:top w:val="single" w:sz="4" w:space="0" w:color="auto"/>
          <w:bottom w:val="single" w:sz="4" w:space="0" w:color="auto"/>
        </w:tblBorders>
        <w:tblLook w:val="04A0" w:firstRow="1" w:lastRow="0" w:firstColumn="1" w:lastColumn="0" w:noHBand="0" w:noVBand="1"/>
      </w:tblPr>
      <w:tblGrid>
        <w:gridCol w:w="3008"/>
        <w:gridCol w:w="1114"/>
        <w:gridCol w:w="1115"/>
        <w:gridCol w:w="1113"/>
        <w:gridCol w:w="1116"/>
        <w:gridCol w:w="1118"/>
        <w:gridCol w:w="1823"/>
        <w:gridCol w:w="1823"/>
        <w:gridCol w:w="1820"/>
        <w:gridCol w:w="1685"/>
      </w:tblGrid>
      <w:tr w:rsidR="002F1D4E" w:rsidRPr="00495671" w14:paraId="4DC3777B" w14:textId="77777777" w:rsidTr="00D31D14">
        <w:tc>
          <w:tcPr>
            <w:tcW w:w="3008" w:type="dxa"/>
            <w:tcBorders>
              <w:top w:val="single" w:sz="4" w:space="0" w:color="auto"/>
              <w:bottom w:val="single" w:sz="4" w:space="0" w:color="auto"/>
            </w:tcBorders>
          </w:tcPr>
          <w:p w14:paraId="3BDE02CB" w14:textId="245B1A34" w:rsidR="002F1D4E" w:rsidRPr="00495671" w:rsidRDefault="002F1D4E" w:rsidP="001711B1">
            <w:pPr>
              <w:spacing w:after="0" w:line="240" w:lineRule="auto"/>
              <w:jc w:val="left"/>
              <w:rPr>
                <w:rFonts w:cs="Times New Roman"/>
                <w:sz w:val="22"/>
              </w:rPr>
            </w:pPr>
          </w:p>
        </w:tc>
        <w:tc>
          <w:tcPr>
            <w:tcW w:w="1114" w:type="dxa"/>
            <w:tcBorders>
              <w:top w:val="single" w:sz="4" w:space="0" w:color="auto"/>
              <w:bottom w:val="single" w:sz="4" w:space="0" w:color="auto"/>
            </w:tcBorders>
          </w:tcPr>
          <w:p w14:paraId="4F1DF2EC" w14:textId="77777777" w:rsidR="002F1D4E" w:rsidRPr="00495671" w:rsidRDefault="002F1D4E" w:rsidP="00D31D14">
            <w:pPr>
              <w:spacing w:after="0" w:line="240" w:lineRule="auto"/>
              <w:jc w:val="center"/>
              <w:rPr>
                <w:rFonts w:cs="Times New Roman"/>
                <w:sz w:val="22"/>
              </w:rPr>
            </w:pPr>
            <w:r w:rsidRPr="00495671">
              <w:rPr>
                <w:rFonts w:cs="Times New Roman"/>
                <w:b/>
                <w:bCs/>
                <w:sz w:val="22"/>
                <w:lang w:val="en-ZA"/>
              </w:rPr>
              <w:t>Fe</w:t>
            </w:r>
          </w:p>
        </w:tc>
        <w:tc>
          <w:tcPr>
            <w:tcW w:w="1115" w:type="dxa"/>
            <w:tcBorders>
              <w:top w:val="single" w:sz="4" w:space="0" w:color="auto"/>
              <w:bottom w:val="single" w:sz="4" w:space="0" w:color="auto"/>
            </w:tcBorders>
          </w:tcPr>
          <w:p w14:paraId="4AFD2505" w14:textId="77777777" w:rsidR="002F1D4E" w:rsidRPr="00495671" w:rsidRDefault="002F1D4E" w:rsidP="00D31D14">
            <w:pPr>
              <w:spacing w:after="0" w:line="240" w:lineRule="auto"/>
              <w:jc w:val="center"/>
              <w:rPr>
                <w:rFonts w:cs="Times New Roman"/>
                <w:sz w:val="22"/>
              </w:rPr>
            </w:pPr>
            <w:r w:rsidRPr="00495671">
              <w:rPr>
                <w:rFonts w:cs="Times New Roman"/>
                <w:b/>
                <w:bCs/>
                <w:sz w:val="22"/>
                <w:lang w:val="en-ZA"/>
              </w:rPr>
              <w:t>Zn</w:t>
            </w:r>
          </w:p>
        </w:tc>
        <w:tc>
          <w:tcPr>
            <w:tcW w:w="1113" w:type="dxa"/>
            <w:tcBorders>
              <w:top w:val="single" w:sz="4" w:space="0" w:color="auto"/>
              <w:bottom w:val="single" w:sz="4" w:space="0" w:color="auto"/>
            </w:tcBorders>
          </w:tcPr>
          <w:p w14:paraId="6C82101F" w14:textId="77777777" w:rsidR="002F1D4E" w:rsidRPr="00495671" w:rsidRDefault="002F1D4E" w:rsidP="00D31D14">
            <w:pPr>
              <w:spacing w:after="0" w:line="240" w:lineRule="auto"/>
              <w:jc w:val="center"/>
              <w:rPr>
                <w:rFonts w:cs="Times New Roman"/>
                <w:sz w:val="22"/>
              </w:rPr>
            </w:pPr>
            <w:r w:rsidRPr="00495671">
              <w:rPr>
                <w:rFonts w:cs="Times New Roman"/>
                <w:b/>
                <w:bCs/>
                <w:sz w:val="22"/>
                <w:lang w:val="en-ZA"/>
              </w:rPr>
              <w:t>Ca</w:t>
            </w:r>
          </w:p>
        </w:tc>
        <w:tc>
          <w:tcPr>
            <w:tcW w:w="1116" w:type="dxa"/>
            <w:tcBorders>
              <w:top w:val="single" w:sz="4" w:space="0" w:color="auto"/>
              <w:bottom w:val="single" w:sz="4" w:space="0" w:color="auto"/>
            </w:tcBorders>
          </w:tcPr>
          <w:p w14:paraId="54B17743" w14:textId="77777777" w:rsidR="002F1D4E" w:rsidRPr="00495671" w:rsidRDefault="002F1D4E" w:rsidP="00D31D14">
            <w:pPr>
              <w:spacing w:after="0" w:line="240" w:lineRule="auto"/>
              <w:jc w:val="center"/>
              <w:rPr>
                <w:rFonts w:cs="Times New Roman"/>
                <w:sz w:val="22"/>
              </w:rPr>
            </w:pPr>
            <w:r w:rsidRPr="00495671">
              <w:rPr>
                <w:rFonts w:cs="Times New Roman"/>
                <w:b/>
                <w:bCs/>
                <w:sz w:val="22"/>
                <w:lang w:val="en-ZA"/>
              </w:rPr>
              <w:t>Mg</w:t>
            </w:r>
          </w:p>
        </w:tc>
        <w:tc>
          <w:tcPr>
            <w:tcW w:w="1118" w:type="dxa"/>
            <w:tcBorders>
              <w:top w:val="single" w:sz="4" w:space="0" w:color="auto"/>
              <w:bottom w:val="single" w:sz="4" w:space="0" w:color="auto"/>
            </w:tcBorders>
          </w:tcPr>
          <w:p w14:paraId="373924E0" w14:textId="77777777" w:rsidR="002F1D4E" w:rsidRPr="00495671" w:rsidRDefault="002F1D4E" w:rsidP="00D31D14">
            <w:pPr>
              <w:spacing w:after="0" w:line="240" w:lineRule="auto"/>
              <w:jc w:val="center"/>
              <w:rPr>
                <w:rFonts w:cs="Times New Roman"/>
                <w:sz w:val="22"/>
              </w:rPr>
            </w:pPr>
            <w:r w:rsidRPr="00495671">
              <w:rPr>
                <w:rFonts w:cs="Times New Roman"/>
                <w:b/>
                <w:bCs/>
                <w:sz w:val="22"/>
                <w:lang w:val="en-ZA"/>
              </w:rPr>
              <w:t>P</w:t>
            </w:r>
          </w:p>
        </w:tc>
        <w:tc>
          <w:tcPr>
            <w:tcW w:w="1823" w:type="dxa"/>
            <w:tcBorders>
              <w:top w:val="single" w:sz="4" w:space="0" w:color="auto"/>
              <w:bottom w:val="single" w:sz="4" w:space="0" w:color="auto"/>
            </w:tcBorders>
          </w:tcPr>
          <w:p w14:paraId="26486F8E" w14:textId="77777777" w:rsidR="002F1D4E" w:rsidRPr="00495671" w:rsidRDefault="002F1D4E" w:rsidP="00D31D14">
            <w:pPr>
              <w:spacing w:after="0" w:line="240" w:lineRule="auto"/>
              <w:jc w:val="center"/>
              <w:rPr>
                <w:rFonts w:cs="Times New Roman"/>
                <w:sz w:val="22"/>
              </w:rPr>
            </w:pPr>
            <w:r w:rsidRPr="00495671">
              <w:rPr>
                <w:rFonts w:cs="Times New Roman"/>
                <w:b/>
                <w:bCs/>
                <w:sz w:val="22"/>
                <w:lang w:val="en-ZA"/>
              </w:rPr>
              <w:t>% Contribution to the RNI for iron for children (17.8 mg/day)</w:t>
            </w:r>
          </w:p>
        </w:tc>
        <w:tc>
          <w:tcPr>
            <w:tcW w:w="1823" w:type="dxa"/>
            <w:tcBorders>
              <w:top w:val="single" w:sz="4" w:space="0" w:color="auto"/>
              <w:bottom w:val="single" w:sz="4" w:space="0" w:color="auto"/>
            </w:tcBorders>
          </w:tcPr>
          <w:p w14:paraId="43EC6DAE" w14:textId="77777777" w:rsidR="002F1D4E" w:rsidRPr="00495671" w:rsidRDefault="002F1D4E" w:rsidP="00D31D14">
            <w:pPr>
              <w:spacing w:after="0" w:line="240" w:lineRule="auto"/>
              <w:jc w:val="center"/>
              <w:rPr>
                <w:rFonts w:cs="Times New Roman"/>
                <w:sz w:val="22"/>
              </w:rPr>
            </w:pPr>
            <w:r w:rsidRPr="00495671">
              <w:rPr>
                <w:rFonts w:cs="Times New Roman"/>
                <w:b/>
                <w:bCs/>
                <w:sz w:val="22"/>
                <w:lang w:val="en-ZA"/>
              </w:rPr>
              <w:t>% Contribution to the RNI for iron for women (58.8 mg/day)</w:t>
            </w:r>
          </w:p>
        </w:tc>
        <w:tc>
          <w:tcPr>
            <w:tcW w:w="1820" w:type="dxa"/>
            <w:tcBorders>
              <w:top w:val="single" w:sz="4" w:space="0" w:color="auto"/>
              <w:bottom w:val="single" w:sz="4" w:space="0" w:color="auto"/>
            </w:tcBorders>
          </w:tcPr>
          <w:p w14:paraId="603896E8" w14:textId="77777777" w:rsidR="002F1D4E" w:rsidRPr="00495671" w:rsidRDefault="002F1D4E" w:rsidP="00D31D14">
            <w:pPr>
              <w:spacing w:after="0" w:line="240" w:lineRule="auto"/>
              <w:jc w:val="center"/>
              <w:rPr>
                <w:rFonts w:cs="Times New Roman"/>
                <w:sz w:val="22"/>
              </w:rPr>
            </w:pPr>
            <w:r w:rsidRPr="00495671">
              <w:rPr>
                <w:rFonts w:cs="Times New Roman"/>
                <w:b/>
                <w:bCs/>
                <w:sz w:val="22"/>
                <w:lang w:val="en-ZA"/>
              </w:rPr>
              <w:t>% contribution to the RNI for zinc for children (11.2 mg/day)</w:t>
            </w:r>
          </w:p>
        </w:tc>
        <w:tc>
          <w:tcPr>
            <w:tcW w:w="1685" w:type="dxa"/>
            <w:tcBorders>
              <w:top w:val="single" w:sz="4" w:space="0" w:color="auto"/>
              <w:bottom w:val="single" w:sz="4" w:space="0" w:color="auto"/>
            </w:tcBorders>
          </w:tcPr>
          <w:p w14:paraId="7602354B" w14:textId="77777777" w:rsidR="002F1D4E" w:rsidRPr="00495671" w:rsidRDefault="002F1D4E" w:rsidP="00D31D14">
            <w:pPr>
              <w:spacing w:after="0" w:line="240" w:lineRule="auto"/>
              <w:jc w:val="center"/>
              <w:rPr>
                <w:rFonts w:cs="Times New Roman"/>
                <w:sz w:val="22"/>
              </w:rPr>
            </w:pPr>
            <w:r w:rsidRPr="00495671">
              <w:rPr>
                <w:rFonts w:cs="Times New Roman"/>
                <w:b/>
                <w:bCs/>
                <w:sz w:val="22"/>
                <w:lang w:val="en-ZA"/>
              </w:rPr>
              <w:t>% contribution to the RNI for zinc for women (9.8 mg/day)</w:t>
            </w:r>
          </w:p>
        </w:tc>
      </w:tr>
      <w:tr w:rsidR="002F1D4E" w:rsidRPr="00495671" w14:paraId="673D0DEB" w14:textId="77777777" w:rsidTr="00D31D14">
        <w:tc>
          <w:tcPr>
            <w:tcW w:w="15735" w:type="dxa"/>
            <w:gridSpan w:val="10"/>
          </w:tcPr>
          <w:p w14:paraId="536BBCF6" w14:textId="77777777" w:rsidR="002F1D4E" w:rsidRPr="00495671" w:rsidRDefault="002F1D4E" w:rsidP="001711B1">
            <w:pPr>
              <w:spacing w:after="0" w:line="240" w:lineRule="auto"/>
              <w:jc w:val="left"/>
              <w:rPr>
                <w:rFonts w:cs="Times New Roman"/>
                <w:b/>
                <w:bCs/>
                <w:sz w:val="22"/>
                <w:lang w:val="en-ZA"/>
              </w:rPr>
            </w:pPr>
            <w:r w:rsidRPr="00495671">
              <w:rPr>
                <w:rFonts w:cs="Times New Roman"/>
                <w:b/>
                <w:bCs/>
                <w:sz w:val="22"/>
                <w:lang w:val="en-ZA"/>
              </w:rPr>
              <w:t>Porridge formulations</w:t>
            </w:r>
          </w:p>
        </w:tc>
      </w:tr>
      <w:tr w:rsidR="002F1D4E" w:rsidRPr="00495671" w14:paraId="4482ECC5" w14:textId="77777777" w:rsidTr="00D31D14">
        <w:tc>
          <w:tcPr>
            <w:tcW w:w="3008" w:type="dxa"/>
          </w:tcPr>
          <w:p w14:paraId="0B75CC55" w14:textId="082C697C" w:rsidR="002F1D4E" w:rsidRPr="00495671" w:rsidRDefault="002F1D4E" w:rsidP="001711B1">
            <w:pPr>
              <w:spacing w:after="0" w:line="240" w:lineRule="auto"/>
              <w:jc w:val="left"/>
              <w:rPr>
                <w:rFonts w:cs="Times New Roman"/>
                <w:sz w:val="22"/>
              </w:rPr>
            </w:pPr>
            <w:r w:rsidRPr="00495671">
              <w:rPr>
                <w:rFonts w:cs="Times New Roman"/>
                <w:sz w:val="22"/>
                <w:lang w:val="en-ZA"/>
              </w:rPr>
              <w:t>Pearl millet+carrot+papaya+ baobab+micronutrient premix</w:t>
            </w:r>
          </w:p>
        </w:tc>
        <w:tc>
          <w:tcPr>
            <w:tcW w:w="1114" w:type="dxa"/>
          </w:tcPr>
          <w:p w14:paraId="412C9D24" w14:textId="77777777" w:rsidR="002F1D4E" w:rsidRPr="00495671" w:rsidRDefault="002F1D4E" w:rsidP="00D31D14">
            <w:pPr>
              <w:spacing w:after="0" w:line="240" w:lineRule="auto"/>
              <w:jc w:val="center"/>
              <w:rPr>
                <w:rFonts w:cs="Times New Roman"/>
                <w:sz w:val="22"/>
                <w:vertAlign w:val="superscript"/>
                <w:lang w:val="en-ZA"/>
              </w:rPr>
            </w:pPr>
            <w:r w:rsidRPr="00495671">
              <w:rPr>
                <w:rFonts w:cs="Times New Roman"/>
                <w:sz w:val="22"/>
                <w:lang w:val="en-ZA"/>
              </w:rPr>
              <w:t>21.8</w:t>
            </w:r>
            <w:r w:rsidRPr="00495671">
              <w:rPr>
                <w:rFonts w:cs="Times New Roman"/>
                <w:sz w:val="22"/>
                <w:vertAlign w:val="superscript"/>
                <w:lang w:val="en-ZA"/>
              </w:rPr>
              <w:t>e</w:t>
            </w:r>
          </w:p>
          <w:p w14:paraId="679533C2" w14:textId="77777777" w:rsidR="002F1D4E" w:rsidRPr="00495671" w:rsidRDefault="002F1D4E" w:rsidP="00D31D14">
            <w:pPr>
              <w:spacing w:after="0" w:line="240" w:lineRule="auto"/>
              <w:jc w:val="center"/>
              <w:rPr>
                <w:rFonts w:cs="Times New Roman"/>
                <w:sz w:val="22"/>
              </w:rPr>
            </w:pPr>
            <w:r w:rsidRPr="00495671">
              <w:rPr>
                <w:rFonts w:cs="Times New Roman"/>
                <w:sz w:val="22"/>
                <w:lang w:val="en-ZA"/>
              </w:rPr>
              <w:t xml:space="preserve"> ± 1.5 (10.6)</w:t>
            </w:r>
          </w:p>
        </w:tc>
        <w:tc>
          <w:tcPr>
            <w:tcW w:w="1115" w:type="dxa"/>
          </w:tcPr>
          <w:p w14:paraId="61EF96D4" w14:textId="77777777" w:rsidR="002F1D4E" w:rsidRPr="00495671" w:rsidRDefault="002F1D4E" w:rsidP="00D31D14">
            <w:pPr>
              <w:spacing w:after="0" w:line="240" w:lineRule="auto"/>
              <w:jc w:val="center"/>
              <w:rPr>
                <w:rFonts w:cs="Times New Roman"/>
                <w:sz w:val="22"/>
                <w:vertAlign w:val="superscript"/>
                <w:lang w:val="en-ZA"/>
              </w:rPr>
            </w:pPr>
            <w:r w:rsidRPr="00495671">
              <w:rPr>
                <w:rFonts w:cs="Times New Roman"/>
                <w:sz w:val="22"/>
                <w:lang w:val="en-ZA"/>
              </w:rPr>
              <w:t>5.95</w:t>
            </w:r>
            <w:r w:rsidRPr="00495671">
              <w:rPr>
                <w:rFonts w:cs="Times New Roman"/>
                <w:sz w:val="22"/>
                <w:vertAlign w:val="superscript"/>
                <w:lang w:val="en-ZA"/>
              </w:rPr>
              <w:t>g</w:t>
            </w:r>
          </w:p>
          <w:p w14:paraId="3F7A3ECC" w14:textId="77777777" w:rsidR="002F1D4E" w:rsidRPr="00495671" w:rsidRDefault="002F1D4E" w:rsidP="00D31D14">
            <w:pPr>
              <w:spacing w:after="0" w:line="240" w:lineRule="auto"/>
              <w:jc w:val="center"/>
              <w:rPr>
                <w:rFonts w:cs="Times New Roman"/>
                <w:sz w:val="22"/>
              </w:rPr>
            </w:pPr>
            <w:r w:rsidRPr="00495671">
              <w:rPr>
                <w:rFonts w:cs="Times New Roman"/>
                <w:sz w:val="22"/>
                <w:lang w:val="en-ZA"/>
              </w:rPr>
              <w:t xml:space="preserve"> ± 0.05 (4.96)</w:t>
            </w:r>
          </w:p>
        </w:tc>
        <w:tc>
          <w:tcPr>
            <w:tcW w:w="1113" w:type="dxa"/>
          </w:tcPr>
          <w:p w14:paraId="4FC7F4A5" w14:textId="77777777" w:rsidR="002F1D4E" w:rsidRPr="00495671" w:rsidRDefault="002F1D4E" w:rsidP="00D31D14">
            <w:pPr>
              <w:spacing w:after="0" w:line="240" w:lineRule="auto"/>
              <w:jc w:val="center"/>
              <w:rPr>
                <w:rFonts w:cs="Times New Roman"/>
                <w:sz w:val="22"/>
                <w:vertAlign w:val="superscript"/>
                <w:lang w:val="en-ZA"/>
              </w:rPr>
            </w:pPr>
            <w:r w:rsidRPr="00495671">
              <w:rPr>
                <w:rFonts w:cs="Times New Roman"/>
                <w:sz w:val="22"/>
                <w:lang w:val="en-ZA"/>
              </w:rPr>
              <w:t>100</w:t>
            </w:r>
            <w:r w:rsidRPr="00495671">
              <w:rPr>
                <w:rFonts w:cs="Times New Roman"/>
                <w:sz w:val="22"/>
                <w:vertAlign w:val="superscript"/>
                <w:lang w:val="en-ZA"/>
              </w:rPr>
              <w:t>b</w:t>
            </w:r>
          </w:p>
          <w:p w14:paraId="4501444B" w14:textId="77777777" w:rsidR="002F1D4E" w:rsidRPr="00495671" w:rsidRDefault="002F1D4E" w:rsidP="00D31D14">
            <w:pPr>
              <w:spacing w:after="0" w:line="240" w:lineRule="auto"/>
              <w:jc w:val="center"/>
              <w:rPr>
                <w:rFonts w:cs="Times New Roman"/>
                <w:sz w:val="22"/>
              </w:rPr>
            </w:pPr>
            <w:r w:rsidRPr="00495671">
              <w:rPr>
                <w:rFonts w:cs="Times New Roman"/>
                <w:sz w:val="22"/>
                <w:lang w:val="en-ZA"/>
              </w:rPr>
              <w:t xml:space="preserve"> ± 4    (80)</w:t>
            </w:r>
          </w:p>
        </w:tc>
        <w:tc>
          <w:tcPr>
            <w:tcW w:w="1116" w:type="dxa"/>
          </w:tcPr>
          <w:p w14:paraId="5CA5CFBB" w14:textId="77777777" w:rsidR="002F1D4E" w:rsidRPr="00495671" w:rsidRDefault="002F1D4E" w:rsidP="00D31D14">
            <w:pPr>
              <w:spacing w:after="0" w:line="240" w:lineRule="auto"/>
              <w:jc w:val="center"/>
              <w:rPr>
                <w:rFonts w:cs="Times New Roman"/>
                <w:sz w:val="22"/>
                <w:vertAlign w:val="superscript"/>
                <w:lang w:val="en-ZA"/>
              </w:rPr>
            </w:pPr>
            <w:r w:rsidRPr="00495671">
              <w:rPr>
                <w:rFonts w:cs="Times New Roman"/>
                <w:sz w:val="22"/>
                <w:lang w:val="en-ZA"/>
              </w:rPr>
              <w:t>130.7</w:t>
            </w:r>
            <w:r w:rsidRPr="00495671">
              <w:rPr>
                <w:rFonts w:cs="Times New Roman"/>
                <w:sz w:val="22"/>
                <w:vertAlign w:val="superscript"/>
                <w:lang w:val="en-ZA"/>
              </w:rPr>
              <w:t>c</w:t>
            </w:r>
          </w:p>
          <w:p w14:paraId="601F14A5" w14:textId="77777777" w:rsidR="002F1D4E" w:rsidRPr="00495671" w:rsidRDefault="002F1D4E" w:rsidP="00D31D14">
            <w:pPr>
              <w:spacing w:after="0" w:line="240" w:lineRule="auto"/>
              <w:jc w:val="center"/>
              <w:rPr>
                <w:rFonts w:cs="Times New Roman"/>
                <w:sz w:val="22"/>
              </w:rPr>
            </w:pPr>
            <w:r w:rsidRPr="00495671">
              <w:rPr>
                <w:rFonts w:cs="Times New Roman"/>
                <w:sz w:val="22"/>
                <w:lang w:val="en-ZA"/>
              </w:rPr>
              <w:t xml:space="preserve"> ± 5.1 (115.7)</w:t>
            </w:r>
          </w:p>
        </w:tc>
        <w:tc>
          <w:tcPr>
            <w:tcW w:w="1118" w:type="dxa"/>
          </w:tcPr>
          <w:p w14:paraId="2367E45F" w14:textId="77777777" w:rsidR="002F1D4E" w:rsidRPr="00495671" w:rsidRDefault="002F1D4E" w:rsidP="00D31D14">
            <w:pPr>
              <w:spacing w:after="0" w:line="240" w:lineRule="auto"/>
              <w:jc w:val="center"/>
              <w:rPr>
                <w:rFonts w:cs="Times New Roman"/>
                <w:sz w:val="22"/>
                <w:vertAlign w:val="superscript"/>
                <w:lang w:val="en-ZA"/>
              </w:rPr>
            </w:pPr>
            <w:r w:rsidRPr="00495671">
              <w:rPr>
                <w:rFonts w:cs="Times New Roman"/>
                <w:sz w:val="22"/>
                <w:lang w:val="en-ZA"/>
              </w:rPr>
              <w:t>291.2</w:t>
            </w:r>
            <w:r w:rsidRPr="00495671">
              <w:rPr>
                <w:rFonts w:cs="Times New Roman"/>
                <w:sz w:val="22"/>
                <w:vertAlign w:val="superscript"/>
                <w:lang w:val="en-ZA"/>
              </w:rPr>
              <w:t>ef</w:t>
            </w:r>
          </w:p>
          <w:p w14:paraId="63B0CF99" w14:textId="77777777" w:rsidR="002F1D4E" w:rsidRPr="00495671" w:rsidRDefault="002F1D4E" w:rsidP="00D31D14">
            <w:pPr>
              <w:spacing w:after="0" w:line="240" w:lineRule="auto"/>
              <w:jc w:val="center"/>
              <w:rPr>
                <w:rFonts w:cs="Times New Roman"/>
                <w:sz w:val="22"/>
              </w:rPr>
            </w:pPr>
            <w:r w:rsidRPr="00495671">
              <w:rPr>
                <w:rFonts w:cs="Times New Roman"/>
                <w:sz w:val="22"/>
                <w:lang w:val="en-ZA"/>
              </w:rPr>
              <w:t xml:space="preserve"> ± 4.3 (265.5)</w:t>
            </w:r>
          </w:p>
        </w:tc>
        <w:tc>
          <w:tcPr>
            <w:tcW w:w="1823" w:type="dxa"/>
          </w:tcPr>
          <w:p w14:paraId="11191E8A" w14:textId="77777777" w:rsidR="002F1D4E" w:rsidRPr="00495671" w:rsidRDefault="002F1D4E" w:rsidP="00D31D14">
            <w:pPr>
              <w:spacing w:after="0" w:line="240" w:lineRule="auto"/>
              <w:jc w:val="center"/>
              <w:rPr>
                <w:rFonts w:cs="Times New Roman"/>
                <w:sz w:val="22"/>
                <w:lang w:val="en-ZA"/>
              </w:rPr>
            </w:pPr>
            <w:r w:rsidRPr="00495671">
              <w:rPr>
                <w:rFonts w:cs="Times New Roman"/>
                <w:sz w:val="22"/>
                <w:lang w:val="en-ZA"/>
              </w:rPr>
              <w:t>122.3</w:t>
            </w:r>
          </w:p>
          <w:p w14:paraId="0BB55493" w14:textId="77777777" w:rsidR="002F1D4E" w:rsidRPr="00495671" w:rsidRDefault="002F1D4E" w:rsidP="00D31D14">
            <w:pPr>
              <w:spacing w:after="0" w:line="240" w:lineRule="auto"/>
              <w:jc w:val="center"/>
              <w:rPr>
                <w:rFonts w:cs="Times New Roman"/>
                <w:sz w:val="22"/>
              </w:rPr>
            </w:pPr>
            <w:r w:rsidRPr="00495671">
              <w:rPr>
                <w:rFonts w:cs="Times New Roman"/>
                <w:sz w:val="22"/>
                <w:lang w:val="en-ZA"/>
              </w:rPr>
              <w:t xml:space="preserve"> [59.8]</w:t>
            </w:r>
          </w:p>
        </w:tc>
        <w:tc>
          <w:tcPr>
            <w:tcW w:w="1823" w:type="dxa"/>
          </w:tcPr>
          <w:p w14:paraId="467A46F8" w14:textId="77777777" w:rsidR="002F1D4E" w:rsidRPr="00495671" w:rsidRDefault="002F1D4E" w:rsidP="00D31D14">
            <w:pPr>
              <w:spacing w:after="0" w:line="240" w:lineRule="auto"/>
              <w:jc w:val="center"/>
              <w:rPr>
                <w:rFonts w:cs="Times New Roman"/>
                <w:sz w:val="22"/>
                <w:lang w:val="en-ZA"/>
              </w:rPr>
            </w:pPr>
            <w:r w:rsidRPr="00495671">
              <w:rPr>
                <w:rFonts w:cs="Times New Roman"/>
                <w:sz w:val="22"/>
                <w:lang w:val="en-ZA"/>
              </w:rPr>
              <w:t>37.0</w:t>
            </w:r>
          </w:p>
          <w:p w14:paraId="5C018171" w14:textId="77777777" w:rsidR="002F1D4E" w:rsidRPr="00495671" w:rsidRDefault="002F1D4E" w:rsidP="00D31D14">
            <w:pPr>
              <w:spacing w:after="0" w:line="240" w:lineRule="auto"/>
              <w:jc w:val="center"/>
              <w:rPr>
                <w:rFonts w:cs="Times New Roman"/>
                <w:sz w:val="22"/>
              </w:rPr>
            </w:pPr>
            <w:r w:rsidRPr="00495671">
              <w:rPr>
                <w:rFonts w:cs="Times New Roman"/>
                <w:sz w:val="22"/>
                <w:lang w:val="en-ZA"/>
              </w:rPr>
              <w:t xml:space="preserve"> [18.1]</w:t>
            </w:r>
          </w:p>
        </w:tc>
        <w:tc>
          <w:tcPr>
            <w:tcW w:w="1820" w:type="dxa"/>
          </w:tcPr>
          <w:p w14:paraId="40CFB4BA" w14:textId="77777777" w:rsidR="002F1D4E" w:rsidRPr="00495671" w:rsidRDefault="002F1D4E" w:rsidP="00D31D14">
            <w:pPr>
              <w:spacing w:after="0" w:line="240" w:lineRule="auto"/>
              <w:jc w:val="center"/>
              <w:rPr>
                <w:rFonts w:cs="Times New Roman"/>
                <w:sz w:val="22"/>
                <w:lang w:val="en-ZA"/>
              </w:rPr>
            </w:pPr>
            <w:r w:rsidRPr="00495671">
              <w:rPr>
                <w:rFonts w:cs="Times New Roman"/>
                <w:sz w:val="22"/>
                <w:lang w:val="en-ZA"/>
              </w:rPr>
              <w:t xml:space="preserve">53.1 </w:t>
            </w:r>
          </w:p>
          <w:p w14:paraId="7B5513E4" w14:textId="77777777" w:rsidR="002F1D4E" w:rsidRPr="00495671" w:rsidRDefault="002F1D4E" w:rsidP="00D31D14">
            <w:pPr>
              <w:spacing w:after="0" w:line="240" w:lineRule="auto"/>
              <w:jc w:val="center"/>
              <w:rPr>
                <w:rFonts w:cs="Times New Roman"/>
                <w:sz w:val="22"/>
              </w:rPr>
            </w:pPr>
            <w:r w:rsidRPr="00495671">
              <w:rPr>
                <w:rFonts w:cs="Times New Roman"/>
                <w:sz w:val="22"/>
              </w:rPr>
              <w:t>[44.3]</w:t>
            </w:r>
          </w:p>
        </w:tc>
        <w:tc>
          <w:tcPr>
            <w:tcW w:w="1685" w:type="dxa"/>
          </w:tcPr>
          <w:p w14:paraId="09E9073F" w14:textId="77777777" w:rsidR="002F1D4E" w:rsidRPr="00495671" w:rsidRDefault="002F1D4E" w:rsidP="00D31D14">
            <w:pPr>
              <w:spacing w:after="0" w:line="240" w:lineRule="auto"/>
              <w:jc w:val="center"/>
              <w:rPr>
                <w:rFonts w:cs="Times New Roman"/>
                <w:sz w:val="22"/>
                <w:lang w:val="en-ZA"/>
              </w:rPr>
            </w:pPr>
            <w:r w:rsidRPr="00495671">
              <w:rPr>
                <w:rFonts w:cs="Times New Roman"/>
                <w:sz w:val="22"/>
                <w:lang w:val="en-ZA"/>
              </w:rPr>
              <w:t xml:space="preserve">60.7 </w:t>
            </w:r>
          </w:p>
          <w:p w14:paraId="4BC7A147" w14:textId="77777777" w:rsidR="002F1D4E" w:rsidRPr="00495671" w:rsidRDefault="002F1D4E" w:rsidP="00D31D14">
            <w:pPr>
              <w:spacing w:after="0" w:line="240" w:lineRule="auto"/>
              <w:jc w:val="center"/>
              <w:rPr>
                <w:rFonts w:cs="Times New Roman"/>
                <w:sz w:val="22"/>
              </w:rPr>
            </w:pPr>
            <w:r w:rsidRPr="00495671">
              <w:rPr>
                <w:rFonts w:cs="Times New Roman"/>
                <w:sz w:val="22"/>
              </w:rPr>
              <w:t>[50.6]</w:t>
            </w:r>
          </w:p>
        </w:tc>
      </w:tr>
      <w:tr w:rsidR="002F1D4E" w:rsidRPr="00495671" w14:paraId="3082DA21" w14:textId="77777777" w:rsidTr="00D31D14">
        <w:tc>
          <w:tcPr>
            <w:tcW w:w="3008" w:type="dxa"/>
          </w:tcPr>
          <w:p w14:paraId="6DC22272" w14:textId="2AD77085" w:rsidR="002F1D4E" w:rsidRPr="00495671" w:rsidRDefault="002F1D4E" w:rsidP="001711B1">
            <w:pPr>
              <w:spacing w:after="0" w:line="240" w:lineRule="auto"/>
              <w:jc w:val="left"/>
              <w:rPr>
                <w:rFonts w:cs="Times New Roman"/>
                <w:sz w:val="22"/>
              </w:rPr>
            </w:pPr>
            <w:r w:rsidRPr="00495671">
              <w:rPr>
                <w:rFonts w:cs="Times New Roman"/>
                <w:sz w:val="22"/>
                <w:lang w:val="en-ZA"/>
              </w:rPr>
              <w:t>Pearl millet+baobab+hibiscus</w:t>
            </w:r>
          </w:p>
        </w:tc>
        <w:tc>
          <w:tcPr>
            <w:tcW w:w="1114" w:type="dxa"/>
          </w:tcPr>
          <w:p w14:paraId="4BB06A4C" w14:textId="77777777" w:rsidR="002F1D4E" w:rsidRPr="00495671" w:rsidRDefault="002F1D4E" w:rsidP="00D31D14">
            <w:pPr>
              <w:spacing w:after="0" w:line="240" w:lineRule="auto"/>
              <w:jc w:val="center"/>
              <w:rPr>
                <w:rFonts w:cs="Times New Roman"/>
                <w:sz w:val="22"/>
                <w:vertAlign w:val="superscript"/>
                <w:lang w:val="en-ZA"/>
              </w:rPr>
            </w:pPr>
            <w:r w:rsidRPr="00495671">
              <w:rPr>
                <w:rFonts w:cs="Times New Roman"/>
                <w:sz w:val="22"/>
                <w:lang w:val="en-ZA"/>
              </w:rPr>
              <w:t>42.9</w:t>
            </w:r>
            <w:r w:rsidRPr="00495671">
              <w:rPr>
                <w:rFonts w:cs="Times New Roman"/>
                <w:sz w:val="22"/>
                <w:vertAlign w:val="superscript"/>
                <w:lang w:val="en-ZA"/>
              </w:rPr>
              <w:t>g</w:t>
            </w:r>
          </w:p>
          <w:p w14:paraId="49EABB41" w14:textId="77777777" w:rsidR="002F1D4E" w:rsidRPr="00495671" w:rsidRDefault="002F1D4E" w:rsidP="00D31D14">
            <w:pPr>
              <w:spacing w:after="0" w:line="240" w:lineRule="auto"/>
              <w:jc w:val="center"/>
              <w:rPr>
                <w:rFonts w:cs="Times New Roman"/>
                <w:sz w:val="22"/>
              </w:rPr>
            </w:pPr>
            <w:r w:rsidRPr="00495671">
              <w:rPr>
                <w:rFonts w:cs="Times New Roman"/>
                <w:sz w:val="22"/>
                <w:lang w:val="en-ZA"/>
              </w:rPr>
              <w:t xml:space="preserve"> ± 0.8 (11.4)</w:t>
            </w:r>
          </w:p>
        </w:tc>
        <w:tc>
          <w:tcPr>
            <w:tcW w:w="1115" w:type="dxa"/>
          </w:tcPr>
          <w:p w14:paraId="4D1E77B1" w14:textId="77777777" w:rsidR="002F1D4E" w:rsidRPr="00495671" w:rsidRDefault="002F1D4E" w:rsidP="00D31D14">
            <w:pPr>
              <w:spacing w:after="0" w:line="240" w:lineRule="auto"/>
              <w:jc w:val="center"/>
              <w:rPr>
                <w:rFonts w:cs="Times New Roman"/>
                <w:sz w:val="22"/>
                <w:vertAlign w:val="superscript"/>
                <w:lang w:val="en-ZA"/>
              </w:rPr>
            </w:pPr>
            <w:r w:rsidRPr="00495671">
              <w:rPr>
                <w:rFonts w:cs="Times New Roman"/>
                <w:sz w:val="22"/>
                <w:lang w:val="en-ZA"/>
              </w:rPr>
              <w:t>3.41</w:t>
            </w:r>
            <w:r w:rsidRPr="00495671">
              <w:rPr>
                <w:rFonts w:cs="Times New Roman"/>
                <w:sz w:val="22"/>
                <w:vertAlign w:val="superscript"/>
                <w:lang w:val="en-ZA"/>
              </w:rPr>
              <w:t>e</w:t>
            </w:r>
          </w:p>
          <w:p w14:paraId="24E29B4B" w14:textId="77777777" w:rsidR="002F1D4E" w:rsidRPr="00495671" w:rsidRDefault="002F1D4E" w:rsidP="00D31D14">
            <w:pPr>
              <w:spacing w:after="0" w:line="240" w:lineRule="auto"/>
              <w:jc w:val="center"/>
              <w:rPr>
                <w:rFonts w:cs="Times New Roman"/>
                <w:sz w:val="22"/>
              </w:rPr>
            </w:pPr>
            <w:r w:rsidRPr="00495671">
              <w:rPr>
                <w:rFonts w:cs="Times New Roman"/>
                <w:sz w:val="22"/>
                <w:lang w:val="en-ZA"/>
              </w:rPr>
              <w:t xml:space="preserve"> ± 0.11 (3.62)</w:t>
            </w:r>
          </w:p>
        </w:tc>
        <w:tc>
          <w:tcPr>
            <w:tcW w:w="1113" w:type="dxa"/>
          </w:tcPr>
          <w:p w14:paraId="246C457E" w14:textId="77777777" w:rsidR="002F1D4E" w:rsidRPr="00495671" w:rsidRDefault="002F1D4E" w:rsidP="00D31D14">
            <w:pPr>
              <w:spacing w:after="0" w:line="240" w:lineRule="auto"/>
              <w:jc w:val="center"/>
              <w:rPr>
                <w:rFonts w:cs="Times New Roman"/>
                <w:sz w:val="22"/>
                <w:vertAlign w:val="superscript"/>
                <w:lang w:val="en-ZA"/>
              </w:rPr>
            </w:pPr>
            <w:r w:rsidRPr="00495671">
              <w:rPr>
                <w:rFonts w:cs="Times New Roman"/>
                <w:sz w:val="22"/>
                <w:lang w:val="en-ZA"/>
              </w:rPr>
              <w:t>113</w:t>
            </w:r>
            <w:r w:rsidRPr="00495671">
              <w:rPr>
                <w:rFonts w:cs="Times New Roman"/>
                <w:sz w:val="22"/>
                <w:vertAlign w:val="superscript"/>
                <w:lang w:val="en-ZA"/>
              </w:rPr>
              <w:t>b</w:t>
            </w:r>
          </w:p>
          <w:p w14:paraId="68B2C3EB" w14:textId="77777777" w:rsidR="002F1D4E" w:rsidRPr="00495671" w:rsidRDefault="002F1D4E" w:rsidP="00D31D14">
            <w:pPr>
              <w:spacing w:after="0" w:line="240" w:lineRule="auto"/>
              <w:jc w:val="center"/>
              <w:rPr>
                <w:rFonts w:cs="Times New Roman"/>
                <w:sz w:val="22"/>
              </w:rPr>
            </w:pPr>
            <w:r w:rsidRPr="00495671">
              <w:rPr>
                <w:rFonts w:cs="Times New Roman"/>
                <w:sz w:val="22"/>
                <w:lang w:val="en-ZA"/>
              </w:rPr>
              <w:t xml:space="preserve"> ± 5  (113)</w:t>
            </w:r>
          </w:p>
        </w:tc>
        <w:tc>
          <w:tcPr>
            <w:tcW w:w="1116" w:type="dxa"/>
          </w:tcPr>
          <w:p w14:paraId="2D1303B6" w14:textId="77777777" w:rsidR="002F1D4E" w:rsidRPr="00495671" w:rsidRDefault="002F1D4E" w:rsidP="00D31D14">
            <w:pPr>
              <w:spacing w:after="0" w:line="240" w:lineRule="auto"/>
              <w:jc w:val="center"/>
              <w:rPr>
                <w:rFonts w:cs="Times New Roman"/>
                <w:sz w:val="22"/>
                <w:vertAlign w:val="superscript"/>
                <w:lang w:val="en-ZA"/>
              </w:rPr>
            </w:pPr>
            <w:r w:rsidRPr="00495671">
              <w:rPr>
                <w:rFonts w:cs="Times New Roman"/>
                <w:sz w:val="22"/>
                <w:lang w:val="en-ZA"/>
              </w:rPr>
              <w:t>152.9</w:t>
            </w:r>
            <w:r w:rsidRPr="00495671">
              <w:rPr>
                <w:rFonts w:cs="Times New Roman"/>
                <w:sz w:val="22"/>
                <w:vertAlign w:val="superscript"/>
                <w:lang w:val="en-ZA"/>
              </w:rPr>
              <w:t>d</w:t>
            </w:r>
          </w:p>
          <w:p w14:paraId="4D8221D3" w14:textId="77777777" w:rsidR="002F1D4E" w:rsidRPr="00495671" w:rsidRDefault="002F1D4E" w:rsidP="00D31D14">
            <w:pPr>
              <w:spacing w:after="0" w:line="240" w:lineRule="auto"/>
              <w:jc w:val="center"/>
              <w:rPr>
                <w:rFonts w:cs="Times New Roman"/>
                <w:sz w:val="22"/>
              </w:rPr>
            </w:pPr>
            <w:r w:rsidRPr="00495671">
              <w:rPr>
                <w:rFonts w:cs="Times New Roman"/>
                <w:sz w:val="22"/>
                <w:lang w:val="en-ZA"/>
              </w:rPr>
              <w:t xml:space="preserve"> ± 2.4 (128.4)</w:t>
            </w:r>
          </w:p>
        </w:tc>
        <w:tc>
          <w:tcPr>
            <w:tcW w:w="1118" w:type="dxa"/>
          </w:tcPr>
          <w:p w14:paraId="14588B26" w14:textId="77777777" w:rsidR="002F1D4E" w:rsidRPr="00495671" w:rsidRDefault="002F1D4E" w:rsidP="00D31D14">
            <w:pPr>
              <w:spacing w:after="0" w:line="240" w:lineRule="auto"/>
              <w:jc w:val="center"/>
              <w:rPr>
                <w:rFonts w:cs="Times New Roman"/>
                <w:sz w:val="22"/>
                <w:vertAlign w:val="superscript"/>
                <w:lang w:val="en-ZA"/>
              </w:rPr>
            </w:pPr>
            <w:r w:rsidRPr="00495671">
              <w:rPr>
                <w:rFonts w:cs="Times New Roman"/>
                <w:sz w:val="22"/>
                <w:lang w:val="en-ZA"/>
              </w:rPr>
              <w:t>301.8</w:t>
            </w:r>
            <w:r w:rsidRPr="00495671">
              <w:rPr>
                <w:rFonts w:cs="Times New Roman"/>
                <w:sz w:val="22"/>
                <w:vertAlign w:val="superscript"/>
                <w:lang w:val="en-ZA"/>
              </w:rPr>
              <w:t>f</w:t>
            </w:r>
          </w:p>
          <w:p w14:paraId="23DEEF12" w14:textId="77777777" w:rsidR="002F1D4E" w:rsidRPr="00495671" w:rsidRDefault="002F1D4E" w:rsidP="00D31D14">
            <w:pPr>
              <w:spacing w:after="0" w:line="240" w:lineRule="auto"/>
              <w:jc w:val="center"/>
              <w:rPr>
                <w:rFonts w:cs="Times New Roman"/>
                <w:sz w:val="22"/>
              </w:rPr>
            </w:pPr>
            <w:r w:rsidRPr="00495671">
              <w:rPr>
                <w:rFonts w:cs="Times New Roman"/>
                <w:sz w:val="22"/>
                <w:lang w:val="en-ZA"/>
              </w:rPr>
              <w:t xml:space="preserve"> ± 7.6 (234.3)</w:t>
            </w:r>
          </w:p>
        </w:tc>
        <w:tc>
          <w:tcPr>
            <w:tcW w:w="1823" w:type="dxa"/>
          </w:tcPr>
          <w:p w14:paraId="3A865D35" w14:textId="77777777" w:rsidR="002F1D4E" w:rsidRPr="00495671" w:rsidRDefault="002F1D4E" w:rsidP="00D31D14">
            <w:pPr>
              <w:spacing w:after="0" w:line="240" w:lineRule="auto"/>
              <w:jc w:val="center"/>
              <w:rPr>
                <w:rFonts w:cs="Times New Roman"/>
                <w:sz w:val="22"/>
                <w:lang w:val="en-ZA"/>
              </w:rPr>
            </w:pPr>
            <w:r w:rsidRPr="00495671">
              <w:rPr>
                <w:rFonts w:cs="Times New Roman"/>
                <w:sz w:val="22"/>
                <w:lang w:val="en-ZA"/>
              </w:rPr>
              <w:t>241.0</w:t>
            </w:r>
          </w:p>
          <w:p w14:paraId="4FB281A9" w14:textId="77777777" w:rsidR="002F1D4E" w:rsidRPr="00495671" w:rsidRDefault="002F1D4E" w:rsidP="00D31D14">
            <w:pPr>
              <w:spacing w:after="0" w:line="240" w:lineRule="auto"/>
              <w:jc w:val="center"/>
              <w:rPr>
                <w:rFonts w:cs="Times New Roman"/>
                <w:sz w:val="22"/>
              </w:rPr>
            </w:pPr>
            <w:r w:rsidRPr="00495671">
              <w:rPr>
                <w:rFonts w:cs="Times New Roman"/>
                <w:sz w:val="22"/>
                <w:lang w:val="en-ZA"/>
              </w:rPr>
              <w:t xml:space="preserve"> [64.1]</w:t>
            </w:r>
          </w:p>
        </w:tc>
        <w:tc>
          <w:tcPr>
            <w:tcW w:w="1823" w:type="dxa"/>
          </w:tcPr>
          <w:p w14:paraId="0E250E35" w14:textId="77777777" w:rsidR="002F1D4E" w:rsidRPr="00495671" w:rsidRDefault="002F1D4E" w:rsidP="00D31D14">
            <w:pPr>
              <w:spacing w:after="0" w:line="240" w:lineRule="auto"/>
              <w:jc w:val="center"/>
              <w:rPr>
                <w:rFonts w:cs="Times New Roman"/>
                <w:sz w:val="22"/>
                <w:lang w:val="en-ZA"/>
              </w:rPr>
            </w:pPr>
            <w:r w:rsidRPr="00495671">
              <w:rPr>
                <w:rFonts w:cs="Times New Roman"/>
                <w:sz w:val="22"/>
                <w:lang w:val="en-ZA"/>
              </w:rPr>
              <w:t>72.9</w:t>
            </w:r>
          </w:p>
          <w:p w14:paraId="3E9ECA9D" w14:textId="77777777" w:rsidR="002F1D4E" w:rsidRPr="00495671" w:rsidRDefault="002F1D4E" w:rsidP="00D31D14">
            <w:pPr>
              <w:spacing w:after="0" w:line="240" w:lineRule="auto"/>
              <w:jc w:val="center"/>
              <w:rPr>
                <w:rFonts w:cs="Times New Roman"/>
                <w:sz w:val="22"/>
              </w:rPr>
            </w:pPr>
            <w:r w:rsidRPr="00495671">
              <w:rPr>
                <w:rFonts w:cs="Times New Roman"/>
                <w:sz w:val="22"/>
                <w:lang w:val="en-ZA"/>
              </w:rPr>
              <w:t xml:space="preserve"> [19.4]</w:t>
            </w:r>
          </w:p>
        </w:tc>
        <w:tc>
          <w:tcPr>
            <w:tcW w:w="1820" w:type="dxa"/>
          </w:tcPr>
          <w:p w14:paraId="6CCFCE30" w14:textId="77777777" w:rsidR="002F1D4E" w:rsidRPr="00495671" w:rsidRDefault="002F1D4E" w:rsidP="00D31D14">
            <w:pPr>
              <w:spacing w:after="0" w:line="240" w:lineRule="auto"/>
              <w:jc w:val="center"/>
              <w:rPr>
                <w:rFonts w:cs="Times New Roman"/>
                <w:sz w:val="22"/>
                <w:lang w:val="en-ZA"/>
              </w:rPr>
            </w:pPr>
            <w:r w:rsidRPr="00495671">
              <w:rPr>
                <w:rFonts w:cs="Times New Roman"/>
                <w:sz w:val="22"/>
                <w:lang w:val="en-ZA"/>
              </w:rPr>
              <w:t xml:space="preserve">30.4 </w:t>
            </w:r>
          </w:p>
          <w:p w14:paraId="7B25E984" w14:textId="77777777" w:rsidR="002F1D4E" w:rsidRPr="00495671" w:rsidRDefault="002F1D4E" w:rsidP="00D31D14">
            <w:pPr>
              <w:spacing w:after="0" w:line="240" w:lineRule="auto"/>
              <w:jc w:val="center"/>
              <w:rPr>
                <w:rFonts w:cs="Times New Roman"/>
                <w:sz w:val="22"/>
              </w:rPr>
            </w:pPr>
            <w:r w:rsidRPr="00495671">
              <w:rPr>
                <w:rFonts w:cs="Times New Roman"/>
                <w:sz w:val="22"/>
                <w:lang w:val="en-ZA"/>
              </w:rPr>
              <w:t>[32.3]</w:t>
            </w:r>
          </w:p>
        </w:tc>
        <w:tc>
          <w:tcPr>
            <w:tcW w:w="1685" w:type="dxa"/>
          </w:tcPr>
          <w:p w14:paraId="787C6450" w14:textId="77777777" w:rsidR="002F1D4E" w:rsidRPr="00495671" w:rsidRDefault="002F1D4E" w:rsidP="00D31D14">
            <w:pPr>
              <w:spacing w:after="0" w:line="240" w:lineRule="auto"/>
              <w:jc w:val="center"/>
              <w:rPr>
                <w:rFonts w:cs="Times New Roman"/>
                <w:sz w:val="22"/>
                <w:lang w:val="en-ZA"/>
              </w:rPr>
            </w:pPr>
            <w:r w:rsidRPr="00495671">
              <w:rPr>
                <w:rFonts w:cs="Times New Roman"/>
                <w:sz w:val="22"/>
                <w:lang w:val="en-ZA"/>
              </w:rPr>
              <w:t xml:space="preserve">34.8 </w:t>
            </w:r>
          </w:p>
          <w:p w14:paraId="5721388A" w14:textId="77777777" w:rsidR="002F1D4E" w:rsidRPr="00495671" w:rsidRDefault="002F1D4E" w:rsidP="00D31D14">
            <w:pPr>
              <w:spacing w:after="0" w:line="240" w:lineRule="auto"/>
              <w:jc w:val="center"/>
              <w:rPr>
                <w:rFonts w:cs="Times New Roman"/>
                <w:sz w:val="22"/>
              </w:rPr>
            </w:pPr>
            <w:r w:rsidRPr="00495671">
              <w:rPr>
                <w:rFonts w:cs="Times New Roman"/>
                <w:sz w:val="22"/>
              </w:rPr>
              <w:t>[37.0]</w:t>
            </w:r>
          </w:p>
        </w:tc>
      </w:tr>
    </w:tbl>
    <w:p w14:paraId="2D1754AB" w14:textId="425FFC8E" w:rsidR="00495671" w:rsidRDefault="00495671" w:rsidP="00495671">
      <w:pPr>
        <w:spacing w:before="240" w:after="0" w:line="240" w:lineRule="auto"/>
        <w:rPr>
          <w:rFonts w:cs="Times New Roman"/>
          <w:sz w:val="20"/>
          <w:szCs w:val="20"/>
        </w:rPr>
      </w:pPr>
      <w:r w:rsidRPr="00A967D7">
        <w:rPr>
          <w:rFonts w:cs="Times New Roman"/>
          <w:sz w:val="20"/>
          <w:szCs w:val="20"/>
        </w:rPr>
        <w:t xml:space="preserve">Values are the mean ± 1 SD of </w:t>
      </w:r>
      <w:r>
        <w:rPr>
          <w:rFonts w:cs="Times New Roman"/>
          <w:sz w:val="20"/>
          <w:szCs w:val="20"/>
        </w:rPr>
        <w:t>four</w:t>
      </w:r>
      <w:r w:rsidRPr="00A967D7">
        <w:rPr>
          <w:rFonts w:cs="Times New Roman"/>
          <w:sz w:val="20"/>
          <w:szCs w:val="20"/>
        </w:rPr>
        <w:t xml:space="preserve"> independent samples analysed in </w:t>
      </w:r>
      <w:r>
        <w:rPr>
          <w:rFonts w:cs="Times New Roman"/>
          <w:sz w:val="20"/>
          <w:szCs w:val="20"/>
        </w:rPr>
        <w:t>duplicate</w:t>
      </w:r>
      <w:r w:rsidRPr="00A967D7">
        <w:rPr>
          <w:rFonts w:cs="Times New Roman"/>
          <w:sz w:val="20"/>
          <w:szCs w:val="20"/>
        </w:rPr>
        <w:t xml:space="preserve"> (n=</w:t>
      </w:r>
      <w:r>
        <w:rPr>
          <w:rFonts w:cs="Times New Roman"/>
          <w:sz w:val="20"/>
          <w:szCs w:val="20"/>
        </w:rPr>
        <w:t>8</w:t>
      </w:r>
      <w:r w:rsidRPr="00A967D7">
        <w:rPr>
          <w:rFonts w:cs="Times New Roman"/>
          <w:sz w:val="20"/>
          <w:szCs w:val="20"/>
        </w:rPr>
        <w:t>),</w:t>
      </w:r>
      <w:r>
        <w:rPr>
          <w:rFonts w:cs="Times New Roman"/>
          <w:sz w:val="20"/>
          <w:szCs w:val="20"/>
        </w:rPr>
        <w:t xml:space="preserve"> papaya </w:t>
      </w:r>
      <w:r w:rsidRPr="00A967D7">
        <w:rPr>
          <w:rFonts w:cs="Times New Roman"/>
          <w:sz w:val="20"/>
          <w:szCs w:val="20"/>
        </w:rPr>
        <w:t>values are the mean ± 1 SD of</w:t>
      </w:r>
      <w:r>
        <w:rPr>
          <w:rFonts w:cs="Times New Roman"/>
          <w:sz w:val="20"/>
          <w:szCs w:val="20"/>
        </w:rPr>
        <w:t xml:space="preserve"> </w:t>
      </w:r>
      <w:r w:rsidRPr="00A967D7">
        <w:rPr>
          <w:rFonts w:cs="Times New Roman"/>
          <w:sz w:val="20"/>
          <w:szCs w:val="20"/>
        </w:rPr>
        <w:t>t</w:t>
      </w:r>
      <w:r>
        <w:rPr>
          <w:rFonts w:cs="Times New Roman"/>
          <w:sz w:val="20"/>
          <w:szCs w:val="20"/>
        </w:rPr>
        <w:t>hree</w:t>
      </w:r>
      <w:r w:rsidRPr="00A967D7">
        <w:rPr>
          <w:rFonts w:cs="Times New Roman"/>
          <w:sz w:val="20"/>
          <w:szCs w:val="20"/>
        </w:rPr>
        <w:t xml:space="preserve"> independent samples analysed in </w:t>
      </w:r>
      <w:r>
        <w:rPr>
          <w:rFonts w:cs="Times New Roman"/>
          <w:sz w:val="20"/>
          <w:szCs w:val="20"/>
        </w:rPr>
        <w:t>duplicate</w:t>
      </w:r>
      <w:r w:rsidRPr="00A967D7">
        <w:rPr>
          <w:rFonts w:cs="Times New Roman"/>
          <w:sz w:val="20"/>
          <w:szCs w:val="20"/>
        </w:rPr>
        <w:t xml:space="preserve"> (n=</w:t>
      </w:r>
      <w:r>
        <w:rPr>
          <w:rFonts w:cs="Times New Roman"/>
          <w:sz w:val="20"/>
          <w:szCs w:val="20"/>
        </w:rPr>
        <w:t>6</w:t>
      </w:r>
      <w:r w:rsidRPr="00A967D7">
        <w:rPr>
          <w:rFonts w:cs="Times New Roman"/>
          <w:sz w:val="20"/>
          <w:szCs w:val="20"/>
        </w:rPr>
        <w:t>)</w:t>
      </w:r>
      <w:r>
        <w:rPr>
          <w:rFonts w:cs="Times New Roman"/>
          <w:sz w:val="20"/>
          <w:szCs w:val="20"/>
        </w:rPr>
        <w:t xml:space="preserve">, </w:t>
      </w:r>
      <w:r w:rsidRPr="00A967D7">
        <w:rPr>
          <w:rFonts w:cs="Times New Roman"/>
          <w:sz w:val="20"/>
          <w:szCs w:val="20"/>
        </w:rPr>
        <w:t>Means with different superscripts letters in a column differ significantly (</w:t>
      </w:r>
      <w:r w:rsidRPr="003F4880">
        <w:rPr>
          <w:rFonts w:cs="Times New Roman"/>
          <w:i/>
          <w:iCs/>
          <w:sz w:val="20"/>
          <w:szCs w:val="20"/>
        </w:rPr>
        <w:t>p</w:t>
      </w:r>
      <w:r w:rsidR="00AE1C6D">
        <w:rPr>
          <w:rFonts w:cs="Times New Roman"/>
          <w:sz w:val="20"/>
          <w:szCs w:val="20"/>
        </w:rPr>
        <w:t>&lt;</w:t>
      </w:r>
      <w:r w:rsidRPr="00A967D7">
        <w:rPr>
          <w:rFonts w:cs="Times New Roman"/>
          <w:sz w:val="20"/>
          <w:szCs w:val="20"/>
        </w:rPr>
        <w:t>0.05)</w:t>
      </w:r>
      <w:r>
        <w:rPr>
          <w:rFonts w:cs="Times New Roman"/>
          <w:sz w:val="20"/>
          <w:szCs w:val="20"/>
        </w:rPr>
        <w:t xml:space="preserve">, </w:t>
      </w:r>
      <w:r w:rsidRPr="00E13C93">
        <w:rPr>
          <w:rFonts w:cs="Times New Roman"/>
          <w:sz w:val="20"/>
          <w:szCs w:val="20"/>
          <w:vertAlign w:val="superscript"/>
        </w:rPr>
        <w:t>£</w:t>
      </w:r>
      <w:r>
        <w:rPr>
          <w:rFonts w:cs="Times New Roman"/>
          <w:sz w:val="20"/>
          <w:szCs w:val="20"/>
        </w:rPr>
        <w:t>Not applicable</w:t>
      </w:r>
    </w:p>
    <w:p w14:paraId="7317F1F8" w14:textId="77777777" w:rsidR="00495671" w:rsidRDefault="00495671" w:rsidP="006A6E94">
      <w:pPr>
        <w:spacing w:after="0" w:line="240" w:lineRule="auto"/>
        <w:rPr>
          <w:rFonts w:cs="Times New Roman"/>
          <w:sz w:val="20"/>
          <w:szCs w:val="20"/>
        </w:rPr>
      </w:pPr>
      <w:r w:rsidRPr="002A5730">
        <w:rPr>
          <w:rFonts w:cs="Times New Roman"/>
          <w:sz w:val="20"/>
          <w:szCs w:val="20"/>
          <w:vertAlign w:val="superscript"/>
        </w:rPr>
        <w:t>^</w:t>
      </w:r>
      <w:r w:rsidRPr="002A5730">
        <w:rPr>
          <w:rFonts w:cs="Times New Roman"/>
          <w:sz w:val="20"/>
          <w:szCs w:val="20"/>
        </w:rPr>
        <w:t>Carrot</w:t>
      </w:r>
      <w:r>
        <w:rPr>
          <w:rFonts w:cs="Times New Roman"/>
          <w:sz w:val="20"/>
          <w:szCs w:val="20"/>
        </w:rPr>
        <w:t xml:space="preserve"> and mango powders from Institut de Technologie Alimentaire (ITA), </w:t>
      </w:r>
      <w:r w:rsidRPr="002A5730">
        <w:rPr>
          <w:rFonts w:cs="Times New Roman"/>
          <w:sz w:val="20"/>
          <w:szCs w:val="20"/>
          <w:vertAlign w:val="superscript"/>
        </w:rPr>
        <w:t>*</w:t>
      </w:r>
      <w:r>
        <w:rPr>
          <w:rFonts w:cs="Times New Roman"/>
          <w:sz w:val="20"/>
          <w:szCs w:val="20"/>
        </w:rPr>
        <w:t>Baobab fruit pulp from Maria Distribution</w:t>
      </w:r>
    </w:p>
    <w:p w14:paraId="78AAACBA" w14:textId="77777777" w:rsidR="00495671" w:rsidRPr="00A967D7" w:rsidRDefault="00495671" w:rsidP="00495671">
      <w:pPr>
        <w:spacing w:after="0" w:line="240" w:lineRule="auto"/>
        <w:rPr>
          <w:rFonts w:cs="Times New Roman"/>
          <w:sz w:val="20"/>
          <w:szCs w:val="20"/>
        </w:rPr>
      </w:pPr>
      <w:r w:rsidRPr="00EB7A3F">
        <w:rPr>
          <w:rFonts w:cs="Times New Roman"/>
          <w:sz w:val="20"/>
          <w:szCs w:val="20"/>
          <w:vertAlign w:val="superscript"/>
        </w:rPr>
        <w:t>$</w:t>
      </w:r>
      <w:r>
        <w:rPr>
          <w:rFonts w:cs="Times New Roman"/>
          <w:sz w:val="20"/>
          <w:szCs w:val="20"/>
        </w:rPr>
        <w:t xml:space="preserve">Values in brackets are calculated mineral </w:t>
      </w:r>
      <w:r w:rsidRPr="00A967D7">
        <w:rPr>
          <w:rFonts w:cs="Times New Roman"/>
          <w:sz w:val="20"/>
          <w:szCs w:val="20"/>
        </w:rPr>
        <w:t xml:space="preserve">contents of the porridge </w:t>
      </w:r>
      <w:r>
        <w:rPr>
          <w:rFonts w:cs="Times New Roman"/>
          <w:sz w:val="20"/>
          <w:szCs w:val="20"/>
        </w:rPr>
        <w:t>formulations</w:t>
      </w:r>
      <w:r w:rsidRPr="00A967D7">
        <w:rPr>
          <w:rFonts w:cs="Times New Roman"/>
          <w:sz w:val="20"/>
          <w:szCs w:val="20"/>
        </w:rPr>
        <w:t xml:space="preserve"> </w:t>
      </w:r>
      <w:r>
        <w:rPr>
          <w:rFonts w:cs="Times New Roman"/>
          <w:sz w:val="20"/>
          <w:szCs w:val="20"/>
        </w:rPr>
        <w:t>from</w:t>
      </w:r>
      <w:r w:rsidRPr="00A967D7">
        <w:rPr>
          <w:rFonts w:cs="Times New Roman"/>
          <w:sz w:val="20"/>
          <w:szCs w:val="20"/>
        </w:rPr>
        <w:t xml:space="preserve"> each of the </w:t>
      </w:r>
      <w:r>
        <w:rPr>
          <w:rFonts w:cs="Times New Roman"/>
          <w:sz w:val="20"/>
          <w:szCs w:val="20"/>
        </w:rPr>
        <w:t xml:space="preserve">porridge </w:t>
      </w:r>
      <w:r w:rsidRPr="00A967D7">
        <w:rPr>
          <w:rFonts w:cs="Times New Roman"/>
          <w:sz w:val="20"/>
          <w:szCs w:val="20"/>
        </w:rPr>
        <w:t>ingredients</w:t>
      </w:r>
      <w:r>
        <w:rPr>
          <w:rFonts w:cs="Times New Roman"/>
          <w:sz w:val="20"/>
          <w:szCs w:val="20"/>
        </w:rPr>
        <w:t xml:space="preserve">, </w:t>
      </w:r>
    </w:p>
    <w:p w14:paraId="46B162AA" w14:textId="262FAD42" w:rsidR="00495671" w:rsidRDefault="00495671" w:rsidP="00495671">
      <w:pPr>
        <w:pStyle w:val="CommentText"/>
        <w:spacing w:after="0"/>
        <w:rPr>
          <w:rFonts w:cs="Times New Roman"/>
        </w:rPr>
      </w:pPr>
      <w:r w:rsidRPr="00A967D7">
        <w:rPr>
          <w:rFonts w:cs="Times New Roman"/>
          <w:vertAlign w:val="superscript"/>
        </w:rPr>
        <w:t>#</w:t>
      </w:r>
      <w:r w:rsidRPr="00A967D7">
        <w:rPr>
          <w:rFonts w:cs="Times New Roman"/>
        </w:rPr>
        <w:t xml:space="preserve">RNI for </w:t>
      </w:r>
      <w:r>
        <w:rPr>
          <w:rFonts w:cs="Times New Roman"/>
        </w:rPr>
        <w:t xml:space="preserve">school-age children and </w:t>
      </w:r>
      <w:r w:rsidRPr="00A967D7">
        <w:rPr>
          <w:rFonts w:cs="Times New Roman"/>
        </w:rPr>
        <w:t>women</w:t>
      </w:r>
      <w:r>
        <w:rPr>
          <w:rFonts w:cs="Times New Roman"/>
        </w:rPr>
        <w:t xml:space="preserve"> </w:t>
      </w:r>
      <w:r w:rsidRPr="00A967D7">
        <w:rPr>
          <w:rFonts w:cs="Times New Roman"/>
        </w:rPr>
        <w:t xml:space="preserve">consuming a plant-based diet with </w:t>
      </w:r>
      <w:r>
        <w:rPr>
          <w:rFonts w:cs="Times New Roman"/>
        </w:rPr>
        <w:t xml:space="preserve">the </w:t>
      </w:r>
      <w:r w:rsidRPr="00A967D7">
        <w:rPr>
          <w:rFonts w:cs="Times New Roman"/>
        </w:rPr>
        <w:t>lowest level of mineral bioavailability</w:t>
      </w:r>
      <w:r>
        <w:rPr>
          <w:rFonts w:cs="Times New Roman"/>
        </w:rPr>
        <w:t>,</w:t>
      </w:r>
      <w:r w:rsidRPr="00A967D7">
        <w:rPr>
          <w:rFonts w:cs="Times New Roman"/>
        </w:rPr>
        <w:t xml:space="preserve"> 5%</w:t>
      </w:r>
      <w:r>
        <w:rPr>
          <w:rFonts w:cs="Times New Roman"/>
        </w:rPr>
        <w:t xml:space="preserve"> for iron and</w:t>
      </w:r>
      <w:r w:rsidRPr="00A967D7">
        <w:rPr>
          <w:rFonts w:cs="Times New Roman"/>
        </w:rPr>
        <w:t xml:space="preserve"> 15% for zinc (WHO </w:t>
      </w:r>
      <w:r w:rsidR="00305B7C">
        <w:rPr>
          <w:rFonts w:cs="Times New Roman"/>
        </w:rPr>
        <w:t>&amp;</w:t>
      </w:r>
      <w:r w:rsidRPr="00A967D7">
        <w:rPr>
          <w:rFonts w:cs="Times New Roman"/>
        </w:rPr>
        <w:t xml:space="preserve"> FAO, 200</w:t>
      </w:r>
      <w:r>
        <w:rPr>
          <w:rFonts w:cs="Times New Roman"/>
        </w:rPr>
        <w:t>4</w:t>
      </w:r>
      <w:r w:rsidRPr="00A967D7">
        <w:rPr>
          <w:rFonts w:cs="Times New Roman"/>
        </w:rPr>
        <w:t>)</w:t>
      </w:r>
      <w:r>
        <w:rPr>
          <w:rFonts w:cs="Times New Roman"/>
        </w:rPr>
        <w:t xml:space="preserve">, </w:t>
      </w:r>
      <w:r w:rsidRPr="0015079F">
        <w:rPr>
          <w:rFonts w:cs="Times New Roman"/>
          <w:vertAlign w:val="superscript"/>
          <w:lang w:val="en-ZA"/>
        </w:rPr>
        <w:t>¥</w:t>
      </w:r>
      <w:r>
        <w:rPr>
          <w:rFonts w:cs="Times New Roman"/>
        </w:rPr>
        <w:t>V</w:t>
      </w:r>
      <w:r w:rsidRPr="00B232A3">
        <w:rPr>
          <w:rFonts w:cs="Times New Roman"/>
        </w:rPr>
        <w:t>alues in square brackets ar</w:t>
      </w:r>
      <w:r>
        <w:rPr>
          <w:rFonts w:cs="Times New Roman"/>
        </w:rPr>
        <w:t xml:space="preserve">e iron and zinc contributions to the RNI from calculated porridge iron and zinc contents, </w:t>
      </w:r>
      <w:r>
        <w:rPr>
          <w:rFonts w:cs="Times New Roman"/>
          <w:vertAlign w:val="superscript"/>
        </w:rPr>
        <w:t>1</w:t>
      </w:r>
      <w:r w:rsidR="008D4DD6">
        <w:rPr>
          <w:rFonts w:cs="Times New Roman"/>
        </w:rPr>
        <w:t>Raw p</w:t>
      </w:r>
      <w:r>
        <w:rPr>
          <w:rFonts w:cs="Times New Roman"/>
        </w:rPr>
        <w:t>earl millet</w:t>
      </w:r>
    </w:p>
    <w:p w14:paraId="1AD86B11" w14:textId="7B901DAD" w:rsidR="00495671" w:rsidRDefault="00495671">
      <w:pPr>
        <w:spacing w:after="160" w:line="259" w:lineRule="auto"/>
        <w:rPr>
          <w:rFonts w:cs="Times New Roman"/>
          <w:sz w:val="20"/>
          <w:szCs w:val="20"/>
        </w:rPr>
      </w:pPr>
      <w:r>
        <w:rPr>
          <w:rFonts w:cs="Times New Roman"/>
          <w:sz w:val="20"/>
          <w:szCs w:val="20"/>
        </w:rPr>
        <w:br w:type="page"/>
      </w:r>
    </w:p>
    <w:p w14:paraId="62CF6005" w14:textId="77777777" w:rsidR="00495671" w:rsidRDefault="00495671" w:rsidP="00495671">
      <w:pPr>
        <w:spacing w:after="160" w:line="240" w:lineRule="auto"/>
        <w:rPr>
          <w:rFonts w:cs="Times New Roman"/>
          <w:sz w:val="20"/>
          <w:szCs w:val="20"/>
        </w:rPr>
        <w:sectPr w:rsidR="00495671" w:rsidSect="00495671">
          <w:pgSz w:w="16839" w:h="11907" w:orient="landscape" w:code="9"/>
          <w:pgMar w:top="1440" w:right="1440" w:bottom="1440" w:left="1440" w:header="720" w:footer="720" w:gutter="0"/>
          <w:cols w:space="720"/>
          <w:docGrid w:linePitch="360"/>
        </w:sectPr>
      </w:pPr>
    </w:p>
    <w:p w14:paraId="148B08E2" w14:textId="3F815555" w:rsidR="00F656BB" w:rsidRDefault="00F656BB" w:rsidP="00941171">
      <w:r w:rsidDel="00924253">
        <w:t>As indicated, the iron contents of the extrusion-cooked pearl millet porridges were also calculated from the iron contents of each of the ingredients (values in brackets) (</w:t>
      </w:r>
      <w:r w:rsidRPr="006A6E94" w:rsidDel="00924253">
        <w:t>Table</w:t>
      </w:r>
      <w:r w:rsidDel="00924253">
        <w:t xml:space="preserve"> </w:t>
      </w:r>
      <w:r w:rsidR="006A6E94">
        <w:t>4.3.</w:t>
      </w:r>
      <w:r w:rsidDel="00924253">
        <w:t>2). This was done in order to estimate the true effect</w:t>
      </w:r>
      <w:r w:rsidR="008D4DD6">
        <w:t>s</w:t>
      </w:r>
      <w:r w:rsidDel="00924253">
        <w:t xml:space="preserve"> of th</w:t>
      </w:r>
      <w:r w:rsidR="008D4DD6">
        <w:t>e</w:t>
      </w:r>
      <w:r w:rsidDel="00924253">
        <w:t xml:space="preserve"> food-to-food fortification on the iron content</w:t>
      </w:r>
      <w:r w:rsidR="008D4DD6">
        <w:t>s</w:t>
      </w:r>
      <w:r w:rsidDel="00924253">
        <w:t xml:space="preserve"> of the pearl millet-based porridges. </w:t>
      </w:r>
      <w:r>
        <w:t xml:space="preserve">This revealed that the food-to-food fortification </w:t>
      </w:r>
      <w:r w:rsidR="00305B7C">
        <w:t>would</w:t>
      </w:r>
      <w:r>
        <w:t xml:space="preserve"> not substantially increase the iron contents of these porridges when compared to the pearl millet grain control. </w:t>
      </w:r>
      <w:r w:rsidR="008D4DD6">
        <w:t>With m</w:t>
      </w:r>
      <w:r>
        <w:t xml:space="preserve">oringa and hibiscus </w:t>
      </w:r>
      <w:r w:rsidR="008D4DD6">
        <w:t>this was</w:t>
      </w:r>
      <w:r>
        <w:t xml:space="preserve"> due to their low level of inclusion, 2.5 g and 5.0 g/100 g porridge, respectively.  With the micronutrient premix fortified-pearl millet-based porridge, the iron content (2.1 mg) of the premix was </w:t>
      </w:r>
      <w:r w:rsidR="009E7815">
        <w:t>likely</w:t>
      </w:r>
      <w:r>
        <w:t xml:space="preserve"> </w:t>
      </w:r>
      <w:r w:rsidR="008D4DD6">
        <w:t xml:space="preserve">too </w:t>
      </w:r>
      <w:r>
        <w:t xml:space="preserve">low to make </w:t>
      </w:r>
      <w:r w:rsidR="006A6E94">
        <w:t xml:space="preserve">a nutritionally </w:t>
      </w:r>
      <w:r w:rsidR="00754472">
        <w:t>meaningful</w:t>
      </w:r>
      <w:r w:rsidR="006A6E94">
        <w:t xml:space="preserve"> d</w:t>
      </w:r>
      <w:r>
        <w:t xml:space="preserve">ifference </w:t>
      </w:r>
      <w:r w:rsidR="008D4DD6">
        <w:t>to</w:t>
      </w:r>
      <w:r>
        <w:t xml:space="preserve"> the </w:t>
      </w:r>
      <w:r w:rsidR="008D4DD6">
        <w:t xml:space="preserve">porridge </w:t>
      </w:r>
      <w:r>
        <w:t xml:space="preserve">iron content. Also, the relatively higher carrot fortification levels (11.9–14.9 g/100 g) of the pearl millet-based porridges containing moringa and added iron, could, in part, have contributed to this effect. The carrot was much lower in iron (2.9 mg/100 g) compared to the </w:t>
      </w:r>
      <w:r w:rsidR="00754472">
        <w:t xml:space="preserve">pearl </w:t>
      </w:r>
      <w:r>
        <w:t xml:space="preserve">millet grain. Thus, a 100 g </w:t>
      </w:r>
      <w:r w:rsidR="00754472">
        <w:t xml:space="preserve">serving </w:t>
      </w:r>
      <w:r>
        <w:t>of th</w:t>
      </w:r>
      <w:r w:rsidR="006A6E94">
        <w:t>e</w:t>
      </w:r>
      <w:r>
        <w:t>s</w:t>
      </w:r>
      <w:r w:rsidR="006A6E94">
        <w:t>e</w:t>
      </w:r>
      <w:r>
        <w:t xml:space="preserve"> food-to-food fortified or with micronutrient premix fortified pearl millet-based porridges would not </w:t>
      </w:r>
      <w:r w:rsidR="00754472">
        <w:t>a</w:t>
      </w:r>
      <w:r>
        <w:t>ffect the percentage iron contribution to the RNIs</w:t>
      </w:r>
      <w:r w:rsidR="006A6E94">
        <w:t xml:space="preserve"> </w:t>
      </w:r>
      <w:r w:rsidR="00754472">
        <w:t xml:space="preserve">when </w:t>
      </w:r>
      <w:r w:rsidR="006A6E94">
        <w:t xml:space="preserve">compared to pearl millet </w:t>
      </w:r>
      <w:r w:rsidR="00754472">
        <w:t>alone</w:t>
      </w:r>
      <w:r w:rsidR="00A34C41">
        <w:t>.</w:t>
      </w:r>
    </w:p>
    <w:p w14:paraId="26DDC3D0" w14:textId="77777777" w:rsidR="00F656BB" w:rsidRDefault="00F656BB" w:rsidP="006A6E94">
      <w:pPr>
        <w:spacing w:after="0"/>
      </w:pPr>
    </w:p>
    <w:p w14:paraId="24ADCCF8" w14:textId="249B0F89" w:rsidR="00F656BB" w:rsidRDefault="00F656BB" w:rsidP="00941171">
      <w:r>
        <w:t xml:space="preserve">The pearl millet grain was highest in zinc (3.88 mg/100 g) compared to the other porridge ingredients (0.56–2.73 mg/100 g) </w:t>
      </w:r>
      <w:r w:rsidRPr="006A6E94">
        <w:t>(Table</w:t>
      </w:r>
      <w:r>
        <w:t xml:space="preserve"> </w:t>
      </w:r>
      <w:r w:rsidR="006A6E94">
        <w:t>4.3.</w:t>
      </w:r>
      <w:r>
        <w:t>2). Consequently, fortification with various combinations of the plant foodstuffs slightly but significantly decreased (</w:t>
      </w:r>
      <w:r w:rsidRPr="002B728D">
        <w:rPr>
          <w:i/>
          <w:iCs/>
        </w:rPr>
        <w:t>p</w:t>
      </w:r>
      <w:r w:rsidR="00F52B07">
        <w:rPr>
          <w:i/>
          <w:iCs/>
        </w:rPr>
        <w:t>&lt;</w:t>
      </w:r>
      <w:r>
        <w:t>0.05) the zinc contents of the pearl millet-based porridges, by approx</w:t>
      </w:r>
      <w:r w:rsidR="006A6E94">
        <w:t>imately</w:t>
      </w:r>
      <w:r>
        <w:t xml:space="preserve"> 12–22%. Hence, the pearl millet-based porridges’ percentage contribution of zinc to the RNI were slightly decreased from approx. 35% to 27–30% for school-age children and from 40% to 31–35% for women (19–50 years). However, fortification with carrot, papaya and baobab together with the micronutrient premix increased the zinc content by 53% and </w:t>
      </w:r>
      <w:r w:rsidR="00754472">
        <w:t xml:space="preserve">substantially </w:t>
      </w:r>
      <w:r>
        <w:t>increased the fortified porridge’s zinc contribution to the RNI to 53% and 61% for school children and women (19–50 years), respectively</w:t>
      </w:r>
      <w:r w:rsidR="006A6E94">
        <w:t xml:space="preserve"> compared to pearl millet</w:t>
      </w:r>
      <w:r>
        <w:t xml:space="preserve">. The zinc (1.65 mg) </w:t>
      </w:r>
      <w:r w:rsidR="00754472">
        <w:t>from</w:t>
      </w:r>
      <w:r>
        <w:t xml:space="preserve"> the micronutrient premix was responsible</w:t>
      </w:r>
      <w:r w:rsidR="00754472">
        <w:t xml:space="preserve"> for this</w:t>
      </w:r>
      <w:r>
        <w:t>.</w:t>
      </w:r>
    </w:p>
    <w:p w14:paraId="3A9D07BB" w14:textId="77777777" w:rsidR="00F656BB" w:rsidRDefault="00F656BB" w:rsidP="006A6E94">
      <w:pPr>
        <w:spacing w:after="0"/>
      </w:pPr>
    </w:p>
    <w:p w14:paraId="353E6F45" w14:textId="3DA7CF18" w:rsidR="00F656BB" w:rsidRDefault="00F656BB" w:rsidP="00941171">
      <w:r>
        <w:t xml:space="preserve">All the plant food fortificants had substantially higher calcium and magnesium contents than the pearl millet </w:t>
      </w:r>
      <w:r w:rsidR="006A6E94">
        <w:t xml:space="preserve">grain </w:t>
      </w:r>
      <w:r>
        <w:t>(</w:t>
      </w:r>
      <w:r w:rsidRPr="006A6E94">
        <w:t>Table</w:t>
      </w:r>
      <w:r>
        <w:t xml:space="preserve"> </w:t>
      </w:r>
      <w:r w:rsidR="006A6E94">
        <w:t>4.3.</w:t>
      </w:r>
      <w:r>
        <w:t xml:space="preserve">2). Moringa was highest in both calcium and magnesium, more than 150- and 5-fold higher, respectively compared to pearl millet. As a result, the extruded pearl millet-based porridge </w:t>
      </w:r>
      <w:r w:rsidR="006A6E94">
        <w:t>containing</w:t>
      </w:r>
      <w:r>
        <w:t xml:space="preserve"> moringa was highest in calcium, approx. 10-fold higher than pearl millet. Moringa fortification of wet-cooked pearl millet porridge also increased the calcium content even more</w:t>
      </w:r>
      <w:r w:rsidR="00AB101A">
        <w:t>,</w:t>
      </w:r>
      <w:r>
        <w:t xml:space="preserve"> by 27-fold compared to unfortified pearl millet porridge (</w:t>
      </w:r>
      <w:r w:rsidR="006A6E94">
        <w:t>C</w:t>
      </w:r>
      <w:r>
        <w:t xml:space="preserve">hapter </w:t>
      </w:r>
      <w:r w:rsidR="00AB101A">
        <w:t>4.</w:t>
      </w:r>
      <w:r>
        <w:t xml:space="preserve">1). The higher moringa fortification level at 13.0 g/100 g porridge compared to 2.5 g/100 g porridge in this extrusion-cooked porridge was, in part, responsible. </w:t>
      </w:r>
      <w:r w:rsidR="006A6E94">
        <w:t>Although, moringa was highest in magnesium, followed by hibiscus, f</w:t>
      </w:r>
      <w:r>
        <w:t>ortification with baobab plus hibiscus increased the magnesium content the most, by 44% compared to</w:t>
      </w:r>
      <w:r w:rsidR="006A6E94">
        <w:t xml:space="preserve"> </w:t>
      </w:r>
      <w:r>
        <w:t xml:space="preserve">pearl millet. This was due to its relatively higher fortification level (5.0 g/100 g porridge) compared to moringa (2.5 g/100 g porridge). Fortification with various combinations of the other plant food fortificants also increased the calcium and magnesium contents, by more than 6-fold and 23%, respectively compared to </w:t>
      </w:r>
      <w:r w:rsidR="006A6E94">
        <w:t xml:space="preserve">the </w:t>
      </w:r>
      <w:r>
        <w:t xml:space="preserve">pearl millet. </w:t>
      </w:r>
    </w:p>
    <w:p w14:paraId="373F77D8" w14:textId="77777777" w:rsidR="00F656BB" w:rsidRDefault="00F656BB" w:rsidP="00F656BB">
      <w:pPr>
        <w:spacing w:after="0"/>
        <w:rPr>
          <w:rFonts w:cs="Times New Roman"/>
          <w:b/>
          <w:bCs/>
          <w:szCs w:val="24"/>
        </w:rPr>
      </w:pPr>
    </w:p>
    <w:p w14:paraId="18E561C7" w14:textId="77777777" w:rsidR="00F656BB" w:rsidRDefault="00F656BB" w:rsidP="00941171">
      <w:pPr>
        <w:pStyle w:val="Heading4"/>
      </w:pPr>
      <w:bookmarkStart w:id="139" w:name="_Toc65253613"/>
      <w:r>
        <w:t>4.3.4.2 Beta-carotene content</w:t>
      </w:r>
      <w:bookmarkEnd w:id="139"/>
    </w:p>
    <w:p w14:paraId="32E4CDA2" w14:textId="3D360541" w:rsidR="00F656BB" w:rsidRDefault="00F656BB" w:rsidP="00941171">
      <w:r>
        <w:t>Carrot powder was highest in β-carotene, followed by mango powder (</w:t>
      </w:r>
      <w:r w:rsidRPr="006A6E94">
        <w:t>Table</w:t>
      </w:r>
      <w:r>
        <w:t xml:space="preserve"> </w:t>
      </w:r>
      <w:r w:rsidR="006A6E94">
        <w:t>4.3.</w:t>
      </w:r>
      <w:r>
        <w:t xml:space="preserve">3). They were more than 86- and 20-fold higher in β-carotene compared to wholegrain maize. </w:t>
      </w:r>
      <w:r w:rsidR="00AB101A">
        <w:t>These very</w:t>
      </w:r>
      <w:r>
        <w:t xml:space="preserve"> high </w:t>
      </w:r>
      <w:r w:rsidR="00AB101A">
        <w:t>contents</w:t>
      </w:r>
      <w:r>
        <w:t xml:space="preserve"> of β-carotene in carrot and mango agree with literature values: carrot 35369–70751 µg/100 g, dry basis and mango (3869–12674 µg/100 g, dry basis) (Perkins-Veazie, 2007; USDA, 2019). Thus, carrot plus mango fortification of maize porridge at the 15:100 ratio would greatly</w:t>
      </w:r>
      <w:r w:rsidR="006A6E94">
        <w:t xml:space="preserve"> increase </w:t>
      </w:r>
      <w:r>
        <w:t xml:space="preserve">the level of β-carotene, by approximately 8-fold compared to unfortified maize. </w:t>
      </w:r>
      <w:r w:rsidR="00AB101A">
        <w:t>However,</w:t>
      </w:r>
      <w:r w:rsidR="006A6E94">
        <w:t xml:space="preserve"> </w:t>
      </w:r>
      <w:r w:rsidR="007B1BB8">
        <w:t xml:space="preserve">baobab </w:t>
      </w:r>
      <w:r w:rsidR="006A6E94">
        <w:t xml:space="preserve">fortification of the </w:t>
      </w:r>
      <w:r>
        <w:t xml:space="preserve">carrot plus mango fortified-maize porridge would slightly decrease the β-carotene content, by 16% due to baobab’s low β-carotene content. Notwithstanding this, the porridge </w:t>
      </w:r>
      <w:r w:rsidR="006A6E94">
        <w:t>formulation</w:t>
      </w:r>
      <w:r>
        <w:t xml:space="preserve"> would still be about 7-fold higher in β-carotene compared to unfortified maize. </w:t>
      </w:r>
    </w:p>
    <w:p w14:paraId="0EB19E7D" w14:textId="77777777" w:rsidR="00F656BB" w:rsidRDefault="00F656BB" w:rsidP="006A6E94">
      <w:pPr>
        <w:spacing w:after="0"/>
      </w:pPr>
    </w:p>
    <w:p w14:paraId="4F19E4B2" w14:textId="53CF2819" w:rsidR="00F656BB" w:rsidRDefault="00F656BB" w:rsidP="00941171">
      <w:r>
        <w:t>Apart from β-carotene being an enhancer of mineral bioavailability (</w:t>
      </w:r>
      <w:bookmarkStart w:id="140" w:name="_Hlk55839729"/>
      <w:r w:rsidR="00137973" w:rsidRPr="000D7DDF">
        <w:rPr>
          <w:rFonts w:cs="Times New Roman"/>
          <w:szCs w:val="24"/>
          <w:shd w:val="clear" w:color="auto" w:fill="FFFFFF"/>
        </w:rPr>
        <w:t>Garcı́a</w:t>
      </w:r>
      <w:bookmarkEnd w:id="140"/>
      <w:r>
        <w:rPr>
          <w:lang w:val="en-ZA"/>
        </w:rPr>
        <w:t>-Casal et al., 1998</w:t>
      </w:r>
      <w:r>
        <w:t xml:space="preserve">), it is the plant carotenoid type </w:t>
      </w:r>
      <w:r w:rsidR="00C213B4">
        <w:t>w</w:t>
      </w:r>
      <w:r w:rsidR="008E69F5">
        <w:t>ith</w:t>
      </w:r>
      <w:r>
        <w:t xml:space="preserve"> the highest vitamin A activity (</w:t>
      </w:r>
      <w:r w:rsidR="008E69F5">
        <w:t>WHO &amp; FAO, 2006</w:t>
      </w:r>
      <w:r>
        <w:t xml:space="preserve">). A conversion factor of a ratio 1:12 has been recommended for estimating retinol equivalents (vitamin A) from β-carotene. </w:t>
      </w:r>
      <w:r w:rsidR="00C213B4">
        <w:t>Hence, a</w:t>
      </w:r>
      <w:r>
        <w:t xml:space="preserve"> 100 g (dry basis) serving of </w:t>
      </w:r>
      <w:r w:rsidR="00BC7787">
        <w:t>maize porridges fortified with carrot plus mango or together with baobab</w:t>
      </w:r>
      <w:r>
        <w:t xml:space="preserve"> would increase the percentage contribution of vitamin A to the estimated mean requirement (EMR) from approx. 23% to 160–177% for school-age children and from 21% to 148–164% for women (19–50 years) </w:t>
      </w:r>
      <w:r w:rsidRPr="006A6E94">
        <w:t>(Table</w:t>
      </w:r>
      <w:r>
        <w:t xml:space="preserve"> </w:t>
      </w:r>
      <w:r w:rsidR="006A6E94">
        <w:t>4.3.</w:t>
      </w:r>
      <w:r>
        <w:t xml:space="preserve">3). The WHO (2020) reports that </w:t>
      </w:r>
      <w:r w:rsidR="006A6E94">
        <w:t>v</w:t>
      </w:r>
      <w:r>
        <w:t xml:space="preserve">itamin A deficiency (VAD) remains a </w:t>
      </w:r>
      <w:r w:rsidR="00C213B4">
        <w:t xml:space="preserve">major </w:t>
      </w:r>
      <w:r>
        <w:t xml:space="preserve">public health challenge, especially in Africa and South-East Asia, </w:t>
      </w:r>
      <w:r w:rsidR="00C213B4">
        <w:t xml:space="preserve">notably </w:t>
      </w:r>
      <w:r>
        <w:t>affecting children and pregnant women in low-income countries. It is therefore, recommended that short-term interventions such as vitamin A supplementation be complemented with sustainable solutions, which includes consumption of vitamin-A rich foods to successfully combat VAD (WHO, 2020). Thus, food-based approach such as food-to-food fortification of staple cereal porridges with plant food sources rich in β-carotene such as carrot and mango, could contribute to existing strategies aim</w:t>
      </w:r>
      <w:r w:rsidR="006A6E94">
        <w:t>ed</w:t>
      </w:r>
      <w:r>
        <w:t xml:space="preserve"> at alleviating vitamin A deficiency. </w:t>
      </w:r>
    </w:p>
    <w:p w14:paraId="750738D7" w14:textId="77777777" w:rsidR="00A34C41" w:rsidRDefault="00A34C41" w:rsidP="00461E25">
      <w:pPr>
        <w:pStyle w:val="CommentText"/>
        <w:spacing w:after="0" w:line="360" w:lineRule="auto"/>
        <w:rPr>
          <w:rFonts w:cs="Times New Roman"/>
          <w:sz w:val="24"/>
          <w:szCs w:val="24"/>
          <w:lang w:val="en-ZA"/>
        </w:rPr>
      </w:pPr>
    </w:p>
    <w:p w14:paraId="2F675EDA" w14:textId="22DB4FA3" w:rsidR="00F656BB" w:rsidRPr="00F708F2" w:rsidRDefault="00F656BB" w:rsidP="006A6E94">
      <w:pPr>
        <w:pStyle w:val="MyTables"/>
        <w:spacing w:line="240" w:lineRule="auto"/>
      </w:pPr>
      <w:bookmarkStart w:id="141" w:name="_Toc65253641"/>
      <w:r w:rsidRPr="00A34C41">
        <w:rPr>
          <w:b/>
          <w:bCs/>
          <w:lang w:val="en-ZA"/>
        </w:rPr>
        <w:t xml:space="preserve">Table </w:t>
      </w:r>
      <w:r w:rsidR="00A34C41" w:rsidRPr="00A34C41">
        <w:rPr>
          <w:b/>
          <w:bCs/>
          <w:lang w:val="en-ZA"/>
        </w:rPr>
        <w:t>4.3.</w:t>
      </w:r>
      <w:r w:rsidRPr="00A34C41">
        <w:rPr>
          <w:b/>
          <w:bCs/>
          <w:lang w:val="en-ZA"/>
        </w:rPr>
        <w:t>3:</w:t>
      </w:r>
      <w:r>
        <w:rPr>
          <w:lang w:val="en-ZA"/>
        </w:rPr>
        <w:t xml:space="preserve"> Beta-carotene content (µg β-carotene equivalent/100 g, dry basis) of </w:t>
      </w:r>
      <w:r>
        <w:t xml:space="preserve">wet cooked wholegrain maize-based porridge formulations and their ingredients and </w:t>
      </w:r>
      <w:r>
        <w:rPr>
          <w:lang w:val="en-ZA"/>
        </w:rPr>
        <w:t>the retinol equivalent (µg RE/100 g) of the porridges’ β-carotene contents</w:t>
      </w:r>
      <w:r>
        <w:t xml:space="preserve"> with</w:t>
      </w:r>
      <w:r w:rsidRPr="00A967D7">
        <w:t xml:space="preserve"> their </w:t>
      </w:r>
      <w:r>
        <w:rPr>
          <w:lang w:val="en-ZA"/>
        </w:rPr>
        <w:t>estimated percentage contribution to the daily estimated mean requirement (EMR)</w:t>
      </w:r>
      <w:r w:rsidRPr="00FA0738">
        <w:rPr>
          <w:vertAlign w:val="superscript"/>
          <w:lang w:val="en-ZA"/>
        </w:rPr>
        <w:t>#</w:t>
      </w:r>
      <w:r>
        <w:rPr>
          <w:lang w:val="en-ZA"/>
        </w:rPr>
        <w:t xml:space="preserve"> for vitamin A for school-age children (7–9 years) and women of 19–50 years</w:t>
      </w:r>
      <w:bookmarkEnd w:id="141"/>
    </w:p>
    <w:tbl>
      <w:tblPr>
        <w:tblW w:w="9322" w:type="dxa"/>
        <w:tblInd w:w="-108" w:type="dxa"/>
        <w:tblBorders>
          <w:top w:val="single" w:sz="4" w:space="0" w:color="auto"/>
          <w:bottom w:val="single" w:sz="4" w:space="0" w:color="auto"/>
        </w:tblBorders>
        <w:tblLook w:val="04A0" w:firstRow="1" w:lastRow="0" w:firstColumn="1" w:lastColumn="0" w:noHBand="0" w:noVBand="1"/>
      </w:tblPr>
      <w:tblGrid>
        <w:gridCol w:w="2885"/>
        <w:gridCol w:w="1481"/>
        <w:gridCol w:w="1482"/>
        <w:gridCol w:w="1773"/>
        <w:gridCol w:w="1701"/>
      </w:tblGrid>
      <w:tr w:rsidR="00F656BB" w:rsidRPr="00283B86" w14:paraId="7A2C37CC" w14:textId="77777777" w:rsidTr="00961673">
        <w:tc>
          <w:tcPr>
            <w:tcW w:w="2885" w:type="dxa"/>
            <w:tcBorders>
              <w:top w:val="single" w:sz="4" w:space="0" w:color="auto"/>
              <w:bottom w:val="single" w:sz="4" w:space="0" w:color="auto"/>
            </w:tcBorders>
          </w:tcPr>
          <w:p w14:paraId="2BAE9109" w14:textId="77777777" w:rsidR="00F656BB" w:rsidRPr="00283B86" w:rsidRDefault="00F656BB" w:rsidP="00283B86">
            <w:pPr>
              <w:spacing w:after="0" w:line="240" w:lineRule="auto"/>
              <w:jc w:val="left"/>
              <w:rPr>
                <w:rFonts w:cs="Times New Roman"/>
                <w:b/>
                <w:bCs/>
                <w:sz w:val="22"/>
                <w:lang w:val="en-ZA"/>
              </w:rPr>
            </w:pPr>
            <w:r w:rsidRPr="00283B86">
              <w:rPr>
                <w:rFonts w:cs="Times New Roman"/>
                <w:b/>
                <w:bCs/>
                <w:sz w:val="22"/>
                <w:lang w:val="en-ZA"/>
              </w:rPr>
              <w:t>Porridge ingredients</w:t>
            </w:r>
          </w:p>
        </w:tc>
        <w:tc>
          <w:tcPr>
            <w:tcW w:w="1481" w:type="dxa"/>
            <w:tcBorders>
              <w:top w:val="single" w:sz="4" w:space="0" w:color="auto"/>
              <w:bottom w:val="single" w:sz="4" w:space="0" w:color="auto"/>
            </w:tcBorders>
          </w:tcPr>
          <w:p w14:paraId="62FED6D1" w14:textId="77777777" w:rsidR="00F656BB" w:rsidRPr="00283B86" w:rsidRDefault="00F656BB" w:rsidP="00283B86">
            <w:pPr>
              <w:spacing w:after="0" w:line="240" w:lineRule="auto"/>
              <w:jc w:val="center"/>
              <w:rPr>
                <w:rFonts w:cs="Times New Roman"/>
                <w:b/>
                <w:bCs/>
                <w:sz w:val="22"/>
                <w:lang w:val="en-ZA"/>
              </w:rPr>
            </w:pPr>
            <w:r w:rsidRPr="00283B86">
              <w:rPr>
                <w:rFonts w:cs="Times New Roman"/>
                <w:b/>
                <w:bCs/>
                <w:sz w:val="22"/>
                <w:lang w:val="en-ZA"/>
              </w:rPr>
              <w:t>β-carotene equivalent</w:t>
            </w:r>
          </w:p>
        </w:tc>
        <w:tc>
          <w:tcPr>
            <w:tcW w:w="1482" w:type="dxa"/>
            <w:tcBorders>
              <w:top w:val="single" w:sz="4" w:space="0" w:color="auto"/>
              <w:bottom w:val="single" w:sz="4" w:space="0" w:color="auto"/>
            </w:tcBorders>
          </w:tcPr>
          <w:p w14:paraId="6583F3E1" w14:textId="77777777" w:rsidR="00F656BB" w:rsidRPr="00283B86" w:rsidRDefault="00F656BB" w:rsidP="00283B86">
            <w:pPr>
              <w:spacing w:after="0" w:line="240" w:lineRule="auto"/>
              <w:jc w:val="center"/>
              <w:rPr>
                <w:rFonts w:cs="Times New Roman"/>
                <w:b/>
                <w:bCs/>
                <w:sz w:val="22"/>
                <w:lang w:val="en-ZA"/>
              </w:rPr>
            </w:pPr>
            <w:r w:rsidRPr="00283B86">
              <w:rPr>
                <w:rFonts w:cs="Times New Roman"/>
                <w:b/>
                <w:bCs/>
                <w:sz w:val="22"/>
                <w:lang w:val="en-ZA"/>
              </w:rPr>
              <w:t>µg Retinol equivalent (RE)</w:t>
            </w:r>
            <w:r w:rsidRPr="00283B86">
              <w:rPr>
                <w:rFonts w:cs="Times New Roman"/>
                <w:b/>
                <w:bCs/>
                <w:sz w:val="22"/>
                <w:vertAlign w:val="superscript"/>
                <w:lang w:val="en-ZA"/>
              </w:rPr>
              <w:t>$</w:t>
            </w:r>
          </w:p>
        </w:tc>
        <w:tc>
          <w:tcPr>
            <w:tcW w:w="1773" w:type="dxa"/>
            <w:tcBorders>
              <w:top w:val="single" w:sz="4" w:space="0" w:color="auto"/>
              <w:bottom w:val="single" w:sz="4" w:space="0" w:color="auto"/>
            </w:tcBorders>
          </w:tcPr>
          <w:p w14:paraId="122FE46B" w14:textId="77777777" w:rsidR="00F656BB" w:rsidRPr="00283B86" w:rsidRDefault="00F656BB" w:rsidP="00283B86">
            <w:pPr>
              <w:spacing w:after="0" w:line="240" w:lineRule="auto"/>
              <w:jc w:val="center"/>
              <w:rPr>
                <w:rFonts w:cs="Times New Roman"/>
                <w:b/>
                <w:bCs/>
                <w:sz w:val="22"/>
                <w:lang w:val="en-ZA"/>
              </w:rPr>
            </w:pPr>
            <w:r w:rsidRPr="00283B86">
              <w:rPr>
                <w:rFonts w:cs="Times New Roman"/>
                <w:b/>
                <w:bCs/>
                <w:sz w:val="22"/>
                <w:lang w:val="en-ZA"/>
              </w:rPr>
              <w:t>% contribution to the EMR for children (250 µg/day)</w:t>
            </w:r>
          </w:p>
        </w:tc>
        <w:tc>
          <w:tcPr>
            <w:tcW w:w="1701" w:type="dxa"/>
            <w:tcBorders>
              <w:top w:val="single" w:sz="4" w:space="0" w:color="auto"/>
              <w:bottom w:val="single" w:sz="4" w:space="0" w:color="auto"/>
            </w:tcBorders>
          </w:tcPr>
          <w:p w14:paraId="525AA301" w14:textId="77777777" w:rsidR="00F656BB" w:rsidRPr="00283B86" w:rsidRDefault="00F656BB" w:rsidP="00283B86">
            <w:pPr>
              <w:spacing w:after="0" w:line="240" w:lineRule="auto"/>
              <w:jc w:val="center"/>
              <w:rPr>
                <w:rFonts w:cs="Times New Roman"/>
                <w:b/>
                <w:bCs/>
                <w:sz w:val="22"/>
                <w:lang w:val="en-ZA"/>
              </w:rPr>
            </w:pPr>
            <w:r w:rsidRPr="00283B86">
              <w:rPr>
                <w:rFonts w:cs="Times New Roman"/>
                <w:b/>
                <w:bCs/>
                <w:sz w:val="22"/>
                <w:lang w:val="en-ZA"/>
              </w:rPr>
              <w:t>% contribution to the EMR for women (270 µg/day)</w:t>
            </w:r>
          </w:p>
        </w:tc>
      </w:tr>
      <w:tr w:rsidR="00F656BB" w:rsidRPr="00283B86" w14:paraId="0AEA5C4D" w14:textId="77777777" w:rsidTr="00961673">
        <w:tc>
          <w:tcPr>
            <w:tcW w:w="2885" w:type="dxa"/>
            <w:tcBorders>
              <w:top w:val="single" w:sz="4" w:space="0" w:color="auto"/>
            </w:tcBorders>
          </w:tcPr>
          <w:p w14:paraId="0D659688" w14:textId="77777777" w:rsidR="00F656BB" w:rsidRPr="00283B86" w:rsidRDefault="00F656BB" w:rsidP="00283B86">
            <w:pPr>
              <w:spacing w:after="0" w:line="240" w:lineRule="auto"/>
              <w:jc w:val="left"/>
              <w:rPr>
                <w:rFonts w:cs="Times New Roman"/>
                <w:sz w:val="22"/>
                <w:lang w:val="en-ZA"/>
              </w:rPr>
            </w:pPr>
            <w:r w:rsidRPr="00283B86">
              <w:rPr>
                <w:rFonts w:cs="Times New Roman"/>
                <w:sz w:val="22"/>
                <w:lang w:val="en-ZA"/>
              </w:rPr>
              <w:t>Wholegrain maize flour</w:t>
            </w:r>
          </w:p>
        </w:tc>
        <w:tc>
          <w:tcPr>
            <w:tcW w:w="1481" w:type="dxa"/>
            <w:tcBorders>
              <w:top w:val="single" w:sz="4" w:space="0" w:color="auto"/>
            </w:tcBorders>
          </w:tcPr>
          <w:p w14:paraId="0D4C97FB"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680</w:t>
            </w:r>
            <w:r w:rsidRPr="00283B86">
              <w:rPr>
                <w:rFonts w:cs="Times New Roman"/>
                <w:sz w:val="22"/>
                <w:vertAlign w:val="superscript"/>
                <w:lang w:val="en-ZA"/>
              </w:rPr>
              <w:t>a</w:t>
            </w:r>
            <w:r w:rsidRPr="00283B86">
              <w:rPr>
                <w:rFonts w:cs="Times New Roman"/>
                <w:sz w:val="22"/>
                <w:lang w:val="en-ZA"/>
              </w:rPr>
              <w:t xml:space="preserve"> ± 220</w:t>
            </w:r>
          </w:p>
        </w:tc>
        <w:tc>
          <w:tcPr>
            <w:tcW w:w="1482" w:type="dxa"/>
            <w:tcBorders>
              <w:top w:val="single" w:sz="4" w:space="0" w:color="auto"/>
            </w:tcBorders>
          </w:tcPr>
          <w:p w14:paraId="4E6F30FB"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56.7</w:t>
            </w:r>
          </w:p>
        </w:tc>
        <w:tc>
          <w:tcPr>
            <w:tcW w:w="1773" w:type="dxa"/>
            <w:tcBorders>
              <w:top w:val="single" w:sz="4" w:space="0" w:color="auto"/>
            </w:tcBorders>
          </w:tcPr>
          <w:p w14:paraId="1AB6DAE3"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22.7</w:t>
            </w:r>
          </w:p>
        </w:tc>
        <w:tc>
          <w:tcPr>
            <w:tcW w:w="1701" w:type="dxa"/>
            <w:tcBorders>
              <w:top w:val="single" w:sz="4" w:space="0" w:color="auto"/>
            </w:tcBorders>
          </w:tcPr>
          <w:p w14:paraId="73F7F7CD"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21.0</w:t>
            </w:r>
          </w:p>
        </w:tc>
      </w:tr>
      <w:tr w:rsidR="00F656BB" w:rsidRPr="00283B86" w14:paraId="76B1F6DA" w14:textId="77777777" w:rsidTr="00961673">
        <w:tc>
          <w:tcPr>
            <w:tcW w:w="2885" w:type="dxa"/>
          </w:tcPr>
          <w:p w14:paraId="5BE3ADF1" w14:textId="77777777" w:rsidR="00F656BB" w:rsidRPr="00283B86" w:rsidRDefault="00F656BB" w:rsidP="00283B86">
            <w:pPr>
              <w:spacing w:after="0" w:line="240" w:lineRule="auto"/>
              <w:jc w:val="left"/>
              <w:rPr>
                <w:rFonts w:cs="Times New Roman"/>
                <w:sz w:val="22"/>
                <w:lang w:val="en-ZA"/>
              </w:rPr>
            </w:pPr>
            <w:r w:rsidRPr="00283B86">
              <w:rPr>
                <w:rFonts w:cs="Times New Roman"/>
                <w:sz w:val="22"/>
                <w:lang w:val="en-ZA"/>
              </w:rPr>
              <w:t>Baobab fruit pulp</w:t>
            </w:r>
            <w:r w:rsidRPr="00283B86">
              <w:rPr>
                <w:rFonts w:cs="Times New Roman"/>
                <w:sz w:val="22"/>
                <w:vertAlign w:val="superscript"/>
                <w:lang w:val="en-ZA"/>
              </w:rPr>
              <w:t>₳</w:t>
            </w:r>
          </w:p>
        </w:tc>
        <w:tc>
          <w:tcPr>
            <w:tcW w:w="1481" w:type="dxa"/>
          </w:tcPr>
          <w:p w14:paraId="4894EAB0"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780</w:t>
            </w:r>
            <w:r w:rsidRPr="00283B86">
              <w:rPr>
                <w:rFonts w:cs="Times New Roman"/>
                <w:sz w:val="22"/>
                <w:vertAlign w:val="superscript"/>
                <w:lang w:val="en-ZA"/>
              </w:rPr>
              <w:t>a</w:t>
            </w:r>
            <w:r w:rsidRPr="00283B86">
              <w:rPr>
                <w:rFonts w:cs="Times New Roman"/>
                <w:sz w:val="22"/>
                <w:lang w:val="en-ZA"/>
              </w:rPr>
              <w:t xml:space="preserve"> ± 110</w:t>
            </w:r>
          </w:p>
        </w:tc>
        <w:tc>
          <w:tcPr>
            <w:tcW w:w="1482" w:type="dxa"/>
          </w:tcPr>
          <w:p w14:paraId="13FC509C"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NA</w:t>
            </w:r>
            <w:r w:rsidRPr="00283B86">
              <w:rPr>
                <w:rFonts w:cs="Times New Roman"/>
                <w:sz w:val="22"/>
                <w:vertAlign w:val="superscript"/>
              </w:rPr>
              <w:t>£</w:t>
            </w:r>
          </w:p>
        </w:tc>
        <w:tc>
          <w:tcPr>
            <w:tcW w:w="1773" w:type="dxa"/>
          </w:tcPr>
          <w:p w14:paraId="51AD2F03"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NA</w:t>
            </w:r>
          </w:p>
        </w:tc>
        <w:tc>
          <w:tcPr>
            <w:tcW w:w="1701" w:type="dxa"/>
          </w:tcPr>
          <w:p w14:paraId="7BF164B9"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NA</w:t>
            </w:r>
          </w:p>
        </w:tc>
      </w:tr>
      <w:tr w:rsidR="00F656BB" w:rsidRPr="00283B86" w14:paraId="71B01630" w14:textId="77777777" w:rsidTr="00961673">
        <w:tc>
          <w:tcPr>
            <w:tcW w:w="2885" w:type="dxa"/>
          </w:tcPr>
          <w:p w14:paraId="24580DE5" w14:textId="77777777" w:rsidR="00F656BB" w:rsidRPr="00283B86" w:rsidRDefault="00F656BB" w:rsidP="00283B86">
            <w:pPr>
              <w:spacing w:after="0" w:line="240" w:lineRule="auto"/>
              <w:jc w:val="left"/>
              <w:rPr>
                <w:rFonts w:cs="Times New Roman"/>
                <w:sz w:val="22"/>
                <w:lang w:val="en-ZA"/>
              </w:rPr>
            </w:pPr>
            <w:r w:rsidRPr="00283B86">
              <w:rPr>
                <w:rFonts w:cs="Times New Roman"/>
                <w:sz w:val="22"/>
                <w:lang w:val="en-ZA"/>
              </w:rPr>
              <w:t>Carrot powder</w:t>
            </w:r>
            <w:r w:rsidRPr="00283B86">
              <w:rPr>
                <w:rFonts w:cs="Times New Roman"/>
                <w:sz w:val="22"/>
                <w:vertAlign w:val="superscript"/>
              </w:rPr>
              <w:t>∞</w:t>
            </w:r>
          </w:p>
        </w:tc>
        <w:tc>
          <w:tcPr>
            <w:tcW w:w="1481" w:type="dxa"/>
          </w:tcPr>
          <w:p w14:paraId="6119D80A"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58700</w:t>
            </w:r>
            <w:r w:rsidRPr="00283B86">
              <w:rPr>
                <w:rFonts w:cs="Times New Roman"/>
                <w:sz w:val="22"/>
                <w:vertAlign w:val="superscript"/>
                <w:lang w:val="en-ZA"/>
              </w:rPr>
              <w:t>c</w:t>
            </w:r>
            <w:r w:rsidRPr="00283B86">
              <w:rPr>
                <w:rFonts w:cs="Times New Roman"/>
                <w:sz w:val="22"/>
                <w:lang w:val="en-ZA"/>
              </w:rPr>
              <w:t xml:space="preserve"> ± 830</w:t>
            </w:r>
          </w:p>
        </w:tc>
        <w:tc>
          <w:tcPr>
            <w:tcW w:w="1482" w:type="dxa"/>
          </w:tcPr>
          <w:p w14:paraId="3781ED45"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NA</w:t>
            </w:r>
          </w:p>
        </w:tc>
        <w:tc>
          <w:tcPr>
            <w:tcW w:w="1773" w:type="dxa"/>
          </w:tcPr>
          <w:p w14:paraId="0E7850A7"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NA</w:t>
            </w:r>
          </w:p>
        </w:tc>
        <w:tc>
          <w:tcPr>
            <w:tcW w:w="1701" w:type="dxa"/>
          </w:tcPr>
          <w:p w14:paraId="38BACF51"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NA</w:t>
            </w:r>
          </w:p>
        </w:tc>
      </w:tr>
      <w:tr w:rsidR="00F656BB" w:rsidRPr="00283B86" w14:paraId="6D9F77DF" w14:textId="77777777" w:rsidTr="00961673">
        <w:tc>
          <w:tcPr>
            <w:tcW w:w="2885" w:type="dxa"/>
          </w:tcPr>
          <w:p w14:paraId="0B501F62" w14:textId="77777777" w:rsidR="00F656BB" w:rsidRPr="00283B86" w:rsidRDefault="00F656BB" w:rsidP="00283B86">
            <w:pPr>
              <w:spacing w:after="0" w:line="240" w:lineRule="auto"/>
              <w:jc w:val="left"/>
              <w:rPr>
                <w:rFonts w:cs="Times New Roman"/>
                <w:sz w:val="22"/>
                <w:lang w:val="en-ZA"/>
              </w:rPr>
            </w:pPr>
            <w:r w:rsidRPr="00283B86">
              <w:rPr>
                <w:rFonts w:cs="Times New Roman"/>
                <w:sz w:val="22"/>
                <w:lang w:val="en-ZA"/>
              </w:rPr>
              <w:t>Mango powder</w:t>
            </w:r>
            <w:r w:rsidRPr="00283B86">
              <w:rPr>
                <w:rFonts w:cs="Times New Roman"/>
                <w:sz w:val="22"/>
                <w:vertAlign w:val="superscript"/>
              </w:rPr>
              <w:t>∞</w:t>
            </w:r>
          </w:p>
        </w:tc>
        <w:tc>
          <w:tcPr>
            <w:tcW w:w="1481" w:type="dxa"/>
          </w:tcPr>
          <w:p w14:paraId="1BD0B477"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13700</w:t>
            </w:r>
            <w:r w:rsidRPr="00283B86">
              <w:rPr>
                <w:rFonts w:cs="Times New Roman"/>
                <w:sz w:val="22"/>
                <w:vertAlign w:val="superscript"/>
                <w:lang w:val="en-ZA"/>
              </w:rPr>
              <w:t>b</w:t>
            </w:r>
            <w:r w:rsidRPr="00283B86">
              <w:rPr>
                <w:rFonts w:cs="Times New Roman"/>
                <w:sz w:val="22"/>
                <w:lang w:val="en-ZA"/>
              </w:rPr>
              <w:t xml:space="preserve"> ± 1140</w:t>
            </w:r>
          </w:p>
        </w:tc>
        <w:tc>
          <w:tcPr>
            <w:tcW w:w="1482" w:type="dxa"/>
          </w:tcPr>
          <w:p w14:paraId="30A8061C"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NA</w:t>
            </w:r>
          </w:p>
        </w:tc>
        <w:tc>
          <w:tcPr>
            <w:tcW w:w="1773" w:type="dxa"/>
          </w:tcPr>
          <w:p w14:paraId="38FF2196"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NA</w:t>
            </w:r>
          </w:p>
        </w:tc>
        <w:tc>
          <w:tcPr>
            <w:tcW w:w="1701" w:type="dxa"/>
          </w:tcPr>
          <w:p w14:paraId="2EB840EC"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NA</w:t>
            </w:r>
          </w:p>
        </w:tc>
      </w:tr>
      <w:tr w:rsidR="00F656BB" w:rsidRPr="00283B86" w14:paraId="0B0DA8BE" w14:textId="77777777" w:rsidTr="00961673">
        <w:tc>
          <w:tcPr>
            <w:tcW w:w="2885" w:type="dxa"/>
          </w:tcPr>
          <w:p w14:paraId="19C6938F" w14:textId="77777777" w:rsidR="00F656BB" w:rsidRPr="00283B86" w:rsidRDefault="00F656BB" w:rsidP="00283B86">
            <w:pPr>
              <w:spacing w:after="0" w:line="240" w:lineRule="auto"/>
              <w:jc w:val="left"/>
              <w:rPr>
                <w:rFonts w:cs="Times New Roman"/>
                <w:b/>
                <w:bCs/>
                <w:sz w:val="22"/>
                <w:lang w:val="en-ZA"/>
              </w:rPr>
            </w:pPr>
            <w:r w:rsidRPr="00283B86">
              <w:rPr>
                <w:rFonts w:cs="Times New Roman"/>
                <w:b/>
                <w:bCs/>
                <w:sz w:val="22"/>
                <w:lang w:val="en-ZA"/>
              </w:rPr>
              <w:t>Porridge formulations</w:t>
            </w:r>
          </w:p>
        </w:tc>
        <w:tc>
          <w:tcPr>
            <w:tcW w:w="1481" w:type="dxa"/>
          </w:tcPr>
          <w:p w14:paraId="72179E00" w14:textId="77777777" w:rsidR="00F656BB" w:rsidRPr="00283B86" w:rsidRDefault="00F656BB" w:rsidP="00283B86">
            <w:pPr>
              <w:spacing w:after="0" w:line="240" w:lineRule="auto"/>
              <w:jc w:val="center"/>
              <w:rPr>
                <w:rFonts w:cs="Times New Roman"/>
                <w:sz w:val="22"/>
                <w:lang w:val="en-ZA"/>
              </w:rPr>
            </w:pPr>
          </w:p>
        </w:tc>
        <w:tc>
          <w:tcPr>
            <w:tcW w:w="1482" w:type="dxa"/>
          </w:tcPr>
          <w:p w14:paraId="0F156A07" w14:textId="77777777" w:rsidR="00F656BB" w:rsidRPr="00283B86" w:rsidRDefault="00F656BB" w:rsidP="00283B86">
            <w:pPr>
              <w:spacing w:after="0" w:line="240" w:lineRule="auto"/>
              <w:jc w:val="center"/>
              <w:rPr>
                <w:rFonts w:cs="Times New Roman"/>
                <w:sz w:val="22"/>
                <w:lang w:val="en-ZA"/>
              </w:rPr>
            </w:pPr>
          </w:p>
        </w:tc>
        <w:tc>
          <w:tcPr>
            <w:tcW w:w="1773" w:type="dxa"/>
          </w:tcPr>
          <w:p w14:paraId="4391441E" w14:textId="77777777" w:rsidR="00F656BB" w:rsidRPr="00283B86" w:rsidRDefault="00F656BB" w:rsidP="00283B86">
            <w:pPr>
              <w:spacing w:after="0" w:line="240" w:lineRule="auto"/>
              <w:jc w:val="center"/>
              <w:rPr>
                <w:rFonts w:cs="Times New Roman"/>
                <w:sz w:val="22"/>
                <w:lang w:val="en-ZA"/>
              </w:rPr>
            </w:pPr>
          </w:p>
        </w:tc>
        <w:tc>
          <w:tcPr>
            <w:tcW w:w="1701" w:type="dxa"/>
          </w:tcPr>
          <w:p w14:paraId="36EF07DE" w14:textId="77777777" w:rsidR="00F656BB" w:rsidRPr="00283B86" w:rsidRDefault="00F656BB" w:rsidP="00283B86">
            <w:pPr>
              <w:spacing w:after="0" w:line="240" w:lineRule="auto"/>
              <w:jc w:val="center"/>
              <w:rPr>
                <w:rFonts w:cs="Times New Roman"/>
                <w:sz w:val="22"/>
                <w:lang w:val="en-ZA"/>
              </w:rPr>
            </w:pPr>
          </w:p>
        </w:tc>
      </w:tr>
      <w:tr w:rsidR="00F656BB" w:rsidRPr="00283B86" w14:paraId="34FFA3E9" w14:textId="77777777" w:rsidTr="00961673">
        <w:tc>
          <w:tcPr>
            <w:tcW w:w="2885" w:type="dxa"/>
          </w:tcPr>
          <w:p w14:paraId="260F3361" w14:textId="77777777" w:rsidR="00F656BB" w:rsidRPr="00283B86" w:rsidRDefault="00F656BB" w:rsidP="00283B86">
            <w:pPr>
              <w:spacing w:after="0" w:line="240" w:lineRule="auto"/>
              <w:jc w:val="left"/>
              <w:rPr>
                <w:rFonts w:cs="Times New Roman"/>
                <w:sz w:val="22"/>
                <w:lang w:val="en-ZA"/>
              </w:rPr>
            </w:pPr>
            <w:r w:rsidRPr="00283B86">
              <w:rPr>
                <w:rFonts w:cs="Times New Roman"/>
                <w:sz w:val="22"/>
                <w:lang w:val="en-ZA"/>
              </w:rPr>
              <w:t>Maize+carrot+mango</w:t>
            </w:r>
            <w:r w:rsidRPr="00283B86">
              <w:rPr>
                <w:rFonts w:cs="Times New Roman"/>
                <w:sz w:val="22"/>
                <w:vertAlign w:val="superscript"/>
                <w:lang w:val="en-ZA"/>
              </w:rPr>
              <w:t>1</w:t>
            </w:r>
            <w:r w:rsidRPr="00283B86">
              <w:rPr>
                <w:rFonts w:cs="Times New Roman"/>
                <w:sz w:val="22"/>
                <w:lang w:val="en-ZA"/>
              </w:rPr>
              <w:t xml:space="preserve"> (100:15)</w:t>
            </w:r>
          </w:p>
        </w:tc>
        <w:tc>
          <w:tcPr>
            <w:tcW w:w="1481" w:type="dxa"/>
          </w:tcPr>
          <w:p w14:paraId="3032C61D" w14:textId="42CB5900"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5312</w:t>
            </w:r>
          </w:p>
        </w:tc>
        <w:tc>
          <w:tcPr>
            <w:tcW w:w="1482" w:type="dxa"/>
          </w:tcPr>
          <w:p w14:paraId="26E71104"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442.7</w:t>
            </w:r>
          </w:p>
        </w:tc>
        <w:tc>
          <w:tcPr>
            <w:tcW w:w="1773" w:type="dxa"/>
          </w:tcPr>
          <w:p w14:paraId="09848F10"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177.1</w:t>
            </w:r>
          </w:p>
        </w:tc>
        <w:tc>
          <w:tcPr>
            <w:tcW w:w="1701" w:type="dxa"/>
          </w:tcPr>
          <w:p w14:paraId="3D710CAA"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163.9</w:t>
            </w:r>
          </w:p>
        </w:tc>
      </w:tr>
      <w:tr w:rsidR="00F656BB" w:rsidRPr="00283B86" w14:paraId="3D4F6618" w14:textId="77777777" w:rsidTr="00961673">
        <w:tc>
          <w:tcPr>
            <w:tcW w:w="2885" w:type="dxa"/>
          </w:tcPr>
          <w:p w14:paraId="4E3FE66E" w14:textId="77777777" w:rsidR="00F656BB" w:rsidRPr="00283B86" w:rsidRDefault="00F656BB" w:rsidP="00283B86">
            <w:pPr>
              <w:spacing w:after="0" w:line="240" w:lineRule="auto"/>
              <w:jc w:val="left"/>
              <w:rPr>
                <w:rFonts w:cs="Times New Roman"/>
                <w:sz w:val="22"/>
                <w:lang w:val="en-ZA"/>
              </w:rPr>
            </w:pPr>
            <w:r w:rsidRPr="00283B86">
              <w:rPr>
                <w:rFonts w:cs="Times New Roman"/>
                <w:sz w:val="22"/>
                <w:lang w:val="en-ZA"/>
              </w:rPr>
              <w:t>Maize+β-carotene</w:t>
            </w:r>
            <w:r w:rsidRPr="00283B86">
              <w:rPr>
                <w:rFonts w:cs="Times New Roman"/>
                <w:sz w:val="22"/>
                <w:vertAlign w:val="superscript"/>
                <w:lang w:val="en-ZA"/>
              </w:rPr>
              <w:t>2</w:t>
            </w:r>
          </w:p>
        </w:tc>
        <w:tc>
          <w:tcPr>
            <w:tcW w:w="1481" w:type="dxa"/>
          </w:tcPr>
          <w:p w14:paraId="0477DA10"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5736</w:t>
            </w:r>
          </w:p>
        </w:tc>
        <w:tc>
          <w:tcPr>
            <w:tcW w:w="1482" w:type="dxa"/>
          </w:tcPr>
          <w:p w14:paraId="04F551F6"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478.0</w:t>
            </w:r>
          </w:p>
        </w:tc>
        <w:tc>
          <w:tcPr>
            <w:tcW w:w="1773" w:type="dxa"/>
          </w:tcPr>
          <w:p w14:paraId="5255FC0B"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191.2</w:t>
            </w:r>
          </w:p>
        </w:tc>
        <w:tc>
          <w:tcPr>
            <w:tcW w:w="1701" w:type="dxa"/>
          </w:tcPr>
          <w:p w14:paraId="47B31C3F"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177.0</w:t>
            </w:r>
          </w:p>
        </w:tc>
      </w:tr>
      <w:tr w:rsidR="00F656BB" w:rsidRPr="00283B86" w14:paraId="63B01E1E" w14:textId="77777777" w:rsidTr="00961673">
        <w:tc>
          <w:tcPr>
            <w:tcW w:w="2885" w:type="dxa"/>
          </w:tcPr>
          <w:p w14:paraId="2A0C6BF4" w14:textId="77777777" w:rsidR="00F656BB" w:rsidRPr="00283B86" w:rsidRDefault="00F656BB" w:rsidP="00283B86">
            <w:pPr>
              <w:spacing w:after="0" w:line="240" w:lineRule="auto"/>
              <w:jc w:val="left"/>
              <w:rPr>
                <w:rFonts w:cs="Times New Roman"/>
                <w:sz w:val="22"/>
                <w:lang w:val="en-ZA"/>
              </w:rPr>
            </w:pPr>
            <w:r w:rsidRPr="00283B86">
              <w:rPr>
                <w:rFonts w:cs="Times New Roman"/>
                <w:sz w:val="22"/>
                <w:lang w:val="en-ZA"/>
              </w:rPr>
              <w:t>Maize+carrot+mango+baobab (100:15:15)</w:t>
            </w:r>
          </w:p>
        </w:tc>
        <w:tc>
          <w:tcPr>
            <w:tcW w:w="1481" w:type="dxa"/>
          </w:tcPr>
          <w:p w14:paraId="39964330"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4791</w:t>
            </w:r>
          </w:p>
        </w:tc>
        <w:tc>
          <w:tcPr>
            <w:tcW w:w="1482" w:type="dxa"/>
          </w:tcPr>
          <w:p w14:paraId="549C5038"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399.3</w:t>
            </w:r>
          </w:p>
        </w:tc>
        <w:tc>
          <w:tcPr>
            <w:tcW w:w="1773" w:type="dxa"/>
          </w:tcPr>
          <w:p w14:paraId="0BBE4EA3"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159.7</w:t>
            </w:r>
          </w:p>
        </w:tc>
        <w:tc>
          <w:tcPr>
            <w:tcW w:w="1701" w:type="dxa"/>
          </w:tcPr>
          <w:p w14:paraId="1EDB71F9"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147.9</w:t>
            </w:r>
          </w:p>
        </w:tc>
      </w:tr>
      <w:tr w:rsidR="00F656BB" w:rsidRPr="00283B86" w14:paraId="57824AF9" w14:textId="77777777" w:rsidTr="00961673">
        <w:tc>
          <w:tcPr>
            <w:tcW w:w="2885" w:type="dxa"/>
          </w:tcPr>
          <w:p w14:paraId="76805BBB" w14:textId="77777777" w:rsidR="00F656BB" w:rsidRPr="00283B86" w:rsidRDefault="00F656BB" w:rsidP="00283B86">
            <w:pPr>
              <w:spacing w:after="0" w:line="240" w:lineRule="auto"/>
              <w:jc w:val="left"/>
              <w:rPr>
                <w:rFonts w:cs="Times New Roman"/>
                <w:sz w:val="22"/>
                <w:lang w:val="en-ZA"/>
              </w:rPr>
            </w:pPr>
            <w:r w:rsidRPr="00283B86">
              <w:rPr>
                <w:rFonts w:cs="Times New Roman"/>
                <w:sz w:val="22"/>
                <w:lang w:val="en-ZA"/>
              </w:rPr>
              <w:t>Maize+β-carotene+baobab (100:15)</w:t>
            </w:r>
          </w:p>
        </w:tc>
        <w:tc>
          <w:tcPr>
            <w:tcW w:w="1481" w:type="dxa"/>
          </w:tcPr>
          <w:p w14:paraId="354C1849"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5750</w:t>
            </w:r>
          </w:p>
        </w:tc>
        <w:tc>
          <w:tcPr>
            <w:tcW w:w="1482" w:type="dxa"/>
          </w:tcPr>
          <w:p w14:paraId="434C6C08"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479.2</w:t>
            </w:r>
          </w:p>
        </w:tc>
        <w:tc>
          <w:tcPr>
            <w:tcW w:w="1773" w:type="dxa"/>
          </w:tcPr>
          <w:p w14:paraId="65D93BA1"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191.7</w:t>
            </w:r>
          </w:p>
        </w:tc>
        <w:tc>
          <w:tcPr>
            <w:tcW w:w="1701" w:type="dxa"/>
          </w:tcPr>
          <w:p w14:paraId="59D18FB0" w14:textId="77777777" w:rsidR="00F656BB" w:rsidRPr="00283B86" w:rsidRDefault="00F656BB" w:rsidP="00283B86">
            <w:pPr>
              <w:spacing w:after="0" w:line="240" w:lineRule="auto"/>
              <w:jc w:val="center"/>
              <w:rPr>
                <w:rFonts w:cs="Times New Roman"/>
                <w:sz w:val="22"/>
                <w:lang w:val="en-ZA"/>
              </w:rPr>
            </w:pPr>
            <w:r w:rsidRPr="00283B86">
              <w:rPr>
                <w:rFonts w:cs="Times New Roman"/>
                <w:sz w:val="22"/>
                <w:lang w:val="en-ZA"/>
              </w:rPr>
              <w:t>177.5</w:t>
            </w:r>
          </w:p>
        </w:tc>
      </w:tr>
    </w:tbl>
    <w:p w14:paraId="3C830BD9" w14:textId="77777777" w:rsidR="00F656BB" w:rsidRDefault="00F656BB" w:rsidP="00F656BB">
      <w:pPr>
        <w:spacing w:before="240" w:after="0" w:line="240" w:lineRule="auto"/>
        <w:rPr>
          <w:rFonts w:cs="Times New Roman"/>
          <w:sz w:val="20"/>
          <w:szCs w:val="20"/>
        </w:rPr>
      </w:pPr>
      <w:r w:rsidRPr="00A967D7">
        <w:rPr>
          <w:rFonts w:cs="Times New Roman"/>
          <w:sz w:val="20"/>
          <w:szCs w:val="20"/>
        </w:rPr>
        <w:t xml:space="preserve">Values are the mean ± 1 SD of </w:t>
      </w:r>
      <w:r>
        <w:rPr>
          <w:rFonts w:cs="Times New Roman"/>
          <w:sz w:val="20"/>
          <w:szCs w:val="20"/>
        </w:rPr>
        <w:t>two</w:t>
      </w:r>
      <w:r w:rsidRPr="00A967D7">
        <w:rPr>
          <w:rFonts w:cs="Times New Roman"/>
          <w:sz w:val="20"/>
          <w:szCs w:val="20"/>
        </w:rPr>
        <w:t xml:space="preserve"> independent samples analysed in </w:t>
      </w:r>
      <w:r>
        <w:rPr>
          <w:rFonts w:cs="Times New Roman"/>
          <w:sz w:val="20"/>
          <w:szCs w:val="20"/>
        </w:rPr>
        <w:t>duplicate</w:t>
      </w:r>
      <w:r w:rsidRPr="00A967D7">
        <w:rPr>
          <w:rFonts w:cs="Times New Roman"/>
          <w:sz w:val="20"/>
          <w:szCs w:val="20"/>
        </w:rPr>
        <w:t xml:space="preserve"> (n=</w:t>
      </w:r>
      <w:r>
        <w:rPr>
          <w:rFonts w:cs="Times New Roman"/>
          <w:sz w:val="20"/>
          <w:szCs w:val="20"/>
        </w:rPr>
        <w:t>4</w:t>
      </w:r>
      <w:r w:rsidRPr="00A967D7">
        <w:rPr>
          <w:rFonts w:cs="Times New Roman"/>
          <w:sz w:val="20"/>
          <w:szCs w:val="20"/>
        </w:rPr>
        <w:t>)</w:t>
      </w:r>
    </w:p>
    <w:p w14:paraId="0A6A5210" w14:textId="0467D092" w:rsidR="00F656BB" w:rsidRDefault="00F656BB" w:rsidP="00F656BB">
      <w:pPr>
        <w:spacing w:after="0" w:line="240" w:lineRule="auto"/>
        <w:rPr>
          <w:rFonts w:cs="Times New Roman"/>
          <w:sz w:val="20"/>
          <w:szCs w:val="20"/>
        </w:rPr>
      </w:pPr>
      <w:r w:rsidRPr="00A967D7">
        <w:rPr>
          <w:rFonts w:cs="Times New Roman"/>
          <w:sz w:val="20"/>
          <w:szCs w:val="20"/>
        </w:rPr>
        <w:t>Means with different superscripts letters in a column differ significantly (</w:t>
      </w:r>
      <w:r w:rsidRPr="00AE1C6D">
        <w:rPr>
          <w:rFonts w:cs="Times New Roman"/>
          <w:i/>
          <w:iCs/>
          <w:sz w:val="20"/>
          <w:szCs w:val="20"/>
        </w:rPr>
        <w:t>p</w:t>
      </w:r>
      <w:r w:rsidR="00AE1C6D">
        <w:rPr>
          <w:rFonts w:cs="Times New Roman"/>
          <w:sz w:val="20"/>
          <w:szCs w:val="20"/>
        </w:rPr>
        <w:t>&lt;</w:t>
      </w:r>
      <w:r w:rsidRPr="00A967D7">
        <w:rPr>
          <w:rFonts w:cs="Times New Roman"/>
          <w:sz w:val="20"/>
          <w:szCs w:val="20"/>
        </w:rPr>
        <w:t>0.05)</w:t>
      </w:r>
      <w:r>
        <w:rPr>
          <w:rFonts w:cs="Times New Roman"/>
          <w:sz w:val="20"/>
          <w:szCs w:val="20"/>
        </w:rPr>
        <w:t xml:space="preserve">, </w:t>
      </w:r>
      <w:r w:rsidRPr="00E13C93">
        <w:rPr>
          <w:rFonts w:cs="Times New Roman"/>
          <w:sz w:val="20"/>
          <w:szCs w:val="20"/>
          <w:vertAlign w:val="superscript"/>
        </w:rPr>
        <w:t>£</w:t>
      </w:r>
      <w:r>
        <w:rPr>
          <w:rFonts w:cs="Times New Roman"/>
          <w:sz w:val="20"/>
          <w:szCs w:val="20"/>
        </w:rPr>
        <w:t>Not applicable</w:t>
      </w:r>
    </w:p>
    <w:p w14:paraId="2BDAD534" w14:textId="77777777" w:rsidR="00F656BB" w:rsidRDefault="00F656BB" w:rsidP="007B1BB8">
      <w:pPr>
        <w:spacing w:after="0" w:line="240" w:lineRule="auto"/>
        <w:rPr>
          <w:rFonts w:cs="Times New Roman"/>
          <w:sz w:val="20"/>
          <w:szCs w:val="20"/>
        </w:rPr>
      </w:pPr>
      <w:r w:rsidRPr="00893BA5">
        <w:rPr>
          <w:rFonts w:cs="Times New Roman"/>
          <w:sz w:val="20"/>
          <w:szCs w:val="20"/>
          <w:vertAlign w:val="superscript"/>
        </w:rPr>
        <w:t>∞</w:t>
      </w:r>
      <w:r w:rsidRPr="002A5730">
        <w:rPr>
          <w:rFonts w:cs="Times New Roman"/>
          <w:sz w:val="20"/>
          <w:szCs w:val="20"/>
        </w:rPr>
        <w:t>Carrot</w:t>
      </w:r>
      <w:r>
        <w:rPr>
          <w:rFonts w:cs="Times New Roman"/>
          <w:sz w:val="20"/>
          <w:szCs w:val="20"/>
        </w:rPr>
        <w:t xml:space="preserve"> and mango powders from Sunspray, </w:t>
      </w:r>
      <w:r w:rsidRPr="00893BA5">
        <w:rPr>
          <w:rFonts w:cs="Times New Roman"/>
          <w:sz w:val="20"/>
          <w:szCs w:val="20"/>
          <w:vertAlign w:val="superscript"/>
          <w:lang w:val="en-ZA"/>
        </w:rPr>
        <w:t>₳</w:t>
      </w:r>
      <w:r>
        <w:rPr>
          <w:rFonts w:cs="Times New Roman"/>
          <w:sz w:val="20"/>
          <w:szCs w:val="20"/>
        </w:rPr>
        <w:t>Baobab fruit pulp from Nautica Organics</w:t>
      </w:r>
    </w:p>
    <w:p w14:paraId="17C0BC46" w14:textId="5B75937A" w:rsidR="00495671" w:rsidRDefault="00F656BB" w:rsidP="007B1BB8">
      <w:pPr>
        <w:spacing w:after="0" w:line="240" w:lineRule="auto"/>
        <w:rPr>
          <w:rFonts w:cs="Times New Roman"/>
          <w:sz w:val="20"/>
          <w:szCs w:val="20"/>
        </w:rPr>
      </w:pPr>
      <w:r w:rsidRPr="007A657C">
        <w:rPr>
          <w:rFonts w:cs="Times New Roman"/>
          <w:sz w:val="20"/>
          <w:szCs w:val="20"/>
          <w:vertAlign w:val="superscript"/>
        </w:rPr>
        <w:t>1</w:t>
      </w:r>
      <w:r>
        <w:rPr>
          <w:rFonts w:cs="Times New Roman"/>
          <w:sz w:val="20"/>
          <w:szCs w:val="20"/>
        </w:rPr>
        <w:t xml:space="preserve">Carrot and mango powders were in ratio 1:1, </w:t>
      </w:r>
      <w:r w:rsidRPr="007A657C">
        <w:rPr>
          <w:rFonts w:cs="Times New Roman"/>
          <w:sz w:val="20"/>
          <w:szCs w:val="20"/>
          <w:vertAlign w:val="superscript"/>
        </w:rPr>
        <w:t>2</w:t>
      </w:r>
      <w:r>
        <w:rPr>
          <w:rFonts w:cs="Times New Roman"/>
          <w:sz w:val="20"/>
          <w:szCs w:val="20"/>
          <w:lang w:val="en-ZA"/>
        </w:rPr>
        <w:t xml:space="preserve">Content of </w:t>
      </w:r>
      <w:r w:rsidRPr="00FA0738">
        <w:rPr>
          <w:rFonts w:cs="Times New Roman"/>
          <w:sz w:val="20"/>
          <w:szCs w:val="20"/>
          <w:lang w:val="en-ZA"/>
        </w:rPr>
        <w:t>β-</w:t>
      </w:r>
      <w:r>
        <w:rPr>
          <w:rFonts w:cs="Times New Roman"/>
          <w:sz w:val="20"/>
          <w:szCs w:val="20"/>
          <w:lang w:val="en-ZA"/>
        </w:rPr>
        <w:t>carotene was similar to the levels in carrot+mango</w:t>
      </w:r>
      <w:r w:rsidRPr="007A657C">
        <w:rPr>
          <w:rFonts w:cs="Times New Roman"/>
          <w:sz w:val="20"/>
          <w:szCs w:val="20"/>
          <w:vertAlign w:val="superscript"/>
        </w:rPr>
        <w:t xml:space="preserve"> </w:t>
      </w:r>
      <w:r>
        <w:rPr>
          <w:rFonts w:cs="Times New Roman"/>
          <w:sz w:val="20"/>
          <w:szCs w:val="20"/>
          <w:lang w:val="en-ZA"/>
        </w:rPr>
        <w:t xml:space="preserve"> </w:t>
      </w:r>
      <w:r w:rsidRPr="00B13F5E">
        <w:rPr>
          <w:rFonts w:cs="Times New Roman"/>
          <w:sz w:val="20"/>
          <w:szCs w:val="20"/>
          <w:vertAlign w:val="superscript"/>
        </w:rPr>
        <w:t>#</w:t>
      </w:r>
      <w:r w:rsidRPr="00B13F5E">
        <w:rPr>
          <w:rFonts w:cs="Times New Roman"/>
          <w:sz w:val="20"/>
          <w:szCs w:val="20"/>
        </w:rPr>
        <w:t xml:space="preserve">WHO </w:t>
      </w:r>
      <w:r w:rsidR="00EC4B47">
        <w:rPr>
          <w:rFonts w:cs="Times New Roman"/>
          <w:sz w:val="20"/>
          <w:szCs w:val="20"/>
        </w:rPr>
        <w:t>&amp;</w:t>
      </w:r>
      <w:r w:rsidRPr="00B13F5E">
        <w:rPr>
          <w:rFonts w:cs="Times New Roman"/>
          <w:sz w:val="20"/>
          <w:szCs w:val="20"/>
        </w:rPr>
        <w:t xml:space="preserve"> FAO (2004)</w:t>
      </w:r>
      <w:r w:rsidR="00A34C41">
        <w:rPr>
          <w:rFonts w:cs="Times New Roman"/>
          <w:sz w:val="20"/>
          <w:szCs w:val="20"/>
        </w:rPr>
        <w:t xml:space="preserve"> </w:t>
      </w:r>
      <w:r w:rsidRPr="00FA0738">
        <w:rPr>
          <w:rFonts w:cs="Times New Roman"/>
          <w:sz w:val="20"/>
          <w:szCs w:val="20"/>
          <w:vertAlign w:val="superscript"/>
        </w:rPr>
        <w:t>$</w:t>
      </w:r>
      <w:r>
        <w:rPr>
          <w:rFonts w:cs="Times New Roman"/>
          <w:sz w:val="20"/>
          <w:szCs w:val="20"/>
        </w:rPr>
        <w:t xml:space="preserve">Retinol equivalent (RE) was calculated using the factor </w:t>
      </w:r>
      <w:r w:rsidRPr="00FA0738">
        <w:rPr>
          <w:rFonts w:cs="Times New Roman"/>
          <w:sz w:val="20"/>
          <w:szCs w:val="20"/>
          <w:lang w:val="en-ZA"/>
        </w:rPr>
        <w:t>12:1</w:t>
      </w:r>
      <w:r>
        <w:rPr>
          <w:rFonts w:cs="Times New Roman"/>
          <w:sz w:val="20"/>
          <w:szCs w:val="20"/>
          <w:lang w:val="en-ZA"/>
        </w:rPr>
        <w:t xml:space="preserve"> </w:t>
      </w:r>
      <w:r w:rsidRPr="00FA0738">
        <w:rPr>
          <w:rFonts w:cs="Times New Roman"/>
          <w:sz w:val="20"/>
          <w:szCs w:val="20"/>
          <w:lang w:val="en-ZA"/>
        </w:rPr>
        <w:t>β-carotene to retinol</w:t>
      </w:r>
      <w:r>
        <w:rPr>
          <w:rFonts w:cs="Times New Roman"/>
          <w:sz w:val="20"/>
          <w:szCs w:val="20"/>
          <w:lang w:val="en-ZA"/>
        </w:rPr>
        <w:t xml:space="preserve"> (WHO </w:t>
      </w:r>
      <w:r w:rsidR="00EC4B47">
        <w:rPr>
          <w:rFonts w:cs="Times New Roman"/>
          <w:sz w:val="20"/>
          <w:szCs w:val="20"/>
          <w:lang w:val="en-ZA"/>
        </w:rPr>
        <w:t>&amp;</w:t>
      </w:r>
      <w:r>
        <w:rPr>
          <w:rFonts w:cs="Times New Roman"/>
          <w:sz w:val="20"/>
          <w:szCs w:val="20"/>
          <w:lang w:val="en-ZA"/>
        </w:rPr>
        <w:t xml:space="preserve"> FAO, 2006</w:t>
      </w:r>
      <w:r w:rsidR="007B1BB8">
        <w:rPr>
          <w:rFonts w:cs="Times New Roman"/>
          <w:sz w:val="20"/>
          <w:szCs w:val="20"/>
          <w:lang w:val="en-ZA"/>
        </w:rPr>
        <w:t>)</w:t>
      </w:r>
    </w:p>
    <w:p w14:paraId="76F7579A" w14:textId="3603F347" w:rsidR="00B938AA" w:rsidRDefault="00B938AA" w:rsidP="007B1BB8">
      <w:pPr>
        <w:spacing w:before="240" w:after="0"/>
        <w:rPr>
          <w:rFonts w:cs="Times New Roman"/>
          <w:szCs w:val="24"/>
        </w:rPr>
      </w:pPr>
    </w:p>
    <w:p w14:paraId="5AF773BD" w14:textId="1CF03547" w:rsidR="00A34C41" w:rsidRDefault="00A34C41" w:rsidP="00941171">
      <w:pPr>
        <w:pStyle w:val="Heading4"/>
      </w:pPr>
      <w:bookmarkStart w:id="142" w:name="_Toc65253614"/>
      <w:r>
        <w:t>4.3.4.3</w:t>
      </w:r>
      <w:r w:rsidR="00941171">
        <w:tab/>
      </w:r>
      <w:r>
        <w:t>Mineral bioaccessibility</w:t>
      </w:r>
      <w:bookmarkEnd w:id="142"/>
    </w:p>
    <w:p w14:paraId="62201285" w14:textId="77777777" w:rsidR="00A34C41" w:rsidRPr="006A6E94" w:rsidRDefault="00A34C41" w:rsidP="00BD44C6">
      <w:pPr>
        <w:spacing w:after="0"/>
        <w:rPr>
          <w:i/>
          <w:iCs/>
        </w:rPr>
      </w:pPr>
      <w:r w:rsidRPr="006A6E94">
        <w:rPr>
          <w:i/>
          <w:iCs/>
        </w:rPr>
        <w:t xml:space="preserve">Iron bioaccessibility </w:t>
      </w:r>
    </w:p>
    <w:p w14:paraId="037351A3" w14:textId="32C56F75" w:rsidR="00A34C41" w:rsidRDefault="00A34C41" w:rsidP="006818A8">
      <w:r>
        <w:t>Despite the high β-carotene</w:t>
      </w:r>
      <w:r w:rsidRPr="00295188">
        <w:t xml:space="preserve"> </w:t>
      </w:r>
      <w:r>
        <w:t>contents in carrot and mango, c</w:t>
      </w:r>
      <w:r w:rsidRPr="00295188">
        <w:t>a</w:t>
      </w:r>
      <w:r>
        <w:t>rrot plus mango fortification of maize porridge at a 15:100 ratio had no significant (</w:t>
      </w:r>
      <w:r w:rsidRPr="006A6E94">
        <w:rPr>
          <w:i/>
          <w:iCs/>
        </w:rPr>
        <w:t>p</w:t>
      </w:r>
      <w:r w:rsidR="00F52B07">
        <w:rPr>
          <w:rFonts w:cs="Times New Roman"/>
        </w:rPr>
        <w:t>&lt;</w:t>
      </w:r>
      <w:r>
        <w:t xml:space="preserve">0.05) effect on percentage iron bioaccessibility and slightly decreased the total bioaccessible iron </w:t>
      </w:r>
      <w:r w:rsidRPr="006A6E94">
        <w:t>(Table</w:t>
      </w:r>
      <w:r>
        <w:t xml:space="preserve"> </w:t>
      </w:r>
      <w:r w:rsidR="006A6E94">
        <w:t>4.3.</w:t>
      </w:r>
      <w:r>
        <w:t xml:space="preserve">4) compared to maize porridge when analysed by pairwise comparison. The amount of bioaccessible iron </w:t>
      </w:r>
      <w:r w:rsidR="009E7815">
        <w:t>likely</w:t>
      </w:r>
      <w:r>
        <w:t xml:space="preserve"> slightly decreased due to the fortified</w:t>
      </w:r>
      <w:r w:rsidR="006A6E94">
        <w:t xml:space="preserve"> </w:t>
      </w:r>
      <w:r>
        <w:t>porridge’s somewhat lower iron content compared to unfortified maize (</w:t>
      </w:r>
      <w:r w:rsidRPr="006A6E94">
        <w:t>Table</w:t>
      </w:r>
      <w:r>
        <w:t xml:space="preserve"> </w:t>
      </w:r>
      <w:r w:rsidR="006A6E94">
        <w:t>4.3.</w:t>
      </w:r>
      <w:r>
        <w:t>1). In slight contrast, β-carotene inclusion in maize porridge, at similar levels as present in carrot plus mango, slightly increased the percentage iron bioaccessibility, by 19% but had no effect on the total bioaccessible iron (</w:t>
      </w:r>
      <w:r w:rsidRPr="006A6E94">
        <w:t>Table</w:t>
      </w:r>
      <w:r>
        <w:t xml:space="preserve"> </w:t>
      </w:r>
      <w:r w:rsidR="006A6E94">
        <w:t>4.3.</w:t>
      </w:r>
      <w:r>
        <w:t xml:space="preserve">4). This positive effect on percentage iron bioaccessibility was </w:t>
      </w:r>
      <w:r w:rsidR="009E7815">
        <w:t>very likely</w:t>
      </w:r>
      <w:r>
        <w:t xml:space="preserve"> because β-carotene enhanced the solubilization of some of the iron present, thereby alleviating chelation by phytate</w:t>
      </w:r>
      <w:r w:rsidR="0045329E">
        <w:t xml:space="preserve"> </w:t>
      </w:r>
      <w:r>
        <w:t>(</w:t>
      </w:r>
      <w:r w:rsidR="00461E25" w:rsidRPr="000D7DDF">
        <w:rPr>
          <w:rFonts w:cs="Times New Roman"/>
          <w:szCs w:val="24"/>
          <w:shd w:val="clear" w:color="auto" w:fill="FFFFFF"/>
        </w:rPr>
        <w:t>Garcı́a</w:t>
      </w:r>
      <w:r w:rsidRPr="00A967D7">
        <w:t>-Casal et al.</w:t>
      </w:r>
      <w:r>
        <w:t xml:space="preserve">, </w:t>
      </w:r>
      <w:r w:rsidRPr="00A967D7">
        <w:t>1998)</w:t>
      </w:r>
      <w:r>
        <w:t xml:space="preserve">. Gautam et al. (2010) found that β-carotene inclusion in pressure-cooked rice and sorghum increased percentage iron bioaccessibility, by 38% and 20%, respectively compared to pressure-cooked rice and sorghum alone. The presence of polyphenols in carrot and mango, as shown in </w:t>
      </w:r>
      <w:r w:rsidR="006A6E94">
        <w:t>C</w:t>
      </w:r>
      <w:r>
        <w:t xml:space="preserve">hapter </w:t>
      </w:r>
      <w:r w:rsidR="000D7B8E">
        <w:t>4.</w:t>
      </w:r>
      <w:r>
        <w:t xml:space="preserve">2, could have limited their enhancing effect (as β-carotene sources) on the iron bioaccessibility. </w:t>
      </w:r>
      <w:r w:rsidR="00EC4B47">
        <w:t xml:space="preserve">As </w:t>
      </w:r>
      <w:r w:rsidR="000D7B8E">
        <w:t>explained</w:t>
      </w:r>
      <w:r w:rsidR="00EC4B47">
        <w:t>, p</w:t>
      </w:r>
      <w:r>
        <w:t xml:space="preserve">olyphenols inhibit iron bioavailability in a dose-dependent form </w:t>
      </w:r>
      <w:r w:rsidR="00EC4B47">
        <w:t>because</w:t>
      </w:r>
      <w:r>
        <w:t xml:space="preserve"> they can </w:t>
      </w:r>
      <w:r w:rsidR="001708D6">
        <w:t>form strong non-absorbable complexes with it</w:t>
      </w:r>
      <w:r w:rsidR="00F55625">
        <w:t xml:space="preserve"> (Hurrell et al., 1999)</w:t>
      </w:r>
      <w:r>
        <w:t xml:space="preserve">. In support of this hypothesis, Andre et al. (2018) showed that iron uptake by Caco-2 cells was much higher from orange-fleshed sweet potatoes (rich in β-carotene) containing lower levels of polyphenols compared to those containing higher levels. </w:t>
      </w:r>
    </w:p>
    <w:p w14:paraId="7A0F7B1B" w14:textId="77777777" w:rsidR="00A34C41" w:rsidRDefault="00A34C41" w:rsidP="006A6E94">
      <w:pPr>
        <w:spacing w:after="0"/>
        <w:rPr>
          <w:rFonts w:cs="Times New Roman"/>
          <w:szCs w:val="24"/>
        </w:rPr>
      </w:pPr>
    </w:p>
    <w:p w14:paraId="3EF2B10C" w14:textId="0EB08B18" w:rsidR="00A34C41" w:rsidRDefault="00A34C41" w:rsidP="006818A8">
      <w:pPr>
        <w:rPr>
          <w:rFonts w:cs="Times New Roman"/>
          <w:szCs w:val="24"/>
        </w:rPr>
      </w:pPr>
      <w:r>
        <w:rPr>
          <w:rFonts w:cs="Times New Roman"/>
          <w:szCs w:val="24"/>
        </w:rPr>
        <w:t>In contrast to the findings of this study, the Gautam et al. (2010) study showed that percentage iron bioaccessibilit</w:t>
      </w:r>
      <w:r w:rsidR="000D7B8E">
        <w:rPr>
          <w:rFonts w:cs="Times New Roman"/>
          <w:szCs w:val="24"/>
        </w:rPr>
        <w:t>ies</w:t>
      </w:r>
      <w:r>
        <w:rPr>
          <w:rFonts w:cs="Times New Roman"/>
          <w:szCs w:val="24"/>
        </w:rPr>
        <w:t xml:space="preserve"> were increased, by 53% and 32–69%, respectively when rice and sorghum were fortified with carrot as a provitamin A source. </w:t>
      </w:r>
      <w:r>
        <w:rPr>
          <w:rFonts w:cs="Times New Roman"/>
          <w:szCs w:val="24"/>
          <w:lang w:val="en-ZA"/>
        </w:rPr>
        <w:t xml:space="preserve">Research by Kruger (2020) also showed that foodstuffs rich in β-carotene such as orange-fleshed sweet potatoes and cowpea leaves improved iron uptake by Caco-2 cells from a conventionally iron fortified maize-based porridge. </w:t>
      </w:r>
      <w:r>
        <w:rPr>
          <w:rFonts w:cs="Times New Roman"/>
          <w:szCs w:val="24"/>
        </w:rPr>
        <w:t xml:space="preserve">However, Kruger et al. (2018) found that inclusion of orange-fleshed sweet potato in maize and sorghum porridges had no significant effect on iron bioaccessibility, while addition of cowpea leaves decreased the iron bioaccessibility. According to the authors, cowpea leaves’ high total phenolics and tannin contents could have been responsible. The authors also noted that there were significant interactions </w:t>
      </w:r>
      <w:r w:rsidRPr="00E66453">
        <w:rPr>
          <w:rFonts w:cs="Times New Roman"/>
          <w:szCs w:val="24"/>
        </w:rPr>
        <w:t xml:space="preserve">on mineral bioaccessibility </w:t>
      </w:r>
      <w:r>
        <w:rPr>
          <w:rFonts w:cs="Times New Roman"/>
          <w:szCs w:val="24"/>
        </w:rPr>
        <w:t xml:space="preserve">between cereal porridge types and the plant food sources of β-carotene. </w:t>
      </w:r>
    </w:p>
    <w:p w14:paraId="7F7EE51C" w14:textId="77777777" w:rsidR="00A34C41" w:rsidRDefault="00A34C41" w:rsidP="006A6E94">
      <w:pPr>
        <w:spacing w:after="0"/>
        <w:rPr>
          <w:rFonts w:cs="Times New Roman"/>
          <w:szCs w:val="24"/>
        </w:rPr>
      </w:pPr>
    </w:p>
    <w:p w14:paraId="42285583" w14:textId="65756040" w:rsidR="00A34C41" w:rsidRDefault="00A34C41" w:rsidP="006818A8">
      <w:pPr>
        <w:rPr>
          <w:rFonts w:cs="Times New Roman"/>
          <w:szCs w:val="24"/>
        </w:rPr>
      </w:pPr>
      <w:r>
        <w:rPr>
          <w:rFonts w:cs="Times New Roman"/>
          <w:szCs w:val="24"/>
        </w:rPr>
        <w:t>When carrot plus mango together with baobab were used</w:t>
      </w:r>
      <w:r w:rsidRPr="003F2498">
        <w:rPr>
          <w:rFonts w:cs="Times New Roman"/>
          <w:szCs w:val="24"/>
        </w:rPr>
        <w:t xml:space="preserve"> at a 15:15:100 ratio</w:t>
      </w:r>
      <w:r>
        <w:rPr>
          <w:rFonts w:cs="Times New Roman"/>
          <w:szCs w:val="24"/>
        </w:rPr>
        <w:t xml:space="preserve"> to fortify the maize porridge, iron bioaccessibility increased, both in terms of percentage and amount by 31% and 15%, respectively </w:t>
      </w:r>
      <w:r w:rsidR="000D7B8E">
        <w:rPr>
          <w:rFonts w:cs="Times New Roman"/>
          <w:szCs w:val="24"/>
        </w:rPr>
        <w:t xml:space="preserve">when </w:t>
      </w:r>
      <w:r>
        <w:rPr>
          <w:rFonts w:cs="Times New Roman"/>
          <w:szCs w:val="24"/>
        </w:rPr>
        <w:t xml:space="preserve">compared to maize porridge by pairwise comparison </w:t>
      </w:r>
      <w:r w:rsidRPr="006A6E94">
        <w:rPr>
          <w:rFonts w:cs="Times New Roman"/>
          <w:szCs w:val="24"/>
        </w:rPr>
        <w:t>(Table</w:t>
      </w:r>
      <w:r>
        <w:rPr>
          <w:rFonts w:cs="Times New Roman"/>
          <w:szCs w:val="24"/>
        </w:rPr>
        <w:t xml:space="preserve"> </w:t>
      </w:r>
      <w:r w:rsidR="006A6E94">
        <w:rPr>
          <w:rFonts w:cs="Times New Roman"/>
          <w:szCs w:val="24"/>
        </w:rPr>
        <w:t>4.3.</w:t>
      </w:r>
      <w:r>
        <w:rPr>
          <w:rFonts w:cs="Times New Roman"/>
          <w:szCs w:val="24"/>
        </w:rPr>
        <w:t xml:space="preserve">4). In slight contrast, inclusion of β-carotene in maize porridge together with baobab fortification only increased the percentage iron bioaccessibility by 20%. In </w:t>
      </w:r>
      <w:r w:rsidR="000D7B8E">
        <w:rPr>
          <w:rFonts w:cs="Times New Roman"/>
          <w:szCs w:val="24"/>
        </w:rPr>
        <w:t>C</w:t>
      </w:r>
      <w:r>
        <w:rPr>
          <w:rFonts w:cs="Times New Roman"/>
          <w:szCs w:val="24"/>
        </w:rPr>
        <w:t xml:space="preserve">hapter </w:t>
      </w:r>
      <w:r w:rsidR="000D7B8E">
        <w:rPr>
          <w:rFonts w:cs="Times New Roman"/>
          <w:szCs w:val="24"/>
        </w:rPr>
        <w:t>4.</w:t>
      </w:r>
      <w:r>
        <w:rPr>
          <w:rFonts w:cs="Times New Roman"/>
          <w:szCs w:val="24"/>
        </w:rPr>
        <w:t xml:space="preserve">2, fortification of simple maize porridge with baobab alone </w:t>
      </w:r>
      <w:r w:rsidR="00672326">
        <w:rPr>
          <w:rFonts w:cs="Times New Roman"/>
          <w:szCs w:val="24"/>
        </w:rPr>
        <w:t>only</w:t>
      </w:r>
      <w:r w:rsidR="006A6E94">
        <w:rPr>
          <w:rFonts w:cs="Times New Roman"/>
          <w:szCs w:val="24"/>
        </w:rPr>
        <w:t xml:space="preserve"> </w:t>
      </w:r>
      <w:r>
        <w:rPr>
          <w:rFonts w:cs="Times New Roman"/>
          <w:szCs w:val="24"/>
        </w:rPr>
        <w:t xml:space="preserve">increased percentage iron bioaccessibility by 19%. The slightly better enhancement of iron bioaccessibility observed with carrot plus mango together with baobab fortification </w:t>
      </w:r>
      <w:bookmarkStart w:id="143" w:name="_Hlk54098900"/>
      <w:r>
        <w:rPr>
          <w:rFonts w:cs="Times New Roman"/>
          <w:szCs w:val="24"/>
        </w:rPr>
        <w:t xml:space="preserve">was </w:t>
      </w:r>
      <w:r w:rsidR="009E7815">
        <w:rPr>
          <w:rFonts w:cs="Times New Roman"/>
          <w:szCs w:val="24"/>
        </w:rPr>
        <w:t xml:space="preserve">very likely </w:t>
      </w:r>
      <w:r>
        <w:rPr>
          <w:rFonts w:cs="Times New Roman"/>
          <w:szCs w:val="24"/>
        </w:rPr>
        <w:t>due to the additive effects of the high β-carotene contents of carrot and mango and the high citric and ascorbic acids in baobab and mango.</w:t>
      </w:r>
      <w:r w:rsidR="00F054C7">
        <w:rPr>
          <w:rFonts w:cs="Times New Roman"/>
          <w:szCs w:val="24"/>
        </w:rPr>
        <w:t xml:space="preserve"> As previously mentioned, </w:t>
      </w:r>
      <w:r w:rsidR="00F054C7">
        <w:rPr>
          <w:lang w:val="en-ZA"/>
        </w:rPr>
        <w:t>the primary mechanism by which the ascorbic acid contributes to the iron bioaccessibility enhancement was most likely by reducing Fe</w:t>
      </w:r>
      <w:r w:rsidR="00F054C7" w:rsidRPr="00CF38C9">
        <w:rPr>
          <w:vertAlign w:val="superscript"/>
          <w:lang w:val="en-ZA"/>
        </w:rPr>
        <w:t>3+</w:t>
      </w:r>
      <w:r w:rsidR="00F054C7">
        <w:rPr>
          <w:lang w:val="en-ZA"/>
        </w:rPr>
        <w:t xml:space="preserve"> to Fe</w:t>
      </w:r>
      <w:r w:rsidR="00F054C7" w:rsidRPr="00CF38C9">
        <w:rPr>
          <w:vertAlign w:val="superscript"/>
          <w:lang w:val="en-ZA"/>
        </w:rPr>
        <w:t>2+</w:t>
      </w:r>
      <w:r w:rsidR="00F054C7">
        <w:rPr>
          <w:lang w:val="en-ZA"/>
        </w:rPr>
        <w:t xml:space="preserve">. </w:t>
      </w:r>
      <w:r>
        <w:rPr>
          <w:rFonts w:cs="Times New Roman"/>
          <w:szCs w:val="24"/>
        </w:rPr>
        <w:t xml:space="preserve">Hence, only food-to-food fortification with carrot plus mango in combination with baobab could potentially moderately increase the percentage contribution of the maize-based porridge to the iron absolute requirement (AR) for school-age children, from </w:t>
      </w:r>
      <w:r w:rsidR="00E94A36">
        <w:rPr>
          <w:rFonts w:cs="Times New Roman"/>
          <w:szCs w:val="24"/>
        </w:rPr>
        <w:t xml:space="preserve">approximately </w:t>
      </w:r>
      <w:r>
        <w:rPr>
          <w:rFonts w:cs="Times New Roman"/>
          <w:szCs w:val="24"/>
        </w:rPr>
        <w:t xml:space="preserve">69% to 80% and from 34% to 39% for women </w:t>
      </w:r>
      <w:r w:rsidR="00E94A36">
        <w:rPr>
          <w:rFonts w:cs="Times New Roman"/>
          <w:szCs w:val="24"/>
        </w:rPr>
        <w:t xml:space="preserve">of </w:t>
      </w:r>
      <w:r>
        <w:rPr>
          <w:rFonts w:cs="Times New Roman"/>
          <w:szCs w:val="24"/>
        </w:rPr>
        <w:t>19–50 years.</w:t>
      </w:r>
      <w:bookmarkEnd w:id="143"/>
    </w:p>
    <w:p w14:paraId="206563A0" w14:textId="77777777" w:rsidR="00A34C41" w:rsidRDefault="00A34C41" w:rsidP="006A6E94">
      <w:pPr>
        <w:spacing w:after="0"/>
        <w:rPr>
          <w:rFonts w:cs="Times New Roman"/>
          <w:szCs w:val="24"/>
        </w:rPr>
      </w:pPr>
    </w:p>
    <w:p w14:paraId="6CABAD37" w14:textId="1A5C9DDC" w:rsidR="00A34C41" w:rsidRDefault="00A34C41" w:rsidP="006818A8">
      <w:pPr>
        <w:rPr>
          <w:rFonts w:cs="Times New Roman"/>
          <w:szCs w:val="24"/>
        </w:rPr>
      </w:pPr>
      <w:r>
        <w:rPr>
          <w:rFonts w:cs="Times New Roman"/>
          <w:szCs w:val="24"/>
        </w:rPr>
        <w:t>With the ready-to-eat (extrusion-cooked) pearl millet-based porridges, fortification with various combinations of the food fortificants apparently greatly increased iron bioaccessibility, in terms of percentage and amount, by 225–905% and 404–1326%, respectively compared to uncooked pearl millet control (</w:t>
      </w:r>
      <w:r w:rsidRPr="006A6E94">
        <w:rPr>
          <w:rFonts w:cs="Times New Roman"/>
          <w:szCs w:val="24"/>
        </w:rPr>
        <w:t>Table</w:t>
      </w:r>
      <w:r>
        <w:rPr>
          <w:rFonts w:cs="Times New Roman"/>
          <w:szCs w:val="24"/>
        </w:rPr>
        <w:t xml:space="preserve"> </w:t>
      </w:r>
      <w:r w:rsidR="006A6E94">
        <w:rPr>
          <w:rFonts w:cs="Times New Roman"/>
          <w:szCs w:val="24"/>
        </w:rPr>
        <w:t>4.3.</w:t>
      </w:r>
      <w:r>
        <w:rPr>
          <w:rFonts w:cs="Times New Roman"/>
          <w:szCs w:val="24"/>
        </w:rPr>
        <w:t xml:space="preserve">5). This was presumably because the high content of organic acids in baobab, mango and papaya and the high β-carotene contents in carrot, mango and papaya were enhancing </w:t>
      </w:r>
      <w:bookmarkStart w:id="144" w:name="_Hlk54101477"/>
      <w:r>
        <w:rPr>
          <w:rFonts w:cs="Times New Roman"/>
          <w:szCs w:val="24"/>
        </w:rPr>
        <w:t>the solubility of the abundant iron present</w:t>
      </w:r>
      <w:bookmarkEnd w:id="144"/>
      <w:r>
        <w:rPr>
          <w:rFonts w:cs="Times New Roman"/>
          <w:szCs w:val="24"/>
        </w:rPr>
        <w:t xml:space="preserve"> (</w:t>
      </w:r>
      <w:r>
        <w:rPr>
          <w:rFonts w:cs="Times New Roman"/>
          <w:szCs w:val="24"/>
          <w:lang w:val="en-ZA"/>
        </w:rPr>
        <w:t>11.3–42.9 mg/100 g</w:t>
      </w:r>
      <w:r>
        <w:rPr>
          <w:rFonts w:cs="Times New Roman"/>
          <w:szCs w:val="24"/>
        </w:rPr>
        <w:t xml:space="preserve">). This iron was from </w:t>
      </w:r>
      <w:r w:rsidR="00E94A36">
        <w:rPr>
          <w:rFonts w:cs="Times New Roman"/>
          <w:szCs w:val="24"/>
        </w:rPr>
        <w:t xml:space="preserve">both </w:t>
      </w:r>
      <w:r>
        <w:rPr>
          <w:rFonts w:cs="Times New Roman"/>
          <w:szCs w:val="24"/>
        </w:rPr>
        <w:t xml:space="preserve">contamination and intrinsic iron in the pearl millet-based products. Papaya fruit </w:t>
      </w:r>
      <w:r w:rsidR="00E94A36">
        <w:rPr>
          <w:rFonts w:cs="Times New Roman"/>
          <w:szCs w:val="24"/>
        </w:rPr>
        <w:t>is rich in</w:t>
      </w:r>
      <w:r>
        <w:rPr>
          <w:rFonts w:cs="Times New Roman"/>
          <w:szCs w:val="24"/>
        </w:rPr>
        <w:t xml:space="preserve"> β-carotene, </w:t>
      </w:r>
      <w:r w:rsidR="00E94A36">
        <w:rPr>
          <w:rFonts w:cs="Times New Roman"/>
          <w:szCs w:val="24"/>
        </w:rPr>
        <w:t xml:space="preserve">approximately </w:t>
      </w:r>
      <w:r>
        <w:rPr>
          <w:rFonts w:cs="Times New Roman"/>
          <w:szCs w:val="24"/>
        </w:rPr>
        <w:t>2294 µg/100 g, dry basis (USDA, 2019) and citric acid, 176–379 mg/100 g, fresh weight (</w:t>
      </w:r>
      <w:r w:rsidRPr="00A34C41">
        <w:rPr>
          <w:rStyle w:val="Hyperlink"/>
          <w:rFonts w:cs="Times New Roman"/>
          <w:color w:val="auto"/>
          <w:szCs w:val="24"/>
          <w:u w:val="none"/>
        </w:rPr>
        <w:t xml:space="preserve">Hernández et al., 2009; Kelebek </w:t>
      </w:r>
      <w:r w:rsidR="004E69BC">
        <w:rPr>
          <w:rStyle w:val="Hyperlink"/>
          <w:rFonts w:cs="Times New Roman"/>
          <w:color w:val="auto"/>
          <w:szCs w:val="24"/>
          <w:u w:val="none"/>
        </w:rPr>
        <w:t>et al.</w:t>
      </w:r>
      <w:r w:rsidR="0063798A">
        <w:rPr>
          <w:rStyle w:val="Hyperlink"/>
          <w:rFonts w:cs="Times New Roman"/>
          <w:color w:val="auto"/>
          <w:szCs w:val="24"/>
          <w:u w:val="none"/>
        </w:rPr>
        <w:t>,</w:t>
      </w:r>
      <w:r w:rsidRPr="00A34C41">
        <w:rPr>
          <w:rStyle w:val="Hyperlink"/>
          <w:rFonts w:cs="Times New Roman"/>
          <w:color w:val="auto"/>
          <w:szCs w:val="24"/>
          <w:u w:val="none"/>
        </w:rPr>
        <w:t xml:space="preserve"> 201</w:t>
      </w:r>
      <w:r w:rsidR="004E69BC">
        <w:rPr>
          <w:rStyle w:val="Hyperlink"/>
          <w:rFonts w:cs="Times New Roman"/>
          <w:color w:val="auto"/>
          <w:szCs w:val="24"/>
          <w:u w:val="none"/>
        </w:rPr>
        <w:t>5</w:t>
      </w:r>
      <w:r>
        <w:rPr>
          <w:rFonts w:cs="Times New Roman"/>
          <w:szCs w:val="24"/>
        </w:rPr>
        <w:t xml:space="preserve">). </w:t>
      </w:r>
      <w:r w:rsidR="00905FB0">
        <w:rPr>
          <w:rFonts w:cs="Times New Roman"/>
          <w:szCs w:val="24"/>
        </w:rPr>
        <w:t xml:space="preserve">The findings of this study </w:t>
      </w:r>
      <w:r w:rsidR="00C50241">
        <w:rPr>
          <w:rFonts w:cs="Times New Roman"/>
          <w:szCs w:val="24"/>
        </w:rPr>
        <w:t>agree</w:t>
      </w:r>
      <w:r w:rsidR="00905FB0">
        <w:rPr>
          <w:rFonts w:cs="Times New Roman"/>
          <w:szCs w:val="24"/>
        </w:rPr>
        <w:t xml:space="preserve"> with those of Chapter 4.2 where baobab fortification of conventionally iron fortified maize-based porridge, containing carrot and mango, greatly increased iron bioaccessibility</w:t>
      </w:r>
      <w:r w:rsidR="00C50241">
        <w:rPr>
          <w:rFonts w:cs="Times New Roman"/>
          <w:szCs w:val="24"/>
        </w:rPr>
        <w:t>,</w:t>
      </w:r>
      <w:r w:rsidR="00905FB0">
        <w:rPr>
          <w:rFonts w:cs="Times New Roman"/>
          <w:szCs w:val="24"/>
        </w:rPr>
        <w:t xml:space="preserve"> both in terms of percentage and amount</w:t>
      </w:r>
      <w:r w:rsidR="00C50241">
        <w:rPr>
          <w:rFonts w:cs="Times New Roman"/>
          <w:szCs w:val="24"/>
        </w:rPr>
        <w:t>,</w:t>
      </w:r>
      <w:r w:rsidR="00905FB0">
        <w:rPr>
          <w:rFonts w:cs="Times New Roman"/>
          <w:szCs w:val="24"/>
        </w:rPr>
        <w:t xml:space="preserve"> compared to </w:t>
      </w:r>
      <w:r w:rsidR="00C50241">
        <w:rPr>
          <w:rFonts w:cs="Times New Roman"/>
          <w:szCs w:val="24"/>
        </w:rPr>
        <w:t>baobab fortified-</w:t>
      </w:r>
      <w:r w:rsidR="00905FB0">
        <w:rPr>
          <w:rFonts w:cs="Times New Roman"/>
          <w:szCs w:val="24"/>
        </w:rPr>
        <w:t xml:space="preserve">maize porridge </w:t>
      </w:r>
      <w:r w:rsidR="00C50241">
        <w:rPr>
          <w:rFonts w:cs="Times New Roman"/>
          <w:szCs w:val="24"/>
        </w:rPr>
        <w:t>without conventional iron fortification</w:t>
      </w:r>
      <w:r w:rsidR="00905FB0">
        <w:rPr>
          <w:rFonts w:cs="Times New Roman"/>
          <w:szCs w:val="24"/>
        </w:rPr>
        <w:t xml:space="preserve">. </w:t>
      </w:r>
      <w:r>
        <w:rPr>
          <w:rFonts w:cs="Times New Roman"/>
          <w:szCs w:val="24"/>
        </w:rPr>
        <w:t xml:space="preserve"> This suggest that the full potential of the iron bioavailability enhancers can be maximized in the presence of potentially available abundant iron in the food matrix</w:t>
      </w:r>
      <w:r w:rsidR="00387213">
        <w:rPr>
          <w:rFonts w:cs="Times New Roman"/>
          <w:szCs w:val="24"/>
        </w:rPr>
        <w:t>.</w:t>
      </w:r>
      <w:r>
        <w:rPr>
          <w:rFonts w:cs="Times New Roman"/>
          <w:szCs w:val="24"/>
        </w:rPr>
        <w:t xml:space="preserve"> Greffeuille et al. (2011) similarly </w:t>
      </w:r>
      <w:r w:rsidR="00935CB3">
        <w:rPr>
          <w:rFonts w:cs="Times New Roman"/>
          <w:szCs w:val="24"/>
        </w:rPr>
        <w:t>found</w:t>
      </w:r>
      <w:r>
        <w:rPr>
          <w:rFonts w:cs="Times New Roman"/>
          <w:szCs w:val="24"/>
        </w:rPr>
        <w:t xml:space="preserve"> that iron-contaminated maize products, which contained 4-fold more iron compared to raw maize grain, although having slight negative effect on percentage bioaccessible iron, increased the amount of bioaccessible iron, by more than 3-fold.</w:t>
      </w:r>
      <w:r w:rsidR="00387213" w:rsidDel="00387213">
        <w:rPr>
          <w:rFonts w:cs="Times New Roman"/>
          <w:szCs w:val="24"/>
        </w:rPr>
        <w:t xml:space="preserve"> </w:t>
      </w:r>
      <w:r>
        <w:rPr>
          <w:rFonts w:cs="Times New Roman"/>
          <w:szCs w:val="24"/>
        </w:rPr>
        <w:t xml:space="preserve">As the </w:t>
      </w:r>
      <w:r w:rsidR="00935CB3">
        <w:rPr>
          <w:rFonts w:cs="Times New Roman"/>
          <w:szCs w:val="24"/>
        </w:rPr>
        <w:t>contaminating iron in this study</w:t>
      </w:r>
      <w:r>
        <w:rPr>
          <w:rFonts w:cs="Times New Roman"/>
          <w:szCs w:val="24"/>
        </w:rPr>
        <w:t xml:space="preserve"> was similarly from milling and cooking equipment, this indicates that </w:t>
      </w:r>
      <w:r w:rsidR="00935CB3">
        <w:rPr>
          <w:rFonts w:cs="Times New Roman"/>
          <w:szCs w:val="24"/>
        </w:rPr>
        <w:t xml:space="preserve">the </w:t>
      </w:r>
      <w:r>
        <w:rPr>
          <w:rFonts w:cs="Times New Roman"/>
          <w:szCs w:val="24"/>
        </w:rPr>
        <w:t>contaminating iron would be potentially bioavailable in the extruded pearl millet products.</w:t>
      </w:r>
    </w:p>
    <w:p w14:paraId="11210ABF" w14:textId="77777777" w:rsidR="00A34C41" w:rsidRDefault="00A34C41" w:rsidP="006A6E94">
      <w:pPr>
        <w:spacing w:after="0"/>
        <w:rPr>
          <w:rFonts w:cs="Times New Roman"/>
          <w:szCs w:val="24"/>
        </w:rPr>
      </w:pPr>
    </w:p>
    <w:p w14:paraId="3BA60D4A" w14:textId="44BCEB51" w:rsidR="00A34C41" w:rsidRDefault="00A34C41" w:rsidP="006818A8">
      <w:pPr>
        <w:rPr>
          <w:rFonts w:cs="Times New Roman"/>
          <w:szCs w:val="24"/>
        </w:rPr>
      </w:pPr>
      <w:r>
        <w:rPr>
          <w:rFonts w:cs="Times New Roman"/>
          <w:szCs w:val="24"/>
          <w:lang w:val="en-ZA"/>
        </w:rPr>
        <w:t>However, baobab plus hibiscus fortified-pearl millet</w:t>
      </w:r>
      <w:r w:rsidR="006A6E94">
        <w:rPr>
          <w:rFonts w:cs="Times New Roman"/>
          <w:szCs w:val="24"/>
          <w:lang w:val="en-ZA"/>
        </w:rPr>
        <w:t>-based</w:t>
      </w:r>
      <w:r>
        <w:rPr>
          <w:rFonts w:cs="Times New Roman"/>
          <w:szCs w:val="24"/>
          <w:lang w:val="en-ZA"/>
        </w:rPr>
        <w:t xml:space="preserve"> porridge, although it contained the highest iron (both contaminating iron and intrinsic iron) </w:t>
      </w:r>
      <w:r w:rsidRPr="006A6E94">
        <w:rPr>
          <w:rFonts w:cs="Times New Roman"/>
          <w:szCs w:val="24"/>
          <w:lang w:val="en-ZA"/>
        </w:rPr>
        <w:t>(Table</w:t>
      </w:r>
      <w:r>
        <w:rPr>
          <w:rFonts w:cs="Times New Roman"/>
          <w:szCs w:val="24"/>
          <w:lang w:val="en-ZA"/>
        </w:rPr>
        <w:t xml:space="preserve"> </w:t>
      </w:r>
      <w:r w:rsidR="006A6E94">
        <w:rPr>
          <w:rFonts w:cs="Times New Roman"/>
          <w:szCs w:val="24"/>
          <w:lang w:val="en-ZA"/>
        </w:rPr>
        <w:t>4.3.</w:t>
      </w:r>
      <w:r>
        <w:rPr>
          <w:rFonts w:cs="Times New Roman"/>
          <w:szCs w:val="24"/>
          <w:lang w:val="en-ZA"/>
        </w:rPr>
        <w:t xml:space="preserve">2), increased iron bioaccessibility the least </w:t>
      </w:r>
      <w:r w:rsidRPr="006A6E94">
        <w:rPr>
          <w:rFonts w:cs="Times New Roman"/>
          <w:szCs w:val="24"/>
          <w:lang w:val="en-ZA"/>
        </w:rPr>
        <w:t>(Table</w:t>
      </w:r>
      <w:r>
        <w:rPr>
          <w:rFonts w:cs="Times New Roman"/>
          <w:szCs w:val="24"/>
          <w:lang w:val="en-ZA"/>
        </w:rPr>
        <w:t xml:space="preserve"> </w:t>
      </w:r>
      <w:r w:rsidR="006A6E94">
        <w:rPr>
          <w:rFonts w:cs="Times New Roman"/>
          <w:szCs w:val="24"/>
          <w:lang w:val="en-ZA"/>
        </w:rPr>
        <w:t>4.3.</w:t>
      </w:r>
      <w:r>
        <w:rPr>
          <w:rFonts w:cs="Times New Roman"/>
          <w:szCs w:val="24"/>
          <w:lang w:val="en-ZA"/>
        </w:rPr>
        <w:t xml:space="preserve">5). This was </w:t>
      </w:r>
      <w:r w:rsidR="009E7815">
        <w:rPr>
          <w:rFonts w:cs="Times New Roman"/>
          <w:szCs w:val="24"/>
          <w:lang w:val="en-ZA"/>
        </w:rPr>
        <w:t>likely</w:t>
      </w:r>
      <w:r>
        <w:rPr>
          <w:rFonts w:cs="Times New Roman"/>
          <w:szCs w:val="24"/>
          <w:lang w:val="en-ZA"/>
        </w:rPr>
        <w:t xml:space="preserve"> because the porridge lacked plant food sources of </w:t>
      </w:r>
      <w:r>
        <w:rPr>
          <w:rFonts w:cs="Times New Roman"/>
          <w:szCs w:val="24"/>
        </w:rPr>
        <w:t>β-carotene</w:t>
      </w:r>
      <w:r>
        <w:rPr>
          <w:rFonts w:cs="Times New Roman"/>
          <w:szCs w:val="24"/>
          <w:lang w:val="en-ZA"/>
        </w:rPr>
        <w:t xml:space="preserve">, unlike the other pearl millet-based porridge formulations which </w:t>
      </w:r>
      <w:r w:rsidR="00223BDB">
        <w:rPr>
          <w:rFonts w:cs="Times New Roman"/>
          <w:szCs w:val="24"/>
          <w:lang w:val="en-ZA"/>
        </w:rPr>
        <w:t xml:space="preserve">would </w:t>
      </w:r>
      <w:r>
        <w:rPr>
          <w:rFonts w:cs="Times New Roman"/>
          <w:szCs w:val="24"/>
          <w:lang w:val="en-ZA"/>
        </w:rPr>
        <w:t xml:space="preserve">contain substantial amounts </w:t>
      </w:r>
      <w:r w:rsidR="00223BDB">
        <w:rPr>
          <w:rFonts w:cs="Times New Roman"/>
          <w:szCs w:val="24"/>
          <w:lang w:val="en-ZA"/>
        </w:rPr>
        <w:t xml:space="preserve">of </w:t>
      </w:r>
      <w:r w:rsidR="00223BDB">
        <w:rPr>
          <w:rFonts w:cs="Times New Roman"/>
          <w:szCs w:val="24"/>
        </w:rPr>
        <w:t>β-carotene</w:t>
      </w:r>
      <w:r w:rsidR="00223BDB">
        <w:rPr>
          <w:rFonts w:cs="Times New Roman"/>
          <w:szCs w:val="24"/>
          <w:lang w:val="en-ZA"/>
        </w:rPr>
        <w:t xml:space="preserve"> </w:t>
      </w:r>
      <w:r w:rsidR="00FE2C43">
        <w:rPr>
          <w:rFonts w:cs="Times New Roman"/>
          <w:szCs w:val="24"/>
          <w:lang w:val="en-ZA"/>
        </w:rPr>
        <w:t xml:space="preserve">plus additional organic acids </w:t>
      </w:r>
      <w:r w:rsidR="00223BDB">
        <w:rPr>
          <w:rFonts w:cs="Times New Roman"/>
          <w:szCs w:val="24"/>
          <w:lang w:val="en-ZA"/>
        </w:rPr>
        <w:t>from carrot, mango and/or papaya</w:t>
      </w:r>
      <w:r>
        <w:rPr>
          <w:rFonts w:cs="Times New Roman"/>
          <w:szCs w:val="24"/>
          <w:lang w:val="en-ZA"/>
        </w:rPr>
        <w:t xml:space="preserve">. It is also noteworthy that fortification with carrot, papaya, baobab together with the micronutrient premix, which contained vitamin A (840 IU), increased the iron bioaccessibility the most. This was </w:t>
      </w:r>
      <w:r w:rsidR="009E7815">
        <w:rPr>
          <w:rFonts w:cs="Times New Roman"/>
          <w:szCs w:val="24"/>
          <w:lang w:val="en-ZA"/>
        </w:rPr>
        <w:t>likely</w:t>
      </w:r>
      <w:r>
        <w:rPr>
          <w:rFonts w:cs="Times New Roman"/>
          <w:szCs w:val="24"/>
          <w:lang w:val="en-ZA"/>
        </w:rPr>
        <w:t xml:space="preserve"> due to the additional enhancing effects of the added vitamin A. </w:t>
      </w:r>
      <w:r w:rsidR="00BA4754">
        <w:rPr>
          <w:rFonts w:cs="Times New Roman"/>
          <w:szCs w:val="24"/>
          <w:lang w:val="en-ZA"/>
        </w:rPr>
        <w:t>V</w:t>
      </w:r>
      <w:r>
        <w:rPr>
          <w:rFonts w:cs="Times New Roman"/>
          <w:szCs w:val="24"/>
          <w:lang w:val="en-ZA"/>
        </w:rPr>
        <w:t xml:space="preserve">itamin A fortification of rice, maize and wheat food products </w:t>
      </w:r>
      <w:r w:rsidR="009E7815">
        <w:rPr>
          <w:rFonts w:cs="Times New Roman"/>
          <w:szCs w:val="24"/>
          <w:lang w:val="en-ZA"/>
        </w:rPr>
        <w:t>have</w:t>
      </w:r>
      <w:r>
        <w:rPr>
          <w:rFonts w:cs="Times New Roman"/>
          <w:szCs w:val="24"/>
          <w:lang w:val="en-ZA"/>
        </w:rPr>
        <w:t xml:space="preserve"> been found to increase iron absorption in human subjects, by 119%, 120% and 83%, respectively </w:t>
      </w:r>
      <w:bookmarkStart w:id="145" w:name="_Hlk54102326"/>
      <w:r>
        <w:rPr>
          <w:rFonts w:cs="Times New Roman"/>
          <w:szCs w:val="24"/>
          <w:lang w:val="en-ZA"/>
        </w:rPr>
        <w:t>(</w:t>
      </w:r>
      <w:r w:rsidR="00110778" w:rsidRPr="000D7DDF">
        <w:rPr>
          <w:rFonts w:cs="Times New Roman"/>
          <w:szCs w:val="24"/>
          <w:shd w:val="clear" w:color="auto" w:fill="FFFFFF"/>
        </w:rPr>
        <w:t>Garcı́a</w:t>
      </w:r>
      <w:r>
        <w:rPr>
          <w:rFonts w:cs="Times New Roman"/>
          <w:szCs w:val="24"/>
          <w:lang w:val="en-ZA"/>
        </w:rPr>
        <w:t>-Casal et al., 1998)</w:t>
      </w:r>
      <w:bookmarkEnd w:id="145"/>
      <w:r>
        <w:rPr>
          <w:rFonts w:cs="Times New Roman"/>
          <w:szCs w:val="24"/>
          <w:lang w:val="en-ZA"/>
        </w:rPr>
        <w:t xml:space="preserve">. </w:t>
      </w:r>
    </w:p>
    <w:p w14:paraId="6C58A9CB" w14:textId="77777777" w:rsidR="00A34C41" w:rsidRDefault="00A34C41" w:rsidP="00BD44C6">
      <w:pPr>
        <w:spacing w:after="0"/>
        <w:rPr>
          <w:rFonts w:cs="Times New Roman"/>
          <w:szCs w:val="24"/>
        </w:rPr>
      </w:pPr>
    </w:p>
    <w:p w14:paraId="2076CFC0" w14:textId="026C044B" w:rsidR="00A34C41" w:rsidRDefault="00611343" w:rsidP="006818A8">
      <w:pPr>
        <w:rPr>
          <w:rFonts w:cs="Times New Roman"/>
          <w:szCs w:val="24"/>
          <w:lang w:val="en-ZA"/>
        </w:rPr>
      </w:pPr>
      <w:bookmarkStart w:id="146" w:name="_Hlk54105289"/>
      <w:r>
        <w:rPr>
          <w:rFonts w:cs="Times New Roman"/>
          <w:szCs w:val="24"/>
        </w:rPr>
        <w:t>E</w:t>
      </w:r>
      <w:r w:rsidR="00A34C41">
        <w:rPr>
          <w:rFonts w:cs="Times New Roman"/>
          <w:szCs w:val="24"/>
        </w:rPr>
        <w:t xml:space="preserve">xtrusion cooking </w:t>
      </w:r>
      <w:r w:rsidR="00FE2C43">
        <w:rPr>
          <w:rFonts w:cs="Times New Roman"/>
          <w:szCs w:val="24"/>
        </w:rPr>
        <w:t xml:space="preserve">of the </w:t>
      </w:r>
      <w:r w:rsidR="00A34C41">
        <w:rPr>
          <w:rFonts w:cs="Times New Roman"/>
          <w:szCs w:val="24"/>
        </w:rPr>
        <w:t xml:space="preserve">pearl millet-based </w:t>
      </w:r>
      <w:r w:rsidR="000742ED">
        <w:rPr>
          <w:rFonts w:cs="Times New Roman"/>
          <w:szCs w:val="24"/>
        </w:rPr>
        <w:t xml:space="preserve">formulations </w:t>
      </w:r>
      <w:r w:rsidR="00FE2C43">
        <w:rPr>
          <w:rFonts w:cs="Times New Roman"/>
          <w:szCs w:val="24"/>
        </w:rPr>
        <w:t>could also</w:t>
      </w:r>
      <w:r w:rsidR="000742ED">
        <w:rPr>
          <w:rFonts w:cs="Times New Roman"/>
          <w:szCs w:val="24"/>
        </w:rPr>
        <w:t xml:space="preserve"> </w:t>
      </w:r>
      <w:r w:rsidR="00A34C41">
        <w:rPr>
          <w:rFonts w:cs="Times New Roman"/>
          <w:szCs w:val="24"/>
        </w:rPr>
        <w:t xml:space="preserve">have contributed to the </w:t>
      </w:r>
      <w:r w:rsidR="000742ED">
        <w:rPr>
          <w:rFonts w:cs="Times New Roman"/>
          <w:szCs w:val="24"/>
        </w:rPr>
        <w:t xml:space="preserve">observed </w:t>
      </w:r>
      <w:r w:rsidR="00A34C41">
        <w:rPr>
          <w:rFonts w:cs="Times New Roman"/>
          <w:szCs w:val="24"/>
        </w:rPr>
        <w:t xml:space="preserve">increases in iron bioaccessibility. The </w:t>
      </w:r>
      <w:r w:rsidR="006A6E94">
        <w:rPr>
          <w:rFonts w:cs="Times New Roman"/>
          <w:szCs w:val="24"/>
        </w:rPr>
        <w:t>high</w:t>
      </w:r>
      <w:r w:rsidR="00A34C41">
        <w:rPr>
          <w:rFonts w:cs="Times New Roman"/>
          <w:szCs w:val="24"/>
          <w:lang w:val="en-ZA"/>
        </w:rPr>
        <w:t xml:space="preserve"> temperature and pressure of extrusion</w:t>
      </w:r>
      <w:r w:rsidR="006A6E94">
        <w:rPr>
          <w:rFonts w:cs="Times New Roman"/>
          <w:szCs w:val="24"/>
          <w:lang w:val="en-ZA"/>
        </w:rPr>
        <w:t xml:space="preserve"> </w:t>
      </w:r>
      <w:r w:rsidR="00A34C41">
        <w:rPr>
          <w:rFonts w:cs="Times New Roman"/>
          <w:szCs w:val="24"/>
          <w:lang w:val="en-ZA"/>
        </w:rPr>
        <w:t xml:space="preserve">cooking can degrade phytate and polyphenols, thereby reducing their mineral chelating effects </w:t>
      </w:r>
      <w:r w:rsidR="00A34C41" w:rsidRPr="00C03A27">
        <w:rPr>
          <w:rFonts w:cs="Times New Roman"/>
          <w:szCs w:val="24"/>
          <w:lang w:val="en-ZA"/>
        </w:rPr>
        <w:t>(</w:t>
      </w:r>
      <w:r w:rsidR="00A34C41" w:rsidRPr="00C03A27">
        <w:rPr>
          <w:rFonts w:cs="Times New Roman"/>
          <w:szCs w:val="24"/>
          <w:shd w:val="clear" w:color="auto" w:fill="FFFFFF"/>
        </w:rPr>
        <w:t>Alonso et al., 2001;</w:t>
      </w:r>
      <w:r w:rsidR="00A34C41">
        <w:rPr>
          <w:rFonts w:cs="Times New Roman"/>
          <w:color w:val="222222"/>
          <w:szCs w:val="24"/>
          <w:shd w:val="clear" w:color="auto" w:fill="FFFFFF"/>
        </w:rPr>
        <w:t xml:space="preserve"> </w:t>
      </w:r>
      <w:r w:rsidR="00A34C41">
        <w:rPr>
          <w:rFonts w:cs="Times New Roman"/>
          <w:szCs w:val="24"/>
        </w:rPr>
        <w:t>Kaur et al., 2015</w:t>
      </w:r>
      <w:r w:rsidR="00A34C41">
        <w:rPr>
          <w:rFonts w:cs="Times New Roman"/>
          <w:szCs w:val="24"/>
          <w:lang w:val="en-ZA"/>
        </w:rPr>
        <w:t>).</w:t>
      </w:r>
      <w:bookmarkEnd w:id="146"/>
      <w:r w:rsidR="00A34C41">
        <w:rPr>
          <w:rFonts w:cs="Times New Roman"/>
          <w:szCs w:val="24"/>
          <w:lang w:val="en-ZA"/>
        </w:rPr>
        <w:t xml:space="preserve"> </w:t>
      </w:r>
      <w:r w:rsidR="00A34C41" w:rsidRPr="00C03A27">
        <w:rPr>
          <w:rFonts w:cs="Times New Roman"/>
          <w:szCs w:val="24"/>
          <w:shd w:val="clear" w:color="auto" w:fill="FFFFFF"/>
        </w:rPr>
        <w:t xml:space="preserve">Alonso et al. </w:t>
      </w:r>
      <w:r w:rsidR="00A34C41">
        <w:rPr>
          <w:rFonts w:cs="Times New Roman"/>
          <w:szCs w:val="24"/>
          <w:shd w:val="clear" w:color="auto" w:fill="FFFFFF"/>
        </w:rPr>
        <w:t>(</w:t>
      </w:r>
      <w:r w:rsidR="00A34C41" w:rsidRPr="00C03A27">
        <w:rPr>
          <w:rFonts w:cs="Times New Roman"/>
          <w:szCs w:val="24"/>
          <w:shd w:val="clear" w:color="auto" w:fill="FFFFFF"/>
        </w:rPr>
        <w:t>2001</w:t>
      </w:r>
      <w:r w:rsidR="00A34C41">
        <w:rPr>
          <w:rFonts w:cs="Times New Roman"/>
          <w:szCs w:val="24"/>
          <w:shd w:val="clear" w:color="auto" w:fill="FFFFFF"/>
        </w:rPr>
        <w:t xml:space="preserve">) </w:t>
      </w:r>
      <w:r w:rsidR="00A34C41">
        <w:rPr>
          <w:rFonts w:cs="Times New Roman"/>
          <w:szCs w:val="24"/>
          <w:lang w:val="en-ZA"/>
        </w:rPr>
        <w:t xml:space="preserve">found that iron absorption in rats was increased when peas were extrusion-cooked. </w:t>
      </w:r>
      <w:r w:rsidR="000742ED">
        <w:rPr>
          <w:rFonts w:cs="Times New Roman"/>
          <w:szCs w:val="24"/>
          <w:lang w:val="en-ZA"/>
        </w:rPr>
        <w:t>Similarly</w:t>
      </w:r>
      <w:r w:rsidR="00A34C41">
        <w:rPr>
          <w:rFonts w:cs="Times New Roman"/>
          <w:szCs w:val="24"/>
          <w:lang w:val="en-ZA"/>
        </w:rPr>
        <w:t>, Nkundabombi et al. (201</w:t>
      </w:r>
      <w:r>
        <w:rPr>
          <w:rFonts w:cs="Times New Roman"/>
          <w:szCs w:val="24"/>
          <w:lang w:val="en-ZA"/>
        </w:rPr>
        <w:t>6</w:t>
      </w:r>
      <w:r w:rsidR="00A34C41">
        <w:rPr>
          <w:rFonts w:cs="Times New Roman"/>
          <w:szCs w:val="24"/>
          <w:lang w:val="en-ZA"/>
        </w:rPr>
        <w:t xml:space="preserve">) found that the percentage </w:t>
      </w:r>
      <w:r w:rsidR="00D5016D">
        <w:rPr>
          <w:rFonts w:cs="Times New Roman"/>
          <w:i/>
          <w:iCs/>
          <w:szCs w:val="24"/>
          <w:lang w:val="en-ZA"/>
        </w:rPr>
        <w:t>i</w:t>
      </w:r>
      <w:r w:rsidR="00D5016D" w:rsidRPr="00D5016D">
        <w:rPr>
          <w:rFonts w:cs="Times New Roman"/>
          <w:i/>
          <w:iCs/>
          <w:szCs w:val="24"/>
          <w:lang w:val="en-ZA"/>
        </w:rPr>
        <w:t>n vitro</w:t>
      </w:r>
      <w:r w:rsidR="00A34C41">
        <w:rPr>
          <w:rFonts w:cs="Times New Roman"/>
          <w:i/>
          <w:iCs/>
          <w:szCs w:val="24"/>
          <w:lang w:val="en-ZA"/>
        </w:rPr>
        <w:t xml:space="preserve"> </w:t>
      </w:r>
      <w:r w:rsidR="00A34C41">
        <w:rPr>
          <w:rFonts w:cs="Times New Roman"/>
          <w:szCs w:val="24"/>
          <w:lang w:val="en-ZA"/>
        </w:rPr>
        <w:t>iron solubility increased after raw amaranth-rice-bean flour was extrusion</w:t>
      </w:r>
      <w:r w:rsidR="00BA4754">
        <w:rPr>
          <w:rFonts w:cs="Times New Roman"/>
          <w:szCs w:val="24"/>
          <w:lang w:val="en-ZA"/>
        </w:rPr>
        <w:t>-</w:t>
      </w:r>
      <w:r w:rsidR="00A34C41">
        <w:rPr>
          <w:rFonts w:cs="Times New Roman"/>
          <w:szCs w:val="24"/>
          <w:lang w:val="en-ZA"/>
        </w:rPr>
        <w:t>cooked.  This was also attributed to phytate degradation.</w:t>
      </w:r>
    </w:p>
    <w:p w14:paraId="090CCE19" w14:textId="77777777" w:rsidR="00A34C41" w:rsidRDefault="00A34C41" w:rsidP="00BD44C6">
      <w:pPr>
        <w:spacing w:after="0"/>
        <w:rPr>
          <w:rFonts w:cs="Times New Roman"/>
          <w:szCs w:val="24"/>
        </w:rPr>
      </w:pPr>
    </w:p>
    <w:p w14:paraId="5098C754" w14:textId="06B5DB95" w:rsidR="00A34C41" w:rsidRDefault="00A34C41" w:rsidP="006818A8">
      <w:pPr>
        <w:rPr>
          <w:rFonts w:cs="Times New Roman"/>
          <w:szCs w:val="24"/>
          <w:lang w:val="en-ZA"/>
        </w:rPr>
      </w:pPr>
      <w:r>
        <w:rPr>
          <w:rFonts w:cs="Times New Roman"/>
          <w:szCs w:val="24"/>
          <w:lang w:val="en-ZA"/>
        </w:rPr>
        <w:t>Thus, a 100 g (dry basis) serving of the extrusion-cooked pearl millet-based porridge fortified with carrot, papaya, baobab together with micronutrient premix could potentially increase the percentage contribution of iron AR considerably</w:t>
      </w:r>
      <w:r w:rsidR="000742ED">
        <w:rPr>
          <w:rFonts w:cs="Times New Roman"/>
          <w:szCs w:val="24"/>
          <w:lang w:val="en-ZA"/>
        </w:rPr>
        <w:t>,</w:t>
      </w:r>
      <w:r>
        <w:rPr>
          <w:rFonts w:cs="Times New Roman"/>
          <w:szCs w:val="24"/>
          <w:lang w:val="en-ZA"/>
        </w:rPr>
        <w:t xml:space="preserve"> from </w:t>
      </w:r>
      <w:r w:rsidR="000742ED">
        <w:rPr>
          <w:rFonts w:cs="Times New Roman"/>
          <w:szCs w:val="24"/>
          <w:lang w:val="en-ZA"/>
        </w:rPr>
        <w:t xml:space="preserve">approximately </w:t>
      </w:r>
      <w:r>
        <w:rPr>
          <w:rFonts w:cs="Times New Roman"/>
          <w:szCs w:val="24"/>
          <w:lang w:val="en-ZA"/>
        </w:rPr>
        <w:t xml:space="preserve">27% to 602% for school-age children and from 13% to 293% for women </w:t>
      </w:r>
      <w:r w:rsidR="000742ED">
        <w:rPr>
          <w:rFonts w:cs="Times New Roman"/>
          <w:szCs w:val="24"/>
          <w:lang w:val="en-ZA"/>
        </w:rPr>
        <w:t xml:space="preserve">of </w:t>
      </w:r>
      <w:r>
        <w:rPr>
          <w:rFonts w:cs="Times New Roman"/>
          <w:szCs w:val="24"/>
          <w:lang w:val="en-ZA"/>
        </w:rPr>
        <w:t>19–50 years. This is bearing in mind that some of the observed increase in iron bioaccessibility was likely to have been due to the presence of contaminating iron. Also, with this proviso the other extrusion-cooked food-to-food fortified-pearl millet</w:t>
      </w:r>
      <w:r w:rsidR="006A6E94">
        <w:rPr>
          <w:rFonts w:cs="Times New Roman"/>
          <w:szCs w:val="24"/>
          <w:lang w:val="en-ZA"/>
        </w:rPr>
        <w:t>-based</w:t>
      </w:r>
      <w:r>
        <w:rPr>
          <w:rFonts w:cs="Times New Roman"/>
          <w:szCs w:val="24"/>
          <w:lang w:val="en-ZA"/>
        </w:rPr>
        <w:t xml:space="preserve"> porridge formulations could also potentially substantially increase the</w:t>
      </w:r>
      <w:r w:rsidR="00090214">
        <w:rPr>
          <w:rFonts w:cs="Times New Roman"/>
          <w:szCs w:val="24"/>
          <w:lang w:val="en-ZA"/>
        </w:rPr>
        <w:t>ir</w:t>
      </w:r>
      <w:r>
        <w:rPr>
          <w:rFonts w:cs="Times New Roman"/>
          <w:szCs w:val="24"/>
          <w:lang w:val="en-ZA"/>
        </w:rPr>
        <w:t xml:space="preserve"> percentage contribution</w:t>
      </w:r>
      <w:r w:rsidR="00090214">
        <w:rPr>
          <w:rFonts w:cs="Times New Roman"/>
          <w:szCs w:val="24"/>
          <w:lang w:val="en-ZA"/>
        </w:rPr>
        <w:t>s</w:t>
      </w:r>
      <w:r>
        <w:rPr>
          <w:rFonts w:cs="Times New Roman"/>
          <w:szCs w:val="24"/>
          <w:lang w:val="en-ZA"/>
        </w:rPr>
        <w:t xml:space="preserve"> </w:t>
      </w:r>
      <w:r w:rsidR="00090214">
        <w:rPr>
          <w:rFonts w:cs="Times New Roman"/>
          <w:szCs w:val="24"/>
          <w:lang w:val="en-ZA"/>
        </w:rPr>
        <w:t>to</w:t>
      </w:r>
      <w:r>
        <w:rPr>
          <w:rFonts w:cs="Times New Roman"/>
          <w:szCs w:val="24"/>
          <w:lang w:val="en-ZA"/>
        </w:rPr>
        <w:t xml:space="preserve"> </w:t>
      </w:r>
      <w:r w:rsidR="00090214">
        <w:rPr>
          <w:rFonts w:cs="Times New Roman"/>
          <w:szCs w:val="24"/>
          <w:lang w:val="en-ZA"/>
        </w:rPr>
        <w:t xml:space="preserve">the </w:t>
      </w:r>
      <w:r>
        <w:rPr>
          <w:rFonts w:cs="Times New Roman"/>
          <w:szCs w:val="24"/>
          <w:lang w:val="en-ZA"/>
        </w:rPr>
        <w:t>AR</w:t>
      </w:r>
      <w:r w:rsidR="00090214">
        <w:rPr>
          <w:rFonts w:cs="Times New Roman"/>
          <w:szCs w:val="24"/>
          <w:lang w:val="en-ZA"/>
        </w:rPr>
        <w:t>s</w:t>
      </w:r>
      <w:r>
        <w:rPr>
          <w:rFonts w:cs="Times New Roman"/>
          <w:szCs w:val="24"/>
          <w:lang w:val="en-ZA"/>
        </w:rPr>
        <w:t xml:space="preserve">, to 136–384% and 66–187% for school-age children and women </w:t>
      </w:r>
      <w:r w:rsidR="00090214">
        <w:rPr>
          <w:rFonts w:cs="Times New Roman"/>
          <w:szCs w:val="24"/>
          <w:lang w:val="en-ZA"/>
        </w:rPr>
        <w:t xml:space="preserve">of </w:t>
      </w:r>
      <w:r>
        <w:rPr>
          <w:rFonts w:cs="Times New Roman"/>
          <w:szCs w:val="24"/>
          <w:lang w:val="en-ZA"/>
        </w:rPr>
        <w:t>19–50 years, respectively.</w:t>
      </w:r>
    </w:p>
    <w:p w14:paraId="68BC0603" w14:textId="103F87E5" w:rsidR="00906090" w:rsidRDefault="00906090">
      <w:pPr>
        <w:spacing w:after="160" w:line="259" w:lineRule="auto"/>
        <w:rPr>
          <w:rFonts w:cs="Times New Roman"/>
          <w:szCs w:val="24"/>
        </w:rPr>
      </w:pPr>
      <w:r>
        <w:rPr>
          <w:rFonts w:cs="Times New Roman"/>
          <w:szCs w:val="24"/>
        </w:rPr>
        <w:br w:type="page"/>
      </w:r>
    </w:p>
    <w:p w14:paraId="704D17C2" w14:textId="77777777" w:rsidR="00906090" w:rsidRDefault="00906090" w:rsidP="00A34C41">
      <w:pPr>
        <w:spacing w:before="240" w:after="0"/>
        <w:rPr>
          <w:rFonts w:cs="Times New Roman"/>
          <w:szCs w:val="24"/>
        </w:rPr>
        <w:sectPr w:rsidR="00906090" w:rsidSect="00495671">
          <w:pgSz w:w="11907" w:h="16839" w:code="9"/>
          <w:pgMar w:top="1440" w:right="1440" w:bottom="1440" w:left="1440" w:header="720" w:footer="720" w:gutter="0"/>
          <w:cols w:space="720"/>
          <w:docGrid w:linePitch="360"/>
        </w:sectPr>
      </w:pPr>
    </w:p>
    <w:p w14:paraId="1E459072" w14:textId="62CCE614" w:rsidR="00906090" w:rsidRDefault="00906090" w:rsidP="006A6E94">
      <w:pPr>
        <w:pStyle w:val="MyTables"/>
        <w:spacing w:line="240" w:lineRule="auto"/>
        <w:rPr>
          <w:lang w:val="en-ZA"/>
        </w:rPr>
      </w:pPr>
      <w:bookmarkStart w:id="147" w:name="_Toc65253642"/>
      <w:r w:rsidRPr="00906090">
        <w:rPr>
          <w:b/>
          <w:bCs/>
          <w:lang w:val="en-ZA"/>
        </w:rPr>
        <w:t>Table 4.3.4:</w:t>
      </w:r>
      <w:r>
        <w:rPr>
          <w:lang w:val="en-ZA"/>
        </w:rPr>
        <w:t xml:space="preserve"> Effects of food-to-food fortification of wet cooked wholegrain white maize porridge with carrot and mango and in combination with baobab fruit pulp on iron and zinc bioaccessibility and the estimated percentage contribution of bioaccessible iron and zinc </w:t>
      </w:r>
      <w:r w:rsidRPr="00A967D7">
        <w:t>in the porridge formulations (100 g dry basis)</w:t>
      </w:r>
      <w:r>
        <w:t xml:space="preserve"> </w:t>
      </w:r>
      <w:r>
        <w:rPr>
          <w:lang w:val="en-ZA"/>
        </w:rPr>
        <w:t>to the daily absolute requirement (AR) of school-age children (7–9 years) and women of 19–50 years</w:t>
      </w:r>
      <w:bookmarkEnd w:id="147"/>
    </w:p>
    <w:tbl>
      <w:tblPr>
        <w:tblW w:w="13997" w:type="dxa"/>
        <w:tblBorders>
          <w:top w:val="single" w:sz="4" w:space="0" w:color="auto"/>
          <w:bottom w:val="single" w:sz="4" w:space="0" w:color="auto"/>
        </w:tblBorders>
        <w:tblLook w:val="04A0" w:firstRow="1" w:lastRow="0" w:firstColumn="1" w:lastColumn="0" w:noHBand="0" w:noVBand="1"/>
      </w:tblPr>
      <w:tblGrid>
        <w:gridCol w:w="2296"/>
        <w:gridCol w:w="1540"/>
        <w:gridCol w:w="1661"/>
        <w:gridCol w:w="1802"/>
        <w:gridCol w:w="1749"/>
        <w:gridCol w:w="1520"/>
        <w:gridCol w:w="1530"/>
        <w:gridCol w:w="1899"/>
      </w:tblGrid>
      <w:tr w:rsidR="00906090" w:rsidRPr="00906090" w14:paraId="0059EB3F" w14:textId="77777777" w:rsidTr="00961673">
        <w:tc>
          <w:tcPr>
            <w:tcW w:w="1986" w:type="dxa"/>
            <w:tcBorders>
              <w:top w:val="single" w:sz="4" w:space="0" w:color="auto"/>
              <w:bottom w:val="single" w:sz="4" w:space="0" w:color="auto"/>
            </w:tcBorders>
          </w:tcPr>
          <w:p w14:paraId="6DC3306A" w14:textId="77777777" w:rsidR="00906090" w:rsidRPr="00906090" w:rsidRDefault="00906090" w:rsidP="006A6E94">
            <w:pPr>
              <w:pStyle w:val="CommentText"/>
              <w:spacing w:before="240" w:after="0"/>
              <w:rPr>
                <w:rFonts w:cs="Times New Roman"/>
                <w:sz w:val="22"/>
                <w:szCs w:val="22"/>
                <w:lang w:val="en-ZA"/>
              </w:rPr>
            </w:pPr>
            <w:r w:rsidRPr="00906090">
              <w:rPr>
                <w:rFonts w:cs="Times New Roman"/>
                <w:b/>
                <w:sz w:val="22"/>
                <w:szCs w:val="22"/>
              </w:rPr>
              <w:t xml:space="preserve">Porridge formulations </w:t>
            </w:r>
          </w:p>
        </w:tc>
        <w:tc>
          <w:tcPr>
            <w:tcW w:w="1559" w:type="dxa"/>
            <w:tcBorders>
              <w:top w:val="single" w:sz="4" w:space="0" w:color="auto"/>
              <w:bottom w:val="single" w:sz="4" w:space="0" w:color="auto"/>
            </w:tcBorders>
          </w:tcPr>
          <w:p w14:paraId="74254BE4"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b/>
                <w:sz w:val="22"/>
                <w:szCs w:val="22"/>
              </w:rPr>
              <w:t>Percentage bioaccessible iron</w:t>
            </w:r>
          </w:p>
        </w:tc>
        <w:tc>
          <w:tcPr>
            <w:tcW w:w="1701" w:type="dxa"/>
            <w:tcBorders>
              <w:top w:val="single" w:sz="4" w:space="0" w:color="auto"/>
              <w:bottom w:val="single" w:sz="4" w:space="0" w:color="auto"/>
            </w:tcBorders>
          </w:tcPr>
          <w:p w14:paraId="55DD4D8F"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b/>
                <w:sz w:val="22"/>
                <w:szCs w:val="22"/>
              </w:rPr>
              <w:t>Amount of bioaccessible iron (mg/100 g dry basis)</w:t>
            </w:r>
          </w:p>
        </w:tc>
        <w:tc>
          <w:tcPr>
            <w:tcW w:w="1872" w:type="dxa"/>
            <w:tcBorders>
              <w:top w:val="single" w:sz="4" w:space="0" w:color="auto"/>
              <w:bottom w:val="single" w:sz="4" w:space="0" w:color="auto"/>
            </w:tcBorders>
          </w:tcPr>
          <w:p w14:paraId="25F537CC"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b/>
                <w:sz w:val="22"/>
                <w:szCs w:val="22"/>
              </w:rPr>
              <w:t>% contribution of iron to the AR for children (</w:t>
            </w:r>
            <w:r w:rsidRPr="00906090">
              <w:rPr>
                <w:rFonts w:cs="Times New Roman"/>
                <w:b/>
                <w:sz w:val="22"/>
                <w:szCs w:val="22"/>
                <w:lang w:val="en-ZA"/>
              </w:rPr>
              <w:t>0.71 mg/day)</w:t>
            </w:r>
            <w:r w:rsidRPr="00906090">
              <w:rPr>
                <w:rFonts w:cs="Times New Roman"/>
                <w:sz w:val="22"/>
                <w:szCs w:val="22"/>
                <w:vertAlign w:val="superscript"/>
              </w:rPr>
              <w:t>$</w:t>
            </w:r>
          </w:p>
        </w:tc>
        <w:tc>
          <w:tcPr>
            <w:tcW w:w="1810" w:type="dxa"/>
            <w:tcBorders>
              <w:top w:val="single" w:sz="4" w:space="0" w:color="auto"/>
              <w:bottom w:val="single" w:sz="4" w:space="0" w:color="auto"/>
            </w:tcBorders>
          </w:tcPr>
          <w:p w14:paraId="4B6A6693"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b/>
                <w:sz w:val="22"/>
                <w:szCs w:val="22"/>
              </w:rPr>
              <w:t>% contribution of iron to the AR for women (1.46 mg/day)</w:t>
            </w:r>
            <w:r w:rsidRPr="00906090">
              <w:rPr>
                <w:rFonts w:cs="Times New Roman"/>
                <w:sz w:val="22"/>
                <w:szCs w:val="22"/>
                <w:vertAlign w:val="superscript"/>
              </w:rPr>
              <w:t>$</w:t>
            </w:r>
          </w:p>
        </w:tc>
        <w:tc>
          <w:tcPr>
            <w:tcW w:w="1536" w:type="dxa"/>
            <w:tcBorders>
              <w:top w:val="single" w:sz="4" w:space="0" w:color="auto"/>
              <w:bottom w:val="single" w:sz="4" w:space="0" w:color="auto"/>
            </w:tcBorders>
          </w:tcPr>
          <w:p w14:paraId="4BEDEA98"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b/>
                <w:sz w:val="22"/>
                <w:szCs w:val="22"/>
              </w:rPr>
              <w:t>Percentage bioaccessible zinc</w:t>
            </w:r>
          </w:p>
        </w:tc>
        <w:tc>
          <w:tcPr>
            <w:tcW w:w="1548" w:type="dxa"/>
            <w:tcBorders>
              <w:top w:val="single" w:sz="4" w:space="0" w:color="auto"/>
              <w:bottom w:val="single" w:sz="4" w:space="0" w:color="auto"/>
            </w:tcBorders>
          </w:tcPr>
          <w:p w14:paraId="014DB738"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b/>
                <w:sz w:val="22"/>
                <w:szCs w:val="22"/>
              </w:rPr>
              <w:t>Amount of bioaccessible zinc (mg/100 g dry basis)</w:t>
            </w:r>
          </w:p>
        </w:tc>
        <w:tc>
          <w:tcPr>
            <w:tcW w:w="1985" w:type="dxa"/>
            <w:tcBorders>
              <w:top w:val="single" w:sz="4" w:space="0" w:color="auto"/>
              <w:bottom w:val="single" w:sz="4" w:space="0" w:color="auto"/>
            </w:tcBorders>
          </w:tcPr>
          <w:p w14:paraId="1D7A8556"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b/>
                <w:sz w:val="22"/>
                <w:szCs w:val="22"/>
              </w:rPr>
              <w:t>% contribution of zinc to the AR for women (1.75 mg/day)</w:t>
            </w:r>
            <w:r w:rsidRPr="00906090">
              <w:rPr>
                <w:rFonts w:cs="Times New Roman"/>
                <w:b/>
                <w:sz w:val="22"/>
                <w:szCs w:val="22"/>
                <w:vertAlign w:val="superscript"/>
              </w:rPr>
              <w:t>¥</w:t>
            </w:r>
          </w:p>
        </w:tc>
      </w:tr>
      <w:tr w:rsidR="00906090" w:rsidRPr="00906090" w14:paraId="0F83308A" w14:textId="77777777" w:rsidTr="00961673">
        <w:tc>
          <w:tcPr>
            <w:tcW w:w="1986" w:type="dxa"/>
            <w:tcBorders>
              <w:top w:val="single" w:sz="4" w:space="0" w:color="auto"/>
            </w:tcBorders>
          </w:tcPr>
          <w:p w14:paraId="14A274F1" w14:textId="77777777" w:rsidR="00906090" w:rsidRPr="00906090" w:rsidRDefault="00906090" w:rsidP="006A6E94">
            <w:pPr>
              <w:pStyle w:val="CommentText"/>
              <w:spacing w:before="240" w:after="0"/>
              <w:rPr>
                <w:rFonts w:cs="Times New Roman"/>
                <w:sz w:val="22"/>
                <w:szCs w:val="22"/>
                <w:lang w:val="en-ZA"/>
              </w:rPr>
            </w:pPr>
            <w:r w:rsidRPr="00906090">
              <w:rPr>
                <w:rFonts w:cs="Times New Roman"/>
                <w:sz w:val="22"/>
                <w:szCs w:val="22"/>
                <w:lang w:val="en-ZA"/>
              </w:rPr>
              <w:t xml:space="preserve">Maize (Control) </w:t>
            </w:r>
          </w:p>
        </w:tc>
        <w:tc>
          <w:tcPr>
            <w:tcW w:w="1559" w:type="dxa"/>
            <w:tcBorders>
              <w:top w:val="single" w:sz="4" w:space="0" w:color="auto"/>
            </w:tcBorders>
          </w:tcPr>
          <w:p w14:paraId="376D015B"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20.4</w:t>
            </w:r>
            <w:r w:rsidRPr="00906090">
              <w:rPr>
                <w:rFonts w:cs="Times New Roman"/>
                <w:sz w:val="22"/>
                <w:szCs w:val="22"/>
                <w:vertAlign w:val="superscript"/>
                <w:lang w:val="en-ZA"/>
              </w:rPr>
              <w:t>a</w:t>
            </w:r>
            <w:r w:rsidRPr="00906090">
              <w:rPr>
                <w:rFonts w:cs="Times New Roman"/>
                <w:sz w:val="22"/>
                <w:szCs w:val="22"/>
                <w:lang w:val="en-ZA"/>
              </w:rPr>
              <w:t xml:space="preserve"> ± 2.3</w:t>
            </w:r>
          </w:p>
        </w:tc>
        <w:tc>
          <w:tcPr>
            <w:tcW w:w="1701" w:type="dxa"/>
            <w:tcBorders>
              <w:top w:val="single" w:sz="4" w:space="0" w:color="auto"/>
            </w:tcBorders>
          </w:tcPr>
          <w:p w14:paraId="6BD9C84E"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0.49</w:t>
            </w:r>
            <w:r w:rsidRPr="00906090">
              <w:rPr>
                <w:rFonts w:cs="Times New Roman"/>
                <w:sz w:val="22"/>
                <w:szCs w:val="22"/>
                <w:vertAlign w:val="superscript"/>
                <w:lang w:val="en-ZA"/>
              </w:rPr>
              <w:t>ab</w:t>
            </w:r>
            <w:r w:rsidRPr="00906090">
              <w:rPr>
                <w:rFonts w:cs="Times New Roman"/>
                <w:sz w:val="22"/>
                <w:szCs w:val="22"/>
                <w:lang w:val="en-ZA"/>
              </w:rPr>
              <w:t xml:space="preserve"> ± 0.06</w:t>
            </w:r>
          </w:p>
        </w:tc>
        <w:tc>
          <w:tcPr>
            <w:tcW w:w="1872" w:type="dxa"/>
            <w:tcBorders>
              <w:top w:val="single" w:sz="4" w:space="0" w:color="auto"/>
            </w:tcBorders>
          </w:tcPr>
          <w:p w14:paraId="1CE65492"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69.3</w:t>
            </w:r>
          </w:p>
        </w:tc>
        <w:tc>
          <w:tcPr>
            <w:tcW w:w="1810" w:type="dxa"/>
            <w:tcBorders>
              <w:top w:val="single" w:sz="4" w:space="0" w:color="auto"/>
            </w:tcBorders>
          </w:tcPr>
          <w:p w14:paraId="4B471ECF"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33.7</w:t>
            </w:r>
          </w:p>
        </w:tc>
        <w:tc>
          <w:tcPr>
            <w:tcW w:w="1536" w:type="dxa"/>
            <w:tcBorders>
              <w:top w:val="single" w:sz="4" w:space="0" w:color="auto"/>
            </w:tcBorders>
          </w:tcPr>
          <w:p w14:paraId="0275C6C4"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51.9</w:t>
            </w:r>
            <w:r w:rsidRPr="00906090">
              <w:rPr>
                <w:rFonts w:cs="Times New Roman"/>
                <w:sz w:val="22"/>
                <w:szCs w:val="22"/>
                <w:vertAlign w:val="superscript"/>
                <w:lang w:val="en-ZA"/>
              </w:rPr>
              <w:t>a</w:t>
            </w:r>
            <w:r w:rsidRPr="00906090">
              <w:rPr>
                <w:rFonts w:cs="Times New Roman"/>
                <w:sz w:val="22"/>
                <w:szCs w:val="22"/>
                <w:lang w:val="en-ZA"/>
              </w:rPr>
              <w:t xml:space="preserve"> ± 5.4</w:t>
            </w:r>
          </w:p>
        </w:tc>
        <w:tc>
          <w:tcPr>
            <w:tcW w:w="1548" w:type="dxa"/>
            <w:tcBorders>
              <w:top w:val="single" w:sz="4" w:space="0" w:color="auto"/>
            </w:tcBorders>
          </w:tcPr>
          <w:p w14:paraId="7B56FF54"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0.82</w:t>
            </w:r>
            <w:r w:rsidRPr="00906090">
              <w:rPr>
                <w:rFonts w:cs="Times New Roman"/>
                <w:sz w:val="22"/>
                <w:szCs w:val="22"/>
                <w:vertAlign w:val="superscript"/>
                <w:lang w:val="en-ZA"/>
              </w:rPr>
              <w:t>a</w:t>
            </w:r>
            <w:r w:rsidRPr="00906090">
              <w:rPr>
                <w:rFonts w:cs="Times New Roman"/>
                <w:sz w:val="22"/>
                <w:szCs w:val="22"/>
                <w:lang w:val="en-ZA"/>
              </w:rPr>
              <w:t xml:space="preserve"> ± 0.09</w:t>
            </w:r>
          </w:p>
        </w:tc>
        <w:tc>
          <w:tcPr>
            <w:tcW w:w="1985" w:type="dxa"/>
            <w:tcBorders>
              <w:top w:val="single" w:sz="4" w:space="0" w:color="auto"/>
            </w:tcBorders>
          </w:tcPr>
          <w:p w14:paraId="538E2736"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46.9</w:t>
            </w:r>
          </w:p>
        </w:tc>
      </w:tr>
      <w:tr w:rsidR="00906090" w:rsidRPr="00906090" w14:paraId="488A9895" w14:textId="77777777" w:rsidTr="00961673">
        <w:tc>
          <w:tcPr>
            <w:tcW w:w="1986" w:type="dxa"/>
          </w:tcPr>
          <w:p w14:paraId="36E9E384" w14:textId="77777777" w:rsidR="00906090" w:rsidRPr="00906090" w:rsidRDefault="00906090" w:rsidP="006A6E94">
            <w:pPr>
              <w:pStyle w:val="CommentText"/>
              <w:spacing w:before="240" w:after="0"/>
              <w:rPr>
                <w:rFonts w:cs="Times New Roman"/>
                <w:sz w:val="22"/>
                <w:szCs w:val="22"/>
                <w:lang w:val="en-ZA"/>
              </w:rPr>
            </w:pPr>
            <w:r w:rsidRPr="00906090">
              <w:rPr>
                <w:rFonts w:cs="Times New Roman"/>
                <w:sz w:val="22"/>
                <w:szCs w:val="22"/>
                <w:lang w:val="en-ZA"/>
              </w:rPr>
              <w:t>Maize+carrot+mango</w:t>
            </w:r>
            <w:r w:rsidRPr="00906090">
              <w:rPr>
                <w:rFonts w:cs="Times New Roman"/>
                <w:sz w:val="22"/>
                <w:szCs w:val="22"/>
                <w:vertAlign w:val="superscript"/>
              </w:rPr>
              <w:t>∞</w:t>
            </w:r>
            <w:r w:rsidRPr="00906090">
              <w:rPr>
                <w:rFonts w:cs="Times New Roman"/>
                <w:sz w:val="22"/>
                <w:szCs w:val="22"/>
                <w:vertAlign w:val="superscript"/>
                <w:lang w:val="en-ZA"/>
              </w:rPr>
              <w:t>1</w:t>
            </w:r>
            <w:r w:rsidRPr="00906090">
              <w:rPr>
                <w:rFonts w:cs="Times New Roman"/>
                <w:sz w:val="22"/>
                <w:szCs w:val="22"/>
                <w:lang w:val="en-ZA"/>
              </w:rPr>
              <w:t xml:space="preserve"> (100:15)</w:t>
            </w:r>
          </w:p>
        </w:tc>
        <w:tc>
          <w:tcPr>
            <w:tcW w:w="1559" w:type="dxa"/>
          </w:tcPr>
          <w:p w14:paraId="45CA206F"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19.4</w:t>
            </w:r>
            <w:r w:rsidRPr="00906090">
              <w:rPr>
                <w:rFonts w:cs="Times New Roman"/>
                <w:sz w:val="22"/>
                <w:szCs w:val="22"/>
                <w:vertAlign w:val="superscript"/>
                <w:lang w:val="en-ZA"/>
              </w:rPr>
              <w:t>a</w:t>
            </w:r>
            <w:r w:rsidRPr="00906090">
              <w:rPr>
                <w:rFonts w:cs="Times New Roman"/>
                <w:sz w:val="22"/>
                <w:szCs w:val="22"/>
                <w:lang w:val="en-ZA"/>
              </w:rPr>
              <w:t xml:space="preserve"> ± 2.5</w:t>
            </w:r>
          </w:p>
        </w:tc>
        <w:tc>
          <w:tcPr>
            <w:tcW w:w="1701" w:type="dxa"/>
          </w:tcPr>
          <w:p w14:paraId="764B2839"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0.42</w:t>
            </w:r>
            <w:r w:rsidRPr="00906090">
              <w:rPr>
                <w:rFonts w:cs="Times New Roman"/>
                <w:sz w:val="22"/>
                <w:szCs w:val="22"/>
                <w:vertAlign w:val="superscript"/>
                <w:lang w:val="en-ZA"/>
              </w:rPr>
              <w:t>a</w:t>
            </w:r>
            <w:r w:rsidRPr="00906090">
              <w:rPr>
                <w:rFonts w:cs="Times New Roman"/>
                <w:sz w:val="22"/>
                <w:szCs w:val="22"/>
                <w:lang w:val="en-ZA"/>
              </w:rPr>
              <w:t xml:space="preserve"> ± 0.05     (-15%)</w:t>
            </w:r>
          </w:p>
        </w:tc>
        <w:tc>
          <w:tcPr>
            <w:tcW w:w="1872" w:type="dxa"/>
          </w:tcPr>
          <w:p w14:paraId="3C53141C"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58.7 (-15%)</w:t>
            </w:r>
          </w:p>
        </w:tc>
        <w:tc>
          <w:tcPr>
            <w:tcW w:w="1810" w:type="dxa"/>
          </w:tcPr>
          <w:p w14:paraId="5A374452"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28.6 (-15%)</w:t>
            </w:r>
          </w:p>
        </w:tc>
        <w:tc>
          <w:tcPr>
            <w:tcW w:w="1536" w:type="dxa"/>
          </w:tcPr>
          <w:p w14:paraId="1544E8F0"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53.4</w:t>
            </w:r>
            <w:r w:rsidRPr="00906090">
              <w:rPr>
                <w:rFonts w:cs="Times New Roman"/>
                <w:sz w:val="22"/>
                <w:szCs w:val="22"/>
                <w:vertAlign w:val="superscript"/>
                <w:lang w:val="en-ZA"/>
              </w:rPr>
              <w:t>a</w:t>
            </w:r>
            <w:r w:rsidRPr="00906090">
              <w:rPr>
                <w:rFonts w:cs="Times New Roman"/>
                <w:sz w:val="22"/>
                <w:szCs w:val="22"/>
                <w:lang w:val="en-ZA"/>
              </w:rPr>
              <w:t xml:space="preserve"> ± 4.6</w:t>
            </w:r>
          </w:p>
        </w:tc>
        <w:tc>
          <w:tcPr>
            <w:tcW w:w="1548" w:type="dxa"/>
          </w:tcPr>
          <w:p w14:paraId="0FA90F4A"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0.86</w:t>
            </w:r>
            <w:r w:rsidRPr="00906090">
              <w:rPr>
                <w:rFonts w:cs="Times New Roman"/>
                <w:sz w:val="22"/>
                <w:szCs w:val="22"/>
                <w:vertAlign w:val="superscript"/>
                <w:lang w:val="en-ZA"/>
              </w:rPr>
              <w:t>a</w:t>
            </w:r>
            <w:r w:rsidRPr="00906090">
              <w:rPr>
                <w:rFonts w:cs="Times New Roman"/>
                <w:sz w:val="22"/>
                <w:szCs w:val="22"/>
                <w:lang w:val="en-ZA"/>
              </w:rPr>
              <w:t xml:space="preserve"> ± 0.07</w:t>
            </w:r>
          </w:p>
        </w:tc>
        <w:tc>
          <w:tcPr>
            <w:tcW w:w="1985" w:type="dxa"/>
          </w:tcPr>
          <w:p w14:paraId="63BC4406"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49.0</w:t>
            </w:r>
          </w:p>
        </w:tc>
      </w:tr>
      <w:tr w:rsidR="00906090" w:rsidRPr="00906090" w14:paraId="4690BB31" w14:textId="77777777" w:rsidTr="00961673">
        <w:tc>
          <w:tcPr>
            <w:tcW w:w="1986" w:type="dxa"/>
          </w:tcPr>
          <w:p w14:paraId="080C7662" w14:textId="77777777" w:rsidR="00906090" w:rsidRPr="00906090" w:rsidRDefault="00906090" w:rsidP="006A6E94">
            <w:pPr>
              <w:pStyle w:val="CommentText"/>
              <w:spacing w:before="240" w:after="0"/>
              <w:rPr>
                <w:rFonts w:cs="Times New Roman"/>
                <w:sz w:val="22"/>
                <w:szCs w:val="22"/>
                <w:lang w:val="en-ZA"/>
              </w:rPr>
            </w:pPr>
            <w:r w:rsidRPr="00906090">
              <w:rPr>
                <w:rFonts w:cs="Times New Roman"/>
                <w:sz w:val="22"/>
                <w:szCs w:val="22"/>
                <w:lang w:val="en-ZA"/>
              </w:rPr>
              <w:t>Maize+β-carotene</w:t>
            </w:r>
            <w:r w:rsidRPr="00906090">
              <w:rPr>
                <w:rFonts w:cs="Times New Roman"/>
                <w:sz w:val="22"/>
                <w:szCs w:val="22"/>
                <w:vertAlign w:val="superscript"/>
                <w:lang w:val="en-ZA"/>
              </w:rPr>
              <w:t>2</w:t>
            </w:r>
          </w:p>
        </w:tc>
        <w:tc>
          <w:tcPr>
            <w:tcW w:w="1559" w:type="dxa"/>
          </w:tcPr>
          <w:p w14:paraId="61263071"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24.1</w:t>
            </w:r>
            <w:r w:rsidRPr="00906090">
              <w:rPr>
                <w:rFonts w:cs="Times New Roman"/>
                <w:sz w:val="22"/>
                <w:szCs w:val="22"/>
                <w:vertAlign w:val="superscript"/>
                <w:lang w:val="en-ZA"/>
              </w:rPr>
              <w:t>b</w:t>
            </w:r>
            <w:r w:rsidRPr="00906090">
              <w:rPr>
                <w:rFonts w:cs="Times New Roman"/>
                <w:sz w:val="22"/>
                <w:szCs w:val="22"/>
                <w:lang w:val="en-ZA"/>
              </w:rPr>
              <w:t xml:space="preserve"> ± 4.0 (19%)</w:t>
            </w:r>
            <w:r w:rsidRPr="00906090">
              <w:rPr>
                <w:rFonts w:cs="Times New Roman"/>
                <w:sz w:val="22"/>
                <w:szCs w:val="22"/>
                <w:vertAlign w:val="superscript"/>
              </w:rPr>
              <w:t>£</w:t>
            </w:r>
          </w:p>
        </w:tc>
        <w:tc>
          <w:tcPr>
            <w:tcW w:w="1701" w:type="dxa"/>
          </w:tcPr>
          <w:p w14:paraId="111D4AA7"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0.49</w:t>
            </w:r>
            <w:r w:rsidRPr="00906090">
              <w:rPr>
                <w:rFonts w:cs="Times New Roman"/>
                <w:sz w:val="22"/>
                <w:szCs w:val="22"/>
                <w:vertAlign w:val="superscript"/>
                <w:lang w:val="en-ZA"/>
              </w:rPr>
              <w:t>ab</w:t>
            </w:r>
            <w:r w:rsidRPr="00906090">
              <w:rPr>
                <w:rFonts w:cs="Times New Roman"/>
                <w:sz w:val="22"/>
                <w:szCs w:val="22"/>
                <w:lang w:val="en-ZA"/>
              </w:rPr>
              <w:t xml:space="preserve"> ± 0.08</w:t>
            </w:r>
          </w:p>
        </w:tc>
        <w:tc>
          <w:tcPr>
            <w:tcW w:w="1872" w:type="dxa"/>
          </w:tcPr>
          <w:p w14:paraId="2BC595DA"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69.1</w:t>
            </w:r>
          </w:p>
        </w:tc>
        <w:tc>
          <w:tcPr>
            <w:tcW w:w="1810" w:type="dxa"/>
          </w:tcPr>
          <w:p w14:paraId="561293FA"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33.6</w:t>
            </w:r>
          </w:p>
        </w:tc>
        <w:tc>
          <w:tcPr>
            <w:tcW w:w="1536" w:type="dxa"/>
          </w:tcPr>
          <w:p w14:paraId="21C3B81C"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52.3</w:t>
            </w:r>
            <w:r w:rsidRPr="00906090">
              <w:rPr>
                <w:rFonts w:cs="Times New Roman"/>
                <w:sz w:val="22"/>
                <w:szCs w:val="22"/>
                <w:vertAlign w:val="superscript"/>
                <w:lang w:val="en-ZA"/>
              </w:rPr>
              <w:t>a</w:t>
            </w:r>
            <w:r w:rsidRPr="00906090">
              <w:rPr>
                <w:rFonts w:cs="Times New Roman"/>
                <w:sz w:val="22"/>
                <w:szCs w:val="22"/>
                <w:lang w:val="en-ZA"/>
              </w:rPr>
              <w:t xml:space="preserve"> ± 7.6</w:t>
            </w:r>
          </w:p>
        </w:tc>
        <w:tc>
          <w:tcPr>
            <w:tcW w:w="1548" w:type="dxa"/>
          </w:tcPr>
          <w:p w14:paraId="6C7ADF4A"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0.78</w:t>
            </w:r>
            <w:r w:rsidRPr="00906090">
              <w:rPr>
                <w:rFonts w:cs="Times New Roman"/>
                <w:sz w:val="22"/>
                <w:szCs w:val="22"/>
                <w:vertAlign w:val="superscript"/>
                <w:lang w:val="en-ZA"/>
              </w:rPr>
              <w:t>a</w:t>
            </w:r>
            <w:r w:rsidRPr="00906090">
              <w:rPr>
                <w:rFonts w:cs="Times New Roman"/>
                <w:sz w:val="22"/>
                <w:szCs w:val="22"/>
                <w:lang w:val="en-ZA"/>
              </w:rPr>
              <w:t xml:space="preserve"> ± 0.11</w:t>
            </w:r>
          </w:p>
        </w:tc>
        <w:tc>
          <w:tcPr>
            <w:tcW w:w="1985" w:type="dxa"/>
          </w:tcPr>
          <w:p w14:paraId="40D500E9"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44.6</w:t>
            </w:r>
          </w:p>
        </w:tc>
      </w:tr>
      <w:tr w:rsidR="00906090" w:rsidRPr="00906090" w14:paraId="0685655F" w14:textId="77777777" w:rsidTr="00961673">
        <w:tc>
          <w:tcPr>
            <w:tcW w:w="1986" w:type="dxa"/>
          </w:tcPr>
          <w:p w14:paraId="396A2AC1" w14:textId="77777777" w:rsidR="00906090" w:rsidRPr="00906090" w:rsidRDefault="00906090" w:rsidP="006A6E94">
            <w:pPr>
              <w:pStyle w:val="CommentText"/>
              <w:spacing w:before="240" w:after="0"/>
              <w:rPr>
                <w:rFonts w:cs="Times New Roman"/>
                <w:sz w:val="22"/>
                <w:szCs w:val="22"/>
                <w:lang w:val="en-ZA"/>
              </w:rPr>
            </w:pPr>
            <w:r w:rsidRPr="00906090">
              <w:rPr>
                <w:rFonts w:cs="Times New Roman"/>
                <w:sz w:val="22"/>
                <w:szCs w:val="22"/>
                <w:lang w:val="en-ZA"/>
              </w:rPr>
              <w:t>Maize+carrot+mango+ baobab</w:t>
            </w:r>
            <w:r w:rsidRPr="00906090">
              <w:rPr>
                <w:rFonts w:cs="Times New Roman"/>
                <w:sz w:val="22"/>
                <w:szCs w:val="22"/>
                <w:vertAlign w:val="superscript"/>
                <w:lang w:val="en-ZA"/>
              </w:rPr>
              <w:t>₳</w:t>
            </w:r>
            <w:r w:rsidRPr="00906090">
              <w:rPr>
                <w:rFonts w:cs="Times New Roman"/>
                <w:sz w:val="22"/>
                <w:szCs w:val="22"/>
                <w:lang w:val="en-ZA"/>
              </w:rPr>
              <w:t xml:space="preserve"> (100:15:15)</w:t>
            </w:r>
          </w:p>
        </w:tc>
        <w:tc>
          <w:tcPr>
            <w:tcW w:w="1559" w:type="dxa"/>
          </w:tcPr>
          <w:p w14:paraId="38F713CB"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26.8</w:t>
            </w:r>
            <w:r w:rsidRPr="00906090">
              <w:rPr>
                <w:rFonts w:cs="Times New Roman"/>
                <w:sz w:val="22"/>
                <w:szCs w:val="22"/>
                <w:vertAlign w:val="superscript"/>
                <w:lang w:val="en-ZA"/>
              </w:rPr>
              <w:t>b</w:t>
            </w:r>
            <w:r w:rsidRPr="00906090">
              <w:rPr>
                <w:rFonts w:cs="Times New Roman"/>
                <w:sz w:val="22"/>
                <w:szCs w:val="22"/>
                <w:lang w:val="en-ZA"/>
              </w:rPr>
              <w:t xml:space="preserve"> ± 1.0 (31%)</w:t>
            </w:r>
          </w:p>
        </w:tc>
        <w:tc>
          <w:tcPr>
            <w:tcW w:w="1701" w:type="dxa"/>
          </w:tcPr>
          <w:p w14:paraId="79BF18E0"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0.57</w:t>
            </w:r>
            <w:r w:rsidRPr="00906090">
              <w:rPr>
                <w:rFonts w:cs="Times New Roman"/>
                <w:sz w:val="22"/>
                <w:szCs w:val="22"/>
                <w:vertAlign w:val="superscript"/>
                <w:lang w:val="en-ZA"/>
              </w:rPr>
              <w:t>b</w:t>
            </w:r>
            <w:r w:rsidRPr="00906090">
              <w:rPr>
                <w:rFonts w:cs="Times New Roman"/>
                <w:sz w:val="22"/>
                <w:szCs w:val="22"/>
                <w:lang w:val="en-ZA"/>
              </w:rPr>
              <w:t xml:space="preserve"> ± 0.02 (15%)</w:t>
            </w:r>
          </w:p>
        </w:tc>
        <w:tc>
          <w:tcPr>
            <w:tcW w:w="1872" w:type="dxa"/>
          </w:tcPr>
          <w:p w14:paraId="332A4A2E"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79.9 (15%)</w:t>
            </w:r>
          </w:p>
        </w:tc>
        <w:tc>
          <w:tcPr>
            <w:tcW w:w="1810" w:type="dxa"/>
          </w:tcPr>
          <w:p w14:paraId="786C837A"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38.8 (15%)</w:t>
            </w:r>
          </w:p>
        </w:tc>
        <w:tc>
          <w:tcPr>
            <w:tcW w:w="1536" w:type="dxa"/>
          </w:tcPr>
          <w:p w14:paraId="75FCC512"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64.9</w:t>
            </w:r>
            <w:r w:rsidRPr="00906090">
              <w:rPr>
                <w:rFonts w:cs="Times New Roman"/>
                <w:sz w:val="22"/>
                <w:szCs w:val="22"/>
                <w:vertAlign w:val="superscript"/>
                <w:lang w:val="en-ZA"/>
              </w:rPr>
              <w:t>b</w:t>
            </w:r>
            <w:r w:rsidRPr="00906090">
              <w:rPr>
                <w:rFonts w:cs="Times New Roman"/>
                <w:sz w:val="22"/>
                <w:szCs w:val="22"/>
                <w:lang w:val="en-ZA"/>
              </w:rPr>
              <w:t xml:space="preserve"> ± 2.4 (25%)</w:t>
            </w:r>
          </w:p>
        </w:tc>
        <w:tc>
          <w:tcPr>
            <w:tcW w:w="1548" w:type="dxa"/>
          </w:tcPr>
          <w:p w14:paraId="7D213726"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0.96</w:t>
            </w:r>
            <w:r w:rsidRPr="00906090">
              <w:rPr>
                <w:rFonts w:cs="Times New Roman"/>
                <w:sz w:val="22"/>
                <w:szCs w:val="22"/>
                <w:vertAlign w:val="superscript"/>
                <w:lang w:val="en-ZA"/>
              </w:rPr>
              <w:t>b</w:t>
            </w:r>
            <w:r w:rsidRPr="00906090">
              <w:rPr>
                <w:rFonts w:cs="Times New Roman"/>
                <w:sz w:val="22"/>
                <w:szCs w:val="22"/>
                <w:lang w:val="en-ZA"/>
              </w:rPr>
              <w:t xml:space="preserve"> ± 0.04 (17%)</w:t>
            </w:r>
          </w:p>
        </w:tc>
        <w:tc>
          <w:tcPr>
            <w:tcW w:w="1985" w:type="dxa"/>
          </w:tcPr>
          <w:p w14:paraId="7E4DB77E"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55.0 (17%)</w:t>
            </w:r>
          </w:p>
        </w:tc>
      </w:tr>
      <w:tr w:rsidR="00906090" w:rsidRPr="00906090" w14:paraId="393585CA" w14:textId="77777777" w:rsidTr="00961673">
        <w:tc>
          <w:tcPr>
            <w:tcW w:w="1986" w:type="dxa"/>
          </w:tcPr>
          <w:p w14:paraId="468EA615" w14:textId="77777777" w:rsidR="00906090" w:rsidRPr="00906090" w:rsidRDefault="00906090" w:rsidP="006A6E94">
            <w:pPr>
              <w:pStyle w:val="CommentText"/>
              <w:spacing w:before="240" w:after="0"/>
              <w:rPr>
                <w:rFonts w:cs="Times New Roman"/>
                <w:sz w:val="22"/>
                <w:szCs w:val="22"/>
                <w:lang w:val="en-ZA"/>
              </w:rPr>
            </w:pPr>
            <w:r w:rsidRPr="00906090">
              <w:rPr>
                <w:rFonts w:cs="Times New Roman"/>
                <w:sz w:val="22"/>
                <w:szCs w:val="22"/>
                <w:lang w:val="en-ZA"/>
              </w:rPr>
              <w:t>Maize+β-carotene+ baobab (100:15)</w:t>
            </w:r>
          </w:p>
        </w:tc>
        <w:tc>
          <w:tcPr>
            <w:tcW w:w="1559" w:type="dxa"/>
          </w:tcPr>
          <w:p w14:paraId="698652C9"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24.5</w:t>
            </w:r>
            <w:r w:rsidRPr="00906090">
              <w:rPr>
                <w:rFonts w:cs="Times New Roman"/>
                <w:sz w:val="22"/>
                <w:szCs w:val="22"/>
                <w:vertAlign w:val="superscript"/>
                <w:lang w:val="en-ZA"/>
              </w:rPr>
              <w:t>b</w:t>
            </w:r>
            <w:r w:rsidRPr="00906090">
              <w:rPr>
                <w:rFonts w:cs="Times New Roman"/>
                <w:sz w:val="22"/>
                <w:szCs w:val="22"/>
                <w:lang w:val="en-ZA"/>
              </w:rPr>
              <w:t xml:space="preserve"> ± 4.5 (20%)</w:t>
            </w:r>
          </w:p>
        </w:tc>
        <w:tc>
          <w:tcPr>
            <w:tcW w:w="1701" w:type="dxa"/>
          </w:tcPr>
          <w:p w14:paraId="6122DD15"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0.52</w:t>
            </w:r>
            <w:r w:rsidRPr="00906090">
              <w:rPr>
                <w:rFonts w:cs="Times New Roman"/>
                <w:sz w:val="22"/>
                <w:szCs w:val="22"/>
                <w:vertAlign w:val="superscript"/>
                <w:lang w:val="en-ZA"/>
              </w:rPr>
              <w:t>b</w:t>
            </w:r>
            <w:r w:rsidRPr="00906090">
              <w:rPr>
                <w:rFonts w:cs="Times New Roman"/>
                <w:sz w:val="22"/>
                <w:szCs w:val="22"/>
                <w:lang w:val="en-ZA"/>
              </w:rPr>
              <w:t xml:space="preserve"> ± 0.09</w:t>
            </w:r>
          </w:p>
        </w:tc>
        <w:tc>
          <w:tcPr>
            <w:tcW w:w="1872" w:type="dxa"/>
          </w:tcPr>
          <w:p w14:paraId="11885655"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72.7</w:t>
            </w:r>
          </w:p>
        </w:tc>
        <w:tc>
          <w:tcPr>
            <w:tcW w:w="1810" w:type="dxa"/>
          </w:tcPr>
          <w:p w14:paraId="3664BD57"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35.3</w:t>
            </w:r>
          </w:p>
        </w:tc>
        <w:tc>
          <w:tcPr>
            <w:tcW w:w="1536" w:type="dxa"/>
          </w:tcPr>
          <w:p w14:paraId="51C090DD"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56.4</w:t>
            </w:r>
            <w:r w:rsidRPr="00906090">
              <w:rPr>
                <w:rFonts w:cs="Times New Roman"/>
                <w:sz w:val="22"/>
                <w:szCs w:val="22"/>
                <w:vertAlign w:val="superscript"/>
                <w:lang w:val="en-ZA"/>
              </w:rPr>
              <w:t>a</w:t>
            </w:r>
            <w:r w:rsidRPr="00906090">
              <w:rPr>
                <w:rFonts w:cs="Times New Roman"/>
                <w:sz w:val="22"/>
                <w:szCs w:val="22"/>
                <w:lang w:val="en-ZA"/>
              </w:rPr>
              <w:t xml:space="preserve"> ± 7.6</w:t>
            </w:r>
          </w:p>
        </w:tc>
        <w:tc>
          <w:tcPr>
            <w:tcW w:w="1548" w:type="dxa"/>
          </w:tcPr>
          <w:p w14:paraId="63825B74"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0.81</w:t>
            </w:r>
            <w:r w:rsidRPr="00906090">
              <w:rPr>
                <w:rFonts w:cs="Times New Roman"/>
                <w:sz w:val="22"/>
                <w:szCs w:val="22"/>
                <w:vertAlign w:val="superscript"/>
                <w:lang w:val="en-ZA"/>
              </w:rPr>
              <w:t>a</w:t>
            </w:r>
            <w:r w:rsidRPr="00906090">
              <w:rPr>
                <w:rFonts w:cs="Times New Roman"/>
                <w:sz w:val="22"/>
                <w:szCs w:val="22"/>
                <w:lang w:val="en-ZA"/>
              </w:rPr>
              <w:t xml:space="preserve"> ± 0.11</w:t>
            </w:r>
          </w:p>
        </w:tc>
        <w:tc>
          <w:tcPr>
            <w:tcW w:w="1985" w:type="dxa"/>
          </w:tcPr>
          <w:p w14:paraId="1AFB63EF" w14:textId="77777777" w:rsidR="00906090" w:rsidRPr="00906090" w:rsidRDefault="00906090" w:rsidP="006A6E94">
            <w:pPr>
              <w:pStyle w:val="CommentText"/>
              <w:spacing w:before="240" w:after="0"/>
              <w:jc w:val="center"/>
              <w:rPr>
                <w:rFonts w:cs="Times New Roman"/>
                <w:sz w:val="22"/>
                <w:szCs w:val="22"/>
                <w:lang w:val="en-ZA"/>
              </w:rPr>
            </w:pPr>
            <w:r w:rsidRPr="00906090">
              <w:rPr>
                <w:rFonts w:cs="Times New Roman"/>
                <w:sz w:val="22"/>
                <w:szCs w:val="22"/>
                <w:lang w:val="en-ZA"/>
              </w:rPr>
              <w:t>46.0</w:t>
            </w:r>
          </w:p>
        </w:tc>
      </w:tr>
    </w:tbl>
    <w:p w14:paraId="555A788A" w14:textId="12A4649B" w:rsidR="00906090" w:rsidRDefault="00906090" w:rsidP="00906090">
      <w:pPr>
        <w:spacing w:before="240" w:after="0" w:line="240" w:lineRule="auto"/>
        <w:rPr>
          <w:rFonts w:cs="Times New Roman"/>
          <w:sz w:val="20"/>
          <w:szCs w:val="20"/>
        </w:rPr>
      </w:pPr>
      <w:r w:rsidRPr="00A967D7">
        <w:rPr>
          <w:rFonts w:cs="Times New Roman"/>
          <w:sz w:val="20"/>
          <w:szCs w:val="20"/>
        </w:rPr>
        <w:t xml:space="preserve">Values are the mean ± 1 SD of </w:t>
      </w:r>
      <w:r>
        <w:rPr>
          <w:rFonts w:cs="Times New Roman"/>
          <w:sz w:val="20"/>
          <w:szCs w:val="20"/>
        </w:rPr>
        <w:t>two</w:t>
      </w:r>
      <w:r w:rsidRPr="00A967D7">
        <w:rPr>
          <w:rFonts w:cs="Times New Roman"/>
          <w:sz w:val="20"/>
          <w:szCs w:val="20"/>
        </w:rPr>
        <w:t xml:space="preserve"> independent samples analysed in </w:t>
      </w:r>
      <w:r>
        <w:rPr>
          <w:rFonts w:cs="Times New Roman"/>
          <w:sz w:val="20"/>
          <w:szCs w:val="20"/>
        </w:rPr>
        <w:t>triplicate</w:t>
      </w:r>
      <w:r w:rsidRPr="00A967D7">
        <w:rPr>
          <w:rFonts w:cs="Times New Roman"/>
          <w:sz w:val="20"/>
          <w:szCs w:val="20"/>
        </w:rPr>
        <w:t xml:space="preserve"> (n=</w:t>
      </w:r>
      <w:r>
        <w:rPr>
          <w:rFonts w:cs="Times New Roman"/>
          <w:sz w:val="20"/>
          <w:szCs w:val="20"/>
        </w:rPr>
        <w:t>6</w:t>
      </w:r>
      <w:r w:rsidRPr="00A967D7">
        <w:rPr>
          <w:rFonts w:cs="Times New Roman"/>
          <w:sz w:val="20"/>
          <w:szCs w:val="20"/>
        </w:rPr>
        <w:t>)</w:t>
      </w:r>
      <w:r>
        <w:rPr>
          <w:rFonts w:cs="Times New Roman"/>
          <w:sz w:val="20"/>
          <w:szCs w:val="20"/>
        </w:rPr>
        <w:t xml:space="preserve">, </w:t>
      </w:r>
      <w:r w:rsidRPr="00A967D7">
        <w:rPr>
          <w:rFonts w:cs="Times New Roman"/>
          <w:sz w:val="20"/>
          <w:szCs w:val="20"/>
        </w:rPr>
        <w:t>Means with different superscripts letters in a column differ significantly (</w:t>
      </w:r>
      <w:r w:rsidRPr="00B63632">
        <w:rPr>
          <w:rFonts w:cs="Times New Roman"/>
          <w:i/>
          <w:iCs/>
          <w:sz w:val="20"/>
          <w:szCs w:val="20"/>
        </w:rPr>
        <w:t>p</w:t>
      </w:r>
      <w:r w:rsidR="00B63632">
        <w:rPr>
          <w:rFonts w:cs="Times New Roman"/>
          <w:sz w:val="20"/>
          <w:szCs w:val="20"/>
        </w:rPr>
        <w:t>&lt;</w:t>
      </w:r>
      <w:r w:rsidRPr="00A967D7">
        <w:rPr>
          <w:rFonts w:cs="Times New Roman"/>
          <w:sz w:val="20"/>
          <w:szCs w:val="20"/>
        </w:rPr>
        <w:t>0.05)</w:t>
      </w:r>
      <w:r>
        <w:rPr>
          <w:rFonts w:cs="Times New Roman"/>
          <w:sz w:val="20"/>
          <w:szCs w:val="20"/>
        </w:rPr>
        <w:t xml:space="preserve"> </w:t>
      </w:r>
      <w:r w:rsidRPr="007644F6">
        <w:rPr>
          <w:rFonts w:cs="Times New Roman"/>
          <w:sz w:val="20"/>
          <w:szCs w:val="20"/>
          <w:vertAlign w:val="superscript"/>
        </w:rPr>
        <w:t>£</w:t>
      </w:r>
      <w:r w:rsidRPr="00A967D7">
        <w:rPr>
          <w:rFonts w:cs="Times New Roman"/>
          <w:sz w:val="20"/>
          <w:szCs w:val="20"/>
        </w:rPr>
        <w:t xml:space="preserve">Percentage </w:t>
      </w:r>
      <w:r>
        <w:rPr>
          <w:rFonts w:cs="Times New Roman"/>
          <w:sz w:val="20"/>
          <w:szCs w:val="20"/>
        </w:rPr>
        <w:t>values</w:t>
      </w:r>
      <w:r w:rsidRPr="00A967D7">
        <w:rPr>
          <w:rFonts w:cs="Times New Roman"/>
          <w:sz w:val="20"/>
          <w:szCs w:val="20"/>
        </w:rPr>
        <w:t xml:space="preserve"> in bracket</w:t>
      </w:r>
      <w:r>
        <w:rPr>
          <w:rFonts w:cs="Times New Roman"/>
          <w:sz w:val="20"/>
          <w:szCs w:val="20"/>
        </w:rPr>
        <w:t>s</w:t>
      </w:r>
      <w:r w:rsidRPr="00A967D7">
        <w:rPr>
          <w:rFonts w:cs="Times New Roman"/>
          <w:sz w:val="20"/>
          <w:szCs w:val="20"/>
        </w:rPr>
        <w:t xml:space="preserve"> </w:t>
      </w:r>
      <w:r>
        <w:rPr>
          <w:rFonts w:cs="Times New Roman"/>
          <w:sz w:val="20"/>
          <w:szCs w:val="20"/>
        </w:rPr>
        <w:t>are</w:t>
      </w:r>
      <w:r w:rsidRPr="00A967D7">
        <w:rPr>
          <w:rFonts w:cs="Times New Roman"/>
          <w:sz w:val="20"/>
          <w:szCs w:val="20"/>
        </w:rPr>
        <w:t xml:space="preserve"> significantly different to </w:t>
      </w:r>
      <w:r>
        <w:rPr>
          <w:rFonts w:cs="Times New Roman"/>
          <w:sz w:val="20"/>
          <w:szCs w:val="20"/>
        </w:rPr>
        <w:t xml:space="preserve">the control </w:t>
      </w:r>
      <w:r w:rsidRPr="00A967D7">
        <w:rPr>
          <w:rFonts w:cs="Times New Roman"/>
          <w:sz w:val="20"/>
          <w:szCs w:val="20"/>
        </w:rPr>
        <w:t xml:space="preserve">maize porridge </w:t>
      </w:r>
      <w:r>
        <w:rPr>
          <w:rFonts w:cs="Times New Roman"/>
          <w:sz w:val="20"/>
          <w:szCs w:val="20"/>
        </w:rPr>
        <w:t xml:space="preserve">by pairwise comparison </w:t>
      </w:r>
      <w:r w:rsidRPr="00A967D7">
        <w:rPr>
          <w:rFonts w:cs="Times New Roman"/>
          <w:sz w:val="20"/>
          <w:szCs w:val="20"/>
        </w:rPr>
        <w:t>(</w:t>
      </w:r>
      <w:r w:rsidRPr="004E47CA">
        <w:rPr>
          <w:rFonts w:cs="Times New Roman"/>
          <w:i/>
          <w:iCs/>
          <w:sz w:val="20"/>
          <w:szCs w:val="20"/>
        </w:rPr>
        <w:t>p</w:t>
      </w:r>
      <w:r w:rsidR="00B63632">
        <w:rPr>
          <w:rFonts w:cs="Times New Roman"/>
          <w:sz w:val="20"/>
          <w:szCs w:val="20"/>
        </w:rPr>
        <w:t>&lt;</w:t>
      </w:r>
      <w:r w:rsidRPr="00A967D7">
        <w:rPr>
          <w:rFonts w:cs="Times New Roman"/>
          <w:sz w:val="20"/>
          <w:szCs w:val="20"/>
        </w:rPr>
        <w:t>0.05)</w:t>
      </w:r>
    </w:p>
    <w:p w14:paraId="0ACF1E07" w14:textId="77777777" w:rsidR="00906090" w:rsidRDefault="00906090" w:rsidP="006A6E94">
      <w:pPr>
        <w:spacing w:after="0" w:line="240" w:lineRule="auto"/>
        <w:rPr>
          <w:rFonts w:cs="Times New Roman"/>
          <w:sz w:val="20"/>
          <w:szCs w:val="20"/>
        </w:rPr>
      </w:pPr>
      <w:r w:rsidRPr="00893BA5">
        <w:rPr>
          <w:rFonts w:cs="Times New Roman"/>
          <w:sz w:val="20"/>
          <w:szCs w:val="20"/>
          <w:vertAlign w:val="superscript"/>
        </w:rPr>
        <w:t>∞</w:t>
      </w:r>
      <w:r w:rsidRPr="002A5730">
        <w:rPr>
          <w:rFonts w:cs="Times New Roman"/>
          <w:sz w:val="20"/>
          <w:szCs w:val="20"/>
        </w:rPr>
        <w:t>Carrot</w:t>
      </w:r>
      <w:r>
        <w:rPr>
          <w:rFonts w:cs="Times New Roman"/>
          <w:sz w:val="20"/>
          <w:szCs w:val="20"/>
        </w:rPr>
        <w:t xml:space="preserve"> and mango powders from Sunspray, </w:t>
      </w:r>
      <w:r w:rsidRPr="00893BA5">
        <w:rPr>
          <w:rFonts w:cs="Times New Roman"/>
          <w:sz w:val="20"/>
          <w:szCs w:val="20"/>
          <w:vertAlign w:val="superscript"/>
          <w:lang w:val="en-ZA"/>
        </w:rPr>
        <w:t>₳</w:t>
      </w:r>
      <w:r>
        <w:rPr>
          <w:rFonts w:cs="Times New Roman"/>
          <w:sz w:val="20"/>
          <w:szCs w:val="20"/>
        </w:rPr>
        <w:t>Baobab fruit pulp from Nautica Organics</w:t>
      </w:r>
    </w:p>
    <w:p w14:paraId="46BFA87E" w14:textId="77777777" w:rsidR="00906090" w:rsidRDefault="00906090" w:rsidP="006A6E94">
      <w:pPr>
        <w:spacing w:after="0" w:line="240" w:lineRule="auto"/>
        <w:rPr>
          <w:rFonts w:cs="Times New Roman"/>
          <w:sz w:val="20"/>
          <w:szCs w:val="20"/>
        </w:rPr>
      </w:pPr>
      <w:r w:rsidRPr="007A657C">
        <w:rPr>
          <w:rFonts w:cs="Times New Roman"/>
          <w:sz w:val="20"/>
          <w:szCs w:val="20"/>
          <w:vertAlign w:val="superscript"/>
        </w:rPr>
        <w:t>1</w:t>
      </w:r>
      <w:r>
        <w:rPr>
          <w:rFonts w:cs="Times New Roman"/>
          <w:sz w:val="20"/>
          <w:szCs w:val="20"/>
        </w:rPr>
        <w:t xml:space="preserve">Carrot and mango powders were in ratio 1:1, </w:t>
      </w:r>
      <w:r w:rsidRPr="007A657C">
        <w:rPr>
          <w:rFonts w:cs="Times New Roman"/>
          <w:sz w:val="20"/>
          <w:szCs w:val="20"/>
          <w:vertAlign w:val="superscript"/>
        </w:rPr>
        <w:t>2</w:t>
      </w:r>
      <w:r>
        <w:rPr>
          <w:rFonts w:cs="Times New Roman"/>
          <w:sz w:val="20"/>
          <w:szCs w:val="20"/>
          <w:lang w:val="en-ZA"/>
        </w:rPr>
        <w:t xml:space="preserve">Content of </w:t>
      </w:r>
      <w:r w:rsidRPr="00FA0738">
        <w:rPr>
          <w:rFonts w:cs="Times New Roman"/>
          <w:sz w:val="20"/>
          <w:szCs w:val="20"/>
          <w:lang w:val="en-ZA"/>
        </w:rPr>
        <w:t>β-</w:t>
      </w:r>
      <w:r>
        <w:rPr>
          <w:rFonts w:cs="Times New Roman"/>
          <w:sz w:val="20"/>
          <w:szCs w:val="20"/>
          <w:lang w:val="en-ZA"/>
        </w:rPr>
        <w:t>carotene was similar to the levels in carrot+mango</w:t>
      </w:r>
    </w:p>
    <w:p w14:paraId="41AFBB39" w14:textId="09B593FC" w:rsidR="00906090" w:rsidRDefault="00906090" w:rsidP="00906090">
      <w:pPr>
        <w:spacing w:after="0"/>
        <w:rPr>
          <w:rFonts w:cs="Times New Roman"/>
          <w:szCs w:val="24"/>
          <w:lang w:val="en-ZA"/>
        </w:rPr>
      </w:pPr>
      <w:r w:rsidRPr="00FA0738">
        <w:rPr>
          <w:rFonts w:cs="Times New Roman"/>
          <w:sz w:val="20"/>
          <w:szCs w:val="20"/>
          <w:vertAlign w:val="superscript"/>
        </w:rPr>
        <w:t>$</w:t>
      </w:r>
      <w:r w:rsidRPr="005B35E9">
        <w:rPr>
          <w:rFonts w:cs="Times New Roman"/>
          <w:sz w:val="20"/>
          <w:szCs w:val="20"/>
        </w:rPr>
        <w:t xml:space="preserve">WHO </w:t>
      </w:r>
      <w:r w:rsidR="00EC4B47">
        <w:rPr>
          <w:rFonts w:cs="Times New Roman"/>
          <w:sz w:val="20"/>
          <w:szCs w:val="20"/>
        </w:rPr>
        <w:t>&amp;</w:t>
      </w:r>
      <w:r w:rsidRPr="005B35E9">
        <w:rPr>
          <w:rFonts w:cs="Times New Roman"/>
          <w:sz w:val="20"/>
          <w:szCs w:val="20"/>
        </w:rPr>
        <w:t xml:space="preserve"> FAO </w:t>
      </w:r>
      <w:r>
        <w:rPr>
          <w:rFonts w:cs="Times New Roman"/>
          <w:sz w:val="20"/>
          <w:szCs w:val="20"/>
        </w:rPr>
        <w:t>(</w:t>
      </w:r>
      <w:r w:rsidRPr="005B35E9">
        <w:rPr>
          <w:rFonts w:cs="Times New Roman"/>
          <w:sz w:val="20"/>
          <w:szCs w:val="20"/>
        </w:rPr>
        <w:t>2004</w:t>
      </w:r>
      <w:r>
        <w:rPr>
          <w:rFonts w:cs="Times New Roman"/>
          <w:sz w:val="20"/>
          <w:szCs w:val="20"/>
        </w:rPr>
        <w:t xml:space="preserve">), </w:t>
      </w:r>
      <w:r>
        <w:rPr>
          <w:rFonts w:cs="Times New Roman"/>
          <w:bCs/>
          <w:sz w:val="20"/>
          <w:szCs w:val="20"/>
          <w:vertAlign w:val="superscript"/>
        </w:rPr>
        <w:t>¥</w:t>
      </w:r>
      <w:r w:rsidRPr="00DC2316">
        <w:rPr>
          <w:rFonts w:cs="Times New Roman"/>
          <w:bCs/>
          <w:sz w:val="20"/>
          <w:szCs w:val="20"/>
        </w:rPr>
        <w:t xml:space="preserve">Sandstead </w:t>
      </w:r>
      <w:r>
        <w:rPr>
          <w:rFonts w:cs="Times New Roman"/>
          <w:bCs/>
          <w:sz w:val="20"/>
          <w:szCs w:val="20"/>
        </w:rPr>
        <w:t>(</w:t>
      </w:r>
      <w:r w:rsidRPr="00DC2316">
        <w:rPr>
          <w:rFonts w:cs="Times New Roman"/>
          <w:bCs/>
          <w:sz w:val="20"/>
          <w:szCs w:val="20"/>
        </w:rPr>
        <w:t>2015</w:t>
      </w:r>
      <w:r>
        <w:rPr>
          <w:rFonts w:cs="Times New Roman"/>
          <w:bCs/>
          <w:sz w:val="20"/>
          <w:szCs w:val="20"/>
        </w:rPr>
        <w:t>)</w:t>
      </w:r>
    </w:p>
    <w:p w14:paraId="0DAE3E32" w14:textId="77777777" w:rsidR="00906090" w:rsidRDefault="00906090" w:rsidP="00906090">
      <w:pPr>
        <w:spacing w:after="0"/>
        <w:rPr>
          <w:rFonts w:cs="Times New Roman"/>
          <w:szCs w:val="24"/>
          <w:lang w:val="en-ZA"/>
        </w:rPr>
      </w:pPr>
    </w:p>
    <w:p w14:paraId="7094B863" w14:textId="77777777" w:rsidR="00906090" w:rsidRDefault="00906090" w:rsidP="00906090">
      <w:pPr>
        <w:spacing w:after="0"/>
        <w:rPr>
          <w:rFonts w:cs="Times New Roman"/>
          <w:szCs w:val="24"/>
          <w:lang w:val="en-ZA"/>
        </w:rPr>
      </w:pPr>
    </w:p>
    <w:p w14:paraId="14729EF6" w14:textId="77777777" w:rsidR="00906090" w:rsidRDefault="00906090" w:rsidP="00906090">
      <w:pPr>
        <w:spacing w:after="0"/>
        <w:rPr>
          <w:rFonts w:cs="Times New Roman"/>
          <w:szCs w:val="24"/>
          <w:lang w:val="en-ZA"/>
        </w:rPr>
      </w:pPr>
    </w:p>
    <w:p w14:paraId="3BFE4C20" w14:textId="77777777" w:rsidR="00906090" w:rsidRDefault="00906090" w:rsidP="00906090">
      <w:pPr>
        <w:pStyle w:val="CommentText"/>
        <w:spacing w:before="240"/>
        <w:rPr>
          <w:rFonts w:cs="Times New Roman"/>
          <w:sz w:val="24"/>
          <w:szCs w:val="24"/>
          <w:lang w:val="en-ZA"/>
        </w:rPr>
      </w:pPr>
    </w:p>
    <w:p w14:paraId="0C48F38D" w14:textId="7E7194E4" w:rsidR="00906090" w:rsidRDefault="00906090" w:rsidP="006A6E94">
      <w:pPr>
        <w:pStyle w:val="MyTables"/>
        <w:spacing w:line="240" w:lineRule="auto"/>
      </w:pPr>
      <w:bookmarkStart w:id="148" w:name="_Toc65253643"/>
      <w:r w:rsidRPr="00961673">
        <w:rPr>
          <w:b/>
          <w:bCs/>
          <w:lang w:val="en-ZA"/>
        </w:rPr>
        <w:t xml:space="preserve">Table </w:t>
      </w:r>
      <w:r w:rsidR="00961673" w:rsidRPr="00961673">
        <w:rPr>
          <w:b/>
          <w:bCs/>
          <w:lang w:val="en-ZA"/>
        </w:rPr>
        <w:t>4.3.</w:t>
      </w:r>
      <w:r w:rsidRPr="00961673">
        <w:rPr>
          <w:b/>
          <w:bCs/>
          <w:lang w:val="en-ZA"/>
        </w:rPr>
        <w:t>5:</w:t>
      </w:r>
      <w:r>
        <w:rPr>
          <w:lang w:val="en-ZA"/>
        </w:rPr>
        <w:t xml:space="preserve"> Effects of </w:t>
      </w:r>
      <w:r>
        <w:t>food-to-food fortification with various combinations of carrot, mango, papaya, moringa leaf, baobab fruit pulp and hibiscus calyx powders</w:t>
      </w:r>
      <w:r>
        <w:rPr>
          <w:lang w:val="en-ZA"/>
        </w:rPr>
        <w:t xml:space="preserve"> on</w:t>
      </w:r>
      <w:r w:rsidRPr="00127D6A">
        <w:t xml:space="preserve"> </w:t>
      </w:r>
      <w:r>
        <w:t xml:space="preserve">iron and zinc bioaccessibilities </w:t>
      </w:r>
      <w:r w:rsidRPr="00127D6A">
        <w:t xml:space="preserve">in ready-to-eat </w:t>
      </w:r>
      <w:r>
        <w:t xml:space="preserve">(extrusion cooked) pearl millet-based porridges </w:t>
      </w:r>
      <w:r>
        <w:rPr>
          <w:lang w:val="en-ZA"/>
        </w:rPr>
        <w:t xml:space="preserve">and the estimated percentage contribution of bioaccessible iron and zinc </w:t>
      </w:r>
      <w:r w:rsidRPr="00A967D7">
        <w:t>in the porridge formulations (100 g dry basis)</w:t>
      </w:r>
      <w:r>
        <w:t xml:space="preserve"> </w:t>
      </w:r>
      <w:r>
        <w:rPr>
          <w:lang w:val="en-ZA"/>
        </w:rPr>
        <w:t>to the daily absolute requirement (AR) of school-age children (7–9 years) and women of 19–50 years</w:t>
      </w:r>
      <w:bookmarkEnd w:id="148"/>
    </w:p>
    <w:tbl>
      <w:tblPr>
        <w:tblW w:w="14348" w:type="dxa"/>
        <w:tblBorders>
          <w:top w:val="single" w:sz="4" w:space="0" w:color="auto"/>
          <w:bottom w:val="single" w:sz="4" w:space="0" w:color="auto"/>
        </w:tblBorders>
        <w:tblLook w:val="04A0" w:firstRow="1" w:lastRow="0" w:firstColumn="1" w:lastColumn="0" w:noHBand="0" w:noVBand="1"/>
      </w:tblPr>
      <w:tblGrid>
        <w:gridCol w:w="2429"/>
        <w:gridCol w:w="1619"/>
        <w:gridCol w:w="1622"/>
        <w:gridCol w:w="1843"/>
        <w:gridCol w:w="1856"/>
        <w:gridCol w:w="1536"/>
        <w:gridCol w:w="1536"/>
        <w:gridCol w:w="1907"/>
      </w:tblGrid>
      <w:tr w:rsidR="00906090" w:rsidRPr="00906090" w14:paraId="1A16611F" w14:textId="77777777" w:rsidTr="00961673">
        <w:tc>
          <w:tcPr>
            <w:tcW w:w="2429" w:type="dxa"/>
            <w:tcBorders>
              <w:top w:val="single" w:sz="4" w:space="0" w:color="auto"/>
              <w:bottom w:val="single" w:sz="4" w:space="0" w:color="auto"/>
            </w:tcBorders>
          </w:tcPr>
          <w:p w14:paraId="65B413D4" w14:textId="77777777" w:rsidR="00906090" w:rsidRPr="00906090" w:rsidRDefault="00906090" w:rsidP="00906090">
            <w:pPr>
              <w:pStyle w:val="CommentText"/>
              <w:spacing w:after="0"/>
              <w:rPr>
                <w:rFonts w:cs="Times New Roman"/>
                <w:sz w:val="22"/>
                <w:szCs w:val="22"/>
                <w:lang w:val="en-ZA"/>
              </w:rPr>
            </w:pPr>
            <w:r w:rsidRPr="00906090">
              <w:rPr>
                <w:rFonts w:cs="Times New Roman"/>
                <w:b/>
                <w:sz w:val="22"/>
                <w:szCs w:val="22"/>
              </w:rPr>
              <w:t xml:space="preserve">Porridge formulations </w:t>
            </w:r>
          </w:p>
        </w:tc>
        <w:tc>
          <w:tcPr>
            <w:tcW w:w="1619" w:type="dxa"/>
            <w:tcBorders>
              <w:top w:val="single" w:sz="4" w:space="0" w:color="auto"/>
              <w:bottom w:val="single" w:sz="4" w:space="0" w:color="auto"/>
            </w:tcBorders>
          </w:tcPr>
          <w:p w14:paraId="4869A147"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b/>
                <w:sz w:val="22"/>
                <w:szCs w:val="22"/>
              </w:rPr>
              <w:t>Percentage bioaccessible iron</w:t>
            </w:r>
          </w:p>
        </w:tc>
        <w:tc>
          <w:tcPr>
            <w:tcW w:w="1622" w:type="dxa"/>
            <w:tcBorders>
              <w:top w:val="single" w:sz="4" w:space="0" w:color="auto"/>
              <w:bottom w:val="single" w:sz="4" w:space="0" w:color="auto"/>
            </w:tcBorders>
          </w:tcPr>
          <w:p w14:paraId="175D04E6"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b/>
                <w:sz w:val="22"/>
                <w:szCs w:val="22"/>
              </w:rPr>
              <w:t>Amount of bioaccessible iron (mg/100 g dry basis)</w:t>
            </w:r>
          </w:p>
        </w:tc>
        <w:tc>
          <w:tcPr>
            <w:tcW w:w="1843" w:type="dxa"/>
            <w:tcBorders>
              <w:top w:val="single" w:sz="4" w:space="0" w:color="auto"/>
              <w:bottom w:val="single" w:sz="4" w:space="0" w:color="auto"/>
            </w:tcBorders>
          </w:tcPr>
          <w:p w14:paraId="6691B8CE"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b/>
                <w:sz w:val="22"/>
                <w:szCs w:val="22"/>
              </w:rPr>
              <w:t>% contribution of iron to the AR for children (</w:t>
            </w:r>
            <w:r w:rsidRPr="00906090">
              <w:rPr>
                <w:rFonts w:cs="Times New Roman"/>
                <w:b/>
                <w:sz w:val="22"/>
                <w:szCs w:val="22"/>
                <w:lang w:val="en-ZA"/>
              </w:rPr>
              <w:t>0.71 mg/day)</w:t>
            </w:r>
            <w:r w:rsidRPr="00906090">
              <w:rPr>
                <w:rFonts w:cs="Times New Roman"/>
                <w:sz w:val="22"/>
                <w:szCs w:val="22"/>
                <w:vertAlign w:val="superscript"/>
              </w:rPr>
              <w:t>$</w:t>
            </w:r>
          </w:p>
        </w:tc>
        <w:tc>
          <w:tcPr>
            <w:tcW w:w="1856" w:type="dxa"/>
            <w:tcBorders>
              <w:top w:val="single" w:sz="4" w:space="0" w:color="auto"/>
              <w:bottom w:val="single" w:sz="4" w:space="0" w:color="auto"/>
            </w:tcBorders>
          </w:tcPr>
          <w:p w14:paraId="7F6B9B16"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b/>
                <w:sz w:val="22"/>
                <w:szCs w:val="22"/>
              </w:rPr>
              <w:t>% contribution of iron to the AR for women (1.46 mg/day)</w:t>
            </w:r>
            <w:r w:rsidRPr="00906090">
              <w:rPr>
                <w:rFonts w:cs="Times New Roman"/>
                <w:sz w:val="22"/>
                <w:szCs w:val="22"/>
                <w:vertAlign w:val="superscript"/>
              </w:rPr>
              <w:t>$</w:t>
            </w:r>
          </w:p>
        </w:tc>
        <w:tc>
          <w:tcPr>
            <w:tcW w:w="1536" w:type="dxa"/>
            <w:tcBorders>
              <w:top w:val="single" w:sz="4" w:space="0" w:color="auto"/>
              <w:bottom w:val="single" w:sz="4" w:space="0" w:color="auto"/>
            </w:tcBorders>
          </w:tcPr>
          <w:p w14:paraId="5E299C8B"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b/>
                <w:sz w:val="22"/>
                <w:szCs w:val="22"/>
              </w:rPr>
              <w:t>Percentage bioaccessible zinc</w:t>
            </w:r>
          </w:p>
        </w:tc>
        <w:tc>
          <w:tcPr>
            <w:tcW w:w="1536" w:type="dxa"/>
            <w:tcBorders>
              <w:top w:val="single" w:sz="4" w:space="0" w:color="auto"/>
              <w:bottom w:val="single" w:sz="4" w:space="0" w:color="auto"/>
            </w:tcBorders>
          </w:tcPr>
          <w:p w14:paraId="7D675C94"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b/>
                <w:sz w:val="22"/>
                <w:szCs w:val="22"/>
              </w:rPr>
              <w:t>Amount of bioaccessible zinc (mg/100 g dry basis)</w:t>
            </w:r>
          </w:p>
        </w:tc>
        <w:tc>
          <w:tcPr>
            <w:tcW w:w="1907" w:type="dxa"/>
            <w:tcBorders>
              <w:top w:val="single" w:sz="4" w:space="0" w:color="auto"/>
              <w:bottom w:val="single" w:sz="4" w:space="0" w:color="auto"/>
            </w:tcBorders>
          </w:tcPr>
          <w:p w14:paraId="0157A30A"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b/>
                <w:sz w:val="22"/>
                <w:szCs w:val="22"/>
              </w:rPr>
              <w:t>% contribution of zinc to the AR for women (1.75 mg/day)</w:t>
            </w:r>
            <w:r w:rsidRPr="00906090">
              <w:rPr>
                <w:rFonts w:cs="Times New Roman"/>
                <w:b/>
                <w:sz w:val="22"/>
                <w:szCs w:val="22"/>
                <w:vertAlign w:val="superscript"/>
              </w:rPr>
              <w:t xml:space="preserve">¥ </w:t>
            </w:r>
          </w:p>
        </w:tc>
      </w:tr>
      <w:tr w:rsidR="00906090" w:rsidRPr="00906090" w14:paraId="4AAD7B12" w14:textId="77777777" w:rsidTr="00961673">
        <w:tc>
          <w:tcPr>
            <w:tcW w:w="2429" w:type="dxa"/>
            <w:tcBorders>
              <w:top w:val="single" w:sz="4" w:space="0" w:color="auto"/>
            </w:tcBorders>
          </w:tcPr>
          <w:p w14:paraId="6798955D" w14:textId="77777777" w:rsidR="00906090" w:rsidRPr="00906090" w:rsidRDefault="00906090" w:rsidP="00843E4B">
            <w:pPr>
              <w:pStyle w:val="CommentText"/>
              <w:spacing w:after="0"/>
              <w:jc w:val="left"/>
              <w:rPr>
                <w:rFonts w:cs="Times New Roman"/>
                <w:sz w:val="22"/>
                <w:szCs w:val="22"/>
                <w:lang w:val="en-ZA"/>
              </w:rPr>
            </w:pPr>
            <w:r w:rsidRPr="00906090">
              <w:rPr>
                <w:rFonts w:cs="Times New Roman"/>
                <w:sz w:val="22"/>
                <w:szCs w:val="22"/>
                <w:lang w:val="en-ZA"/>
              </w:rPr>
              <w:t>Pearl millet grain (control)</w:t>
            </w:r>
            <w:r w:rsidRPr="00906090">
              <w:rPr>
                <w:rFonts w:cs="Times New Roman"/>
                <w:sz w:val="22"/>
                <w:szCs w:val="22"/>
                <w:vertAlign w:val="superscript"/>
                <w:lang w:val="en-ZA"/>
              </w:rPr>
              <w:t>1</w:t>
            </w:r>
          </w:p>
        </w:tc>
        <w:tc>
          <w:tcPr>
            <w:tcW w:w="1619" w:type="dxa"/>
            <w:tcBorders>
              <w:top w:val="single" w:sz="4" w:space="0" w:color="auto"/>
            </w:tcBorders>
          </w:tcPr>
          <w:p w14:paraId="63A6F17A" w14:textId="639CB5C0"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2.0</w:t>
            </w:r>
            <w:r w:rsidRPr="00906090">
              <w:rPr>
                <w:rFonts w:cs="Times New Roman"/>
                <w:sz w:val="22"/>
                <w:szCs w:val="22"/>
                <w:vertAlign w:val="superscript"/>
                <w:lang w:val="en-ZA"/>
              </w:rPr>
              <w:t>a</w:t>
            </w:r>
            <w:r w:rsidRPr="00906090">
              <w:rPr>
                <w:rFonts w:cs="Times New Roman"/>
                <w:sz w:val="22"/>
                <w:szCs w:val="22"/>
                <w:lang w:val="en-ZA"/>
              </w:rPr>
              <w:t xml:space="preserve"> ± 0.2</w:t>
            </w:r>
          </w:p>
        </w:tc>
        <w:tc>
          <w:tcPr>
            <w:tcW w:w="1622" w:type="dxa"/>
            <w:tcBorders>
              <w:top w:val="single" w:sz="4" w:space="0" w:color="auto"/>
            </w:tcBorders>
          </w:tcPr>
          <w:p w14:paraId="168AD201"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0.19</w:t>
            </w:r>
            <w:r w:rsidRPr="00906090">
              <w:rPr>
                <w:rFonts w:cs="Times New Roman"/>
                <w:sz w:val="22"/>
                <w:szCs w:val="22"/>
                <w:vertAlign w:val="superscript"/>
                <w:lang w:val="en-ZA"/>
              </w:rPr>
              <w:t>a</w:t>
            </w:r>
            <w:r w:rsidRPr="00906090">
              <w:rPr>
                <w:rFonts w:cs="Times New Roman"/>
                <w:sz w:val="22"/>
                <w:szCs w:val="22"/>
                <w:lang w:val="en-ZA"/>
              </w:rPr>
              <w:t xml:space="preserve"> ± 0.02</w:t>
            </w:r>
          </w:p>
        </w:tc>
        <w:tc>
          <w:tcPr>
            <w:tcW w:w="1843" w:type="dxa"/>
            <w:tcBorders>
              <w:top w:val="single" w:sz="4" w:space="0" w:color="auto"/>
            </w:tcBorders>
          </w:tcPr>
          <w:p w14:paraId="66A72D6E"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26.9</w:t>
            </w:r>
          </w:p>
        </w:tc>
        <w:tc>
          <w:tcPr>
            <w:tcW w:w="1856" w:type="dxa"/>
            <w:tcBorders>
              <w:top w:val="single" w:sz="4" w:space="0" w:color="auto"/>
            </w:tcBorders>
          </w:tcPr>
          <w:p w14:paraId="3686B039"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13.1</w:t>
            </w:r>
          </w:p>
        </w:tc>
        <w:tc>
          <w:tcPr>
            <w:tcW w:w="1536" w:type="dxa"/>
            <w:tcBorders>
              <w:top w:val="single" w:sz="4" w:space="0" w:color="auto"/>
            </w:tcBorders>
          </w:tcPr>
          <w:p w14:paraId="68235DAF"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21.9</w:t>
            </w:r>
            <w:r w:rsidRPr="00906090">
              <w:rPr>
                <w:rFonts w:cs="Times New Roman"/>
                <w:sz w:val="22"/>
                <w:szCs w:val="22"/>
                <w:vertAlign w:val="superscript"/>
                <w:lang w:val="en-ZA"/>
              </w:rPr>
              <w:t>a</w:t>
            </w:r>
            <w:r w:rsidRPr="00906090">
              <w:rPr>
                <w:rFonts w:cs="Times New Roman"/>
                <w:sz w:val="22"/>
                <w:szCs w:val="22"/>
                <w:lang w:val="en-ZA"/>
              </w:rPr>
              <w:t xml:space="preserve"> ± 7.8</w:t>
            </w:r>
          </w:p>
        </w:tc>
        <w:tc>
          <w:tcPr>
            <w:tcW w:w="1536" w:type="dxa"/>
            <w:tcBorders>
              <w:top w:val="single" w:sz="4" w:space="0" w:color="auto"/>
            </w:tcBorders>
          </w:tcPr>
          <w:p w14:paraId="2FCE00C1"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0.85</w:t>
            </w:r>
            <w:r w:rsidRPr="00906090">
              <w:rPr>
                <w:rFonts w:cs="Times New Roman"/>
                <w:sz w:val="22"/>
                <w:szCs w:val="22"/>
                <w:vertAlign w:val="superscript"/>
                <w:lang w:val="en-ZA"/>
              </w:rPr>
              <w:t>a</w:t>
            </w:r>
            <w:r w:rsidRPr="00906090">
              <w:rPr>
                <w:rFonts w:cs="Times New Roman"/>
                <w:sz w:val="22"/>
                <w:szCs w:val="22"/>
                <w:lang w:val="en-ZA"/>
              </w:rPr>
              <w:t xml:space="preserve"> ± 0.30</w:t>
            </w:r>
          </w:p>
        </w:tc>
        <w:tc>
          <w:tcPr>
            <w:tcW w:w="1907" w:type="dxa"/>
            <w:tcBorders>
              <w:top w:val="single" w:sz="4" w:space="0" w:color="auto"/>
            </w:tcBorders>
          </w:tcPr>
          <w:p w14:paraId="0CFFC176"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48.4</w:t>
            </w:r>
          </w:p>
        </w:tc>
      </w:tr>
      <w:tr w:rsidR="00906090" w:rsidRPr="00906090" w14:paraId="755E8FE0" w14:textId="77777777" w:rsidTr="00961673">
        <w:tc>
          <w:tcPr>
            <w:tcW w:w="2429" w:type="dxa"/>
          </w:tcPr>
          <w:p w14:paraId="7C574C02" w14:textId="77777777" w:rsidR="00906090" w:rsidRPr="00906090" w:rsidRDefault="00906090" w:rsidP="00843E4B">
            <w:pPr>
              <w:pStyle w:val="CommentText"/>
              <w:spacing w:after="0"/>
              <w:jc w:val="left"/>
              <w:rPr>
                <w:rFonts w:cs="Times New Roman"/>
                <w:sz w:val="22"/>
                <w:szCs w:val="22"/>
                <w:lang w:val="en-ZA"/>
              </w:rPr>
            </w:pPr>
            <w:r w:rsidRPr="00906090">
              <w:rPr>
                <w:rFonts w:cs="Times New Roman"/>
                <w:sz w:val="22"/>
                <w:szCs w:val="22"/>
                <w:lang w:val="en-ZA"/>
              </w:rPr>
              <w:t>Pearl millet</w:t>
            </w:r>
          </w:p>
          <w:p w14:paraId="3C0BED33" w14:textId="36DD43D0" w:rsidR="00906090" w:rsidRPr="00906090" w:rsidRDefault="00906090" w:rsidP="00843E4B">
            <w:pPr>
              <w:pStyle w:val="CommentText"/>
              <w:spacing w:after="0"/>
              <w:jc w:val="left"/>
              <w:rPr>
                <w:rFonts w:cs="Times New Roman"/>
                <w:sz w:val="22"/>
                <w:szCs w:val="22"/>
                <w:lang w:val="en-ZA"/>
              </w:rPr>
            </w:pPr>
            <w:r w:rsidRPr="00906090">
              <w:rPr>
                <w:rFonts w:cs="Times New Roman"/>
                <w:sz w:val="22"/>
                <w:szCs w:val="22"/>
                <w:lang w:val="en-ZA"/>
              </w:rPr>
              <w:t>+carrot+mango</w:t>
            </w:r>
            <w:r w:rsidRPr="00906090">
              <w:rPr>
                <w:rFonts w:cs="Times New Roman"/>
                <w:sz w:val="22"/>
                <w:szCs w:val="22"/>
                <w:vertAlign w:val="superscript"/>
              </w:rPr>
              <w:t>^</w:t>
            </w:r>
            <w:r w:rsidRPr="00906090">
              <w:rPr>
                <w:rFonts w:cs="Times New Roman"/>
                <w:sz w:val="22"/>
                <w:szCs w:val="22"/>
                <w:lang w:val="en-ZA"/>
              </w:rPr>
              <w:t>+ baobab</w:t>
            </w:r>
            <w:r w:rsidRPr="00906090">
              <w:rPr>
                <w:rFonts w:cs="Times New Roman"/>
                <w:sz w:val="22"/>
                <w:szCs w:val="22"/>
                <w:vertAlign w:val="superscript"/>
                <w:lang w:val="en-ZA"/>
              </w:rPr>
              <w:t>*</w:t>
            </w:r>
            <w:r w:rsidRPr="00906090">
              <w:rPr>
                <w:rFonts w:cs="Times New Roman"/>
                <w:sz w:val="22"/>
                <w:szCs w:val="22"/>
                <w:lang w:val="en-ZA"/>
              </w:rPr>
              <w:t>+moringa</w:t>
            </w:r>
          </w:p>
        </w:tc>
        <w:tc>
          <w:tcPr>
            <w:tcW w:w="1619" w:type="dxa"/>
          </w:tcPr>
          <w:p w14:paraId="30979CC3"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8.6</w:t>
            </w:r>
            <w:r w:rsidRPr="00906090">
              <w:rPr>
                <w:rFonts w:cs="Times New Roman"/>
                <w:sz w:val="22"/>
                <w:szCs w:val="22"/>
                <w:vertAlign w:val="superscript"/>
                <w:lang w:val="en-ZA"/>
              </w:rPr>
              <w:t>c</w:t>
            </w:r>
            <w:r w:rsidRPr="00906090">
              <w:rPr>
                <w:rFonts w:cs="Times New Roman"/>
                <w:sz w:val="22"/>
                <w:szCs w:val="22"/>
                <w:lang w:val="en-ZA"/>
              </w:rPr>
              <w:t xml:space="preserve"> ± 1.1 (338%)</w:t>
            </w:r>
            <w:r w:rsidRPr="00906090">
              <w:rPr>
                <w:rFonts w:cs="Times New Roman"/>
                <w:sz w:val="22"/>
                <w:szCs w:val="22"/>
                <w:vertAlign w:val="superscript"/>
              </w:rPr>
              <w:t>£</w:t>
            </w:r>
            <w:r w:rsidRPr="00906090">
              <w:rPr>
                <w:rFonts w:cs="Times New Roman"/>
                <w:sz w:val="22"/>
                <w:szCs w:val="22"/>
                <w:lang w:val="en-ZA"/>
              </w:rPr>
              <w:t xml:space="preserve"> </w:t>
            </w:r>
          </w:p>
          <w:p w14:paraId="4365B982" w14:textId="77777777" w:rsidR="00906090" w:rsidRPr="00906090" w:rsidRDefault="00906090" w:rsidP="00906090">
            <w:pPr>
              <w:pStyle w:val="CommentText"/>
              <w:spacing w:after="0"/>
              <w:jc w:val="center"/>
              <w:rPr>
                <w:rFonts w:cs="Times New Roman"/>
                <w:sz w:val="22"/>
                <w:szCs w:val="22"/>
                <w:lang w:val="en-ZA"/>
              </w:rPr>
            </w:pPr>
          </w:p>
        </w:tc>
        <w:tc>
          <w:tcPr>
            <w:tcW w:w="1622" w:type="dxa"/>
          </w:tcPr>
          <w:p w14:paraId="308A93CF"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0.96</w:t>
            </w:r>
            <w:r w:rsidRPr="00906090">
              <w:rPr>
                <w:rFonts w:cs="Times New Roman"/>
                <w:sz w:val="22"/>
                <w:szCs w:val="22"/>
                <w:vertAlign w:val="superscript"/>
                <w:lang w:val="en-ZA"/>
              </w:rPr>
              <w:t>b</w:t>
            </w:r>
            <w:r w:rsidRPr="00906090">
              <w:rPr>
                <w:rFonts w:cs="Times New Roman"/>
                <w:sz w:val="22"/>
                <w:szCs w:val="22"/>
                <w:lang w:val="en-ZA"/>
              </w:rPr>
              <w:t xml:space="preserve"> ± 0.13 (404%) </w:t>
            </w:r>
          </w:p>
          <w:p w14:paraId="4F552F09" w14:textId="77777777" w:rsidR="00906090" w:rsidRPr="00906090" w:rsidRDefault="00906090" w:rsidP="00906090">
            <w:pPr>
              <w:pStyle w:val="CommentText"/>
              <w:spacing w:after="0"/>
              <w:jc w:val="center"/>
              <w:rPr>
                <w:rFonts w:cs="Times New Roman"/>
                <w:sz w:val="22"/>
                <w:szCs w:val="22"/>
                <w:lang w:val="en-ZA"/>
              </w:rPr>
            </w:pPr>
          </w:p>
        </w:tc>
        <w:tc>
          <w:tcPr>
            <w:tcW w:w="1843" w:type="dxa"/>
          </w:tcPr>
          <w:p w14:paraId="11FA4703"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135.7 (404%)</w:t>
            </w:r>
          </w:p>
        </w:tc>
        <w:tc>
          <w:tcPr>
            <w:tcW w:w="1856" w:type="dxa"/>
          </w:tcPr>
          <w:p w14:paraId="4982F04B"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66.0 (404%)</w:t>
            </w:r>
          </w:p>
        </w:tc>
        <w:tc>
          <w:tcPr>
            <w:tcW w:w="1536" w:type="dxa"/>
          </w:tcPr>
          <w:p w14:paraId="3F493B8C"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43.3</w:t>
            </w:r>
            <w:r w:rsidRPr="00906090">
              <w:rPr>
                <w:rFonts w:cs="Times New Roman"/>
                <w:sz w:val="22"/>
                <w:szCs w:val="22"/>
                <w:vertAlign w:val="superscript"/>
                <w:lang w:val="en-ZA"/>
              </w:rPr>
              <w:t>c</w:t>
            </w:r>
            <w:r w:rsidRPr="00906090">
              <w:rPr>
                <w:rFonts w:cs="Times New Roman"/>
                <w:sz w:val="22"/>
                <w:szCs w:val="22"/>
                <w:lang w:val="en-ZA"/>
              </w:rPr>
              <w:t xml:space="preserve"> ± 3.8 (98%)</w:t>
            </w:r>
          </w:p>
        </w:tc>
        <w:tc>
          <w:tcPr>
            <w:tcW w:w="1536" w:type="dxa"/>
          </w:tcPr>
          <w:p w14:paraId="777E3C94"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1.30</w:t>
            </w:r>
            <w:r w:rsidRPr="00906090">
              <w:rPr>
                <w:rFonts w:cs="Times New Roman"/>
                <w:sz w:val="22"/>
                <w:szCs w:val="22"/>
                <w:vertAlign w:val="superscript"/>
                <w:lang w:val="en-ZA"/>
              </w:rPr>
              <w:t>b</w:t>
            </w:r>
            <w:r w:rsidRPr="00906090">
              <w:rPr>
                <w:rFonts w:cs="Times New Roman"/>
                <w:sz w:val="22"/>
                <w:szCs w:val="22"/>
                <w:lang w:val="en-ZA"/>
              </w:rPr>
              <w:t xml:space="preserve"> ± 0.11 (54%)</w:t>
            </w:r>
          </w:p>
        </w:tc>
        <w:tc>
          <w:tcPr>
            <w:tcW w:w="1907" w:type="dxa"/>
          </w:tcPr>
          <w:p w14:paraId="40E6E7FC"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74.5 (54%)</w:t>
            </w:r>
          </w:p>
        </w:tc>
      </w:tr>
      <w:tr w:rsidR="00906090" w:rsidRPr="00906090" w14:paraId="09D139FA" w14:textId="77777777" w:rsidTr="00961673">
        <w:tc>
          <w:tcPr>
            <w:tcW w:w="2429" w:type="dxa"/>
          </w:tcPr>
          <w:p w14:paraId="47C282B4" w14:textId="77777777" w:rsidR="00906090" w:rsidRPr="00906090" w:rsidRDefault="00906090" w:rsidP="00843E4B">
            <w:pPr>
              <w:pStyle w:val="CommentText"/>
              <w:spacing w:after="0"/>
              <w:jc w:val="left"/>
              <w:rPr>
                <w:rFonts w:cs="Times New Roman"/>
                <w:sz w:val="22"/>
                <w:szCs w:val="22"/>
                <w:lang w:val="en-ZA"/>
              </w:rPr>
            </w:pPr>
            <w:r w:rsidRPr="00906090">
              <w:rPr>
                <w:rFonts w:cs="Times New Roman"/>
                <w:sz w:val="22"/>
                <w:szCs w:val="22"/>
                <w:lang w:val="en-ZA"/>
              </w:rPr>
              <w:t>Pearl millet</w:t>
            </w:r>
          </w:p>
          <w:p w14:paraId="0C1D16D3" w14:textId="617F4D1D" w:rsidR="00906090" w:rsidRPr="00906090" w:rsidRDefault="00906090" w:rsidP="00843E4B">
            <w:pPr>
              <w:pStyle w:val="CommentText"/>
              <w:spacing w:after="0"/>
              <w:jc w:val="left"/>
              <w:rPr>
                <w:rFonts w:cs="Times New Roman"/>
                <w:sz w:val="22"/>
                <w:szCs w:val="22"/>
                <w:lang w:val="en-ZA"/>
              </w:rPr>
            </w:pPr>
            <w:r w:rsidRPr="00906090">
              <w:rPr>
                <w:rFonts w:cs="Times New Roman"/>
                <w:sz w:val="22"/>
                <w:szCs w:val="22"/>
                <w:lang w:val="en-ZA"/>
              </w:rPr>
              <w:t>+carrot+papaya+ baobab</w:t>
            </w:r>
          </w:p>
        </w:tc>
        <w:tc>
          <w:tcPr>
            <w:tcW w:w="1619" w:type="dxa"/>
          </w:tcPr>
          <w:p w14:paraId="5301518D"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10.1</w:t>
            </w:r>
            <w:r w:rsidRPr="00906090">
              <w:rPr>
                <w:rFonts w:cs="Times New Roman"/>
                <w:sz w:val="22"/>
                <w:szCs w:val="22"/>
                <w:vertAlign w:val="superscript"/>
                <w:lang w:val="en-ZA"/>
              </w:rPr>
              <w:t>d</w:t>
            </w:r>
            <w:r w:rsidRPr="00906090">
              <w:rPr>
                <w:rFonts w:cs="Times New Roman"/>
                <w:sz w:val="22"/>
                <w:szCs w:val="22"/>
                <w:lang w:val="en-ZA"/>
              </w:rPr>
              <w:t xml:space="preserve"> ± 1.1 (415%) </w:t>
            </w:r>
          </w:p>
          <w:p w14:paraId="74A27133" w14:textId="77777777" w:rsidR="00906090" w:rsidRPr="00906090" w:rsidRDefault="00906090" w:rsidP="00906090">
            <w:pPr>
              <w:pStyle w:val="CommentText"/>
              <w:spacing w:after="0"/>
              <w:jc w:val="center"/>
              <w:rPr>
                <w:rFonts w:cs="Times New Roman"/>
                <w:sz w:val="22"/>
                <w:szCs w:val="22"/>
                <w:lang w:val="en-ZA"/>
              </w:rPr>
            </w:pPr>
          </w:p>
        </w:tc>
        <w:tc>
          <w:tcPr>
            <w:tcW w:w="1622" w:type="dxa"/>
          </w:tcPr>
          <w:p w14:paraId="16DDAFB6"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1.61</w:t>
            </w:r>
            <w:r w:rsidRPr="00906090">
              <w:rPr>
                <w:rFonts w:cs="Times New Roman"/>
                <w:sz w:val="22"/>
                <w:szCs w:val="22"/>
                <w:vertAlign w:val="superscript"/>
                <w:lang w:val="en-ZA"/>
              </w:rPr>
              <w:t>c</w:t>
            </w:r>
            <w:r w:rsidRPr="00906090">
              <w:rPr>
                <w:rFonts w:cs="Times New Roman"/>
                <w:sz w:val="22"/>
                <w:szCs w:val="22"/>
                <w:lang w:val="en-ZA"/>
              </w:rPr>
              <w:t xml:space="preserve"> ± 0.17 (740%) </w:t>
            </w:r>
          </w:p>
          <w:p w14:paraId="51AA8819" w14:textId="77777777" w:rsidR="00906090" w:rsidRPr="00906090" w:rsidRDefault="00906090" w:rsidP="00906090">
            <w:pPr>
              <w:pStyle w:val="CommentText"/>
              <w:spacing w:after="0"/>
              <w:jc w:val="center"/>
              <w:rPr>
                <w:rFonts w:cs="Times New Roman"/>
                <w:sz w:val="22"/>
                <w:szCs w:val="22"/>
                <w:lang w:val="en-ZA"/>
              </w:rPr>
            </w:pPr>
          </w:p>
        </w:tc>
        <w:tc>
          <w:tcPr>
            <w:tcW w:w="1843" w:type="dxa"/>
          </w:tcPr>
          <w:p w14:paraId="1633FCA7"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226 (740%)</w:t>
            </w:r>
          </w:p>
        </w:tc>
        <w:tc>
          <w:tcPr>
            <w:tcW w:w="1856" w:type="dxa"/>
          </w:tcPr>
          <w:p w14:paraId="637056C7"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110.0 (740%)</w:t>
            </w:r>
          </w:p>
        </w:tc>
        <w:tc>
          <w:tcPr>
            <w:tcW w:w="1536" w:type="dxa"/>
          </w:tcPr>
          <w:p w14:paraId="67BDEE67"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35.1</w:t>
            </w:r>
            <w:r w:rsidRPr="00906090">
              <w:rPr>
                <w:rFonts w:cs="Times New Roman"/>
                <w:sz w:val="22"/>
                <w:szCs w:val="22"/>
                <w:vertAlign w:val="superscript"/>
                <w:lang w:val="en-ZA"/>
              </w:rPr>
              <w:t>b</w:t>
            </w:r>
            <w:r w:rsidRPr="00906090">
              <w:rPr>
                <w:rFonts w:cs="Times New Roman"/>
                <w:sz w:val="22"/>
                <w:szCs w:val="22"/>
                <w:lang w:val="en-ZA"/>
              </w:rPr>
              <w:t xml:space="preserve"> ± 2.5 (60%)</w:t>
            </w:r>
          </w:p>
        </w:tc>
        <w:tc>
          <w:tcPr>
            <w:tcW w:w="1536" w:type="dxa"/>
          </w:tcPr>
          <w:p w14:paraId="7C6FC4A6"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1.07</w:t>
            </w:r>
            <w:r w:rsidRPr="00906090">
              <w:rPr>
                <w:rFonts w:cs="Times New Roman"/>
                <w:sz w:val="22"/>
                <w:szCs w:val="22"/>
                <w:vertAlign w:val="superscript"/>
                <w:lang w:val="en-ZA"/>
              </w:rPr>
              <w:t>ab</w:t>
            </w:r>
            <w:r w:rsidRPr="00906090">
              <w:rPr>
                <w:rFonts w:cs="Times New Roman"/>
                <w:sz w:val="22"/>
                <w:szCs w:val="22"/>
                <w:lang w:val="en-ZA"/>
              </w:rPr>
              <w:t xml:space="preserve"> ± 0.08</w:t>
            </w:r>
          </w:p>
        </w:tc>
        <w:tc>
          <w:tcPr>
            <w:tcW w:w="1907" w:type="dxa"/>
          </w:tcPr>
          <w:p w14:paraId="66D80F56"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 xml:space="preserve">61.0 </w:t>
            </w:r>
          </w:p>
        </w:tc>
      </w:tr>
      <w:tr w:rsidR="00906090" w:rsidRPr="00906090" w14:paraId="5470FABE" w14:textId="77777777" w:rsidTr="00961673">
        <w:tc>
          <w:tcPr>
            <w:tcW w:w="2429" w:type="dxa"/>
          </w:tcPr>
          <w:p w14:paraId="3AA9D63B" w14:textId="77777777" w:rsidR="00906090" w:rsidRPr="00906090" w:rsidRDefault="00906090" w:rsidP="00843E4B">
            <w:pPr>
              <w:pStyle w:val="CommentText"/>
              <w:spacing w:after="0"/>
              <w:jc w:val="left"/>
              <w:rPr>
                <w:rFonts w:cs="Times New Roman"/>
                <w:sz w:val="22"/>
                <w:szCs w:val="22"/>
                <w:lang w:val="en-ZA"/>
              </w:rPr>
            </w:pPr>
            <w:r w:rsidRPr="00906090">
              <w:rPr>
                <w:rFonts w:cs="Times New Roman"/>
                <w:sz w:val="22"/>
                <w:szCs w:val="22"/>
                <w:lang w:val="en-ZA"/>
              </w:rPr>
              <w:t>Pearl millet</w:t>
            </w:r>
          </w:p>
          <w:p w14:paraId="208C67EF" w14:textId="6BBE4778" w:rsidR="00906090" w:rsidRPr="00906090" w:rsidRDefault="00906090" w:rsidP="00843E4B">
            <w:pPr>
              <w:pStyle w:val="CommentText"/>
              <w:spacing w:after="0"/>
              <w:jc w:val="left"/>
              <w:rPr>
                <w:rFonts w:cs="Times New Roman"/>
                <w:sz w:val="22"/>
                <w:szCs w:val="22"/>
                <w:lang w:val="en-ZA"/>
              </w:rPr>
            </w:pPr>
            <w:r w:rsidRPr="00906090">
              <w:rPr>
                <w:rFonts w:cs="Times New Roman"/>
                <w:sz w:val="22"/>
                <w:szCs w:val="22"/>
                <w:lang w:val="en-ZA"/>
              </w:rPr>
              <w:t>+carrot+papaya+ baobab+micronutrient premix</w:t>
            </w:r>
          </w:p>
        </w:tc>
        <w:tc>
          <w:tcPr>
            <w:tcW w:w="1619" w:type="dxa"/>
          </w:tcPr>
          <w:p w14:paraId="457BEEC7"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19.7</w:t>
            </w:r>
            <w:r w:rsidRPr="00906090">
              <w:rPr>
                <w:rFonts w:cs="Times New Roman"/>
                <w:sz w:val="22"/>
                <w:szCs w:val="22"/>
                <w:vertAlign w:val="superscript"/>
                <w:lang w:val="en-ZA"/>
              </w:rPr>
              <w:t>e</w:t>
            </w:r>
            <w:r w:rsidRPr="00906090">
              <w:rPr>
                <w:rFonts w:cs="Times New Roman"/>
                <w:sz w:val="22"/>
                <w:szCs w:val="22"/>
                <w:lang w:val="en-ZA"/>
              </w:rPr>
              <w:t xml:space="preserve"> ± 0.7 (905%) </w:t>
            </w:r>
          </w:p>
          <w:p w14:paraId="3E840F8D" w14:textId="77777777" w:rsidR="00906090" w:rsidRPr="00906090" w:rsidRDefault="00906090" w:rsidP="00906090">
            <w:pPr>
              <w:pStyle w:val="CommentText"/>
              <w:spacing w:after="0"/>
              <w:jc w:val="center"/>
              <w:rPr>
                <w:rFonts w:cs="Times New Roman"/>
                <w:sz w:val="22"/>
                <w:szCs w:val="22"/>
                <w:lang w:val="en-ZA"/>
              </w:rPr>
            </w:pPr>
          </w:p>
        </w:tc>
        <w:tc>
          <w:tcPr>
            <w:tcW w:w="1622" w:type="dxa"/>
          </w:tcPr>
          <w:p w14:paraId="6B556418"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4.28</w:t>
            </w:r>
            <w:r w:rsidRPr="00906090">
              <w:rPr>
                <w:rFonts w:cs="Times New Roman"/>
                <w:sz w:val="22"/>
                <w:szCs w:val="22"/>
                <w:vertAlign w:val="superscript"/>
                <w:lang w:val="en-ZA"/>
              </w:rPr>
              <w:t>e</w:t>
            </w:r>
            <w:r w:rsidRPr="00906090">
              <w:rPr>
                <w:rFonts w:cs="Times New Roman"/>
                <w:sz w:val="22"/>
                <w:szCs w:val="22"/>
                <w:lang w:val="en-ZA"/>
              </w:rPr>
              <w:t xml:space="preserve"> ± 0.15 (2137%) </w:t>
            </w:r>
          </w:p>
          <w:p w14:paraId="45EDDEAF" w14:textId="77777777" w:rsidR="00906090" w:rsidRPr="00906090" w:rsidRDefault="00906090" w:rsidP="00906090">
            <w:pPr>
              <w:pStyle w:val="CommentText"/>
              <w:spacing w:after="0"/>
              <w:jc w:val="center"/>
              <w:rPr>
                <w:rFonts w:cs="Times New Roman"/>
                <w:sz w:val="22"/>
                <w:szCs w:val="22"/>
                <w:lang w:val="en-ZA"/>
              </w:rPr>
            </w:pPr>
          </w:p>
        </w:tc>
        <w:tc>
          <w:tcPr>
            <w:tcW w:w="1843" w:type="dxa"/>
          </w:tcPr>
          <w:p w14:paraId="5184C40D"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602 (2137%)</w:t>
            </w:r>
          </w:p>
        </w:tc>
        <w:tc>
          <w:tcPr>
            <w:tcW w:w="1856" w:type="dxa"/>
          </w:tcPr>
          <w:p w14:paraId="6D6216D0"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293.0 (2137%)</w:t>
            </w:r>
          </w:p>
        </w:tc>
        <w:tc>
          <w:tcPr>
            <w:tcW w:w="1536" w:type="dxa"/>
          </w:tcPr>
          <w:p w14:paraId="67121F93"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57.8</w:t>
            </w:r>
            <w:r w:rsidRPr="00906090">
              <w:rPr>
                <w:rFonts w:cs="Times New Roman"/>
                <w:sz w:val="22"/>
                <w:szCs w:val="22"/>
                <w:vertAlign w:val="superscript"/>
                <w:lang w:val="en-ZA"/>
              </w:rPr>
              <w:t>d</w:t>
            </w:r>
            <w:r w:rsidRPr="00906090">
              <w:rPr>
                <w:rFonts w:cs="Times New Roman"/>
                <w:sz w:val="22"/>
                <w:szCs w:val="22"/>
                <w:lang w:val="en-ZA"/>
              </w:rPr>
              <w:t xml:space="preserve"> ± 10.5 (164%)</w:t>
            </w:r>
          </w:p>
        </w:tc>
        <w:tc>
          <w:tcPr>
            <w:tcW w:w="1536" w:type="dxa"/>
          </w:tcPr>
          <w:p w14:paraId="3D52278A"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3.44</w:t>
            </w:r>
            <w:r w:rsidRPr="00906090">
              <w:rPr>
                <w:rFonts w:cs="Times New Roman"/>
                <w:sz w:val="22"/>
                <w:szCs w:val="22"/>
                <w:vertAlign w:val="superscript"/>
                <w:lang w:val="en-ZA"/>
              </w:rPr>
              <w:t>c</w:t>
            </w:r>
            <w:r w:rsidRPr="00906090">
              <w:rPr>
                <w:rFonts w:cs="Times New Roman"/>
                <w:sz w:val="22"/>
                <w:szCs w:val="22"/>
                <w:lang w:val="en-ZA"/>
              </w:rPr>
              <w:t xml:space="preserve"> ± 0.62 (305%)</w:t>
            </w:r>
          </w:p>
        </w:tc>
        <w:tc>
          <w:tcPr>
            <w:tcW w:w="1907" w:type="dxa"/>
          </w:tcPr>
          <w:p w14:paraId="13C3AA82"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196.5 (305%)</w:t>
            </w:r>
          </w:p>
        </w:tc>
      </w:tr>
      <w:tr w:rsidR="00906090" w:rsidRPr="00906090" w14:paraId="206AA3EB" w14:textId="77777777" w:rsidTr="00961673">
        <w:tc>
          <w:tcPr>
            <w:tcW w:w="2429" w:type="dxa"/>
          </w:tcPr>
          <w:p w14:paraId="0D5029BC" w14:textId="77777777" w:rsidR="00906090" w:rsidRPr="00906090" w:rsidRDefault="00906090" w:rsidP="00843E4B">
            <w:pPr>
              <w:pStyle w:val="CommentText"/>
              <w:spacing w:after="0"/>
              <w:jc w:val="left"/>
              <w:rPr>
                <w:rFonts w:cs="Times New Roman"/>
                <w:sz w:val="22"/>
                <w:szCs w:val="22"/>
                <w:lang w:val="en-ZA"/>
              </w:rPr>
            </w:pPr>
            <w:r w:rsidRPr="00906090">
              <w:rPr>
                <w:rFonts w:cs="Times New Roman"/>
                <w:sz w:val="22"/>
                <w:szCs w:val="22"/>
                <w:lang w:val="en-ZA"/>
              </w:rPr>
              <w:t>Pearl millet</w:t>
            </w:r>
          </w:p>
          <w:p w14:paraId="575DDB8D" w14:textId="7DC8C30C" w:rsidR="00906090" w:rsidRPr="00906090" w:rsidRDefault="00906090" w:rsidP="00843E4B">
            <w:pPr>
              <w:pStyle w:val="CommentText"/>
              <w:spacing w:after="0"/>
              <w:jc w:val="left"/>
              <w:rPr>
                <w:rFonts w:cs="Times New Roman"/>
                <w:sz w:val="22"/>
                <w:szCs w:val="22"/>
                <w:lang w:val="en-ZA"/>
              </w:rPr>
            </w:pPr>
            <w:r w:rsidRPr="00906090">
              <w:rPr>
                <w:rFonts w:cs="Times New Roman"/>
                <w:sz w:val="22"/>
                <w:szCs w:val="22"/>
                <w:lang w:val="en-ZA"/>
              </w:rPr>
              <w:t>+baobab+hibiscus</w:t>
            </w:r>
          </w:p>
        </w:tc>
        <w:tc>
          <w:tcPr>
            <w:tcW w:w="1619" w:type="dxa"/>
          </w:tcPr>
          <w:p w14:paraId="46BC8A49"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6.4</w:t>
            </w:r>
            <w:r w:rsidRPr="00906090">
              <w:rPr>
                <w:rFonts w:cs="Times New Roman"/>
                <w:sz w:val="22"/>
                <w:szCs w:val="22"/>
                <w:vertAlign w:val="superscript"/>
                <w:lang w:val="en-ZA"/>
              </w:rPr>
              <w:t>b</w:t>
            </w:r>
            <w:r w:rsidRPr="00906090">
              <w:rPr>
                <w:rFonts w:cs="Times New Roman"/>
                <w:sz w:val="22"/>
                <w:szCs w:val="22"/>
                <w:lang w:val="en-ZA"/>
              </w:rPr>
              <w:t xml:space="preserve"> ± 0.4 (225%) </w:t>
            </w:r>
          </w:p>
          <w:p w14:paraId="4A11F919" w14:textId="77777777" w:rsidR="00906090" w:rsidRPr="00906090" w:rsidRDefault="00906090" w:rsidP="00906090">
            <w:pPr>
              <w:pStyle w:val="CommentText"/>
              <w:spacing w:after="0"/>
              <w:jc w:val="center"/>
              <w:rPr>
                <w:rFonts w:cs="Times New Roman"/>
                <w:sz w:val="22"/>
                <w:szCs w:val="22"/>
                <w:lang w:val="en-ZA"/>
              </w:rPr>
            </w:pPr>
          </w:p>
        </w:tc>
        <w:tc>
          <w:tcPr>
            <w:tcW w:w="1622" w:type="dxa"/>
          </w:tcPr>
          <w:p w14:paraId="2E8E011C"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2.73</w:t>
            </w:r>
            <w:r w:rsidRPr="00906090">
              <w:rPr>
                <w:rFonts w:cs="Times New Roman"/>
                <w:sz w:val="22"/>
                <w:szCs w:val="22"/>
                <w:vertAlign w:val="superscript"/>
                <w:lang w:val="en-ZA"/>
              </w:rPr>
              <w:t>d</w:t>
            </w:r>
            <w:r w:rsidRPr="00906090">
              <w:rPr>
                <w:rFonts w:cs="Times New Roman"/>
                <w:sz w:val="22"/>
                <w:szCs w:val="22"/>
                <w:lang w:val="en-ZA"/>
              </w:rPr>
              <w:t xml:space="preserve"> ± 0.16 (1326%) </w:t>
            </w:r>
          </w:p>
          <w:p w14:paraId="18CD5E86" w14:textId="77777777" w:rsidR="00906090" w:rsidRPr="00906090" w:rsidRDefault="00906090" w:rsidP="00906090">
            <w:pPr>
              <w:pStyle w:val="CommentText"/>
              <w:spacing w:after="0"/>
              <w:jc w:val="center"/>
              <w:rPr>
                <w:rFonts w:cs="Times New Roman"/>
                <w:sz w:val="22"/>
                <w:szCs w:val="22"/>
                <w:lang w:val="en-ZA"/>
              </w:rPr>
            </w:pPr>
          </w:p>
        </w:tc>
        <w:tc>
          <w:tcPr>
            <w:tcW w:w="1843" w:type="dxa"/>
          </w:tcPr>
          <w:p w14:paraId="19AFFBDF"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384 (1326%)</w:t>
            </w:r>
          </w:p>
        </w:tc>
        <w:tc>
          <w:tcPr>
            <w:tcW w:w="1856" w:type="dxa"/>
          </w:tcPr>
          <w:p w14:paraId="0F5E4E8A"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186.7 (1326%)</w:t>
            </w:r>
          </w:p>
        </w:tc>
        <w:tc>
          <w:tcPr>
            <w:tcW w:w="1536" w:type="dxa"/>
          </w:tcPr>
          <w:p w14:paraId="2FF7C446"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29.3</w:t>
            </w:r>
            <w:r w:rsidRPr="00906090">
              <w:rPr>
                <w:rFonts w:cs="Times New Roman"/>
                <w:sz w:val="22"/>
                <w:szCs w:val="22"/>
                <w:vertAlign w:val="superscript"/>
                <w:lang w:val="en-ZA"/>
              </w:rPr>
              <w:t>ab</w:t>
            </w:r>
            <w:r w:rsidRPr="00906090">
              <w:rPr>
                <w:rFonts w:cs="Times New Roman"/>
                <w:sz w:val="22"/>
                <w:szCs w:val="22"/>
                <w:lang w:val="en-ZA"/>
              </w:rPr>
              <w:t xml:space="preserve"> ± 5.2 (34%)</w:t>
            </w:r>
          </w:p>
        </w:tc>
        <w:tc>
          <w:tcPr>
            <w:tcW w:w="1536" w:type="dxa"/>
          </w:tcPr>
          <w:p w14:paraId="4F31777D"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1.00</w:t>
            </w:r>
            <w:r w:rsidRPr="00906090">
              <w:rPr>
                <w:rFonts w:cs="Times New Roman"/>
                <w:sz w:val="22"/>
                <w:szCs w:val="22"/>
                <w:vertAlign w:val="superscript"/>
                <w:lang w:val="en-ZA"/>
              </w:rPr>
              <w:t>ab</w:t>
            </w:r>
            <w:r w:rsidRPr="00906090">
              <w:rPr>
                <w:rFonts w:cs="Times New Roman"/>
                <w:sz w:val="22"/>
                <w:szCs w:val="22"/>
                <w:lang w:val="en-ZA"/>
              </w:rPr>
              <w:t xml:space="preserve"> ± 0.18</w:t>
            </w:r>
          </w:p>
        </w:tc>
        <w:tc>
          <w:tcPr>
            <w:tcW w:w="1907" w:type="dxa"/>
          </w:tcPr>
          <w:p w14:paraId="37C1C9E2" w14:textId="77777777" w:rsidR="00906090" w:rsidRPr="00906090" w:rsidRDefault="00906090" w:rsidP="00906090">
            <w:pPr>
              <w:pStyle w:val="CommentText"/>
              <w:spacing w:after="0"/>
              <w:jc w:val="center"/>
              <w:rPr>
                <w:rFonts w:cs="Times New Roman"/>
                <w:sz w:val="22"/>
                <w:szCs w:val="22"/>
                <w:lang w:val="en-ZA"/>
              </w:rPr>
            </w:pPr>
            <w:r w:rsidRPr="00906090">
              <w:rPr>
                <w:rFonts w:cs="Times New Roman"/>
                <w:sz w:val="22"/>
                <w:szCs w:val="22"/>
                <w:lang w:val="en-ZA"/>
              </w:rPr>
              <w:t>57.0</w:t>
            </w:r>
          </w:p>
        </w:tc>
      </w:tr>
    </w:tbl>
    <w:p w14:paraId="361F266B" w14:textId="6A3E02D3" w:rsidR="00906090" w:rsidRPr="00DC6381" w:rsidRDefault="00906090" w:rsidP="00906090">
      <w:pPr>
        <w:spacing w:before="240" w:after="0" w:line="240" w:lineRule="auto"/>
        <w:rPr>
          <w:rFonts w:cs="Times New Roman"/>
        </w:rPr>
      </w:pPr>
      <w:r w:rsidRPr="00DC6381">
        <w:rPr>
          <w:rFonts w:cs="Times New Roman"/>
          <w:sz w:val="20"/>
          <w:szCs w:val="20"/>
        </w:rPr>
        <w:t>Values are the mean ± 1 SD of two independent samples analysed in triplicate (n=6), Means with different superscripts letters in a column differ significantly (</w:t>
      </w:r>
      <w:r w:rsidRPr="00DC6381">
        <w:rPr>
          <w:rFonts w:cs="Times New Roman"/>
          <w:i/>
          <w:iCs/>
          <w:sz w:val="20"/>
          <w:szCs w:val="20"/>
        </w:rPr>
        <w:t>p</w:t>
      </w:r>
      <w:r w:rsidR="00B63632">
        <w:rPr>
          <w:rFonts w:cs="Times New Roman"/>
          <w:sz w:val="20"/>
          <w:szCs w:val="20"/>
        </w:rPr>
        <w:t>&lt;</w:t>
      </w:r>
      <w:r w:rsidRPr="00DC6381">
        <w:rPr>
          <w:rFonts w:cs="Times New Roman"/>
          <w:sz w:val="20"/>
          <w:szCs w:val="20"/>
        </w:rPr>
        <w:t>0.05),</w:t>
      </w:r>
      <w:r w:rsidRPr="00DC6381">
        <w:rPr>
          <w:rFonts w:cs="Times New Roman"/>
        </w:rPr>
        <w:t xml:space="preserve"> </w:t>
      </w:r>
    </w:p>
    <w:p w14:paraId="6411AB9D" w14:textId="28F48398" w:rsidR="00906090" w:rsidRPr="00DC6381" w:rsidRDefault="00906090" w:rsidP="00906090">
      <w:pPr>
        <w:pStyle w:val="CommentText"/>
        <w:spacing w:after="0"/>
        <w:rPr>
          <w:rFonts w:cs="Times New Roman"/>
        </w:rPr>
      </w:pPr>
      <w:r w:rsidRPr="00DC6381">
        <w:rPr>
          <w:rFonts w:cs="Times New Roman"/>
          <w:vertAlign w:val="superscript"/>
        </w:rPr>
        <w:t>£</w:t>
      </w:r>
      <w:r w:rsidRPr="00DC6381">
        <w:rPr>
          <w:rFonts w:cs="Times New Roman"/>
        </w:rPr>
        <w:t>Percentage values in brackets are significantly different to the control uncooked pearl millet by pairwise comparison (</w:t>
      </w:r>
      <w:r w:rsidRPr="00DC6381">
        <w:rPr>
          <w:rFonts w:cs="Times New Roman"/>
          <w:i/>
          <w:iCs/>
        </w:rPr>
        <w:t>p</w:t>
      </w:r>
      <w:r w:rsidR="00B63632">
        <w:rPr>
          <w:rFonts w:cs="Times New Roman"/>
        </w:rPr>
        <w:t>&lt;</w:t>
      </w:r>
      <w:r w:rsidRPr="00DC6381">
        <w:rPr>
          <w:rFonts w:cs="Times New Roman"/>
        </w:rPr>
        <w:t>0.05)</w:t>
      </w:r>
    </w:p>
    <w:p w14:paraId="14F19096" w14:textId="77777777" w:rsidR="00906090" w:rsidRPr="00DC6381" w:rsidRDefault="00906090" w:rsidP="006A6E94">
      <w:pPr>
        <w:spacing w:after="0" w:line="240" w:lineRule="auto"/>
        <w:rPr>
          <w:rFonts w:cs="Times New Roman"/>
          <w:sz w:val="20"/>
          <w:szCs w:val="20"/>
        </w:rPr>
      </w:pPr>
      <w:r w:rsidRPr="00DC6381">
        <w:rPr>
          <w:rFonts w:cs="Times New Roman"/>
          <w:sz w:val="20"/>
          <w:szCs w:val="20"/>
          <w:vertAlign w:val="superscript"/>
        </w:rPr>
        <w:t>^</w:t>
      </w:r>
      <w:r w:rsidRPr="00DC6381">
        <w:rPr>
          <w:rFonts w:cs="Times New Roman"/>
          <w:sz w:val="20"/>
          <w:szCs w:val="20"/>
        </w:rPr>
        <w:t xml:space="preserve">Carrot and mango powders from Institut de Technologie Alimentaire (ITA), </w:t>
      </w:r>
      <w:r w:rsidRPr="00DC6381">
        <w:rPr>
          <w:rFonts w:cs="Times New Roman"/>
          <w:sz w:val="20"/>
          <w:szCs w:val="20"/>
          <w:vertAlign w:val="superscript"/>
        </w:rPr>
        <w:t>*</w:t>
      </w:r>
      <w:r w:rsidRPr="00DC6381">
        <w:rPr>
          <w:rFonts w:cs="Times New Roman"/>
          <w:sz w:val="20"/>
          <w:szCs w:val="20"/>
        </w:rPr>
        <w:t>Baobab fruit pulp from Maria Distribution</w:t>
      </w:r>
    </w:p>
    <w:p w14:paraId="12448936" w14:textId="5E0F2E53" w:rsidR="00906090" w:rsidRPr="00DC6381" w:rsidRDefault="00906090" w:rsidP="006A6E94">
      <w:pPr>
        <w:spacing w:after="0" w:line="240" w:lineRule="auto"/>
        <w:rPr>
          <w:rFonts w:cs="Times New Roman"/>
          <w:sz w:val="20"/>
          <w:szCs w:val="20"/>
        </w:rPr>
      </w:pPr>
      <w:r w:rsidRPr="00DC6381">
        <w:rPr>
          <w:rFonts w:cs="Times New Roman"/>
          <w:sz w:val="20"/>
          <w:szCs w:val="20"/>
          <w:vertAlign w:val="superscript"/>
        </w:rPr>
        <w:t>$</w:t>
      </w:r>
      <w:r w:rsidRPr="00DC6381">
        <w:rPr>
          <w:rFonts w:cs="Times New Roman"/>
          <w:sz w:val="20"/>
          <w:szCs w:val="20"/>
        </w:rPr>
        <w:t xml:space="preserve">WHO </w:t>
      </w:r>
      <w:r w:rsidR="00EC4B47">
        <w:rPr>
          <w:rFonts w:cs="Times New Roman"/>
          <w:sz w:val="20"/>
          <w:szCs w:val="20"/>
        </w:rPr>
        <w:t>&amp;</w:t>
      </w:r>
      <w:r w:rsidRPr="00DC6381">
        <w:rPr>
          <w:rFonts w:cs="Times New Roman"/>
          <w:sz w:val="20"/>
          <w:szCs w:val="20"/>
        </w:rPr>
        <w:t xml:space="preserve"> FAO (2004), </w:t>
      </w:r>
      <w:r w:rsidRPr="00DC6381">
        <w:rPr>
          <w:rFonts w:cs="Times New Roman"/>
          <w:bCs/>
          <w:sz w:val="20"/>
          <w:szCs w:val="20"/>
          <w:vertAlign w:val="superscript"/>
        </w:rPr>
        <w:t>¥</w:t>
      </w:r>
      <w:r w:rsidRPr="00DC6381">
        <w:rPr>
          <w:rFonts w:cs="Times New Roman"/>
          <w:bCs/>
          <w:sz w:val="20"/>
          <w:szCs w:val="20"/>
        </w:rPr>
        <w:t xml:space="preserve">Sandstead (2015), </w:t>
      </w:r>
      <w:r w:rsidRPr="00DC6381">
        <w:rPr>
          <w:rFonts w:cs="Times New Roman"/>
          <w:bCs/>
          <w:sz w:val="20"/>
          <w:szCs w:val="20"/>
          <w:vertAlign w:val="superscript"/>
        </w:rPr>
        <w:t>1</w:t>
      </w:r>
      <w:r w:rsidR="00EC4B47">
        <w:rPr>
          <w:rFonts w:cs="Times New Roman"/>
          <w:bCs/>
          <w:sz w:val="20"/>
          <w:szCs w:val="20"/>
        </w:rPr>
        <w:t>Raw pearl</w:t>
      </w:r>
      <w:r w:rsidRPr="00DC6381">
        <w:rPr>
          <w:rFonts w:cs="Times New Roman"/>
          <w:bCs/>
          <w:sz w:val="20"/>
          <w:szCs w:val="20"/>
        </w:rPr>
        <w:t xml:space="preserve"> millet</w:t>
      </w:r>
    </w:p>
    <w:p w14:paraId="0C1840FD" w14:textId="1981F152" w:rsidR="00961673" w:rsidRDefault="00961673">
      <w:pPr>
        <w:spacing w:after="160" w:line="259" w:lineRule="auto"/>
        <w:rPr>
          <w:rFonts w:cs="Times New Roman"/>
          <w:sz w:val="20"/>
          <w:szCs w:val="20"/>
          <w:lang w:val="en-ZA"/>
        </w:rPr>
      </w:pPr>
      <w:r>
        <w:rPr>
          <w:rFonts w:cs="Times New Roman"/>
          <w:lang w:val="en-ZA"/>
        </w:rPr>
        <w:br w:type="page"/>
      </w:r>
    </w:p>
    <w:p w14:paraId="29138E3D" w14:textId="77777777" w:rsidR="00961673" w:rsidRDefault="00961673" w:rsidP="00906090">
      <w:pPr>
        <w:pStyle w:val="CommentText"/>
        <w:spacing w:after="0"/>
        <w:rPr>
          <w:rFonts w:cs="Times New Roman"/>
          <w:lang w:val="en-ZA"/>
        </w:rPr>
        <w:sectPr w:rsidR="00961673" w:rsidSect="00906090">
          <w:pgSz w:w="16839" w:h="11907" w:orient="landscape" w:code="9"/>
          <w:pgMar w:top="1440" w:right="1440" w:bottom="1440" w:left="1440" w:header="720" w:footer="720" w:gutter="0"/>
          <w:cols w:space="720"/>
          <w:docGrid w:linePitch="360"/>
        </w:sectPr>
      </w:pPr>
    </w:p>
    <w:p w14:paraId="7DC90526" w14:textId="77777777" w:rsidR="00961673" w:rsidRPr="006A6E94" w:rsidRDefault="00961673" w:rsidP="00BD44C6">
      <w:pPr>
        <w:spacing w:after="0"/>
        <w:rPr>
          <w:i/>
          <w:iCs/>
          <w:lang w:val="en-ZA"/>
        </w:rPr>
      </w:pPr>
      <w:r w:rsidRPr="006A6E94">
        <w:rPr>
          <w:i/>
          <w:iCs/>
          <w:lang w:val="en-ZA"/>
        </w:rPr>
        <w:t>Zinc bioaccessibility</w:t>
      </w:r>
    </w:p>
    <w:p w14:paraId="23D779CB" w14:textId="683F3E38" w:rsidR="00961673" w:rsidRPr="006818A8" w:rsidRDefault="00961673" w:rsidP="006818A8">
      <w:r>
        <w:rPr>
          <w:lang w:val="en-ZA"/>
        </w:rPr>
        <w:t>Carrot plus mango fortification of maize porridge at the 15:100 ratio and similarly β-carotene inclusion, had no effect on zinc bioaccessibility (</w:t>
      </w:r>
      <w:r w:rsidRPr="006A6E94">
        <w:rPr>
          <w:lang w:val="en-ZA"/>
        </w:rPr>
        <w:t>Table</w:t>
      </w:r>
      <w:r>
        <w:rPr>
          <w:lang w:val="en-ZA"/>
        </w:rPr>
        <w:t xml:space="preserve"> </w:t>
      </w:r>
      <w:r w:rsidR="006A6E94">
        <w:rPr>
          <w:lang w:val="en-ZA"/>
        </w:rPr>
        <w:t>4.3.</w:t>
      </w:r>
      <w:r>
        <w:rPr>
          <w:lang w:val="en-ZA"/>
        </w:rPr>
        <w:t xml:space="preserve">4). The high phytate in the wholegrain maize plus the substantial </w:t>
      </w:r>
      <w:r w:rsidR="00090214">
        <w:rPr>
          <w:lang w:val="en-ZA"/>
        </w:rPr>
        <w:t>amounts</w:t>
      </w:r>
      <w:r>
        <w:rPr>
          <w:lang w:val="en-ZA"/>
        </w:rPr>
        <w:t xml:space="preserve"> of polyphenols in carrot and mango could be responsible for this effect. </w:t>
      </w:r>
      <w:r w:rsidR="00090214">
        <w:rPr>
          <w:lang w:val="en-ZA"/>
        </w:rPr>
        <w:t xml:space="preserve">This </w:t>
      </w:r>
      <w:r w:rsidR="00D60CBB">
        <w:rPr>
          <w:lang w:val="en-ZA"/>
        </w:rPr>
        <w:t>contrasts with</w:t>
      </w:r>
      <w:r>
        <w:rPr>
          <w:lang w:val="en-ZA"/>
        </w:rPr>
        <w:t xml:space="preserve"> the study of Gautam et al. (2010)</w:t>
      </w:r>
      <w:r w:rsidR="00090214">
        <w:rPr>
          <w:lang w:val="en-ZA"/>
        </w:rPr>
        <w:t>, which</w:t>
      </w:r>
      <w:r>
        <w:rPr>
          <w:lang w:val="en-ZA"/>
        </w:rPr>
        <w:t xml:space="preserve"> showed that carrot fortification of pressure-cooked rice and sorghum increased the percentage zinc bioaccessibility, by more than 40% and 29%, respectively. The Kruger et al. (2018) study similarly showed that the percentage zinc bioaccessibility was almost doubled when orange-fleshed sweet potatoes and cowpea leaves (β-carotene sources) were added to maize and sorghum porridge</w:t>
      </w:r>
      <w:r w:rsidR="00D60CBB">
        <w:rPr>
          <w:lang w:val="en-ZA"/>
        </w:rPr>
        <w:t>s</w:t>
      </w:r>
      <w:r>
        <w:rPr>
          <w:lang w:val="en-ZA"/>
        </w:rPr>
        <w:t xml:space="preserve">. The significant interactions on mineral bioaccessibility between cereal porridges and </w:t>
      </w:r>
      <w:r>
        <w:t>plant food sources of β-carotene</w:t>
      </w:r>
      <w:r>
        <w:rPr>
          <w:lang w:val="en-ZA"/>
        </w:rPr>
        <w:t xml:space="preserve"> noted in the </w:t>
      </w:r>
      <w:r w:rsidR="00611343">
        <w:rPr>
          <w:lang w:val="en-ZA"/>
        </w:rPr>
        <w:t xml:space="preserve">Kruger et al. (2018) </w:t>
      </w:r>
      <w:r>
        <w:rPr>
          <w:lang w:val="en-ZA"/>
        </w:rPr>
        <w:t xml:space="preserve">study, presumably due to differences in components of cereal porridges and plant food β-carotene sources may contribute to such contrasting effects with the findings </w:t>
      </w:r>
      <w:r w:rsidRPr="006818A8">
        <w:t>of this study.</w:t>
      </w:r>
    </w:p>
    <w:p w14:paraId="1C68254F" w14:textId="77777777" w:rsidR="00961673" w:rsidRDefault="00961673" w:rsidP="006A6E94">
      <w:pPr>
        <w:spacing w:after="0"/>
        <w:rPr>
          <w:rFonts w:cs="Times New Roman"/>
          <w:szCs w:val="24"/>
          <w:lang w:val="en-ZA"/>
        </w:rPr>
      </w:pPr>
    </w:p>
    <w:p w14:paraId="7AF496F1" w14:textId="1806AE3A" w:rsidR="00961673" w:rsidRDefault="00961673" w:rsidP="006818A8">
      <w:pPr>
        <w:rPr>
          <w:rFonts w:cs="Times New Roman"/>
          <w:szCs w:val="24"/>
        </w:rPr>
      </w:pPr>
      <w:r>
        <w:rPr>
          <w:rFonts w:cs="Times New Roman"/>
          <w:szCs w:val="24"/>
          <w:lang w:val="en-ZA"/>
        </w:rPr>
        <w:t xml:space="preserve">In contrast, carrot plus mango together with baobab fortification of maize porridge at the 15:15:100 ratio </w:t>
      </w:r>
      <w:r w:rsidR="00090214">
        <w:rPr>
          <w:rFonts w:cs="Times New Roman"/>
          <w:szCs w:val="24"/>
          <w:lang w:val="en-ZA"/>
        </w:rPr>
        <w:t xml:space="preserve">somewhat </w:t>
      </w:r>
      <w:r>
        <w:rPr>
          <w:rFonts w:cs="Times New Roman"/>
          <w:szCs w:val="24"/>
          <w:lang w:val="en-ZA"/>
        </w:rPr>
        <w:t xml:space="preserve">increased zinc bioaccessibility </w:t>
      </w:r>
      <w:r w:rsidR="00090214">
        <w:rPr>
          <w:rFonts w:cs="Times New Roman"/>
          <w:szCs w:val="24"/>
          <w:lang w:val="en-ZA"/>
        </w:rPr>
        <w:t xml:space="preserve">both </w:t>
      </w:r>
      <w:r>
        <w:rPr>
          <w:rFonts w:cs="Times New Roman"/>
          <w:szCs w:val="24"/>
          <w:lang w:val="en-ZA"/>
        </w:rPr>
        <w:t xml:space="preserve">in terms of percentage and amount, by 25% and 17%, respectively. However, β-carotene inclusion plus baobab fortification had no effect on zinc bioaccessibility. The positive effect of carrot plus mango with baobab fortification on zinc bioaccessibility was </w:t>
      </w:r>
      <w:r w:rsidR="009E7815">
        <w:rPr>
          <w:rFonts w:cs="Times New Roman"/>
          <w:szCs w:val="24"/>
          <w:lang w:val="en-ZA"/>
        </w:rPr>
        <w:t>most likely</w:t>
      </w:r>
      <w:r>
        <w:rPr>
          <w:rFonts w:cs="Times New Roman"/>
          <w:szCs w:val="24"/>
          <w:lang w:val="en-ZA"/>
        </w:rPr>
        <w:t xml:space="preserve"> due to the combined effect of the high </w:t>
      </w:r>
      <w:r w:rsidR="00090214">
        <w:rPr>
          <w:rFonts w:cs="Times New Roman"/>
          <w:szCs w:val="24"/>
          <w:lang w:val="en-ZA"/>
        </w:rPr>
        <w:t xml:space="preserve">content of </w:t>
      </w:r>
      <w:r>
        <w:rPr>
          <w:rFonts w:cs="Times New Roman"/>
          <w:szCs w:val="24"/>
          <w:lang w:val="en-ZA"/>
        </w:rPr>
        <w:t xml:space="preserve">β-carotene in carrot and mango plus the high </w:t>
      </w:r>
      <w:r w:rsidR="00090214">
        <w:rPr>
          <w:rFonts w:cs="Times New Roman"/>
          <w:szCs w:val="24"/>
          <w:lang w:val="en-ZA"/>
        </w:rPr>
        <w:t xml:space="preserve">content of </w:t>
      </w:r>
      <w:r>
        <w:rPr>
          <w:rFonts w:cs="Times New Roman"/>
          <w:szCs w:val="24"/>
          <w:lang w:val="en-ZA"/>
        </w:rPr>
        <w:t xml:space="preserve">citric acid in baobab and mango. As stated, β-carotene has been shown to enhance iron solubility, </w:t>
      </w:r>
      <w:r w:rsidR="009E7815">
        <w:rPr>
          <w:rFonts w:cs="Times New Roman"/>
          <w:szCs w:val="24"/>
          <w:lang w:val="en-ZA"/>
        </w:rPr>
        <w:t>most likely</w:t>
      </w:r>
      <w:r>
        <w:rPr>
          <w:rFonts w:cs="Times New Roman"/>
          <w:szCs w:val="24"/>
          <w:lang w:val="en-ZA"/>
        </w:rPr>
        <w:t xml:space="preserve"> by preventing the chelating effect of phytate and polyphenols (</w:t>
      </w:r>
      <w:r w:rsidR="00110778" w:rsidRPr="000D7DDF">
        <w:rPr>
          <w:rFonts w:cs="Times New Roman"/>
          <w:szCs w:val="24"/>
          <w:shd w:val="clear" w:color="auto" w:fill="FFFFFF"/>
        </w:rPr>
        <w:t>Garcı́a</w:t>
      </w:r>
      <w:r>
        <w:rPr>
          <w:rFonts w:cs="Times New Roman"/>
          <w:szCs w:val="24"/>
          <w:lang w:val="en-ZA"/>
        </w:rPr>
        <w:t xml:space="preserve">-Casal et al., 1998). This suggests that β-carotene may have similar effect on zinc solubility. </w:t>
      </w:r>
      <w:bookmarkStart w:id="149" w:name="_Hlk54099745"/>
      <w:r>
        <w:rPr>
          <w:rFonts w:cs="Times New Roman"/>
          <w:szCs w:val="24"/>
          <w:lang w:val="en-ZA"/>
        </w:rPr>
        <w:t xml:space="preserve">Additionally, citric acid has been reported to </w:t>
      </w:r>
      <w:r w:rsidRPr="00A967D7">
        <w:rPr>
          <w:rFonts w:cs="Times New Roman"/>
          <w:szCs w:val="24"/>
        </w:rPr>
        <w:t>enhance zinc bioavailability by keeping it in a soluble and absorbable form (Gibson, 2006)</w:t>
      </w:r>
      <w:bookmarkEnd w:id="149"/>
      <w:r w:rsidRPr="00A967D7">
        <w:rPr>
          <w:rFonts w:cs="Times New Roman"/>
          <w:szCs w:val="24"/>
        </w:rPr>
        <w:t>.</w:t>
      </w:r>
      <w:r>
        <w:rPr>
          <w:rFonts w:cs="Times New Roman"/>
          <w:szCs w:val="24"/>
          <w:lang w:val="en-ZA"/>
        </w:rPr>
        <w:t xml:space="preserve"> </w:t>
      </w:r>
      <w:r w:rsidR="00110778">
        <w:rPr>
          <w:rFonts w:cs="Times New Roman"/>
          <w:szCs w:val="24"/>
          <w:lang w:val="en-ZA"/>
        </w:rPr>
        <w:t>In support of th</w:t>
      </w:r>
      <w:r w:rsidR="00DF1A67">
        <w:rPr>
          <w:rFonts w:cs="Times New Roman"/>
          <w:szCs w:val="24"/>
          <w:lang w:val="en-ZA"/>
        </w:rPr>
        <w:t>e findings here</w:t>
      </w:r>
      <w:r w:rsidR="00110778">
        <w:rPr>
          <w:rFonts w:cs="Times New Roman"/>
          <w:szCs w:val="24"/>
          <w:lang w:val="en-ZA"/>
        </w:rPr>
        <w:t xml:space="preserve">, </w:t>
      </w:r>
      <w:r w:rsidR="00DF1A67">
        <w:rPr>
          <w:rFonts w:cs="Times New Roman"/>
          <w:szCs w:val="24"/>
          <w:lang w:val="en-ZA"/>
        </w:rPr>
        <w:t xml:space="preserve">Chapter 4.2 revealed that </w:t>
      </w:r>
      <w:r>
        <w:rPr>
          <w:rFonts w:cs="Times New Roman"/>
          <w:szCs w:val="24"/>
          <w:lang w:val="en-ZA"/>
        </w:rPr>
        <w:t xml:space="preserve">baobab fortification </w:t>
      </w:r>
      <w:r w:rsidR="00DF1A67">
        <w:rPr>
          <w:rFonts w:cs="Times New Roman"/>
          <w:szCs w:val="24"/>
          <w:lang w:val="en-ZA"/>
        </w:rPr>
        <w:t>of a complex maize-based porridge containing substantial amount of β-carotene, which was from carrot and mango</w:t>
      </w:r>
      <w:r w:rsidR="00CD1D00">
        <w:rPr>
          <w:rFonts w:cs="Times New Roman"/>
          <w:szCs w:val="24"/>
          <w:lang w:val="en-ZA"/>
        </w:rPr>
        <w:t>,</w:t>
      </w:r>
      <w:r w:rsidR="00DF1A67">
        <w:rPr>
          <w:rFonts w:cs="Times New Roman"/>
          <w:szCs w:val="24"/>
          <w:lang w:val="en-ZA"/>
        </w:rPr>
        <w:t xml:space="preserve"> increased zinc bioaccessibility but had no effect with </w:t>
      </w:r>
      <w:r w:rsidR="00CD1D00">
        <w:rPr>
          <w:rFonts w:cs="Times New Roman"/>
          <w:szCs w:val="24"/>
          <w:lang w:val="en-ZA"/>
        </w:rPr>
        <w:t xml:space="preserve">a simple </w:t>
      </w:r>
      <w:r w:rsidR="00DF1A67">
        <w:rPr>
          <w:rFonts w:cs="Times New Roman"/>
          <w:szCs w:val="24"/>
          <w:lang w:val="en-ZA"/>
        </w:rPr>
        <w:t xml:space="preserve">maize porridge </w:t>
      </w:r>
      <w:r w:rsidR="00CD1D00">
        <w:rPr>
          <w:rFonts w:cs="Times New Roman"/>
          <w:szCs w:val="24"/>
          <w:lang w:val="en-ZA"/>
        </w:rPr>
        <w:t>without carrot and mango</w:t>
      </w:r>
      <w:r>
        <w:rPr>
          <w:rFonts w:cs="Times New Roman"/>
          <w:szCs w:val="24"/>
          <w:lang w:val="en-ZA"/>
        </w:rPr>
        <w:t>.</w:t>
      </w:r>
      <w:r w:rsidR="00417FCC">
        <w:rPr>
          <w:rFonts w:cs="Times New Roman"/>
          <w:szCs w:val="24"/>
          <w:lang w:val="en-ZA"/>
        </w:rPr>
        <w:t xml:space="preserve"> </w:t>
      </w:r>
      <w:r>
        <w:rPr>
          <w:rFonts w:cs="Times New Roman"/>
          <w:szCs w:val="24"/>
          <w:lang w:val="en-ZA"/>
        </w:rPr>
        <w:t xml:space="preserve">Van der Merwe et al. (2019) </w:t>
      </w:r>
      <w:r w:rsidR="00417FCC">
        <w:rPr>
          <w:rFonts w:cs="Times New Roman"/>
          <w:szCs w:val="24"/>
          <w:lang w:val="en-ZA"/>
        </w:rPr>
        <w:t xml:space="preserve">also </w:t>
      </w:r>
      <w:r>
        <w:rPr>
          <w:rFonts w:cs="Times New Roman"/>
          <w:szCs w:val="24"/>
          <w:lang w:val="en-ZA"/>
        </w:rPr>
        <w:t xml:space="preserve">found that baobab fortification of pearl millet-based porridge containing approx. 40% carrot plus mango substantially increased zinc bioaccessibility, both in terms of percentage and amount. </w:t>
      </w:r>
      <w:r w:rsidR="00F756A9">
        <w:rPr>
          <w:rFonts w:cs="Times New Roman"/>
          <w:szCs w:val="24"/>
          <w:lang w:val="en-ZA"/>
        </w:rPr>
        <w:t xml:space="preserve">  </w:t>
      </w:r>
      <w:r>
        <w:rPr>
          <w:rFonts w:cs="Times New Roman"/>
          <w:szCs w:val="24"/>
        </w:rPr>
        <w:t xml:space="preserve">Thus, only fortification </w:t>
      </w:r>
      <w:r w:rsidR="006A6E94">
        <w:rPr>
          <w:rFonts w:cs="Times New Roman"/>
          <w:szCs w:val="24"/>
        </w:rPr>
        <w:t>by</w:t>
      </w:r>
      <w:r>
        <w:rPr>
          <w:rFonts w:cs="Times New Roman"/>
          <w:szCs w:val="24"/>
        </w:rPr>
        <w:t xml:space="preserve"> carrot plus mango together with baobab of the whole grain maize porridge could potentially slightly increase the percentage contribution to the zinc AR for women </w:t>
      </w:r>
      <w:r w:rsidR="00F756A9">
        <w:rPr>
          <w:rFonts w:cs="Times New Roman"/>
          <w:szCs w:val="24"/>
        </w:rPr>
        <w:t xml:space="preserve">of </w:t>
      </w:r>
      <w:r>
        <w:rPr>
          <w:rFonts w:cs="Times New Roman"/>
          <w:szCs w:val="24"/>
        </w:rPr>
        <w:t xml:space="preserve">19–50 years, from </w:t>
      </w:r>
      <w:r w:rsidR="00D60CBB">
        <w:rPr>
          <w:rFonts w:cs="Times New Roman"/>
          <w:szCs w:val="24"/>
        </w:rPr>
        <w:t>approx. 47</w:t>
      </w:r>
      <w:r>
        <w:rPr>
          <w:rFonts w:cs="Times New Roman"/>
          <w:szCs w:val="24"/>
        </w:rPr>
        <w:t>% to 55% (</w:t>
      </w:r>
      <w:r w:rsidRPr="006A6E94">
        <w:rPr>
          <w:rFonts w:cs="Times New Roman"/>
          <w:szCs w:val="24"/>
        </w:rPr>
        <w:t>Table</w:t>
      </w:r>
      <w:r>
        <w:rPr>
          <w:rFonts w:cs="Times New Roman"/>
          <w:szCs w:val="24"/>
        </w:rPr>
        <w:t xml:space="preserve"> </w:t>
      </w:r>
      <w:r w:rsidR="006A6E94">
        <w:rPr>
          <w:rFonts w:cs="Times New Roman"/>
          <w:szCs w:val="24"/>
        </w:rPr>
        <w:t>4.3.</w:t>
      </w:r>
      <w:r>
        <w:rPr>
          <w:rFonts w:cs="Times New Roman"/>
          <w:szCs w:val="24"/>
        </w:rPr>
        <w:t>4).</w:t>
      </w:r>
    </w:p>
    <w:p w14:paraId="4B622084" w14:textId="11E17A48" w:rsidR="00961673" w:rsidRDefault="00961673" w:rsidP="006818A8">
      <w:pPr>
        <w:rPr>
          <w:rFonts w:cs="Times New Roman"/>
          <w:szCs w:val="24"/>
          <w:lang w:val="en-ZA"/>
        </w:rPr>
      </w:pPr>
      <w:r>
        <w:rPr>
          <w:rFonts w:cs="Times New Roman"/>
          <w:szCs w:val="24"/>
        </w:rPr>
        <w:t>With the extrusion-cooked pearl millet-based porridges, fortification with carrot, papaya, baobab together with the micronutrient premix increased zinc bioaccessibility the most, in terms of percentage and amount by 164% and 305%, respectively when compared to th</w:t>
      </w:r>
      <w:r w:rsidR="006A6E94">
        <w:rPr>
          <w:rFonts w:cs="Times New Roman"/>
          <w:szCs w:val="24"/>
        </w:rPr>
        <w:t>e</w:t>
      </w:r>
      <w:r>
        <w:rPr>
          <w:rFonts w:cs="Times New Roman"/>
          <w:szCs w:val="24"/>
        </w:rPr>
        <w:t xml:space="preserve"> pearl millet </w:t>
      </w:r>
      <w:r w:rsidR="006A6E94">
        <w:rPr>
          <w:rFonts w:cs="Times New Roman"/>
          <w:szCs w:val="24"/>
        </w:rPr>
        <w:t>grain</w:t>
      </w:r>
      <w:r>
        <w:rPr>
          <w:rFonts w:cs="Times New Roman"/>
          <w:szCs w:val="24"/>
        </w:rPr>
        <w:t xml:space="preserve"> </w:t>
      </w:r>
      <w:r w:rsidRPr="006A6E94">
        <w:rPr>
          <w:rFonts w:cs="Times New Roman"/>
          <w:szCs w:val="24"/>
        </w:rPr>
        <w:t>(Table</w:t>
      </w:r>
      <w:r>
        <w:rPr>
          <w:rFonts w:cs="Times New Roman"/>
          <w:szCs w:val="24"/>
        </w:rPr>
        <w:t xml:space="preserve"> </w:t>
      </w:r>
      <w:r w:rsidR="006A6E94">
        <w:rPr>
          <w:rFonts w:cs="Times New Roman"/>
          <w:szCs w:val="24"/>
        </w:rPr>
        <w:t>4.3.</w:t>
      </w:r>
      <w:r>
        <w:rPr>
          <w:rFonts w:cs="Times New Roman"/>
          <w:szCs w:val="24"/>
        </w:rPr>
        <w:t xml:space="preserve">5). </w:t>
      </w:r>
      <w:bookmarkStart w:id="150" w:name="_Hlk54104470"/>
      <w:r>
        <w:rPr>
          <w:rFonts w:cs="Times New Roman"/>
          <w:szCs w:val="24"/>
        </w:rPr>
        <w:t xml:space="preserve">This was </w:t>
      </w:r>
      <w:r w:rsidR="009E7815">
        <w:rPr>
          <w:rFonts w:cs="Times New Roman"/>
          <w:szCs w:val="24"/>
        </w:rPr>
        <w:t>very likely</w:t>
      </w:r>
      <w:r>
        <w:rPr>
          <w:rFonts w:cs="Times New Roman"/>
          <w:szCs w:val="24"/>
        </w:rPr>
        <w:t xml:space="preserve"> because baobab and papaya’s high content</w:t>
      </w:r>
      <w:r w:rsidR="00F756A9">
        <w:rPr>
          <w:rFonts w:cs="Times New Roman"/>
          <w:szCs w:val="24"/>
        </w:rPr>
        <w:t>s</w:t>
      </w:r>
      <w:r>
        <w:rPr>
          <w:rFonts w:cs="Times New Roman"/>
          <w:szCs w:val="24"/>
        </w:rPr>
        <w:t xml:space="preserve"> of citric acid and the carrot and papaya’s high content</w:t>
      </w:r>
      <w:r w:rsidR="00F756A9">
        <w:rPr>
          <w:rFonts w:cs="Times New Roman"/>
          <w:szCs w:val="24"/>
        </w:rPr>
        <w:t>s</w:t>
      </w:r>
      <w:r>
        <w:rPr>
          <w:rFonts w:cs="Times New Roman"/>
          <w:szCs w:val="24"/>
        </w:rPr>
        <w:t xml:space="preserve"> of β-carotene plus the vitamin A (840 IU) in the micronutrient premix enhanced the solubility of the potentially available zinc in the micronutrient premix and the intrinsic zinc in the pearl millet and the other plant food components</w:t>
      </w:r>
      <w:bookmarkEnd w:id="150"/>
      <w:r>
        <w:rPr>
          <w:rFonts w:cs="Times New Roman"/>
          <w:szCs w:val="24"/>
        </w:rPr>
        <w:t xml:space="preserve">. Studies on the effect of vitamin A on zinc bioaccessibility are limited. However, </w:t>
      </w:r>
      <w:r w:rsidR="00D60CBB">
        <w:rPr>
          <w:rFonts w:cs="Times New Roman"/>
          <w:szCs w:val="24"/>
        </w:rPr>
        <w:t>v</w:t>
      </w:r>
      <w:r>
        <w:rPr>
          <w:rFonts w:cs="Times New Roman"/>
          <w:szCs w:val="24"/>
        </w:rPr>
        <w:t>itamin A has been shown to enhance iron solubility by forming soluble complex with it</w:t>
      </w:r>
      <w:r w:rsidR="00D60CBB">
        <w:rPr>
          <w:rFonts w:cs="Times New Roman"/>
          <w:szCs w:val="24"/>
        </w:rPr>
        <w:t>, thereby preventing chelation by phytate and polyphenols</w:t>
      </w:r>
      <w:r>
        <w:rPr>
          <w:rFonts w:cs="Times New Roman"/>
          <w:szCs w:val="24"/>
        </w:rPr>
        <w:t xml:space="preserve"> </w:t>
      </w:r>
      <w:r>
        <w:rPr>
          <w:rFonts w:cs="Times New Roman"/>
          <w:szCs w:val="24"/>
          <w:lang w:val="en-ZA"/>
        </w:rPr>
        <w:t xml:space="preserve">(Garcia-Casal et al., 1998). It is possible that the vitamin A in the micronutrient premix had similar effects on zinc bioaccessibility. </w:t>
      </w:r>
      <w:bookmarkStart w:id="151" w:name="_Hlk54105107"/>
      <w:r>
        <w:rPr>
          <w:rFonts w:cs="Times New Roman"/>
          <w:szCs w:val="24"/>
          <w:lang w:val="en-ZA"/>
        </w:rPr>
        <w:t xml:space="preserve">This is supported by the fact that zinc plus vitamin A and vitamin D administration has been shown to increase zinc absorption and status in human subjects better than administration of zinc alone </w:t>
      </w:r>
      <w:r w:rsidRPr="000D1EC1">
        <w:rPr>
          <w:rFonts w:cs="Times New Roman"/>
          <w:szCs w:val="24"/>
          <w:lang w:val="en-ZA"/>
        </w:rPr>
        <w:t>(</w:t>
      </w:r>
      <w:r w:rsidRPr="000D1EC1">
        <w:rPr>
          <w:rFonts w:cs="Times New Roman"/>
          <w:color w:val="000000"/>
          <w:szCs w:val="24"/>
          <w:shd w:val="clear" w:color="auto" w:fill="FFFFFF"/>
        </w:rPr>
        <w:t>Potocnik et al., 2006</w:t>
      </w:r>
      <w:r w:rsidRPr="000D1EC1">
        <w:rPr>
          <w:rFonts w:cs="Times New Roman"/>
          <w:szCs w:val="24"/>
          <w:lang w:val="en-ZA"/>
        </w:rPr>
        <w:t>)</w:t>
      </w:r>
      <w:r>
        <w:rPr>
          <w:rFonts w:cs="Times New Roman"/>
          <w:szCs w:val="24"/>
          <w:lang w:val="en-ZA"/>
        </w:rPr>
        <w:t>.</w:t>
      </w:r>
      <w:bookmarkEnd w:id="151"/>
      <w:r>
        <w:rPr>
          <w:rFonts w:cs="Times New Roman"/>
          <w:szCs w:val="24"/>
          <w:lang w:val="en-ZA"/>
        </w:rPr>
        <w:t xml:space="preserve"> Berzin </w:t>
      </w:r>
      <w:r w:rsidR="0080344B">
        <w:rPr>
          <w:rFonts w:cs="Times New Roman"/>
          <w:szCs w:val="24"/>
          <w:lang w:val="en-ZA"/>
        </w:rPr>
        <w:t>&amp; Bauman,</w:t>
      </w:r>
      <w:r>
        <w:rPr>
          <w:rFonts w:cs="Times New Roman"/>
          <w:szCs w:val="24"/>
          <w:lang w:val="en-ZA"/>
        </w:rPr>
        <w:t xml:space="preserve"> (1987) </w:t>
      </w:r>
      <w:r w:rsidR="00F756A9">
        <w:rPr>
          <w:rFonts w:cs="Times New Roman"/>
          <w:szCs w:val="24"/>
          <w:lang w:val="en-ZA"/>
        </w:rPr>
        <w:t>similarly</w:t>
      </w:r>
      <w:r>
        <w:rPr>
          <w:rFonts w:cs="Times New Roman"/>
          <w:szCs w:val="24"/>
          <w:lang w:val="en-ZA"/>
        </w:rPr>
        <w:t xml:space="preserve"> demonstrated that vitamin A is necessary for zinc absorption. The study showed that zinc absorption was reduced in vitamin A-deficient chicks, but after 72 hours of vitamin A administration, zinc absorption was restored. It was suggested that the synthesis of a vitamin A-dependent zinc-binding protein isolated from the intestinal mucosa of the vitamin A-replete chicks was responsible for the positive effect on the zinc absorption.</w:t>
      </w:r>
    </w:p>
    <w:p w14:paraId="0E8654E7" w14:textId="77777777" w:rsidR="00961673" w:rsidRDefault="00961673" w:rsidP="006A6E94">
      <w:pPr>
        <w:spacing w:after="0"/>
        <w:rPr>
          <w:rFonts w:cs="Times New Roman"/>
          <w:szCs w:val="24"/>
          <w:lang w:val="en-ZA"/>
        </w:rPr>
      </w:pPr>
    </w:p>
    <w:p w14:paraId="09880046" w14:textId="3F732AC4" w:rsidR="00961673" w:rsidRPr="006A564D" w:rsidRDefault="00961673" w:rsidP="006818A8">
      <w:pPr>
        <w:rPr>
          <w:lang w:val="en-ZA"/>
        </w:rPr>
      </w:pPr>
      <w:r>
        <w:rPr>
          <w:rFonts w:cs="Times New Roman"/>
          <w:szCs w:val="24"/>
          <w:lang w:val="en-ZA"/>
        </w:rPr>
        <w:t>All the other food-to-food fortified pearl millet-based porridge formulations also increased the percentage zinc bioaccessibility, by 34–98% compared to the pearl millet control (</w:t>
      </w:r>
      <w:r w:rsidRPr="006A6E94">
        <w:rPr>
          <w:rFonts w:cs="Times New Roman"/>
          <w:szCs w:val="24"/>
          <w:lang w:val="en-ZA"/>
        </w:rPr>
        <w:t>Table</w:t>
      </w:r>
      <w:r>
        <w:rPr>
          <w:rFonts w:cs="Times New Roman"/>
          <w:szCs w:val="24"/>
          <w:lang w:val="en-ZA"/>
        </w:rPr>
        <w:t xml:space="preserve"> </w:t>
      </w:r>
      <w:r w:rsidR="006A6E94">
        <w:rPr>
          <w:rFonts w:cs="Times New Roman"/>
          <w:szCs w:val="24"/>
          <w:lang w:val="en-ZA"/>
        </w:rPr>
        <w:t>4.3.</w:t>
      </w:r>
      <w:r>
        <w:rPr>
          <w:rFonts w:cs="Times New Roman"/>
          <w:szCs w:val="24"/>
          <w:lang w:val="en-ZA"/>
        </w:rPr>
        <w:t xml:space="preserve">5). </w:t>
      </w:r>
      <w:r>
        <w:rPr>
          <w:rFonts w:cs="Times New Roman"/>
          <w:szCs w:val="24"/>
        </w:rPr>
        <w:t xml:space="preserve">Apart from the </w:t>
      </w:r>
      <w:r>
        <w:rPr>
          <w:rFonts w:cs="Times New Roman"/>
          <w:szCs w:val="24"/>
          <w:lang w:val="en-ZA"/>
        </w:rPr>
        <w:t>β-carotene and citric acid</w:t>
      </w:r>
      <w:r>
        <w:rPr>
          <w:rFonts w:cs="Times New Roman"/>
          <w:szCs w:val="24"/>
        </w:rPr>
        <w:t xml:space="preserve"> present in the food fortificants, citric acid (1000 mg/100 g porridge (dry basis)) was included in all the pearl millet-based porridge formulations. The citric acid could have contributed to this effect. However, none of these pearl millet-based porridges, </w:t>
      </w:r>
      <w:r w:rsidR="00F756A9">
        <w:rPr>
          <w:rFonts w:cs="Times New Roman"/>
          <w:szCs w:val="24"/>
        </w:rPr>
        <w:t xml:space="preserve">with the </w:t>
      </w:r>
      <w:r>
        <w:rPr>
          <w:rFonts w:cs="Times New Roman"/>
          <w:szCs w:val="24"/>
        </w:rPr>
        <w:t>except</w:t>
      </w:r>
      <w:r w:rsidR="00F756A9">
        <w:rPr>
          <w:rFonts w:cs="Times New Roman"/>
          <w:szCs w:val="24"/>
        </w:rPr>
        <w:t>ion</w:t>
      </w:r>
      <w:r>
        <w:rPr>
          <w:rFonts w:cs="Times New Roman"/>
          <w:szCs w:val="24"/>
        </w:rPr>
        <w:t xml:space="preserve"> </w:t>
      </w:r>
      <w:r w:rsidR="00F756A9">
        <w:rPr>
          <w:rFonts w:cs="Times New Roman"/>
          <w:szCs w:val="24"/>
        </w:rPr>
        <w:t>of</w:t>
      </w:r>
      <w:r>
        <w:rPr>
          <w:rFonts w:cs="Times New Roman"/>
          <w:szCs w:val="24"/>
        </w:rPr>
        <w:t xml:space="preserve"> the porridge containing carrot, mango, baobab with moringa,</w:t>
      </w:r>
      <w:r>
        <w:rPr>
          <w:rFonts w:cs="Times New Roman"/>
          <w:szCs w:val="24"/>
          <w:lang w:val="en-ZA"/>
        </w:rPr>
        <w:t xml:space="preserve"> significantly increased the total bioaccessible zinc. This is </w:t>
      </w:r>
      <w:r w:rsidR="009E7815">
        <w:rPr>
          <w:rFonts w:cs="Times New Roman"/>
          <w:szCs w:val="24"/>
          <w:lang w:val="en-ZA"/>
        </w:rPr>
        <w:t>likely</w:t>
      </w:r>
      <w:r>
        <w:rPr>
          <w:rFonts w:cs="Times New Roman"/>
          <w:szCs w:val="24"/>
          <w:lang w:val="en-ZA"/>
        </w:rPr>
        <w:t xml:space="preserve"> because they were lower in zinc (3.0–3.4 mg/100 g) compared to pearl millet only (</w:t>
      </w:r>
      <w:r w:rsidRPr="006A6E94">
        <w:rPr>
          <w:rFonts w:cs="Times New Roman"/>
          <w:szCs w:val="24"/>
          <w:lang w:val="en-ZA"/>
        </w:rPr>
        <w:t>Table</w:t>
      </w:r>
      <w:r>
        <w:rPr>
          <w:rFonts w:cs="Times New Roman"/>
          <w:szCs w:val="24"/>
          <w:lang w:val="en-ZA"/>
        </w:rPr>
        <w:t xml:space="preserve"> </w:t>
      </w:r>
      <w:r w:rsidR="006A6E94">
        <w:rPr>
          <w:rFonts w:cs="Times New Roman"/>
          <w:szCs w:val="24"/>
          <w:lang w:val="en-ZA"/>
        </w:rPr>
        <w:t>4.3.</w:t>
      </w:r>
      <w:r>
        <w:rPr>
          <w:rFonts w:cs="Times New Roman"/>
          <w:szCs w:val="24"/>
          <w:lang w:val="en-ZA"/>
        </w:rPr>
        <w:t xml:space="preserve">2). The porridge containing carrot, mango, baobab with moringa increased total bioaccessible zinc despite its relatively low zinc content. This was </w:t>
      </w:r>
      <w:r w:rsidR="009E7815">
        <w:rPr>
          <w:rFonts w:cs="Times New Roman"/>
          <w:szCs w:val="24"/>
          <w:lang w:val="en-ZA"/>
        </w:rPr>
        <w:t>likely</w:t>
      </w:r>
      <w:r>
        <w:rPr>
          <w:rFonts w:cs="Times New Roman"/>
          <w:szCs w:val="24"/>
          <w:lang w:val="en-ZA"/>
        </w:rPr>
        <w:t xml:space="preserve"> because the porridge contained less iron (11 mg/100 g) compared to the other fortified porridge formulations (16.0–42.9 mg/100 g). The abundance of iron in a food matrix may limit the solubilization of zinc. </w:t>
      </w:r>
      <w:r w:rsidR="006A6E94">
        <w:rPr>
          <w:rFonts w:cs="Times New Roman"/>
          <w:szCs w:val="24"/>
          <w:lang w:val="en-ZA"/>
        </w:rPr>
        <w:t>C</w:t>
      </w:r>
      <w:r>
        <w:rPr>
          <w:rFonts w:cs="Times New Roman"/>
          <w:szCs w:val="24"/>
          <w:lang w:val="en-ZA"/>
        </w:rPr>
        <w:t>hapter</w:t>
      </w:r>
      <w:r w:rsidR="00417FCC">
        <w:rPr>
          <w:rFonts w:cs="Times New Roman"/>
          <w:szCs w:val="24"/>
          <w:lang w:val="en-ZA"/>
        </w:rPr>
        <w:t xml:space="preserve"> </w:t>
      </w:r>
      <w:r w:rsidR="00BE28F0">
        <w:rPr>
          <w:rFonts w:cs="Times New Roman"/>
          <w:szCs w:val="24"/>
          <w:lang w:val="en-ZA"/>
        </w:rPr>
        <w:t>4.</w:t>
      </w:r>
      <w:r>
        <w:rPr>
          <w:rFonts w:cs="Times New Roman"/>
          <w:szCs w:val="24"/>
          <w:lang w:val="en-ZA"/>
        </w:rPr>
        <w:t xml:space="preserve">2 showed that presence of more iron in simple maize porridge </w:t>
      </w:r>
      <w:r w:rsidR="006A6E94">
        <w:rPr>
          <w:rFonts w:cs="Times New Roman"/>
          <w:szCs w:val="24"/>
          <w:lang w:val="en-ZA"/>
        </w:rPr>
        <w:t>by</w:t>
      </w:r>
      <w:r>
        <w:rPr>
          <w:rFonts w:cs="Times New Roman"/>
          <w:szCs w:val="24"/>
          <w:lang w:val="en-ZA"/>
        </w:rPr>
        <w:t xml:space="preserve"> conventional fortification decreased zinc bioaccessibility. </w:t>
      </w:r>
      <w:bookmarkStart w:id="152" w:name="_Hlk54104219"/>
      <w:r w:rsidR="00BE28F0">
        <w:rPr>
          <w:rFonts w:cs="Times New Roman"/>
          <w:szCs w:val="24"/>
          <w:lang w:val="en-ZA"/>
        </w:rPr>
        <w:t xml:space="preserve">As stated, </w:t>
      </w:r>
      <w:r w:rsidRPr="007E5B58">
        <w:rPr>
          <w:rFonts w:cs="Times New Roman"/>
          <w:szCs w:val="24"/>
        </w:rPr>
        <w:t>Hemalatha et al. (2009)</w:t>
      </w:r>
      <w:bookmarkEnd w:id="152"/>
      <w:r w:rsidRPr="007E5B58">
        <w:rPr>
          <w:rFonts w:cs="Times New Roman"/>
          <w:szCs w:val="24"/>
        </w:rPr>
        <w:t xml:space="preserve"> </w:t>
      </w:r>
      <w:r>
        <w:rPr>
          <w:rFonts w:cs="Times New Roman"/>
          <w:szCs w:val="24"/>
        </w:rPr>
        <w:t>showed</w:t>
      </w:r>
      <w:r w:rsidRPr="007E5B58">
        <w:rPr>
          <w:rFonts w:cs="Times New Roman"/>
          <w:szCs w:val="24"/>
        </w:rPr>
        <w:t xml:space="preserve"> that zinc bioaccessibility decreased when pressure-cooked rice-based grains were </w:t>
      </w:r>
      <w:r>
        <w:rPr>
          <w:rFonts w:cs="Times New Roman"/>
          <w:szCs w:val="24"/>
        </w:rPr>
        <w:t xml:space="preserve">conventionally </w:t>
      </w:r>
      <w:r w:rsidRPr="007E5B58">
        <w:rPr>
          <w:rFonts w:cs="Times New Roman"/>
          <w:szCs w:val="24"/>
        </w:rPr>
        <w:t>fortified with iron</w:t>
      </w:r>
      <w:r>
        <w:rPr>
          <w:rFonts w:cs="Times New Roman"/>
          <w:szCs w:val="24"/>
        </w:rPr>
        <w:t xml:space="preserve">. </w:t>
      </w:r>
      <w:r w:rsidRPr="007E5B58">
        <w:rPr>
          <w:rFonts w:cs="Times New Roman"/>
          <w:szCs w:val="24"/>
        </w:rPr>
        <w:t xml:space="preserve"> </w:t>
      </w:r>
      <w:r>
        <w:rPr>
          <w:rFonts w:cs="Times New Roman"/>
          <w:szCs w:val="24"/>
        </w:rPr>
        <w:t>It is also noteworthy that the baobab plus hibiscus fortified-pearl millet-based porridge formulation increased the percentage zinc bioaccessibility the least. This could have been because the porridge contained the most iron</w:t>
      </w:r>
      <w:r w:rsidR="00BE28F0">
        <w:rPr>
          <w:rFonts w:cs="Times New Roman"/>
          <w:szCs w:val="24"/>
        </w:rPr>
        <w:t>, although</w:t>
      </w:r>
      <w:r>
        <w:rPr>
          <w:rFonts w:cs="Times New Roman"/>
          <w:szCs w:val="24"/>
        </w:rPr>
        <w:t xml:space="preserve"> the absence of a plant food </w:t>
      </w:r>
      <w:r>
        <w:rPr>
          <w:rFonts w:cs="Times New Roman"/>
          <w:szCs w:val="24"/>
          <w:lang w:val="en-ZA"/>
        </w:rPr>
        <w:t>β-carotene source in the formulation</w:t>
      </w:r>
      <w:r w:rsidR="00BE28F0">
        <w:rPr>
          <w:rFonts w:cs="Times New Roman"/>
          <w:szCs w:val="24"/>
          <w:lang w:val="en-ZA"/>
        </w:rPr>
        <w:t xml:space="preserve"> may</w:t>
      </w:r>
      <w:r>
        <w:rPr>
          <w:rFonts w:cs="Times New Roman"/>
          <w:szCs w:val="24"/>
          <w:lang w:val="en-ZA"/>
        </w:rPr>
        <w:t xml:space="preserve"> have contributed to this effect.</w:t>
      </w:r>
      <w:r w:rsidR="00BE28F0">
        <w:rPr>
          <w:rFonts w:cs="Times New Roman"/>
          <w:szCs w:val="24"/>
          <w:lang w:val="en-ZA"/>
        </w:rPr>
        <w:t xml:space="preserve">  </w:t>
      </w:r>
      <w:r>
        <w:rPr>
          <w:lang w:val="en-ZA"/>
        </w:rPr>
        <w:t>Thus, only the extrusion-cooked pearl millet</w:t>
      </w:r>
      <w:r w:rsidR="006A6E94">
        <w:rPr>
          <w:lang w:val="en-ZA"/>
        </w:rPr>
        <w:t>-based</w:t>
      </w:r>
      <w:r>
        <w:rPr>
          <w:lang w:val="en-ZA"/>
        </w:rPr>
        <w:t xml:space="preserve"> porridge fortified with carrot, papaya, baobab together with micronutrient premix and the porridge fortified with carrot, mango, baobab with moringa could potentially substantially increase the percentage contribution to the zinc AR for </w:t>
      </w:r>
      <w:r>
        <w:t xml:space="preserve">women </w:t>
      </w:r>
      <w:r w:rsidR="00BE28F0">
        <w:t xml:space="preserve"> of </w:t>
      </w:r>
      <w:r>
        <w:t xml:space="preserve">19–50 years, from </w:t>
      </w:r>
      <w:r w:rsidR="00BE28F0">
        <w:t xml:space="preserve">approximately </w:t>
      </w:r>
      <w:r>
        <w:t>48% to 19</w:t>
      </w:r>
      <w:r w:rsidR="00BE28F0">
        <w:t>7</w:t>
      </w:r>
      <w:r>
        <w:t xml:space="preserve">% and 75%, respectively </w:t>
      </w:r>
      <w:r w:rsidRPr="006A6E94">
        <w:t>(Table</w:t>
      </w:r>
      <w:r>
        <w:t xml:space="preserve"> </w:t>
      </w:r>
      <w:r w:rsidR="006A6E94">
        <w:t>4.3.</w:t>
      </w:r>
      <w:r>
        <w:t>5).</w:t>
      </w:r>
    </w:p>
    <w:p w14:paraId="417F3986" w14:textId="77777777" w:rsidR="00961673" w:rsidRDefault="00961673" w:rsidP="006A6E94">
      <w:pPr>
        <w:spacing w:after="0"/>
      </w:pPr>
    </w:p>
    <w:p w14:paraId="48CE9715" w14:textId="77777777" w:rsidR="00961673" w:rsidRPr="006A6E94" w:rsidRDefault="00961673" w:rsidP="00BD44C6">
      <w:pPr>
        <w:spacing w:after="0"/>
        <w:rPr>
          <w:i/>
          <w:iCs/>
        </w:rPr>
      </w:pPr>
      <w:r w:rsidRPr="006A6E94">
        <w:rPr>
          <w:i/>
          <w:iCs/>
        </w:rPr>
        <w:t>Calcium bioaccessibility</w:t>
      </w:r>
    </w:p>
    <w:p w14:paraId="3886CC75" w14:textId="17902C1F" w:rsidR="00961673" w:rsidRDefault="00961673" w:rsidP="006818A8">
      <w:r>
        <w:t>Carrot plus mango</w:t>
      </w:r>
      <w:r>
        <w:rPr>
          <w:lang w:val="en-ZA"/>
        </w:rPr>
        <w:t xml:space="preserve"> fortification of maize porridge and β-carotene inclusion in maize porridge, decreased percentage calcium bioaccessibility, by 35% and 11%, respectively (</w:t>
      </w:r>
      <w:r w:rsidRPr="006A6E94">
        <w:rPr>
          <w:lang w:val="en-ZA"/>
        </w:rPr>
        <w:t>Table</w:t>
      </w:r>
      <w:r>
        <w:rPr>
          <w:lang w:val="en-ZA"/>
        </w:rPr>
        <w:t xml:space="preserve"> </w:t>
      </w:r>
      <w:r w:rsidR="006A6E94">
        <w:rPr>
          <w:lang w:val="en-ZA"/>
        </w:rPr>
        <w:t>4.3.</w:t>
      </w:r>
      <w:r>
        <w:rPr>
          <w:lang w:val="en-ZA"/>
        </w:rPr>
        <w:t xml:space="preserve">6). This reduction was possibly due to the substantial amounts of polyphenols in carrot and mango. </w:t>
      </w:r>
      <w:r w:rsidR="00BE28F0">
        <w:rPr>
          <w:lang w:val="en-ZA"/>
        </w:rPr>
        <w:t xml:space="preserve">As stated, </w:t>
      </w:r>
      <w:r>
        <w:t xml:space="preserve">Vitali et al. (2008) found that wholegrain wheat-based biscuits with a high content of polyphenols decreased the percentage calcium bioaccessibility when compared to wholegrain wheat-based biscuits with a much lower polyphenol content. The reason for the slight inhibitory effect of </w:t>
      </w:r>
      <w:r>
        <w:rPr>
          <w:lang w:val="en-ZA"/>
        </w:rPr>
        <w:t xml:space="preserve">β-carotene on the percentage calcium bioaccessibility is unclear. Studies on </w:t>
      </w:r>
      <w:r w:rsidRPr="006818A8">
        <w:t xml:space="preserve">the effect of β-carotene on calcium bioaccessibility are lacking. In </w:t>
      </w:r>
      <w:r w:rsidR="006A6E94">
        <w:t>C</w:t>
      </w:r>
      <w:r w:rsidRPr="006818A8">
        <w:t xml:space="preserve">hapter </w:t>
      </w:r>
      <w:r w:rsidR="00BE28F0">
        <w:t>4.</w:t>
      </w:r>
      <w:r w:rsidRPr="006818A8">
        <w:t xml:space="preserve">2 it was hypothesised that the presence of carrot and mango as a β-carotene source in the complex maize-based porridge formulation added to the enhancing effect of ascorbic acid inclusion on calcium bioaccessibility, as ascorbic+citric acid inclusion alone in the simple maize porridge formulation had no effect. The findings of this present study suggest otherwise. Rather, the much higher ascorbic acid inclusion level in the complex maize-based porridge (approx. 63 mg/100 g) compared to the simple maize porridge (23 mg/100 g) may have been responsible for the positive effect observed.  </w:t>
      </w:r>
      <w:r w:rsidR="00BE28F0">
        <w:t xml:space="preserve">As mentioned, </w:t>
      </w:r>
      <w:r w:rsidRPr="006818A8">
        <w:t xml:space="preserve">Singh </w:t>
      </w:r>
      <w:r w:rsidR="0057624B">
        <w:t>&amp;</w:t>
      </w:r>
      <w:r w:rsidRPr="006818A8">
        <w:t xml:space="preserve"> Prasad (2018) similarly found that ascorbic acid</w:t>
      </w:r>
      <w:r>
        <w:t xml:space="preserve"> inclusion in wholegrain wheat bread increased the percentage calcium bioaccessibility.</w:t>
      </w:r>
    </w:p>
    <w:p w14:paraId="265E7774" w14:textId="77777777" w:rsidR="00961673" w:rsidRDefault="00961673" w:rsidP="006A6E94">
      <w:pPr>
        <w:spacing w:after="0"/>
        <w:rPr>
          <w:rFonts w:cs="Times New Roman"/>
          <w:szCs w:val="24"/>
        </w:rPr>
      </w:pPr>
    </w:p>
    <w:p w14:paraId="1119538B" w14:textId="7D580E27" w:rsidR="00961673" w:rsidRPr="00DB0E98" w:rsidRDefault="00806772" w:rsidP="006818A8">
      <w:pPr>
        <w:rPr>
          <w:rFonts w:cs="Times New Roman"/>
          <w:szCs w:val="24"/>
        </w:rPr>
      </w:pPr>
      <w:r>
        <w:rPr>
          <w:rFonts w:cs="Times New Roman"/>
          <w:szCs w:val="24"/>
        </w:rPr>
        <w:t>Baobab fortification of the carrot plus mango fortified maize porridge and maize+</w:t>
      </w:r>
      <w:r w:rsidRPr="003D1F1F">
        <w:rPr>
          <w:rFonts w:cs="Times New Roman"/>
          <w:szCs w:val="24"/>
        </w:rPr>
        <w:t>β-carotene</w:t>
      </w:r>
      <w:r>
        <w:rPr>
          <w:rFonts w:cs="Times New Roman"/>
          <w:szCs w:val="24"/>
        </w:rPr>
        <w:t xml:space="preserve"> porridge fu</w:t>
      </w:r>
      <w:r w:rsidR="00FB254E">
        <w:rPr>
          <w:rFonts w:cs="Times New Roman"/>
          <w:szCs w:val="24"/>
        </w:rPr>
        <w:t>r</w:t>
      </w:r>
      <w:r>
        <w:rPr>
          <w:rFonts w:cs="Times New Roman"/>
          <w:szCs w:val="24"/>
        </w:rPr>
        <w:t>ther decreased the percentage bioaccessible calcium, by 49% and 52%, respectively compared to maize porridge alone (</w:t>
      </w:r>
      <w:r w:rsidRPr="006A6E94">
        <w:rPr>
          <w:rFonts w:cs="Times New Roman"/>
          <w:szCs w:val="24"/>
        </w:rPr>
        <w:t>Table</w:t>
      </w:r>
      <w:r>
        <w:rPr>
          <w:rFonts w:cs="Times New Roman"/>
          <w:szCs w:val="24"/>
        </w:rPr>
        <w:t xml:space="preserve"> 4.3.6). </w:t>
      </w:r>
      <w:r w:rsidR="00961673">
        <w:rPr>
          <w:rFonts w:cs="Times New Roman"/>
          <w:szCs w:val="24"/>
        </w:rPr>
        <w:t xml:space="preserve">As </w:t>
      </w:r>
      <w:r w:rsidR="00BE28F0">
        <w:rPr>
          <w:rFonts w:cs="Times New Roman"/>
          <w:szCs w:val="24"/>
        </w:rPr>
        <w:t>stated</w:t>
      </w:r>
      <w:r w:rsidR="00961673">
        <w:rPr>
          <w:rFonts w:cs="Times New Roman"/>
          <w:szCs w:val="24"/>
        </w:rPr>
        <w:t xml:space="preserve"> in </w:t>
      </w:r>
      <w:r w:rsidR="006A6E94">
        <w:rPr>
          <w:rFonts w:cs="Times New Roman"/>
          <w:szCs w:val="24"/>
        </w:rPr>
        <w:t>C</w:t>
      </w:r>
      <w:r w:rsidR="00961673">
        <w:rPr>
          <w:rFonts w:cs="Times New Roman"/>
          <w:szCs w:val="24"/>
        </w:rPr>
        <w:t xml:space="preserve">hapter </w:t>
      </w:r>
      <w:r w:rsidR="00BE28F0">
        <w:rPr>
          <w:rFonts w:cs="Times New Roman"/>
          <w:szCs w:val="24"/>
        </w:rPr>
        <w:t>4.</w:t>
      </w:r>
      <w:r w:rsidR="00961673">
        <w:rPr>
          <w:rFonts w:cs="Times New Roman"/>
          <w:szCs w:val="24"/>
        </w:rPr>
        <w:t xml:space="preserve">2, baobab fruit also </w:t>
      </w:r>
      <w:r w:rsidR="00BE28F0">
        <w:rPr>
          <w:rFonts w:cs="Times New Roman"/>
          <w:szCs w:val="24"/>
        </w:rPr>
        <w:t>has a</w:t>
      </w:r>
      <w:r w:rsidR="00961673">
        <w:rPr>
          <w:rFonts w:cs="Times New Roman"/>
          <w:szCs w:val="24"/>
        </w:rPr>
        <w:t xml:space="preserve"> high </w:t>
      </w:r>
      <w:r w:rsidR="00BE28F0">
        <w:rPr>
          <w:rFonts w:cs="Times New Roman"/>
          <w:szCs w:val="24"/>
        </w:rPr>
        <w:t>content</w:t>
      </w:r>
      <w:r w:rsidR="00961673">
        <w:rPr>
          <w:rFonts w:cs="Times New Roman"/>
          <w:szCs w:val="24"/>
        </w:rPr>
        <w:t xml:space="preserve"> of polyphenols. Thus, the addition of baobab to the porridge formulations would increase the polyphenol content. This could have been responsible for the stronger inhibitory effect compared to carrot plus mango fortified porridge. </w:t>
      </w:r>
      <w:r w:rsidR="00912FBE">
        <w:rPr>
          <w:rFonts w:cs="Times New Roman"/>
          <w:szCs w:val="24"/>
        </w:rPr>
        <w:t>Th</w:t>
      </w:r>
      <w:r w:rsidR="00B70221">
        <w:rPr>
          <w:rFonts w:cs="Times New Roman"/>
          <w:szCs w:val="24"/>
        </w:rPr>
        <w:t>is negative effect of baobab on percentage bioaccessible calcium</w:t>
      </w:r>
      <w:r w:rsidR="00912FBE">
        <w:rPr>
          <w:rFonts w:cs="Times New Roman"/>
          <w:szCs w:val="24"/>
        </w:rPr>
        <w:t xml:space="preserve"> compares well with those of Chapters 4.1 and 4.2, where baobab fortification of pearl millet porridge and maize porridge, respectively </w:t>
      </w:r>
      <w:r w:rsidR="00B70221">
        <w:rPr>
          <w:rFonts w:cs="Times New Roman"/>
          <w:szCs w:val="24"/>
        </w:rPr>
        <w:t xml:space="preserve">also </w:t>
      </w:r>
      <w:r w:rsidR="00912FBE">
        <w:rPr>
          <w:rFonts w:cs="Times New Roman"/>
          <w:szCs w:val="24"/>
        </w:rPr>
        <w:t>decreased the percentage bioaccessible calcium.</w:t>
      </w:r>
    </w:p>
    <w:p w14:paraId="13A6AA08" w14:textId="77777777" w:rsidR="00961673" w:rsidRDefault="00961673" w:rsidP="00912FBE">
      <w:pPr>
        <w:spacing w:after="0"/>
        <w:rPr>
          <w:rFonts w:cs="Times New Roman"/>
          <w:b/>
          <w:bCs/>
          <w:szCs w:val="24"/>
        </w:rPr>
      </w:pPr>
    </w:p>
    <w:p w14:paraId="7BD5A0A9" w14:textId="48331A66" w:rsidR="00961673" w:rsidRDefault="00961673" w:rsidP="006818A8">
      <w:pPr>
        <w:rPr>
          <w:rFonts w:eastAsia="Times New Roman" w:cs="Times New Roman"/>
          <w:szCs w:val="24"/>
        </w:rPr>
      </w:pPr>
      <w:r w:rsidRPr="00C37FE4">
        <w:rPr>
          <w:rFonts w:cs="Times New Roman"/>
          <w:szCs w:val="24"/>
        </w:rPr>
        <w:t>However,</w:t>
      </w:r>
      <w:r>
        <w:rPr>
          <w:rFonts w:cs="Times New Roman"/>
          <w:szCs w:val="24"/>
        </w:rPr>
        <w:t xml:space="preserve"> fortification of maize porridge with carrot plus mango or in combination with baobab and inclusion of </w:t>
      </w:r>
      <w:r>
        <w:rPr>
          <w:rFonts w:cs="Times New Roman"/>
          <w:szCs w:val="24"/>
          <w:lang w:val="en-ZA"/>
        </w:rPr>
        <w:t>β-carotene</w:t>
      </w:r>
      <w:r>
        <w:rPr>
          <w:rFonts w:cs="Times New Roman"/>
          <w:szCs w:val="24"/>
        </w:rPr>
        <w:t xml:space="preserve"> plus baobab fortification increased the total amount of bioaccessible calcium, by 122%, 451% and 371%, respectively (</w:t>
      </w:r>
      <w:r w:rsidRPr="006A6E94">
        <w:rPr>
          <w:rFonts w:cs="Times New Roman"/>
          <w:szCs w:val="24"/>
        </w:rPr>
        <w:t>Table</w:t>
      </w:r>
      <w:r>
        <w:rPr>
          <w:rFonts w:cs="Times New Roman"/>
          <w:szCs w:val="24"/>
        </w:rPr>
        <w:t xml:space="preserve"> </w:t>
      </w:r>
      <w:r w:rsidR="006A6E94">
        <w:rPr>
          <w:rFonts w:cs="Times New Roman"/>
          <w:szCs w:val="24"/>
        </w:rPr>
        <w:t>4.3.</w:t>
      </w:r>
      <w:r>
        <w:rPr>
          <w:rFonts w:cs="Times New Roman"/>
          <w:szCs w:val="24"/>
        </w:rPr>
        <w:t xml:space="preserve">6). </w:t>
      </w:r>
      <w:r>
        <w:rPr>
          <w:rFonts w:eastAsia="Times New Roman" w:cs="Times New Roman"/>
          <w:szCs w:val="24"/>
        </w:rPr>
        <w:t xml:space="preserve">This was presumably as a result of the relatively </w:t>
      </w:r>
      <w:r w:rsidRPr="00A967D7">
        <w:rPr>
          <w:rFonts w:eastAsia="Times New Roman" w:cs="Times New Roman"/>
          <w:szCs w:val="24"/>
        </w:rPr>
        <w:t>high calcium content</w:t>
      </w:r>
      <w:r>
        <w:rPr>
          <w:rFonts w:eastAsia="Times New Roman" w:cs="Times New Roman"/>
          <w:szCs w:val="24"/>
        </w:rPr>
        <w:t xml:space="preserve">s of carrot, mango, and baobab </w:t>
      </w:r>
      <w:r w:rsidR="006A6E94">
        <w:rPr>
          <w:rFonts w:eastAsia="Times New Roman" w:cs="Times New Roman"/>
          <w:szCs w:val="24"/>
        </w:rPr>
        <w:t xml:space="preserve">compared to maize </w:t>
      </w:r>
      <w:r w:rsidRPr="00A967D7">
        <w:rPr>
          <w:rFonts w:eastAsia="Times New Roman" w:cs="Times New Roman"/>
          <w:szCs w:val="24"/>
        </w:rPr>
        <w:t>(</w:t>
      </w:r>
      <w:r w:rsidRPr="006A6E94">
        <w:rPr>
          <w:rFonts w:eastAsia="Times New Roman" w:cs="Times New Roman"/>
          <w:szCs w:val="24"/>
        </w:rPr>
        <w:t>Table</w:t>
      </w:r>
      <w:r w:rsidRPr="00A967D7">
        <w:rPr>
          <w:rFonts w:eastAsia="Times New Roman" w:cs="Times New Roman"/>
          <w:szCs w:val="24"/>
        </w:rPr>
        <w:t xml:space="preserve"> </w:t>
      </w:r>
      <w:r w:rsidR="006A6E94">
        <w:rPr>
          <w:rFonts w:eastAsia="Times New Roman" w:cs="Times New Roman"/>
          <w:szCs w:val="24"/>
        </w:rPr>
        <w:t>4.3.</w:t>
      </w:r>
      <w:r w:rsidRPr="00A967D7">
        <w:rPr>
          <w:rFonts w:eastAsia="Times New Roman" w:cs="Times New Roman"/>
          <w:szCs w:val="24"/>
        </w:rPr>
        <w:t>1)</w:t>
      </w:r>
      <w:r>
        <w:rPr>
          <w:rFonts w:eastAsia="Times New Roman" w:cs="Times New Roman"/>
          <w:szCs w:val="24"/>
        </w:rPr>
        <w:t xml:space="preserve">. </w:t>
      </w:r>
      <w:r w:rsidR="006A6E94">
        <w:rPr>
          <w:rFonts w:eastAsia="Times New Roman" w:cs="Times New Roman"/>
          <w:szCs w:val="24"/>
        </w:rPr>
        <w:t>C</w:t>
      </w:r>
      <w:r>
        <w:rPr>
          <w:rFonts w:eastAsia="Times New Roman" w:cs="Times New Roman"/>
          <w:szCs w:val="24"/>
        </w:rPr>
        <w:t xml:space="preserve">hapters </w:t>
      </w:r>
      <w:r w:rsidR="003D799E">
        <w:rPr>
          <w:rFonts w:eastAsia="Times New Roman" w:cs="Times New Roman"/>
          <w:szCs w:val="24"/>
        </w:rPr>
        <w:t>4.</w:t>
      </w:r>
      <w:r>
        <w:rPr>
          <w:rFonts w:eastAsia="Times New Roman" w:cs="Times New Roman"/>
          <w:szCs w:val="24"/>
        </w:rPr>
        <w:t xml:space="preserve">1 and </w:t>
      </w:r>
      <w:r w:rsidR="003D799E">
        <w:rPr>
          <w:rFonts w:eastAsia="Times New Roman" w:cs="Times New Roman"/>
          <w:szCs w:val="24"/>
        </w:rPr>
        <w:t>4.</w:t>
      </w:r>
      <w:r>
        <w:rPr>
          <w:rFonts w:eastAsia="Times New Roman" w:cs="Times New Roman"/>
          <w:szCs w:val="24"/>
        </w:rPr>
        <w:t xml:space="preserve">2 </w:t>
      </w:r>
      <w:r w:rsidR="003D799E">
        <w:rPr>
          <w:rFonts w:eastAsia="Times New Roman" w:cs="Times New Roman"/>
          <w:szCs w:val="24"/>
        </w:rPr>
        <w:t>similarly</w:t>
      </w:r>
      <w:r>
        <w:rPr>
          <w:rFonts w:eastAsia="Times New Roman" w:cs="Times New Roman"/>
          <w:szCs w:val="24"/>
        </w:rPr>
        <w:t xml:space="preserve"> showed that baobab fortification of pearl millet and maize porridges increased the </w:t>
      </w:r>
      <w:r w:rsidR="006A6E94">
        <w:rPr>
          <w:rFonts w:eastAsia="Times New Roman" w:cs="Times New Roman"/>
          <w:szCs w:val="24"/>
        </w:rPr>
        <w:t>amount of</w:t>
      </w:r>
      <w:r>
        <w:rPr>
          <w:rFonts w:eastAsia="Times New Roman" w:cs="Times New Roman"/>
          <w:szCs w:val="24"/>
        </w:rPr>
        <w:t xml:space="preserve"> bioaccessible calcium.</w:t>
      </w:r>
    </w:p>
    <w:p w14:paraId="4D817698" w14:textId="77777777" w:rsidR="00961673" w:rsidRDefault="00961673" w:rsidP="006A6E94">
      <w:pPr>
        <w:spacing w:after="0"/>
        <w:rPr>
          <w:rFonts w:eastAsia="Times New Roman" w:cs="Times New Roman"/>
          <w:szCs w:val="24"/>
        </w:rPr>
      </w:pPr>
    </w:p>
    <w:p w14:paraId="6151F7BD" w14:textId="3623F2CB" w:rsidR="00961673" w:rsidRDefault="00961673" w:rsidP="006818A8">
      <w:pPr>
        <w:rPr>
          <w:rFonts w:cs="Times New Roman"/>
          <w:szCs w:val="24"/>
        </w:rPr>
      </w:pPr>
      <w:r>
        <w:rPr>
          <w:rFonts w:cs="Times New Roman"/>
          <w:szCs w:val="24"/>
        </w:rPr>
        <w:t xml:space="preserve">With the extrusion-cooked pearl millet-based porridge formulations, fortification with the food fortificants, </w:t>
      </w:r>
      <w:r w:rsidR="003D799E">
        <w:rPr>
          <w:rFonts w:cs="Times New Roman"/>
          <w:szCs w:val="24"/>
        </w:rPr>
        <w:t xml:space="preserve">with the </w:t>
      </w:r>
      <w:r>
        <w:rPr>
          <w:rFonts w:cs="Times New Roman"/>
          <w:szCs w:val="24"/>
        </w:rPr>
        <w:t>except</w:t>
      </w:r>
      <w:r w:rsidR="003D799E">
        <w:rPr>
          <w:rFonts w:cs="Times New Roman"/>
          <w:szCs w:val="24"/>
        </w:rPr>
        <w:t>ion</w:t>
      </w:r>
      <w:r>
        <w:rPr>
          <w:rFonts w:cs="Times New Roman"/>
          <w:szCs w:val="24"/>
        </w:rPr>
        <w:t xml:space="preserve"> </w:t>
      </w:r>
      <w:r w:rsidR="003D799E">
        <w:rPr>
          <w:rFonts w:cs="Times New Roman"/>
          <w:szCs w:val="24"/>
        </w:rPr>
        <w:t>of</w:t>
      </w:r>
      <w:r>
        <w:rPr>
          <w:rFonts w:cs="Times New Roman"/>
          <w:szCs w:val="24"/>
        </w:rPr>
        <w:t xml:space="preserve"> </w:t>
      </w:r>
      <w:r w:rsidR="003D799E">
        <w:rPr>
          <w:rFonts w:cs="Times New Roman"/>
          <w:szCs w:val="24"/>
        </w:rPr>
        <w:t>fortification</w:t>
      </w:r>
      <w:r>
        <w:rPr>
          <w:rFonts w:cs="Times New Roman"/>
          <w:szCs w:val="24"/>
        </w:rPr>
        <w:t xml:space="preserve"> with carrot, mango, baobab plus moringa, increased calcium bioaccessibility, in terms of percentage and amount by 9–15% and 618–728%, respectively, when compared to pearl millet alone </w:t>
      </w:r>
      <w:r w:rsidR="003D799E">
        <w:rPr>
          <w:rFonts w:cs="Times New Roman"/>
          <w:szCs w:val="24"/>
        </w:rPr>
        <w:t>by</w:t>
      </w:r>
      <w:r>
        <w:rPr>
          <w:rFonts w:cs="Times New Roman"/>
          <w:szCs w:val="24"/>
        </w:rPr>
        <w:t xml:space="preserve"> pairwise comparison</w:t>
      </w:r>
      <w:r w:rsidR="006A6E94">
        <w:rPr>
          <w:rFonts w:cs="Times New Roman"/>
          <w:szCs w:val="24"/>
        </w:rPr>
        <w:t xml:space="preserve"> (Table 4.3.7)</w:t>
      </w:r>
      <w:r>
        <w:rPr>
          <w:rFonts w:cs="Times New Roman"/>
          <w:szCs w:val="24"/>
        </w:rPr>
        <w:t>. This is notwithstanding the presence of polyphenols in the food fortificants and the much higher level of polyphenols in pearl millet (</w:t>
      </w:r>
      <w:r w:rsidR="006A6E94">
        <w:rPr>
          <w:rFonts w:cs="Times New Roman"/>
          <w:szCs w:val="24"/>
        </w:rPr>
        <w:t>C</w:t>
      </w:r>
      <w:r>
        <w:rPr>
          <w:rFonts w:cs="Times New Roman"/>
          <w:szCs w:val="24"/>
        </w:rPr>
        <w:t xml:space="preserve">hapter </w:t>
      </w:r>
      <w:r w:rsidR="003D799E">
        <w:rPr>
          <w:rFonts w:cs="Times New Roman"/>
          <w:szCs w:val="24"/>
        </w:rPr>
        <w:t>4.</w:t>
      </w:r>
      <w:r>
        <w:rPr>
          <w:rFonts w:cs="Times New Roman"/>
          <w:szCs w:val="24"/>
        </w:rPr>
        <w:t>1) compared to the maize (</w:t>
      </w:r>
      <w:r w:rsidR="006A6E94">
        <w:rPr>
          <w:rFonts w:cs="Times New Roman"/>
          <w:szCs w:val="24"/>
        </w:rPr>
        <w:t>C</w:t>
      </w:r>
      <w:r>
        <w:rPr>
          <w:rFonts w:cs="Times New Roman"/>
          <w:szCs w:val="24"/>
        </w:rPr>
        <w:t xml:space="preserve">hapter </w:t>
      </w:r>
      <w:r w:rsidR="003D799E">
        <w:rPr>
          <w:rFonts w:cs="Times New Roman"/>
          <w:szCs w:val="24"/>
        </w:rPr>
        <w:t>4.</w:t>
      </w:r>
      <w:r>
        <w:rPr>
          <w:rFonts w:cs="Times New Roman"/>
          <w:szCs w:val="24"/>
        </w:rPr>
        <w:t>2). These positive effects on calcium bioaccessibility could have been a result of both extrusion-cooking and the presence of mineral bioavailability enhancers in the food fortificants. As stated above, extrusion cooking can degrade phytate and polyphenols, which reduce</w:t>
      </w:r>
      <w:r w:rsidR="00FB254E">
        <w:rPr>
          <w:rFonts w:cs="Times New Roman"/>
          <w:szCs w:val="24"/>
        </w:rPr>
        <w:t>s</w:t>
      </w:r>
      <w:r>
        <w:rPr>
          <w:rFonts w:cs="Times New Roman"/>
          <w:szCs w:val="24"/>
        </w:rPr>
        <w:t xml:space="preserve"> their inhibitory effects on mineral bioaccessibility. The inclusion of citric acid in the extrusion-cooked fortified-pearl millet-based porridge formulations could also have contributed to the increase in percentage bioaccessible calcium</w:t>
      </w:r>
      <w:r w:rsidR="00DF1A4D">
        <w:rPr>
          <w:rFonts w:cs="Times New Roman"/>
          <w:szCs w:val="24"/>
        </w:rPr>
        <w:t xml:space="preserve"> as</w:t>
      </w:r>
      <w:r w:rsidR="003D799E">
        <w:rPr>
          <w:rFonts w:cs="Times New Roman"/>
          <w:szCs w:val="24"/>
        </w:rPr>
        <w:t xml:space="preserve"> c</w:t>
      </w:r>
      <w:r>
        <w:rPr>
          <w:rFonts w:cs="Times New Roman"/>
          <w:szCs w:val="24"/>
        </w:rPr>
        <w:t xml:space="preserve">itric acid inclusion in </w:t>
      </w:r>
      <w:r w:rsidR="003D799E">
        <w:rPr>
          <w:rFonts w:cs="Times New Roman"/>
          <w:szCs w:val="24"/>
        </w:rPr>
        <w:t xml:space="preserve">the wet cooked </w:t>
      </w:r>
      <w:r>
        <w:rPr>
          <w:rFonts w:cs="Times New Roman"/>
          <w:szCs w:val="24"/>
        </w:rPr>
        <w:t>pearl millet porridge increased percentage calcium bioaccessibility (</w:t>
      </w:r>
      <w:r w:rsidR="006A6E94">
        <w:rPr>
          <w:rFonts w:cs="Times New Roman"/>
          <w:szCs w:val="24"/>
        </w:rPr>
        <w:t>C</w:t>
      </w:r>
      <w:r>
        <w:rPr>
          <w:rFonts w:cs="Times New Roman"/>
          <w:szCs w:val="24"/>
        </w:rPr>
        <w:t xml:space="preserve">hapter </w:t>
      </w:r>
      <w:r w:rsidR="003D799E">
        <w:rPr>
          <w:rFonts w:cs="Times New Roman"/>
          <w:szCs w:val="24"/>
        </w:rPr>
        <w:t>4.</w:t>
      </w:r>
      <w:r>
        <w:rPr>
          <w:rFonts w:cs="Times New Roman"/>
          <w:szCs w:val="24"/>
        </w:rPr>
        <w:t xml:space="preserve">1). </w:t>
      </w:r>
      <w:r w:rsidRPr="00BB7210">
        <w:rPr>
          <w:rFonts w:cs="Times New Roman"/>
          <w:szCs w:val="24"/>
        </w:rPr>
        <w:t>Walter et al. (1998) similarly showed that citric acid inclusion in a maize-soybean-based meal increased calcium bioaccessibility.</w:t>
      </w:r>
      <w:r>
        <w:rPr>
          <w:rFonts w:cs="Times New Roman"/>
          <w:szCs w:val="24"/>
        </w:rPr>
        <w:t xml:space="preserve">  Furthermore, citric acid has been found to prevent precipitation of minerals, including calcium, magnesium and zinc in cereal products when assayed by </w:t>
      </w:r>
      <w:r w:rsidR="00D5016D">
        <w:rPr>
          <w:rFonts w:cs="Times New Roman"/>
          <w:i/>
          <w:iCs/>
          <w:szCs w:val="24"/>
        </w:rPr>
        <w:t>i</w:t>
      </w:r>
      <w:r w:rsidR="00D5016D" w:rsidRPr="00D5016D">
        <w:rPr>
          <w:rFonts w:cs="Times New Roman"/>
          <w:i/>
          <w:iCs/>
          <w:szCs w:val="24"/>
        </w:rPr>
        <w:t>n vitro</w:t>
      </w:r>
      <w:r>
        <w:rPr>
          <w:rFonts w:cs="Times New Roman"/>
          <w:szCs w:val="24"/>
        </w:rPr>
        <w:t xml:space="preserve"> digestion (Lyon, 1984). </w:t>
      </w:r>
      <w:r w:rsidR="00DF1A4D">
        <w:rPr>
          <w:rFonts w:cs="Times New Roman"/>
          <w:szCs w:val="24"/>
        </w:rPr>
        <w:t xml:space="preserve">Fortification of the </w:t>
      </w:r>
      <w:r>
        <w:rPr>
          <w:rFonts w:cs="Times New Roman"/>
          <w:szCs w:val="24"/>
        </w:rPr>
        <w:t>pearl millet-based porridge with carrot, mango, baobab together with moringa, although having no effect on percentage bioaccessible calcium, increased the amount of bioaccessible calcium, by 839% compared to pearl millet control (</w:t>
      </w:r>
      <w:r w:rsidRPr="006A6E94">
        <w:rPr>
          <w:rFonts w:cs="Times New Roman"/>
          <w:szCs w:val="24"/>
        </w:rPr>
        <w:t>Table</w:t>
      </w:r>
      <w:r>
        <w:rPr>
          <w:rFonts w:cs="Times New Roman"/>
          <w:szCs w:val="24"/>
        </w:rPr>
        <w:t xml:space="preserve"> </w:t>
      </w:r>
      <w:r w:rsidR="006A6E94">
        <w:rPr>
          <w:rFonts w:cs="Times New Roman"/>
          <w:szCs w:val="24"/>
        </w:rPr>
        <w:t>4.3.</w:t>
      </w:r>
      <w:r>
        <w:rPr>
          <w:rFonts w:cs="Times New Roman"/>
          <w:szCs w:val="24"/>
        </w:rPr>
        <w:t xml:space="preserve">7), presumably due to its high calcium content </w:t>
      </w:r>
      <w:r w:rsidRPr="006A6E94">
        <w:rPr>
          <w:rFonts w:cs="Times New Roman"/>
          <w:szCs w:val="24"/>
        </w:rPr>
        <w:t>(Table</w:t>
      </w:r>
      <w:r>
        <w:rPr>
          <w:rFonts w:cs="Times New Roman"/>
          <w:szCs w:val="24"/>
        </w:rPr>
        <w:t xml:space="preserve"> </w:t>
      </w:r>
      <w:r w:rsidR="006A6E94">
        <w:rPr>
          <w:rFonts w:cs="Times New Roman"/>
          <w:szCs w:val="24"/>
        </w:rPr>
        <w:t>4.3.</w:t>
      </w:r>
      <w:r>
        <w:rPr>
          <w:rFonts w:cs="Times New Roman"/>
          <w:szCs w:val="24"/>
        </w:rPr>
        <w:t>2).</w:t>
      </w:r>
    </w:p>
    <w:p w14:paraId="2099F450" w14:textId="77777777" w:rsidR="00961673" w:rsidRDefault="00961673" w:rsidP="006A6E94">
      <w:pPr>
        <w:spacing w:after="0"/>
        <w:rPr>
          <w:rFonts w:cs="Times New Roman"/>
          <w:szCs w:val="24"/>
        </w:rPr>
      </w:pPr>
    </w:p>
    <w:p w14:paraId="4D3E750E" w14:textId="77777777" w:rsidR="00961673" w:rsidRPr="006A6E94" w:rsidRDefault="00961673" w:rsidP="00BD44C6">
      <w:pPr>
        <w:spacing w:after="0"/>
        <w:rPr>
          <w:i/>
          <w:iCs/>
        </w:rPr>
      </w:pPr>
      <w:r w:rsidRPr="006A6E94">
        <w:rPr>
          <w:i/>
          <w:iCs/>
        </w:rPr>
        <w:t>Magnesium bioaccessibility</w:t>
      </w:r>
    </w:p>
    <w:p w14:paraId="3A9994AD" w14:textId="3265F4B8" w:rsidR="00961673" w:rsidRDefault="00961673" w:rsidP="006818A8">
      <w:pPr>
        <w:rPr>
          <w:lang w:val="en-ZA"/>
        </w:rPr>
      </w:pPr>
      <w:r>
        <w:t xml:space="preserve">Fortification of maize porridge with carrot plus mango </w:t>
      </w:r>
      <w:r w:rsidR="00DF1A4D">
        <w:t xml:space="preserve">slightly </w:t>
      </w:r>
      <w:r>
        <w:t xml:space="preserve">increased percentage magnesium bioaccessibility, by 13% compared to maize porridge </w:t>
      </w:r>
      <w:r w:rsidR="00DF1A4D">
        <w:t>by</w:t>
      </w:r>
      <w:r>
        <w:t xml:space="preserve"> pairwise comparison </w:t>
      </w:r>
      <w:r w:rsidRPr="006A6E94">
        <w:t>(Table</w:t>
      </w:r>
      <w:r>
        <w:t xml:space="preserve"> </w:t>
      </w:r>
      <w:r w:rsidR="006A6E94">
        <w:t>4.3.</w:t>
      </w:r>
      <w:r>
        <w:t xml:space="preserve">6) However, it did not increase the </w:t>
      </w:r>
      <w:r w:rsidR="006A6E94">
        <w:t>amount of</w:t>
      </w:r>
      <w:r>
        <w:t xml:space="preserve"> bioaccessible magnesium (</w:t>
      </w:r>
      <w:r w:rsidRPr="006A6E94">
        <w:t>Table</w:t>
      </w:r>
      <w:r>
        <w:t xml:space="preserve"> </w:t>
      </w:r>
      <w:r w:rsidR="006A6E94">
        <w:t>4.3.</w:t>
      </w:r>
      <w:r>
        <w:t xml:space="preserve">6), </w:t>
      </w:r>
      <w:r w:rsidR="009E7815">
        <w:t>likely</w:t>
      </w:r>
      <w:r>
        <w:t xml:space="preserve"> because the fortified porridge was slightly lower in magnesium </w:t>
      </w:r>
      <w:r w:rsidRPr="006A6E94">
        <w:t>(Table</w:t>
      </w:r>
      <w:r>
        <w:t xml:space="preserve"> </w:t>
      </w:r>
      <w:r w:rsidR="006A6E94">
        <w:t>4.3.</w:t>
      </w:r>
      <w:r>
        <w:t xml:space="preserve">1). In slight contrast, </w:t>
      </w:r>
      <w:r>
        <w:rPr>
          <w:lang w:val="en-ZA"/>
        </w:rPr>
        <w:t>β-carotene inclusion in maize porridge had no effect on percentage magnesium bioaccessibility (</w:t>
      </w:r>
      <w:r w:rsidRPr="006A6E94">
        <w:rPr>
          <w:lang w:val="en-ZA"/>
        </w:rPr>
        <w:t>Table</w:t>
      </w:r>
      <w:r>
        <w:rPr>
          <w:lang w:val="en-ZA"/>
        </w:rPr>
        <w:t xml:space="preserve"> </w:t>
      </w:r>
      <w:r w:rsidR="006A6E94">
        <w:rPr>
          <w:lang w:val="en-ZA"/>
        </w:rPr>
        <w:t>4.3.</w:t>
      </w:r>
      <w:r>
        <w:rPr>
          <w:lang w:val="en-ZA"/>
        </w:rPr>
        <w:t>6). This suggests that the high content of citric acid in mango (</w:t>
      </w:r>
      <w:r w:rsidR="006A6E94">
        <w:rPr>
          <w:lang w:val="en-ZA"/>
        </w:rPr>
        <w:t>C</w:t>
      </w:r>
      <w:r>
        <w:rPr>
          <w:lang w:val="en-ZA"/>
        </w:rPr>
        <w:t xml:space="preserve">hapter </w:t>
      </w:r>
      <w:r w:rsidR="00DF1A4D">
        <w:rPr>
          <w:lang w:val="en-ZA"/>
        </w:rPr>
        <w:t>4.</w:t>
      </w:r>
      <w:r>
        <w:rPr>
          <w:lang w:val="en-ZA"/>
        </w:rPr>
        <w:t xml:space="preserve">2) enhanced the magnesium bioaccessibility. </w:t>
      </w:r>
      <w:r w:rsidR="006A6E94">
        <w:rPr>
          <w:lang w:val="en-ZA"/>
        </w:rPr>
        <w:t>In support of this</w:t>
      </w:r>
      <w:r w:rsidR="00DF1A4D">
        <w:rPr>
          <w:lang w:val="en-ZA"/>
        </w:rPr>
        <w:t xml:space="preserve"> hypothesis</w:t>
      </w:r>
      <w:r w:rsidR="006A6E94">
        <w:rPr>
          <w:lang w:val="en-ZA"/>
        </w:rPr>
        <w:t>, C</w:t>
      </w:r>
      <w:r>
        <w:rPr>
          <w:lang w:val="en-ZA"/>
        </w:rPr>
        <w:t xml:space="preserve">hapter </w:t>
      </w:r>
      <w:r w:rsidR="00DF1A4D">
        <w:rPr>
          <w:lang w:val="en-ZA"/>
        </w:rPr>
        <w:t>4.</w:t>
      </w:r>
      <w:r>
        <w:rPr>
          <w:lang w:val="en-ZA"/>
        </w:rPr>
        <w:t xml:space="preserve">1 showed that citric acid but not ascorbic acid inclusion in pearl millet porridge increased magnesium bioaccessibility. Also, in </w:t>
      </w:r>
      <w:r w:rsidR="00DF1A4D">
        <w:rPr>
          <w:lang w:val="en-ZA"/>
        </w:rPr>
        <w:t>C</w:t>
      </w:r>
      <w:r>
        <w:rPr>
          <w:lang w:val="en-ZA"/>
        </w:rPr>
        <w:t xml:space="preserve">hapter </w:t>
      </w:r>
      <w:r w:rsidR="00DF1A4D">
        <w:rPr>
          <w:lang w:val="en-ZA"/>
        </w:rPr>
        <w:t>4.</w:t>
      </w:r>
      <w:r>
        <w:rPr>
          <w:lang w:val="en-ZA"/>
        </w:rPr>
        <w:t xml:space="preserve">2, inclusion of ascorbic+citric acid in maize porridge increased magnesium bioaccessibility. However, ascorbic acid inclusion in maize-based porridge had no effect on magnesium bioaccessibility. </w:t>
      </w:r>
      <w:r w:rsidRPr="00782DF4">
        <w:rPr>
          <w:lang w:val="en-ZA"/>
        </w:rPr>
        <w:t xml:space="preserve">The study of Walter et al. (1998) showed that </w:t>
      </w:r>
      <w:r w:rsidRPr="00782DF4">
        <w:t>citric acid inclusion in maize-soybean-based meal increased magnesium bioaccessibility.</w:t>
      </w:r>
      <w:r>
        <w:t xml:space="preserve">  These effects are </w:t>
      </w:r>
      <w:r w:rsidR="009E7815">
        <w:t>very likely</w:t>
      </w:r>
      <w:r>
        <w:t xml:space="preserve"> </w:t>
      </w:r>
      <w:r w:rsidR="00BD6B46">
        <w:t>because</w:t>
      </w:r>
      <w:r>
        <w:t xml:space="preserve"> </w:t>
      </w:r>
      <w:r>
        <w:rPr>
          <w:lang w:val="en-ZA"/>
        </w:rPr>
        <w:t xml:space="preserve">citric acid can enhance solubilization of magnesium, thereby preventing it from the chelating effects of mineral bioavailability inhibitors (Lyon, 1984). </w:t>
      </w:r>
    </w:p>
    <w:p w14:paraId="3B9DFC8B" w14:textId="36EE4666" w:rsidR="00961673" w:rsidRDefault="00961673" w:rsidP="006818A8">
      <w:pPr>
        <w:rPr>
          <w:rFonts w:cs="Times New Roman"/>
          <w:szCs w:val="24"/>
          <w:lang w:val="en-ZA"/>
        </w:rPr>
      </w:pPr>
      <w:r>
        <w:rPr>
          <w:rFonts w:cs="Times New Roman"/>
          <w:szCs w:val="24"/>
          <w:lang w:val="en-ZA"/>
        </w:rPr>
        <w:br w:type="page"/>
      </w:r>
    </w:p>
    <w:p w14:paraId="6E0F9217" w14:textId="77777777" w:rsidR="00961673" w:rsidRDefault="00961673" w:rsidP="006818A8">
      <w:pPr>
        <w:rPr>
          <w:rFonts w:cs="Times New Roman"/>
          <w:szCs w:val="24"/>
          <w:lang w:val="en-ZA"/>
        </w:rPr>
        <w:sectPr w:rsidR="00961673" w:rsidSect="00961673">
          <w:pgSz w:w="11907" w:h="16839" w:code="9"/>
          <w:pgMar w:top="1440" w:right="1440" w:bottom="1440" w:left="1440" w:header="720" w:footer="720" w:gutter="0"/>
          <w:cols w:space="720"/>
          <w:docGrid w:linePitch="360"/>
        </w:sectPr>
      </w:pPr>
    </w:p>
    <w:p w14:paraId="79BA4270" w14:textId="6E7E889E" w:rsidR="00CA34EC" w:rsidRDefault="00CA34EC" w:rsidP="006A6E94">
      <w:pPr>
        <w:pStyle w:val="MyTables"/>
        <w:spacing w:line="240" w:lineRule="auto"/>
        <w:rPr>
          <w:lang w:val="en-ZA"/>
        </w:rPr>
      </w:pPr>
      <w:bookmarkStart w:id="153" w:name="_Toc65253644"/>
      <w:r w:rsidRPr="00CA34EC">
        <w:rPr>
          <w:b/>
          <w:bCs/>
          <w:lang w:val="en-ZA"/>
        </w:rPr>
        <w:t>Table 4.3.6:</w:t>
      </w:r>
      <w:r>
        <w:rPr>
          <w:lang w:val="en-ZA"/>
        </w:rPr>
        <w:t xml:space="preserve"> Effects of food-to-food fortification of wet cooked wholegrain white maize porridge with carrot and mango and in combination with baobab fruit pulp on calcium and magnesium bioaccessibility</w:t>
      </w:r>
      <w:bookmarkEnd w:id="153"/>
    </w:p>
    <w:tbl>
      <w:tblPr>
        <w:tblW w:w="0" w:type="auto"/>
        <w:tblBorders>
          <w:top w:val="single" w:sz="4" w:space="0" w:color="auto"/>
          <w:bottom w:val="single" w:sz="4" w:space="0" w:color="auto"/>
        </w:tblBorders>
        <w:tblLook w:val="04A0" w:firstRow="1" w:lastRow="0" w:firstColumn="1" w:lastColumn="0" w:noHBand="0" w:noVBand="1"/>
      </w:tblPr>
      <w:tblGrid>
        <w:gridCol w:w="2986"/>
        <w:gridCol w:w="2789"/>
        <w:gridCol w:w="2790"/>
        <w:gridCol w:w="2790"/>
        <w:gridCol w:w="2790"/>
      </w:tblGrid>
      <w:tr w:rsidR="00CA34EC" w:rsidRPr="00CA34EC" w14:paraId="17CABC9F" w14:textId="77777777" w:rsidTr="007669B6">
        <w:tc>
          <w:tcPr>
            <w:tcW w:w="2789" w:type="dxa"/>
            <w:tcBorders>
              <w:top w:val="single" w:sz="4" w:space="0" w:color="auto"/>
              <w:bottom w:val="single" w:sz="4" w:space="0" w:color="auto"/>
            </w:tcBorders>
          </w:tcPr>
          <w:p w14:paraId="7993C403" w14:textId="77777777" w:rsidR="00CA34EC" w:rsidRPr="00CA34EC" w:rsidRDefault="00CA34EC" w:rsidP="00CA34EC">
            <w:pPr>
              <w:pStyle w:val="CommentText"/>
              <w:rPr>
                <w:rFonts w:cs="Times New Roman"/>
                <w:sz w:val="22"/>
                <w:szCs w:val="22"/>
                <w:lang w:val="en-ZA"/>
              </w:rPr>
            </w:pPr>
            <w:r w:rsidRPr="00CA34EC">
              <w:rPr>
                <w:rFonts w:cs="Times New Roman"/>
                <w:b/>
                <w:sz w:val="22"/>
                <w:szCs w:val="22"/>
              </w:rPr>
              <w:t xml:space="preserve">Porridge formulations </w:t>
            </w:r>
          </w:p>
        </w:tc>
        <w:tc>
          <w:tcPr>
            <w:tcW w:w="2789" w:type="dxa"/>
            <w:tcBorders>
              <w:top w:val="single" w:sz="4" w:space="0" w:color="auto"/>
              <w:bottom w:val="single" w:sz="4" w:space="0" w:color="auto"/>
            </w:tcBorders>
          </w:tcPr>
          <w:p w14:paraId="34D394B6" w14:textId="77777777" w:rsidR="00CA34EC" w:rsidRPr="00CA34EC" w:rsidRDefault="00CA34EC" w:rsidP="00CA34EC">
            <w:pPr>
              <w:pStyle w:val="CommentText"/>
              <w:jc w:val="center"/>
              <w:rPr>
                <w:rFonts w:cs="Times New Roman"/>
                <w:sz w:val="22"/>
                <w:szCs w:val="22"/>
                <w:lang w:val="en-ZA"/>
              </w:rPr>
            </w:pPr>
            <w:r w:rsidRPr="00CA34EC">
              <w:rPr>
                <w:rFonts w:cs="Times New Roman"/>
                <w:b/>
                <w:sz w:val="22"/>
                <w:szCs w:val="22"/>
              </w:rPr>
              <w:t>Percentage bioaccessible calcium</w:t>
            </w:r>
          </w:p>
        </w:tc>
        <w:tc>
          <w:tcPr>
            <w:tcW w:w="2790" w:type="dxa"/>
            <w:tcBorders>
              <w:top w:val="single" w:sz="4" w:space="0" w:color="auto"/>
              <w:bottom w:val="single" w:sz="4" w:space="0" w:color="auto"/>
            </w:tcBorders>
          </w:tcPr>
          <w:p w14:paraId="33FCDA11" w14:textId="77777777" w:rsidR="00CA34EC" w:rsidRPr="00CA34EC" w:rsidRDefault="00CA34EC" w:rsidP="00CA34EC">
            <w:pPr>
              <w:pStyle w:val="CommentText"/>
              <w:jc w:val="center"/>
              <w:rPr>
                <w:rFonts w:cs="Times New Roman"/>
                <w:sz w:val="22"/>
                <w:szCs w:val="22"/>
                <w:lang w:val="en-ZA"/>
              </w:rPr>
            </w:pPr>
            <w:r w:rsidRPr="00CA34EC">
              <w:rPr>
                <w:rFonts w:cs="Times New Roman"/>
                <w:b/>
                <w:sz w:val="22"/>
                <w:szCs w:val="22"/>
              </w:rPr>
              <w:t>Amount of bioaccessible calcium (mg/100 g dry basis)</w:t>
            </w:r>
          </w:p>
        </w:tc>
        <w:tc>
          <w:tcPr>
            <w:tcW w:w="2790" w:type="dxa"/>
            <w:tcBorders>
              <w:top w:val="single" w:sz="4" w:space="0" w:color="auto"/>
              <w:bottom w:val="single" w:sz="4" w:space="0" w:color="auto"/>
            </w:tcBorders>
          </w:tcPr>
          <w:p w14:paraId="064690C0" w14:textId="77777777" w:rsidR="00CA34EC" w:rsidRPr="00CA34EC" w:rsidRDefault="00CA34EC" w:rsidP="00CA34EC">
            <w:pPr>
              <w:pStyle w:val="CommentText"/>
              <w:jc w:val="center"/>
              <w:rPr>
                <w:rFonts w:cs="Times New Roman"/>
                <w:sz w:val="22"/>
                <w:szCs w:val="22"/>
                <w:lang w:val="en-ZA"/>
              </w:rPr>
            </w:pPr>
            <w:r w:rsidRPr="00CA34EC">
              <w:rPr>
                <w:rFonts w:cs="Times New Roman"/>
                <w:b/>
                <w:sz w:val="22"/>
                <w:szCs w:val="22"/>
              </w:rPr>
              <w:t>Percentage bioaccessible magnesium</w:t>
            </w:r>
          </w:p>
        </w:tc>
        <w:tc>
          <w:tcPr>
            <w:tcW w:w="2790" w:type="dxa"/>
            <w:tcBorders>
              <w:top w:val="single" w:sz="4" w:space="0" w:color="auto"/>
              <w:bottom w:val="single" w:sz="4" w:space="0" w:color="auto"/>
            </w:tcBorders>
          </w:tcPr>
          <w:p w14:paraId="5C2BCFAB" w14:textId="77777777" w:rsidR="00CA34EC" w:rsidRPr="00CA34EC" w:rsidRDefault="00CA34EC" w:rsidP="00CA34EC">
            <w:pPr>
              <w:pStyle w:val="CommentText"/>
              <w:jc w:val="center"/>
              <w:rPr>
                <w:rFonts w:cs="Times New Roman"/>
                <w:sz w:val="22"/>
                <w:szCs w:val="22"/>
                <w:lang w:val="en-ZA"/>
              </w:rPr>
            </w:pPr>
            <w:r w:rsidRPr="00CA34EC">
              <w:rPr>
                <w:rFonts w:cs="Times New Roman"/>
                <w:b/>
                <w:sz w:val="22"/>
                <w:szCs w:val="22"/>
              </w:rPr>
              <w:t>Amount of bioaccessible magnesium (mg/100 g dry basis)</w:t>
            </w:r>
          </w:p>
        </w:tc>
      </w:tr>
      <w:tr w:rsidR="00CA34EC" w:rsidRPr="00CA34EC" w14:paraId="0AE4AC8E" w14:textId="77777777" w:rsidTr="007669B6">
        <w:tc>
          <w:tcPr>
            <w:tcW w:w="2789" w:type="dxa"/>
            <w:tcBorders>
              <w:top w:val="single" w:sz="4" w:space="0" w:color="auto"/>
            </w:tcBorders>
          </w:tcPr>
          <w:p w14:paraId="57B2F002" w14:textId="77777777" w:rsidR="00CA34EC" w:rsidRPr="00CA34EC" w:rsidRDefault="00CA34EC" w:rsidP="00CA34EC">
            <w:pPr>
              <w:pStyle w:val="CommentText"/>
              <w:rPr>
                <w:rFonts w:cs="Times New Roman"/>
                <w:sz w:val="22"/>
                <w:szCs w:val="22"/>
                <w:lang w:val="en-ZA"/>
              </w:rPr>
            </w:pPr>
            <w:r w:rsidRPr="00CA34EC">
              <w:rPr>
                <w:rFonts w:cs="Times New Roman"/>
                <w:sz w:val="22"/>
                <w:szCs w:val="22"/>
                <w:lang w:val="en-ZA"/>
              </w:rPr>
              <w:t>Maize (Control)</w:t>
            </w:r>
          </w:p>
        </w:tc>
        <w:tc>
          <w:tcPr>
            <w:tcW w:w="2789" w:type="dxa"/>
            <w:tcBorders>
              <w:top w:val="single" w:sz="4" w:space="0" w:color="auto"/>
            </w:tcBorders>
          </w:tcPr>
          <w:p w14:paraId="06AE6B2D"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82.2</w:t>
            </w:r>
            <w:r w:rsidRPr="00CA34EC">
              <w:rPr>
                <w:rFonts w:cs="Times New Roman"/>
                <w:sz w:val="22"/>
                <w:szCs w:val="22"/>
                <w:vertAlign w:val="superscript"/>
                <w:lang w:val="en-ZA"/>
              </w:rPr>
              <w:t>d</w:t>
            </w:r>
            <w:r w:rsidRPr="00CA34EC">
              <w:rPr>
                <w:rFonts w:cs="Times New Roman"/>
                <w:sz w:val="22"/>
                <w:szCs w:val="22"/>
                <w:lang w:val="en-ZA"/>
              </w:rPr>
              <w:t xml:space="preserve"> ± 6.3</w:t>
            </w:r>
          </w:p>
        </w:tc>
        <w:tc>
          <w:tcPr>
            <w:tcW w:w="2790" w:type="dxa"/>
            <w:tcBorders>
              <w:top w:val="single" w:sz="4" w:space="0" w:color="auto"/>
            </w:tcBorders>
          </w:tcPr>
          <w:p w14:paraId="6C5246C8"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4.2</w:t>
            </w:r>
            <w:r w:rsidRPr="00CA34EC">
              <w:rPr>
                <w:rFonts w:cs="Times New Roman"/>
                <w:sz w:val="22"/>
                <w:szCs w:val="22"/>
                <w:vertAlign w:val="superscript"/>
                <w:lang w:val="en-ZA"/>
              </w:rPr>
              <w:t>a</w:t>
            </w:r>
            <w:r w:rsidRPr="00CA34EC">
              <w:rPr>
                <w:rFonts w:cs="Times New Roman"/>
                <w:sz w:val="22"/>
                <w:szCs w:val="22"/>
                <w:lang w:val="en-ZA"/>
              </w:rPr>
              <w:t xml:space="preserve"> ± 0.5</w:t>
            </w:r>
          </w:p>
        </w:tc>
        <w:tc>
          <w:tcPr>
            <w:tcW w:w="2790" w:type="dxa"/>
            <w:tcBorders>
              <w:top w:val="single" w:sz="4" w:space="0" w:color="auto"/>
            </w:tcBorders>
          </w:tcPr>
          <w:p w14:paraId="2B7251A8"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52.8</w:t>
            </w:r>
            <w:r w:rsidRPr="00CA34EC">
              <w:rPr>
                <w:rFonts w:cs="Times New Roman"/>
                <w:sz w:val="22"/>
                <w:szCs w:val="22"/>
                <w:vertAlign w:val="superscript"/>
                <w:lang w:val="en-ZA"/>
              </w:rPr>
              <w:t>a</w:t>
            </w:r>
            <w:r w:rsidRPr="00CA34EC">
              <w:rPr>
                <w:rFonts w:cs="Times New Roman"/>
                <w:sz w:val="22"/>
                <w:szCs w:val="22"/>
                <w:lang w:val="en-ZA"/>
              </w:rPr>
              <w:t xml:space="preserve"> ± 6.1</w:t>
            </w:r>
          </w:p>
        </w:tc>
        <w:tc>
          <w:tcPr>
            <w:tcW w:w="2790" w:type="dxa"/>
            <w:tcBorders>
              <w:top w:val="single" w:sz="4" w:space="0" w:color="auto"/>
            </w:tcBorders>
          </w:tcPr>
          <w:p w14:paraId="5BB35C31"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61.1</w:t>
            </w:r>
            <w:r w:rsidRPr="00CA34EC">
              <w:rPr>
                <w:rFonts w:cs="Times New Roman"/>
                <w:sz w:val="22"/>
                <w:szCs w:val="22"/>
                <w:vertAlign w:val="superscript"/>
                <w:lang w:val="en-ZA"/>
              </w:rPr>
              <w:t>a</w:t>
            </w:r>
            <w:r w:rsidRPr="00CA34EC">
              <w:rPr>
                <w:rFonts w:cs="Times New Roman"/>
                <w:sz w:val="22"/>
                <w:szCs w:val="22"/>
                <w:lang w:val="en-ZA"/>
              </w:rPr>
              <w:t xml:space="preserve"> ± 7.0</w:t>
            </w:r>
          </w:p>
        </w:tc>
      </w:tr>
      <w:tr w:rsidR="00CA34EC" w:rsidRPr="00CA34EC" w14:paraId="7E02086E" w14:textId="77777777" w:rsidTr="007669B6">
        <w:tc>
          <w:tcPr>
            <w:tcW w:w="2789" w:type="dxa"/>
          </w:tcPr>
          <w:p w14:paraId="01BC7485" w14:textId="77777777" w:rsidR="00CA34EC" w:rsidRPr="00CA34EC" w:rsidRDefault="00CA34EC" w:rsidP="00CA34EC">
            <w:pPr>
              <w:pStyle w:val="CommentText"/>
              <w:rPr>
                <w:rFonts w:cs="Times New Roman"/>
                <w:sz w:val="22"/>
                <w:szCs w:val="22"/>
                <w:lang w:val="en-ZA"/>
              </w:rPr>
            </w:pPr>
            <w:r w:rsidRPr="00CA34EC">
              <w:rPr>
                <w:rFonts w:cs="Times New Roman"/>
                <w:sz w:val="22"/>
                <w:szCs w:val="22"/>
                <w:lang w:val="en-ZA"/>
              </w:rPr>
              <w:t>Maize+carrot+mango</w:t>
            </w:r>
            <w:r w:rsidRPr="00CA34EC">
              <w:rPr>
                <w:rFonts w:cs="Times New Roman"/>
                <w:sz w:val="22"/>
                <w:szCs w:val="22"/>
                <w:vertAlign w:val="superscript"/>
              </w:rPr>
              <w:t>∞</w:t>
            </w:r>
            <w:r w:rsidRPr="00CA34EC">
              <w:rPr>
                <w:rFonts w:cs="Times New Roman"/>
                <w:sz w:val="22"/>
                <w:szCs w:val="22"/>
                <w:vertAlign w:val="superscript"/>
                <w:lang w:val="en-ZA"/>
              </w:rPr>
              <w:t>1</w:t>
            </w:r>
            <w:r w:rsidRPr="00CA34EC">
              <w:rPr>
                <w:rFonts w:cs="Times New Roman"/>
                <w:sz w:val="22"/>
                <w:szCs w:val="22"/>
                <w:lang w:val="en-ZA"/>
              </w:rPr>
              <w:t xml:space="preserve"> (100:15)</w:t>
            </w:r>
          </w:p>
        </w:tc>
        <w:tc>
          <w:tcPr>
            <w:tcW w:w="2789" w:type="dxa"/>
          </w:tcPr>
          <w:p w14:paraId="35CEB6E2"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53.0</w:t>
            </w:r>
            <w:r w:rsidRPr="00CA34EC">
              <w:rPr>
                <w:rFonts w:cs="Times New Roman"/>
                <w:sz w:val="22"/>
                <w:szCs w:val="22"/>
                <w:vertAlign w:val="superscript"/>
                <w:lang w:val="en-ZA"/>
              </w:rPr>
              <w:t>b</w:t>
            </w:r>
            <w:r w:rsidRPr="00CA34EC">
              <w:rPr>
                <w:rFonts w:cs="Times New Roman"/>
                <w:sz w:val="22"/>
                <w:szCs w:val="22"/>
                <w:lang w:val="en-ZA"/>
              </w:rPr>
              <w:t xml:space="preserve"> ± 6.3 (-35%)</w:t>
            </w:r>
            <w:r w:rsidRPr="00CA34EC">
              <w:rPr>
                <w:rFonts w:cs="Times New Roman"/>
                <w:sz w:val="22"/>
                <w:szCs w:val="22"/>
                <w:vertAlign w:val="superscript"/>
              </w:rPr>
              <w:t>£</w:t>
            </w:r>
          </w:p>
        </w:tc>
        <w:tc>
          <w:tcPr>
            <w:tcW w:w="2790" w:type="dxa"/>
          </w:tcPr>
          <w:p w14:paraId="564AC828"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9.2</w:t>
            </w:r>
            <w:r w:rsidRPr="00CA34EC">
              <w:rPr>
                <w:rFonts w:cs="Times New Roman"/>
                <w:sz w:val="22"/>
                <w:szCs w:val="22"/>
                <w:vertAlign w:val="superscript"/>
                <w:lang w:val="en-ZA"/>
              </w:rPr>
              <w:t>b</w:t>
            </w:r>
            <w:r w:rsidRPr="00CA34EC">
              <w:rPr>
                <w:rFonts w:cs="Times New Roman"/>
                <w:sz w:val="22"/>
                <w:szCs w:val="22"/>
                <w:lang w:val="en-ZA"/>
              </w:rPr>
              <w:t xml:space="preserve"> ± 1.1 (122%)</w:t>
            </w:r>
          </w:p>
        </w:tc>
        <w:tc>
          <w:tcPr>
            <w:tcW w:w="2790" w:type="dxa"/>
          </w:tcPr>
          <w:p w14:paraId="0DED7F06"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59.7</w:t>
            </w:r>
            <w:r w:rsidRPr="00CA34EC">
              <w:rPr>
                <w:rFonts w:cs="Times New Roman"/>
                <w:sz w:val="22"/>
                <w:szCs w:val="22"/>
                <w:vertAlign w:val="superscript"/>
                <w:lang w:val="en-ZA"/>
              </w:rPr>
              <w:t>ab</w:t>
            </w:r>
            <w:r w:rsidRPr="00CA34EC">
              <w:rPr>
                <w:rFonts w:cs="Times New Roman"/>
                <w:sz w:val="22"/>
                <w:szCs w:val="22"/>
                <w:lang w:val="en-ZA"/>
              </w:rPr>
              <w:t xml:space="preserve"> ± 6.3 (13%)</w:t>
            </w:r>
          </w:p>
        </w:tc>
        <w:tc>
          <w:tcPr>
            <w:tcW w:w="2790" w:type="dxa"/>
          </w:tcPr>
          <w:p w14:paraId="6B2ED082"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65.8</w:t>
            </w:r>
            <w:r w:rsidRPr="00CA34EC">
              <w:rPr>
                <w:rFonts w:cs="Times New Roman"/>
                <w:sz w:val="22"/>
                <w:szCs w:val="22"/>
                <w:vertAlign w:val="superscript"/>
                <w:lang w:val="en-ZA"/>
              </w:rPr>
              <w:t>a</w:t>
            </w:r>
            <w:r w:rsidRPr="00CA34EC">
              <w:rPr>
                <w:rFonts w:cs="Times New Roman"/>
                <w:sz w:val="22"/>
                <w:szCs w:val="22"/>
                <w:lang w:val="en-ZA"/>
              </w:rPr>
              <w:t xml:space="preserve"> ± 7.0</w:t>
            </w:r>
          </w:p>
        </w:tc>
      </w:tr>
      <w:tr w:rsidR="00CA34EC" w:rsidRPr="00CA34EC" w14:paraId="4F3E9A16" w14:textId="77777777" w:rsidTr="007669B6">
        <w:tc>
          <w:tcPr>
            <w:tcW w:w="2789" w:type="dxa"/>
          </w:tcPr>
          <w:p w14:paraId="2F0A51E2" w14:textId="77777777" w:rsidR="00CA34EC" w:rsidRPr="00CA34EC" w:rsidRDefault="00CA34EC" w:rsidP="00CA34EC">
            <w:pPr>
              <w:pStyle w:val="CommentText"/>
              <w:rPr>
                <w:rFonts w:cs="Times New Roman"/>
                <w:sz w:val="22"/>
                <w:szCs w:val="22"/>
                <w:lang w:val="en-ZA"/>
              </w:rPr>
            </w:pPr>
            <w:r w:rsidRPr="00CA34EC">
              <w:rPr>
                <w:rFonts w:cs="Times New Roman"/>
                <w:sz w:val="22"/>
                <w:szCs w:val="22"/>
                <w:lang w:val="en-ZA"/>
              </w:rPr>
              <w:t>Maize+β-carotene</w:t>
            </w:r>
            <w:r w:rsidRPr="00CA34EC">
              <w:rPr>
                <w:rFonts w:cs="Times New Roman"/>
                <w:sz w:val="22"/>
                <w:szCs w:val="22"/>
                <w:vertAlign w:val="superscript"/>
                <w:lang w:val="en-ZA"/>
              </w:rPr>
              <w:t>2</w:t>
            </w:r>
          </w:p>
        </w:tc>
        <w:tc>
          <w:tcPr>
            <w:tcW w:w="2789" w:type="dxa"/>
          </w:tcPr>
          <w:p w14:paraId="39F41090"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73.1</w:t>
            </w:r>
            <w:r w:rsidRPr="00CA34EC">
              <w:rPr>
                <w:rFonts w:cs="Times New Roman"/>
                <w:sz w:val="22"/>
                <w:szCs w:val="22"/>
                <w:vertAlign w:val="superscript"/>
                <w:lang w:val="en-ZA"/>
              </w:rPr>
              <w:t>c</w:t>
            </w:r>
            <w:r w:rsidRPr="00CA34EC">
              <w:rPr>
                <w:rFonts w:cs="Times New Roman"/>
                <w:sz w:val="22"/>
                <w:szCs w:val="22"/>
                <w:lang w:val="en-ZA"/>
              </w:rPr>
              <w:t xml:space="preserve"> ± 10.9 (-11%)</w:t>
            </w:r>
          </w:p>
        </w:tc>
        <w:tc>
          <w:tcPr>
            <w:tcW w:w="2790" w:type="dxa"/>
          </w:tcPr>
          <w:p w14:paraId="632C2666"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3.8</w:t>
            </w:r>
            <w:r w:rsidRPr="00CA34EC">
              <w:rPr>
                <w:rFonts w:cs="Times New Roman"/>
                <w:sz w:val="22"/>
                <w:szCs w:val="22"/>
                <w:vertAlign w:val="superscript"/>
                <w:lang w:val="en-ZA"/>
              </w:rPr>
              <w:t>a</w:t>
            </w:r>
            <w:r w:rsidRPr="00CA34EC">
              <w:rPr>
                <w:rFonts w:cs="Times New Roman"/>
                <w:sz w:val="22"/>
                <w:szCs w:val="22"/>
                <w:lang w:val="en-ZA"/>
              </w:rPr>
              <w:t xml:space="preserve"> ± 0.6</w:t>
            </w:r>
          </w:p>
        </w:tc>
        <w:tc>
          <w:tcPr>
            <w:tcW w:w="2790" w:type="dxa"/>
          </w:tcPr>
          <w:p w14:paraId="2FC9F8D6"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54.7</w:t>
            </w:r>
            <w:r w:rsidRPr="00CA34EC">
              <w:rPr>
                <w:rFonts w:cs="Times New Roman"/>
                <w:sz w:val="22"/>
                <w:szCs w:val="22"/>
                <w:vertAlign w:val="superscript"/>
                <w:lang w:val="en-ZA"/>
              </w:rPr>
              <w:t>a</w:t>
            </w:r>
            <w:r w:rsidRPr="00CA34EC">
              <w:rPr>
                <w:rFonts w:cs="Times New Roman"/>
                <w:sz w:val="22"/>
                <w:szCs w:val="22"/>
                <w:lang w:val="en-ZA"/>
              </w:rPr>
              <w:t xml:space="preserve"> ± 8.6</w:t>
            </w:r>
          </w:p>
        </w:tc>
        <w:tc>
          <w:tcPr>
            <w:tcW w:w="2790" w:type="dxa"/>
          </w:tcPr>
          <w:p w14:paraId="725C0527"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62.0</w:t>
            </w:r>
            <w:r w:rsidRPr="00CA34EC">
              <w:rPr>
                <w:rFonts w:cs="Times New Roman"/>
                <w:sz w:val="22"/>
                <w:szCs w:val="22"/>
                <w:vertAlign w:val="superscript"/>
                <w:lang w:val="en-ZA"/>
              </w:rPr>
              <w:t>a</w:t>
            </w:r>
            <w:r w:rsidRPr="00CA34EC">
              <w:rPr>
                <w:rFonts w:cs="Times New Roman"/>
                <w:sz w:val="22"/>
                <w:szCs w:val="22"/>
                <w:lang w:val="en-ZA"/>
              </w:rPr>
              <w:t xml:space="preserve"> ± 9.8</w:t>
            </w:r>
          </w:p>
        </w:tc>
      </w:tr>
      <w:tr w:rsidR="00CA34EC" w:rsidRPr="00CA34EC" w14:paraId="38C6E5EC" w14:textId="77777777" w:rsidTr="007669B6">
        <w:tc>
          <w:tcPr>
            <w:tcW w:w="2789" w:type="dxa"/>
          </w:tcPr>
          <w:p w14:paraId="2FAA0DA4" w14:textId="77777777" w:rsidR="00CA34EC" w:rsidRPr="00CA34EC" w:rsidRDefault="00CA34EC" w:rsidP="00CA34EC">
            <w:pPr>
              <w:pStyle w:val="CommentText"/>
              <w:rPr>
                <w:rFonts w:cs="Times New Roman"/>
                <w:sz w:val="22"/>
                <w:szCs w:val="22"/>
                <w:lang w:val="en-ZA"/>
              </w:rPr>
            </w:pPr>
            <w:r w:rsidRPr="00CA34EC">
              <w:rPr>
                <w:rFonts w:cs="Times New Roman"/>
                <w:sz w:val="22"/>
                <w:szCs w:val="22"/>
                <w:lang w:val="en-ZA"/>
              </w:rPr>
              <w:t>Maize+carrot+mango+baobab</w:t>
            </w:r>
            <w:r w:rsidRPr="00CA34EC">
              <w:rPr>
                <w:rFonts w:cs="Times New Roman"/>
                <w:sz w:val="22"/>
                <w:szCs w:val="22"/>
                <w:vertAlign w:val="superscript"/>
                <w:lang w:val="en-ZA"/>
              </w:rPr>
              <w:t>₳</w:t>
            </w:r>
            <w:r w:rsidRPr="00CA34EC">
              <w:rPr>
                <w:rFonts w:cs="Times New Roman"/>
                <w:sz w:val="22"/>
                <w:szCs w:val="22"/>
                <w:lang w:val="en-ZA"/>
              </w:rPr>
              <w:t xml:space="preserve"> (100:15:15)</w:t>
            </w:r>
          </w:p>
        </w:tc>
        <w:tc>
          <w:tcPr>
            <w:tcW w:w="2789" w:type="dxa"/>
          </w:tcPr>
          <w:p w14:paraId="29DA29A4"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41.3</w:t>
            </w:r>
            <w:r w:rsidRPr="00CA34EC">
              <w:rPr>
                <w:rFonts w:cs="Times New Roman"/>
                <w:sz w:val="22"/>
                <w:szCs w:val="22"/>
                <w:vertAlign w:val="superscript"/>
                <w:lang w:val="en-ZA"/>
              </w:rPr>
              <w:t>a</w:t>
            </w:r>
            <w:r w:rsidRPr="00CA34EC">
              <w:rPr>
                <w:rFonts w:cs="Times New Roman"/>
                <w:sz w:val="22"/>
                <w:szCs w:val="22"/>
                <w:lang w:val="en-ZA"/>
              </w:rPr>
              <w:t xml:space="preserve"> ± 2.1 (-49%)</w:t>
            </w:r>
          </w:p>
        </w:tc>
        <w:tc>
          <w:tcPr>
            <w:tcW w:w="2790" w:type="dxa"/>
          </w:tcPr>
          <w:p w14:paraId="317C42FC"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22.9</w:t>
            </w:r>
            <w:r w:rsidRPr="00CA34EC">
              <w:rPr>
                <w:rFonts w:cs="Times New Roman"/>
                <w:sz w:val="22"/>
                <w:szCs w:val="22"/>
                <w:vertAlign w:val="superscript"/>
                <w:lang w:val="en-ZA"/>
              </w:rPr>
              <w:t>d</w:t>
            </w:r>
            <w:r w:rsidRPr="00CA34EC">
              <w:rPr>
                <w:rFonts w:cs="Times New Roman"/>
                <w:sz w:val="22"/>
                <w:szCs w:val="22"/>
                <w:lang w:val="en-ZA"/>
              </w:rPr>
              <w:t xml:space="preserve"> ± 1.2 (451%)</w:t>
            </w:r>
          </w:p>
        </w:tc>
        <w:tc>
          <w:tcPr>
            <w:tcW w:w="2790" w:type="dxa"/>
          </w:tcPr>
          <w:p w14:paraId="07227F30"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63.1</w:t>
            </w:r>
            <w:r w:rsidRPr="00CA34EC">
              <w:rPr>
                <w:rFonts w:cs="Times New Roman"/>
                <w:sz w:val="22"/>
                <w:szCs w:val="22"/>
                <w:vertAlign w:val="superscript"/>
                <w:lang w:val="en-ZA"/>
              </w:rPr>
              <w:t>b</w:t>
            </w:r>
            <w:r w:rsidRPr="00CA34EC">
              <w:rPr>
                <w:rFonts w:cs="Times New Roman"/>
                <w:sz w:val="22"/>
                <w:szCs w:val="22"/>
                <w:lang w:val="en-ZA"/>
              </w:rPr>
              <w:t xml:space="preserve"> ± 3.1 (20%)</w:t>
            </w:r>
          </w:p>
        </w:tc>
        <w:tc>
          <w:tcPr>
            <w:tcW w:w="2790" w:type="dxa"/>
          </w:tcPr>
          <w:p w14:paraId="51760C68"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76.6</w:t>
            </w:r>
            <w:r w:rsidRPr="00CA34EC">
              <w:rPr>
                <w:rFonts w:cs="Times New Roman"/>
                <w:sz w:val="22"/>
                <w:szCs w:val="22"/>
                <w:vertAlign w:val="superscript"/>
                <w:lang w:val="en-ZA"/>
              </w:rPr>
              <w:t>b</w:t>
            </w:r>
            <w:r w:rsidRPr="00CA34EC">
              <w:rPr>
                <w:rFonts w:cs="Times New Roman"/>
                <w:sz w:val="22"/>
                <w:szCs w:val="22"/>
                <w:lang w:val="en-ZA"/>
              </w:rPr>
              <w:t xml:space="preserve"> ± 3.8 (25%)</w:t>
            </w:r>
          </w:p>
        </w:tc>
      </w:tr>
      <w:tr w:rsidR="00CA34EC" w:rsidRPr="00CA34EC" w14:paraId="7BBC90FC" w14:textId="77777777" w:rsidTr="007669B6">
        <w:tc>
          <w:tcPr>
            <w:tcW w:w="2789" w:type="dxa"/>
          </w:tcPr>
          <w:p w14:paraId="416F570A" w14:textId="77777777" w:rsidR="00CA34EC" w:rsidRPr="00CA34EC" w:rsidRDefault="00CA34EC" w:rsidP="00CA34EC">
            <w:pPr>
              <w:pStyle w:val="CommentText"/>
              <w:rPr>
                <w:rFonts w:cs="Times New Roman"/>
                <w:sz w:val="22"/>
                <w:szCs w:val="22"/>
                <w:lang w:val="en-ZA"/>
              </w:rPr>
            </w:pPr>
            <w:r w:rsidRPr="00CA34EC">
              <w:rPr>
                <w:rFonts w:cs="Times New Roman"/>
                <w:sz w:val="22"/>
                <w:szCs w:val="22"/>
                <w:lang w:val="en-ZA"/>
              </w:rPr>
              <w:t>Maize+β-carotene+baobab (100:15)</w:t>
            </w:r>
          </w:p>
        </w:tc>
        <w:tc>
          <w:tcPr>
            <w:tcW w:w="2789" w:type="dxa"/>
          </w:tcPr>
          <w:p w14:paraId="676AFF56"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38.8</w:t>
            </w:r>
            <w:r w:rsidRPr="00CA34EC">
              <w:rPr>
                <w:rFonts w:cs="Times New Roman"/>
                <w:sz w:val="22"/>
                <w:szCs w:val="22"/>
                <w:vertAlign w:val="superscript"/>
                <w:lang w:val="en-ZA"/>
              </w:rPr>
              <w:t>a</w:t>
            </w:r>
            <w:r w:rsidRPr="00CA34EC">
              <w:rPr>
                <w:rFonts w:cs="Times New Roman"/>
                <w:sz w:val="22"/>
                <w:szCs w:val="22"/>
                <w:lang w:val="en-ZA"/>
              </w:rPr>
              <w:t xml:space="preserve"> ± 5.3 (-52%)</w:t>
            </w:r>
          </w:p>
        </w:tc>
        <w:tc>
          <w:tcPr>
            <w:tcW w:w="2790" w:type="dxa"/>
          </w:tcPr>
          <w:p w14:paraId="0ED264E1"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19.6</w:t>
            </w:r>
            <w:r w:rsidRPr="00CA34EC">
              <w:rPr>
                <w:rFonts w:cs="Times New Roman"/>
                <w:sz w:val="22"/>
                <w:szCs w:val="22"/>
                <w:vertAlign w:val="superscript"/>
                <w:lang w:val="en-ZA"/>
              </w:rPr>
              <w:t>c</w:t>
            </w:r>
            <w:r w:rsidRPr="00CA34EC">
              <w:rPr>
                <w:rFonts w:cs="Times New Roman"/>
                <w:sz w:val="22"/>
                <w:szCs w:val="22"/>
                <w:lang w:val="en-ZA"/>
              </w:rPr>
              <w:t xml:space="preserve"> ± 2.9 (371%)</w:t>
            </w:r>
          </w:p>
        </w:tc>
        <w:tc>
          <w:tcPr>
            <w:tcW w:w="2790" w:type="dxa"/>
          </w:tcPr>
          <w:p w14:paraId="3874CF06"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53.7</w:t>
            </w:r>
            <w:r w:rsidRPr="00CA34EC">
              <w:rPr>
                <w:rFonts w:cs="Times New Roman"/>
                <w:sz w:val="22"/>
                <w:szCs w:val="22"/>
                <w:vertAlign w:val="superscript"/>
                <w:lang w:val="en-ZA"/>
              </w:rPr>
              <w:t>a</w:t>
            </w:r>
            <w:r w:rsidRPr="00CA34EC">
              <w:rPr>
                <w:rFonts w:cs="Times New Roman"/>
                <w:sz w:val="22"/>
                <w:szCs w:val="22"/>
                <w:lang w:val="en-ZA"/>
              </w:rPr>
              <w:t xml:space="preserve"> ± 7.2</w:t>
            </w:r>
          </w:p>
        </w:tc>
        <w:tc>
          <w:tcPr>
            <w:tcW w:w="2790" w:type="dxa"/>
          </w:tcPr>
          <w:p w14:paraId="7436F75D"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68.7</w:t>
            </w:r>
            <w:r w:rsidRPr="00CA34EC">
              <w:rPr>
                <w:rFonts w:cs="Times New Roman"/>
                <w:sz w:val="22"/>
                <w:szCs w:val="22"/>
                <w:vertAlign w:val="superscript"/>
                <w:lang w:val="en-ZA"/>
              </w:rPr>
              <w:t>ab</w:t>
            </w:r>
            <w:r w:rsidRPr="00CA34EC">
              <w:rPr>
                <w:rFonts w:cs="Times New Roman"/>
                <w:sz w:val="22"/>
                <w:szCs w:val="22"/>
                <w:lang w:val="en-ZA"/>
              </w:rPr>
              <w:t xml:space="preserve"> ± 9.2 (12%)</w:t>
            </w:r>
          </w:p>
        </w:tc>
      </w:tr>
    </w:tbl>
    <w:p w14:paraId="0C130A76" w14:textId="29FE7C9C" w:rsidR="00CA34EC" w:rsidRDefault="00CA34EC" w:rsidP="00CA34EC">
      <w:pPr>
        <w:spacing w:before="240" w:after="0" w:line="240" w:lineRule="auto"/>
        <w:rPr>
          <w:rFonts w:cs="Times New Roman"/>
          <w:sz w:val="20"/>
          <w:szCs w:val="20"/>
        </w:rPr>
      </w:pPr>
      <w:r w:rsidRPr="00A967D7">
        <w:rPr>
          <w:rFonts w:cs="Times New Roman"/>
          <w:sz w:val="20"/>
          <w:szCs w:val="20"/>
        </w:rPr>
        <w:t xml:space="preserve">Values are the mean ± 1 SD of </w:t>
      </w:r>
      <w:r>
        <w:rPr>
          <w:rFonts w:cs="Times New Roman"/>
          <w:sz w:val="20"/>
          <w:szCs w:val="20"/>
        </w:rPr>
        <w:t>two</w:t>
      </w:r>
      <w:r w:rsidRPr="00A967D7">
        <w:rPr>
          <w:rFonts w:cs="Times New Roman"/>
          <w:sz w:val="20"/>
          <w:szCs w:val="20"/>
        </w:rPr>
        <w:t xml:space="preserve"> independent samples analysed in </w:t>
      </w:r>
      <w:r w:rsidR="001449B5">
        <w:rPr>
          <w:rFonts w:cs="Times New Roman"/>
          <w:sz w:val="20"/>
          <w:szCs w:val="20"/>
        </w:rPr>
        <w:t>triplicate</w:t>
      </w:r>
      <w:r w:rsidRPr="00A967D7">
        <w:rPr>
          <w:rFonts w:cs="Times New Roman"/>
          <w:sz w:val="20"/>
          <w:szCs w:val="20"/>
        </w:rPr>
        <w:t xml:space="preserve"> (n=</w:t>
      </w:r>
      <w:r w:rsidR="001449B5">
        <w:rPr>
          <w:rFonts w:cs="Times New Roman"/>
          <w:sz w:val="20"/>
          <w:szCs w:val="20"/>
        </w:rPr>
        <w:t>6</w:t>
      </w:r>
      <w:r w:rsidRPr="00A967D7">
        <w:rPr>
          <w:rFonts w:cs="Times New Roman"/>
          <w:sz w:val="20"/>
          <w:szCs w:val="20"/>
        </w:rPr>
        <w:t>)</w:t>
      </w:r>
      <w:r>
        <w:rPr>
          <w:rFonts w:cs="Times New Roman"/>
          <w:sz w:val="20"/>
          <w:szCs w:val="20"/>
        </w:rPr>
        <w:t xml:space="preserve">, </w:t>
      </w:r>
      <w:r w:rsidRPr="00A967D7">
        <w:rPr>
          <w:rFonts w:cs="Times New Roman"/>
          <w:sz w:val="20"/>
          <w:szCs w:val="20"/>
        </w:rPr>
        <w:t>Means with different superscripts letters in a column differ significantly (</w:t>
      </w:r>
      <w:r w:rsidRPr="00B274A2">
        <w:rPr>
          <w:rFonts w:cs="Times New Roman"/>
          <w:i/>
          <w:iCs/>
          <w:sz w:val="20"/>
          <w:szCs w:val="20"/>
        </w:rPr>
        <w:t>p</w:t>
      </w:r>
      <w:r w:rsidR="00B274A2">
        <w:rPr>
          <w:rFonts w:cs="Times New Roman"/>
          <w:i/>
          <w:iCs/>
          <w:sz w:val="20"/>
          <w:szCs w:val="20"/>
        </w:rPr>
        <w:t>&lt;</w:t>
      </w:r>
      <w:r w:rsidRPr="00A967D7">
        <w:rPr>
          <w:rFonts w:cs="Times New Roman"/>
          <w:sz w:val="20"/>
          <w:szCs w:val="20"/>
        </w:rPr>
        <w:t>0.05)</w:t>
      </w:r>
      <w:r>
        <w:rPr>
          <w:rFonts w:cs="Times New Roman"/>
          <w:sz w:val="20"/>
          <w:szCs w:val="20"/>
        </w:rPr>
        <w:t xml:space="preserve"> </w:t>
      </w:r>
    </w:p>
    <w:p w14:paraId="51850E88" w14:textId="072183A5" w:rsidR="00CA34EC" w:rsidRDefault="00CA34EC" w:rsidP="00CA34EC">
      <w:pPr>
        <w:spacing w:after="0" w:line="240" w:lineRule="auto"/>
        <w:rPr>
          <w:rFonts w:cs="Times New Roman"/>
          <w:sz w:val="20"/>
          <w:szCs w:val="20"/>
        </w:rPr>
      </w:pPr>
      <w:r w:rsidRPr="007644F6">
        <w:rPr>
          <w:rFonts w:cs="Times New Roman"/>
          <w:sz w:val="20"/>
          <w:szCs w:val="20"/>
          <w:vertAlign w:val="superscript"/>
        </w:rPr>
        <w:t>£</w:t>
      </w:r>
      <w:r w:rsidRPr="00A967D7">
        <w:rPr>
          <w:rFonts w:cs="Times New Roman"/>
          <w:sz w:val="20"/>
          <w:szCs w:val="20"/>
        </w:rPr>
        <w:t xml:space="preserve">Percentage </w:t>
      </w:r>
      <w:r>
        <w:rPr>
          <w:rFonts w:cs="Times New Roman"/>
          <w:sz w:val="20"/>
          <w:szCs w:val="20"/>
        </w:rPr>
        <w:t>values</w:t>
      </w:r>
      <w:r w:rsidRPr="00A967D7">
        <w:rPr>
          <w:rFonts w:cs="Times New Roman"/>
          <w:sz w:val="20"/>
          <w:szCs w:val="20"/>
        </w:rPr>
        <w:t xml:space="preserve"> in bracket</w:t>
      </w:r>
      <w:r>
        <w:rPr>
          <w:rFonts w:cs="Times New Roman"/>
          <w:sz w:val="20"/>
          <w:szCs w:val="20"/>
        </w:rPr>
        <w:t>s</w:t>
      </w:r>
      <w:r w:rsidRPr="00A967D7">
        <w:rPr>
          <w:rFonts w:cs="Times New Roman"/>
          <w:sz w:val="20"/>
          <w:szCs w:val="20"/>
        </w:rPr>
        <w:t xml:space="preserve"> </w:t>
      </w:r>
      <w:r>
        <w:rPr>
          <w:rFonts w:cs="Times New Roman"/>
          <w:sz w:val="20"/>
          <w:szCs w:val="20"/>
        </w:rPr>
        <w:t>are</w:t>
      </w:r>
      <w:r w:rsidRPr="00A967D7">
        <w:rPr>
          <w:rFonts w:cs="Times New Roman"/>
          <w:sz w:val="20"/>
          <w:szCs w:val="20"/>
        </w:rPr>
        <w:t xml:space="preserve"> significantly different to </w:t>
      </w:r>
      <w:r>
        <w:rPr>
          <w:rFonts w:cs="Times New Roman"/>
          <w:sz w:val="20"/>
          <w:szCs w:val="20"/>
        </w:rPr>
        <w:t xml:space="preserve">the control </w:t>
      </w:r>
      <w:r w:rsidRPr="00A967D7">
        <w:rPr>
          <w:rFonts w:cs="Times New Roman"/>
          <w:sz w:val="20"/>
          <w:szCs w:val="20"/>
        </w:rPr>
        <w:t xml:space="preserve">maize porridge </w:t>
      </w:r>
      <w:r>
        <w:rPr>
          <w:rFonts w:cs="Times New Roman"/>
          <w:sz w:val="20"/>
          <w:szCs w:val="20"/>
        </w:rPr>
        <w:t xml:space="preserve">by pairwise comparison </w:t>
      </w:r>
      <w:r w:rsidRPr="00A967D7">
        <w:rPr>
          <w:rFonts w:cs="Times New Roman"/>
          <w:sz w:val="20"/>
          <w:szCs w:val="20"/>
        </w:rPr>
        <w:t>(</w:t>
      </w:r>
      <w:r w:rsidRPr="004E47CA">
        <w:rPr>
          <w:rFonts w:cs="Times New Roman"/>
          <w:i/>
          <w:iCs/>
          <w:sz w:val="20"/>
          <w:szCs w:val="20"/>
        </w:rPr>
        <w:t>p</w:t>
      </w:r>
      <w:r w:rsidR="00B274A2">
        <w:rPr>
          <w:rFonts w:cs="Times New Roman"/>
          <w:sz w:val="20"/>
          <w:szCs w:val="20"/>
        </w:rPr>
        <w:t>&lt;</w:t>
      </w:r>
      <w:r w:rsidRPr="00A967D7">
        <w:rPr>
          <w:rFonts w:cs="Times New Roman"/>
          <w:sz w:val="20"/>
          <w:szCs w:val="20"/>
        </w:rPr>
        <w:t>0.05)</w:t>
      </w:r>
    </w:p>
    <w:p w14:paraId="788B640D" w14:textId="77777777" w:rsidR="00CA34EC" w:rsidRDefault="00CA34EC" w:rsidP="00CA34EC">
      <w:pPr>
        <w:pStyle w:val="CommentText"/>
        <w:spacing w:after="0"/>
        <w:rPr>
          <w:rFonts w:cs="Times New Roman"/>
        </w:rPr>
      </w:pPr>
      <w:r w:rsidRPr="00893BA5">
        <w:rPr>
          <w:rFonts w:cs="Times New Roman"/>
          <w:vertAlign w:val="superscript"/>
        </w:rPr>
        <w:t>∞</w:t>
      </w:r>
      <w:r w:rsidRPr="002A5730">
        <w:rPr>
          <w:rFonts w:cs="Times New Roman"/>
        </w:rPr>
        <w:t>Carrot</w:t>
      </w:r>
      <w:r>
        <w:rPr>
          <w:rFonts w:cs="Times New Roman"/>
        </w:rPr>
        <w:t xml:space="preserve"> and mango powders from Sunspray, </w:t>
      </w:r>
      <w:r w:rsidRPr="00893BA5">
        <w:rPr>
          <w:rFonts w:cs="Times New Roman"/>
          <w:vertAlign w:val="superscript"/>
          <w:lang w:val="en-ZA"/>
        </w:rPr>
        <w:t>₳</w:t>
      </w:r>
      <w:r>
        <w:rPr>
          <w:rFonts w:cs="Times New Roman"/>
        </w:rPr>
        <w:t>Baobab fruit pulp from Nautica Organics</w:t>
      </w:r>
    </w:p>
    <w:p w14:paraId="168A2F1A" w14:textId="77777777" w:rsidR="00CA34EC" w:rsidRDefault="00CA34EC" w:rsidP="00CA34EC">
      <w:pPr>
        <w:spacing w:after="0"/>
        <w:rPr>
          <w:rFonts w:cs="Times New Roman"/>
          <w:szCs w:val="24"/>
        </w:rPr>
      </w:pPr>
      <w:r w:rsidRPr="007A657C">
        <w:rPr>
          <w:rFonts w:cs="Times New Roman"/>
          <w:sz w:val="20"/>
          <w:szCs w:val="20"/>
          <w:vertAlign w:val="superscript"/>
        </w:rPr>
        <w:t>1</w:t>
      </w:r>
      <w:r>
        <w:rPr>
          <w:rFonts w:cs="Times New Roman"/>
          <w:sz w:val="20"/>
          <w:szCs w:val="20"/>
        </w:rPr>
        <w:t xml:space="preserve">Carrot and mango powders were in ratio 1:1, </w:t>
      </w:r>
      <w:r w:rsidRPr="007A657C">
        <w:rPr>
          <w:rFonts w:cs="Times New Roman"/>
          <w:sz w:val="20"/>
          <w:szCs w:val="20"/>
          <w:vertAlign w:val="superscript"/>
        </w:rPr>
        <w:t>2</w:t>
      </w:r>
      <w:r>
        <w:rPr>
          <w:rFonts w:cs="Times New Roman"/>
          <w:sz w:val="20"/>
          <w:szCs w:val="20"/>
          <w:lang w:val="en-ZA"/>
        </w:rPr>
        <w:t xml:space="preserve">Content of </w:t>
      </w:r>
      <w:r w:rsidRPr="00FA0738">
        <w:rPr>
          <w:rFonts w:cs="Times New Roman"/>
          <w:sz w:val="20"/>
          <w:szCs w:val="20"/>
          <w:lang w:val="en-ZA"/>
        </w:rPr>
        <w:t>β-</w:t>
      </w:r>
      <w:r>
        <w:rPr>
          <w:rFonts w:cs="Times New Roman"/>
          <w:sz w:val="20"/>
          <w:szCs w:val="20"/>
          <w:lang w:val="en-ZA"/>
        </w:rPr>
        <w:t>carotene was similar to the levels in carrot+mango</w:t>
      </w:r>
    </w:p>
    <w:p w14:paraId="4E3DACF8" w14:textId="77777777" w:rsidR="00CA34EC" w:rsidRPr="00C37FE4" w:rsidRDefault="00CA34EC" w:rsidP="00CA34EC">
      <w:pPr>
        <w:spacing w:before="240" w:after="0"/>
        <w:rPr>
          <w:rFonts w:cs="Times New Roman"/>
          <w:szCs w:val="24"/>
        </w:rPr>
      </w:pPr>
    </w:p>
    <w:p w14:paraId="2F218C99" w14:textId="77777777" w:rsidR="00CA34EC" w:rsidRDefault="00CA34EC" w:rsidP="00CA34EC">
      <w:pPr>
        <w:spacing w:after="0"/>
        <w:rPr>
          <w:rFonts w:cs="Times New Roman"/>
          <w:i/>
          <w:iCs/>
          <w:szCs w:val="24"/>
        </w:rPr>
      </w:pPr>
    </w:p>
    <w:p w14:paraId="351B8FA4" w14:textId="77777777" w:rsidR="00CA34EC" w:rsidRDefault="00CA34EC" w:rsidP="00CA34EC">
      <w:pPr>
        <w:spacing w:after="0"/>
        <w:rPr>
          <w:rFonts w:cs="Times New Roman"/>
          <w:i/>
          <w:iCs/>
          <w:szCs w:val="24"/>
        </w:rPr>
      </w:pPr>
    </w:p>
    <w:p w14:paraId="7D625A0B" w14:textId="77777777" w:rsidR="00CA34EC" w:rsidRDefault="00CA34EC" w:rsidP="00CA34EC">
      <w:pPr>
        <w:spacing w:after="0"/>
        <w:rPr>
          <w:rFonts w:cs="Times New Roman"/>
          <w:i/>
          <w:iCs/>
          <w:szCs w:val="24"/>
        </w:rPr>
      </w:pPr>
    </w:p>
    <w:p w14:paraId="41256589" w14:textId="77777777" w:rsidR="00CA34EC" w:rsidRDefault="00CA34EC" w:rsidP="00CA34EC">
      <w:pPr>
        <w:spacing w:after="0"/>
        <w:rPr>
          <w:rFonts w:cs="Times New Roman"/>
          <w:i/>
          <w:iCs/>
          <w:szCs w:val="24"/>
        </w:rPr>
      </w:pPr>
    </w:p>
    <w:p w14:paraId="56E490B5" w14:textId="77777777" w:rsidR="006A6E94" w:rsidRDefault="006A6E94" w:rsidP="0063116E">
      <w:pPr>
        <w:pStyle w:val="MyTables"/>
        <w:rPr>
          <w:b/>
          <w:bCs/>
          <w:lang w:val="en-ZA"/>
        </w:rPr>
      </w:pPr>
    </w:p>
    <w:p w14:paraId="52B51741" w14:textId="2F9DE19A" w:rsidR="00CA34EC" w:rsidRDefault="00CA34EC" w:rsidP="006A6E94">
      <w:pPr>
        <w:pStyle w:val="MyTables"/>
        <w:spacing w:line="240" w:lineRule="auto"/>
        <w:rPr>
          <w:lang w:val="en-ZA"/>
        </w:rPr>
      </w:pPr>
      <w:bookmarkStart w:id="154" w:name="_Toc65253645"/>
      <w:r w:rsidRPr="006A6640">
        <w:rPr>
          <w:b/>
          <w:bCs/>
          <w:lang w:val="en-ZA"/>
        </w:rPr>
        <w:t xml:space="preserve">Table </w:t>
      </w:r>
      <w:r w:rsidR="006A6640" w:rsidRPr="006A6640">
        <w:rPr>
          <w:b/>
          <w:bCs/>
          <w:lang w:val="en-ZA"/>
        </w:rPr>
        <w:t>4.3.</w:t>
      </w:r>
      <w:r w:rsidRPr="006A6640">
        <w:rPr>
          <w:b/>
          <w:bCs/>
          <w:lang w:val="en-ZA"/>
        </w:rPr>
        <w:t>7:</w:t>
      </w:r>
      <w:r>
        <w:rPr>
          <w:lang w:val="en-ZA"/>
        </w:rPr>
        <w:t xml:space="preserve"> Effects of </w:t>
      </w:r>
      <w:r>
        <w:t>food-to-food fortification with various combinations of carrot, mango, papaya, moringa leaf, baobab fruit pulp and hibiscus calyx powders</w:t>
      </w:r>
      <w:r>
        <w:rPr>
          <w:lang w:val="en-ZA"/>
        </w:rPr>
        <w:t xml:space="preserve"> on</w:t>
      </w:r>
      <w:r w:rsidRPr="00127D6A">
        <w:t xml:space="preserve"> </w:t>
      </w:r>
      <w:r>
        <w:t xml:space="preserve">calcium and magnesium bioaccessibilities </w:t>
      </w:r>
      <w:r w:rsidRPr="00127D6A">
        <w:t xml:space="preserve">in ready-to-eat </w:t>
      </w:r>
      <w:r>
        <w:t>(extrusion cooked) pearl millet-based porridges</w:t>
      </w:r>
      <w:bookmarkEnd w:id="154"/>
    </w:p>
    <w:tbl>
      <w:tblPr>
        <w:tblW w:w="0" w:type="auto"/>
        <w:tblBorders>
          <w:top w:val="single" w:sz="4" w:space="0" w:color="auto"/>
          <w:bottom w:val="single" w:sz="4" w:space="0" w:color="auto"/>
        </w:tblBorders>
        <w:tblLook w:val="04A0" w:firstRow="1" w:lastRow="0" w:firstColumn="1" w:lastColumn="0" w:noHBand="0" w:noVBand="1"/>
      </w:tblPr>
      <w:tblGrid>
        <w:gridCol w:w="2972"/>
        <w:gridCol w:w="2606"/>
        <w:gridCol w:w="2790"/>
        <w:gridCol w:w="2790"/>
        <w:gridCol w:w="2790"/>
      </w:tblGrid>
      <w:tr w:rsidR="00CA34EC" w:rsidRPr="00CA34EC" w14:paraId="28B3230F" w14:textId="77777777" w:rsidTr="007669B6">
        <w:tc>
          <w:tcPr>
            <w:tcW w:w="2972" w:type="dxa"/>
            <w:tcBorders>
              <w:top w:val="single" w:sz="4" w:space="0" w:color="auto"/>
              <w:bottom w:val="single" w:sz="4" w:space="0" w:color="auto"/>
            </w:tcBorders>
          </w:tcPr>
          <w:p w14:paraId="0849F454" w14:textId="77777777" w:rsidR="00CA34EC" w:rsidRPr="00CA34EC" w:rsidRDefault="00CA34EC" w:rsidP="00843E4B">
            <w:pPr>
              <w:pStyle w:val="CommentText"/>
              <w:jc w:val="left"/>
              <w:rPr>
                <w:rFonts w:cs="Times New Roman"/>
                <w:sz w:val="22"/>
                <w:szCs w:val="22"/>
                <w:lang w:val="en-ZA"/>
              </w:rPr>
            </w:pPr>
            <w:r w:rsidRPr="00CA34EC">
              <w:rPr>
                <w:rFonts w:cs="Times New Roman"/>
                <w:b/>
                <w:sz w:val="22"/>
                <w:szCs w:val="22"/>
              </w:rPr>
              <w:t xml:space="preserve">Porridge formulations </w:t>
            </w:r>
          </w:p>
        </w:tc>
        <w:tc>
          <w:tcPr>
            <w:tcW w:w="2606" w:type="dxa"/>
            <w:tcBorders>
              <w:top w:val="single" w:sz="4" w:space="0" w:color="auto"/>
              <w:bottom w:val="single" w:sz="4" w:space="0" w:color="auto"/>
            </w:tcBorders>
          </w:tcPr>
          <w:p w14:paraId="182EFA95" w14:textId="77777777" w:rsidR="00CA34EC" w:rsidRPr="00CA34EC" w:rsidRDefault="00CA34EC" w:rsidP="00CA34EC">
            <w:pPr>
              <w:pStyle w:val="CommentText"/>
              <w:jc w:val="center"/>
              <w:rPr>
                <w:rFonts w:cs="Times New Roman"/>
                <w:sz w:val="22"/>
                <w:szCs w:val="22"/>
                <w:lang w:val="en-ZA"/>
              </w:rPr>
            </w:pPr>
            <w:r w:rsidRPr="00CA34EC">
              <w:rPr>
                <w:rFonts w:cs="Times New Roman"/>
                <w:b/>
                <w:sz w:val="22"/>
                <w:szCs w:val="22"/>
              </w:rPr>
              <w:t>Percentage bioaccessible calcium</w:t>
            </w:r>
          </w:p>
        </w:tc>
        <w:tc>
          <w:tcPr>
            <w:tcW w:w="2790" w:type="dxa"/>
            <w:tcBorders>
              <w:top w:val="single" w:sz="4" w:space="0" w:color="auto"/>
              <w:bottom w:val="single" w:sz="4" w:space="0" w:color="auto"/>
            </w:tcBorders>
          </w:tcPr>
          <w:p w14:paraId="5D4FE538" w14:textId="77777777" w:rsidR="00CA34EC" w:rsidRPr="00CA34EC" w:rsidRDefault="00CA34EC" w:rsidP="00CA34EC">
            <w:pPr>
              <w:pStyle w:val="CommentText"/>
              <w:jc w:val="center"/>
              <w:rPr>
                <w:rFonts w:cs="Times New Roman"/>
                <w:sz w:val="22"/>
                <w:szCs w:val="22"/>
                <w:lang w:val="en-ZA"/>
              </w:rPr>
            </w:pPr>
            <w:r w:rsidRPr="00CA34EC">
              <w:rPr>
                <w:rFonts w:cs="Times New Roman"/>
                <w:b/>
                <w:sz w:val="22"/>
                <w:szCs w:val="22"/>
              </w:rPr>
              <w:t>Amount of bioaccessible calcium (mg/100 g dry basis)</w:t>
            </w:r>
          </w:p>
        </w:tc>
        <w:tc>
          <w:tcPr>
            <w:tcW w:w="2790" w:type="dxa"/>
            <w:tcBorders>
              <w:top w:val="single" w:sz="4" w:space="0" w:color="auto"/>
              <w:bottom w:val="single" w:sz="4" w:space="0" w:color="auto"/>
            </w:tcBorders>
          </w:tcPr>
          <w:p w14:paraId="5D196CEF" w14:textId="77777777" w:rsidR="00CA34EC" w:rsidRPr="00CA34EC" w:rsidRDefault="00CA34EC" w:rsidP="00CA34EC">
            <w:pPr>
              <w:pStyle w:val="CommentText"/>
              <w:jc w:val="center"/>
              <w:rPr>
                <w:rFonts w:cs="Times New Roman"/>
                <w:sz w:val="22"/>
                <w:szCs w:val="22"/>
                <w:lang w:val="en-ZA"/>
              </w:rPr>
            </w:pPr>
            <w:r w:rsidRPr="00CA34EC">
              <w:rPr>
                <w:rFonts w:cs="Times New Roman"/>
                <w:b/>
                <w:sz w:val="22"/>
                <w:szCs w:val="22"/>
              </w:rPr>
              <w:t>Percentage bioaccessible magnesium</w:t>
            </w:r>
          </w:p>
        </w:tc>
        <w:tc>
          <w:tcPr>
            <w:tcW w:w="2790" w:type="dxa"/>
            <w:tcBorders>
              <w:top w:val="single" w:sz="4" w:space="0" w:color="auto"/>
              <w:bottom w:val="single" w:sz="4" w:space="0" w:color="auto"/>
            </w:tcBorders>
          </w:tcPr>
          <w:p w14:paraId="3374F3A0" w14:textId="77777777" w:rsidR="00CA34EC" w:rsidRPr="00CA34EC" w:rsidRDefault="00CA34EC" w:rsidP="00CA34EC">
            <w:pPr>
              <w:pStyle w:val="CommentText"/>
              <w:jc w:val="center"/>
              <w:rPr>
                <w:rFonts w:cs="Times New Roman"/>
                <w:sz w:val="22"/>
                <w:szCs w:val="22"/>
                <w:lang w:val="en-ZA"/>
              </w:rPr>
            </w:pPr>
            <w:r w:rsidRPr="00CA34EC">
              <w:rPr>
                <w:rFonts w:cs="Times New Roman"/>
                <w:b/>
                <w:sz w:val="22"/>
                <w:szCs w:val="22"/>
              </w:rPr>
              <w:t>Amount of bioaccessible magnesium (mg/100 g dry basis)</w:t>
            </w:r>
          </w:p>
        </w:tc>
      </w:tr>
      <w:tr w:rsidR="00CA34EC" w:rsidRPr="00CA34EC" w14:paraId="5FE02524" w14:textId="77777777" w:rsidTr="007669B6">
        <w:tc>
          <w:tcPr>
            <w:tcW w:w="2972" w:type="dxa"/>
            <w:tcBorders>
              <w:top w:val="single" w:sz="4" w:space="0" w:color="auto"/>
            </w:tcBorders>
          </w:tcPr>
          <w:p w14:paraId="7B54B96F" w14:textId="77777777" w:rsidR="00CA34EC" w:rsidRPr="00CA34EC" w:rsidRDefault="00CA34EC" w:rsidP="00843E4B">
            <w:pPr>
              <w:pStyle w:val="CommentText"/>
              <w:jc w:val="left"/>
              <w:rPr>
                <w:rFonts w:cs="Times New Roman"/>
                <w:sz w:val="22"/>
                <w:szCs w:val="22"/>
                <w:lang w:val="en-ZA"/>
              </w:rPr>
            </w:pPr>
            <w:r w:rsidRPr="00CA34EC">
              <w:rPr>
                <w:rFonts w:cs="Times New Roman"/>
                <w:sz w:val="22"/>
                <w:szCs w:val="22"/>
                <w:lang w:val="en-ZA"/>
              </w:rPr>
              <w:t>Pearl millet grain (control)</w:t>
            </w:r>
            <w:r w:rsidRPr="00CA34EC">
              <w:rPr>
                <w:rFonts w:cs="Times New Roman"/>
                <w:sz w:val="22"/>
                <w:szCs w:val="22"/>
                <w:vertAlign w:val="superscript"/>
                <w:lang w:val="en-ZA"/>
              </w:rPr>
              <w:t>1</w:t>
            </w:r>
          </w:p>
        </w:tc>
        <w:tc>
          <w:tcPr>
            <w:tcW w:w="2606" w:type="dxa"/>
            <w:tcBorders>
              <w:top w:val="single" w:sz="4" w:space="0" w:color="auto"/>
            </w:tcBorders>
          </w:tcPr>
          <w:p w14:paraId="7C5ABFFF"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21.2</w:t>
            </w:r>
            <w:r w:rsidRPr="00CA34EC">
              <w:rPr>
                <w:rFonts w:cs="Times New Roman"/>
                <w:sz w:val="22"/>
                <w:szCs w:val="22"/>
                <w:vertAlign w:val="superscript"/>
                <w:lang w:val="en-ZA"/>
              </w:rPr>
              <w:t>ab</w:t>
            </w:r>
            <w:r w:rsidRPr="00CA34EC">
              <w:rPr>
                <w:rFonts w:cs="Times New Roman"/>
                <w:sz w:val="22"/>
                <w:szCs w:val="22"/>
                <w:lang w:val="en-ZA"/>
              </w:rPr>
              <w:t xml:space="preserve"> ± 3.3</w:t>
            </w:r>
          </w:p>
        </w:tc>
        <w:tc>
          <w:tcPr>
            <w:tcW w:w="2790" w:type="dxa"/>
            <w:tcBorders>
              <w:top w:val="single" w:sz="4" w:space="0" w:color="auto"/>
            </w:tcBorders>
          </w:tcPr>
          <w:p w14:paraId="40849066"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3.40</w:t>
            </w:r>
            <w:r w:rsidRPr="00CA34EC">
              <w:rPr>
                <w:rFonts w:cs="Times New Roman"/>
                <w:sz w:val="22"/>
                <w:szCs w:val="22"/>
                <w:vertAlign w:val="superscript"/>
                <w:lang w:val="en-ZA"/>
              </w:rPr>
              <w:t>a</w:t>
            </w:r>
            <w:r w:rsidRPr="00CA34EC">
              <w:rPr>
                <w:rFonts w:cs="Times New Roman"/>
                <w:sz w:val="22"/>
                <w:szCs w:val="22"/>
                <w:lang w:val="en-ZA"/>
              </w:rPr>
              <w:t xml:space="preserve"> ± 0.53</w:t>
            </w:r>
          </w:p>
        </w:tc>
        <w:tc>
          <w:tcPr>
            <w:tcW w:w="2790" w:type="dxa"/>
            <w:tcBorders>
              <w:top w:val="single" w:sz="4" w:space="0" w:color="auto"/>
            </w:tcBorders>
          </w:tcPr>
          <w:p w14:paraId="38A46F26"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46.6</w:t>
            </w:r>
            <w:r w:rsidRPr="00CA34EC">
              <w:rPr>
                <w:rFonts w:cs="Times New Roman"/>
                <w:sz w:val="22"/>
                <w:szCs w:val="22"/>
                <w:vertAlign w:val="superscript"/>
                <w:lang w:val="en-ZA"/>
              </w:rPr>
              <w:t>a</w:t>
            </w:r>
            <w:r w:rsidRPr="00CA34EC">
              <w:rPr>
                <w:rFonts w:cs="Times New Roman"/>
                <w:sz w:val="22"/>
                <w:szCs w:val="22"/>
                <w:lang w:val="en-ZA"/>
              </w:rPr>
              <w:t xml:space="preserve"> ± 2.8</w:t>
            </w:r>
          </w:p>
        </w:tc>
        <w:tc>
          <w:tcPr>
            <w:tcW w:w="2790" w:type="dxa"/>
            <w:tcBorders>
              <w:top w:val="single" w:sz="4" w:space="0" w:color="auto"/>
            </w:tcBorders>
          </w:tcPr>
          <w:p w14:paraId="1748D355"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49.38</w:t>
            </w:r>
            <w:r w:rsidRPr="00CA34EC">
              <w:rPr>
                <w:rFonts w:cs="Times New Roman"/>
                <w:sz w:val="22"/>
                <w:szCs w:val="22"/>
                <w:vertAlign w:val="superscript"/>
                <w:lang w:val="en-ZA"/>
              </w:rPr>
              <w:t>a</w:t>
            </w:r>
            <w:r w:rsidRPr="00CA34EC">
              <w:rPr>
                <w:rFonts w:cs="Times New Roman"/>
                <w:sz w:val="22"/>
                <w:szCs w:val="22"/>
                <w:lang w:val="en-ZA"/>
              </w:rPr>
              <w:t xml:space="preserve"> ± 2.92</w:t>
            </w:r>
          </w:p>
        </w:tc>
      </w:tr>
      <w:tr w:rsidR="00CA34EC" w:rsidRPr="00CA34EC" w14:paraId="38E05CB4" w14:textId="77777777" w:rsidTr="007669B6">
        <w:tc>
          <w:tcPr>
            <w:tcW w:w="2972" w:type="dxa"/>
          </w:tcPr>
          <w:p w14:paraId="34FDB7EF" w14:textId="19EF9853" w:rsidR="00CA34EC" w:rsidRPr="00CA34EC" w:rsidRDefault="00CA34EC" w:rsidP="00843E4B">
            <w:pPr>
              <w:pStyle w:val="CommentText"/>
              <w:jc w:val="left"/>
              <w:rPr>
                <w:rFonts w:cs="Times New Roman"/>
                <w:sz w:val="22"/>
                <w:szCs w:val="22"/>
                <w:lang w:val="en-ZA"/>
              </w:rPr>
            </w:pPr>
            <w:r w:rsidRPr="00CA34EC">
              <w:rPr>
                <w:rFonts w:cs="Times New Roman"/>
                <w:sz w:val="22"/>
                <w:szCs w:val="22"/>
                <w:lang w:val="en-ZA"/>
              </w:rPr>
              <w:t>Pearl millet+carrot+mango</w:t>
            </w:r>
            <w:r w:rsidRPr="00CA34EC">
              <w:rPr>
                <w:rFonts w:cs="Times New Roman"/>
                <w:sz w:val="22"/>
                <w:szCs w:val="22"/>
                <w:vertAlign w:val="superscript"/>
                <w:lang w:val="en-ZA"/>
              </w:rPr>
              <w:t>^</w:t>
            </w:r>
            <w:r w:rsidRPr="00CA34EC">
              <w:rPr>
                <w:rFonts w:cs="Times New Roman"/>
                <w:sz w:val="22"/>
                <w:szCs w:val="22"/>
                <w:lang w:val="en-ZA"/>
              </w:rPr>
              <w:t>+ baobab</w:t>
            </w:r>
            <w:r w:rsidRPr="00CA34EC">
              <w:rPr>
                <w:rFonts w:cs="Times New Roman"/>
                <w:sz w:val="22"/>
                <w:szCs w:val="22"/>
                <w:vertAlign w:val="superscript"/>
                <w:lang w:val="en-ZA"/>
              </w:rPr>
              <w:t>*</w:t>
            </w:r>
            <w:r w:rsidRPr="00CA34EC">
              <w:rPr>
                <w:rFonts w:cs="Times New Roman"/>
                <w:sz w:val="22"/>
                <w:szCs w:val="22"/>
                <w:lang w:val="en-ZA"/>
              </w:rPr>
              <w:t>+moringa</w:t>
            </w:r>
          </w:p>
        </w:tc>
        <w:tc>
          <w:tcPr>
            <w:tcW w:w="2606" w:type="dxa"/>
          </w:tcPr>
          <w:p w14:paraId="04862E36"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 xml:space="preserve"> 20.2</w:t>
            </w:r>
            <w:r w:rsidRPr="00CA34EC">
              <w:rPr>
                <w:rFonts w:cs="Times New Roman"/>
                <w:sz w:val="22"/>
                <w:szCs w:val="22"/>
                <w:vertAlign w:val="superscript"/>
                <w:lang w:val="en-ZA"/>
              </w:rPr>
              <w:t>a</w:t>
            </w:r>
            <w:r w:rsidRPr="00CA34EC">
              <w:rPr>
                <w:rFonts w:cs="Times New Roman"/>
                <w:sz w:val="22"/>
                <w:szCs w:val="22"/>
                <w:lang w:val="en-ZA"/>
              </w:rPr>
              <w:t xml:space="preserve"> ± 1.4</w:t>
            </w:r>
          </w:p>
        </w:tc>
        <w:tc>
          <w:tcPr>
            <w:tcW w:w="2790" w:type="dxa"/>
          </w:tcPr>
          <w:p w14:paraId="2AA76DB0"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31.92</w:t>
            </w:r>
            <w:r w:rsidRPr="00CA34EC">
              <w:rPr>
                <w:rFonts w:cs="Times New Roman"/>
                <w:sz w:val="22"/>
                <w:szCs w:val="22"/>
                <w:vertAlign w:val="superscript"/>
                <w:lang w:val="en-ZA"/>
              </w:rPr>
              <w:t>d</w:t>
            </w:r>
            <w:r w:rsidRPr="00CA34EC">
              <w:rPr>
                <w:rFonts w:cs="Times New Roman"/>
                <w:sz w:val="22"/>
                <w:szCs w:val="22"/>
                <w:lang w:val="en-ZA"/>
              </w:rPr>
              <w:t xml:space="preserve"> ± 2.2 (839%)</w:t>
            </w:r>
          </w:p>
        </w:tc>
        <w:tc>
          <w:tcPr>
            <w:tcW w:w="2790" w:type="dxa"/>
          </w:tcPr>
          <w:p w14:paraId="7427C8E2"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56.3</w:t>
            </w:r>
            <w:r w:rsidRPr="00CA34EC">
              <w:rPr>
                <w:rFonts w:cs="Times New Roman"/>
                <w:sz w:val="22"/>
                <w:szCs w:val="22"/>
                <w:vertAlign w:val="superscript"/>
                <w:lang w:val="en-ZA"/>
              </w:rPr>
              <w:t>c</w:t>
            </w:r>
            <w:r w:rsidRPr="00CA34EC">
              <w:rPr>
                <w:rFonts w:cs="Times New Roman"/>
                <w:sz w:val="22"/>
                <w:szCs w:val="22"/>
                <w:lang w:val="en-ZA"/>
              </w:rPr>
              <w:t xml:space="preserve"> ± 0.8 (21%)</w:t>
            </w:r>
          </w:p>
        </w:tc>
        <w:tc>
          <w:tcPr>
            <w:tcW w:w="2790" w:type="dxa"/>
          </w:tcPr>
          <w:p w14:paraId="35527F09"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73.44</w:t>
            </w:r>
            <w:r w:rsidRPr="00CA34EC">
              <w:rPr>
                <w:rFonts w:cs="Times New Roman"/>
                <w:sz w:val="22"/>
                <w:szCs w:val="22"/>
                <w:vertAlign w:val="superscript"/>
                <w:lang w:val="en-ZA"/>
              </w:rPr>
              <w:t>b</w:t>
            </w:r>
            <w:r w:rsidRPr="00CA34EC">
              <w:rPr>
                <w:rFonts w:cs="Times New Roman"/>
                <w:sz w:val="22"/>
                <w:szCs w:val="22"/>
                <w:lang w:val="en-ZA"/>
              </w:rPr>
              <w:t xml:space="preserve"> ± 1.01 (49%)</w:t>
            </w:r>
          </w:p>
        </w:tc>
      </w:tr>
      <w:tr w:rsidR="00CA34EC" w:rsidRPr="00CA34EC" w14:paraId="5B603E92" w14:textId="77777777" w:rsidTr="007669B6">
        <w:tc>
          <w:tcPr>
            <w:tcW w:w="2972" w:type="dxa"/>
          </w:tcPr>
          <w:p w14:paraId="12513677" w14:textId="17B37076" w:rsidR="00CA34EC" w:rsidRPr="00CA34EC" w:rsidRDefault="00CA34EC" w:rsidP="00843E4B">
            <w:pPr>
              <w:pStyle w:val="CommentText"/>
              <w:jc w:val="left"/>
              <w:rPr>
                <w:rFonts w:cs="Times New Roman"/>
                <w:sz w:val="22"/>
                <w:szCs w:val="22"/>
                <w:lang w:val="en-ZA"/>
              </w:rPr>
            </w:pPr>
            <w:r w:rsidRPr="00CA34EC">
              <w:rPr>
                <w:rFonts w:cs="Times New Roman"/>
                <w:sz w:val="22"/>
                <w:szCs w:val="22"/>
                <w:lang w:val="en-ZA"/>
              </w:rPr>
              <w:t>Pearl millet+carrot+papaya+ baobab</w:t>
            </w:r>
          </w:p>
        </w:tc>
        <w:tc>
          <w:tcPr>
            <w:tcW w:w="2606" w:type="dxa"/>
          </w:tcPr>
          <w:p w14:paraId="50A33B3C"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 xml:space="preserve"> 23.7</w:t>
            </w:r>
            <w:r w:rsidRPr="00CA34EC">
              <w:rPr>
                <w:rFonts w:cs="Times New Roman"/>
                <w:sz w:val="22"/>
                <w:szCs w:val="22"/>
                <w:vertAlign w:val="superscript"/>
                <w:lang w:val="en-ZA"/>
              </w:rPr>
              <w:t>c</w:t>
            </w:r>
            <w:r w:rsidRPr="00CA34EC">
              <w:rPr>
                <w:rFonts w:cs="Times New Roman"/>
                <w:sz w:val="22"/>
                <w:szCs w:val="22"/>
                <w:lang w:val="en-ZA"/>
              </w:rPr>
              <w:t xml:space="preserve"> ± 1.4 (12%)</w:t>
            </w:r>
            <w:r w:rsidRPr="00CA34EC">
              <w:rPr>
                <w:rFonts w:cs="Times New Roman"/>
                <w:sz w:val="22"/>
                <w:szCs w:val="22"/>
                <w:vertAlign w:val="superscript"/>
              </w:rPr>
              <w:t>£</w:t>
            </w:r>
          </w:p>
        </w:tc>
        <w:tc>
          <w:tcPr>
            <w:tcW w:w="2790" w:type="dxa"/>
          </w:tcPr>
          <w:p w14:paraId="21245BFE"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28.14</w:t>
            </w:r>
            <w:r w:rsidRPr="00CA34EC">
              <w:rPr>
                <w:rFonts w:cs="Times New Roman"/>
                <w:sz w:val="22"/>
                <w:szCs w:val="22"/>
                <w:vertAlign w:val="superscript"/>
                <w:lang w:val="en-ZA"/>
              </w:rPr>
              <w:t>c</w:t>
            </w:r>
            <w:r w:rsidRPr="00CA34EC">
              <w:rPr>
                <w:rFonts w:cs="Times New Roman"/>
                <w:sz w:val="22"/>
                <w:szCs w:val="22"/>
                <w:lang w:val="en-ZA"/>
              </w:rPr>
              <w:t xml:space="preserve"> ± 1.63 (728%)</w:t>
            </w:r>
          </w:p>
        </w:tc>
        <w:tc>
          <w:tcPr>
            <w:tcW w:w="2790" w:type="dxa"/>
          </w:tcPr>
          <w:p w14:paraId="0AE9E808"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55.8</w:t>
            </w:r>
            <w:r w:rsidRPr="00CA34EC">
              <w:rPr>
                <w:rFonts w:cs="Times New Roman"/>
                <w:sz w:val="22"/>
                <w:szCs w:val="22"/>
                <w:vertAlign w:val="superscript"/>
                <w:lang w:val="en-ZA"/>
              </w:rPr>
              <w:t>bc</w:t>
            </w:r>
            <w:r w:rsidRPr="00CA34EC">
              <w:rPr>
                <w:rFonts w:cs="Times New Roman"/>
                <w:sz w:val="22"/>
                <w:szCs w:val="22"/>
                <w:lang w:val="en-ZA"/>
              </w:rPr>
              <w:t xml:space="preserve"> ± 1.0 (20%)</w:t>
            </w:r>
          </w:p>
        </w:tc>
        <w:tc>
          <w:tcPr>
            <w:tcW w:w="2790" w:type="dxa"/>
          </w:tcPr>
          <w:p w14:paraId="4A773CB1"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72.64</w:t>
            </w:r>
            <w:r w:rsidRPr="00CA34EC">
              <w:rPr>
                <w:rFonts w:cs="Times New Roman"/>
                <w:sz w:val="22"/>
                <w:szCs w:val="22"/>
                <w:vertAlign w:val="superscript"/>
                <w:lang w:val="en-ZA"/>
              </w:rPr>
              <w:t>b</w:t>
            </w:r>
            <w:r w:rsidRPr="00CA34EC">
              <w:rPr>
                <w:rFonts w:cs="Times New Roman"/>
                <w:sz w:val="22"/>
                <w:szCs w:val="22"/>
                <w:lang w:val="en-ZA"/>
              </w:rPr>
              <w:t xml:space="preserve"> ± 1.37 (47%)</w:t>
            </w:r>
          </w:p>
        </w:tc>
      </w:tr>
      <w:tr w:rsidR="00CA34EC" w:rsidRPr="00CA34EC" w14:paraId="20BC1DA1" w14:textId="77777777" w:rsidTr="007669B6">
        <w:tc>
          <w:tcPr>
            <w:tcW w:w="2972" w:type="dxa"/>
          </w:tcPr>
          <w:p w14:paraId="164D52F0" w14:textId="59EE1D35" w:rsidR="00CA34EC" w:rsidRPr="00CA34EC" w:rsidRDefault="00CA34EC" w:rsidP="00843E4B">
            <w:pPr>
              <w:pStyle w:val="CommentText"/>
              <w:jc w:val="left"/>
              <w:rPr>
                <w:rFonts w:cs="Times New Roman"/>
                <w:sz w:val="22"/>
                <w:szCs w:val="22"/>
                <w:lang w:val="en-ZA"/>
              </w:rPr>
            </w:pPr>
            <w:r w:rsidRPr="00CA34EC">
              <w:rPr>
                <w:rFonts w:cs="Times New Roman"/>
                <w:sz w:val="22"/>
                <w:szCs w:val="22"/>
                <w:lang w:val="en-ZA"/>
              </w:rPr>
              <w:t>Pearl millet+carrot+papaya+ baobab+micronutrient premix</w:t>
            </w:r>
          </w:p>
        </w:tc>
        <w:tc>
          <w:tcPr>
            <w:tcW w:w="2606" w:type="dxa"/>
          </w:tcPr>
          <w:p w14:paraId="2F738A3E"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24. 4</w:t>
            </w:r>
            <w:r w:rsidRPr="00CA34EC">
              <w:rPr>
                <w:rFonts w:cs="Times New Roman"/>
                <w:sz w:val="22"/>
                <w:szCs w:val="22"/>
                <w:vertAlign w:val="superscript"/>
                <w:lang w:val="en-ZA"/>
              </w:rPr>
              <w:t>c</w:t>
            </w:r>
            <w:r w:rsidRPr="00CA34EC">
              <w:rPr>
                <w:rFonts w:cs="Times New Roman"/>
                <w:sz w:val="22"/>
                <w:szCs w:val="22"/>
                <w:lang w:val="en-ZA"/>
              </w:rPr>
              <w:t xml:space="preserve"> ± 3.0 (15%)</w:t>
            </w:r>
          </w:p>
        </w:tc>
        <w:tc>
          <w:tcPr>
            <w:tcW w:w="2790" w:type="dxa"/>
          </w:tcPr>
          <w:p w14:paraId="7E8B4A2E"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24.42</w:t>
            </w:r>
            <w:r w:rsidRPr="00CA34EC">
              <w:rPr>
                <w:rFonts w:cs="Times New Roman"/>
                <w:sz w:val="22"/>
                <w:szCs w:val="22"/>
                <w:vertAlign w:val="superscript"/>
                <w:lang w:val="en-ZA"/>
              </w:rPr>
              <w:t>b</w:t>
            </w:r>
            <w:r w:rsidRPr="00CA34EC">
              <w:rPr>
                <w:rFonts w:cs="Times New Roman"/>
                <w:sz w:val="22"/>
                <w:szCs w:val="22"/>
                <w:lang w:val="en-ZA"/>
              </w:rPr>
              <w:t xml:space="preserve"> ± 0.57 (618%)</w:t>
            </w:r>
          </w:p>
        </w:tc>
        <w:tc>
          <w:tcPr>
            <w:tcW w:w="2790" w:type="dxa"/>
          </w:tcPr>
          <w:p w14:paraId="40A9C8DD"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 xml:space="preserve"> 55.1</w:t>
            </w:r>
            <w:r w:rsidRPr="00CA34EC">
              <w:rPr>
                <w:rFonts w:cs="Times New Roman"/>
                <w:sz w:val="22"/>
                <w:szCs w:val="22"/>
                <w:vertAlign w:val="superscript"/>
                <w:lang w:val="en-ZA"/>
              </w:rPr>
              <w:t>bc</w:t>
            </w:r>
            <w:r w:rsidRPr="00CA34EC">
              <w:rPr>
                <w:rFonts w:cs="Times New Roman"/>
                <w:sz w:val="22"/>
                <w:szCs w:val="22"/>
                <w:lang w:val="en-ZA"/>
              </w:rPr>
              <w:t xml:space="preserve"> ± 1.5 (18%)</w:t>
            </w:r>
          </w:p>
        </w:tc>
        <w:tc>
          <w:tcPr>
            <w:tcW w:w="2790" w:type="dxa"/>
          </w:tcPr>
          <w:p w14:paraId="4C8B8D64"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72.06</w:t>
            </w:r>
            <w:r w:rsidRPr="00CA34EC">
              <w:rPr>
                <w:rFonts w:cs="Times New Roman"/>
                <w:sz w:val="22"/>
                <w:szCs w:val="22"/>
                <w:vertAlign w:val="superscript"/>
                <w:lang w:val="en-ZA"/>
              </w:rPr>
              <w:t>b</w:t>
            </w:r>
            <w:r w:rsidRPr="00CA34EC">
              <w:rPr>
                <w:rFonts w:cs="Times New Roman"/>
                <w:sz w:val="22"/>
                <w:szCs w:val="22"/>
                <w:lang w:val="en-ZA"/>
              </w:rPr>
              <w:t xml:space="preserve"> ± 2.02 (45%)</w:t>
            </w:r>
          </w:p>
        </w:tc>
      </w:tr>
      <w:tr w:rsidR="00CA34EC" w:rsidRPr="00CA34EC" w14:paraId="2117F1AA" w14:textId="77777777" w:rsidTr="007669B6">
        <w:tc>
          <w:tcPr>
            <w:tcW w:w="2972" w:type="dxa"/>
          </w:tcPr>
          <w:p w14:paraId="6BC97D55" w14:textId="1EE358E4" w:rsidR="00CA34EC" w:rsidRPr="00CA34EC" w:rsidRDefault="00CA34EC" w:rsidP="00843E4B">
            <w:pPr>
              <w:pStyle w:val="CommentText"/>
              <w:jc w:val="left"/>
              <w:rPr>
                <w:rFonts w:cs="Times New Roman"/>
                <w:sz w:val="22"/>
                <w:szCs w:val="22"/>
                <w:lang w:val="en-ZA"/>
              </w:rPr>
            </w:pPr>
            <w:r w:rsidRPr="00CA34EC">
              <w:rPr>
                <w:rFonts w:cs="Times New Roman"/>
                <w:sz w:val="22"/>
                <w:szCs w:val="22"/>
                <w:lang w:val="en-ZA"/>
              </w:rPr>
              <w:t>Pearl millet+baobab+hibiscus</w:t>
            </w:r>
          </w:p>
        </w:tc>
        <w:tc>
          <w:tcPr>
            <w:tcW w:w="2606" w:type="dxa"/>
          </w:tcPr>
          <w:p w14:paraId="2BDA0989"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23.1</w:t>
            </w:r>
            <w:r w:rsidRPr="00CA34EC">
              <w:rPr>
                <w:rFonts w:cs="Times New Roman"/>
                <w:sz w:val="22"/>
                <w:szCs w:val="22"/>
                <w:vertAlign w:val="superscript"/>
                <w:lang w:val="en-ZA"/>
              </w:rPr>
              <w:t>bc</w:t>
            </w:r>
            <w:r w:rsidRPr="00CA34EC">
              <w:rPr>
                <w:rFonts w:cs="Times New Roman"/>
                <w:sz w:val="22"/>
                <w:szCs w:val="22"/>
                <w:lang w:val="en-ZA"/>
              </w:rPr>
              <w:t xml:space="preserve"> ± 0.5 (9%)</w:t>
            </w:r>
          </w:p>
        </w:tc>
        <w:tc>
          <w:tcPr>
            <w:tcW w:w="2790" w:type="dxa"/>
          </w:tcPr>
          <w:p w14:paraId="66AC96B9"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25.9</w:t>
            </w:r>
            <w:r w:rsidRPr="00CA34EC">
              <w:rPr>
                <w:rFonts w:cs="Times New Roman"/>
                <w:sz w:val="22"/>
                <w:szCs w:val="22"/>
                <w:vertAlign w:val="superscript"/>
                <w:lang w:val="en-ZA"/>
              </w:rPr>
              <w:t>b</w:t>
            </w:r>
            <w:r w:rsidRPr="00CA34EC">
              <w:rPr>
                <w:rFonts w:cs="Times New Roman"/>
                <w:sz w:val="22"/>
                <w:szCs w:val="22"/>
                <w:lang w:val="en-ZA"/>
              </w:rPr>
              <w:t xml:space="preserve"> ± 0.57 (662%)</w:t>
            </w:r>
          </w:p>
        </w:tc>
        <w:tc>
          <w:tcPr>
            <w:tcW w:w="2790" w:type="dxa"/>
          </w:tcPr>
          <w:p w14:paraId="061F1BC4"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54.5</w:t>
            </w:r>
            <w:r w:rsidRPr="00CA34EC">
              <w:rPr>
                <w:rFonts w:cs="Times New Roman"/>
                <w:sz w:val="22"/>
                <w:szCs w:val="22"/>
                <w:vertAlign w:val="superscript"/>
                <w:lang w:val="en-ZA"/>
              </w:rPr>
              <w:t>b</w:t>
            </w:r>
            <w:r w:rsidRPr="00CA34EC">
              <w:rPr>
                <w:rFonts w:cs="Times New Roman"/>
                <w:sz w:val="22"/>
                <w:szCs w:val="22"/>
                <w:lang w:val="en-ZA"/>
              </w:rPr>
              <w:t xml:space="preserve"> ± 0.7 (17%)</w:t>
            </w:r>
          </w:p>
        </w:tc>
        <w:tc>
          <w:tcPr>
            <w:tcW w:w="2790" w:type="dxa"/>
          </w:tcPr>
          <w:p w14:paraId="7278D889" w14:textId="77777777" w:rsidR="00CA34EC" w:rsidRPr="00CA34EC" w:rsidRDefault="00CA34EC" w:rsidP="00CA34EC">
            <w:pPr>
              <w:pStyle w:val="CommentText"/>
              <w:jc w:val="center"/>
              <w:rPr>
                <w:rFonts w:cs="Times New Roman"/>
                <w:sz w:val="22"/>
                <w:szCs w:val="22"/>
                <w:lang w:val="en-ZA"/>
              </w:rPr>
            </w:pPr>
            <w:r w:rsidRPr="00CA34EC">
              <w:rPr>
                <w:rFonts w:cs="Times New Roman"/>
                <w:sz w:val="22"/>
                <w:szCs w:val="22"/>
                <w:lang w:val="en-ZA"/>
              </w:rPr>
              <w:t>83.8</w:t>
            </w:r>
            <w:r w:rsidRPr="00CA34EC">
              <w:rPr>
                <w:rFonts w:cs="Times New Roman"/>
                <w:sz w:val="22"/>
                <w:szCs w:val="22"/>
                <w:vertAlign w:val="superscript"/>
                <w:lang w:val="en-ZA"/>
              </w:rPr>
              <w:t>c</w:t>
            </w:r>
            <w:r w:rsidRPr="00CA34EC">
              <w:rPr>
                <w:rFonts w:cs="Times New Roman"/>
                <w:sz w:val="22"/>
                <w:szCs w:val="22"/>
                <w:lang w:val="en-ZA"/>
              </w:rPr>
              <w:t xml:space="preserve"> ± 1.06 (69%)</w:t>
            </w:r>
          </w:p>
        </w:tc>
      </w:tr>
    </w:tbl>
    <w:p w14:paraId="1AE55B43" w14:textId="133F5E57" w:rsidR="00CA34EC" w:rsidRPr="005B35E9" w:rsidRDefault="00CA34EC" w:rsidP="001449B5">
      <w:pPr>
        <w:pStyle w:val="CommentText"/>
        <w:spacing w:before="240" w:after="0"/>
        <w:rPr>
          <w:rFonts w:cs="Times New Roman"/>
        </w:rPr>
      </w:pPr>
      <w:r w:rsidRPr="00A967D7">
        <w:rPr>
          <w:rFonts w:cs="Times New Roman"/>
        </w:rPr>
        <w:t xml:space="preserve">Values are the mean ± 1 SD of </w:t>
      </w:r>
      <w:r>
        <w:rPr>
          <w:rFonts w:cs="Times New Roman"/>
        </w:rPr>
        <w:t>two</w:t>
      </w:r>
      <w:r w:rsidRPr="00A967D7">
        <w:rPr>
          <w:rFonts w:cs="Times New Roman"/>
        </w:rPr>
        <w:t xml:space="preserve"> independent samples analysed in </w:t>
      </w:r>
      <w:r>
        <w:rPr>
          <w:rFonts w:cs="Times New Roman"/>
        </w:rPr>
        <w:t>triplicate</w:t>
      </w:r>
      <w:r w:rsidRPr="00A967D7">
        <w:rPr>
          <w:rFonts w:cs="Times New Roman"/>
        </w:rPr>
        <w:t xml:space="preserve"> (n=</w:t>
      </w:r>
      <w:r>
        <w:rPr>
          <w:rFonts w:cs="Times New Roman"/>
        </w:rPr>
        <w:t>6</w:t>
      </w:r>
      <w:r w:rsidRPr="00A967D7">
        <w:rPr>
          <w:rFonts w:cs="Times New Roman"/>
        </w:rPr>
        <w:t>),</w:t>
      </w:r>
      <w:r>
        <w:rPr>
          <w:rFonts w:cs="Times New Roman"/>
        </w:rPr>
        <w:t xml:space="preserve"> </w:t>
      </w:r>
      <w:r w:rsidRPr="00A967D7">
        <w:rPr>
          <w:rFonts w:cs="Times New Roman"/>
        </w:rPr>
        <w:t>Means with different superscripts letters in a column differ significantly (</w:t>
      </w:r>
      <w:r w:rsidRPr="00B274A2">
        <w:rPr>
          <w:rFonts w:cs="Times New Roman"/>
          <w:i/>
          <w:iCs/>
        </w:rPr>
        <w:t>p</w:t>
      </w:r>
      <w:r w:rsidR="00B274A2">
        <w:rPr>
          <w:rFonts w:cs="Times New Roman"/>
        </w:rPr>
        <w:t>&lt;</w:t>
      </w:r>
      <w:r w:rsidRPr="00A967D7">
        <w:rPr>
          <w:rFonts w:cs="Times New Roman"/>
        </w:rPr>
        <w:t>0.05)</w:t>
      </w:r>
      <w:r>
        <w:rPr>
          <w:rFonts w:cs="Times New Roman"/>
        </w:rPr>
        <w:t xml:space="preserve">, </w:t>
      </w:r>
      <w:r w:rsidRPr="007644F6">
        <w:rPr>
          <w:rFonts w:cs="Times New Roman"/>
          <w:vertAlign w:val="superscript"/>
        </w:rPr>
        <w:t>£</w:t>
      </w:r>
      <w:r w:rsidRPr="00A967D7">
        <w:rPr>
          <w:rFonts w:cs="Times New Roman"/>
        </w:rPr>
        <w:t xml:space="preserve">Percentage </w:t>
      </w:r>
      <w:r>
        <w:rPr>
          <w:rFonts w:cs="Times New Roman"/>
        </w:rPr>
        <w:t>values</w:t>
      </w:r>
      <w:r w:rsidRPr="00A967D7">
        <w:rPr>
          <w:rFonts w:cs="Times New Roman"/>
        </w:rPr>
        <w:t xml:space="preserve"> in bracket</w:t>
      </w:r>
      <w:r>
        <w:rPr>
          <w:rFonts w:cs="Times New Roman"/>
        </w:rPr>
        <w:t>s</w:t>
      </w:r>
      <w:r w:rsidRPr="00A967D7">
        <w:rPr>
          <w:rFonts w:cs="Times New Roman"/>
        </w:rPr>
        <w:t xml:space="preserve"> </w:t>
      </w:r>
      <w:r>
        <w:rPr>
          <w:rFonts w:cs="Times New Roman"/>
        </w:rPr>
        <w:t>are</w:t>
      </w:r>
      <w:r w:rsidRPr="00A967D7">
        <w:rPr>
          <w:rFonts w:cs="Times New Roman"/>
        </w:rPr>
        <w:t xml:space="preserve"> significantly different to </w:t>
      </w:r>
      <w:r>
        <w:rPr>
          <w:rFonts w:cs="Times New Roman"/>
        </w:rPr>
        <w:t>the control raw pearl millet</w:t>
      </w:r>
      <w:r w:rsidRPr="00A967D7">
        <w:rPr>
          <w:rFonts w:cs="Times New Roman"/>
        </w:rPr>
        <w:t xml:space="preserve"> </w:t>
      </w:r>
      <w:r>
        <w:rPr>
          <w:rFonts w:cs="Times New Roman"/>
        </w:rPr>
        <w:t xml:space="preserve">by pairwise comparison </w:t>
      </w:r>
      <w:r w:rsidRPr="00A967D7">
        <w:rPr>
          <w:rFonts w:cs="Times New Roman"/>
        </w:rPr>
        <w:t>(</w:t>
      </w:r>
      <w:r w:rsidRPr="004E47CA">
        <w:rPr>
          <w:rFonts w:cs="Times New Roman"/>
          <w:i/>
          <w:iCs/>
        </w:rPr>
        <w:t>p</w:t>
      </w:r>
      <w:r w:rsidR="00B274A2">
        <w:rPr>
          <w:rFonts w:cs="Times New Roman"/>
        </w:rPr>
        <w:t>&lt;</w:t>
      </w:r>
      <w:r w:rsidRPr="00A967D7">
        <w:rPr>
          <w:rFonts w:cs="Times New Roman"/>
        </w:rPr>
        <w:t>0.05)</w:t>
      </w:r>
      <w:r>
        <w:rPr>
          <w:rFonts w:cs="Times New Roman"/>
        </w:rPr>
        <w:t xml:space="preserve"> </w:t>
      </w:r>
      <w:r w:rsidRPr="002A5730">
        <w:rPr>
          <w:rFonts w:cs="Times New Roman"/>
          <w:vertAlign w:val="superscript"/>
        </w:rPr>
        <w:t>^</w:t>
      </w:r>
      <w:r w:rsidRPr="002A5730">
        <w:rPr>
          <w:rFonts w:cs="Times New Roman"/>
        </w:rPr>
        <w:t>Carrot</w:t>
      </w:r>
      <w:r>
        <w:rPr>
          <w:rFonts w:cs="Times New Roman"/>
        </w:rPr>
        <w:t xml:space="preserve"> and mango powders from Institut de Technologie Alimentaire (ITA), </w:t>
      </w:r>
      <w:r w:rsidRPr="002A5730">
        <w:rPr>
          <w:rFonts w:cs="Times New Roman"/>
          <w:vertAlign w:val="superscript"/>
        </w:rPr>
        <w:t>*</w:t>
      </w:r>
      <w:r>
        <w:rPr>
          <w:rFonts w:cs="Times New Roman"/>
        </w:rPr>
        <w:t xml:space="preserve">Baobab fruit pulp from Maria Distribution, </w:t>
      </w:r>
      <w:r w:rsidRPr="00AD46C3">
        <w:rPr>
          <w:rFonts w:cs="Times New Roman"/>
          <w:vertAlign w:val="superscript"/>
        </w:rPr>
        <w:t>1</w:t>
      </w:r>
      <w:r>
        <w:rPr>
          <w:rFonts w:cs="Times New Roman"/>
        </w:rPr>
        <w:t>Pearl millet (raw)</w:t>
      </w:r>
    </w:p>
    <w:p w14:paraId="2FF41FF8" w14:textId="437B4C41" w:rsidR="00CA34EC" w:rsidRDefault="00CA34EC">
      <w:pPr>
        <w:spacing w:after="160" w:line="259" w:lineRule="auto"/>
        <w:rPr>
          <w:rFonts w:cs="Times New Roman"/>
          <w:szCs w:val="24"/>
          <w:lang w:val="en-ZA"/>
        </w:rPr>
      </w:pPr>
      <w:r>
        <w:rPr>
          <w:rFonts w:cs="Times New Roman"/>
          <w:szCs w:val="24"/>
          <w:lang w:val="en-ZA"/>
        </w:rPr>
        <w:br w:type="page"/>
      </w:r>
    </w:p>
    <w:p w14:paraId="6C292750" w14:textId="77777777" w:rsidR="00CA34EC" w:rsidRDefault="00CA34EC" w:rsidP="00CA34EC">
      <w:pPr>
        <w:pStyle w:val="CommentText"/>
        <w:spacing w:after="0" w:line="360" w:lineRule="auto"/>
        <w:rPr>
          <w:rFonts w:cs="Times New Roman"/>
          <w:sz w:val="24"/>
          <w:szCs w:val="24"/>
          <w:lang w:val="en-ZA"/>
        </w:rPr>
        <w:sectPr w:rsidR="00CA34EC" w:rsidSect="00961673">
          <w:pgSz w:w="16839" w:h="11907" w:orient="landscape" w:code="9"/>
          <w:pgMar w:top="1440" w:right="1440" w:bottom="1440" w:left="1440" w:header="720" w:footer="720" w:gutter="0"/>
          <w:cols w:space="720"/>
          <w:docGrid w:linePitch="360"/>
        </w:sectPr>
      </w:pPr>
    </w:p>
    <w:p w14:paraId="152A4C7E" w14:textId="6568152D" w:rsidR="006A6640" w:rsidRDefault="006A6640" w:rsidP="006818A8">
      <w:pPr>
        <w:rPr>
          <w:lang w:val="en-ZA"/>
        </w:rPr>
      </w:pPr>
      <w:r>
        <w:t>Carrot plus mango with baobab fortification of the maize porridge increased the magnesium bioaccessibility, in terms of percentage and amount by 20% and 25%, respectively compared to maize porridge (</w:t>
      </w:r>
      <w:r w:rsidRPr="006A6E94">
        <w:t>Table</w:t>
      </w:r>
      <w:r>
        <w:t xml:space="preserve"> </w:t>
      </w:r>
      <w:r w:rsidR="006A6E94">
        <w:t>4.3.</w:t>
      </w:r>
      <w:r>
        <w:t>6). The high content of citric acid in both baobab and mango was</w:t>
      </w:r>
      <w:r w:rsidR="009E7815">
        <w:t xml:space="preserve"> likely</w:t>
      </w:r>
      <w:r>
        <w:t xml:space="preserve"> responsible. </w:t>
      </w:r>
      <w:r>
        <w:rPr>
          <w:lang w:val="en-ZA"/>
        </w:rPr>
        <w:t>Beta-carotene</w:t>
      </w:r>
      <w:r>
        <w:rPr>
          <w:rFonts w:eastAsia="Times New Roman"/>
        </w:rPr>
        <w:t xml:space="preserve"> inclusion together with b</w:t>
      </w:r>
      <w:r w:rsidRPr="00A967D7">
        <w:rPr>
          <w:rFonts w:eastAsia="Times New Roman"/>
        </w:rPr>
        <w:t>aobab fortification of maize porridge</w:t>
      </w:r>
      <w:r>
        <w:rPr>
          <w:rFonts w:eastAsia="Times New Roman"/>
        </w:rPr>
        <w:t>, although</w:t>
      </w:r>
      <w:r w:rsidRPr="00A967D7">
        <w:rPr>
          <w:rFonts w:eastAsia="Times New Roman"/>
        </w:rPr>
        <w:t xml:space="preserve"> ha</w:t>
      </w:r>
      <w:r>
        <w:rPr>
          <w:rFonts w:eastAsia="Times New Roman"/>
        </w:rPr>
        <w:t>ving</w:t>
      </w:r>
      <w:r w:rsidRPr="00A967D7">
        <w:rPr>
          <w:rFonts w:eastAsia="Times New Roman"/>
        </w:rPr>
        <w:t xml:space="preserve"> no effect on the percentage bioaccessible magnesium</w:t>
      </w:r>
      <w:r>
        <w:rPr>
          <w:rFonts w:eastAsia="Times New Roman"/>
        </w:rPr>
        <w:t>,</w:t>
      </w:r>
      <w:r w:rsidRPr="00A967D7">
        <w:rPr>
          <w:rFonts w:eastAsia="Times New Roman"/>
        </w:rPr>
        <w:t xml:space="preserve"> </w:t>
      </w:r>
      <w:r>
        <w:rPr>
          <w:rFonts w:eastAsia="Times New Roman"/>
        </w:rPr>
        <w:t xml:space="preserve">slightly </w:t>
      </w:r>
      <w:r w:rsidR="00DF1A4D">
        <w:rPr>
          <w:rFonts w:eastAsia="Times New Roman"/>
        </w:rPr>
        <w:t>but significantly</w:t>
      </w:r>
      <w:r w:rsidR="00B70221">
        <w:rPr>
          <w:rFonts w:eastAsia="Times New Roman"/>
        </w:rPr>
        <w:t xml:space="preserve"> (</w:t>
      </w:r>
      <w:r w:rsidR="00B70221" w:rsidRPr="00B70221">
        <w:rPr>
          <w:rFonts w:eastAsia="Times New Roman"/>
          <w:i/>
          <w:iCs/>
        </w:rPr>
        <w:t>p</w:t>
      </w:r>
      <w:r w:rsidR="00B274A2">
        <w:rPr>
          <w:rFonts w:eastAsia="Times New Roman" w:cs="Times New Roman"/>
        </w:rPr>
        <w:t>&lt;</w:t>
      </w:r>
      <w:r w:rsidR="00B70221">
        <w:rPr>
          <w:rFonts w:eastAsia="Times New Roman"/>
        </w:rPr>
        <w:t>0.05)</w:t>
      </w:r>
      <w:r w:rsidR="00DF1A4D">
        <w:rPr>
          <w:rFonts w:eastAsia="Times New Roman"/>
        </w:rPr>
        <w:t xml:space="preserve"> </w:t>
      </w:r>
      <w:r w:rsidRPr="00A967D7">
        <w:rPr>
          <w:rFonts w:eastAsia="Times New Roman"/>
        </w:rPr>
        <w:t>increased the amount of bioaccessible magnesium</w:t>
      </w:r>
      <w:r>
        <w:rPr>
          <w:rFonts w:eastAsia="Times New Roman"/>
        </w:rPr>
        <w:t xml:space="preserve"> compared to maize porridge</w:t>
      </w:r>
      <w:r w:rsidR="00DF1A4D">
        <w:rPr>
          <w:rFonts w:eastAsia="Times New Roman"/>
        </w:rPr>
        <w:t>,</w:t>
      </w:r>
      <w:r>
        <w:rPr>
          <w:rFonts w:eastAsia="Times New Roman"/>
        </w:rPr>
        <w:t xml:space="preserve"> when analysed by pairwise comparison.  This was presumably because the </w:t>
      </w:r>
      <w:r>
        <w:rPr>
          <w:lang w:val="en-ZA"/>
        </w:rPr>
        <w:t>fortified porridge was higher in magnesium</w:t>
      </w:r>
      <w:r w:rsidRPr="00A967D7">
        <w:rPr>
          <w:rFonts w:eastAsia="Times New Roman"/>
        </w:rPr>
        <w:t>.</w:t>
      </w:r>
      <w:r>
        <w:rPr>
          <w:rFonts w:eastAsia="Times New Roman"/>
        </w:rPr>
        <w:t xml:space="preserve"> This is similar to </w:t>
      </w:r>
      <w:r>
        <w:rPr>
          <w:lang w:val="en-ZA"/>
        </w:rPr>
        <w:t>fortification of the simple maize porridge and complex maize-based porridge formulations with baobab, which did not improve percentage bioaccessible magnesium (</w:t>
      </w:r>
      <w:r w:rsidR="006A6E94">
        <w:rPr>
          <w:lang w:val="en-ZA"/>
        </w:rPr>
        <w:t>C</w:t>
      </w:r>
      <w:r>
        <w:rPr>
          <w:lang w:val="en-ZA"/>
        </w:rPr>
        <w:t xml:space="preserve">hapter </w:t>
      </w:r>
      <w:r w:rsidR="00C86791">
        <w:rPr>
          <w:lang w:val="en-ZA"/>
        </w:rPr>
        <w:t>4.</w:t>
      </w:r>
      <w:r>
        <w:rPr>
          <w:lang w:val="en-ZA"/>
        </w:rPr>
        <w:t>2). Thus, it is possible that the very high content of polyphenols in baobab (</w:t>
      </w:r>
      <w:r w:rsidR="006A6E94">
        <w:rPr>
          <w:lang w:val="en-ZA"/>
        </w:rPr>
        <w:t>C</w:t>
      </w:r>
      <w:r>
        <w:rPr>
          <w:lang w:val="en-ZA"/>
        </w:rPr>
        <w:t xml:space="preserve">hapter </w:t>
      </w:r>
      <w:r w:rsidR="00C86791">
        <w:rPr>
          <w:lang w:val="en-ZA"/>
        </w:rPr>
        <w:t>4.</w:t>
      </w:r>
      <w:r>
        <w:rPr>
          <w:lang w:val="en-ZA"/>
        </w:rPr>
        <w:t xml:space="preserve">2) limited the enhancing potential of baobab’s citric acid on magnesium bioaccessibility in the porridge containing β-carotene and baobab. This is supported by </w:t>
      </w:r>
      <w:r w:rsidR="00C86791">
        <w:rPr>
          <w:lang w:val="en-ZA"/>
        </w:rPr>
        <w:t xml:space="preserve">the previously mentioned </w:t>
      </w:r>
      <w:r>
        <w:rPr>
          <w:lang w:val="en-ZA"/>
        </w:rPr>
        <w:t xml:space="preserve">research by </w:t>
      </w:r>
      <w:r w:rsidRPr="003D1277">
        <w:rPr>
          <w:rFonts w:eastAsia="Times New Roman"/>
        </w:rPr>
        <w:t>Vitali et al. (2008)</w:t>
      </w:r>
      <w:r>
        <w:rPr>
          <w:rFonts w:eastAsia="Times New Roman"/>
        </w:rPr>
        <w:t xml:space="preserve"> that</w:t>
      </w:r>
      <w:r w:rsidRPr="003D1277">
        <w:rPr>
          <w:rFonts w:eastAsia="Times New Roman"/>
        </w:rPr>
        <w:t xml:space="preserve"> showed that carob </w:t>
      </w:r>
      <w:r>
        <w:rPr>
          <w:rFonts w:eastAsia="Times New Roman"/>
        </w:rPr>
        <w:t xml:space="preserve">flour (high in polyphenols) </w:t>
      </w:r>
      <w:r w:rsidRPr="003D1277">
        <w:rPr>
          <w:rFonts w:eastAsia="Times New Roman"/>
        </w:rPr>
        <w:t>fortifi</w:t>
      </w:r>
      <w:r>
        <w:rPr>
          <w:rFonts w:eastAsia="Times New Roman"/>
        </w:rPr>
        <w:t>cation of</w:t>
      </w:r>
      <w:r w:rsidRPr="003D1277">
        <w:rPr>
          <w:rFonts w:eastAsia="Times New Roman"/>
        </w:rPr>
        <w:t xml:space="preserve"> wholegrain wheat-based biscuit</w:t>
      </w:r>
      <w:r>
        <w:rPr>
          <w:rFonts w:eastAsia="Times New Roman"/>
        </w:rPr>
        <w:t xml:space="preserve"> reduced </w:t>
      </w:r>
      <w:r w:rsidRPr="003D1277">
        <w:rPr>
          <w:rFonts w:eastAsia="Times New Roman"/>
        </w:rPr>
        <w:t>percentage magnesium bioaccessibility.</w:t>
      </w:r>
    </w:p>
    <w:p w14:paraId="12C52F01" w14:textId="77777777" w:rsidR="006A6640" w:rsidRDefault="006A6640" w:rsidP="006A6E94">
      <w:pPr>
        <w:spacing w:after="0"/>
        <w:rPr>
          <w:lang w:val="en-ZA"/>
        </w:rPr>
      </w:pPr>
    </w:p>
    <w:p w14:paraId="31A8F9CE" w14:textId="23FF6951" w:rsidR="006A6640" w:rsidRPr="00316B5B" w:rsidRDefault="006A6640" w:rsidP="006818A8">
      <w:r>
        <w:t xml:space="preserve">With the extrusion-cooked pearl millet-based porridges, fortification with the various combinations of the food fortificants increased magnesium bioaccessibility, in terms of percentage and amount by 17–21% and 45–69%, respectively compared to the pearl millet </w:t>
      </w:r>
      <w:r w:rsidR="006A6E94">
        <w:t xml:space="preserve">grain </w:t>
      </w:r>
      <w:r>
        <w:t>control (</w:t>
      </w:r>
      <w:r w:rsidRPr="006A6E94">
        <w:t>Table</w:t>
      </w:r>
      <w:r>
        <w:t xml:space="preserve"> </w:t>
      </w:r>
      <w:r w:rsidR="006A6E94">
        <w:t>4.3.</w:t>
      </w:r>
      <w:r>
        <w:t>7). This could have been a result of the combined effect</w:t>
      </w:r>
      <w:r w:rsidR="00C86791">
        <w:t>s</w:t>
      </w:r>
      <w:r>
        <w:t xml:space="preserve"> of extrusion cooking, which can degrade mineral bioavailability inhibitors, phytate and polyphenols (Kaur et al., 2015), and the high citric acid contents of baobab, mango and papaya. Also, the citric acid added to the extrusion-cooked pearl millet</w:t>
      </w:r>
      <w:r w:rsidR="006A6E94">
        <w:t>-based</w:t>
      </w:r>
      <w:r>
        <w:t xml:space="preserve"> porridges could have contributed to this effect. These findings are similar to those of </w:t>
      </w:r>
      <w:r w:rsidR="006A6E94">
        <w:t>C</w:t>
      </w:r>
      <w:r>
        <w:t xml:space="preserve">hapter </w:t>
      </w:r>
      <w:r w:rsidR="00C86791">
        <w:t>4.</w:t>
      </w:r>
      <w:r>
        <w:t xml:space="preserve">1 where baobab fortification of wet-cooked pearl millet slightly increased the percentage and amount of bioaccessible magnesium. </w:t>
      </w:r>
    </w:p>
    <w:p w14:paraId="3A840F68" w14:textId="77777777" w:rsidR="006A6640" w:rsidRDefault="006A6640" w:rsidP="006818A8">
      <w:pPr>
        <w:rPr>
          <w:b/>
          <w:bCs/>
        </w:rPr>
      </w:pPr>
    </w:p>
    <w:p w14:paraId="774FCBC4" w14:textId="77777777" w:rsidR="006A6640" w:rsidRDefault="006A6640" w:rsidP="006818A8">
      <w:pPr>
        <w:rPr>
          <w:b/>
          <w:bCs/>
        </w:rPr>
      </w:pPr>
    </w:p>
    <w:p w14:paraId="4B4906E1" w14:textId="77777777" w:rsidR="006A6640" w:rsidRDefault="006A6640" w:rsidP="006818A8">
      <w:pPr>
        <w:rPr>
          <w:b/>
          <w:bCs/>
        </w:rPr>
      </w:pPr>
    </w:p>
    <w:p w14:paraId="4B99B623" w14:textId="77777777" w:rsidR="006A6640" w:rsidRDefault="006A6640" w:rsidP="006818A8">
      <w:pPr>
        <w:rPr>
          <w:b/>
          <w:bCs/>
        </w:rPr>
      </w:pPr>
    </w:p>
    <w:p w14:paraId="62ED32BB" w14:textId="77777777" w:rsidR="006A6640" w:rsidRDefault="006A6640" w:rsidP="006A6640">
      <w:pPr>
        <w:spacing w:after="0"/>
        <w:rPr>
          <w:rFonts w:cs="Times New Roman"/>
          <w:b/>
          <w:bCs/>
          <w:szCs w:val="24"/>
        </w:rPr>
      </w:pPr>
    </w:p>
    <w:p w14:paraId="25461FF2" w14:textId="0ED1A5A9" w:rsidR="006A6640" w:rsidRDefault="006A6640" w:rsidP="006818A8">
      <w:pPr>
        <w:pStyle w:val="Heading3"/>
      </w:pPr>
      <w:bookmarkStart w:id="155" w:name="_Toc65253615"/>
      <w:r>
        <w:t>4.3.5</w:t>
      </w:r>
      <w:r w:rsidR="006818A8">
        <w:tab/>
      </w:r>
      <w:r>
        <w:t>C</w:t>
      </w:r>
      <w:r w:rsidR="006818A8">
        <w:t>onclusions</w:t>
      </w:r>
      <w:bookmarkEnd w:id="155"/>
    </w:p>
    <w:p w14:paraId="5B44926C" w14:textId="22392198" w:rsidR="00A70168" w:rsidRDefault="00A70168" w:rsidP="00A70168">
      <w:pPr>
        <w:rPr>
          <w:lang w:val="en-ZA"/>
        </w:rPr>
      </w:pPr>
      <w:r>
        <w:rPr>
          <w:lang w:val="en-ZA"/>
        </w:rPr>
        <w:t xml:space="preserve">Food-to-food fortification of maize porridge with only carrot plus mango (rich in </w:t>
      </w:r>
      <w:r w:rsidRPr="00EF532B">
        <w:rPr>
          <w:shd w:val="clear" w:color="auto" w:fill="FFFFFF"/>
        </w:rPr>
        <w:t>β-carotene</w:t>
      </w:r>
      <w:r>
        <w:rPr>
          <w:shd w:val="clear" w:color="auto" w:fill="FFFFFF"/>
        </w:rPr>
        <w:t xml:space="preserve">) do not seem to improve iron and zinc bioaccessibility, </w:t>
      </w:r>
      <w:r w:rsidR="009E7815">
        <w:rPr>
          <w:shd w:val="clear" w:color="auto" w:fill="FFFFFF"/>
        </w:rPr>
        <w:t>very likely</w:t>
      </w:r>
      <w:r>
        <w:rPr>
          <w:shd w:val="clear" w:color="auto" w:fill="FFFFFF"/>
        </w:rPr>
        <w:t xml:space="preserve"> because of them being high in polyphenols. However, it</w:t>
      </w:r>
      <w:r>
        <w:rPr>
          <w:lang w:val="en-ZA"/>
        </w:rPr>
        <w:t xml:space="preserve"> has potential to contribute to the iron and zinc bioaccessibility enhancement when the porridge is additionally food-to-food fortified with other plant foods rich in ascorbic and citric acid, such as baobab fruit. This is presumably because of the additive effect of both the </w:t>
      </w:r>
      <w:r w:rsidRPr="00134A99">
        <w:rPr>
          <w:lang w:val="en-ZA"/>
        </w:rPr>
        <w:t>β-carotene</w:t>
      </w:r>
      <w:r>
        <w:rPr>
          <w:lang w:val="en-ZA"/>
        </w:rPr>
        <w:t xml:space="preserve"> and the organic acids, which can form soluble chelates with iron and zinc. With the iron bioaccessibility, the primary mechanism by which the ascorbic acid contributes to its enhancement is most likely by reducing Fe</w:t>
      </w:r>
      <w:r w:rsidRPr="00CF38C9">
        <w:rPr>
          <w:vertAlign w:val="superscript"/>
          <w:lang w:val="en-ZA"/>
        </w:rPr>
        <w:t>3+</w:t>
      </w:r>
      <w:r>
        <w:rPr>
          <w:lang w:val="en-ZA"/>
        </w:rPr>
        <w:t xml:space="preserve"> to Fe</w:t>
      </w:r>
      <w:r w:rsidRPr="00CF38C9">
        <w:rPr>
          <w:vertAlign w:val="superscript"/>
          <w:lang w:val="en-ZA"/>
        </w:rPr>
        <w:t>2+</w:t>
      </w:r>
      <w:r>
        <w:rPr>
          <w:lang w:val="en-ZA"/>
        </w:rPr>
        <w:t>.</w:t>
      </w:r>
    </w:p>
    <w:p w14:paraId="70B22428" w14:textId="05D63593" w:rsidR="00A70168" w:rsidRDefault="00A70168" w:rsidP="00A70168">
      <w:pPr>
        <w:rPr>
          <w:lang w:val="en-ZA"/>
        </w:rPr>
      </w:pPr>
      <w:r>
        <w:rPr>
          <w:lang w:val="en-ZA"/>
        </w:rPr>
        <w:t xml:space="preserve">Food-to-food fortification with combinations of plant foods rich in organic acids, </w:t>
      </w:r>
      <w:r w:rsidRPr="00134A99">
        <w:rPr>
          <w:lang w:val="en-ZA"/>
        </w:rPr>
        <w:t>β-carotene</w:t>
      </w:r>
      <w:r>
        <w:rPr>
          <w:lang w:val="en-ZA"/>
        </w:rPr>
        <w:t xml:space="preserve"> and minerals has the potential to enhance iron and zinc bioaccessibility in extrusion-cooked pearl millet-based porridge. Very importantly, this enhancing potential on iron and zinc bioaccessibility is greatly increased in the presence of abundant potentially available iron and zinc, </w:t>
      </w:r>
      <w:r w:rsidR="00031502">
        <w:rPr>
          <w:lang w:val="en-ZA"/>
        </w:rPr>
        <w:t>i.e.,</w:t>
      </w:r>
      <w:r>
        <w:rPr>
          <w:lang w:val="en-ZA"/>
        </w:rPr>
        <w:t xml:space="preserve"> iron and zinc provided by, for example in the form of a micronutrient premix plus intrinsic iron and zinc in the cereal porridge. Food-to-food fortification with these plant food fortificants may also be useful to improve the bioaccessible calcium and magnesium, especially in extrusion-cooked fortified-pearl millet-based porridges. This is probably primarily because the food fortificants are notably high in calcium and magnesium plus the enhancing effects of the mineral bioavailability enhancers. This may be coupled with the enhancing effect of extrusion cooking which can reduce the chelating effects of phytate and polyphenols.</w:t>
      </w:r>
    </w:p>
    <w:p w14:paraId="7D54EA90" w14:textId="73A996DE" w:rsidR="00CA34EC" w:rsidRDefault="00A70168" w:rsidP="0034596E">
      <w:pPr>
        <w:spacing w:before="240"/>
      </w:pPr>
      <w:r w:rsidRPr="00EF532B">
        <w:rPr>
          <w:shd w:val="clear" w:color="auto" w:fill="FFFFFF"/>
        </w:rPr>
        <w:t xml:space="preserve">Thus, food-to-food fortification of cereal porridges with carrot plus mango as a β-carotene source </w:t>
      </w:r>
      <w:r w:rsidR="00031502">
        <w:rPr>
          <w:shd w:val="clear" w:color="auto" w:fill="FFFFFF"/>
        </w:rPr>
        <w:t>w</w:t>
      </w:r>
      <w:r>
        <w:rPr>
          <w:shd w:val="clear" w:color="auto" w:fill="FFFFFF"/>
        </w:rPr>
        <w:t>ould</w:t>
      </w:r>
      <w:r w:rsidRPr="00EF532B">
        <w:rPr>
          <w:shd w:val="clear" w:color="auto" w:fill="FFFFFF"/>
        </w:rPr>
        <w:t xml:space="preserve"> not only substantial</w:t>
      </w:r>
      <w:r>
        <w:rPr>
          <w:shd w:val="clear" w:color="auto" w:fill="FFFFFF"/>
        </w:rPr>
        <w:t>ly</w:t>
      </w:r>
      <w:r w:rsidRPr="00EF532B">
        <w:rPr>
          <w:shd w:val="clear" w:color="auto" w:fill="FFFFFF"/>
        </w:rPr>
        <w:t xml:space="preserve"> contribut</w:t>
      </w:r>
      <w:r>
        <w:rPr>
          <w:shd w:val="clear" w:color="auto" w:fill="FFFFFF"/>
        </w:rPr>
        <w:t>e</w:t>
      </w:r>
      <w:r w:rsidRPr="00EF532B">
        <w:rPr>
          <w:shd w:val="clear" w:color="auto" w:fill="FFFFFF"/>
        </w:rPr>
        <w:t xml:space="preserve"> to </w:t>
      </w:r>
      <w:r>
        <w:rPr>
          <w:shd w:val="clear" w:color="auto" w:fill="FFFFFF"/>
        </w:rPr>
        <w:t>the vitamin A requirements of at-risk groups in Africa but</w:t>
      </w:r>
      <w:r w:rsidRPr="00EF532B">
        <w:rPr>
          <w:shd w:val="clear" w:color="auto" w:fill="FFFFFF"/>
        </w:rPr>
        <w:t xml:space="preserve"> may also slightly improve iron and zinc bioavailability from </w:t>
      </w:r>
      <w:r>
        <w:rPr>
          <w:shd w:val="clear" w:color="auto" w:fill="FFFFFF"/>
        </w:rPr>
        <w:t xml:space="preserve">cereal-based </w:t>
      </w:r>
      <w:r w:rsidRPr="00EF532B">
        <w:rPr>
          <w:shd w:val="clear" w:color="auto" w:fill="FFFFFF"/>
        </w:rPr>
        <w:t>porridge</w:t>
      </w:r>
      <w:r>
        <w:rPr>
          <w:shd w:val="clear" w:color="auto" w:fill="FFFFFF"/>
        </w:rPr>
        <w:t>s</w:t>
      </w:r>
      <w:r w:rsidRPr="00EF532B">
        <w:rPr>
          <w:shd w:val="clear" w:color="auto" w:fill="FFFFFF"/>
        </w:rPr>
        <w:t>.</w:t>
      </w:r>
      <w:r>
        <w:t xml:space="preserve"> Also, a hybrid fortification strategy including food-to-food fortification with various plant foods rich in especially organic acids, </w:t>
      </w:r>
      <w:r w:rsidRPr="00EF532B">
        <w:rPr>
          <w:shd w:val="clear" w:color="auto" w:fill="FFFFFF"/>
        </w:rPr>
        <w:t>β-carotene</w:t>
      </w:r>
      <w:r>
        <w:t xml:space="preserve"> and minerals together with addition of micronutrients in the form of a premix may be a viable food-based strategy to improve iron and zinc bioavailability in cereal porridges, including ready-to-eat cereal-based porridges</w:t>
      </w:r>
      <w:r w:rsidR="00031502">
        <w:t xml:space="preserve"> processed by extrusion</w:t>
      </w:r>
      <w:r>
        <w:t>.</w:t>
      </w:r>
    </w:p>
    <w:p w14:paraId="13155B02" w14:textId="35510B15" w:rsidR="00FA7142" w:rsidRDefault="00FA7142" w:rsidP="006818A8"/>
    <w:p w14:paraId="0122F6AE" w14:textId="77777777" w:rsidR="00FA7142" w:rsidRDefault="00FA7142" w:rsidP="006818A8"/>
    <w:p w14:paraId="47519694" w14:textId="200A80A9" w:rsidR="0086108C" w:rsidRDefault="0086108C" w:rsidP="006818A8"/>
    <w:p w14:paraId="53C1D589" w14:textId="0DF2144F" w:rsidR="0086108C" w:rsidRDefault="0086108C" w:rsidP="006818A8">
      <w:pPr>
        <w:pStyle w:val="Heading1"/>
        <w:rPr>
          <w:lang w:val="en-ZA"/>
        </w:rPr>
      </w:pPr>
      <w:bookmarkStart w:id="156" w:name="_Toc65253616"/>
      <w:r w:rsidRPr="00C10B9D">
        <w:rPr>
          <w:lang w:val="en-ZA"/>
        </w:rPr>
        <w:t>5</w:t>
      </w:r>
      <w:r w:rsidR="00691685">
        <w:rPr>
          <w:lang w:val="en-ZA"/>
        </w:rPr>
        <w:t>.</w:t>
      </w:r>
      <w:r>
        <w:rPr>
          <w:lang w:val="en-ZA"/>
        </w:rPr>
        <w:tab/>
      </w:r>
      <w:r w:rsidRPr="00C10B9D">
        <w:rPr>
          <w:lang w:val="en-ZA"/>
        </w:rPr>
        <w:t>GENERAL DISCUSSION</w:t>
      </w:r>
      <w:bookmarkEnd w:id="156"/>
    </w:p>
    <w:p w14:paraId="4772EA4C" w14:textId="4E111F35" w:rsidR="00FC0200" w:rsidRDefault="0086108C" w:rsidP="00FC0200">
      <w:pPr>
        <w:rPr>
          <w:lang w:val="en-ZA"/>
        </w:rPr>
      </w:pPr>
      <w:r>
        <w:rPr>
          <w:lang w:val="en-ZA"/>
        </w:rPr>
        <w:t xml:space="preserve">This section critically discusses </w:t>
      </w:r>
      <w:r w:rsidR="00691685" w:rsidRPr="00691685">
        <w:rPr>
          <w:lang w:val="en-ZA"/>
        </w:rPr>
        <w:t xml:space="preserve">the experimental design </w:t>
      </w:r>
      <w:r w:rsidR="00691685">
        <w:rPr>
          <w:lang w:val="en-ZA"/>
        </w:rPr>
        <w:t xml:space="preserve">and </w:t>
      </w:r>
      <w:r>
        <w:rPr>
          <w:lang w:val="en-ZA"/>
        </w:rPr>
        <w:t>methodology applied in this study, primarily the limitations and strength</w:t>
      </w:r>
      <w:r w:rsidR="00691685">
        <w:rPr>
          <w:lang w:val="en-ZA"/>
        </w:rPr>
        <w:t>s</w:t>
      </w:r>
      <w:r>
        <w:rPr>
          <w:lang w:val="en-ZA"/>
        </w:rPr>
        <w:t xml:space="preserve"> of the cereal porridge formulations and </w:t>
      </w:r>
      <w:r w:rsidR="00EA1628">
        <w:rPr>
          <w:lang w:val="en-ZA"/>
        </w:rPr>
        <w:t xml:space="preserve">porridge </w:t>
      </w:r>
      <w:r>
        <w:rPr>
          <w:lang w:val="en-ZA"/>
        </w:rPr>
        <w:t xml:space="preserve">preparation as well as the </w:t>
      </w:r>
      <w:r w:rsidR="00691685">
        <w:rPr>
          <w:lang w:val="en-ZA"/>
        </w:rPr>
        <w:t xml:space="preserve">dialysability </w:t>
      </w:r>
      <w:r>
        <w:rPr>
          <w:lang w:val="en-ZA"/>
        </w:rPr>
        <w:t xml:space="preserve">assay applied to investigate </w:t>
      </w:r>
      <w:r w:rsidR="00691685">
        <w:rPr>
          <w:lang w:val="en-ZA"/>
        </w:rPr>
        <w:t xml:space="preserve">effects on </w:t>
      </w:r>
      <w:r>
        <w:rPr>
          <w:lang w:val="en-ZA"/>
        </w:rPr>
        <w:t>mineral bioaccessibility. The section also discusses the</w:t>
      </w:r>
      <w:r w:rsidR="007A06E8">
        <w:rPr>
          <w:lang w:val="en-ZA"/>
        </w:rPr>
        <w:t xml:space="preserve"> major</w:t>
      </w:r>
      <w:r>
        <w:rPr>
          <w:lang w:val="en-ZA"/>
        </w:rPr>
        <w:t xml:space="preserve"> findings </w:t>
      </w:r>
      <w:r w:rsidR="00EA1628">
        <w:rPr>
          <w:lang w:val="en-ZA"/>
        </w:rPr>
        <w:t>of th</w:t>
      </w:r>
      <w:r w:rsidR="007A06E8">
        <w:rPr>
          <w:lang w:val="en-ZA"/>
        </w:rPr>
        <w:t>is</w:t>
      </w:r>
      <w:r w:rsidR="00EA1628">
        <w:rPr>
          <w:lang w:val="en-ZA"/>
        </w:rPr>
        <w:t xml:space="preserve"> </w:t>
      </w:r>
      <w:r w:rsidR="007A06E8">
        <w:rPr>
          <w:lang w:val="en-ZA"/>
        </w:rPr>
        <w:t>research</w:t>
      </w:r>
      <w:r w:rsidR="00EA1628">
        <w:rPr>
          <w:lang w:val="en-ZA"/>
        </w:rPr>
        <w:t>, with the use of models</w:t>
      </w:r>
      <w:r w:rsidR="00870B2B">
        <w:rPr>
          <w:lang w:val="en-ZA"/>
        </w:rPr>
        <w:t>, i.e theses</w:t>
      </w:r>
      <w:r w:rsidR="007A06E8">
        <w:rPr>
          <w:lang w:val="en-ZA"/>
        </w:rPr>
        <w:t xml:space="preserve"> </w:t>
      </w:r>
      <w:r w:rsidR="00EA1628">
        <w:rPr>
          <w:lang w:val="en-ZA"/>
        </w:rPr>
        <w:t xml:space="preserve">to scientifically explain the </w:t>
      </w:r>
      <w:r>
        <w:rPr>
          <w:lang w:val="en-ZA"/>
        </w:rPr>
        <w:t>potential of food-to-food fortification</w:t>
      </w:r>
      <w:r w:rsidR="00FC0200">
        <w:rPr>
          <w:lang w:val="en-ZA"/>
        </w:rPr>
        <w:t xml:space="preserve"> to improve essential mineral bioaccessibility in African-type wholegrain cereal-based porridges</w:t>
      </w:r>
      <w:r>
        <w:rPr>
          <w:lang w:val="en-ZA"/>
        </w:rPr>
        <w:t>.</w:t>
      </w:r>
      <w:r w:rsidR="00C628A9">
        <w:rPr>
          <w:lang w:val="en-ZA"/>
        </w:rPr>
        <w:t xml:space="preserve"> Lastly, future research work is proposed to validate the findings of this study.</w:t>
      </w:r>
    </w:p>
    <w:p w14:paraId="7ECB4F24" w14:textId="77777777" w:rsidR="0086108C" w:rsidRDefault="0086108C" w:rsidP="0040670A">
      <w:pPr>
        <w:spacing w:after="0"/>
        <w:rPr>
          <w:b/>
          <w:bCs/>
          <w:lang w:val="en-ZA"/>
        </w:rPr>
      </w:pPr>
    </w:p>
    <w:p w14:paraId="32B15121" w14:textId="1D00C198" w:rsidR="0086108C" w:rsidRDefault="0086108C" w:rsidP="008974D3">
      <w:pPr>
        <w:pStyle w:val="Heading2"/>
        <w:rPr>
          <w:lang w:val="en-ZA"/>
        </w:rPr>
      </w:pPr>
      <w:bookmarkStart w:id="157" w:name="_Toc65253617"/>
      <w:r w:rsidRPr="00D040D7">
        <w:rPr>
          <w:lang w:val="en-ZA"/>
        </w:rPr>
        <w:t>5.1</w:t>
      </w:r>
      <w:r w:rsidR="00BC28ED">
        <w:rPr>
          <w:lang w:val="en-ZA"/>
        </w:rPr>
        <w:tab/>
      </w:r>
      <w:r w:rsidRPr="00D040D7">
        <w:rPr>
          <w:lang w:val="en-ZA"/>
        </w:rPr>
        <w:t>Methodological Considerations</w:t>
      </w:r>
      <w:bookmarkEnd w:id="157"/>
    </w:p>
    <w:p w14:paraId="57823767" w14:textId="77777777" w:rsidR="0086108C" w:rsidRPr="0040670A" w:rsidRDefault="0086108C" w:rsidP="00BD44C6">
      <w:pPr>
        <w:spacing w:after="0"/>
        <w:rPr>
          <w:i/>
          <w:iCs/>
        </w:rPr>
      </w:pPr>
      <w:r w:rsidRPr="0040670A">
        <w:rPr>
          <w:i/>
          <w:iCs/>
        </w:rPr>
        <w:t>Porridge formulation and preparation</w:t>
      </w:r>
    </w:p>
    <w:p w14:paraId="602241B0" w14:textId="731DB83E" w:rsidR="00975673" w:rsidRDefault="00E77790" w:rsidP="00975673">
      <w:pPr>
        <w:spacing w:after="0"/>
        <w:rPr>
          <w:lang w:val="en-ZA"/>
        </w:rPr>
      </w:pPr>
      <w:r>
        <w:rPr>
          <w:lang w:val="en-ZA"/>
        </w:rPr>
        <w:t xml:space="preserve">The cereal grains (pearl millet and maize) chosen for this study are major staple foods in sub-Saharan Africa </w:t>
      </w:r>
      <w:r w:rsidRPr="00D162F2">
        <w:rPr>
          <w:lang w:val="en-ZA"/>
        </w:rPr>
        <w:t>(</w:t>
      </w:r>
      <w:r w:rsidRPr="00D162F2">
        <w:t>FAO, 201</w:t>
      </w:r>
      <w:r>
        <w:t>5; Ekpa et al., 2018</w:t>
      </w:r>
      <w:r w:rsidRPr="00D162F2">
        <w:rPr>
          <w:lang w:val="en-ZA"/>
        </w:rPr>
        <w:t>)</w:t>
      </w:r>
      <w:r>
        <w:rPr>
          <w:lang w:val="en-ZA"/>
        </w:rPr>
        <w:t xml:space="preserve">. </w:t>
      </w:r>
      <w:r>
        <w:rPr>
          <w:szCs w:val="24"/>
        </w:rPr>
        <w:t xml:space="preserve">Furthermore, pearl millet is the major cereal staple in the Sahel region of Africa (Taylor, 2019). </w:t>
      </w:r>
      <w:r>
        <w:rPr>
          <w:lang w:val="en-ZA"/>
        </w:rPr>
        <w:t>Cereals</w:t>
      </w:r>
      <w:r w:rsidRPr="00D162F2">
        <w:rPr>
          <w:lang w:val="en-ZA"/>
        </w:rPr>
        <w:t xml:space="preserve"> </w:t>
      </w:r>
      <w:r>
        <w:rPr>
          <w:lang w:val="en-ZA"/>
        </w:rPr>
        <w:t>primarily contribute carbohydrates in the form of starch (energy nutrient) to the diets. They can also contribute some minerals, as well as proteins, fats, vitamin E, B-vitamins and dietary fibre to the diet (Ranum et al., 2014; Taylor, 2016) but some of these can be lost during processing. For example, the pericarp and germ of maize and pearl millet are usually removed as bran during milling, thereby leading to a substantial loss (20–50%) of their minerals (</w:t>
      </w:r>
      <w:r>
        <w:t>Ekpa et al., 2019)</w:t>
      </w:r>
      <w:r>
        <w:rPr>
          <w:lang w:val="en-ZA"/>
        </w:rPr>
        <w:t>. Therefore, in this study food-to-food fortification of wholegrain pearl millet and maize was investigated.</w:t>
      </w:r>
    </w:p>
    <w:p w14:paraId="03F73AED" w14:textId="0527D191" w:rsidR="00832253" w:rsidRDefault="00832253" w:rsidP="0040670A">
      <w:pPr>
        <w:spacing w:after="0"/>
        <w:rPr>
          <w:rFonts w:cs="Times New Roman"/>
          <w:szCs w:val="24"/>
          <w:lang w:val="en-ZA"/>
        </w:rPr>
      </w:pPr>
      <w:r>
        <w:rPr>
          <w:rFonts w:cs="Times New Roman"/>
          <w:noProof/>
          <w:szCs w:val="24"/>
          <w:lang w:val="en-ZA" w:eastAsia="en-ZA"/>
        </w:rPr>
        <w:drawing>
          <wp:inline distT="0" distB="0" distL="0" distR="0" wp14:anchorId="5B935D71" wp14:editId="017BCB03">
            <wp:extent cx="5698630" cy="200533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16742" cy="2011704"/>
                    </a:xfrm>
                    <a:prstGeom prst="rect">
                      <a:avLst/>
                    </a:prstGeom>
                    <a:noFill/>
                  </pic:spPr>
                </pic:pic>
              </a:graphicData>
            </a:graphic>
          </wp:inline>
        </w:drawing>
      </w:r>
    </w:p>
    <w:p w14:paraId="639F56DF" w14:textId="59C4B3C7" w:rsidR="00832253" w:rsidRPr="008C40BF" w:rsidRDefault="00832253" w:rsidP="008C40BF">
      <w:pPr>
        <w:pStyle w:val="Myfigures"/>
        <w:spacing w:after="0" w:line="240" w:lineRule="auto"/>
        <w:rPr>
          <w:lang w:val="en-ZA"/>
        </w:rPr>
      </w:pPr>
      <w:bookmarkStart w:id="158" w:name="_Toc65253652"/>
      <w:r w:rsidRPr="008C40BF">
        <w:rPr>
          <w:b/>
          <w:bCs/>
          <w:lang w:val="en-ZA"/>
        </w:rPr>
        <w:t>Figure 5:1:</w:t>
      </w:r>
      <w:r w:rsidRPr="008C40BF">
        <w:rPr>
          <w:lang w:val="en-ZA"/>
        </w:rPr>
        <w:t xml:space="preserve"> </w:t>
      </w:r>
      <w:r w:rsidR="00083218">
        <w:rPr>
          <w:lang w:val="en-ZA"/>
        </w:rPr>
        <w:t>Images</w:t>
      </w:r>
      <w:r w:rsidRPr="008C40BF">
        <w:rPr>
          <w:lang w:val="en-ZA"/>
        </w:rPr>
        <w:t xml:space="preserve"> of raw wholegrain maize (A) and wholegrain pearl millet (B)</w:t>
      </w:r>
      <w:bookmarkEnd w:id="158"/>
    </w:p>
    <w:p w14:paraId="5DEE6490" w14:textId="503CFB3B" w:rsidR="00832253" w:rsidRPr="008C40BF" w:rsidRDefault="00832253" w:rsidP="00832253">
      <w:pPr>
        <w:spacing w:after="0" w:line="240" w:lineRule="auto"/>
        <w:rPr>
          <w:rFonts w:cs="Times New Roman"/>
          <w:sz w:val="20"/>
          <w:szCs w:val="20"/>
        </w:rPr>
      </w:pPr>
      <w:r w:rsidRPr="008C40BF">
        <w:rPr>
          <w:rFonts w:cs="Times New Roman"/>
          <w:sz w:val="20"/>
          <w:szCs w:val="20"/>
          <w:vertAlign w:val="superscript"/>
          <w:lang w:val="en-ZA"/>
        </w:rPr>
        <w:t>A</w:t>
      </w:r>
      <w:hyperlink r:id="rId20" w:history="1">
        <w:r w:rsidRPr="008C40BF">
          <w:rPr>
            <w:rStyle w:val="Hyperlink"/>
            <w:rFonts w:cs="Times New Roman"/>
            <w:color w:val="auto"/>
            <w:sz w:val="20"/>
            <w:szCs w:val="20"/>
            <w:u w:val="none"/>
          </w:rPr>
          <w:t>https://agrocommtrade.com/all-you-need-to-know-about-white-maize/</w:t>
        </w:r>
      </w:hyperlink>
    </w:p>
    <w:p w14:paraId="4E7ED7CE" w14:textId="70B82522" w:rsidR="00832253" w:rsidRPr="008C40BF" w:rsidRDefault="00832253" w:rsidP="00832253">
      <w:pPr>
        <w:spacing w:after="0" w:line="240" w:lineRule="auto"/>
        <w:rPr>
          <w:rFonts w:cs="Times New Roman"/>
          <w:sz w:val="20"/>
          <w:szCs w:val="20"/>
        </w:rPr>
      </w:pPr>
      <w:r w:rsidRPr="008C40BF">
        <w:rPr>
          <w:rFonts w:cs="Times New Roman"/>
          <w:sz w:val="20"/>
          <w:szCs w:val="20"/>
          <w:vertAlign w:val="superscript"/>
        </w:rPr>
        <w:t>B</w:t>
      </w:r>
      <w:r w:rsidRPr="008C40BF">
        <w:rPr>
          <w:rFonts w:cs="Times New Roman"/>
          <w:sz w:val="20"/>
          <w:szCs w:val="20"/>
        </w:rPr>
        <w:t>https://www.ebay.com/c/3028032181</w:t>
      </w:r>
    </w:p>
    <w:p w14:paraId="115E9FBC" w14:textId="1D94CCCB" w:rsidR="00832253" w:rsidRDefault="00832253" w:rsidP="0040670A">
      <w:pPr>
        <w:spacing w:after="0"/>
        <w:rPr>
          <w:rFonts w:cs="Times New Roman"/>
          <w:szCs w:val="24"/>
          <w:lang w:val="en-ZA"/>
        </w:rPr>
      </w:pPr>
    </w:p>
    <w:p w14:paraId="3F05F913" w14:textId="51839E8D" w:rsidR="008C40BF" w:rsidRDefault="0086108C" w:rsidP="002501EB">
      <w:pPr>
        <w:rPr>
          <w:lang w:val="en-ZA"/>
        </w:rPr>
      </w:pPr>
      <w:r w:rsidRPr="008974D3">
        <w:t xml:space="preserve">However, like other wholegrain cereals, pearl millet and maize are high in antinutritional factors, including phytate primarily, dietary fibre (Taylor, 2016; Ekpa et al., 2019) and polyphenols in pearl millet (Taylor, 2016). These antinutritional factors are well known to inhibit mineral bioavailability. </w:t>
      </w:r>
      <w:bookmarkStart w:id="159" w:name="_Hlk65134761"/>
      <w:r w:rsidR="00B323F2" w:rsidRPr="008974D3">
        <w:t>Thus, in this study, the wholegrain pearl millet and maize were fortified with plant foodstuffs rich in minerals and their bioavailability enhancers.</w:t>
      </w:r>
      <w:r w:rsidR="00B323F2">
        <w:t xml:space="preserve"> </w:t>
      </w:r>
      <w:bookmarkStart w:id="160" w:name="_Hlk65157817"/>
      <w:r w:rsidR="003E63C3" w:rsidRPr="006F371A">
        <w:rPr>
          <w:rFonts w:cs="Times New Roman"/>
          <w:szCs w:val="24"/>
        </w:rPr>
        <w:t xml:space="preserve">The micronutrient-rich plant food fortificants (moringa leaves, baobab fruit, carrot, mango, papaya and hibiscus calyxes), which were included either to increase the mineral contents or to enhance mineral bioaccessibility in the cereal-based foods </w:t>
      </w:r>
      <w:r w:rsidR="003E63C3">
        <w:rPr>
          <w:rFonts w:cs="Times New Roman"/>
          <w:szCs w:val="24"/>
        </w:rPr>
        <w:t>were specifically chosen because they are</w:t>
      </w:r>
      <w:r w:rsidR="003E63C3" w:rsidRPr="006F371A">
        <w:rPr>
          <w:rFonts w:cs="Times New Roman"/>
          <w:szCs w:val="24"/>
        </w:rPr>
        <w:t xml:space="preserve"> locally and commercially available </w:t>
      </w:r>
      <w:r w:rsidR="003E63C3">
        <w:rPr>
          <w:rFonts w:cs="Times New Roman"/>
          <w:szCs w:val="24"/>
        </w:rPr>
        <w:t xml:space="preserve">and consumed </w:t>
      </w:r>
      <w:r w:rsidR="003E63C3" w:rsidRPr="006F371A">
        <w:rPr>
          <w:rFonts w:cs="Times New Roman"/>
          <w:szCs w:val="24"/>
        </w:rPr>
        <w:t>in the Sahel and Semi-arid regions of Africa, where the project is majorly focused.</w:t>
      </w:r>
      <w:bookmarkEnd w:id="159"/>
      <w:bookmarkEnd w:id="160"/>
    </w:p>
    <w:p w14:paraId="4F1EA082" w14:textId="77777777" w:rsidR="008C40BF" w:rsidRDefault="008C40BF" w:rsidP="003E63C3">
      <w:pPr>
        <w:spacing w:after="0"/>
        <w:rPr>
          <w:lang w:val="en-ZA"/>
        </w:rPr>
      </w:pPr>
    </w:p>
    <w:p w14:paraId="715B23D8" w14:textId="725020BF" w:rsidR="008C40BF" w:rsidRDefault="008C40BF" w:rsidP="002501EB">
      <w:pPr>
        <w:rPr>
          <w:lang w:val="en-ZA"/>
        </w:rPr>
      </w:pPr>
      <w:r>
        <w:rPr>
          <w:noProof/>
          <w:lang w:val="en-ZA" w:eastAsia="en-ZA"/>
        </w:rPr>
        <w:drawing>
          <wp:inline distT="0" distB="0" distL="0" distR="0" wp14:anchorId="07054164" wp14:editId="6FAA527F">
            <wp:extent cx="5569071" cy="3187363"/>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06039" cy="3208521"/>
                    </a:xfrm>
                    <a:prstGeom prst="rect">
                      <a:avLst/>
                    </a:prstGeom>
                    <a:noFill/>
                  </pic:spPr>
                </pic:pic>
              </a:graphicData>
            </a:graphic>
          </wp:inline>
        </w:drawing>
      </w:r>
    </w:p>
    <w:p w14:paraId="069ED413" w14:textId="5AE2D2E0" w:rsidR="008C40BF" w:rsidRDefault="008C40BF" w:rsidP="008C40BF">
      <w:pPr>
        <w:pStyle w:val="Myfigures"/>
        <w:spacing w:after="0" w:line="240" w:lineRule="auto"/>
        <w:rPr>
          <w:lang w:val="en-ZA"/>
        </w:rPr>
      </w:pPr>
      <w:bookmarkStart w:id="161" w:name="_Toc65253653"/>
      <w:r w:rsidRPr="008C40BF">
        <w:rPr>
          <w:b/>
          <w:bCs/>
          <w:lang w:val="en-ZA"/>
        </w:rPr>
        <w:t>Figure 5.2:</w:t>
      </w:r>
      <w:r>
        <w:rPr>
          <w:lang w:val="en-ZA"/>
        </w:rPr>
        <w:t xml:space="preserve"> </w:t>
      </w:r>
      <w:r w:rsidR="00300F69">
        <w:rPr>
          <w:lang w:val="en-ZA"/>
        </w:rPr>
        <w:t>Images</w:t>
      </w:r>
      <w:r>
        <w:rPr>
          <w:lang w:val="en-ZA"/>
        </w:rPr>
        <w:t xml:space="preserve"> of raw moringa leaves (A), baobab fruit (B), mango fruit (C), papaya (D), carrots (E) and dry hibiscus calyxes (F)</w:t>
      </w:r>
      <w:bookmarkEnd w:id="161"/>
    </w:p>
    <w:p w14:paraId="163A83F1" w14:textId="77777777" w:rsidR="008C40BF" w:rsidRPr="008C40BF" w:rsidRDefault="008C40BF" w:rsidP="008C40BF">
      <w:pPr>
        <w:spacing w:after="0" w:line="240" w:lineRule="auto"/>
        <w:rPr>
          <w:sz w:val="20"/>
          <w:szCs w:val="20"/>
          <w:lang w:val="en-ZA"/>
        </w:rPr>
      </w:pPr>
      <w:r w:rsidRPr="008C40BF">
        <w:rPr>
          <w:sz w:val="20"/>
          <w:szCs w:val="20"/>
          <w:vertAlign w:val="superscript"/>
          <w:lang w:val="en-ZA"/>
        </w:rPr>
        <w:t>A</w:t>
      </w:r>
      <w:hyperlink r:id="rId22" w:history="1">
        <w:r w:rsidRPr="008C40BF">
          <w:rPr>
            <w:rStyle w:val="Hyperlink"/>
            <w:rFonts w:cs="Times New Roman"/>
            <w:color w:val="auto"/>
            <w:sz w:val="20"/>
            <w:szCs w:val="20"/>
            <w:u w:val="none"/>
          </w:rPr>
          <w:t>https://www.herbalgoodnessco.com/blogs/healthy-living/the-magic-of-moringa-leaves-benefits-and-uses</w:t>
        </w:r>
      </w:hyperlink>
    </w:p>
    <w:p w14:paraId="5DE48060" w14:textId="77777777" w:rsidR="008C40BF" w:rsidRPr="008C40BF" w:rsidRDefault="008C40BF" w:rsidP="008C40BF">
      <w:pPr>
        <w:spacing w:after="0" w:line="240" w:lineRule="auto"/>
        <w:rPr>
          <w:rFonts w:cs="Times New Roman"/>
          <w:sz w:val="20"/>
          <w:szCs w:val="20"/>
        </w:rPr>
      </w:pPr>
      <w:r w:rsidRPr="008C40BF">
        <w:rPr>
          <w:sz w:val="20"/>
          <w:szCs w:val="20"/>
          <w:vertAlign w:val="superscript"/>
          <w:lang w:val="en-ZA"/>
        </w:rPr>
        <w:t>B</w:t>
      </w:r>
      <w:r w:rsidRPr="008C40BF">
        <w:rPr>
          <w:sz w:val="20"/>
          <w:szCs w:val="20"/>
          <w:lang w:val="en-US"/>
        </w:rPr>
        <w:t>http://www.trainer.ae/articles/4-health-benefits-of-baobab-you-didnt-know-10428</w:t>
      </w:r>
      <w:r w:rsidRPr="008C40BF">
        <w:rPr>
          <w:sz w:val="20"/>
          <w:szCs w:val="20"/>
          <w:vertAlign w:val="superscript"/>
          <w:lang w:val="en-ZA"/>
        </w:rPr>
        <w:t>C</w:t>
      </w:r>
      <w:hyperlink r:id="rId23" w:history="1">
        <w:r w:rsidRPr="008C40BF">
          <w:rPr>
            <w:rStyle w:val="Hyperlink"/>
            <w:rFonts w:cs="Times New Roman"/>
            <w:color w:val="auto"/>
            <w:sz w:val="20"/>
            <w:szCs w:val="20"/>
            <w:u w:val="none"/>
          </w:rPr>
          <w:t>https://www.indiamart.com/proddetail/neelam-mango-fruit-20370345973.html</w:t>
        </w:r>
      </w:hyperlink>
    </w:p>
    <w:p w14:paraId="221DDC30" w14:textId="77777777" w:rsidR="008C40BF" w:rsidRPr="008C40BF" w:rsidRDefault="008C40BF" w:rsidP="008C40BF">
      <w:pPr>
        <w:spacing w:after="0" w:line="240" w:lineRule="auto"/>
        <w:rPr>
          <w:rFonts w:cs="Times New Roman"/>
          <w:sz w:val="20"/>
          <w:szCs w:val="20"/>
        </w:rPr>
      </w:pPr>
      <w:r w:rsidRPr="008C40BF">
        <w:rPr>
          <w:sz w:val="20"/>
          <w:szCs w:val="20"/>
          <w:vertAlign w:val="superscript"/>
          <w:lang w:val="en-ZA"/>
        </w:rPr>
        <w:t>D</w:t>
      </w:r>
      <w:hyperlink r:id="rId24" w:history="1">
        <w:r w:rsidRPr="008C40BF">
          <w:rPr>
            <w:rStyle w:val="Hyperlink"/>
            <w:rFonts w:cs="Times New Roman"/>
            <w:color w:val="auto"/>
            <w:sz w:val="20"/>
            <w:szCs w:val="20"/>
            <w:u w:val="none"/>
          </w:rPr>
          <w:t>https://www.catalyticgenerators.com/ripening_tips/papayas/</w:t>
        </w:r>
      </w:hyperlink>
    </w:p>
    <w:p w14:paraId="6E94D3D5" w14:textId="77777777" w:rsidR="008C40BF" w:rsidRPr="008C40BF" w:rsidRDefault="008C40BF" w:rsidP="008C40BF">
      <w:pPr>
        <w:spacing w:after="0" w:line="240" w:lineRule="auto"/>
        <w:rPr>
          <w:rFonts w:cs="Times New Roman"/>
          <w:sz w:val="20"/>
          <w:szCs w:val="20"/>
        </w:rPr>
      </w:pPr>
      <w:r w:rsidRPr="008C40BF">
        <w:rPr>
          <w:sz w:val="20"/>
          <w:szCs w:val="20"/>
          <w:vertAlign w:val="superscript"/>
          <w:lang w:val="en-ZA"/>
        </w:rPr>
        <w:t>E</w:t>
      </w:r>
      <w:hyperlink r:id="rId25" w:history="1">
        <w:r w:rsidRPr="008C40BF">
          <w:rPr>
            <w:rStyle w:val="Hyperlink"/>
            <w:rFonts w:cs="Times New Roman"/>
            <w:color w:val="auto"/>
            <w:sz w:val="20"/>
            <w:szCs w:val="20"/>
            <w:u w:val="none"/>
          </w:rPr>
          <w:t>https://www.irishtimes.com/life-and-style/food-and-drink/how-many-uses-can-you-find-for-a-bunch-of-carrots-1.3818058</w:t>
        </w:r>
      </w:hyperlink>
    </w:p>
    <w:p w14:paraId="5E8F8DA2" w14:textId="77777777" w:rsidR="008C40BF" w:rsidRPr="008C40BF" w:rsidRDefault="008C40BF" w:rsidP="008C40BF">
      <w:pPr>
        <w:spacing w:after="0" w:line="240" w:lineRule="auto"/>
        <w:rPr>
          <w:rFonts w:cs="Times New Roman"/>
          <w:szCs w:val="24"/>
        </w:rPr>
      </w:pPr>
      <w:r w:rsidRPr="008C40BF">
        <w:rPr>
          <w:sz w:val="20"/>
          <w:szCs w:val="20"/>
          <w:vertAlign w:val="superscript"/>
          <w:lang w:val="en-ZA"/>
        </w:rPr>
        <w:t>F</w:t>
      </w:r>
      <w:hyperlink r:id="rId26" w:history="1">
        <w:r w:rsidRPr="008C40BF">
          <w:rPr>
            <w:rStyle w:val="Hyperlink"/>
            <w:rFonts w:cs="Times New Roman"/>
            <w:color w:val="auto"/>
            <w:sz w:val="20"/>
            <w:szCs w:val="20"/>
            <w:u w:val="none"/>
          </w:rPr>
          <w:t>https://www.amazon.co.uk/MQH-WholefoodsTM-Naturally-Organically-Pesticide/dp/B01MQWW7SG</w:t>
        </w:r>
      </w:hyperlink>
    </w:p>
    <w:p w14:paraId="323DC442" w14:textId="77777777" w:rsidR="008C40BF" w:rsidRDefault="008C40BF" w:rsidP="002501EB">
      <w:pPr>
        <w:rPr>
          <w:lang w:val="en-ZA"/>
        </w:rPr>
      </w:pPr>
    </w:p>
    <w:p w14:paraId="503003E3" w14:textId="53920174" w:rsidR="0086108C" w:rsidRDefault="0086108C" w:rsidP="002501EB">
      <w:r>
        <w:rPr>
          <w:lang w:val="en-ZA"/>
        </w:rPr>
        <w:t>The powdered form of the plant food fortificants were added to the cereal foods at levels of 2.5 g/100 g to 15 g/100 g dry porridge. These levels of fortification were chosen as being realistic for food-to-food fortification considering their impacts on the cost and sensory properties of the food. This range of fortification level falls within</w:t>
      </w:r>
      <w:r w:rsidRPr="00877E8E">
        <w:rPr>
          <w:lang w:val="en-ZA"/>
        </w:rPr>
        <w:t xml:space="preserve"> </w:t>
      </w:r>
      <w:r w:rsidRPr="00877E8E">
        <w:t xml:space="preserve">1 and 50% </w:t>
      </w:r>
      <w:r>
        <w:t>stated</w:t>
      </w:r>
      <w:r w:rsidRPr="00877E8E">
        <w:t xml:space="preserve"> for food-to-food fortification in a recent review </w:t>
      </w:r>
      <w:r>
        <w:t xml:space="preserve">by </w:t>
      </w:r>
      <w:r w:rsidRPr="00877E8E">
        <w:t xml:space="preserve">Chadare et al. </w:t>
      </w:r>
      <w:r>
        <w:t>(</w:t>
      </w:r>
      <w:r w:rsidRPr="00877E8E">
        <w:t>2019)</w:t>
      </w:r>
      <w:r w:rsidRPr="00D92FA6">
        <w:t xml:space="preserve">. </w:t>
      </w:r>
      <w:r>
        <w:t>Fortification of staple cereal foods with micronutrient-rich plant foodstuffs, which are relatively expensive, would increase the cost of the fortified food product. For example, in Kenya, food-to-food fortified instant cereal porridges with 20% carrot powder and baobab fruit increased the net cost of the fortified product by 28% (De Groote et al., 2020). Notwithstanding this, this study and a related study in Senegal (De Groote et al., 2018) revealed that consumers are willing to pay a significant premium for these fruit and vegetable food-to-food fortified cereal products.</w:t>
      </w:r>
      <w:r w:rsidR="00612E13">
        <w:t xml:space="preserve"> </w:t>
      </w:r>
      <w:r w:rsidR="00612E13">
        <w:rPr>
          <w:rFonts w:cs="Times New Roman"/>
          <w:szCs w:val="24"/>
        </w:rPr>
        <w:t>Thus, it is likely that the food-to-food fortified products in this study will be acceptable to consumers.</w:t>
      </w:r>
    </w:p>
    <w:p w14:paraId="747AD859" w14:textId="77777777" w:rsidR="0009246E" w:rsidRDefault="0009246E" w:rsidP="00832253">
      <w:pPr>
        <w:spacing w:after="0"/>
        <w:rPr>
          <w:lang w:val="en-ZA"/>
        </w:rPr>
      </w:pPr>
    </w:p>
    <w:p w14:paraId="02FE6D43" w14:textId="52B6A014" w:rsidR="0086108C" w:rsidRDefault="0086108C" w:rsidP="0001787C">
      <w:pPr>
        <w:rPr>
          <w:lang w:val="en-ZA"/>
        </w:rPr>
      </w:pPr>
      <w:r>
        <w:rPr>
          <w:lang w:val="en-ZA"/>
        </w:rPr>
        <w:t xml:space="preserve">For the </w:t>
      </w:r>
      <w:r w:rsidR="00D5016D">
        <w:rPr>
          <w:i/>
          <w:iCs/>
          <w:lang w:val="en-ZA"/>
        </w:rPr>
        <w:t>i</w:t>
      </w:r>
      <w:r w:rsidR="00D5016D" w:rsidRPr="00D5016D">
        <w:rPr>
          <w:i/>
          <w:iCs/>
          <w:lang w:val="en-ZA"/>
        </w:rPr>
        <w:t>n vitro</w:t>
      </w:r>
      <w:r>
        <w:rPr>
          <w:lang w:val="en-ZA"/>
        </w:rPr>
        <w:t xml:space="preserve"> dialysability assay to yield data that is meaningful in respect of human bioavailability, the food sample to be analysed needs to be prepared in the way in which it is normally consumed (</w:t>
      </w:r>
      <w:r w:rsidRPr="00066F08">
        <w:t>Fairweather-Tait et al.</w:t>
      </w:r>
      <w:r>
        <w:t xml:space="preserve">, </w:t>
      </w:r>
      <w:r w:rsidRPr="00066F08">
        <w:t>2005)</w:t>
      </w:r>
      <w:r>
        <w:t xml:space="preserve">. </w:t>
      </w:r>
      <w:r w:rsidR="004046B1">
        <w:rPr>
          <w:szCs w:val="24"/>
        </w:rPr>
        <w:t xml:space="preserve">Thus, the food-to-food fortified porridges were wet-cooked to mimic normal home-based traditional cooking, especially for rural communities and for impoverished urban dwellers. Extrusion-cooking, conventional mineral, and micronutrient premix fortification plus food-to-food fortification of cereal porridges was done to mimic large-scale manufacture of fortified foods intended for urban communities with some disposable income. </w:t>
      </w:r>
      <w:r w:rsidR="004046B1">
        <w:t>I</w:t>
      </w:r>
      <w:r>
        <w:t>n</w:t>
      </w:r>
      <w:r>
        <w:rPr>
          <w:lang w:val="en-ZA"/>
        </w:rPr>
        <w:t xml:space="preserve"> Chapters </w:t>
      </w:r>
      <w:r w:rsidR="009C05D5">
        <w:rPr>
          <w:lang w:val="en-ZA"/>
        </w:rPr>
        <w:t>4.</w:t>
      </w:r>
      <w:r>
        <w:rPr>
          <w:lang w:val="en-ZA"/>
        </w:rPr>
        <w:t xml:space="preserve">1 and </w:t>
      </w:r>
      <w:r w:rsidR="009C05D5">
        <w:rPr>
          <w:lang w:val="en-ZA"/>
        </w:rPr>
        <w:t>4.</w:t>
      </w:r>
      <w:r>
        <w:rPr>
          <w:lang w:val="en-ZA"/>
        </w:rPr>
        <w:t>2</w:t>
      </w:r>
      <w:r w:rsidR="006E7C1D">
        <w:rPr>
          <w:lang w:val="en-ZA"/>
        </w:rPr>
        <w:t>–4.3</w:t>
      </w:r>
      <w:r>
        <w:rPr>
          <w:lang w:val="en-ZA"/>
        </w:rPr>
        <w:t xml:space="preserve">, the pearl millet and maize flour, respectively were wet-cooked, after which they were freeze-dried. Freeze-drying technique, although relatively costlier than other drying techniques, was used as it is the least damaging to nutrients (Fellows, 2009). With the pearl millet plus moringa formulation, the moringa leaves, although usually consumed as a cooked vegetable (Fuglie, 2001), was added to the porridge powder in a raw powdered form, as a mineral source (Chapter </w:t>
      </w:r>
      <w:r w:rsidR="009C05D5">
        <w:rPr>
          <w:lang w:val="en-ZA"/>
        </w:rPr>
        <w:t>4.</w:t>
      </w:r>
      <w:r>
        <w:rPr>
          <w:lang w:val="en-ZA"/>
        </w:rPr>
        <w:t>1). Although convenient, this was probably a weakness in the experimental design. However, consumption of raw moringa leaves has been reported (Kushwaha, 2015). In Chapter</w:t>
      </w:r>
      <w:r w:rsidR="00064809">
        <w:rPr>
          <w:lang w:val="en-ZA"/>
        </w:rPr>
        <w:t xml:space="preserve"> </w:t>
      </w:r>
      <w:r w:rsidR="009C05D5">
        <w:rPr>
          <w:lang w:val="en-ZA"/>
        </w:rPr>
        <w:t>4.</w:t>
      </w:r>
      <w:r>
        <w:rPr>
          <w:lang w:val="en-ZA"/>
        </w:rPr>
        <w:t xml:space="preserve">2, </w:t>
      </w:r>
      <w:r w:rsidR="009C05D5">
        <w:rPr>
          <w:lang w:val="en-ZA"/>
        </w:rPr>
        <w:t xml:space="preserve">the </w:t>
      </w:r>
      <w:r>
        <w:rPr>
          <w:lang w:val="en-ZA"/>
        </w:rPr>
        <w:t>moringa leaf powder was cooked with the maize porridge</w:t>
      </w:r>
      <w:r w:rsidR="009C05D5">
        <w:rPr>
          <w:lang w:val="en-ZA"/>
        </w:rPr>
        <w:t>s</w:t>
      </w:r>
      <w:r>
        <w:rPr>
          <w:lang w:val="en-ZA"/>
        </w:rPr>
        <w:t xml:space="preserve">. </w:t>
      </w:r>
    </w:p>
    <w:p w14:paraId="75B25397" w14:textId="77777777" w:rsidR="0086108C" w:rsidRDefault="0086108C" w:rsidP="0040670A">
      <w:pPr>
        <w:spacing w:after="0"/>
        <w:rPr>
          <w:lang w:val="en-ZA"/>
        </w:rPr>
      </w:pPr>
    </w:p>
    <w:p w14:paraId="553DC729" w14:textId="258574D4" w:rsidR="0086108C" w:rsidRPr="005708BE" w:rsidRDefault="0086108C" w:rsidP="0001787C">
      <w:r>
        <w:rPr>
          <w:lang w:val="en-ZA"/>
        </w:rPr>
        <w:t xml:space="preserve">With </w:t>
      </w:r>
      <w:r w:rsidR="00064809">
        <w:rPr>
          <w:lang w:val="en-ZA"/>
        </w:rPr>
        <w:t xml:space="preserve">the </w:t>
      </w:r>
      <w:r>
        <w:rPr>
          <w:lang w:val="en-ZA"/>
        </w:rPr>
        <w:t>cereal plus baobab fruit pulp and/or mango formulations</w:t>
      </w:r>
      <w:r w:rsidR="006E7C1D">
        <w:rPr>
          <w:lang w:val="en-ZA"/>
        </w:rPr>
        <w:t>,</w:t>
      </w:r>
      <w:r>
        <w:rPr>
          <w:lang w:val="en-ZA"/>
        </w:rPr>
        <w:t xml:space="preserve"> baobab fruit pulp and mango powder were added after cooking</w:t>
      </w:r>
      <w:r w:rsidR="00064809">
        <w:rPr>
          <w:lang w:val="en-ZA"/>
        </w:rPr>
        <w:t xml:space="preserve"> in all the studies</w:t>
      </w:r>
      <w:r>
        <w:rPr>
          <w:lang w:val="en-ZA"/>
        </w:rPr>
        <w:t xml:space="preserve">. This was done since both </w:t>
      </w:r>
      <w:r w:rsidRPr="00E01AE9">
        <w:t xml:space="preserve">baobab fruit </w:t>
      </w:r>
      <w:r>
        <w:t>and mango fruit are</w:t>
      </w:r>
      <w:r w:rsidRPr="00E01AE9">
        <w:t xml:space="preserve"> usually consumed raw like most fruits</w:t>
      </w:r>
      <w:r>
        <w:t xml:space="preserve">. This was also advantageous because </w:t>
      </w:r>
      <w:r w:rsidR="000570A5">
        <w:t>thermal treatment</w:t>
      </w:r>
      <w:r>
        <w:t xml:space="preserve"> </w:t>
      </w:r>
      <w:r w:rsidR="000570A5">
        <w:t xml:space="preserve">of the fruits </w:t>
      </w:r>
      <w:r>
        <w:t>could de</w:t>
      </w:r>
      <w:r w:rsidR="00783B3A">
        <w:t>grade</w:t>
      </w:r>
      <w:r>
        <w:t xml:space="preserve"> some of their mineral bioavailability enhancers</w:t>
      </w:r>
      <w:r w:rsidR="006E7C1D">
        <w:t xml:space="preserve">, </w:t>
      </w:r>
      <w:r w:rsidR="00783B3A">
        <w:t>especially</w:t>
      </w:r>
      <w:r w:rsidR="006E7C1D">
        <w:t xml:space="preserve"> ascorbic acid</w:t>
      </w:r>
      <w:r w:rsidR="00027C3E">
        <w:t xml:space="preserve"> </w:t>
      </w:r>
      <w:r w:rsidR="00783B3A">
        <w:t>(</w:t>
      </w:r>
      <w:r w:rsidR="00027C3E">
        <w:t>Tembo et al</w:t>
      </w:r>
      <w:r w:rsidR="00783B3A">
        <w:t xml:space="preserve">., </w:t>
      </w:r>
      <w:r w:rsidR="00027C3E">
        <w:t>2017)</w:t>
      </w:r>
      <w:r>
        <w:t>.</w:t>
      </w:r>
    </w:p>
    <w:p w14:paraId="1F1881B4" w14:textId="77777777" w:rsidR="000570A5" w:rsidRDefault="000570A5" w:rsidP="000570A5">
      <w:pPr>
        <w:spacing w:after="0"/>
        <w:rPr>
          <w:lang w:val="en-ZA"/>
        </w:rPr>
      </w:pPr>
    </w:p>
    <w:p w14:paraId="46603543" w14:textId="0BDFADBA" w:rsidR="0086108C" w:rsidRDefault="0086108C" w:rsidP="0001787C">
      <w:pPr>
        <w:rPr>
          <w:lang w:val="en-ZA"/>
        </w:rPr>
      </w:pPr>
      <w:r>
        <w:rPr>
          <w:lang w:val="en-ZA"/>
        </w:rPr>
        <w:t xml:space="preserve">With the maize porridge products fortified with carrot powder, </w:t>
      </w:r>
      <w:r w:rsidR="00064809">
        <w:rPr>
          <w:lang w:val="en-ZA"/>
        </w:rPr>
        <w:t>it</w:t>
      </w:r>
      <w:r>
        <w:rPr>
          <w:lang w:val="en-ZA"/>
        </w:rPr>
        <w:t xml:space="preserve"> was cooked (</w:t>
      </w:r>
      <w:r w:rsidR="0040670A">
        <w:rPr>
          <w:lang w:val="en-ZA"/>
        </w:rPr>
        <w:t>C</w:t>
      </w:r>
      <w:r>
        <w:rPr>
          <w:lang w:val="en-ZA"/>
        </w:rPr>
        <w:t xml:space="preserve">hapters </w:t>
      </w:r>
      <w:r w:rsidR="00064809">
        <w:rPr>
          <w:lang w:val="en-ZA"/>
        </w:rPr>
        <w:t>4.</w:t>
      </w:r>
      <w:r>
        <w:rPr>
          <w:lang w:val="en-ZA"/>
        </w:rPr>
        <w:t xml:space="preserve">2 and </w:t>
      </w:r>
      <w:r w:rsidR="00064809">
        <w:rPr>
          <w:lang w:val="en-ZA"/>
        </w:rPr>
        <w:t>4.</w:t>
      </w:r>
      <w:r>
        <w:rPr>
          <w:lang w:val="en-ZA"/>
        </w:rPr>
        <w:t xml:space="preserve">3) </w:t>
      </w:r>
      <w:r w:rsidR="00064809">
        <w:rPr>
          <w:lang w:val="en-ZA"/>
        </w:rPr>
        <w:t>as</w:t>
      </w:r>
      <w:r>
        <w:rPr>
          <w:lang w:val="en-ZA"/>
        </w:rPr>
        <w:t xml:space="preserve"> carrots are </w:t>
      </w:r>
      <w:r w:rsidR="00064809">
        <w:rPr>
          <w:lang w:val="en-ZA"/>
        </w:rPr>
        <w:t xml:space="preserve">normally </w:t>
      </w:r>
      <w:r>
        <w:rPr>
          <w:lang w:val="en-ZA"/>
        </w:rPr>
        <w:t>consumed cooked. Cooking the carrot powder with the porridge was also useful because cooking can improve its β-carotene bioaccessibility (Lemmens et al., 2011;</w:t>
      </w:r>
      <w:r w:rsidRPr="00D92FA6">
        <w:rPr>
          <w:lang w:val="en-ZA"/>
        </w:rPr>
        <w:t xml:space="preserve"> </w:t>
      </w:r>
      <w:r>
        <w:rPr>
          <w:lang w:val="en-ZA"/>
        </w:rPr>
        <w:t>Zaccari et al., 2015).</w:t>
      </w:r>
    </w:p>
    <w:p w14:paraId="73E815E4" w14:textId="77777777" w:rsidR="0086108C" w:rsidRDefault="0086108C" w:rsidP="0040670A">
      <w:pPr>
        <w:spacing w:after="0"/>
        <w:rPr>
          <w:lang w:val="en-ZA"/>
        </w:rPr>
      </w:pPr>
    </w:p>
    <w:p w14:paraId="299CC1C4" w14:textId="4DEA5413" w:rsidR="0086108C" w:rsidRDefault="0086108C" w:rsidP="0001787C">
      <w:r>
        <w:rPr>
          <w:lang w:val="en-ZA"/>
        </w:rPr>
        <w:t xml:space="preserve">In Chapter </w:t>
      </w:r>
      <w:r w:rsidR="00064809">
        <w:rPr>
          <w:lang w:val="en-ZA"/>
        </w:rPr>
        <w:t>4.</w:t>
      </w:r>
      <w:r>
        <w:rPr>
          <w:lang w:val="en-ZA"/>
        </w:rPr>
        <w:t xml:space="preserve">3, the pearl millet flour </w:t>
      </w:r>
      <w:r w:rsidR="00064809">
        <w:rPr>
          <w:lang w:val="en-ZA"/>
        </w:rPr>
        <w:t xml:space="preserve">and </w:t>
      </w:r>
      <w:r>
        <w:rPr>
          <w:lang w:val="en-ZA"/>
        </w:rPr>
        <w:t>the food fortificants were co-extrusion-cooked. This was done in order to produce convenient ready-to-eat food products</w:t>
      </w:r>
      <w:r w:rsidR="00064809">
        <w:rPr>
          <w:lang w:val="en-ZA"/>
        </w:rPr>
        <w:t>,</w:t>
      </w:r>
      <w:r>
        <w:rPr>
          <w:lang w:val="en-ZA"/>
        </w:rPr>
        <w:t xml:space="preserve"> as the demand for convenience-type nutritious food is increasing rapidly in Africa </w:t>
      </w:r>
      <w:r>
        <w:t xml:space="preserve">(Haggblade et al., 2016). </w:t>
      </w:r>
      <w:r w:rsidR="00064809">
        <w:t xml:space="preserve">A </w:t>
      </w:r>
      <w:r w:rsidR="00864852">
        <w:t>significant</w:t>
      </w:r>
      <w:r>
        <w:t xml:space="preserve"> limitation of th</w:t>
      </w:r>
      <w:r w:rsidR="00064809">
        <w:t>e</w:t>
      </w:r>
      <w:r>
        <w:t xml:space="preserve"> experimental design was that the extrusion-cooked food-to-food fortified pearl millet-based porridge formulations were only compared to raw wholegrain pearl millet for determination of the effects on mineral bioaccessibility. Thus, any observed effects on mineral bioaccessibility could not be directly attributed to the presence of the food fortificants</w:t>
      </w:r>
      <w:r w:rsidR="0040670A">
        <w:t xml:space="preserve"> only</w:t>
      </w:r>
      <w:r>
        <w:t xml:space="preserve">. </w:t>
      </w:r>
      <w:r w:rsidR="00864852">
        <w:t>As stated, it has been found t</w:t>
      </w:r>
      <w:r>
        <w:t>hat the high temperature and pressure of extrusion cooking process can degrade phytate and polyphenols and</w:t>
      </w:r>
      <w:r w:rsidR="0040670A">
        <w:t>,</w:t>
      </w:r>
      <w:r>
        <w:t xml:space="preserve"> hence</w:t>
      </w:r>
      <w:r w:rsidR="0040670A">
        <w:t>,</w:t>
      </w:r>
      <w:r>
        <w:t xml:space="preserve"> reduce their mineral-chelating capacity (Alonso et al., 2001; Kaur et al., 2015). However, this could not be confirmed in this study as the phytate and polyphenol contents of the pearl millet flour and plant food fortificants and the extrusion-cooked products were not determined. Therefore, in order to eliminate the possible effect of extrusion cooking in similar future studies, the control pearl millet porridge should also be extrusion-cooked to determine just the effect</w:t>
      </w:r>
      <w:r w:rsidR="00864852">
        <w:t>s</w:t>
      </w:r>
      <w:r>
        <w:t xml:space="preserve"> of the food fortificants on mineral bioaccessibility. </w:t>
      </w:r>
    </w:p>
    <w:p w14:paraId="7DC25271" w14:textId="77777777" w:rsidR="0086108C" w:rsidRDefault="0086108C" w:rsidP="0040670A">
      <w:pPr>
        <w:spacing w:after="0"/>
      </w:pPr>
    </w:p>
    <w:p w14:paraId="22E1BBE1" w14:textId="409FFA56" w:rsidR="0086108C" w:rsidRDefault="0086108C" w:rsidP="0001787C">
      <w:pPr>
        <w:rPr>
          <w:lang w:val="en-ZA"/>
        </w:rPr>
      </w:pPr>
      <w:r>
        <w:t>Another problem with the study was that the iron contents of the extrusion-cooked products were substantially elevated due to almost certainly iron contamination during the extrusion cooking process. This could have impacted upon the food products’ mineral bioaccessibility. Therefore, in future studies iron contamination of food products from food processing equipment needs to be avoided. This is because apart from any possible impacts on the research findings, more importantly, the products may also not be safe for human consumption as other unsafe metallic compounds could accompany the iron contamination.</w:t>
      </w:r>
    </w:p>
    <w:p w14:paraId="48F15FE9" w14:textId="77777777" w:rsidR="0086108C" w:rsidRDefault="0086108C" w:rsidP="0040670A">
      <w:pPr>
        <w:spacing w:after="0"/>
        <w:rPr>
          <w:lang w:val="en-ZA"/>
        </w:rPr>
      </w:pPr>
    </w:p>
    <w:p w14:paraId="7B995F0D" w14:textId="77777777" w:rsidR="004046B1" w:rsidRDefault="004046B1" w:rsidP="00BD44C6">
      <w:pPr>
        <w:spacing w:after="0"/>
        <w:rPr>
          <w:i/>
          <w:iCs/>
          <w:lang w:val="en-ZA"/>
        </w:rPr>
      </w:pPr>
    </w:p>
    <w:p w14:paraId="5043C965" w14:textId="77777777" w:rsidR="004046B1" w:rsidRDefault="004046B1" w:rsidP="00BD44C6">
      <w:pPr>
        <w:spacing w:after="0"/>
        <w:rPr>
          <w:i/>
          <w:iCs/>
          <w:lang w:val="en-ZA"/>
        </w:rPr>
      </w:pPr>
    </w:p>
    <w:p w14:paraId="69DF6CBF" w14:textId="45E07DB8" w:rsidR="0086108C" w:rsidRPr="00BD44C6" w:rsidRDefault="00D5016D" w:rsidP="00BD44C6">
      <w:pPr>
        <w:spacing w:after="0"/>
        <w:rPr>
          <w:i/>
          <w:iCs/>
          <w:lang w:val="en-ZA"/>
        </w:rPr>
      </w:pPr>
      <w:r w:rsidRPr="00BD44C6">
        <w:rPr>
          <w:i/>
          <w:iCs/>
          <w:lang w:val="en-ZA"/>
        </w:rPr>
        <w:t>In vitro</w:t>
      </w:r>
      <w:r w:rsidR="0086108C" w:rsidRPr="00BD44C6">
        <w:rPr>
          <w:i/>
          <w:iCs/>
          <w:lang w:val="en-ZA"/>
        </w:rPr>
        <w:t xml:space="preserve"> dialysability (bioaccessibility) assay</w:t>
      </w:r>
    </w:p>
    <w:p w14:paraId="3B5BC629" w14:textId="350EC6F3" w:rsidR="0086108C" w:rsidRDefault="0086108C" w:rsidP="0001787C">
      <w:pPr>
        <w:rPr>
          <w:rFonts w:cs="Times New Roman"/>
          <w:szCs w:val="24"/>
          <w:lang w:val="en-ZA"/>
        </w:rPr>
      </w:pPr>
      <w:r>
        <w:rPr>
          <w:rFonts w:cs="Times New Roman"/>
          <w:szCs w:val="24"/>
          <w:lang w:val="en-ZA"/>
        </w:rPr>
        <w:t xml:space="preserve">A weakness of this present study is that only one assay, the </w:t>
      </w:r>
      <w:r w:rsidR="00D5016D">
        <w:rPr>
          <w:rFonts w:cs="Times New Roman"/>
          <w:i/>
          <w:iCs/>
          <w:szCs w:val="24"/>
          <w:lang w:val="en-ZA"/>
        </w:rPr>
        <w:t>i</w:t>
      </w:r>
      <w:r w:rsidR="00D5016D" w:rsidRPr="00D5016D">
        <w:rPr>
          <w:rFonts w:cs="Times New Roman"/>
          <w:i/>
          <w:iCs/>
          <w:szCs w:val="24"/>
          <w:lang w:val="en-ZA"/>
        </w:rPr>
        <w:t>n vitro</w:t>
      </w:r>
      <w:r>
        <w:rPr>
          <w:rFonts w:cs="Times New Roman"/>
          <w:szCs w:val="24"/>
          <w:lang w:val="en-ZA"/>
        </w:rPr>
        <w:t xml:space="preserve"> dialysability assay</w:t>
      </w:r>
      <w:r w:rsidR="00864852">
        <w:rPr>
          <w:rFonts w:cs="Times New Roman"/>
          <w:szCs w:val="24"/>
          <w:lang w:val="en-ZA"/>
        </w:rPr>
        <w:t>,</w:t>
      </w:r>
      <w:r>
        <w:rPr>
          <w:rFonts w:cs="Times New Roman"/>
          <w:szCs w:val="24"/>
          <w:lang w:val="en-ZA"/>
        </w:rPr>
        <w:t xml:space="preserve"> was used to investigate the effects of the food fortificants on mineral bioaccessibility and to predict their potential to improve the mineral status of at-risk populations in Africa.  Due to the COVID-19 pandemic, access to laboratory facilities was </w:t>
      </w:r>
      <w:r w:rsidR="00864852">
        <w:rPr>
          <w:rFonts w:cs="Times New Roman"/>
          <w:szCs w:val="24"/>
          <w:lang w:val="en-ZA"/>
        </w:rPr>
        <w:t>denied</w:t>
      </w:r>
      <w:r>
        <w:rPr>
          <w:rFonts w:cs="Times New Roman"/>
          <w:szCs w:val="24"/>
          <w:lang w:val="en-ZA"/>
        </w:rPr>
        <w:t xml:space="preserve"> and </w:t>
      </w:r>
      <w:r w:rsidR="00864852">
        <w:rPr>
          <w:rFonts w:cs="Times New Roman"/>
          <w:szCs w:val="24"/>
          <w:lang w:val="en-ZA"/>
        </w:rPr>
        <w:t xml:space="preserve">then </w:t>
      </w:r>
      <w:r>
        <w:rPr>
          <w:rFonts w:cs="Times New Roman"/>
          <w:szCs w:val="24"/>
          <w:lang w:val="en-ZA"/>
        </w:rPr>
        <w:t xml:space="preserve">highly restricted for several months. Thus, the findings from the </w:t>
      </w:r>
      <w:r w:rsidR="00D5016D">
        <w:rPr>
          <w:rFonts w:cs="Times New Roman"/>
          <w:i/>
          <w:iCs/>
          <w:szCs w:val="24"/>
          <w:lang w:val="en-ZA"/>
        </w:rPr>
        <w:t>i</w:t>
      </w:r>
      <w:r w:rsidR="00D5016D" w:rsidRPr="00D5016D">
        <w:rPr>
          <w:rFonts w:cs="Times New Roman"/>
          <w:i/>
          <w:iCs/>
          <w:szCs w:val="24"/>
          <w:lang w:val="en-ZA"/>
        </w:rPr>
        <w:t>n vitro</w:t>
      </w:r>
      <w:r>
        <w:rPr>
          <w:rFonts w:cs="Times New Roman"/>
          <w:szCs w:val="24"/>
          <w:lang w:val="en-ZA"/>
        </w:rPr>
        <w:t xml:space="preserve"> dialysability assay could not be further assessed by Caco-2 cell assay as planned</w:t>
      </w:r>
      <w:r w:rsidR="00864852">
        <w:rPr>
          <w:rFonts w:cs="Times New Roman"/>
          <w:szCs w:val="24"/>
          <w:lang w:val="en-ZA"/>
        </w:rPr>
        <w:t>.  This</w:t>
      </w:r>
      <w:r>
        <w:rPr>
          <w:rFonts w:cs="Times New Roman"/>
          <w:szCs w:val="24"/>
          <w:lang w:val="en-ZA"/>
        </w:rPr>
        <w:t xml:space="preserve"> could have provided additional valuable information regarding the effects and potential of the plant food fortificants to improve mineral bioaccessibility.</w:t>
      </w:r>
    </w:p>
    <w:p w14:paraId="581124B4" w14:textId="780D56FA" w:rsidR="0086108C" w:rsidRDefault="0086108C" w:rsidP="0001787C">
      <w:pPr>
        <w:rPr>
          <w:bCs/>
        </w:rPr>
      </w:pPr>
      <w:r w:rsidRPr="008974D3">
        <w:t xml:space="preserve">The </w:t>
      </w:r>
      <w:r w:rsidR="00D5016D">
        <w:rPr>
          <w:i/>
          <w:iCs/>
        </w:rPr>
        <w:t>i</w:t>
      </w:r>
      <w:r w:rsidR="00D5016D" w:rsidRPr="00D5016D">
        <w:rPr>
          <w:i/>
          <w:iCs/>
        </w:rPr>
        <w:t>n vitro</w:t>
      </w:r>
      <w:r w:rsidRPr="008974D3">
        <w:t xml:space="preserve"> dialysability assay is designed to predict bioaccessibility/availability of non-haem iron and zinc in the gastrointestinal tract (GIT) (Fairweather-Tait et al., 2005). The assay has also been applied and slightly modified to study the bioaccessibility of other micronutrients</w:t>
      </w:r>
      <w:r w:rsidR="00864852">
        <w:t>,</w:t>
      </w:r>
      <w:r w:rsidRPr="008974D3">
        <w:t xml:space="preserve"> including calcium, magnesium (Etcheverry et al., 2012) and lipophilic carotenoids from plant-based meals (Garrett et al., 1999). </w:t>
      </w:r>
      <w:r w:rsidR="000B68DC">
        <w:t>As explained, t</w:t>
      </w:r>
      <w:r w:rsidRPr="008974D3">
        <w:t xml:space="preserve">he </w:t>
      </w:r>
      <w:r w:rsidR="00D5016D">
        <w:rPr>
          <w:i/>
          <w:iCs/>
        </w:rPr>
        <w:t>i</w:t>
      </w:r>
      <w:r w:rsidR="00D5016D" w:rsidRPr="00D5016D">
        <w:rPr>
          <w:i/>
          <w:iCs/>
        </w:rPr>
        <w:t>n vitro</w:t>
      </w:r>
      <w:r w:rsidRPr="008974D3">
        <w:t xml:space="preserve"> dialysability assay </w:t>
      </w:r>
      <w:r w:rsidR="000B68DC">
        <w:t xml:space="preserve">aims to </w:t>
      </w:r>
      <w:r w:rsidRPr="008974D3">
        <w:t>simulate absorption across the intestine of the human gut and involves the use of a semi-permeable dialysis membrane tubing/bag with a certain molecular weight cut-off (Fairweather-Tait et al., 2005).</w:t>
      </w:r>
      <w:r w:rsidR="002501EB">
        <w:t xml:space="preserve"> </w:t>
      </w:r>
      <w:r w:rsidR="000A32B6">
        <w:t>The molecular weight cut-off of approx. 10kDa is generally used (Ferruzzi et al., 2020).</w:t>
      </w:r>
      <w:r w:rsidRPr="008974D3">
        <w:t xml:space="preserve"> The equilibrium dialysis system of Miller et al. (1981) is commonly utilized for the assay. The continuous-flow dialysis system of Wolters et al. (1993)</w:t>
      </w:r>
      <w:r w:rsidR="000B68DC">
        <w:t xml:space="preserve"> </w:t>
      </w:r>
      <w:r w:rsidRPr="008974D3">
        <w:t xml:space="preserve">is an improved dialysability </w:t>
      </w:r>
      <w:r w:rsidR="00AC1208">
        <w:t>assay</w:t>
      </w:r>
      <w:r w:rsidRPr="008974D3">
        <w:t xml:space="preserve">. </w:t>
      </w:r>
      <w:r w:rsidR="000B68DC">
        <w:t xml:space="preserve">It </w:t>
      </w:r>
      <w:r w:rsidRPr="008974D3">
        <w:t>is</w:t>
      </w:r>
      <w:r>
        <w:rPr>
          <w:lang w:val="en-ZA"/>
        </w:rPr>
        <w:t xml:space="preserve"> performed </w:t>
      </w:r>
      <w:r w:rsidR="000B68DC">
        <w:rPr>
          <w:lang w:val="en-ZA"/>
        </w:rPr>
        <w:t>using</w:t>
      </w:r>
      <w:r>
        <w:rPr>
          <w:lang w:val="en-ZA"/>
        </w:rPr>
        <w:t xml:space="preserve"> a hollow-fibre system</w:t>
      </w:r>
      <w:r w:rsidR="000B68DC">
        <w:rPr>
          <w:lang w:val="en-ZA"/>
        </w:rPr>
        <w:t xml:space="preserve"> and has the advantage that</w:t>
      </w:r>
      <w:r>
        <w:rPr>
          <w:lang w:val="en-ZA"/>
        </w:rPr>
        <w:t xml:space="preserve"> </w:t>
      </w:r>
      <w:r w:rsidR="007E76D3">
        <w:rPr>
          <w:lang w:val="en-ZA"/>
        </w:rPr>
        <w:t>i</w:t>
      </w:r>
      <w:r w:rsidR="000B68DC">
        <w:rPr>
          <w:lang w:val="en-ZA"/>
        </w:rPr>
        <w:t>t</w:t>
      </w:r>
      <w:r>
        <w:rPr>
          <w:lang w:val="en-ZA"/>
        </w:rPr>
        <w:t xml:space="preserve"> takes into account the removal of dialysable components</w:t>
      </w:r>
      <w:r w:rsidR="000B68DC">
        <w:rPr>
          <w:lang w:val="en-ZA"/>
        </w:rPr>
        <w:t xml:space="preserve">, </w:t>
      </w:r>
      <w:r w:rsidR="007E76D3">
        <w:rPr>
          <w:lang w:val="en-ZA"/>
        </w:rPr>
        <w:t xml:space="preserve">when </w:t>
      </w:r>
      <w:r w:rsidR="000B68DC">
        <w:rPr>
          <w:lang w:val="en-ZA"/>
        </w:rPr>
        <w:t xml:space="preserve">simulating mineral </w:t>
      </w:r>
      <w:r w:rsidR="007E76D3">
        <w:rPr>
          <w:lang w:val="en-ZA"/>
        </w:rPr>
        <w:t>bioaccessibility</w:t>
      </w:r>
      <w:r w:rsidR="000B68DC">
        <w:rPr>
          <w:lang w:val="en-ZA"/>
        </w:rPr>
        <w:t>,</w:t>
      </w:r>
      <w:r>
        <w:rPr>
          <w:lang w:val="en-ZA"/>
        </w:rPr>
        <w:t xml:space="preserve"> unlike the equilibrium dialysis method.</w:t>
      </w:r>
    </w:p>
    <w:p w14:paraId="24B9E38F" w14:textId="77777777" w:rsidR="0086108C" w:rsidRDefault="0086108C" w:rsidP="0040670A">
      <w:pPr>
        <w:spacing w:after="0"/>
        <w:rPr>
          <w:bCs/>
        </w:rPr>
      </w:pPr>
    </w:p>
    <w:p w14:paraId="0A5BBA72" w14:textId="73991400" w:rsidR="0086108C" w:rsidRDefault="0086108C" w:rsidP="0001787C">
      <w:pPr>
        <w:rPr>
          <w:lang w:val="en-ZA"/>
        </w:rPr>
      </w:pPr>
      <w:r w:rsidRPr="008974D3">
        <w:t xml:space="preserve">The </w:t>
      </w:r>
      <w:r w:rsidR="00D5016D">
        <w:rPr>
          <w:i/>
          <w:iCs/>
        </w:rPr>
        <w:t>i</w:t>
      </w:r>
      <w:r w:rsidR="00D5016D" w:rsidRPr="00D5016D">
        <w:rPr>
          <w:i/>
          <w:iCs/>
        </w:rPr>
        <w:t>n vitro</w:t>
      </w:r>
      <w:r w:rsidRPr="008974D3">
        <w:t xml:space="preserve"> dialysability assay </w:t>
      </w:r>
      <w:r w:rsidR="007E76D3" w:rsidRPr="008974D3">
        <w:t>assumes</w:t>
      </w:r>
      <w:r w:rsidRPr="008974D3">
        <w:t xml:space="preserve"> that low molecular weight mineral complexes that pass through the dialysis membrane will be available for absorption and that minerals bound to larger molecular complexes and retained by the membrane will not be available. However, this assumption may not always be correct. There are soluble small iron-</w:t>
      </w:r>
      <w:r>
        <w:rPr>
          <w:bCs/>
        </w:rPr>
        <w:t>polyphenol complexes that readily pass through the dialysis membrane but are not available for absorption (</w:t>
      </w:r>
      <w:r w:rsidRPr="00066F08">
        <w:t>Fairweather-Tait et al., 2005</w:t>
      </w:r>
      <w:r>
        <w:rPr>
          <w:bCs/>
        </w:rPr>
        <w:t xml:space="preserve">). </w:t>
      </w:r>
      <w:r w:rsidR="00AC1208">
        <w:rPr>
          <w:bCs/>
        </w:rPr>
        <w:t xml:space="preserve">Also, </w:t>
      </w:r>
      <w:r>
        <w:rPr>
          <w:lang w:val="en-ZA"/>
        </w:rPr>
        <w:t xml:space="preserve">Kruger et al. (2013) found that </w:t>
      </w:r>
      <w:r w:rsidR="00AC1208">
        <w:rPr>
          <w:lang w:val="en-ZA"/>
        </w:rPr>
        <w:t>a greater</w:t>
      </w:r>
      <w:r>
        <w:rPr>
          <w:lang w:val="en-ZA"/>
        </w:rPr>
        <w:t xml:space="preserve"> than 80% reduction of phytate in sorghum grain did not enhance zinc bioaccessibility </w:t>
      </w:r>
      <w:r w:rsidR="00D5016D">
        <w:rPr>
          <w:i/>
          <w:iCs/>
          <w:lang w:val="en-ZA"/>
        </w:rPr>
        <w:t>i</w:t>
      </w:r>
      <w:r w:rsidR="00D5016D" w:rsidRPr="00D5016D">
        <w:rPr>
          <w:i/>
          <w:iCs/>
          <w:lang w:val="en-ZA"/>
        </w:rPr>
        <w:t>n vitro</w:t>
      </w:r>
      <w:r>
        <w:rPr>
          <w:i/>
          <w:iCs/>
          <w:lang w:val="en-ZA"/>
        </w:rPr>
        <w:t xml:space="preserve"> </w:t>
      </w:r>
      <w:r>
        <w:rPr>
          <w:lang w:val="en-ZA"/>
        </w:rPr>
        <w:t xml:space="preserve">but enhanced zinc absorption </w:t>
      </w:r>
      <w:r w:rsidR="00D5016D" w:rsidRPr="00D5016D">
        <w:rPr>
          <w:i/>
          <w:iCs/>
          <w:lang w:val="en-ZA"/>
        </w:rPr>
        <w:t>in vivo</w:t>
      </w:r>
      <w:r>
        <w:rPr>
          <w:i/>
          <w:iCs/>
          <w:lang w:val="en-ZA"/>
        </w:rPr>
        <w:t>.</w:t>
      </w:r>
      <w:r>
        <w:rPr>
          <w:lang w:val="en-ZA"/>
        </w:rPr>
        <w:t xml:space="preserve"> </w:t>
      </w:r>
      <w:r w:rsidR="00AC1208">
        <w:rPr>
          <w:lang w:val="en-ZA"/>
        </w:rPr>
        <w:t>A</w:t>
      </w:r>
      <w:r>
        <w:rPr>
          <w:lang w:val="en-ZA"/>
        </w:rPr>
        <w:t xml:space="preserve"> possible explanation </w:t>
      </w:r>
      <w:r w:rsidR="00AC1208">
        <w:rPr>
          <w:lang w:val="en-ZA"/>
        </w:rPr>
        <w:t>provided</w:t>
      </w:r>
      <w:r>
        <w:rPr>
          <w:lang w:val="en-ZA"/>
        </w:rPr>
        <w:t xml:space="preserve"> was that the zinc released from phytate complexes as the phytate was degraded formed soluble complexes with high molecular weight ligands, which were bioavailable </w:t>
      </w:r>
      <w:r w:rsidR="00D5016D" w:rsidRPr="00D5016D">
        <w:rPr>
          <w:i/>
          <w:iCs/>
          <w:lang w:val="en-ZA"/>
        </w:rPr>
        <w:t>in vivo</w:t>
      </w:r>
      <w:r>
        <w:rPr>
          <w:lang w:val="en-ZA"/>
        </w:rPr>
        <w:t xml:space="preserve"> but could not pass through the dialysis membrane. Another important limitation of the </w:t>
      </w:r>
      <w:r w:rsidR="00AC1208">
        <w:rPr>
          <w:lang w:val="en-ZA"/>
        </w:rPr>
        <w:t xml:space="preserve">dialysability </w:t>
      </w:r>
      <w:r>
        <w:rPr>
          <w:lang w:val="en-ZA"/>
        </w:rPr>
        <w:t xml:space="preserve">assay is that the measured magnitude of effect is likely to be different from the magnitude found in </w:t>
      </w:r>
      <w:r w:rsidR="00D5016D" w:rsidRPr="00D5016D">
        <w:rPr>
          <w:i/>
          <w:iCs/>
          <w:lang w:val="en-ZA"/>
        </w:rPr>
        <w:t>in vivo</w:t>
      </w:r>
      <w:r>
        <w:rPr>
          <w:lang w:val="en-ZA"/>
        </w:rPr>
        <w:t xml:space="preserve"> studies </w:t>
      </w:r>
      <w:r w:rsidRPr="00066F08">
        <w:t>(Fairweather-Tait et al., 2005)</w:t>
      </w:r>
      <w:r>
        <w:rPr>
          <w:lang w:val="en-ZA"/>
        </w:rPr>
        <w:t xml:space="preserve">. </w:t>
      </w:r>
    </w:p>
    <w:p w14:paraId="0CCF88CF" w14:textId="77777777" w:rsidR="00063B27" w:rsidRDefault="00063B27" w:rsidP="00063B27">
      <w:pPr>
        <w:spacing w:after="0"/>
      </w:pPr>
    </w:p>
    <w:p w14:paraId="027A7DD2" w14:textId="14DFB577" w:rsidR="0086108C" w:rsidRDefault="0086108C" w:rsidP="0001787C">
      <w:pPr>
        <w:rPr>
          <w:lang w:val="en-ZA"/>
        </w:rPr>
      </w:pPr>
      <w:r w:rsidRPr="008974D3">
        <w:t>Notwithstanding these</w:t>
      </w:r>
      <w:r w:rsidR="00AC1208">
        <w:t xml:space="preserve"> weaknesses</w:t>
      </w:r>
      <w:r w:rsidRPr="008974D3">
        <w:t xml:space="preserve">, the dialysability assay can </w:t>
      </w:r>
      <w:r w:rsidR="00AC1208">
        <w:t xml:space="preserve">generally </w:t>
      </w:r>
      <w:r w:rsidRPr="008974D3">
        <w:t xml:space="preserve">correctly, but not always, predict the direction of effect in bioavailability studies (Fairweather-Tait et al., 2005). The assay can also be applied in ranking mineral fortification compounds or materials in a food matrix in terms of availability, although </w:t>
      </w:r>
      <w:r w:rsidR="00063B27" w:rsidRPr="008974D3">
        <w:t>evidence</w:t>
      </w:r>
      <w:r w:rsidRPr="008974D3">
        <w:t xml:space="preserve"> of similar magnitude of effects in human trials are limited. </w:t>
      </w:r>
      <w:r w:rsidR="00AC1208">
        <w:rPr>
          <w:lang w:val="en-ZA"/>
        </w:rPr>
        <w:t>It</w:t>
      </w:r>
      <w:r>
        <w:rPr>
          <w:lang w:val="en-ZA"/>
        </w:rPr>
        <w:t xml:space="preserve"> is also useful to determine possible interactions between food nutrients or components and the effects of several factors including food preparation, processing practices, nature of food matrix and pH on the potential of a particular nutrient, including minerals, to be absorbed (Etcheverry et al., 2012). However, it is very important to understand that the assay is a relative, rather than an absolute estimate of mineral bioavailability (Luten et al., 1996). </w:t>
      </w:r>
    </w:p>
    <w:p w14:paraId="303999DC" w14:textId="77777777" w:rsidR="0086108C" w:rsidRDefault="0086108C" w:rsidP="0040670A">
      <w:pPr>
        <w:spacing w:after="0"/>
        <w:rPr>
          <w:lang w:val="en-ZA"/>
        </w:rPr>
      </w:pPr>
    </w:p>
    <w:p w14:paraId="2CD06C16" w14:textId="52A126AE" w:rsidR="0086108C" w:rsidRDefault="0053754C" w:rsidP="0001787C">
      <w:pPr>
        <w:rPr>
          <w:rFonts w:cs="Times New Roman"/>
          <w:szCs w:val="24"/>
          <w:lang w:val="en-ZA"/>
        </w:rPr>
      </w:pPr>
      <w:r>
        <w:rPr>
          <w:rFonts w:cs="Times New Roman"/>
          <w:szCs w:val="24"/>
          <w:lang w:val="en-ZA"/>
        </w:rPr>
        <w:t>Furthermore</w:t>
      </w:r>
      <w:r w:rsidR="0086108C">
        <w:rPr>
          <w:rFonts w:cs="Times New Roman"/>
          <w:szCs w:val="24"/>
          <w:lang w:val="en-ZA"/>
        </w:rPr>
        <w:t xml:space="preserve">, </w:t>
      </w:r>
      <w:r>
        <w:rPr>
          <w:rFonts w:cs="Times New Roman"/>
          <w:szCs w:val="24"/>
          <w:lang w:val="en-ZA"/>
        </w:rPr>
        <w:t>it does not</w:t>
      </w:r>
      <w:r w:rsidR="0086108C">
        <w:rPr>
          <w:rFonts w:cs="Times New Roman"/>
          <w:szCs w:val="24"/>
          <w:lang w:val="en-ZA"/>
        </w:rPr>
        <w:t xml:space="preserve"> </w:t>
      </w:r>
      <w:r>
        <w:rPr>
          <w:rFonts w:cs="Times New Roman"/>
          <w:szCs w:val="24"/>
          <w:lang w:val="en-ZA"/>
        </w:rPr>
        <w:t>assay</w:t>
      </w:r>
      <w:r w:rsidR="0086108C">
        <w:rPr>
          <w:rFonts w:cs="Times New Roman"/>
          <w:szCs w:val="24"/>
          <w:lang w:val="en-ZA"/>
        </w:rPr>
        <w:t xml:space="preserve"> bioavailability in its entirety (Etcheverry et al., 2012). There are several host factors that can possibly influence nutrient bioavailability, including nutrient status, age, genotype amongst others.  </w:t>
      </w:r>
      <w:r>
        <w:rPr>
          <w:rFonts w:cs="Times New Roman"/>
          <w:szCs w:val="24"/>
          <w:lang w:val="en-ZA"/>
        </w:rPr>
        <w:t>Moreover, t</w:t>
      </w:r>
      <w:r w:rsidR="0086108C">
        <w:rPr>
          <w:rFonts w:cs="Times New Roman"/>
          <w:szCs w:val="24"/>
          <w:lang w:val="en-ZA"/>
        </w:rPr>
        <w:t>he bioavailability process can be compartmentalized into three steps: (a) digestive release and solubilization in the gastrointestinal tract (GIT) lumen, (b) uptake by the enterocytes and (c) transport and distribution to the body tissues for metabolic use (</w:t>
      </w:r>
      <w:r w:rsidR="0086108C" w:rsidRPr="00066F08">
        <w:rPr>
          <w:rFonts w:cs="Times New Roman"/>
          <w:szCs w:val="24"/>
        </w:rPr>
        <w:t>Fairweather-Tait et al., 2005</w:t>
      </w:r>
      <w:r w:rsidR="0086108C">
        <w:rPr>
          <w:rFonts w:cs="Times New Roman"/>
          <w:szCs w:val="24"/>
          <w:lang w:val="en-ZA"/>
        </w:rPr>
        <w:t>). The dialysability assay can be used to predict the first step of the bioavailability process and</w:t>
      </w:r>
      <w:r w:rsidR="0040670A">
        <w:rPr>
          <w:rFonts w:cs="Times New Roman"/>
          <w:szCs w:val="24"/>
          <w:lang w:val="en-ZA"/>
        </w:rPr>
        <w:t xml:space="preserve"> can</w:t>
      </w:r>
      <w:r w:rsidR="0086108C">
        <w:rPr>
          <w:rFonts w:cs="Times New Roman"/>
          <w:szCs w:val="24"/>
          <w:lang w:val="en-ZA"/>
        </w:rPr>
        <w:t xml:space="preserve">, in part, simulate uptake by the enterocytes. </w:t>
      </w:r>
    </w:p>
    <w:p w14:paraId="52CF4655" w14:textId="77777777" w:rsidR="0086108C" w:rsidRDefault="0086108C" w:rsidP="0040670A">
      <w:pPr>
        <w:spacing w:after="0"/>
        <w:rPr>
          <w:rFonts w:cs="Times New Roman"/>
          <w:szCs w:val="24"/>
          <w:lang w:val="en-ZA"/>
        </w:rPr>
      </w:pPr>
    </w:p>
    <w:p w14:paraId="74CA0983" w14:textId="238B5976" w:rsidR="0086108C" w:rsidRDefault="0086108C" w:rsidP="0001787C">
      <w:pPr>
        <w:rPr>
          <w:lang w:val="en-ZA"/>
        </w:rPr>
      </w:pPr>
      <w:r w:rsidRPr="008974D3">
        <w:t xml:space="preserve">While not a true </w:t>
      </w:r>
      <w:r w:rsidR="00D5016D">
        <w:rPr>
          <w:i/>
          <w:iCs/>
        </w:rPr>
        <w:t>i</w:t>
      </w:r>
      <w:r w:rsidR="00D5016D" w:rsidRPr="00D5016D">
        <w:rPr>
          <w:i/>
          <w:iCs/>
        </w:rPr>
        <w:t>n vitro</w:t>
      </w:r>
      <w:r w:rsidRPr="008974D3">
        <w:t xml:space="preserve"> approach to measure bioaccessibility, phytate:mineral molar ratio</w:t>
      </w:r>
      <w:r w:rsidR="0053754C">
        <w:t>s</w:t>
      </w:r>
      <w:r w:rsidRPr="008974D3">
        <w:t xml:space="preserve"> </w:t>
      </w:r>
      <w:r w:rsidR="0053754C">
        <w:t>in</w:t>
      </w:r>
      <w:r w:rsidRPr="008974D3">
        <w:t xml:space="preserve"> </w:t>
      </w:r>
      <w:r>
        <w:rPr>
          <w:lang w:val="en-ZA"/>
        </w:rPr>
        <w:t>plant-based foods</w:t>
      </w:r>
      <w:r w:rsidR="0053754C">
        <w:rPr>
          <w:lang w:val="en-ZA"/>
        </w:rPr>
        <w:t>, as calculated in this study,</w:t>
      </w:r>
      <w:r>
        <w:rPr>
          <w:lang w:val="en-ZA"/>
        </w:rPr>
        <w:t xml:space="preserve"> can be used as indicator</w:t>
      </w:r>
      <w:r w:rsidR="0053754C">
        <w:rPr>
          <w:lang w:val="en-ZA"/>
        </w:rPr>
        <w:t>s</w:t>
      </w:r>
      <w:r>
        <w:rPr>
          <w:lang w:val="en-ZA"/>
        </w:rPr>
        <w:t xml:space="preserve"> of mineral bioavailability (Hotz </w:t>
      </w:r>
      <w:r w:rsidR="00C8069F">
        <w:rPr>
          <w:lang w:val="en-ZA"/>
        </w:rPr>
        <w:t>&amp;</w:t>
      </w:r>
      <w:r>
        <w:rPr>
          <w:lang w:val="en-ZA"/>
        </w:rPr>
        <w:t xml:space="preserve"> Brown, 2004; Hurrell and Egli, 2010). Phytate:mineral ratios above certain critical values have been found to impair mineral bioavailability. For example, phytate:iron molar ratio and phytate:zinc molar ratio above 1 and </w:t>
      </w:r>
      <w:r w:rsidR="0053754C">
        <w:rPr>
          <w:lang w:val="en-ZA"/>
        </w:rPr>
        <w:t xml:space="preserve">above </w:t>
      </w:r>
      <w:r>
        <w:rPr>
          <w:lang w:val="en-ZA"/>
        </w:rPr>
        <w:t xml:space="preserve">10–14, respectively inhibit mineral bioavailability (Hunt, 2003). However, for diets rich in both phytate and calcium, </w:t>
      </w:r>
      <w:r w:rsidR="0053754C">
        <w:rPr>
          <w:lang w:val="en-ZA"/>
        </w:rPr>
        <w:t xml:space="preserve">the </w:t>
      </w:r>
      <w:r>
        <w:rPr>
          <w:lang w:val="en-ZA"/>
        </w:rPr>
        <w:t>phytate</w:t>
      </w:r>
      <w:r w:rsidR="00B57AFF">
        <w:rPr>
          <w:rFonts w:cs="Times New Roman"/>
          <w:lang w:val="en-ZA"/>
        </w:rPr>
        <w:t>×</w:t>
      </w:r>
      <w:r>
        <w:rPr>
          <w:lang w:val="en-ZA"/>
        </w:rPr>
        <w:t xml:space="preserve">calcium:zinc molar ratio </w:t>
      </w:r>
      <w:r w:rsidR="00640315">
        <w:rPr>
          <w:lang w:val="en-ZA"/>
        </w:rPr>
        <w:t>above 200 has been found to inhibit zinc bioavailability (Morris &amp; Ellis, 1989; Bindra et al., 1986).</w:t>
      </w:r>
      <w:r>
        <w:rPr>
          <w:lang w:val="en-ZA"/>
        </w:rPr>
        <w:t xml:space="preserve"> The critical value for phytate:calcium molar ratio above which calcium bioavailability is impaired is uncertain, although a phyate:calcium molar ratio &gt;0.17 has been </w:t>
      </w:r>
      <w:r w:rsidR="008936B4">
        <w:rPr>
          <w:lang w:val="en-ZA"/>
        </w:rPr>
        <w:t>proposed</w:t>
      </w:r>
      <w:r>
        <w:rPr>
          <w:lang w:val="en-ZA"/>
        </w:rPr>
        <w:t xml:space="preserve"> (Gibson et al., 2010). However, the presence of other mineral absorption inhibitors</w:t>
      </w:r>
      <w:r w:rsidR="008936B4">
        <w:rPr>
          <w:lang w:val="en-ZA"/>
        </w:rPr>
        <w:t xml:space="preserve"> such as</w:t>
      </w:r>
      <w:r>
        <w:rPr>
          <w:lang w:val="en-ZA"/>
        </w:rPr>
        <w:t xml:space="preserve"> polyphenols, calcium, and proteins and </w:t>
      </w:r>
      <w:r w:rsidR="008936B4">
        <w:rPr>
          <w:lang w:val="en-ZA"/>
        </w:rPr>
        <w:t xml:space="preserve">of </w:t>
      </w:r>
      <w:r>
        <w:rPr>
          <w:lang w:val="en-ZA"/>
        </w:rPr>
        <w:t>mineral absorption enhancers</w:t>
      </w:r>
      <w:r w:rsidR="008936B4">
        <w:rPr>
          <w:lang w:val="en-ZA"/>
        </w:rPr>
        <w:t xml:space="preserve"> such as</w:t>
      </w:r>
      <w:r>
        <w:rPr>
          <w:lang w:val="en-ZA"/>
        </w:rPr>
        <w:t xml:space="preserve"> ascorbic acid</w:t>
      </w:r>
      <w:r w:rsidR="008936B4">
        <w:rPr>
          <w:lang w:val="en-ZA"/>
        </w:rPr>
        <w:t xml:space="preserve"> and</w:t>
      </w:r>
      <w:r>
        <w:rPr>
          <w:lang w:val="en-ZA"/>
        </w:rPr>
        <w:t xml:space="preserve"> muscle tissues can impact mineral bioavailability</w:t>
      </w:r>
      <w:r w:rsidR="008936B4">
        <w:rPr>
          <w:lang w:val="en-ZA"/>
        </w:rPr>
        <w:t>,</w:t>
      </w:r>
      <w:r>
        <w:rPr>
          <w:lang w:val="en-ZA"/>
        </w:rPr>
        <w:t xml:space="preserve"> notwithstanding these phytate:mineral molar ratio critical values (Hurrell </w:t>
      </w:r>
      <w:r w:rsidR="002E2609">
        <w:rPr>
          <w:lang w:val="en-ZA"/>
        </w:rPr>
        <w:t>&amp;</w:t>
      </w:r>
      <w:r>
        <w:rPr>
          <w:lang w:val="en-ZA"/>
        </w:rPr>
        <w:t xml:space="preserve"> Egli, 2010). </w:t>
      </w:r>
    </w:p>
    <w:p w14:paraId="624182C6" w14:textId="77777777" w:rsidR="002E2609" w:rsidRDefault="002E2609" w:rsidP="002E2609">
      <w:pPr>
        <w:spacing w:after="0"/>
      </w:pPr>
    </w:p>
    <w:p w14:paraId="5CD0927E" w14:textId="7197F7C2" w:rsidR="0086108C" w:rsidRDefault="0086108C" w:rsidP="0001787C">
      <w:pPr>
        <w:rPr>
          <w:lang w:val="en-ZA"/>
        </w:rPr>
      </w:pPr>
      <w:r w:rsidRPr="008974D3">
        <w:t xml:space="preserve">There are other </w:t>
      </w:r>
      <w:r w:rsidR="00D5016D">
        <w:rPr>
          <w:i/>
          <w:iCs/>
        </w:rPr>
        <w:t>i</w:t>
      </w:r>
      <w:r w:rsidR="00D5016D" w:rsidRPr="00D5016D">
        <w:rPr>
          <w:i/>
          <w:iCs/>
        </w:rPr>
        <w:t>n vitro</w:t>
      </w:r>
      <w:r w:rsidRPr="008974D3">
        <w:t xml:space="preserve"> bioaccessibility assays that have been proposed to better estimate mineral bioavailability. These include sophisticated gut models that simulate the human gastrointestinal tract. The models account for several parameters of the digestive tract,</w:t>
      </w:r>
      <w:r>
        <w:rPr>
          <w:lang w:val="en-ZA"/>
        </w:rPr>
        <w:t xml:space="preserve"> including body temperature, flow of saliva, gastric and pancreatic juices including the digestive enzymes and bile, peristalsis, churning, gastrointestinal transit times, regulation of pH etc</w:t>
      </w:r>
      <w:r w:rsidR="008936B4">
        <w:rPr>
          <w:lang w:val="en-ZA"/>
        </w:rPr>
        <w:t>.</w:t>
      </w:r>
      <w:r>
        <w:rPr>
          <w:lang w:val="en-ZA"/>
        </w:rPr>
        <w:t xml:space="preserve"> (Etcheverry et al., 2012). One </w:t>
      </w:r>
      <w:r w:rsidR="008936B4">
        <w:rPr>
          <w:lang w:val="en-ZA"/>
        </w:rPr>
        <w:t xml:space="preserve">such </w:t>
      </w:r>
      <w:r>
        <w:rPr>
          <w:lang w:val="en-ZA"/>
        </w:rPr>
        <w:t xml:space="preserve">example is the </w:t>
      </w:r>
      <w:r w:rsidR="00D31D14">
        <w:rPr>
          <w:lang w:val="en-ZA"/>
        </w:rPr>
        <w:t>TNO G</w:t>
      </w:r>
      <w:r>
        <w:rPr>
          <w:lang w:val="en-ZA"/>
        </w:rPr>
        <w:t>astro</w:t>
      </w:r>
      <w:r w:rsidR="00D31D14">
        <w:rPr>
          <w:lang w:val="en-ZA"/>
        </w:rPr>
        <w:t>-I</w:t>
      </w:r>
      <w:r>
        <w:rPr>
          <w:lang w:val="en-ZA"/>
        </w:rPr>
        <w:t xml:space="preserve">ntestinal </w:t>
      </w:r>
      <w:r w:rsidR="00D31D14">
        <w:rPr>
          <w:lang w:val="en-ZA"/>
        </w:rPr>
        <w:t>M</w:t>
      </w:r>
      <w:r>
        <w:rPr>
          <w:lang w:val="en-ZA"/>
        </w:rPr>
        <w:t>odel (TIM) developed by The Netherlands Organization for Applied Scientific Research</w:t>
      </w:r>
      <w:r w:rsidR="008936B4">
        <w:rPr>
          <w:lang w:val="en-ZA"/>
        </w:rPr>
        <w:t xml:space="preserve"> (TNO)</w:t>
      </w:r>
      <w:r>
        <w:rPr>
          <w:lang w:val="en-ZA"/>
        </w:rPr>
        <w:t xml:space="preserve">. It consists of computer-controlled chambers, comprising compartments that represent the stomach, duodenum, jejunum and ileum (Minekus, 2015). </w:t>
      </w:r>
    </w:p>
    <w:p w14:paraId="4890DFE9" w14:textId="77777777" w:rsidR="0086108C" w:rsidRDefault="0086108C" w:rsidP="0040670A">
      <w:pPr>
        <w:spacing w:after="0"/>
        <w:rPr>
          <w:lang w:val="en-ZA"/>
        </w:rPr>
      </w:pPr>
    </w:p>
    <w:p w14:paraId="78EADC4F" w14:textId="1084C796" w:rsidR="0086108C" w:rsidRPr="008974D3" w:rsidRDefault="0086108C" w:rsidP="0001787C">
      <w:r w:rsidRPr="008974D3">
        <w:t>Caco-2 cells, which</w:t>
      </w:r>
      <w:r w:rsidR="00F404DA">
        <w:t>, as stated,</w:t>
      </w:r>
      <w:r w:rsidRPr="008974D3">
        <w:t xml:space="preserve"> are human colonic heterogenous adenocarcinoma epithelial cell line, have been extensively used to estimate micronutrient bioavailability, including iron, zinc and provitamin A (β-carotene) (</w:t>
      </w:r>
      <w:r w:rsidR="00A165D2">
        <w:t>Ferruzzi et al., 2020</w:t>
      </w:r>
      <w:r w:rsidRPr="008974D3">
        <w:t xml:space="preserve">). This is accomplished by coupling the </w:t>
      </w:r>
      <w:r w:rsidR="00D5016D">
        <w:rPr>
          <w:i/>
          <w:iCs/>
        </w:rPr>
        <w:t>i</w:t>
      </w:r>
      <w:r w:rsidR="00D5016D" w:rsidRPr="00D5016D">
        <w:rPr>
          <w:i/>
          <w:iCs/>
        </w:rPr>
        <w:t>n vitro</w:t>
      </w:r>
      <w:r w:rsidRPr="008974D3">
        <w:t xml:space="preserve"> digestion model to a Caco-2 cell model. Caco-2 cells, at confluency, can spontaneously differentiate into polarized monolayers with a well-developed brush border with close resemblance to the microvilli of the normal small intestinal enterocytes (Lea, 2015). They form tight junctions between adjacent cells and express enzyme activities that are characteristic of the enterocytes. However, Caco-2 cell models lack a mucus layer, which separate</w:t>
      </w:r>
      <w:r w:rsidR="00F404DA">
        <w:t>s</w:t>
      </w:r>
      <w:r w:rsidRPr="008974D3">
        <w:t xml:space="preserve"> the gut epithelial layer from the luminal contents (Kleiveland, 2015). The mucus layer functions as a physical and chemical protective barrier against potential damages from digestive enzymes, food digests, microbes and chemicals, which may potentially affect the results from studies.  Although, Caco-2 cells can effectively predict the correct direction of response, it is still uncertain whether they can also predict the magnitude of response as in humans regarding estimation of micronutrient bioavailability (La Frano et al., 2014). Thus, it is recommended that caution should be taken when extrapolating data from Caco-2 cell models to </w:t>
      </w:r>
      <w:r w:rsidR="00D5016D" w:rsidRPr="00D5016D">
        <w:rPr>
          <w:i/>
          <w:iCs/>
        </w:rPr>
        <w:t>in vivo</w:t>
      </w:r>
      <w:r w:rsidRPr="008974D3">
        <w:t xml:space="preserve"> situations (Lea, 2015).</w:t>
      </w:r>
    </w:p>
    <w:p w14:paraId="6512CDC4" w14:textId="77777777" w:rsidR="0086108C" w:rsidRDefault="0086108C" w:rsidP="0040670A">
      <w:pPr>
        <w:spacing w:after="0"/>
      </w:pPr>
    </w:p>
    <w:p w14:paraId="1D6CB6D7" w14:textId="5E592B27" w:rsidR="0086108C" w:rsidRDefault="00D5016D" w:rsidP="0001787C">
      <w:r w:rsidRPr="00D5016D">
        <w:rPr>
          <w:i/>
          <w:iCs/>
        </w:rPr>
        <w:t>In vivo</w:t>
      </w:r>
      <w:r w:rsidR="0086108C" w:rsidRPr="008974D3">
        <w:t xml:space="preserve"> animal models have been extensively used to study the mechanisms involved in dietary</w:t>
      </w:r>
      <w:r w:rsidR="0086108C">
        <w:t xml:space="preserve"> effects on nutrients absorption, including minerals (</w:t>
      </w:r>
      <w:r w:rsidR="0086108C" w:rsidRPr="00070292">
        <w:rPr>
          <w:shd w:val="clear" w:color="auto" w:fill="FFFFFF"/>
        </w:rPr>
        <w:t>Patterson</w:t>
      </w:r>
      <w:r w:rsidR="0086108C">
        <w:rPr>
          <w:shd w:val="clear" w:color="auto" w:fill="FFFFFF"/>
        </w:rPr>
        <w:t xml:space="preserve"> et al., 2008</w:t>
      </w:r>
      <w:r w:rsidR="0086108C">
        <w:t xml:space="preserve">). The use of animal models allows for the assessment of the different compartments of the gastrointestinal tract for mineral absorption. Whole-body assessment for nutrient absorption is also possible as the </w:t>
      </w:r>
      <w:r w:rsidR="004E2208">
        <w:t xml:space="preserve">sacrificed </w:t>
      </w:r>
      <w:r w:rsidR="0086108C">
        <w:t>animals can be dissected</w:t>
      </w:r>
      <w:r w:rsidR="004E2208">
        <w:t xml:space="preserve"> and</w:t>
      </w:r>
      <w:r w:rsidR="0086108C">
        <w:t xml:space="preserve"> hence individual tissue</w:t>
      </w:r>
      <w:r w:rsidR="004E2208">
        <w:t>s</w:t>
      </w:r>
      <w:r w:rsidR="0086108C">
        <w:t xml:space="preserve"> can be analysed (La </w:t>
      </w:r>
      <w:r w:rsidR="0086108C">
        <w:rPr>
          <w:lang w:val="en-ZA"/>
        </w:rPr>
        <w:t>Frano et al., 2014</w:t>
      </w:r>
      <w:r w:rsidR="0086108C">
        <w:t>). Apart from being able to assess acute mineral bioavailability, animal models are also useful to investigate long-term effects on status indicators</w:t>
      </w:r>
      <w:r w:rsidR="000A32B6">
        <w:t xml:space="preserve"> (Ferruzzi et al., 2020)</w:t>
      </w:r>
      <w:r w:rsidR="0086108C">
        <w:t xml:space="preserve">. </w:t>
      </w:r>
    </w:p>
    <w:p w14:paraId="6EAF1963" w14:textId="77777777" w:rsidR="0086108C" w:rsidRDefault="0086108C" w:rsidP="0040670A">
      <w:pPr>
        <w:spacing w:after="0"/>
        <w:rPr>
          <w:rFonts w:cs="Times New Roman"/>
          <w:szCs w:val="24"/>
        </w:rPr>
      </w:pPr>
    </w:p>
    <w:p w14:paraId="4E6DEF83" w14:textId="5B62176D" w:rsidR="0086108C" w:rsidRDefault="0086108C" w:rsidP="0001787C">
      <w:r w:rsidRPr="008974D3">
        <w:t xml:space="preserve">However, some studies have shown inconsistent findings between animal and human trials regarding dietary factors that impact mineral bioavailability.  For example, in a review study regarding the use of animal models, Caco-2 cell, and </w:t>
      </w:r>
      <w:r w:rsidR="00D5016D">
        <w:rPr>
          <w:i/>
          <w:iCs/>
        </w:rPr>
        <w:t>i</w:t>
      </w:r>
      <w:r w:rsidR="00D5016D" w:rsidRPr="00D5016D">
        <w:rPr>
          <w:i/>
          <w:iCs/>
        </w:rPr>
        <w:t>n vitro</w:t>
      </w:r>
      <w:r w:rsidRPr="008974D3">
        <w:t xml:space="preserve"> dialysability models, consistency was only generally observed between the use of the two later models and human absorption trials in identifying dietary factors that impact zinc bioavailability (Hotz, 2005). Reddy </w:t>
      </w:r>
      <w:r w:rsidR="005F2AD5">
        <w:t>&amp;</w:t>
      </w:r>
      <w:r w:rsidRPr="008974D3">
        <w:t xml:space="preserve"> Cook (1991) also found that addition of beef to a meatless meal almost doubled non-haem iron absorption in human subjects but had no effects in rats. Furthermore, addition of ascorbic acid to the meals increased iron absorption by nearly 4-fold in the human subjects but only slightly increased absorption by only 23% in the rats. </w:t>
      </w:r>
      <w:r w:rsidR="00D31D14">
        <w:t>The study also revealed that</w:t>
      </w:r>
      <w:r w:rsidRPr="008974D3">
        <w:t xml:space="preserve">, tea (a polyphenol source) and bran (a phytate source) substantially decreased iron absorption in the human subjects but had no and small effects, respectively in the rats. </w:t>
      </w:r>
      <w:r w:rsidR="00865C79">
        <w:t>Hence, t</w:t>
      </w:r>
      <w:r w:rsidRPr="008974D3">
        <w:t>he authors concluded that rodents are not useful in evaluating quantitative importance of dietary factors in human iron nutrition</w:t>
      </w:r>
      <w:r w:rsidR="003146D5">
        <w:t>.</w:t>
      </w:r>
    </w:p>
    <w:p w14:paraId="46A68331" w14:textId="77777777" w:rsidR="00BD44C6" w:rsidRPr="008974D3" w:rsidRDefault="00BD44C6" w:rsidP="00BD44C6">
      <w:pPr>
        <w:spacing w:after="0"/>
      </w:pPr>
    </w:p>
    <w:p w14:paraId="6A8A5ADD" w14:textId="42D5F604" w:rsidR="0086108C" w:rsidRPr="00294A89" w:rsidRDefault="0086108C" w:rsidP="008974D3">
      <w:pPr>
        <w:pStyle w:val="Heading2"/>
      </w:pPr>
      <w:bookmarkStart w:id="162" w:name="_Toc65253618"/>
      <w:r w:rsidRPr="00294A89">
        <w:t>5.2</w:t>
      </w:r>
      <w:r w:rsidR="008974D3">
        <w:tab/>
      </w:r>
      <w:r w:rsidR="00E86DBA">
        <w:t>S</w:t>
      </w:r>
      <w:r w:rsidR="003D460A">
        <w:t>cientific explanation of the major research findings</w:t>
      </w:r>
      <w:r w:rsidR="00E86DBA">
        <w:t xml:space="preserve"> </w:t>
      </w:r>
      <w:r w:rsidR="003D460A">
        <w:t>with the use of models (i.e</w:t>
      </w:r>
      <w:r w:rsidR="004C0404">
        <w:t>.</w:t>
      </w:r>
      <w:r w:rsidR="003D460A">
        <w:t xml:space="preserve"> theses)</w:t>
      </w:r>
      <w:r w:rsidR="00870B2B">
        <w:t>,</w:t>
      </w:r>
      <w:r w:rsidR="00E86DBA">
        <w:t xml:space="preserve"> regarding the </w:t>
      </w:r>
      <w:r w:rsidR="00E86DBA">
        <w:rPr>
          <w:lang w:val="en-ZA"/>
        </w:rPr>
        <w:t xml:space="preserve">potential of food-to-food fortification </w:t>
      </w:r>
      <w:r w:rsidR="00870B2B">
        <w:rPr>
          <w:lang w:val="en-ZA"/>
        </w:rPr>
        <w:t xml:space="preserve">to improve essential mineral bioaccessibility in African-type </w:t>
      </w:r>
      <w:r w:rsidR="00E86DBA">
        <w:rPr>
          <w:lang w:val="en-ZA"/>
        </w:rPr>
        <w:t>wholegrain cereal</w:t>
      </w:r>
      <w:r w:rsidR="00870B2B">
        <w:rPr>
          <w:lang w:val="en-ZA"/>
        </w:rPr>
        <w:t>-based</w:t>
      </w:r>
      <w:r w:rsidR="00E86DBA">
        <w:rPr>
          <w:lang w:val="en-ZA"/>
        </w:rPr>
        <w:t xml:space="preserve"> </w:t>
      </w:r>
      <w:r w:rsidR="00870B2B">
        <w:rPr>
          <w:lang w:val="en-ZA"/>
        </w:rPr>
        <w:t>porridges</w:t>
      </w:r>
      <w:bookmarkEnd w:id="162"/>
    </w:p>
    <w:p w14:paraId="2C999823" w14:textId="1E2C367C" w:rsidR="003D460A" w:rsidRPr="00865C79" w:rsidRDefault="0086108C" w:rsidP="00BD44C6">
      <w:pPr>
        <w:spacing w:after="0"/>
        <w:rPr>
          <w:i/>
          <w:iCs/>
          <w:lang w:val="en-ZA"/>
        </w:rPr>
      </w:pPr>
      <w:r w:rsidRPr="00865C79">
        <w:rPr>
          <w:i/>
          <w:iCs/>
          <w:lang w:val="en-ZA"/>
        </w:rPr>
        <w:t>Effect of food-to-food fortification of cereal porridges with baobab fruit pulp, on essential mineral bioaccessibility</w:t>
      </w:r>
    </w:p>
    <w:p w14:paraId="440E0117" w14:textId="3A480F99" w:rsidR="0086108C" w:rsidRDefault="0086108C" w:rsidP="0001787C">
      <w:pPr>
        <w:rPr>
          <w:lang w:val="en-ZA"/>
        </w:rPr>
      </w:pPr>
      <w:r>
        <w:rPr>
          <w:lang w:val="en-ZA"/>
        </w:rPr>
        <w:t>In this study, it was found that despite baobab fruit’s high total phenolic and tannin contents, its fortification of African-type wholegrain pearl millet and maize porridges generally enhanced iron bioaccessibility (Table</w:t>
      </w:r>
      <w:r w:rsidR="00292ABA">
        <w:rPr>
          <w:lang w:val="en-ZA"/>
        </w:rPr>
        <w:t>s</w:t>
      </w:r>
      <w:r>
        <w:rPr>
          <w:lang w:val="en-ZA"/>
        </w:rPr>
        <w:t xml:space="preserve"> 4</w:t>
      </w:r>
      <w:r w:rsidR="00292ABA">
        <w:rPr>
          <w:lang w:val="en-ZA"/>
        </w:rPr>
        <w:t>.1.4 and 4.2.4</w:t>
      </w:r>
      <w:r>
        <w:rPr>
          <w:lang w:val="en-ZA"/>
        </w:rPr>
        <w:t xml:space="preserve">). Furthermore, this food-to-food fortification was nearly as effective as citric acid and ascorbic+citric acid inclusion </w:t>
      </w:r>
      <w:r>
        <w:t>at approximately the same level</w:t>
      </w:r>
      <w:r w:rsidR="00C33C74">
        <w:t>s</w:t>
      </w:r>
      <w:r>
        <w:t xml:space="preserve"> as present in baobab fruit</w:t>
      </w:r>
      <w:r>
        <w:rPr>
          <w:lang w:val="en-ZA"/>
        </w:rPr>
        <w:t xml:space="preserve">. </w:t>
      </w:r>
      <w:r w:rsidR="00CA183F">
        <w:rPr>
          <w:lang w:val="en-ZA"/>
        </w:rPr>
        <w:t xml:space="preserve">It was also more effective than just ascorbic acid inclusion at </w:t>
      </w:r>
      <w:r w:rsidR="00CA183F">
        <w:t>approximately twice the level present in baobab fruit</w:t>
      </w:r>
      <w:r w:rsidR="00CA183F">
        <w:rPr>
          <w:lang w:val="en-ZA"/>
        </w:rPr>
        <w:t xml:space="preserve">. </w:t>
      </w:r>
      <w:r>
        <w:rPr>
          <w:lang w:val="en-ZA"/>
        </w:rPr>
        <w:t xml:space="preserve">Baobab fruit, though not a rich source of essential minerals such as iron and zinc, is exceptionally high in organic acids, especially citric acid </w:t>
      </w:r>
      <w:r w:rsidR="00865C79">
        <w:rPr>
          <w:lang w:val="en-ZA"/>
        </w:rPr>
        <w:t xml:space="preserve">and ascorbic acid </w:t>
      </w:r>
      <w:r>
        <w:rPr>
          <w:lang w:val="en-ZA"/>
        </w:rPr>
        <w:t>(Table</w:t>
      </w:r>
      <w:r w:rsidR="00292ABA">
        <w:rPr>
          <w:lang w:val="en-ZA"/>
        </w:rPr>
        <w:t>s 4.1.3 and 4.2.</w:t>
      </w:r>
      <w:r>
        <w:rPr>
          <w:lang w:val="en-ZA"/>
        </w:rPr>
        <w:t xml:space="preserve">3), known enhancers of mineral bioavailability. Thus, the high citric and ascorbic acid contents of baobab fruit were </w:t>
      </w:r>
      <w:r w:rsidR="00C33C74">
        <w:rPr>
          <w:lang w:val="en-ZA"/>
        </w:rPr>
        <w:t>very likely</w:t>
      </w:r>
      <w:r>
        <w:rPr>
          <w:lang w:val="en-ZA"/>
        </w:rPr>
        <w:t xml:space="preserve"> responsible for its positive effect on iron bioaccessibility. </w:t>
      </w:r>
    </w:p>
    <w:p w14:paraId="684CB568" w14:textId="77777777" w:rsidR="0086108C" w:rsidRDefault="0086108C" w:rsidP="00865C79">
      <w:pPr>
        <w:spacing w:after="0"/>
        <w:rPr>
          <w:lang w:val="en-ZA"/>
        </w:rPr>
      </w:pPr>
    </w:p>
    <w:p w14:paraId="53BB4E90" w14:textId="2905330E" w:rsidR="0086108C" w:rsidRDefault="0086108C" w:rsidP="002B0664">
      <w:pPr>
        <w:rPr>
          <w:lang w:val="en-ZA"/>
        </w:rPr>
      </w:pPr>
      <w:r w:rsidRPr="00292ABA">
        <w:rPr>
          <w:lang w:val="en-ZA"/>
        </w:rPr>
        <w:t xml:space="preserve">Figure </w:t>
      </w:r>
      <w:r w:rsidR="005F785D" w:rsidRPr="00292ABA">
        <w:rPr>
          <w:lang w:val="en-ZA"/>
        </w:rPr>
        <w:t>5.</w:t>
      </w:r>
      <w:r w:rsidR="004046B1">
        <w:rPr>
          <w:lang w:val="en-ZA"/>
        </w:rPr>
        <w:t>3</w:t>
      </w:r>
      <w:r>
        <w:rPr>
          <w:lang w:val="en-ZA"/>
        </w:rPr>
        <w:t xml:space="preserve"> is a model to explain the enhancing effect of baobab fruit as an organic acid source on iron bioaccessibility in the stomach and the small intestinal part</w:t>
      </w:r>
      <w:r w:rsidR="00C33C74">
        <w:rPr>
          <w:lang w:val="en-ZA"/>
        </w:rPr>
        <w:t>s</w:t>
      </w:r>
      <w:r>
        <w:rPr>
          <w:lang w:val="en-ZA"/>
        </w:rPr>
        <w:t xml:space="preserve"> of the GIT. The model shows that ascorbic and citric acid could form soluble chelates with iron, thereby preventing phytate</w:t>
      </w:r>
      <w:r w:rsidR="00865C79">
        <w:rPr>
          <w:lang w:val="en-ZA"/>
        </w:rPr>
        <w:t>,</w:t>
      </w:r>
      <w:r>
        <w:rPr>
          <w:lang w:val="en-ZA"/>
        </w:rPr>
        <w:t xml:space="preserve"> polyphenols and tannins in the baobab fortified-wholegrain cereal porridges from chelating the iron (</w:t>
      </w:r>
      <w:r w:rsidR="00BB3B59">
        <w:rPr>
          <w:lang w:val="en-ZA"/>
        </w:rPr>
        <w:t>Hurrell &amp; Egli</w:t>
      </w:r>
      <w:r w:rsidR="00A97C08">
        <w:rPr>
          <w:lang w:val="en-ZA"/>
        </w:rPr>
        <w:t>, 2010</w:t>
      </w:r>
      <w:r w:rsidR="00BB3B59">
        <w:rPr>
          <w:lang w:val="en-ZA"/>
        </w:rPr>
        <w:t xml:space="preserve">; </w:t>
      </w:r>
      <w:r w:rsidR="00BB3B59" w:rsidRPr="000D7DDF">
        <w:rPr>
          <w:noProof/>
        </w:rPr>
        <w:t>Lönnerdal</w:t>
      </w:r>
      <w:r w:rsidR="00BB3B59">
        <w:rPr>
          <w:noProof/>
        </w:rPr>
        <w:t>,</w:t>
      </w:r>
      <w:r w:rsidR="00BB3B59" w:rsidDel="00FC0200">
        <w:rPr>
          <w:lang w:val="en-ZA"/>
        </w:rPr>
        <w:t xml:space="preserve"> </w:t>
      </w:r>
      <w:r w:rsidR="00BB3B59">
        <w:rPr>
          <w:lang w:val="en-ZA"/>
        </w:rPr>
        <w:t>2000</w:t>
      </w:r>
      <w:r>
        <w:rPr>
          <w:lang w:val="en-ZA"/>
        </w:rPr>
        <w:t xml:space="preserve">).  </w:t>
      </w:r>
      <w:r w:rsidR="00DF2440">
        <w:rPr>
          <w:lang w:val="en-ZA"/>
        </w:rPr>
        <w:t>This is because d</w:t>
      </w:r>
      <w:r>
        <w:rPr>
          <w:lang w:val="en-ZA"/>
        </w:rPr>
        <w:t>ietary non-haem iron is mostly in the ferric state (Fe</w:t>
      </w:r>
      <w:r w:rsidRPr="005778D2">
        <w:rPr>
          <w:vertAlign w:val="superscript"/>
          <w:lang w:val="en-ZA"/>
        </w:rPr>
        <w:t>3+</w:t>
      </w:r>
      <w:r>
        <w:rPr>
          <w:lang w:val="en-ZA"/>
        </w:rPr>
        <w:t>), which is essentially insoluble</w:t>
      </w:r>
      <w:r w:rsidR="00BB3B59">
        <w:rPr>
          <w:lang w:val="en-ZA"/>
        </w:rPr>
        <w:t xml:space="preserve"> and not bioavailable</w:t>
      </w:r>
      <w:r>
        <w:rPr>
          <w:lang w:val="en-ZA"/>
        </w:rPr>
        <w:t xml:space="preserve"> (Sharp </w:t>
      </w:r>
      <w:r w:rsidR="005F2AD5">
        <w:rPr>
          <w:lang w:val="en-ZA"/>
        </w:rPr>
        <w:t>&amp;</w:t>
      </w:r>
      <w:r>
        <w:rPr>
          <w:lang w:val="en-ZA"/>
        </w:rPr>
        <w:t xml:space="preserve"> Srai, 2007). Dietary ascorbic acid, like the intestinal ferric reductase Dcytb, play</w:t>
      </w:r>
      <w:r w:rsidR="00DF2440">
        <w:rPr>
          <w:lang w:val="en-ZA"/>
        </w:rPr>
        <w:t>s</w:t>
      </w:r>
      <w:r>
        <w:rPr>
          <w:lang w:val="en-ZA"/>
        </w:rPr>
        <w:t xml:space="preserve"> a key role in reducing Fe</w:t>
      </w:r>
      <w:r w:rsidRPr="005778D2">
        <w:rPr>
          <w:vertAlign w:val="superscript"/>
          <w:lang w:val="en-ZA"/>
        </w:rPr>
        <w:t>3+</w:t>
      </w:r>
      <w:r>
        <w:rPr>
          <w:lang w:val="en-ZA"/>
        </w:rPr>
        <w:t xml:space="preserve"> to soluble ferrous iron (Fe</w:t>
      </w:r>
      <w:r>
        <w:rPr>
          <w:vertAlign w:val="superscript"/>
          <w:lang w:val="en-ZA"/>
        </w:rPr>
        <w:t>2</w:t>
      </w:r>
      <w:r w:rsidRPr="005778D2">
        <w:rPr>
          <w:vertAlign w:val="superscript"/>
          <w:lang w:val="en-ZA"/>
        </w:rPr>
        <w:t>+</w:t>
      </w:r>
      <w:r>
        <w:rPr>
          <w:lang w:val="en-ZA"/>
        </w:rPr>
        <w:t>)</w:t>
      </w:r>
      <w:r w:rsidR="00A21DA8">
        <w:rPr>
          <w:lang w:val="en-ZA"/>
        </w:rPr>
        <w:t>.</w:t>
      </w:r>
      <w:r w:rsidR="00525DBD">
        <w:rPr>
          <w:lang w:val="en-ZA"/>
        </w:rPr>
        <w:t xml:space="preserve"> </w:t>
      </w:r>
      <w:r w:rsidR="00A21DA8">
        <w:rPr>
          <w:lang w:val="en-ZA"/>
        </w:rPr>
        <w:t>I</w:t>
      </w:r>
      <w:r w:rsidR="00525DBD">
        <w:rPr>
          <w:lang w:val="en-ZA"/>
        </w:rPr>
        <w:t xml:space="preserve">t is believed that </w:t>
      </w:r>
      <w:r w:rsidR="007D06EA">
        <w:rPr>
          <w:lang w:val="en-ZA"/>
        </w:rPr>
        <w:t xml:space="preserve">much of </w:t>
      </w:r>
      <w:r w:rsidR="00525DBD">
        <w:rPr>
          <w:lang w:val="en-ZA"/>
        </w:rPr>
        <w:t>this reduction takes place in the acidic environment of the gastric lumen (Sharp &amp; Srai, 2007)</w:t>
      </w:r>
      <w:r>
        <w:rPr>
          <w:lang w:val="en-ZA"/>
        </w:rPr>
        <w:t xml:space="preserve">. </w:t>
      </w:r>
      <w:r w:rsidR="007D06EA">
        <w:rPr>
          <w:lang w:val="en-ZA"/>
        </w:rPr>
        <w:t>This reduction also takes place in the duodenum</w:t>
      </w:r>
      <w:r w:rsidR="00A97C08">
        <w:rPr>
          <w:lang w:val="en-ZA"/>
        </w:rPr>
        <w:t>. Ascorbic acid can also form soluble chelates with both Fe</w:t>
      </w:r>
      <w:r w:rsidR="00A97C08" w:rsidRPr="005778D2">
        <w:rPr>
          <w:vertAlign w:val="superscript"/>
          <w:lang w:val="en-ZA"/>
        </w:rPr>
        <w:t>3+</w:t>
      </w:r>
      <w:r w:rsidR="00A97C08">
        <w:rPr>
          <w:vertAlign w:val="superscript"/>
          <w:lang w:val="en-ZA"/>
        </w:rPr>
        <w:t xml:space="preserve"> </w:t>
      </w:r>
      <w:r w:rsidR="00A97C08">
        <w:rPr>
          <w:lang w:val="en-ZA"/>
        </w:rPr>
        <w:t>and Fe</w:t>
      </w:r>
      <w:r w:rsidR="00A97C08">
        <w:rPr>
          <w:vertAlign w:val="superscript"/>
          <w:lang w:val="en-ZA"/>
        </w:rPr>
        <w:t>2</w:t>
      </w:r>
      <w:r w:rsidR="00A97C08" w:rsidRPr="005778D2">
        <w:rPr>
          <w:vertAlign w:val="superscript"/>
          <w:lang w:val="en-ZA"/>
        </w:rPr>
        <w:t>+</w:t>
      </w:r>
      <w:r w:rsidR="007D06EA">
        <w:rPr>
          <w:lang w:val="en-ZA"/>
        </w:rPr>
        <w:t xml:space="preserve"> </w:t>
      </w:r>
      <w:r w:rsidR="00A97C08">
        <w:rPr>
          <w:lang w:val="en-ZA"/>
        </w:rPr>
        <w:t>even at a higher intestinal pH</w:t>
      </w:r>
      <w:r w:rsidR="006178B0">
        <w:rPr>
          <w:lang w:val="en-ZA"/>
        </w:rPr>
        <w:t xml:space="preserve"> (Cercamondi et al., 2014</w:t>
      </w:r>
      <w:r w:rsidR="00220231">
        <w:rPr>
          <w:lang w:val="en-ZA"/>
        </w:rPr>
        <w:t>a</w:t>
      </w:r>
      <w:r w:rsidR="006178B0">
        <w:rPr>
          <w:lang w:val="en-ZA"/>
        </w:rPr>
        <w:t>)</w:t>
      </w:r>
      <w:r w:rsidR="00A97C08">
        <w:rPr>
          <w:lang w:val="en-ZA"/>
        </w:rPr>
        <w:t xml:space="preserve">. </w:t>
      </w:r>
      <w:r w:rsidR="00DF2440">
        <w:rPr>
          <w:lang w:val="en-ZA"/>
        </w:rPr>
        <w:t>S</w:t>
      </w:r>
      <w:r>
        <w:rPr>
          <w:lang w:val="en-ZA"/>
        </w:rPr>
        <w:t>olubili</w:t>
      </w:r>
      <w:r w:rsidR="00DF2440">
        <w:rPr>
          <w:lang w:val="en-ZA"/>
        </w:rPr>
        <w:t xml:space="preserve">sation </w:t>
      </w:r>
      <w:r>
        <w:rPr>
          <w:lang w:val="en-ZA"/>
        </w:rPr>
        <w:t xml:space="preserve">of iron and </w:t>
      </w:r>
      <w:r w:rsidR="00DF2440">
        <w:rPr>
          <w:lang w:val="en-ZA"/>
        </w:rPr>
        <w:t>its</w:t>
      </w:r>
      <w:r>
        <w:rPr>
          <w:lang w:val="en-ZA"/>
        </w:rPr>
        <w:t xml:space="preserve"> reduction to the Fe</w:t>
      </w:r>
      <w:r>
        <w:rPr>
          <w:vertAlign w:val="superscript"/>
          <w:lang w:val="en-ZA"/>
        </w:rPr>
        <w:t>2</w:t>
      </w:r>
      <w:r w:rsidRPr="005778D2">
        <w:rPr>
          <w:vertAlign w:val="superscript"/>
          <w:lang w:val="en-ZA"/>
        </w:rPr>
        <w:t>+</w:t>
      </w:r>
      <w:r>
        <w:rPr>
          <w:lang w:val="en-ZA"/>
        </w:rPr>
        <w:t xml:space="preserve"> state </w:t>
      </w:r>
      <w:r w:rsidR="00BB3B59">
        <w:rPr>
          <w:lang w:val="en-ZA"/>
        </w:rPr>
        <w:t>is</w:t>
      </w:r>
      <w:r>
        <w:rPr>
          <w:lang w:val="en-ZA"/>
        </w:rPr>
        <w:t xml:space="preserve"> essential for their efficient uptake and absorption</w:t>
      </w:r>
      <w:r w:rsidR="00BD44C6">
        <w:rPr>
          <w:lang w:val="en-ZA"/>
        </w:rPr>
        <w:t xml:space="preserve"> </w:t>
      </w:r>
      <w:r w:rsidR="002F1D16">
        <w:rPr>
          <w:lang w:val="en-ZA"/>
        </w:rPr>
        <w:t xml:space="preserve">at the duodenal part of </w:t>
      </w:r>
      <w:r w:rsidR="00BD44C6">
        <w:rPr>
          <w:lang w:val="en-ZA"/>
        </w:rPr>
        <w:t>the small intestine</w:t>
      </w:r>
      <w:r>
        <w:rPr>
          <w:lang w:val="en-ZA"/>
        </w:rPr>
        <w:t>. Th</w:t>
      </w:r>
      <w:r w:rsidR="00865C79">
        <w:rPr>
          <w:lang w:val="en-ZA"/>
        </w:rPr>
        <w:t>is is because the</w:t>
      </w:r>
      <w:r>
        <w:rPr>
          <w:lang w:val="en-ZA"/>
        </w:rPr>
        <w:t xml:space="preserve"> divalent metal transporter (DMT1) responsible for non-haem iron uptake into the enterocyte only transport</w:t>
      </w:r>
      <w:r w:rsidR="00A21DA8">
        <w:rPr>
          <w:lang w:val="en-ZA"/>
        </w:rPr>
        <w:t>s</w:t>
      </w:r>
      <w:r>
        <w:rPr>
          <w:lang w:val="en-ZA"/>
        </w:rPr>
        <w:t xml:space="preserve"> iron in the Fe</w:t>
      </w:r>
      <w:r>
        <w:rPr>
          <w:vertAlign w:val="superscript"/>
          <w:lang w:val="en-ZA"/>
        </w:rPr>
        <w:t>2</w:t>
      </w:r>
      <w:r w:rsidRPr="005778D2">
        <w:rPr>
          <w:vertAlign w:val="superscript"/>
          <w:lang w:val="en-ZA"/>
        </w:rPr>
        <w:t>+</w:t>
      </w:r>
      <w:r>
        <w:rPr>
          <w:lang w:val="en-ZA"/>
        </w:rPr>
        <w:t xml:space="preserve"> form (Sharp</w:t>
      </w:r>
      <w:r w:rsidR="005F2AD5">
        <w:rPr>
          <w:lang w:val="en-ZA"/>
        </w:rPr>
        <w:t xml:space="preserve"> &amp;</w:t>
      </w:r>
      <w:r>
        <w:rPr>
          <w:lang w:val="en-ZA"/>
        </w:rPr>
        <w:t xml:space="preserve"> Srai, 2007).</w:t>
      </w:r>
    </w:p>
    <w:p w14:paraId="35C6DD19" w14:textId="291CE718" w:rsidR="0086108C" w:rsidRDefault="0086108C" w:rsidP="0001787C">
      <w:pPr>
        <w:rPr>
          <w:rFonts w:cs="Times New Roman"/>
          <w:szCs w:val="24"/>
          <w:lang w:val="en-ZA"/>
        </w:rPr>
      </w:pPr>
      <w:r>
        <w:rPr>
          <w:rFonts w:cs="Times New Roman"/>
          <w:szCs w:val="24"/>
          <w:lang w:val="en-ZA"/>
        </w:rPr>
        <w:br w:type="page"/>
      </w:r>
    </w:p>
    <w:p w14:paraId="54DA437B" w14:textId="77777777" w:rsidR="0086108C" w:rsidRDefault="0086108C" w:rsidP="0001787C">
      <w:pPr>
        <w:rPr>
          <w:rFonts w:cs="Times New Roman"/>
          <w:szCs w:val="24"/>
          <w:lang w:val="en-ZA"/>
        </w:rPr>
        <w:sectPr w:rsidR="0086108C" w:rsidSect="00CA34EC">
          <w:pgSz w:w="11907" w:h="16839" w:code="9"/>
          <w:pgMar w:top="1440" w:right="1440" w:bottom="1440" w:left="1440" w:header="720" w:footer="720" w:gutter="0"/>
          <w:cols w:space="720"/>
          <w:docGrid w:linePitch="360"/>
        </w:sectPr>
      </w:pPr>
    </w:p>
    <w:p w14:paraId="4AB1CD3D" w14:textId="19C6EEBE" w:rsidR="0086108C" w:rsidRDefault="0086108C" w:rsidP="0086108C">
      <w:pPr>
        <w:pStyle w:val="CommentText"/>
        <w:spacing w:before="240" w:after="0" w:line="360" w:lineRule="auto"/>
        <w:rPr>
          <w:rFonts w:cs="Times New Roman"/>
          <w:sz w:val="24"/>
          <w:szCs w:val="24"/>
          <w:lang w:val="en-ZA"/>
        </w:rPr>
      </w:pPr>
      <w:r>
        <w:rPr>
          <w:rFonts w:cs="Times New Roman"/>
          <w:noProof/>
          <w:sz w:val="24"/>
          <w:szCs w:val="24"/>
          <w:lang w:val="en-ZA" w:eastAsia="en-ZA"/>
        </w:rPr>
        <w:drawing>
          <wp:inline distT="0" distB="0" distL="0" distR="0" wp14:anchorId="17743BC4" wp14:editId="245067DD">
            <wp:extent cx="8950335" cy="4899660"/>
            <wp:effectExtent l="0" t="0" r="317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950335" cy="4899660"/>
                    </a:xfrm>
                    <a:prstGeom prst="rect">
                      <a:avLst/>
                    </a:prstGeom>
                    <a:noFill/>
                  </pic:spPr>
                </pic:pic>
              </a:graphicData>
            </a:graphic>
          </wp:inline>
        </w:drawing>
      </w:r>
    </w:p>
    <w:p w14:paraId="7FC1A4AB" w14:textId="234EB036" w:rsidR="0086108C" w:rsidRDefault="006C3080" w:rsidP="00865C79">
      <w:pPr>
        <w:pStyle w:val="Myfigures"/>
        <w:spacing w:line="240" w:lineRule="auto"/>
      </w:pPr>
      <w:bookmarkStart w:id="163" w:name="_Toc65253654"/>
      <w:r w:rsidRPr="006C3080">
        <w:rPr>
          <w:b/>
          <w:bCs/>
        </w:rPr>
        <w:t>Figure 5.</w:t>
      </w:r>
      <w:r w:rsidR="004046B1">
        <w:rPr>
          <w:b/>
          <w:bCs/>
        </w:rPr>
        <w:t>3</w:t>
      </w:r>
      <w:r w:rsidRPr="006C3080">
        <w:rPr>
          <w:b/>
          <w:bCs/>
        </w:rPr>
        <w:t>:</w:t>
      </w:r>
      <w:r w:rsidRPr="00294A89">
        <w:t xml:space="preserve"> </w:t>
      </w:r>
      <w:r>
        <w:t>M</w:t>
      </w:r>
      <w:r w:rsidRPr="00294A89">
        <w:t xml:space="preserve">odel </w:t>
      </w:r>
      <w:r w:rsidR="00DF2440">
        <w:t>proposing</w:t>
      </w:r>
      <w:r w:rsidR="00C87F1B">
        <w:t xml:space="preserve"> </w:t>
      </w:r>
      <w:r w:rsidR="00DF2440">
        <w:t>how</w:t>
      </w:r>
      <w:r w:rsidRPr="00294A89">
        <w:t xml:space="preserve"> food-to-food fortification of wholegrain </w:t>
      </w:r>
      <w:r>
        <w:t>cereal</w:t>
      </w:r>
      <w:r w:rsidRPr="00294A89">
        <w:t xml:space="preserve"> porridge with baobab fruit </w:t>
      </w:r>
      <w:r w:rsidR="00DF2440">
        <w:t>can</w:t>
      </w:r>
      <w:r w:rsidRPr="00294A89">
        <w:t xml:space="preserve"> improve </w:t>
      </w:r>
      <w:r w:rsidR="00BB3B59">
        <w:t>iron</w:t>
      </w:r>
      <w:r w:rsidRPr="00294A89">
        <w:t xml:space="preserve"> bioaccessibility (a component of bioavailability</w:t>
      </w:r>
      <w:r>
        <w:t>)</w:t>
      </w:r>
      <w:bookmarkEnd w:id="163"/>
    </w:p>
    <w:p w14:paraId="21514C8B" w14:textId="77777777" w:rsidR="00A8391A" w:rsidRDefault="00A8391A" w:rsidP="004C44B5">
      <w:pPr>
        <w:pStyle w:val="Myfigures"/>
        <w:rPr>
          <w:lang w:val="en-ZA"/>
        </w:rPr>
        <w:sectPr w:rsidR="00A8391A" w:rsidSect="0086108C">
          <w:pgSz w:w="16839" w:h="11907" w:orient="landscape" w:code="9"/>
          <w:pgMar w:top="1440" w:right="1440" w:bottom="1440" w:left="1440" w:header="720" w:footer="720" w:gutter="0"/>
          <w:cols w:space="720"/>
          <w:docGrid w:linePitch="360"/>
        </w:sectPr>
      </w:pPr>
    </w:p>
    <w:p w14:paraId="0F9D820C" w14:textId="3EB0FD01" w:rsidR="00A8391A" w:rsidRDefault="00A8391A" w:rsidP="002B0664">
      <w:r w:rsidRPr="002B0664">
        <w:t xml:space="preserve">Additionally, this study revealed that the positive effect of baobab fruit on iron bioaccessibility was greater in the presence of abundant potentially available iron. In Chapters </w:t>
      </w:r>
      <w:r w:rsidR="00C87F1B">
        <w:t>4.</w:t>
      </w:r>
      <w:r w:rsidRPr="002B0664">
        <w:t xml:space="preserve">1 and </w:t>
      </w:r>
      <w:r w:rsidR="00C87F1B">
        <w:t>4.</w:t>
      </w:r>
      <w:r w:rsidRPr="002B0664">
        <w:t>2, fortification of wholegrain pearl millet and maize porridges increased iron bioaccessibility in terms of percentage and amount, by 19–36% and 16–30%, respectively, compared to the unfortified porridges. However, in a more complex food system, where a maize-based porridge was conventionally fortified with FeSO</w:t>
      </w:r>
      <w:r w:rsidRPr="00865C79">
        <w:rPr>
          <w:vertAlign w:val="subscript"/>
        </w:rPr>
        <w:t>4</w:t>
      </w:r>
      <w:r w:rsidRPr="002B0664">
        <w:t xml:space="preserve"> together with baobab, iron bioaccessibility was increased by more than 100%, both in terms of percentage and amount. Figure </w:t>
      </w:r>
      <w:r w:rsidR="00F005CC" w:rsidRPr="002B0664">
        <w:t>5.</w:t>
      </w:r>
      <w:r w:rsidR="004046B1">
        <w:t>4</w:t>
      </w:r>
      <w:r w:rsidRPr="002B0664">
        <w:t xml:space="preserve"> proposes a mechanism for baobab fruit’s positive effect in the presence of </w:t>
      </w:r>
      <w:r w:rsidR="00865C79">
        <w:t>abundant</w:t>
      </w:r>
      <w:r w:rsidRPr="002B0664">
        <w:t xml:space="preserve"> potentially available iron. The model </w:t>
      </w:r>
      <w:r w:rsidR="00C87F1B">
        <w:t>proposes</w:t>
      </w:r>
      <w:r w:rsidRPr="002B0664">
        <w:t xml:space="preserve"> that baobab fruit’s </w:t>
      </w:r>
      <w:r w:rsidR="001A73B3">
        <w:t>ascorbic acid plays a role in reducing</w:t>
      </w:r>
      <w:r w:rsidR="005E1AEB">
        <w:t xml:space="preserve"> the</w:t>
      </w:r>
      <w:r w:rsidR="001A73B3">
        <w:t xml:space="preserve"> </w:t>
      </w:r>
      <w:r w:rsidR="005E1AEB">
        <w:t xml:space="preserve">abundant insoluble </w:t>
      </w:r>
      <w:r w:rsidR="001A73B3">
        <w:t>Fe</w:t>
      </w:r>
      <w:r w:rsidR="001A73B3" w:rsidRPr="001A73B3">
        <w:rPr>
          <w:vertAlign w:val="superscript"/>
        </w:rPr>
        <w:t>3+</w:t>
      </w:r>
      <w:r w:rsidR="001A73B3">
        <w:t xml:space="preserve"> to </w:t>
      </w:r>
      <w:r w:rsidR="005E1AEB">
        <w:t xml:space="preserve">soluble </w:t>
      </w:r>
      <w:r w:rsidR="001A73B3">
        <w:t>Fe</w:t>
      </w:r>
      <w:r w:rsidR="001A73B3" w:rsidRPr="001A73B3">
        <w:rPr>
          <w:vertAlign w:val="superscript"/>
        </w:rPr>
        <w:t>2+</w:t>
      </w:r>
      <w:r w:rsidR="005E1AEB">
        <w:t xml:space="preserve"> </w:t>
      </w:r>
      <w:r w:rsidR="001A73B3">
        <w:t xml:space="preserve">and that both its </w:t>
      </w:r>
      <w:r w:rsidRPr="002B0664">
        <w:t>citric and ascorbic acids enhance the solubili</w:t>
      </w:r>
      <w:r w:rsidR="00BB3B59">
        <w:t xml:space="preserve">sation </w:t>
      </w:r>
      <w:r w:rsidRPr="002B0664">
        <w:t xml:space="preserve">of the abundant </w:t>
      </w:r>
      <w:r w:rsidR="00C87F1B">
        <w:t>Fe</w:t>
      </w:r>
      <w:r w:rsidR="00C87F1B" w:rsidRPr="00BB3B59">
        <w:rPr>
          <w:vertAlign w:val="superscript"/>
        </w:rPr>
        <w:t>3+</w:t>
      </w:r>
      <w:r w:rsidRPr="002B0664">
        <w:t xml:space="preserve"> ions in the fortified-porridge, thereby preventing them from the chelation by the phytate, polyphenols and tannins in the</w:t>
      </w:r>
      <w:r>
        <w:rPr>
          <w:lang w:val="en-ZA"/>
        </w:rPr>
        <w:t xml:space="preserve"> food matrix. </w:t>
      </w:r>
    </w:p>
    <w:p w14:paraId="2892C081" w14:textId="77777777" w:rsidR="00A8391A" w:rsidRDefault="00A8391A" w:rsidP="00865C79">
      <w:pPr>
        <w:spacing w:after="0"/>
      </w:pPr>
    </w:p>
    <w:p w14:paraId="0159E059" w14:textId="045398A5" w:rsidR="00865C79" w:rsidRDefault="00A8391A" w:rsidP="002B0664">
      <w:r>
        <w:t>The presence of plant food provitamin A source (carrot and mango) in the complex maize-based porridge could also have contributed</w:t>
      </w:r>
      <w:r w:rsidR="00865C79">
        <w:t>, in part,</w:t>
      </w:r>
      <w:r>
        <w:t xml:space="preserve"> to baobab fruit’s enhancing effect on the iron bioaccessibility. Provitamin A (β-carotene) has been shown to </w:t>
      </w:r>
      <w:r w:rsidRPr="00A967D7">
        <w:t>form a soluble complex with iron in the intestinal lumen, thus preventing</w:t>
      </w:r>
      <w:r>
        <w:t xml:space="preserve"> it</w:t>
      </w:r>
      <w:r w:rsidRPr="00A967D7">
        <w:t xml:space="preserve"> from the chelating effects of phytate and polyphenols </w:t>
      </w:r>
      <w:r>
        <w:t>(</w:t>
      </w:r>
      <w:r w:rsidRPr="00A967D7">
        <w:t>Garcia-Casal et al.</w:t>
      </w:r>
      <w:r>
        <w:t xml:space="preserve">, </w:t>
      </w:r>
      <w:r w:rsidRPr="00A967D7">
        <w:t>1998)</w:t>
      </w:r>
      <w:r>
        <w:t>.</w:t>
      </w:r>
      <w:r w:rsidR="00865C79">
        <w:t xml:space="preserve"> Beta-carotene may have similar effect on zinc bioaccessibility. Although, baobab alone fortification of the cereal porridges did not enhance zinc bioaccessibility, presumably due to its high phenolics content as illustrated in Figure 5.</w:t>
      </w:r>
      <w:r w:rsidR="004046B1">
        <w:t>3</w:t>
      </w:r>
      <w:r w:rsidR="00865C79">
        <w:t xml:space="preserve">, it showed some potential in improving zinc bioaccessibility, in terms of percentage and amount, in the presence of the beta-carotene in the food matrix </w:t>
      </w:r>
      <w:r w:rsidR="005E1AEB">
        <w:t>(</w:t>
      </w:r>
      <w:r w:rsidR="00544AE5">
        <w:t>Table</w:t>
      </w:r>
      <w:r w:rsidR="005E1AEB" w:rsidRPr="002B0664">
        <w:t xml:space="preserve"> </w:t>
      </w:r>
      <w:r w:rsidR="005E1AEB">
        <w:t>4.2</w:t>
      </w:r>
      <w:r w:rsidR="00544AE5">
        <w:t>.4</w:t>
      </w:r>
      <w:r w:rsidR="005E1AEB">
        <w:t xml:space="preserve">) </w:t>
      </w:r>
      <w:r w:rsidR="00865C79">
        <w:t xml:space="preserve">as illustrated in Figure 5.2. </w:t>
      </w:r>
    </w:p>
    <w:p w14:paraId="34C413C8" w14:textId="6137A556" w:rsidR="00E86DAA" w:rsidRDefault="00E86DAA" w:rsidP="00B2714D">
      <w:pPr>
        <w:rPr>
          <w:rFonts w:cs="Times New Roman"/>
          <w:szCs w:val="24"/>
          <w:lang w:val="en-ZA"/>
        </w:rPr>
      </w:pPr>
      <w:r>
        <w:rPr>
          <w:rFonts w:cs="Times New Roman"/>
          <w:szCs w:val="24"/>
          <w:lang w:val="en-ZA"/>
        </w:rPr>
        <w:br w:type="page"/>
      </w:r>
    </w:p>
    <w:p w14:paraId="2ECED199" w14:textId="77777777" w:rsidR="00E86DAA" w:rsidRDefault="00E86DAA" w:rsidP="00B2714D">
      <w:pPr>
        <w:rPr>
          <w:rFonts w:cs="Times New Roman"/>
          <w:szCs w:val="24"/>
          <w:lang w:val="en-ZA"/>
        </w:rPr>
        <w:sectPr w:rsidR="00E86DAA" w:rsidSect="00A8391A">
          <w:pgSz w:w="11907" w:h="16839" w:code="9"/>
          <w:pgMar w:top="1440" w:right="1440" w:bottom="1440" w:left="1440" w:header="720" w:footer="720" w:gutter="0"/>
          <w:cols w:space="720"/>
          <w:docGrid w:linePitch="360"/>
        </w:sectPr>
      </w:pPr>
    </w:p>
    <w:p w14:paraId="5ECFA500" w14:textId="1F6CC5E8" w:rsidR="00E86DAA" w:rsidRDefault="00E86DAA" w:rsidP="00A8391A">
      <w:pPr>
        <w:spacing w:after="160"/>
        <w:rPr>
          <w:rFonts w:cs="Times New Roman"/>
          <w:szCs w:val="24"/>
          <w:lang w:val="en-ZA"/>
        </w:rPr>
      </w:pPr>
      <w:r>
        <w:rPr>
          <w:rFonts w:cs="Times New Roman"/>
          <w:noProof/>
          <w:szCs w:val="24"/>
          <w:lang w:val="en-ZA" w:eastAsia="en-ZA"/>
        </w:rPr>
        <w:drawing>
          <wp:inline distT="0" distB="0" distL="0" distR="0" wp14:anchorId="2F286C1A" wp14:editId="13319CFC">
            <wp:extent cx="8591767" cy="47815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628762" cy="4802139"/>
                    </a:xfrm>
                    <a:prstGeom prst="rect">
                      <a:avLst/>
                    </a:prstGeom>
                    <a:noFill/>
                  </pic:spPr>
                </pic:pic>
              </a:graphicData>
            </a:graphic>
          </wp:inline>
        </w:drawing>
      </w:r>
    </w:p>
    <w:p w14:paraId="2AF12801" w14:textId="084E079C" w:rsidR="00E86DAA" w:rsidRDefault="00E86DAA" w:rsidP="00865C79">
      <w:pPr>
        <w:pStyle w:val="Myfigures"/>
        <w:spacing w:line="240" w:lineRule="auto"/>
      </w:pPr>
      <w:bookmarkStart w:id="164" w:name="_Toc65253655"/>
      <w:r w:rsidRPr="00FE2521">
        <w:rPr>
          <w:b/>
          <w:bCs/>
        </w:rPr>
        <w:t xml:space="preserve">Figure </w:t>
      </w:r>
      <w:r w:rsidR="00FE2521" w:rsidRPr="00FE2521">
        <w:rPr>
          <w:b/>
          <w:bCs/>
        </w:rPr>
        <w:t>5.</w:t>
      </w:r>
      <w:r w:rsidR="004046B1">
        <w:rPr>
          <w:b/>
          <w:bCs/>
        </w:rPr>
        <w:t>4</w:t>
      </w:r>
      <w:r w:rsidRPr="00FE2521">
        <w:rPr>
          <w:b/>
          <w:bCs/>
        </w:rPr>
        <w:t>:</w:t>
      </w:r>
      <w:r w:rsidRPr="00294A89">
        <w:t xml:space="preserve">  </w:t>
      </w:r>
      <w:r>
        <w:t>M</w:t>
      </w:r>
      <w:r w:rsidRPr="00294A89">
        <w:t xml:space="preserve">odel </w:t>
      </w:r>
      <w:r w:rsidR="00C87F1B">
        <w:t>proposing</w:t>
      </w:r>
      <w:r w:rsidRPr="00294A89">
        <w:t xml:space="preserve"> baobab fruit</w:t>
      </w:r>
      <w:r>
        <w:t xml:space="preserve"> </w:t>
      </w:r>
      <w:r w:rsidRPr="00294A89">
        <w:t xml:space="preserve">food-to-food fortification of </w:t>
      </w:r>
      <w:r>
        <w:t>conventionally iron fortified-</w:t>
      </w:r>
      <w:r w:rsidRPr="00294A89">
        <w:t xml:space="preserve">wholegrain </w:t>
      </w:r>
      <w:r>
        <w:t>cereal-based</w:t>
      </w:r>
      <w:r w:rsidRPr="00294A89">
        <w:t xml:space="preserve"> porridge</w:t>
      </w:r>
      <w:r>
        <w:t xml:space="preserve"> (containing</w:t>
      </w:r>
      <w:r w:rsidRPr="00294A89">
        <w:t xml:space="preserve"> </w:t>
      </w:r>
      <w:r>
        <w:t xml:space="preserve">plant provitamin A sources, mango and carrot) </w:t>
      </w:r>
      <w:r w:rsidR="00C87F1B">
        <w:t>can</w:t>
      </w:r>
      <w:r w:rsidRPr="00294A89">
        <w:t xml:space="preserve"> improve </w:t>
      </w:r>
      <w:r w:rsidR="005679AB">
        <w:t>iron and zinc</w:t>
      </w:r>
      <w:r w:rsidRPr="00294A89">
        <w:t xml:space="preserve"> bioaccessibility (a component of bioavailability</w:t>
      </w:r>
      <w:r>
        <w:t>)</w:t>
      </w:r>
      <w:bookmarkEnd w:id="164"/>
      <w:r>
        <w:t xml:space="preserve"> </w:t>
      </w:r>
    </w:p>
    <w:p w14:paraId="7EA88A6B" w14:textId="77777777" w:rsidR="00E86DAA" w:rsidRDefault="00E86DAA" w:rsidP="004C44B5">
      <w:pPr>
        <w:pStyle w:val="Myfigures"/>
        <w:rPr>
          <w:lang w:val="en-ZA"/>
        </w:rPr>
        <w:sectPr w:rsidR="00E86DAA" w:rsidSect="00E86DAA">
          <w:pgSz w:w="16839" w:h="11907" w:orient="landscape" w:code="9"/>
          <w:pgMar w:top="1440" w:right="1440" w:bottom="1440" w:left="1440" w:header="720" w:footer="720" w:gutter="0"/>
          <w:cols w:space="720"/>
          <w:docGrid w:linePitch="360"/>
        </w:sectPr>
      </w:pPr>
    </w:p>
    <w:p w14:paraId="273C135E" w14:textId="77777777" w:rsidR="00FE2521" w:rsidRPr="002B0664" w:rsidRDefault="00FE2521" w:rsidP="00BD44C6">
      <w:pPr>
        <w:spacing w:after="0"/>
        <w:rPr>
          <w:i/>
          <w:iCs/>
          <w:lang w:val="en-ZA"/>
        </w:rPr>
      </w:pPr>
      <w:r w:rsidRPr="002B0664">
        <w:rPr>
          <w:i/>
          <w:iCs/>
          <w:lang w:val="en-ZA"/>
        </w:rPr>
        <w:t>Effect of food-to-food fortification of cereal porridges with moringa leaves on essential mineral bioaccessibility</w:t>
      </w:r>
    </w:p>
    <w:p w14:paraId="46BFC2C2" w14:textId="771F3E86" w:rsidR="00FE2521" w:rsidRDefault="00BB65E5" w:rsidP="002B0664">
      <w:r>
        <w:t>F</w:t>
      </w:r>
      <w:r w:rsidR="00FE2521">
        <w:t xml:space="preserve">ortification of the cereal porridges </w:t>
      </w:r>
      <w:r>
        <w:t xml:space="preserve">with moringa leaf powder </w:t>
      </w:r>
      <w:r w:rsidR="00FE2521">
        <w:t>was generally inhibitory to iron and zinc bioaccessibility (</w:t>
      </w:r>
      <w:r w:rsidR="00FE2521" w:rsidRPr="00292ABA">
        <w:t>Table</w:t>
      </w:r>
      <w:r w:rsidR="00292ABA">
        <w:t>s</w:t>
      </w:r>
      <w:r w:rsidR="00FE2521">
        <w:t xml:space="preserve"> </w:t>
      </w:r>
      <w:r w:rsidR="00292ABA">
        <w:t xml:space="preserve">4.1.4 and </w:t>
      </w:r>
      <w:r w:rsidR="00FE2521">
        <w:t>4</w:t>
      </w:r>
      <w:r w:rsidR="00292ABA">
        <w:t>.2.4</w:t>
      </w:r>
      <w:r w:rsidR="00FE2521">
        <w:t xml:space="preserve">), despite its high iron content and relatively high citric acid content. </w:t>
      </w:r>
    </w:p>
    <w:p w14:paraId="459F5C80" w14:textId="77777777" w:rsidR="00FE2521" w:rsidRDefault="00FE2521" w:rsidP="00865C79">
      <w:pPr>
        <w:spacing w:after="0"/>
      </w:pPr>
    </w:p>
    <w:p w14:paraId="17932766" w14:textId="4DC475C4" w:rsidR="00E86DAA" w:rsidRDefault="00FE2521" w:rsidP="002B0664">
      <w:r w:rsidRPr="00292ABA">
        <w:t>Figure</w:t>
      </w:r>
      <w:r>
        <w:t xml:space="preserve"> </w:t>
      </w:r>
      <w:r w:rsidR="008928AE">
        <w:t>5.</w:t>
      </w:r>
      <w:r w:rsidR="004046B1">
        <w:t>5</w:t>
      </w:r>
      <w:r>
        <w:t xml:space="preserve"> is a model illustrating the likely mechanism of moringa’s inhibitory effect on </w:t>
      </w:r>
      <w:r w:rsidR="005679AB">
        <w:t>iron and zinc</w:t>
      </w:r>
      <w:r>
        <w:t xml:space="preserve"> bioaccessibility. The model shows that in the stomach and the small intestinal part of the GIT, the very high calcium content in moringa together with the high phytate contents of the cereal porridges and the moringa was </w:t>
      </w:r>
      <w:r w:rsidR="009E7815">
        <w:t>highly likely</w:t>
      </w:r>
      <w:r>
        <w:t xml:space="preserve"> primarily responsible for the inhibitory effect on the iron and zinc bioaccessibility. </w:t>
      </w:r>
      <w:r>
        <w:rPr>
          <w:lang w:val="en-ZA"/>
        </w:rPr>
        <w:t>It illustrates</w:t>
      </w:r>
      <w:r>
        <w:t xml:space="preserve"> that the high contents of calcium in a moringa fortified-cereal porridge can increase the inhibitory effect of phytate on iron and zinc bioavailability by forming strong calcium-phytate-iron/zinc complexes, which are less soluble than phytate complexes formed with either of the minerals (Rousseau et al., 2020). </w:t>
      </w:r>
    </w:p>
    <w:p w14:paraId="15F96EE3" w14:textId="1D1FCAA4" w:rsidR="00FE2521" w:rsidRDefault="00FE2521">
      <w:pPr>
        <w:spacing w:after="160" w:line="259" w:lineRule="auto"/>
        <w:rPr>
          <w:rFonts w:cs="Times New Roman"/>
          <w:szCs w:val="24"/>
          <w:lang w:val="en-ZA"/>
        </w:rPr>
      </w:pPr>
      <w:r>
        <w:rPr>
          <w:rFonts w:cs="Times New Roman"/>
          <w:szCs w:val="24"/>
          <w:lang w:val="en-ZA"/>
        </w:rPr>
        <w:br w:type="page"/>
      </w:r>
    </w:p>
    <w:p w14:paraId="67ADB6B0" w14:textId="77777777" w:rsidR="00FE2521" w:rsidRDefault="00FE2521" w:rsidP="00FE2521">
      <w:pPr>
        <w:spacing w:after="160"/>
        <w:rPr>
          <w:rFonts w:cs="Times New Roman"/>
          <w:szCs w:val="24"/>
          <w:lang w:val="en-ZA"/>
        </w:rPr>
        <w:sectPr w:rsidR="00FE2521" w:rsidSect="00E86DAA">
          <w:pgSz w:w="11907" w:h="16839" w:code="9"/>
          <w:pgMar w:top="1440" w:right="1440" w:bottom="1440" w:left="1440" w:header="720" w:footer="720" w:gutter="0"/>
          <w:cols w:space="720"/>
          <w:docGrid w:linePitch="360"/>
        </w:sectPr>
      </w:pPr>
    </w:p>
    <w:p w14:paraId="1533F56E" w14:textId="5580EEB8" w:rsidR="00FE2521" w:rsidRDefault="00FE2521" w:rsidP="00FE2521">
      <w:pPr>
        <w:spacing w:after="160"/>
        <w:rPr>
          <w:rFonts w:cs="Times New Roman"/>
          <w:szCs w:val="24"/>
          <w:lang w:val="en-ZA"/>
        </w:rPr>
      </w:pPr>
      <w:r>
        <w:rPr>
          <w:rFonts w:cs="Times New Roman"/>
          <w:noProof/>
          <w:szCs w:val="24"/>
          <w:lang w:val="en-ZA" w:eastAsia="en-ZA"/>
        </w:rPr>
        <w:drawing>
          <wp:inline distT="0" distB="0" distL="0" distR="0" wp14:anchorId="4F7F4FF0" wp14:editId="228BA781">
            <wp:extent cx="9016800" cy="4947586"/>
            <wp:effectExtent l="0" t="0" r="0"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042367" cy="4961615"/>
                    </a:xfrm>
                    <a:prstGeom prst="rect">
                      <a:avLst/>
                    </a:prstGeom>
                    <a:noFill/>
                  </pic:spPr>
                </pic:pic>
              </a:graphicData>
            </a:graphic>
          </wp:inline>
        </w:drawing>
      </w:r>
    </w:p>
    <w:p w14:paraId="4E52F830" w14:textId="257E6703" w:rsidR="00FE2521" w:rsidRDefault="00FE2521" w:rsidP="00865C79">
      <w:pPr>
        <w:pStyle w:val="Myfigures"/>
        <w:spacing w:line="240" w:lineRule="auto"/>
      </w:pPr>
      <w:bookmarkStart w:id="165" w:name="_Toc65253656"/>
      <w:r w:rsidRPr="00FE2521">
        <w:rPr>
          <w:b/>
          <w:bCs/>
        </w:rPr>
        <w:t>Figure 5.</w:t>
      </w:r>
      <w:r w:rsidR="004046B1">
        <w:rPr>
          <w:b/>
          <w:bCs/>
        </w:rPr>
        <w:t>5</w:t>
      </w:r>
      <w:r w:rsidRPr="00FE2521">
        <w:rPr>
          <w:b/>
          <w:bCs/>
        </w:rPr>
        <w:t>:</w:t>
      </w:r>
      <w:r w:rsidRPr="00294A89">
        <w:t xml:space="preserve">  </w:t>
      </w:r>
      <w:r>
        <w:t>M</w:t>
      </w:r>
      <w:r w:rsidRPr="00294A89">
        <w:t xml:space="preserve">odel </w:t>
      </w:r>
      <w:r w:rsidR="004F5E19">
        <w:t>illustrating the mechanism of the</w:t>
      </w:r>
      <w:r w:rsidRPr="00294A89">
        <w:t xml:space="preserve"> </w:t>
      </w:r>
      <w:r>
        <w:t xml:space="preserve">inhibitory effect </w:t>
      </w:r>
      <w:r w:rsidRPr="00294A89">
        <w:t xml:space="preserve">of </w:t>
      </w:r>
      <w:r>
        <w:t>moringa leave</w:t>
      </w:r>
      <w:r w:rsidRPr="00294A89">
        <w:t xml:space="preserve"> food-to-food fortification of</w:t>
      </w:r>
      <w:r>
        <w:t xml:space="preserve"> </w:t>
      </w:r>
      <w:r w:rsidRPr="00294A89">
        <w:t xml:space="preserve">wholegrain </w:t>
      </w:r>
      <w:r>
        <w:t>cereal</w:t>
      </w:r>
      <w:r w:rsidRPr="00294A89">
        <w:t xml:space="preserve"> porridge</w:t>
      </w:r>
      <w:r>
        <w:t xml:space="preserve"> on</w:t>
      </w:r>
      <w:r w:rsidRPr="00294A89">
        <w:t xml:space="preserve"> </w:t>
      </w:r>
      <w:r w:rsidR="005679AB">
        <w:t xml:space="preserve">iron and zinc </w:t>
      </w:r>
      <w:r w:rsidRPr="00294A89">
        <w:t>bioaccessibility (a component of bioavailability</w:t>
      </w:r>
      <w:r>
        <w:t>)</w:t>
      </w:r>
      <w:bookmarkEnd w:id="165"/>
      <w:r w:rsidR="00D16164">
        <w:t xml:space="preserve"> </w:t>
      </w:r>
    </w:p>
    <w:p w14:paraId="1C162A97" w14:textId="77777777" w:rsidR="00D16164" w:rsidRDefault="00D16164" w:rsidP="00E70ACC">
      <w:pPr>
        <w:pStyle w:val="Myfigures"/>
        <w:rPr>
          <w:lang w:val="en-ZA"/>
        </w:rPr>
        <w:sectPr w:rsidR="00D16164" w:rsidSect="00FE2521">
          <w:pgSz w:w="16839" w:h="11907" w:orient="landscape" w:code="9"/>
          <w:pgMar w:top="1440" w:right="1440" w:bottom="1440" w:left="1440" w:header="720" w:footer="720" w:gutter="0"/>
          <w:cols w:space="720"/>
          <w:docGrid w:linePitch="360"/>
        </w:sectPr>
      </w:pPr>
    </w:p>
    <w:p w14:paraId="29D53931" w14:textId="77777777" w:rsidR="00D16164" w:rsidRPr="002B0664" w:rsidRDefault="00D16164" w:rsidP="005F0C60">
      <w:pPr>
        <w:spacing w:after="0"/>
        <w:rPr>
          <w:i/>
          <w:iCs/>
          <w:lang w:val="en-ZA"/>
        </w:rPr>
      </w:pPr>
      <w:r w:rsidRPr="002B0664">
        <w:rPr>
          <w:i/>
          <w:iCs/>
          <w:lang w:val="en-ZA"/>
        </w:rPr>
        <w:t>Effects of food-to-food fortification with various combinations of plant food fortificants on essential mineral bioaccessibility in cereal porridges</w:t>
      </w:r>
    </w:p>
    <w:p w14:paraId="73FFC631" w14:textId="7EFC6C27" w:rsidR="00D16164" w:rsidRDefault="00D16164" w:rsidP="0049029C">
      <w:r>
        <w:t xml:space="preserve">Carrot plus mango </w:t>
      </w:r>
      <w:r w:rsidR="00865C79">
        <w:t xml:space="preserve">alone </w:t>
      </w:r>
      <w:r>
        <w:t>food-to-food fortification of maize porridge did not improve iron and zinc bioaccessibility</w:t>
      </w:r>
      <w:r w:rsidR="00865C79">
        <w:t xml:space="preserve"> (Table 4.3.4)</w:t>
      </w:r>
      <w:r>
        <w:t xml:space="preserve">. The substantial </w:t>
      </w:r>
      <w:r w:rsidR="004F5E19">
        <w:t xml:space="preserve">amounts of </w:t>
      </w:r>
      <w:r>
        <w:t>polyphenol</w:t>
      </w:r>
      <w:r w:rsidR="004F5E19">
        <w:t>s</w:t>
      </w:r>
      <w:r>
        <w:t xml:space="preserve"> in the carrot and mango </w:t>
      </w:r>
      <w:r w:rsidR="004F5E19">
        <w:t>could</w:t>
      </w:r>
      <w:r>
        <w:t xml:space="preserve"> have limited the β-carotene’s enhancing effect in enhancing the solubility of the minerals. However, additional fortification of the carrot plus mango fortified-porridge with baobab fruit improved both the iron and zinc bioaccessibility (</w:t>
      </w:r>
      <w:r w:rsidRPr="00292ABA">
        <w:t>Table</w:t>
      </w:r>
      <w:r>
        <w:t xml:space="preserve"> 4</w:t>
      </w:r>
      <w:r w:rsidR="00292ABA">
        <w:t>.3.4</w:t>
      </w:r>
      <w:r>
        <w:t>)</w:t>
      </w:r>
      <w:r w:rsidR="00203AD9">
        <w:t xml:space="preserve"> and was more effective</w:t>
      </w:r>
      <w:r>
        <w:t xml:space="preserve"> than baobab </w:t>
      </w:r>
      <w:r w:rsidR="00865C79">
        <w:t xml:space="preserve">alone </w:t>
      </w:r>
      <w:r>
        <w:t>fortification of the maize porridge (</w:t>
      </w:r>
      <w:r w:rsidRPr="00292ABA">
        <w:t>Table</w:t>
      </w:r>
      <w:r>
        <w:t xml:space="preserve"> 4</w:t>
      </w:r>
      <w:r w:rsidR="00292ABA">
        <w:t>.2.4</w:t>
      </w:r>
      <w:r>
        <w:t xml:space="preserve">). Similarly, food-to-food fortification with various combinations of carrot, mango and papaya, baobab fruit, moringa leaf (small proportion) and hibiscus calyx or together with </w:t>
      </w:r>
      <w:r w:rsidR="004F5E19">
        <w:t xml:space="preserve">a </w:t>
      </w:r>
      <w:r>
        <w:t>micronutrient premix containing iron, zinc and vitamin A generally substantially improved iron and zinc bioaccessibility in extrusion-cooked wholegrain pearl millet-based porridges compared to unfortified pearl millet grain, with the formulation containing carrot, papaya, baobab and micronutrient premix having the highest effect (</w:t>
      </w:r>
      <w:r w:rsidRPr="00292ABA">
        <w:t>Table</w:t>
      </w:r>
      <w:r>
        <w:t xml:space="preserve"> </w:t>
      </w:r>
      <w:r w:rsidR="00292ABA">
        <w:t>4.3.</w:t>
      </w:r>
      <w:r>
        <w:t xml:space="preserve">5). As illustrated in </w:t>
      </w:r>
      <w:r w:rsidRPr="00292ABA">
        <w:t>Figure</w:t>
      </w:r>
      <w:r>
        <w:t xml:space="preserve"> </w:t>
      </w:r>
      <w:r w:rsidR="00292ABA">
        <w:t>5.</w:t>
      </w:r>
      <w:r w:rsidR="004046B1">
        <w:t>4</w:t>
      </w:r>
      <w:r>
        <w:t xml:space="preserve">, the additive effects of </w:t>
      </w:r>
      <w:r w:rsidR="00865C79">
        <w:t xml:space="preserve">primarily </w:t>
      </w:r>
      <w:r>
        <w:t xml:space="preserve">the </w:t>
      </w:r>
      <w:r w:rsidR="00865C79">
        <w:t xml:space="preserve">organic acids </w:t>
      </w:r>
      <w:r>
        <w:t xml:space="preserve">in baobab and </w:t>
      </w:r>
      <w:r w:rsidR="004F5E19">
        <w:t xml:space="preserve">the </w:t>
      </w:r>
      <w:r>
        <w:t xml:space="preserve">high β-carotene contents of carrot, mango or papaya </w:t>
      </w:r>
      <w:r w:rsidR="004F5E19">
        <w:t>were likely</w:t>
      </w:r>
      <w:r>
        <w:t xml:space="preserve"> responsible for the</w:t>
      </w:r>
      <w:r w:rsidR="00865C79">
        <w:t xml:space="preserve"> enhancement of the bioaccessibility of the potentially available iron and zinc in the porridge food matrix</w:t>
      </w:r>
      <w:r>
        <w:t xml:space="preserve">. </w:t>
      </w:r>
      <w:r w:rsidR="00865C79">
        <w:t>Thus, the presence</w:t>
      </w:r>
      <w:r>
        <w:t xml:space="preserve"> of </w:t>
      </w:r>
      <w:r w:rsidR="00865C79">
        <w:t>several mineral bioavailability</w:t>
      </w:r>
      <w:r>
        <w:t xml:space="preserve"> enhancers in a porridge’s food matrix can be more </w:t>
      </w:r>
      <w:r w:rsidR="004F5E19">
        <w:t>effective</w:t>
      </w:r>
      <w:r>
        <w:t xml:space="preserve"> in enhancing the solubility of minerals, by forming soluble chelates with them, than the individual enhancers</w:t>
      </w:r>
      <w:r w:rsidR="00112A83">
        <w:t xml:space="preserve"> alone</w:t>
      </w:r>
      <w:r>
        <w:t>.</w:t>
      </w:r>
    </w:p>
    <w:p w14:paraId="36634B40" w14:textId="77777777" w:rsidR="00D16164" w:rsidRDefault="00D16164" w:rsidP="00865C79">
      <w:pPr>
        <w:spacing w:after="0"/>
        <w:rPr>
          <w:rFonts w:cs="Times New Roman"/>
          <w:szCs w:val="24"/>
          <w:lang w:val="en-ZA"/>
        </w:rPr>
      </w:pPr>
    </w:p>
    <w:p w14:paraId="3EFD7C10" w14:textId="7077848C" w:rsidR="00D16164" w:rsidRDefault="00D16164" w:rsidP="005F0C60">
      <w:pPr>
        <w:pStyle w:val="Heading2"/>
      </w:pPr>
      <w:bookmarkStart w:id="166" w:name="_Toc65253619"/>
      <w:r>
        <w:t>5.3</w:t>
      </w:r>
      <w:r w:rsidR="0049029C">
        <w:tab/>
      </w:r>
      <w:r w:rsidRPr="001A06D1">
        <w:t>Future Research</w:t>
      </w:r>
      <w:bookmarkEnd w:id="166"/>
    </w:p>
    <w:p w14:paraId="342A6A7A" w14:textId="1A45FA1F" w:rsidR="00571BAE" w:rsidRDefault="00D16164" w:rsidP="00DA20B0">
      <w:r w:rsidRPr="00DA20B0">
        <w:t xml:space="preserve">Extrusion cooking of cereal porridges may possibly improve mineral bioaccessibility by degrading mineral bioavailability inhibitors (phytate and polyphenols) (Alonso et al., 2001; Kaur et al., 2015). Therefore, </w:t>
      </w:r>
      <w:r w:rsidR="00150A69">
        <w:t>to better explain the potential of the food fortificants to improve mineral bioaccessibility in extrusion-c</w:t>
      </w:r>
      <w:r w:rsidR="00544AE5">
        <w:t>o</w:t>
      </w:r>
      <w:r w:rsidR="00150A69">
        <w:t xml:space="preserve">oked cereal-based porridges, </w:t>
      </w:r>
      <w:r w:rsidR="00203AD9">
        <w:t xml:space="preserve">the control </w:t>
      </w:r>
      <w:r w:rsidR="00150A69">
        <w:t xml:space="preserve">unfortified </w:t>
      </w:r>
      <w:r w:rsidR="00203AD9">
        <w:t>cereal porridge as well as food-to-food fortified cereal porridge</w:t>
      </w:r>
      <w:r w:rsidR="004854C3">
        <w:t xml:space="preserve"> formulations</w:t>
      </w:r>
      <w:r w:rsidR="00203AD9">
        <w:t xml:space="preserve"> should be extrusion-cooked.</w:t>
      </w:r>
      <w:r w:rsidR="004854C3">
        <w:t xml:space="preserve"> Also, </w:t>
      </w:r>
      <w:r w:rsidR="00993304">
        <w:t xml:space="preserve">to better explain the extrusion cooking effect on mineral bioaccessibility, </w:t>
      </w:r>
      <w:r w:rsidR="004854C3">
        <w:t>the raw cereal grain and the food fortificants as well as the extrusion-cooked</w:t>
      </w:r>
      <w:r w:rsidR="00203AD9">
        <w:t xml:space="preserve"> </w:t>
      </w:r>
      <w:r w:rsidR="004854C3">
        <w:t>porridge formulations should be investigated for their phytates and polyphenol contents</w:t>
      </w:r>
      <w:r w:rsidR="00993304">
        <w:t>.</w:t>
      </w:r>
      <w:r w:rsidR="00993304" w:rsidDel="004854C3">
        <w:t xml:space="preserve"> </w:t>
      </w:r>
      <w:r w:rsidR="00571BAE">
        <w:rPr>
          <w:szCs w:val="24"/>
        </w:rPr>
        <w:t>Also, the effects of extrusion cooking on the cereal porridge food matrix and its possible consequent mineral release and bioavailability improvement should also be investigated.</w:t>
      </w:r>
    </w:p>
    <w:p w14:paraId="61AA5DD7" w14:textId="5FDEF8D7" w:rsidR="00800342" w:rsidRDefault="00800342" w:rsidP="00571BAE">
      <w:pPr>
        <w:spacing w:after="0"/>
      </w:pPr>
    </w:p>
    <w:p w14:paraId="07FD33FD" w14:textId="17C02942" w:rsidR="00800342" w:rsidRDefault="00800342" w:rsidP="00DA20B0">
      <w:r>
        <w:rPr>
          <w:rFonts w:cs="Times New Roman"/>
          <w:szCs w:val="24"/>
          <w:lang w:val="en-ZA"/>
        </w:rPr>
        <w:t>To confirm the consumer acceptability of the food-to-food fortified products in this study, a sensory/organoleptic study should be performed.</w:t>
      </w:r>
    </w:p>
    <w:p w14:paraId="4F5A25D3" w14:textId="77777777" w:rsidR="00D16164" w:rsidRDefault="00D16164" w:rsidP="00865C79">
      <w:pPr>
        <w:spacing w:after="0"/>
      </w:pPr>
    </w:p>
    <w:p w14:paraId="5069EA3D" w14:textId="27EC4E57" w:rsidR="00D16164" w:rsidRDefault="00D16164" w:rsidP="00DA20B0">
      <w:pPr>
        <w:rPr>
          <w:lang w:val="en-ZA"/>
        </w:rPr>
      </w:pPr>
      <w:r>
        <w:t>The findings of this study regarding the enhancing effect</w:t>
      </w:r>
      <w:r w:rsidR="00112A83">
        <w:t>s</w:t>
      </w:r>
      <w:r>
        <w:t xml:space="preserve"> of baobab fruit and combinations of the various plant foodstuffs, rich in provitamin A, organic acids and minerals on iron and zinc bioaccessibility in wholegrain cereal foods should be further</w:t>
      </w:r>
      <w:r>
        <w:rPr>
          <w:lang w:val="en-ZA"/>
        </w:rPr>
        <w:t xml:space="preserve"> assessed by a coupled </w:t>
      </w:r>
      <w:r w:rsidR="00D5016D">
        <w:rPr>
          <w:i/>
          <w:iCs/>
          <w:lang w:val="en-ZA"/>
        </w:rPr>
        <w:t>i</w:t>
      </w:r>
      <w:r w:rsidR="00D5016D" w:rsidRPr="00D5016D">
        <w:rPr>
          <w:i/>
          <w:iCs/>
          <w:lang w:val="en-ZA"/>
        </w:rPr>
        <w:t>n vitro</w:t>
      </w:r>
      <w:r>
        <w:rPr>
          <w:lang w:val="en-ZA"/>
        </w:rPr>
        <w:t xml:space="preserve"> digestion/Caco-2 cell assay. </w:t>
      </w:r>
      <w:r w:rsidR="00112A83">
        <w:rPr>
          <w:lang w:val="en-ZA"/>
        </w:rPr>
        <w:t>As stated, t</w:t>
      </w:r>
      <w:r>
        <w:rPr>
          <w:lang w:val="en-ZA"/>
        </w:rPr>
        <w:t>he Caco-2 cell assay can better predict iron and zinc bioavailability than the dialysability assay</w:t>
      </w:r>
      <w:r w:rsidR="00112A83">
        <w:rPr>
          <w:lang w:val="en-ZA"/>
        </w:rPr>
        <w:t xml:space="preserve"> by</w:t>
      </w:r>
      <w:r>
        <w:rPr>
          <w:lang w:val="en-ZA"/>
        </w:rPr>
        <w:t xml:space="preserve"> effectively predict</w:t>
      </w:r>
      <w:r w:rsidR="00112A83">
        <w:rPr>
          <w:lang w:val="en-ZA"/>
        </w:rPr>
        <w:t>ing</w:t>
      </w:r>
      <w:r>
        <w:rPr>
          <w:lang w:val="en-ZA"/>
        </w:rPr>
        <w:t xml:space="preserve"> the correct direction of response for all major iron </w:t>
      </w:r>
      <w:r w:rsidR="00865C79">
        <w:rPr>
          <w:lang w:val="en-ZA"/>
        </w:rPr>
        <w:t xml:space="preserve">and </w:t>
      </w:r>
      <w:r w:rsidR="00FC74D1">
        <w:rPr>
          <w:lang w:val="en-ZA"/>
        </w:rPr>
        <w:t xml:space="preserve">possibly </w:t>
      </w:r>
      <w:r w:rsidR="00865C79">
        <w:rPr>
          <w:lang w:val="en-ZA"/>
        </w:rPr>
        <w:t xml:space="preserve">zinc </w:t>
      </w:r>
      <w:r>
        <w:rPr>
          <w:lang w:val="en-ZA"/>
        </w:rPr>
        <w:t>bioavailability modifiers</w:t>
      </w:r>
      <w:r w:rsidR="00544AE5">
        <w:rPr>
          <w:lang w:val="en-ZA"/>
        </w:rPr>
        <w:t xml:space="preserve"> (Fairweather-Tait et al., 2005)</w:t>
      </w:r>
      <w:r w:rsidR="00112A83">
        <w:rPr>
          <w:lang w:val="en-ZA"/>
        </w:rPr>
        <w:t>.</w:t>
      </w:r>
      <w:r>
        <w:rPr>
          <w:lang w:val="en-ZA"/>
        </w:rPr>
        <w:t xml:space="preserve"> </w:t>
      </w:r>
      <w:r w:rsidR="00112A83">
        <w:rPr>
          <w:lang w:val="en-ZA"/>
        </w:rPr>
        <w:t>H</w:t>
      </w:r>
      <w:r>
        <w:rPr>
          <w:lang w:val="en-ZA"/>
        </w:rPr>
        <w:t xml:space="preserve">ence, </w:t>
      </w:r>
      <w:r w:rsidR="00112A83">
        <w:rPr>
          <w:lang w:val="en-ZA"/>
        </w:rPr>
        <w:t>it should</w:t>
      </w:r>
      <w:r>
        <w:rPr>
          <w:lang w:val="en-ZA"/>
        </w:rPr>
        <w:t xml:space="preserve"> provide more reliable information regarding the potentials of the plant food fortificants </w:t>
      </w:r>
      <w:r w:rsidR="00112A83">
        <w:rPr>
          <w:lang w:val="en-ZA"/>
        </w:rPr>
        <w:t>to</w:t>
      </w:r>
      <w:r>
        <w:rPr>
          <w:lang w:val="en-ZA"/>
        </w:rPr>
        <w:t xml:space="preserve"> improv</w:t>
      </w:r>
      <w:r w:rsidR="00112A83">
        <w:rPr>
          <w:lang w:val="en-ZA"/>
        </w:rPr>
        <w:t>e</w:t>
      </w:r>
      <w:r>
        <w:rPr>
          <w:lang w:val="en-ZA"/>
        </w:rPr>
        <w:t xml:space="preserve"> iron and zinc bioavailabilit</w:t>
      </w:r>
      <w:r w:rsidR="00112A83">
        <w:rPr>
          <w:lang w:val="en-ZA"/>
        </w:rPr>
        <w:t>ies</w:t>
      </w:r>
      <w:r>
        <w:rPr>
          <w:lang w:val="en-ZA"/>
        </w:rPr>
        <w:t xml:space="preserve">. </w:t>
      </w:r>
      <w:r w:rsidR="00112A83">
        <w:rPr>
          <w:lang w:val="en-ZA"/>
        </w:rPr>
        <w:t>For example,</w:t>
      </w:r>
      <w:r w:rsidR="00865C79">
        <w:rPr>
          <w:lang w:val="en-ZA"/>
        </w:rPr>
        <w:t xml:space="preserve"> research by Kruger et al. (2013) showed that some zinc ligands that </w:t>
      </w:r>
      <w:r w:rsidR="00112A83">
        <w:rPr>
          <w:lang w:val="en-ZA"/>
        </w:rPr>
        <w:t>were</w:t>
      </w:r>
      <w:r w:rsidR="00865C79">
        <w:rPr>
          <w:lang w:val="en-ZA"/>
        </w:rPr>
        <w:t xml:space="preserve"> not bioaccessible with </w:t>
      </w:r>
      <w:r w:rsidR="00865C79" w:rsidRPr="00865C79">
        <w:rPr>
          <w:i/>
          <w:iCs/>
          <w:lang w:val="en-ZA"/>
        </w:rPr>
        <w:t>in vitro</w:t>
      </w:r>
      <w:r w:rsidR="00865C79">
        <w:rPr>
          <w:lang w:val="en-ZA"/>
        </w:rPr>
        <w:t xml:space="preserve"> dialysability assay </w:t>
      </w:r>
      <w:r w:rsidR="00112A83">
        <w:rPr>
          <w:lang w:val="en-ZA"/>
        </w:rPr>
        <w:t>were</w:t>
      </w:r>
      <w:r w:rsidR="00865C79">
        <w:rPr>
          <w:lang w:val="en-ZA"/>
        </w:rPr>
        <w:t xml:space="preserve"> bioaccessible with Caco-2 cell assay and available for absorption in </w:t>
      </w:r>
      <w:r w:rsidR="00865C79" w:rsidRPr="00865C79">
        <w:rPr>
          <w:i/>
          <w:iCs/>
          <w:lang w:val="en-ZA"/>
        </w:rPr>
        <w:t>in vivo</w:t>
      </w:r>
      <w:r w:rsidR="00865C79">
        <w:rPr>
          <w:lang w:val="en-ZA"/>
        </w:rPr>
        <w:t>. Thus, t</w:t>
      </w:r>
      <w:r>
        <w:rPr>
          <w:lang w:val="en-ZA"/>
        </w:rPr>
        <w:t xml:space="preserve">he </w:t>
      </w:r>
      <w:r w:rsidR="00865C79">
        <w:rPr>
          <w:lang w:val="en-ZA"/>
        </w:rPr>
        <w:t xml:space="preserve">Caco-2 cell </w:t>
      </w:r>
      <w:r>
        <w:rPr>
          <w:lang w:val="en-ZA"/>
        </w:rPr>
        <w:t xml:space="preserve">assay </w:t>
      </w:r>
      <w:r w:rsidR="00112A83">
        <w:rPr>
          <w:lang w:val="en-ZA"/>
        </w:rPr>
        <w:t>could</w:t>
      </w:r>
      <w:r>
        <w:rPr>
          <w:lang w:val="en-ZA"/>
        </w:rPr>
        <w:t xml:space="preserve"> differentiate between dialysable or soluble iron and zinc that is available for uptake by the enterocytes and that which is not available</w:t>
      </w:r>
      <w:r w:rsidR="00865C79">
        <w:rPr>
          <w:lang w:val="en-ZA"/>
        </w:rPr>
        <w:t>.</w:t>
      </w:r>
      <w:r>
        <w:rPr>
          <w:lang w:val="en-ZA"/>
        </w:rPr>
        <w:t xml:space="preserve"> </w:t>
      </w:r>
    </w:p>
    <w:p w14:paraId="0A4C1728" w14:textId="77777777" w:rsidR="00D16164" w:rsidRDefault="00D16164" w:rsidP="00865C79">
      <w:pPr>
        <w:spacing w:after="0"/>
        <w:rPr>
          <w:lang w:val="en-ZA"/>
        </w:rPr>
      </w:pPr>
    </w:p>
    <w:p w14:paraId="375A4CBB" w14:textId="65DD3AEE" w:rsidR="00AC65D6" w:rsidRDefault="00072B59" w:rsidP="00DA20B0">
      <w:r>
        <w:rPr>
          <w:lang w:val="en-ZA"/>
        </w:rPr>
        <w:t>S</w:t>
      </w:r>
      <w:r w:rsidR="00D16164">
        <w:rPr>
          <w:lang w:val="en-ZA"/>
        </w:rPr>
        <w:t xml:space="preserve">ince research findings from </w:t>
      </w:r>
      <w:r w:rsidR="00D5016D">
        <w:rPr>
          <w:i/>
          <w:iCs/>
          <w:lang w:val="en-ZA"/>
        </w:rPr>
        <w:t>i</w:t>
      </w:r>
      <w:r w:rsidR="00D5016D" w:rsidRPr="00D5016D">
        <w:rPr>
          <w:i/>
          <w:iCs/>
          <w:lang w:val="en-ZA"/>
        </w:rPr>
        <w:t>n vitro</w:t>
      </w:r>
      <w:r w:rsidR="00D16164">
        <w:rPr>
          <w:lang w:val="en-ZA"/>
        </w:rPr>
        <w:t xml:space="preserve"> studies cannot be directly extrapolated to humans, </w:t>
      </w:r>
      <w:r w:rsidR="00F734F3">
        <w:rPr>
          <w:lang w:val="en-ZA"/>
        </w:rPr>
        <w:t xml:space="preserve">the </w:t>
      </w:r>
      <w:r w:rsidR="00D16164">
        <w:rPr>
          <w:lang w:val="en-ZA"/>
        </w:rPr>
        <w:t xml:space="preserve">evidence </w:t>
      </w:r>
      <w:r>
        <w:rPr>
          <w:lang w:val="en-ZA"/>
        </w:rPr>
        <w:t xml:space="preserve">from this study </w:t>
      </w:r>
      <w:r w:rsidR="00D16164">
        <w:rPr>
          <w:lang w:val="en-ZA"/>
        </w:rPr>
        <w:t xml:space="preserve">regarding the potential of the food-to-food fortification </w:t>
      </w:r>
      <w:r w:rsidR="00F734F3">
        <w:rPr>
          <w:lang w:val="en-ZA"/>
        </w:rPr>
        <w:t xml:space="preserve">to improve iron and zinc bioaccessibility, </w:t>
      </w:r>
      <w:r>
        <w:rPr>
          <w:lang w:val="en-ZA"/>
        </w:rPr>
        <w:t>needs</w:t>
      </w:r>
      <w:r w:rsidR="00D16164">
        <w:rPr>
          <w:lang w:val="en-ZA"/>
        </w:rPr>
        <w:t xml:space="preserve"> be validated with a human bioavailability </w:t>
      </w:r>
      <w:r>
        <w:rPr>
          <w:lang w:val="en-ZA"/>
        </w:rPr>
        <w:t>study,</w:t>
      </w:r>
      <w:r w:rsidR="00F734F3">
        <w:rPr>
          <w:lang w:val="en-ZA"/>
        </w:rPr>
        <w:t xml:space="preserve"> </w:t>
      </w:r>
      <w:r w:rsidR="00D16164">
        <w:rPr>
          <w:lang w:val="en-ZA"/>
        </w:rPr>
        <w:t xml:space="preserve">preferably </w:t>
      </w:r>
      <w:r w:rsidR="00F734F3">
        <w:rPr>
          <w:lang w:val="en-ZA"/>
        </w:rPr>
        <w:t xml:space="preserve">be </w:t>
      </w:r>
      <w:r w:rsidR="00D16164">
        <w:rPr>
          <w:lang w:val="en-ZA"/>
        </w:rPr>
        <w:t xml:space="preserve">conducted in an African setting. Iron and zinc absorption from the food-to-food fortified cereal porridges with </w:t>
      </w:r>
      <w:r w:rsidR="00D16164">
        <w:t xml:space="preserve">baobab fruit and combinations of the various plant foodstuffs, rich in provitamin A, organic acids and minerals </w:t>
      </w:r>
      <w:r w:rsidR="00FC74D1">
        <w:t xml:space="preserve">or together with iron and zinc </w:t>
      </w:r>
      <w:r w:rsidR="000D7DDF">
        <w:t xml:space="preserve">from conventional </w:t>
      </w:r>
      <w:r w:rsidR="00FC74D1">
        <w:t xml:space="preserve">fortification </w:t>
      </w:r>
      <w:r w:rsidR="00D16164">
        <w:t>should be determined in comparison to co</w:t>
      </w:r>
      <w:r w:rsidR="000D7DDF">
        <w:t>nventional</w:t>
      </w:r>
      <w:r w:rsidR="00D16164">
        <w:t xml:space="preserve"> iron and zinc fortification. </w:t>
      </w:r>
      <w:r w:rsidR="00D05929">
        <w:t>This can be investigated by assessing absorption of stable isotopes of iron (</w:t>
      </w:r>
      <w:r w:rsidR="00D05929" w:rsidRPr="00CF5EC1">
        <w:rPr>
          <w:vertAlign w:val="superscript"/>
        </w:rPr>
        <w:t>58</w:t>
      </w:r>
      <w:r w:rsidR="00D05929">
        <w:t>Fe</w:t>
      </w:r>
      <w:r w:rsidR="00165467">
        <w:t xml:space="preserve"> or</w:t>
      </w:r>
      <w:r w:rsidR="00D05929">
        <w:t xml:space="preserve"> </w:t>
      </w:r>
      <w:r w:rsidR="00D05929" w:rsidRPr="00CF5EC1">
        <w:rPr>
          <w:vertAlign w:val="superscript"/>
        </w:rPr>
        <w:t>57</w:t>
      </w:r>
      <w:r w:rsidR="00D05929">
        <w:t>Fe) and zinc (</w:t>
      </w:r>
      <w:r w:rsidR="00165467">
        <w:rPr>
          <w:vertAlign w:val="superscript"/>
        </w:rPr>
        <w:t>67</w:t>
      </w:r>
      <w:r w:rsidR="00165467">
        <w:t>Zn</w:t>
      </w:r>
      <w:r w:rsidR="00AB1A5F">
        <w:t xml:space="preserve"> or </w:t>
      </w:r>
      <w:r w:rsidR="00AB1A5F">
        <w:rPr>
          <w:vertAlign w:val="superscript"/>
        </w:rPr>
        <w:t>70</w:t>
      </w:r>
      <w:r w:rsidR="00AB1A5F">
        <w:t>Zn</w:t>
      </w:r>
      <w:r w:rsidR="00D05929">
        <w:t>) extrinsically labe</w:t>
      </w:r>
      <w:r w:rsidR="00953D8F">
        <w:t>l</w:t>
      </w:r>
      <w:r w:rsidR="00D05929">
        <w:t>led in the servings of the porridge formulations as described</w:t>
      </w:r>
      <w:r w:rsidR="00165467">
        <w:t xml:space="preserve"> by Petry et al. (2016</w:t>
      </w:r>
      <w:r w:rsidR="00191133">
        <w:t>b</w:t>
      </w:r>
      <w:r w:rsidR="00165467">
        <w:t>) for iron and Signorell et al. (2019) for zinc</w:t>
      </w:r>
      <w:r w:rsidR="00D05929">
        <w:t>.</w:t>
      </w:r>
      <w:r w:rsidR="00165467">
        <w:t xml:space="preserve"> </w:t>
      </w:r>
      <w:r w:rsidR="0047291D">
        <w:t>A randomized crossover design can be used for the trial, allowing each participant to serve as their own control. The findings should provide information regarding the true magnitude or extent to which this type of food-to-food fortification could improve the iron and zinc status of at-risk groups in Africa.</w:t>
      </w:r>
    </w:p>
    <w:p w14:paraId="732AA0A3" w14:textId="456187CC" w:rsidR="003E63C3" w:rsidRDefault="003E63C3" w:rsidP="00DA20B0"/>
    <w:p w14:paraId="4E2B15CE" w14:textId="34C47479" w:rsidR="00F96501" w:rsidRDefault="00F96501" w:rsidP="00DA20B0">
      <w:pPr>
        <w:rPr>
          <w:szCs w:val="24"/>
        </w:rPr>
      </w:pPr>
      <w:r>
        <w:rPr>
          <w:szCs w:val="24"/>
        </w:rPr>
        <w:t>Since lactic acid fermentation is well known to enhance the availability of essential mineral in plant foods (</w:t>
      </w:r>
      <w:r w:rsidRPr="00702AE4">
        <w:rPr>
          <w:szCs w:val="24"/>
        </w:rPr>
        <w:t>Proulx &amp; Reddy, 2007</w:t>
      </w:r>
      <w:r>
        <w:rPr>
          <w:szCs w:val="24"/>
        </w:rPr>
        <w:t>), this technology should be investigated in combination with extrusion cooking for its potential to substantially improve essential mineral bioavailability in ready-to-eat type food-to-food fortified cereal porridge products.</w:t>
      </w:r>
    </w:p>
    <w:p w14:paraId="4F14E5E2" w14:textId="77777777" w:rsidR="00F96501" w:rsidRDefault="00F96501" w:rsidP="00F96501">
      <w:pPr>
        <w:spacing w:after="0"/>
        <w:rPr>
          <w:szCs w:val="24"/>
        </w:rPr>
      </w:pPr>
    </w:p>
    <w:p w14:paraId="49A37D3E" w14:textId="65F04F08" w:rsidR="003E63C3" w:rsidRDefault="003E63C3" w:rsidP="00DA20B0">
      <w:r>
        <w:rPr>
          <w:szCs w:val="24"/>
        </w:rPr>
        <w:t>Due to the low protein quality of cereal-based foods, widely available and consumed pulses such as cowpea (Horn &amp; Shimelis, 2020), can be incorporated in these food-to-food fortified porridges to improve their protein quality.</w:t>
      </w:r>
    </w:p>
    <w:p w14:paraId="256F8FF4" w14:textId="43F25D08" w:rsidR="00D16164" w:rsidRDefault="00D16164" w:rsidP="00DA20B0"/>
    <w:p w14:paraId="43E7CA22" w14:textId="2E42461B" w:rsidR="00D16164" w:rsidRDefault="00D16164" w:rsidP="00D16164">
      <w:pPr>
        <w:spacing w:after="160"/>
        <w:rPr>
          <w:rFonts w:cs="Times New Roman"/>
          <w:szCs w:val="24"/>
        </w:rPr>
      </w:pPr>
    </w:p>
    <w:p w14:paraId="3F8845C9" w14:textId="34CE1592" w:rsidR="00D16164" w:rsidRDefault="00D16164" w:rsidP="00D16164">
      <w:pPr>
        <w:spacing w:after="160"/>
        <w:rPr>
          <w:rFonts w:cs="Times New Roman"/>
          <w:szCs w:val="24"/>
        </w:rPr>
      </w:pPr>
    </w:p>
    <w:p w14:paraId="611E5030" w14:textId="62F72C95" w:rsidR="004046B1" w:rsidRDefault="004046B1" w:rsidP="00D16164">
      <w:pPr>
        <w:spacing w:after="160"/>
        <w:rPr>
          <w:rFonts w:cs="Times New Roman"/>
          <w:szCs w:val="24"/>
        </w:rPr>
      </w:pPr>
    </w:p>
    <w:p w14:paraId="3F764697" w14:textId="377EEF5D" w:rsidR="004046B1" w:rsidRDefault="004046B1" w:rsidP="00D16164">
      <w:pPr>
        <w:spacing w:after="160"/>
        <w:rPr>
          <w:rFonts w:cs="Times New Roman"/>
          <w:szCs w:val="24"/>
        </w:rPr>
      </w:pPr>
    </w:p>
    <w:p w14:paraId="1BB19AD4" w14:textId="078D7AE8" w:rsidR="004046B1" w:rsidRDefault="004046B1" w:rsidP="00D16164">
      <w:pPr>
        <w:spacing w:after="160"/>
        <w:rPr>
          <w:rFonts w:cs="Times New Roman"/>
          <w:szCs w:val="24"/>
        </w:rPr>
      </w:pPr>
    </w:p>
    <w:p w14:paraId="59B0B91F" w14:textId="6BBAC5DB" w:rsidR="004046B1" w:rsidRDefault="004046B1" w:rsidP="00D16164">
      <w:pPr>
        <w:spacing w:after="160"/>
        <w:rPr>
          <w:rFonts w:cs="Times New Roman"/>
          <w:szCs w:val="24"/>
        </w:rPr>
      </w:pPr>
    </w:p>
    <w:p w14:paraId="36766F1F" w14:textId="7891D0AD" w:rsidR="004046B1" w:rsidRDefault="004046B1" w:rsidP="00D16164">
      <w:pPr>
        <w:spacing w:after="160"/>
        <w:rPr>
          <w:rFonts w:cs="Times New Roman"/>
          <w:szCs w:val="24"/>
        </w:rPr>
      </w:pPr>
    </w:p>
    <w:p w14:paraId="0CFF6394" w14:textId="3C9BD971" w:rsidR="004046B1" w:rsidRDefault="004046B1" w:rsidP="00D16164">
      <w:pPr>
        <w:spacing w:after="160"/>
        <w:rPr>
          <w:rFonts w:cs="Times New Roman"/>
          <w:szCs w:val="24"/>
        </w:rPr>
      </w:pPr>
    </w:p>
    <w:p w14:paraId="41F19220" w14:textId="6B7FB9CD" w:rsidR="004046B1" w:rsidRDefault="004046B1" w:rsidP="00D16164">
      <w:pPr>
        <w:spacing w:after="160"/>
        <w:rPr>
          <w:rFonts w:cs="Times New Roman"/>
          <w:szCs w:val="24"/>
        </w:rPr>
      </w:pPr>
    </w:p>
    <w:p w14:paraId="1E07E80F" w14:textId="305E4138" w:rsidR="004046B1" w:rsidRDefault="004046B1" w:rsidP="00D16164">
      <w:pPr>
        <w:spacing w:after="160"/>
        <w:rPr>
          <w:rFonts w:cs="Times New Roman"/>
          <w:szCs w:val="24"/>
        </w:rPr>
      </w:pPr>
    </w:p>
    <w:p w14:paraId="2AF8DCE8" w14:textId="283F88C6" w:rsidR="004046B1" w:rsidRDefault="004046B1" w:rsidP="00D16164">
      <w:pPr>
        <w:spacing w:after="160"/>
        <w:rPr>
          <w:rFonts w:cs="Times New Roman"/>
          <w:szCs w:val="24"/>
        </w:rPr>
      </w:pPr>
    </w:p>
    <w:p w14:paraId="286EDB43" w14:textId="3FDE702F" w:rsidR="004046B1" w:rsidRDefault="004046B1" w:rsidP="00D16164">
      <w:pPr>
        <w:spacing w:after="160"/>
        <w:rPr>
          <w:rFonts w:cs="Times New Roman"/>
          <w:szCs w:val="24"/>
        </w:rPr>
      </w:pPr>
    </w:p>
    <w:p w14:paraId="5382828E" w14:textId="50D7665D" w:rsidR="004046B1" w:rsidRDefault="004046B1" w:rsidP="00D16164">
      <w:pPr>
        <w:spacing w:after="160"/>
        <w:rPr>
          <w:rFonts w:cs="Times New Roman"/>
          <w:szCs w:val="24"/>
        </w:rPr>
      </w:pPr>
    </w:p>
    <w:p w14:paraId="727EE363" w14:textId="08E6327F" w:rsidR="004046B1" w:rsidRDefault="004046B1" w:rsidP="00D16164">
      <w:pPr>
        <w:spacing w:after="160"/>
        <w:rPr>
          <w:rFonts w:cs="Times New Roman"/>
          <w:szCs w:val="24"/>
        </w:rPr>
      </w:pPr>
    </w:p>
    <w:p w14:paraId="022BEA69" w14:textId="69CC816E" w:rsidR="004046B1" w:rsidRDefault="004046B1" w:rsidP="00D16164">
      <w:pPr>
        <w:spacing w:after="160"/>
        <w:rPr>
          <w:rFonts w:cs="Times New Roman"/>
          <w:szCs w:val="24"/>
        </w:rPr>
      </w:pPr>
    </w:p>
    <w:p w14:paraId="63860423" w14:textId="77777777" w:rsidR="00F734F3" w:rsidRDefault="00F734F3" w:rsidP="00D16164">
      <w:pPr>
        <w:spacing w:after="160"/>
        <w:rPr>
          <w:rFonts w:cs="Times New Roman"/>
          <w:szCs w:val="24"/>
        </w:rPr>
      </w:pPr>
    </w:p>
    <w:p w14:paraId="0586E782" w14:textId="59D73446" w:rsidR="001E2525" w:rsidRDefault="001E2525" w:rsidP="00DA20B0">
      <w:pPr>
        <w:pStyle w:val="Heading1"/>
        <w:rPr>
          <w:lang w:val="en-ZA"/>
        </w:rPr>
      </w:pPr>
      <w:bookmarkStart w:id="167" w:name="_Toc65253620"/>
      <w:r w:rsidRPr="00EF1231">
        <w:rPr>
          <w:lang w:val="en-ZA"/>
        </w:rPr>
        <w:t>6</w:t>
      </w:r>
      <w:r w:rsidR="00072B59">
        <w:rPr>
          <w:lang w:val="en-ZA"/>
        </w:rPr>
        <w:t>.</w:t>
      </w:r>
      <w:r>
        <w:rPr>
          <w:lang w:val="en-ZA"/>
        </w:rPr>
        <w:tab/>
        <w:t>CONCLUSIONS AND RECOMMENDATIONS</w:t>
      </w:r>
      <w:bookmarkEnd w:id="167"/>
    </w:p>
    <w:p w14:paraId="06A40EBD" w14:textId="588570B5" w:rsidR="001E2525" w:rsidRPr="00DC71D8" w:rsidRDefault="001E2525" w:rsidP="00DA20B0">
      <w:r>
        <w:t>Despite the high tannin and total phenolic content of baobab fruit, its</w:t>
      </w:r>
      <w:r w:rsidRPr="00655A60">
        <w:t xml:space="preserve"> food-to-food fortification of wholegrain cereal porridges </w:t>
      </w:r>
      <w:r>
        <w:t>has the potential to</w:t>
      </w:r>
      <w:r w:rsidRPr="00655A60">
        <w:t xml:space="preserve"> improve iron but not zinc bioa</w:t>
      </w:r>
      <w:r>
        <w:t xml:space="preserve">ccessibility. </w:t>
      </w:r>
      <w:r w:rsidRPr="00C41697">
        <w:t xml:space="preserve">This is </w:t>
      </w:r>
      <w:r w:rsidR="00AF7790">
        <w:t>very likely</w:t>
      </w:r>
      <w:r w:rsidRPr="00C41697">
        <w:t xml:space="preserve"> due to the fact that baobab fruit has a high content of organic acids, notably citric and ascorbic acid, which can enhance the solubility of minerals, by forming soluble chelates with them</w:t>
      </w:r>
      <w:r>
        <w:t xml:space="preserve"> in the</w:t>
      </w:r>
      <w:r w:rsidR="0065037B">
        <w:t xml:space="preserve"> stomach and</w:t>
      </w:r>
      <w:r>
        <w:t xml:space="preserve"> small intestine</w:t>
      </w:r>
      <w:r w:rsidRPr="00C41697">
        <w:t>, thereby preventing the formation of insoluble phytate-, tannin- and polyphenolic-iron chelates.</w:t>
      </w:r>
      <w:r>
        <w:t xml:space="preserve"> </w:t>
      </w:r>
      <w:r w:rsidR="008154A4">
        <w:t xml:space="preserve">The ascorbic acid can enhance the solubility of the </w:t>
      </w:r>
      <w:r w:rsidR="003B0DAD">
        <w:t>porridges</w:t>
      </w:r>
      <w:r w:rsidR="0065037B">
        <w:t>’</w:t>
      </w:r>
      <w:r w:rsidR="003B0DAD">
        <w:t xml:space="preserve"> iron ion (Fe</w:t>
      </w:r>
      <w:r w:rsidR="003B0DAD" w:rsidRPr="003E4BC1">
        <w:rPr>
          <w:vertAlign w:val="superscript"/>
        </w:rPr>
        <w:t>3+</w:t>
      </w:r>
      <w:r w:rsidR="003B0DAD">
        <w:t xml:space="preserve">) </w:t>
      </w:r>
      <w:r w:rsidR="00FB6C32">
        <w:t xml:space="preserve">primarily </w:t>
      </w:r>
      <w:r w:rsidR="003B0DAD">
        <w:t xml:space="preserve">by reducing it to </w:t>
      </w:r>
      <w:r w:rsidR="0065037B">
        <w:t xml:space="preserve">the soluble </w:t>
      </w:r>
      <w:r w:rsidR="003B0DAD">
        <w:t>Fe</w:t>
      </w:r>
      <w:r w:rsidR="003B0DAD" w:rsidRPr="003E4BC1">
        <w:rPr>
          <w:vertAlign w:val="superscript"/>
        </w:rPr>
        <w:t>2+</w:t>
      </w:r>
      <w:r w:rsidR="0065037B" w:rsidRPr="0065037B">
        <w:t xml:space="preserve"> form</w:t>
      </w:r>
      <w:r w:rsidR="003B0DAD">
        <w:t>.</w:t>
      </w:r>
      <w:r w:rsidR="008154A4">
        <w:t xml:space="preserve">  </w:t>
      </w:r>
      <w:r>
        <w:t xml:space="preserve">In fact, baobab fruit fortification appears to nearly be as effective as citric acid plus ascorbic acid inclusion and can be more effective than just ascorbic acid inclusion.  </w:t>
      </w:r>
      <w:r w:rsidRPr="00655A60">
        <w:t xml:space="preserve">However, the full potential of baobab fruit, as </w:t>
      </w:r>
      <w:r>
        <w:t>a source of organic acids to promote iron bioaccessibility</w:t>
      </w:r>
      <w:r w:rsidRPr="00655A60">
        <w:t xml:space="preserve"> </w:t>
      </w:r>
      <w:r>
        <w:t>is only</w:t>
      </w:r>
      <w:r w:rsidRPr="00655A60">
        <w:t xml:space="preserve"> maximised in the presence of substantial </w:t>
      </w:r>
      <w:r>
        <w:t>amounts</w:t>
      </w:r>
      <w:r w:rsidRPr="00655A60">
        <w:t xml:space="preserve"> of potentially available iron</w:t>
      </w:r>
      <w:r>
        <w:t>, i.e. iron provided by conventional fortification in the form of, for example,</w:t>
      </w:r>
      <w:r>
        <w:rPr>
          <w:vertAlign w:val="subscript"/>
        </w:rPr>
        <w:t xml:space="preserve"> </w:t>
      </w:r>
      <w:r>
        <w:t>ferrous sulphate, plus the iron from cereals</w:t>
      </w:r>
      <w:r w:rsidRPr="00655A60">
        <w:t xml:space="preserve">. </w:t>
      </w:r>
      <w:bookmarkStart w:id="168" w:name="_Hlk65032654"/>
      <w:r w:rsidR="007B1B57" w:rsidRPr="003638E2">
        <w:rPr>
          <w:szCs w:val="24"/>
        </w:rPr>
        <w:t>Hence, a hybrid approach of baobab fruit food-to-food fortification together with conventional iron fortification as ferrous sulphate</w:t>
      </w:r>
      <w:r w:rsidR="007B1B57" w:rsidRPr="003638E2">
        <w:rPr>
          <w:szCs w:val="24"/>
          <w:vertAlign w:val="subscript"/>
        </w:rPr>
        <w:t xml:space="preserve"> </w:t>
      </w:r>
      <w:r w:rsidR="007B1B57" w:rsidRPr="003638E2">
        <w:rPr>
          <w:szCs w:val="24"/>
        </w:rPr>
        <w:t xml:space="preserve">may well be a food fortification strategy </w:t>
      </w:r>
      <w:r w:rsidR="007B1B57">
        <w:rPr>
          <w:szCs w:val="24"/>
        </w:rPr>
        <w:t xml:space="preserve">applicable </w:t>
      </w:r>
      <w:r w:rsidR="007B1B57" w:rsidRPr="003638E2">
        <w:rPr>
          <w:szCs w:val="24"/>
        </w:rPr>
        <w:t>in tropical Africa</w:t>
      </w:r>
      <w:bookmarkStart w:id="169" w:name="_Hlk65034132"/>
      <w:r w:rsidR="007B1B57">
        <w:rPr>
          <w:szCs w:val="24"/>
        </w:rPr>
        <w:t xml:space="preserve">, especially in urban communities where commercially produced foods are largely consumed. </w:t>
      </w:r>
      <w:r w:rsidR="007B1B57" w:rsidRPr="005C436B">
        <w:rPr>
          <w:szCs w:val="24"/>
        </w:rPr>
        <w:t>As baobab fruit is a popular food in</w:t>
      </w:r>
      <w:r w:rsidR="007B1B57">
        <w:rPr>
          <w:szCs w:val="24"/>
        </w:rPr>
        <w:t xml:space="preserve"> </w:t>
      </w:r>
      <w:r w:rsidR="007B1B57" w:rsidRPr="005C436B">
        <w:rPr>
          <w:szCs w:val="24"/>
        </w:rPr>
        <w:t>tropical Africa, food-to-food fortification of staple cereal food</w:t>
      </w:r>
      <w:r w:rsidR="007B1B57">
        <w:rPr>
          <w:szCs w:val="24"/>
        </w:rPr>
        <w:t>s</w:t>
      </w:r>
      <w:r w:rsidR="007B1B57" w:rsidRPr="005C436B">
        <w:rPr>
          <w:szCs w:val="24"/>
        </w:rPr>
        <w:t xml:space="preserve"> with </w:t>
      </w:r>
      <w:r w:rsidR="007B1B57">
        <w:rPr>
          <w:szCs w:val="24"/>
        </w:rPr>
        <w:t>the fruit</w:t>
      </w:r>
      <w:r w:rsidR="007B1B57" w:rsidRPr="005C436B">
        <w:rPr>
          <w:szCs w:val="24"/>
        </w:rPr>
        <w:t xml:space="preserve"> </w:t>
      </w:r>
      <w:r w:rsidR="007B1B57">
        <w:rPr>
          <w:szCs w:val="24"/>
        </w:rPr>
        <w:t>w</w:t>
      </w:r>
      <w:r w:rsidR="007B1B57" w:rsidRPr="005C436B">
        <w:rPr>
          <w:szCs w:val="24"/>
        </w:rPr>
        <w:t xml:space="preserve">ould </w:t>
      </w:r>
      <w:r w:rsidR="007B1B57">
        <w:rPr>
          <w:szCs w:val="24"/>
        </w:rPr>
        <w:t xml:space="preserve">also </w:t>
      </w:r>
      <w:r w:rsidR="007B1B57" w:rsidRPr="005C436B">
        <w:rPr>
          <w:szCs w:val="24"/>
        </w:rPr>
        <w:t>be a useful alternative or complement to conventional fortification in rural communities where home-based prepared foods are largely consumed or where conventional food fortification is lacking</w:t>
      </w:r>
      <w:r w:rsidR="007B1B57">
        <w:rPr>
          <w:szCs w:val="24"/>
        </w:rPr>
        <w:t xml:space="preserve"> or </w:t>
      </w:r>
      <w:r w:rsidR="007B1B57" w:rsidRPr="005C436B">
        <w:rPr>
          <w:szCs w:val="24"/>
        </w:rPr>
        <w:t>limited.</w:t>
      </w:r>
      <w:bookmarkEnd w:id="168"/>
      <w:bookmarkEnd w:id="169"/>
    </w:p>
    <w:p w14:paraId="5ED60C8D" w14:textId="77777777" w:rsidR="001E2525" w:rsidRPr="00655A60" w:rsidRDefault="001E2525" w:rsidP="000D7DDF">
      <w:pPr>
        <w:spacing w:after="0"/>
      </w:pPr>
    </w:p>
    <w:p w14:paraId="54AC5749" w14:textId="4785B841" w:rsidR="001E2525" w:rsidRDefault="001E2525" w:rsidP="00DA20B0">
      <w:pPr>
        <w:rPr>
          <w:rFonts w:eastAsia="Times New Roman"/>
        </w:rPr>
      </w:pPr>
      <w:r>
        <w:rPr>
          <w:rFonts w:eastAsia="Times New Roman"/>
        </w:rPr>
        <w:t>M</w:t>
      </w:r>
      <w:r w:rsidRPr="00655A60">
        <w:rPr>
          <w:rFonts w:eastAsia="Times New Roman"/>
        </w:rPr>
        <w:t>oringa lea</w:t>
      </w:r>
      <w:r>
        <w:rPr>
          <w:rFonts w:eastAsia="Times New Roman"/>
        </w:rPr>
        <w:t>f</w:t>
      </w:r>
      <w:r w:rsidRPr="00655A60">
        <w:rPr>
          <w:rFonts w:eastAsia="Times New Roman"/>
        </w:rPr>
        <w:t xml:space="preserve"> food-to-food fortification of cereal-based porridges may substantially improve </w:t>
      </w:r>
      <w:r>
        <w:rPr>
          <w:rFonts w:eastAsia="Times New Roman"/>
        </w:rPr>
        <w:t xml:space="preserve">the </w:t>
      </w:r>
      <w:r w:rsidRPr="00655A60">
        <w:rPr>
          <w:rFonts w:eastAsia="Times New Roman"/>
        </w:rPr>
        <w:t>contents of bioa</w:t>
      </w:r>
      <w:r>
        <w:rPr>
          <w:rFonts w:eastAsia="Times New Roman"/>
        </w:rPr>
        <w:t>ccessible</w:t>
      </w:r>
      <w:r w:rsidRPr="00655A60">
        <w:rPr>
          <w:rFonts w:eastAsia="Times New Roman"/>
        </w:rPr>
        <w:t xml:space="preserve"> calcium and magnesium</w:t>
      </w:r>
      <w:r>
        <w:rPr>
          <w:rFonts w:eastAsia="Times New Roman"/>
        </w:rPr>
        <w:t xml:space="preserve"> in food-to-food fortified cereal porridges.</w:t>
      </w:r>
      <w:r w:rsidRPr="00655A60">
        <w:rPr>
          <w:rFonts w:eastAsia="Times New Roman"/>
        </w:rPr>
        <w:t xml:space="preserve"> </w:t>
      </w:r>
      <w:r>
        <w:rPr>
          <w:rFonts w:eastAsia="Times New Roman"/>
        </w:rPr>
        <w:t xml:space="preserve">However, </w:t>
      </w:r>
      <w:r w:rsidRPr="00655A60">
        <w:rPr>
          <w:rFonts w:eastAsia="Times New Roman"/>
        </w:rPr>
        <w:t xml:space="preserve">it </w:t>
      </w:r>
      <w:r>
        <w:rPr>
          <w:rFonts w:eastAsia="Times New Roman"/>
        </w:rPr>
        <w:t>seems to be</w:t>
      </w:r>
      <w:r w:rsidRPr="00655A60">
        <w:rPr>
          <w:rFonts w:eastAsia="Times New Roman"/>
        </w:rPr>
        <w:t xml:space="preserve"> </w:t>
      </w:r>
      <w:r>
        <w:rPr>
          <w:rFonts w:eastAsia="Times New Roman"/>
        </w:rPr>
        <w:t xml:space="preserve">strongly </w:t>
      </w:r>
      <w:r w:rsidRPr="00655A60">
        <w:rPr>
          <w:rFonts w:eastAsia="Times New Roman"/>
        </w:rPr>
        <w:t>inhibitory to the bio</w:t>
      </w:r>
      <w:r>
        <w:rPr>
          <w:rFonts w:eastAsia="Times New Roman"/>
        </w:rPr>
        <w:t>accessibility</w:t>
      </w:r>
      <w:r w:rsidRPr="00655A60">
        <w:rPr>
          <w:rFonts w:eastAsia="Times New Roman"/>
        </w:rPr>
        <w:t xml:space="preserve"> of iron and zinc. </w:t>
      </w:r>
      <w:r>
        <w:rPr>
          <w:rFonts w:eastAsia="Times New Roman"/>
        </w:rPr>
        <w:t xml:space="preserve">This is </w:t>
      </w:r>
      <w:r w:rsidR="009E7815">
        <w:rPr>
          <w:rFonts w:eastAsia="Times New Roman"/>
        </w:rPr>
        <w:t>highly likely</w:t>
      </w:r>
      <w:r>
        <w:rPr>
          <w:rFonts w:eastAsia="Times New Roman"/>
        </w:rPr>
        <w:t xml:space="preserve"> primarily </w:t>
      </w:r>
      <w:r w:rsidR="008914FC">
        <w:rPr>
          <w:rFonts w:eastAsia="Times New Roman"/>
        </w:rPr>
        <w:t>because</w:t>
      </w:r>
      <w:r>
        <w:rPr>
          <w:rFonts w:eastAsia="Times New Roman"/>
        </w:rPr>
        <w:t xml:space="preserve"> the very high levels of calcium in moringa leaves together with the high levels of phytate in wholegrain cereals and the moringa can form stronger insoluble calcium-phytate-iron/zinc complexes than phytate complexes formed with either of the minerals. </w:t>
      </w:r>
      <w:bookmarkStart w:id="170" w:name="_Hlk65035500"/>
      <w:bookmarkStart w:id="171" w:name="_Hlk65035103"/>
      <w:r w:rsidR="00826C9D" w:rsidRPr="000932EB">
        <w:rPr>
          <w:rFonts w:eastAsia="Times New Roman"/>
          <w:szCs w:val="24"/>
        </w:rPr>
        <w:t xml:space="preserve">Hence, food-to-food fortification with moringa leaves seems not to be a promising food-based strategy if the aim is to improve the bioavailability of iron and zinc from wholegrain cereal-based foods. </w:t>
      </w:r>
      <w:r w:rsidR="00826C9D">
        <w:rPr>
          <w:rFonts w:eastAsia="Times New Roman"/>
          <w:szCs w:val="24"/>
        </w:rPr>
        <w:t>I</w:t>
      </w:r>
      <w:r w:rsidR="00826C9D" w:rsidRPr="000932EB">
        <w:rPr>
          <w:rFonts w:eastAsia="Times New Roman"/>
          <w:szCs w:val="24"/>
        </w:rPr>
        <w:t xml:space="preserve">n sub-Saharan Africa, iron and zinc deficiencies are </w:t>
      </w:r>
      <w:r w:rsidR="00826C9D">
        <w:rPr>
          <w:rFonts w:eastAsia="Times New Roman"/>
          <w:szCs w:val="24"/>
        </w:rPr>
        <w:t xml:space="preserve">the </w:t>
      </w:r>
      <w:r w:rsidR="00826C9D" w:rsidRPr="000932EB">
        <w:rPr>
          <w:rFonts w:eastAsia="Times New Roman"/>
          <w:szCs w:val="24"/>
        </w:rPr>
        <w:t>primary prevalent mineral deficiencies and hence of more concern than deficiencies of other minerals.</w:t>
      </w:r>
      <w:bookmarkEnd w:id="170"/>
      <w:bookmarkEnd w:id="171"/>
    </w:p>
    <w:p w14:paraId="729D7218" w14:textId="77777777" w:rsidR="001E2525" w:rsidRPr="00655A60" w:rsidRDefault="001E2525" w:rsidP="000D7DDF">
      <w:pPr>
        <w:spacing w:after="0"/>
        <w:rPr>
          <w:rFonts w:eastAsia="Times New Roman"/>
        </w:rPr>
      </w:pPr>
    </w:p>
    <w:p w14:paraId="1D2EF61C" w14:textId="0B8B5748" w:rsidR="001E2525" w:rsidRDefault="001E2525" w:rsidP="00DA20B0">
      <w:r>
        <w:rPr>
          <w:shd w:val="clear" w:color="auto" w:fill="FFFFFF"/>
        </w:rPr>
        <w:t>F</w:t>
      </w:r>
      <w:r w:rsidRPr="00655A60">
        <w:rPr>
          <w:shd w:val="clear" w:color="auto" w:fill="FFFFFF"/>
        </w:rPr>
        <w:t xml:space="preserve">ood-to-food fortification of </w:t>
      </w:r>
      <w:r>
        <w:rPr>
          <w:shd w:val="clear" w:color="auto" w:fill="FFFFFF"/>
        </w:rPr>
        <w:t xml:space="preserve">wholegrain </w:t>
      </w:r>
      <w:r w:rsidRPr="00655A60">
        <w:rPr>
          <w:shd w:val="clear" w:color="auto" w:fill="FFFFFF"/>
        </w:rPr>
        <w:t xml:space="preserve">cereal porridges with carrot </w:t>
      </w:r>
      <w:r>
        <w:rPr>
          <w:shd w:val="clear" w:color="auto" w:fill="FFFFFF"/>
        </w:rPr>
        <w:t>and</w:t>
      </w:r>
      <w:r w:rsidRPr="00655A60">
        <w:rPr>
          <w:shd w:val="clear" w:color="auto" w:fill="FFFFFF"/>
        </w:rPr>
        <w:t xml:space="preserve"> mango as β-carotene source</w:t>
      </w:r>
      <w:r>
        <w:rPr>
          <w:shd w:val="clear" w:color="auto" w:fill="FFFFFF"/>
        </w:rPr>
        <w:t>s</w:t>
      </w:r>
      <w:r w:rsidRPr="00655A60">
        <w:rPr>
          <w:shd w:val="clear" w:color="auto" w:fill="FFFFFF"/>
        </w:rPr>
        <w:t xml:space="preserve"> would not only substantially contribute to the </w:t>
      </w:r>
      <w:r>
        <w:rPr>
          <w:shd w:val="clear" w:color="auto" w:fill="FFFFFF"/>
        </w:rPr>
        <w:t xml:space="preserve">vitamin A </w:t>
      </w:r>
      <w:r w:rsidRPr="00655A60">
        <w:rPr>
          <w:shd w:val="clear" w:color="auto" w:fill="FFFFFF"/>
        </w:rPr>
        <w:t xml:space="preserve">requirements </w:t>
      </w:r>
      <w:r>
        <w:rPr>
          <w:shd w:val="clear" w:color="auto" w:fill="FFFFFF"/>
        </w:rPr>
        <w:t>of at-risk groups in Africa</w:t>
      </w:r>
      <w:r w:rsidRPr="00655A60">
        <w:rPr>
          <w:shd w:val="clear" w:color="auto" w:fill="FFFFFF"/>
        </w:rPr>
        <w:t xml:space="preserve">, </w:t>
      </w:r>
      <w:r w:rsidR="00E9245D">
        <w:rPr>
          <w:shd w:val="clear" w:color="auto" w:fill="FFFFFF"/>
        </w:rPr>
        <w:t>but</w:t>
      </w:r>
      <w:r w:rsidRPr="00655A60">
        <w:rPr>
          <w:shd w:val="clear" w:color="auto" w:fill="FFFFFF"/>
        </w:rPr>
        <w:t xml:space="preserve"> also contribute to improving iron and zinc bioa</w:t>
      </w:r>
      <w:r>
        <w:rPr>
          <w:shd w:val="clear" w:color="auto" w:fill="FFFFFF"/>
        </w:rPr>
        <w:t>ccessibility</w:t>
      </w:r>
      <w:r w:rsidRPr="00655A60">
        <w:rPr>
          <w:shd w:val="clear" w:color="auto" w:fill="FFFFFF"/>
        </w:rPr>
        <w:t xml:space="preserve"> </w:t>
      </w:r>
      <w:r>
        <w:rPr>
          <w:shd w:val="clear" w:color="auto" w:fill="FFFFFF"/>
        </w:rPr>
        <w:t xml:space="preserve">if the </w:t>
      </w:r>
      <w:r w:rsidRPr="00655A60">
        <w:rPr>
          <w:shd w:val="clear" w:color="auto" w:fill="FFFFFF"/>
        </w:rPr>
        <w:t xml:space="preserve">cereal porridges </w:t>
      </w:r>
      <w:r>
        <w:rPr>
          <w:shd w:val="clear" w:color="auto" w:fill="FFFFFF"/>
        </w:rPr>
        <w:t xml:space="preserve">were </w:t>
      </w:r>
      <w:r w:rsidRPr="00655A60">
        <w:rPr>
          <w:shd w:val="clear" w:color="auto" w:fill="FFFFFF"/>
        </w:rPr>
        <w:t xml:space="preserve">fortified with </w:t>
      </w:r>
      <w:r>
        <w:rPr>
          <w:shd w:val="clear" w:color="auto" w:fill="FFFFFF"/>
        </w:rPr>
        <w:t xml:space="preserve">a </w:t>
      </w:r>
      <w:r w:rsidRPr="00655A60">
        <w:rPr>
          <w:shd w:val="clear" w:color="auto" w:fill="FFFFFF"/>
        </w:rPr>
        <w:t>combination of plant foods rich in organic acids</w:t>
      </w:r>
      <w:r>
        <w:rPr>
          <w:shd w:val="clear" w:color="auto" w:fill="FFFFFF"/>
        </w:rPr>
        <w:t>, minerals</w:t>
      </w:r>
      <w:r w:rsidRPr="00655A60">
        <w:rPr>
          <w:shd w:val="clear" w:color="auto" w:fill="FFFFFF"/>
        </w:rPr>
        <w:t xml:space="preserve"> and provitamin A</w:t>
      </w:r>
      <w:r>
        <w:rPr>
          <w:shd w:val="clear" w:color="auto" w:fill="FFFFFF"/>
        </w:rPr>
        <w:t xml:space="preserve"> together with iron and zinc as </w:t>
      </w:r>
      <w:r w:rsidR="00B32E95">
        <w:rPr>
          <w:shd w:val="clear" w:color="auto" w:fill="FFFFFF"/>
        </w:rPr>
        <w:t>iron sodium-EDTA</w:t>
      </w:r>
      <w:r>
        <w:rPr>
          <w:shd w:val="clear" w:color="auto" w:fill="FFFFFF"/>
        </w:rPr>
        <w:t xml:space="preserve"> and zinc oxide, respectively</w:t>
      </w:r>
      <w:r w:rsidRPr="00655A60">
        <w:rPr>
          <w:shd w:val="clear" w:color="auto" w:fill="FFFFFF"/>
        </w:rPr>
        <w:t>.</w:t>
      </w:r>
      <w:r w:rsidRPr="00655A60">
        <w:t xml:space="preserve"> </w:t>
      </w:r>
      <w:r>
        <w:t>Beta-carotene can enhance iron solubility in the lumen of small intestine by forming a soluble chelate with it. However, in such multiple food-to-food f</w:t>
      </w:r>
      <w:r w:rsidRPr="00655A60">
        <w:t>ortifi</w:t>
      </w:r>
      <w:r>
        <w:t>ed</w:t>
      </w:r>
      <w:r w:rsidRPr="00655A60">
        <w:t xml:space="preserve"> plant foods</w:t>
      </w:r>
      <w:r>
        <w:t xml:space="preserve"> </w:t>
      </w:r>
      <w:r w:rsidRPr="00655A60">
        <w:t>baobab fruit</w:t>
      </w:r>
      <w:r>
        <w:t xml:space="preserve"> </w:t>
      </w:r>
      <w:r w:rsidRPr="00655A60">
        <w:t>appear</w:t>
      </w:r>
      <w:r>
        <w:t>s</w:t>
      </w:r>
      <w:r w:rsidRPr="00655A60">
        <w:t xml:space="preserve"> to be the </w:t>
      </w:r>
      <w:r>
        <w:t>primary</w:t>
      </w:r>
      <w:r w:rsidRPr="00655A60">
        <w:t xml:space="preserve"> contributor </w:t>
      </w:r>
      <w:r>
        <w:t>to</w:t>
      </w:r>
      <w:r w:rsidRPr="00655A60">
        <w:t xml:space="preserve"> improv</w:t>
      </w:r>
      <w:r>
        <w:t>ing</w:t>
      </w:r>
      <w:r w:rsidRPr="00655A60">
        <w:t xml:space="preserve"> bioaccessibility of iron and zinc. </w:t>
      </w:r>
    </w:p>
    <w:p w14:paraId="4516FB29" w14:textId="77777777" w:rsidR="001E2525" w:rsidRDefault="001E2525" w:rsidP="000D7DDF">
      <w:pPr>
        <w:spacing w:after="0"/>
      </w:pPr>
    </w:p>
    <w:p w14:paraId="2DA45F86" w14:textId="0B579A9C" w:rsidR="001E2525" w:rsidRDefault="001E2525" w:rsidP="00DA20B0">
      <w:r>
        <w:t xml:space="preserve">Thus, </w:t>
      </w:r>
      <w:r w:rsidR="000D7DDF">
        <w:t xml:space="preserve">a </w:t>
      </w:r>
      <w:r>
        <w:t>hybrid</w:t>
      </w:r>
      <w:r w:rsidRPr="00655A60">
        <w:t xml:space="preserve"> food-based strateg</w:t>
      </w:r>
      <w:r>
        <w:t>y</w:t>
      </w:r>
      <w:r w:rsidRPr="00655A60">
        <w:t xml:space="preserve">, </w:t>
      </w:r>
      <w:r>
        <w:t xml:space="preserve">involving </w:t>
      </w:r>
      <w:r w:rsidRPr="00655A60">
        <w:t xml:space="preserve">food-to-food fortification </w:t>
      </w:r>
      <w:r>
        <w:t>with baobab fruit, mango and carrot and</w:t>
      </w:r>
      <w:r w:rsidRPr="00655A60">
        <w:t xml:space="preserve"> conventional </w:t>
      </w:r>
      <w:r>
        <w:t xml:space="preserve">iron and zinc </w:t>
      </w:r>
      <w:r w:rsidRPr="00655A60">
        <w:t>fortification</w:t>
      </w:r>
      <w:r>
        <w:t xml:space="preserve"> may</w:t>
      </w:r>
      <w:r w:rsidRPr="00655A60">
        <w:t xml:space="preserve"> be viable to improve bioavailable iron and zinc in </w:t>
      </w:r>
      <w:r>
        <w:t>wholegrain cereal foods</w:t>
      </w:r>
      <w:r w:rsidRPr="00655A60">
        <w:t xml:space="preserve"> </w:t>
      </w:r>
      <w:r>
        <w:t xml:space="preserve">as well as substantially improving their content of provitamin A. Consumption of such food-to-food fortified foods would also encourage dietary diversity, which is increasingly being advocated as a long-term sustainable approach to improve essential micronutrients, including minerals status of individuals, especially the at-risk groups in tropical Africa.  </w:t>
      </w:r>
    </w:p>
    <w:p w14:paraId="15F158DF" w14:textId="77777777" w:rsidR="001E2525" w:rsidRDefault="001E2525" w:rsidP="000D7DDF">
      <w:pPr>
        <w:spacing w:after="0"/>
      </w:pPr>
    </w:p>
    <w:p w14:paraId="53974270" w14:textId="5CE4CEE8" w:rsidR="00D16164" w:rsidRDefault="007B6829" w:rsidP="00DA20B0">
      <w:r>
        <w:t>I</w:t>
      </w:r>
      <w:r w:rsidR="001E2525">
        <w:t>t is recommended</w:t>
      </w:r>
      <w:r>
        <w:t>, however,</w:t>
      </w:r>
      <w:r w:rsidR="001E2525">
        <w:t xml:space="preserve"> that the findings </w:t>
      </w:r>
      <w:r>
        <w:t>of</w:t>
      </w:r>
      <w:r w:rsidR="00B23F32">
        <w:t xml:space="preserve"> </w:t>
      </w:r>
      <w:r w:rsidR="001E2525">
        <w:t xml:space="preserve">this study be </w:t>
      </w:r>
      <w:r>
        <w:t>confirmed</w:t>
      </w:r>
      <w:r w:rsidR="001E2525">
        <w:t xml:space="preserve"> </w:t>
      </w:r>
      <w:r w:rsidR="00B23F32">
        <w:t>with</w:t>
      </w:r>
      <w:r w:rsidR="001E2525">
        <w:t xml:space="preserve"> a Caco-2 cell mineral uptake study and a human acute mineral absorption study (stable isotope absorption) </w:t>
      </w:r>
      <w:r w:rsidR="001E2525" w:rsidRPr="00160A89">
        <w:t xml:space="preserve">before embarking on </w:t>
      </w:r>
      <w:r w:rsidR="001E2525">
        <w:t>this</w:t>
      </w:r>
      <w:r w:rsidR="001E2525" w:rsidRPr="00160A89">
        <w:t xml:space="preserve"> </w:t>
      </w:r>
      <w:r w:rsidR="001E2525">
        <w:t xml:space="preserve">strategy. This is because the findings from </w:t>
      </w:r>
      <w:r w:rsidR="00D5016D">
        <w:rPr>
          <w:i/>
          <w:iCs/>
        </w:rPr>
        <w:t>i</w:t>
      </w:r>
      <w:r w:rsidR="00D5016D" w:rsidRPr="00D5016D">
        <w:rPr>
          <w:i/>
          <w:iCs/>
        </w:rPr>
        <w:t>n vitro</w:t>
      </w:r>
      <w:r w:rsidR="001E2525">
        <w:t xml:space="preserve"> dialysability assays cannot be directly extrapolated to humans.</w:t>
      </w:r>
    </w:p>
    <w:p w14:paraId="64BECBAC" w14:textId="06987A27" w:rsidR="00AC5E69" w:rsidRDefault="00AC5E69" w:rsidP="00AC5E69">
      <w:pPr>
        <w:spacing w:after="0"/>
      </w:pPr>
    </w:p>
    <w:p w14:paraId="2292D687" w14:textId="763CC0E5" w:rsidR="00AC5E69" w:rsidRDefault="00AC5E69" w:rsidP="00DA20B0">
      <w:r>
        <w:rPr>
          <w:szCs w:val="24"/>
        </w:rPr>
        <w:t>Once, the potentials of the food-to-food fortified products to improve essential mineral bioavailability have been confirmed by Caco-2-cell assay and human bioavailability studies, and the sensory qualities of products are acceptable to consumers, local smallholder farmers and entrepreneurs should be encouraged to cultivate, process and market these micronutrient-rich foods in the rural communities. Larger-scale commercial food producers should also be encouraged to manufacture such food-to-food fortified plus conventionally fortified ready-to-eat cereal-based products for urban communities.</w:t>
      </w:r>
    </w:p>
    <w:p w14:paraId="083CA463" w14:textId="197B10EE" w:rsidR="0052723D" w:rsidRDefault="0052723D" w:rsidP="00DA20B0"/>
    <w:p w14:paraId="573ACA9B" w14:textId="77777777" w:rsidR="000D7DDF" w:rsidRDefault="000D7DDF" w:rsidP="00DA20B0"/>
    <w:p w14:paraId="35CCF444" w14:textId="2FFD3EA4" w:rsidR="0052723D" w:rsidRDefault="0052723D" w:rsidP="00DA20B0">
      <w:pPr>
        <w:pStyle w:val="Heading1"/>
      </w:pPr>
      <w:bookmarkStart w:id="172" w:name="_Toc65253621"/>
      <w:r w:rsidRPr="0052723D">
        <w:t>7</w:t>
      </w:r>
      <w:r w:rsidR="00072B59">
        <w:t>.</w:t>
      </w:r>
      <w:r w:rsidRPr="0052723D">
        <w:tab/>
        <w:t>REFERENCES</w:t>
      </w:r>
      <w:bookmarkEnd w:id="172"/>
    </w:p>
    <w:p w14:paraId="5DB39DC7" w14:textId="634EF61A" w:rsidR="00AA6FAA" w:rsidRDefault="00AA6FAA" w:rsidP="00AA6FAA">
      <w:pPr>
        <w:widowControl w:val="0"/>
        <w:autoSpaceDE w:val="0"/>
        <w:autoSpaceDN w:val="0"/>
        <w:adjustRightInd w:val="0"/>
        <w:spacing w:line="240" w:lineRule="auto"/>
        <w:ind w:left="480" w:hanging="480"/>
        <w:rPr>
          <w:rFonts w:cs="Times New Roman"/>
          <w:noProof/>
          <w:szCs w:val="24"/>
        </w:rPr>
      </w:pPr>
      <w:bookmarkStart w:id="173" w:name="_Hlk56097145"/>
      <w:r>
        <w:rPr>
          <w:rFonts w:cs="Times New Roman"/>
          <w:noProof/>
          <w:szCs w:val="24"/>
        </w:rPr>
        <w:t xml:space="preserve">AACC. (2000). </w:t>
      </w:r>
      <w:r w:rsidR="00D25B56">
        <w:rPr>
          <w:rFonts w:cs="Times New Roman"/>
          <w:noProof/>
          <w:szCs w:val="24"/>
        </w:rPr>
        <w:t xml:space="preserve">Approved methods of the American association of cereal </w:t>
      </w:r>
      <w:r w:rsidR="00C2486E">
        <w:rPr>
          <w:rFonts w:cs="Times New Roman"/>
          <w:noProof/>
          <w:szCs w:val="24"/>
        </w:rPr>
        <w:t>chemists, 10</w:t>
      </w:r>
      <w:r w:rsidR="00C2486E" w:rsidRPr="00C2486E">
        <w:rPr>
          <w:rFonts w:cs="Times New Roman"/>
          <w:noProof/>
          <w:szCs w:val="24"/>
          <w:vertAlign w:val="superscript"/>
        </w:rPr>
        <w:t>th</w:t>
      </w:r>
      <w:r w:rsidR="00C2486E">
        <w:rPr>
          <w:rFonts w:cs="Times New Roman"/>
          <w:noProof/>
          <w:szCs w:val="24"/>
        </w:rPr>
        <w:t xml:space="preserve"> Ed. </w:t>
      </w:r>
      <w:r w:rsidR="00C2486E" w:rsidRPr="00C2486E">
        <w:rPr>
          <w:rFonts w:cs="Times New Roman"/>
          <w:iCs/>
          <w:noProof/>
          <w:szCs w:val="24"/>
        </w:rPr>
        <w:t>m</w:t>
      </w:r>
      <w:r w:rsidRPr="00C2486E">
        <w:rPr>
          <w:rFonts w:cs="Times New Roman"/>
          <w:iCs/>
          <w:noProof/>
          <w:szCs w:val="24"/>
        </w:rPr>
        <w:t>oisture-air oven method 44-15A.</w:t>
      </w:r>
      <w:r>
        <w:rPr>
          <w:rFonts w:cs="Times New Roman"/>
          <w:i/>
          <w:noProof/>
          <w:szCs w:val="24"/>
        </w:rPr>
        <w:t xml:space="preserve"> </w:t>
      </w:r>
      <w:r>
        <w:rPr>
          <w:rFonts w:cs="Times New Roman"/>
          <w:noProof/>
          <w:szCs w:val="24"/>
        </w:rPr>
        <w:t>St. Paul,</w:t>
      </w:r>
      <w:r w:rsidR="00C2486E">
        <w:rPr>
          <w:rFonts w:cs="Times New Roman"/>
          <w:noProof/>
          <w:szCs w:val="24"/>
        </w:rPr>
        <w:t xml:space="preserve"> </w:t>
      </w:r>
      <w:r>
        <w:rPr>
          <w:rFonts w:cs="Times New Roman"/>
          <w:noProof/>
          <w:szCs w:val="24"/>
        </w:rPr>
        <w:t>USA: AACC</w:t>
      </w:r>
      <w:r w:rsidR="00C2486E">
        <w:rPr>
          <w:rFonts w:cs="Times New Roman"/>
          <w:noProof/>
          <w:szCs w:val="24"/>
        </w:rPr>
        <w:t xml:space="preserve"> International</w:t>
      </w:r>
      <w:r>
        <w:rPr>
          <w:rFonts w:cs="Times New Roman"/>
          <w:noProof/>
          <w:szCs w:val="24"/>
        </w:rPr>
        <w:t>.</w:t>
      </w:r>
    </w:p>
    <w:p w14:paraId="4EB8C2B2"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shd w:val="clear" w:color="auto" w:fill="FFFFFF"/>
        </w:rPr>
        <w:t>Abah, R. O., Okolo, S. N., John, C. &amp; Ochoga, M. O. (2015) Prevalence of zinc deficiency among school children in a Rural Setting in North-Central Nigeria. </w:t>
      </w:r>
      <w:r>
        <w:rPr>
          <w:rFonts w:cs="Times New Roman"/>
          <w:i/>
          <w:iCs/>
          <w:szCs w:val="24"/>
          <w:shd w:val="clear" w:color="auto" w:fill="FFFFFF"/>
        </w:rPr>
        <w:t>International Journal of Public Health Research</w:t>
      </w:r>
      <w:r>
        <w:rPr>
          <w:rFonts w:cs="Times New Roman"/>
          <w:szCs w:val="24"/>
          <w:shd w:val="clear" w:color="auto" w:fill="FFFFFF"/>
        </w:rPr>
        <w:t>, 3, 214-217.</w:t>
      </w:r>
    </w:p>
    <w:p w14:paraId="2111F39E"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 xml:space="preserve">Abebe, Y., Bogale, A., Hambidge, K. M., Stoecker, B. J., Arbide, I., </w:t>
      </w:r>
      <w:r>
        <w:rPr>
          <w:rFonts w:cs="Times New Roman"/>
          <w:szCs w:val="24"/>
          <w:shd w:val="clear" w:color="auto" w:fill="FFFFFF"/>
        </w:rPr>
        <w:t>Teshome, A., Krebs, N. F., Westcott, J. E., Bailey, K. B. &amp; Gibson, R. S.</w:t>
      </w:r>
      <w:r>
        <w:rPr>
          <w:rFonts w:cs="Times New Roman"/>
          <w:noProof/>
          <w:szCs w:val="24"/>
        </w:rPr>
        <w:t xml:space="preserve"> (2008) Inadequate intakes of dietary zinc among pregnant women from subsistence households in Sidama, Southern Ethiopia. </w:t>
      </w:r>
      <w:r>
        <w:rPr>
          <w:rFonts w:cs="Times New Roman"/>
          <w:i/>
          <w:noProof/>
          <w:szCs w:val="24"/>
        </w:rPr>
        <w:t>Public Health Nutrition,</w:t>
      </w:r>
      <w:r>
        <w:rPr>
          <w:rFonts w:cs="Times New Roman"/>
          <w:noProof/>
          <w:szCs w:val="24"/>
        </w:rPr>
        <w:t xml:space="preserve"> 11, 379-386.</w:t>
      </w:r>
    </w:p>
    <w:p w14:paraId="48BBBCC7"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 xml:space="preserve">Abizari, A., Azupogo, F. &amp; Brouwer, I. D. (2017) Subclinical inflammation influences the association between vitamin A-and iron status among schoolchildren in Ghana. </w:t>
      </w:r>
      <w:r>
        <w:rPr>
          <w:rFonts w:cs="Times New Roman"/>
          <w:i/>
          <w:noProof/>
          <w:szCs w:val="24"/>
        </w:rPr>
        <w:t xml:space="preserve">PLoS ONE, </w:t>
      </w:r>
      <w:r>
        <w:rPr>
          <w:rFonts w:cs="Times New Roman"/>
          <w:noProof/>
          <w:szCs w:val="24"/>
        </w:rPr>
        <w:t>12. https:doi.org/10.1371/journal.pone.0170747</w:t>
      </w:r>
    </w:p>
    <w:p w14:paraId="654609F7"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Abrams, S. A., Griffin, I. J., Davila, P. &amp; Liang, L. (2001) Calcium fortification of breakfast cereal enhances calcium absorption in children without affecting iron absorption. </w:t>
      </w:r>
      <w:r>
        <w:rPr>
          <w:rFonts w:cs="Times New Roman"/>
          <w:i/>
          <w:iCs/>
          <w:szCs w:val="24"/>
          <w:shd w:val="clear" w:color="auto" w:fill="FFFFFF"/>
        </w:rPr>
        <w:t>The Journal of Pediatrics</w:t>
      </w:r>
      <w:r>
        <w:rPr>
          <w:rFonts w:cs="Times New Roman"/>
          <w:szCs w:val="24"/>
          <w:shd w:val="clear" w:color="auto" w:fill="FFFFFF"/>
        </w:rPr>
        <w:t>, 139, 522-526.</w:t>
      </w:r>
    </w:p>
    <w:p w14:paraId="4AF9233E"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Abu-Ouf, N. M., &amp; Jan, M. M. (2015) The impact of maternal iron deficiency and iron deficiency anemia on child’s health. </w:t>
      </w:r>
      <w:r>
        <w:rPr>
          <w:rFonts w:cs="Times New Roman"/>
          <w:i/>
          <w:iCs/>
          <w:szCs w:val="24"/>
          <w:shd w:val="clear" w:color="auto" w:fill="FFFFFF"/>
        </w:rPr>
        <w:t>Saudi Medical Journal</w:t>
      </w:r>
      <w:r>
        <w:rPr>
          <w:rFonts w:cs="Times New Roman"/>
          <w:szCs w:val="24"/>
          <w:shd w:val="clear" w:color="auto" w:fill="FFFFFF"/>
        </w:rPr>
        <w:t>, </w:t>
      </w:r>
      <w:r>
        <w:rPr>
          <w:rFonts w:cs="Times New Roman"/>
          <w:iCs/>
          <w:szCs w:val="24"/>
          <w:shd w:val="clear" w:color="auto" w:fill="FFFFFF"/>
        </w:rPr>
        <w:t>36</w:t>
      </w:r>
      <w:r>
        <w:rPr>
          <w:rFonts w:cs="Times New Roman"/>
          <w:szCs w:val="24"/>
          <w:shd w:val="clear" w:color="auto" w:fill="FFFFFF"/>
        </w:rPr>
        <w:t>, 146-149.</w:t>
      </w:r>
    </w:p>
    <w:p w14:paraId="309C1B8D" w14:textId="1572EA8C" w:rsidR="002838FA" w:rsidRPr="002838F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 xml:space="preserve">Adams, C. L., Hambidge, M., Raboy, V., Dorsch, J. A., Sian, L., Westcott, J. L. &amp; Krebs, N. F. (2002) Zinc absorption from a low-phytic acid maize. </w:t>
      </w:r>
      <w:r>
        <w:rPr>
          <w:rFonts w:cs="Times New Roman"/>
          <w:i/>
          <w:szCs w:val="24"/>
          <w:shd w:val="clear" w:color="auto" w:fill="FFFFFF"/>
        </w:rPr>
        <w:t>American Journal of Clinical Nutrition,</w:t>
      </w:r>
      <w:r>
        <w:rPr>
          <w:rFonts w:cs="Times New Roman"/>
          <w:szCs w:val="24"/>
          <w:shd w:val="clear" w:color="auto" w:fill="FFFFFF"/>
        </w:rPr>
        <w:t xml:space="preserve"> 76, 556–559.</w:t>
      </w:r>
    </w:p>
    <w:p w14:paraId="1366D73D" w14:textId="72DC391F" w:rsidR="00964FC0"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 xml:space="preserve">Akhtar, S. F., Anjum, F. M. &amp; Anjum, M. A. (2011) Micronutrient fortification of wheat flour: Recent development and strategies. </w:t>
      </w:r>
      <w:r>
        <w:rPr>
          <w:rFonts w:cs="Times New Roman"/>
          <w:i/>
          <w:noProof/>
          <w:szCs w:val="24"/>
        </w:rPr>
        <w:t>Food Resources International,</w:t>
      </w:r>
      <w:r>
        <w:rPr>
          <w:rFonts w:cs="Times New Roman"/>
          <w:noProof/>
          <w:szCs w:val="24"/>
        </w:rPr>
        <w:t xml:space="preserve"> 44, 652-659.</w:t>
      </w:r>
    </w:p>
    <w:p w14:paraId="6411CA46"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Alonso, R., Rubio, L. A., Muzquiz, M. &amp; Marzo, F. (2001) The effect of extrusion cooking on mineral bioavailability in pea and kidney bean seed meals. </w:t>
      </w:r>
      <w:r>
        <w:rPr>
          <w:rFonts w:cs="Times New Roman"/>
          <w:i/>
          <w:iCs/>
          <w:szCs w:val="24"/>
          <w:shd w:val="clear" w:color="auto" w:fill="FFFFFF"/>
        </w:rPr>
        <w:t>Animal Feed Science and Technology</w:t>
      </w:r>
      <w:r>
        <w:rPr>
          <w:rFonts w:cs="Times New Roman"/>
          <w:szCs w:val="24"/>
          <w:shd w:val="clear" w:color="auto" w:fill="FFFFFF"/>
        </w:rPr>
        <w:t xml:space="preserve">, 94, 1-13. </w:t>
      </w:r>
    </w:p>
    <w:p w14:paraId="1989D837"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Amagloh, F. K., Atuna, R. A., McBride, R., Carey, E. E. &amp; Christides, T. (2017) Nutrient and total polyphenol contents of dark green leafy vegetables, and estimation of their iron bioaccessibility using the in vitro digestion/Caco-2 cell model. </w:t>
      </w:r>
      <w:r>
        <w:rPr>
          <w:rFonts w:cs="Times New Roman"/>
          <w:i/>
          <w:iCs/>
          <w:szCs w:val="24"/>
          <w:shd w:val="clear" w:color="auto" w:fill="FFFFFF"/>
        </w:rPr>
        <w:t>Foods</w:t>
      </w:r>
      <w:r>
        <w:rPr>
          <w:rFonts w:cs="Times New Roman"/>
          <w:szCs w:val="24"/>
          <w:shd w:val="clear" w:color="auto" w:fill="FFFFFF"/>
        </w:rPr>
        <w:t>, 6. https://doi.org/10.3390/foods6070054</w:t>
      </w:r>
    </w:p>
    <w:p w14:paraId="58388853"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bookmarkStart w:id="174" w:name="_Hlk55825464"/>
      <w:r>
        <w:rPr>
          <w:rFonts w:cs="Times New Roman"/>
          <w:szCs w:val="24"/>
          <w:shd w:val="clear" w:color="auto" w:fill="FFFFFF"/>
        </w:rPr>
        <w:t>Andjelković</w:t>
      </w:r>
      <w:bookmarkEnd w:id="174"/>
      <w:r>
        <w:rPr>
          <w:rFonts w:cs="Times New Roman"/>
          <w:szCs w:val="24"/>
          <w:shd w:val="clear" w:color="auto" w:fill="FFFFFF"/>
        </w:rPr>
        <w:t>, M., Van Camp, J., De Meulenaer, B., Depaemelaere, G., Socaciu, C., Verloo, M. &amp; Verhe, R. (2006) Iron-chelation properties of phenolic acids bearing catechol and galloyl groups. </w:t>
      </w:r>
      <w:r>
        <w:rPr>
          <w:rFonts w:cs="Times New Roman"/>
          <w:i/>
          <w:iCs/>
          <w:szCs w:val="24"/>
          <w:shd w:val="clear" w:color="auto" w:fill="FFFFFF"/>
        </w:rPr>
        <w:t>Food Chemistry</w:t>
      </w:r>
      <w:r>
        <w:rPr>
          <w:rFonts w:cs="Times New Roman"/>
          <w:szCs w:val="24"/>
          <w:shd w:val="clear" w:color="auto" w:fill="FFFFFF"/>
        </w:rPr>
        <w:t>, 98, 23-31.</w:t>
      </w:r>
    </w:p>
    <w:p w14:paraId="0BD2C9E6"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Andre, C. M., Burgos, G., Ziebel, J., Guignard, C., Hausman, J. F. &amp; zum Felde, T. (2018) In vitro iron bioaccessibility and uptake from orange-fleshed sweet potato (Ipomoea batatas (L.) Lam.) clones grown in Peru. </w:t>
      </w:r>
      <w:r>
        <w:rPr>
          <w:rFonts w:cs="Times New Roman"/>
          <w:i/>
          <w:iCs/>
          <w:szCs w:val="24"/>
          <w:shd w:val="clear" w:color="auto" w:fill="FFFFFF"/>
        </w:rPr>
        <w:t>Journal of Food Composition and Analysis</w:t>
      </w:r>
      <w:r>
        <w:rPr>
          <w:rFonts w:cs="Times New Roman"/>
          <w:szCs w:val="24"/>
          <w:shd w:val="clear" w:color="auto" w:fill="FFFFFF"/>
        </w:rPr>
        <w:t xml:space="preserve">, 68, 79-86. </w:t>
      </w:r>
    </w:p>
    <w:p w14:paraId="309825B1" w14:textId="77777777" w:rsidR="00AA6FAA" w:rsidRDefault="00AA6FAA" w:rsidP="00AA6FAA">
      <w:pPr>
        <w:pStyle w:val="NormalWeb"/>
        <w:ind w:left="480" w:hanging="480"/>
        <w:rPr>
          <w:noProof/>
          <w:lang w:val="en-GB"/>
        </w:rPr>
      </w:pPr>
      <w:r>
        <w:rPr>
          <w:noProof/>
          <w:lang w:val="en-GB"/>
        </w:rPr>
        <w:t xml:space="preserve">Au, A. P. &amp; Reddy, M.B. (2000) Caco-2 cells can be used to assess human iron bioavailability from a semipurified meal. </w:t>
      </w:r>
      <w:r>
        <w:rPr>
          <w:i/>
          <w:iCs/>
          <w:noProof/>
          <w:lang w:val="en-GB"/>
        </w:rPr>
        <w:t>The Journal of Nutrition</w:t>
      </w:r>
      <w:r>
        <w:rPr>
          <w:noProof/>
          <w:lang w:val="en-GB"/>
        </w:rPr>
        <w:t>, 130, 1329–1334.</w:t>
      </w:r>
    </w:p>
    <w:p w14:paraId="57EAC66D"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Ayogu, R. N. B &amp; Onah, T. (2017) Impact of cowpea fortified cookies on anthropometric and micronutrient status of primary school children: a randomized single-blind controlled trial. </w:t>
      </w:r>
      <w:r>
        <w:rPr>
          <w:rFonts w:cs="Times New Roman"/>
          <w:i/>
          <w:iCs/>
          <w:szCs w:val="24"/>
        </w:rPr>
        <w:t>Nigerian Journal of Clinical Practice,</w:t>
      </w:r>
      <w:r>
        <w:rPr>
          <w:rFonts w:cs="Times New Roman"/>
          <w:szCs w:val="24"/>
        </w:rPr>
        <w:t xml:space="preserve"> 21, 1341-1348.</w:t>
      </w:r>
    </w:p>
    <w:p w14:paraId="64CB163E" w14:textId="57F0BA85"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Ayoya, M. A., Bendech, M. A., Zagré, N. M. &amp; Tchibindat, F. (2012) Maternal anaemia in West and Central Africa: time for urgent action. </w:t>
      </w:r>
      <w:r>
        <w:rPr>
          <w:rFonts w:cs="Times New Roman"/>
          <w:i/>
          <w:iCs/>
          <w:szCs w:val="24"/>
          <w:shd w:val="clear" w:color="auto" w:fill="FFFFFF"/>
        </w:rPr>
        <w:t>Public Health Nutrition</w:t>
      </w:r>
      <w:r>
        <w:rPr>
          <w:rFonts w:cs="Times New Roman"/>
          <w:szCs w:val="24"/>
          <w:shd w:val="clear" w:color="auto" w:fill="FFFFFF"/>
        </w:rPr>
        <w:t>, 15, 916-927.</w:t>
      </w:r>
    </w:p>
    <w:p w14:paraId="49306971" w14:textId="23D28A56" w:rsidR="00360365" w:rsidRPr="00360365" w:rsidRDefault="00360365" w:rsidP="00AA6FAA">
      <w:pPr>
        <w:widowControl w:val="0"/>
        <w:autoSpaceDE w:val="0"/>
        <w:autoSpaceDN w:val="0"/>
        <w:adjustRightInd w:val="0"/>
        <w:spacing w:line="240" w:lineRule="auto"/>
        <w:ind w:left="480" w:hanging="480"/>
        <w:rPr>
          <w:rFonts w:cs="Times New Roman"/>
          <w:szCs w:val="24"/>
        </w:rPr>
      </w:pPr>
      <w:r w:rsidRPr="00360365">
        <w:rPr>
          <w:rFonts w:cs="Times New Roman"/>
          <w:szCs w:val="24"/>
          <w:shd w:val="clear" w:color="auto" w:fill="FFFFFF"/>
        </w:rPr>
        <w:t>Baars, B. &amp; Gage, N. M. (2013) Fundamentals of cognitive neuroscience: A beginner's guide. Massachusetts, USA: Academic Press.</w:t>
      </w:r>
    </w:p>
    <w:p w14:paraId="5E212FC6"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lang w:val="en-ZA"/>
        </w:rPr>
        <w:t xml:space="preserve">Babu, S. C. (2000) Rural nutrition interventions with indigenous plant foods-a case study of vitamin A deficiency in Malawi. </w:t>
      </w:r>
      <w:r>
        <w:rPr>
          <w:rFonts w:cs="Times New Roman"/>
          <w:i/>
          <w:iCs/>
          <w:szCs w:val="24"/>
          <w:lang w:val="en-ZA"/>
        </w:rPr>
        <w:t>Biotechnologie, Agronomie, Société et Environnement,</w:t>
      </w:r>
      <w:r>
        <w:rPr>
          <w:rFonts w:cs="Times New Roman"/>
          <w:szCs w:val="24"/>
          <w:lang w:val="en-ZA"/>
        </w:rPr>
        <w:t xml:space="preserve"> 4, 169-179.</w:t>
      </w:r>
    </w:p>
    <w:p w14:paraId="3A32A44F"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shd w:val="clear" w:color="auto" w:fill="FFFFFF"/>
        </w:rPr>
        <w:t>Bæch, S. B., Hansen, M., Bukhave, K., Jensen, M., Sørensen, S. S., Kristensen, L., Purslow, P. P., Skibsted, L. H. &amp; Sandström, B. (2003) Nonheme-iron absorption from a phytate-rich meal is increased by the addition of small amounts of pork meat. </w:t>
      </w:r>
      <w:r>
        <w:rPr>
          <w:rFonts w:cs="Times New Roman"/>
          <w:i/>
          <w:iCs/>
          <w:szCs w:val="24"/>
          <w:shd w:val="clear" w:color="auto" w:fill="FFFFFF"/>
        </w:rPr>
        <w:t>The American Journal of Clinical Nutrition</w:t>
      </w:r>
      <w:r>
        <w:rPr>
          <w:rFonts w:cs="Times New Roman"/>
          <w:szCs w:val="24"/>
          <w:shd w:val="clear" w:color="auto" w:fill="FFFFFF"/>
        </w:rPr>
        <w:t>, </w:t>
      </w:r>
      <w:r>
        <w:rPr>
          <w:rFonts w:cs="Times New Roman"/>
          <w:iCs/>
          <w:szCs w:val="24"/>
          <w:shd w:val="clear" w:color="auto" w:fill="FFFFFF"/>
        </w:rPr>
        <w:t>77</w:t>
      </w:r>
      <w:r>
        <w:rPr>
          <w:rFonts w:cs="Times New Roman"/>
          <w:szCs w:val="24"/>
          <w:shd w:val="clear" w:color="auto" w:fill="FFFFFF"/>
        </w:rPr>
        <w:t>, 173-179.</w:t>
      </w:r>
    </w:p>
    <w:p w14:paraId="43D63B52" w14:textId="77777777" w:rsidR="00AA6FAA" w:rsidRDefault="00AA6FAA" w:rsidP="00AA6FAA">
      <w:pPr>
        <w:widowControl w:val="0"/>
        <w:autoSpaceDE w:val="0"/>
        <w:autoSpaceDN w:val="0"/>
        <w:adjustRightInd w:val="0"/>
        <w:spacing w:line="240" w:lineRule="auto"/>
        <w:ind w:left="480" w:hanging="480"/>
        <w:rPr>
          <w:rFonts w:cs="Times New Roman"/>
          <w:szCs w:val="24"/>
          <w:lang w:val="en-US"/>
        </w:rPr>
      </w:pPr>
      <w:r>
        <w:rPr>
          <w:rFonts w:cs="Times New Roman"/>
          <w:szCs w:val="24"/>
          <w:lang w:val="en-US"/>
        </w:rPr>
        <w:t xml:space="preserve">Baltaci, A. K., Yuce, K. &amp; Mogulkoc, R. (2018) Zinc metabolism and metallothioneins. </w:t>
      </w:r>
      <w:r>
        <w:rPr>
          <w:rFonts w:cs="Times New Roman"/>
          <w:i/>
          <w:szCs w:val="24"/>
          <w:lang w:val="en-US"/>
        </w:rPr>
        <w:t>Biological Trace Element Research,</w:t>
      </w:r>
      <w:r>
        <w:rPr>
          <w:rFonts w:cs="Times New Roman"/>
          <w:szCs w:val="24"/>
          <w:lang w:val="en-US"/>
        </w:rPr>
        <w:t xml:space="preserve"> 183, 22-31.</w:t>
      </w:r>
    </w:p>
    <w:p w14:paraId="0CAEA3B7"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Bamalli, Z., Mohammed, A. S., Ghazali, H. M. &amp; Karim, R. (2014) Baobab tree (Adansonia digitata L) parts: nutrition, applications in food and uses in ethno-medicine–a review. </w:t>
      </w:r>
      <w:r>
        <w:rPr>
          <w:rFonts w:cs="Times New Roman"/>
          <w:i/>
          <w:iCs/>
          <w:szCs w:val="24"/>
          <w:shd w:val="clear" w:color="auto" w:fill="FFFFFF"/>
        </w:rPr>
        <w:t>Annals of Nutrition Disorders and Therapy</w:t>
      </w:r>
      <w:r>
        <w:rPr>
          <w:rFonts w:cs="Times New Roman"/>
          <w:szCs w:val="24"/>
          <w:shd w:val="clear" w:color="auto" w:fill="FFFFFF"/>
        </w:rPr>
        <w:t>, </w:t>
      </w:r>
      <w:r>
        <w:rPr>
          <w:rFonts w:cs="Times New Roman"/>
          <w:i/>
          <w:iCs/>
          <w:szCs w:val="24"/>
          <w:shd w:val="clear" w:color="auto" w:fill="FFFFFF"/>
        </w:rPr>
        <w:t>1</w:t>
      </w:r>
      <w:r>
        <w:rPr>
          <w:rFonts w:cs="Times New Roman"/>
          <w:szCs w:val="24"/>
          <w:shd w:val="clear" w:color="auto" w:fill="FFFFFF"/>
        </w:rPr>
        <w:t>, 1011.</w:t>
      </w:r>
    </w:p>
    <w:p w14:paraId="22CB5EAD"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Baye, K., Guyot, J. P., Icard-Vernière, C., Rochette, I. &amp; Mouquet-Rivier, C. (2015) Enzymatic degradation of phytate, polyphenols and dietary fibers in Ethiopian injera flours: effect on iron bioaccessibility. </w:t>
      </w:r>
      <w:r>
        <w:rPr>
          <w:rFonts w:cs="Times New Roman"/>
          <w:i/>
          <w:iCs/>
          <w:szCs w:val="24"/>
          <w:shd w:val="clear" w:color="auto" w:fill="FFFFFF"/>
        </w:rPr>
        <w:t>Food Chemistry</w:t>
      </w:r>
      <w:r>
        <w:rPr>
          <w:rFonts w:cs="Times New Roman"/>
          <w:szCs w:val="24"/>
          <w:shd w:val="clear" w:color="auto" w:fill="FFFFFF"/>
        </w:rPr>
        <w:t>, 174, 60-67.</w:t>
      </w:r>
    </w:p>
    <w:p w14:paraId="6EFBD95A"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Bertinato, J., Lavergne, C., Plouffe, L. J. &amp; Abou El Niaj, H. (2014) Small increases in dietary calcium above normal requirements exacerbate magnesium deficiency in rats fed a low magnesium diet. </w:t>
      </w:r>
      <w:r>
        <w:rPr>
          <w:rFonts w:cs="Times New Roman"/>
          <w:i/>
          <w:iCs/>
          <w:szCs w:val="24"/>
          <w:shd w:val="clear" w:color="auto" w:fill="FFFFFF"/>
        </w:rPr>
        <w:t>Magnesium Research</w:t>
      </w:r>
      <w:r>
        <w:rPr>
          <w:rFonts w:cs="Times New Roman"/>
          <w:szCs w:val="24"/>
          <w:shd w:val="clear" w:color="auto" w:fill="FFFFFF"/>
        </w:rPr>
        <w:t>, 27, 35-47.</w:t>
      </w:r>
    </w:p>
    <w:p w14:paraId="4ECE4EFA"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Berzin, N. I. &amp; Bauman, V. K. (1987) Vitamin-A-dependent zinc-binding protein and intestinal absorption of Zn in chicks. </w:t>
      </w:r>
      <w:r>
        <w:rPr>
          <w:rFonts w:cs="Times New Roman"/>
          <w:i/>
          <w:iCs/>
          <w:szCs w:val="24"/>
          <w:shd w:val="clear" w:color="auto" w:fill="FFFFFF"/>
        </w:rPr>
        <w:t>British Journal of Nutrition</w:t>
      </w:r>
      <w:r>
        <w:rPr>
          <w:rFonts w:cs="Times New Roman"/>
          <w:szCs w:val="24"/>
          <w:shd w:val="clear" w:color="auto" w:fill="FFFFFF"/>
        </w:rPr>
        <w:t xml:space="preserve">, 57, 255-268. </w:t>
      </w:r>
    </w:p>
    <w:p w14:paraId="5BB89B45" w14:textId="77777777" w:rsidR="00AA6FAA" w:rsidRDefault="00AA6FAA" w:rsidP="00AA6FAA">
      <w:pPr>
        <w:widowControl w:val="0"/>
        <w:autoSpaceDE w:val="0"/>
        <w:autoSpaceDN w:val="0"/>
        <w:adjustRightInd w:val="0"/>
        <w:spacing w:line="240" w:lineRule="auto"/>
        <w:ind w:left="720" w:hanging="720"/>
        <w:rPr>
          <w:rFonts w:cs="Times New Roman"/>
          <w:noProof/>
          <w:szCs w:val="24"/>
        </w:rPr>
      </w:pPr>
      <w:r>
        <w:rPr>
          <w:rFonts w:cs="Times New Roman"/>
          <w:noProof/>
          <w:szCs w:val="24"/>
        </w:rPr>
        <w:t xml:space="preserve">Best, C., Neufingerl, N., van Geel L., van den Breil, T. &amp; Osendarp, S. (2010) The nutritional status of school-aged children: Why should we care? </w:t>
      </w:r>
      <w:r>
        <w:rPr>
          <w:rFonts w:cs="Times New Roman"/>
          <w:i/>
          <w:noProof/>
          <w:szCs w:val="24"/>
        </w:rPr>
        <w:t>Food and Nutrition Bulletin</w:t>
      </w:r>
      <w:r>
        <w:rPr>
          <w:rFonts w:cs="Times New Roman"/>
          <w:noProof/>
          <w:szCs w:val="24"/>
        </w:rPr>
        <w:t xml:space="preserve"> 31, 400-417.</w:t>
      </w:r>
    </w:p>
    <w:p w14:paraId="542986B9" w14:textId="5A216F2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lang w:val="en-US"/>
        </w:rPr>
        <w:t xml:space="preserve">Bhavya, S. N. &amp; Prakash, J. (2012) Comparison of nutritional qualities and antioxidant properties of ready-to-eat fruit-enriched corn-based breakfast cereals. </w:t>
      </w:r>
      <w:r>
        <w:rPr>
          <w:rFonts w:cs="Times New Roman"/>
          <w:i/>
          <w:szCs w:val="24"/>
          <w:lang w:val="en-US"/>
        </w:rPr>
        <w:t xml:space="preserve">Malaysian Journal of Nutrition, </w:t>
      </w:r>
      <w:r>
        <w:rPr>
          <w:rFonts w:cs="Times New Roman"/>
          <w:szCs w:val="24"/>
          <w:lang w:val="en-US"/>
        </w:rPr>
        <w:t>18, 373-382.</w:t>
      </w:r>
      <w:r>
        <w:rPr>
          <w:rFonts w:cs="Times New Roman"/>
          <w:szCs w:val="24"/>
          <w:shd w:val="clear" w:color="auto" w:fill="FFFFFF"/>
        </w:rPr>
        <w:t>Borg, S., Brinch-Pedersen, H., Tauris, B. &amp; Holm, P. B. (2009) Iron transport, deposition and bioavailability in the wheat and barley grain. </w:t>
      </w:r>
      <w:r>
        <w:rPr>
          <w:rFonts w:cs="Times New Roman"/>
          <w:i/>
          <w:iCs/>
          <w:szCs w:val="24"/>
          <w:shd w:val="clear" w:color="auto" w:fill="FFFFFF"/>
        </w:rPr>
        <w:t>Plant and Soil</w:t>
      </w:r>
      <w:r>
        <w:rPr>
          <w:rFonts w:cs="Times New Roman"/>
          <w:szCs w:val="24"/>
          <w:shd w:val="clear" w:color="auto" w:fill="FFFFFF"/>
        </w:rPr>
        <w:t>, 325, 15-24.</w:t>
      </w:r>
    </w:p>
    <w:p w14:paraId="4FB223E0" w14:textId="1082D22F" w:rsidR="00A45F43" w:rsidRPr="00A45F43" w:rsidRDefault="00A45F43" w:rsidP="00AA6FAA">
      <w:pPr>
        <w:widowControl w:val="0"/>
        <w:autoSpaceDE w:val="0"/>
        <w:autoSpaceDN w:val="0"/>
        <w:adjustRightInd w:val="0"/>
        <w:spacing w:line="240" w:lineRule="auto"/>
        <w:ind w:left="480" w:hanging="480"/>
        <w:rPr>
          <w:rFonts w:cs="Times New Roman"/>
          <w:szCs w:val="24"/>
          <w:shd w:val="clear" w:color="auto" w:fill="FFFFFF"/>
        </w:rPr>
      </w:pPr>
      <w:r w:rsidRPr="00A45F43">
        <w:rPr>
          <w:rFonts w:cs="Times New Roman"/>
          <w:szCs w:val="24"/>
          <w:shd w:val="clear" w:color="auto" w:fill="FFFFFF"/>
        </w:rPr>
        <w:t>Bindra, G. S., Gibson, R. S. &amp; Thompson, L. U. (1986) [Phytate][calcium]/[zinc] ratios in Asian immigrant lacto-ovo vegetarian diets and their relationship to zinc nutriture. </w:t>
      </w:r>
      <w:r w:rsidRPr="00A45F43">
        <w:rPr>
          <w:rFonts w:cs="Times New Roman"/>
          <w:i/>
          <w:iCs/>
          <w:szCs w:val="24"/>
          <w:shd w:val="clear" w:color="auto" w:fill="FFFFFF"/>
        </w:rPr>
        <w:t>Nutrition Research</w:t>
      </w:r>
      <w:r w:rsidRPr="00A45F43">
        <w:rPr>
          <w:rFonts w:cs="Times New Roman"/>
          <w:szCs w:val="24"/>
          <w:shd w:val="clear" w:color="auto" w:fill="FFFFFF"/>
        </w:rPr>
        <w:t>, 6, 475-483.</w:t>
      </w:r>
    </w:p>
    <w:p w14:paraId="58224D2F" w14:textId="0D55716D"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shd w:val="clear" w:color="auto" w:fill="FFFFFF"/>
        </w:rPr>
        <w:t>Bouis, H. (2018) Reducing mineral and vitamin deficiencies through biofortification: Progress under HarvestPlus</w:t>
      </w:r>
      <w:r w:rsidR="005655EE">
        <w:rPr>
          <w:rFonts w:cs="Times New Roman"/>
          <w:szCs w:val="24"/>
          <w:shd w:val="clear" w:color="auto" w:fill="FFFFFF"/>
        </w:rPr>
        <w:t>:</w:t>
      </w:r>
      <w:r>
        <w:rPr>
          <w:rFonts w:cs="Times New Roman"/>
          <w:szCs w:val="24"/>
          <w:shd w:val="clear" w:color="auto" w:fill="FFFFFF"/>
        </w:rPr>
        <w:t xml:space="preserve"> In </w:t>
      </w:r>
      <w:r w:rsidRPr="005655EE">
        <w:rPr>
          <w:rFonts w:cs="Times New Roman"/>
          <w:i/>
          <w:iCs/>
          <w:szCs w:val="24"/>
          <w:shd w:val="clear" w:color="auto" w:fill="FFFFFF"/>
        </w:rPr>
        <w:t xml:space="preserve">Hidden hunger: </w:t>
      </w:r>
      <w:r w:rsidR="005655EE" w:rsidRPr="005655EE">
        <w:rPr>
          <w:rFonts w:cs="Times New Roman"/>
          <w:i/>
          <w:iCs/>
          <w:szCs w:val="24"/>
          <w:shd w:val="clear" w:color="auto" w:fill="FFFFFF"/>
        </w:rPr>
        <w:t>S</w:t>
      </w:r>
      <w:r w:rsidRPr="005655EE">
        <w:rPr>
          <w:rFonts w:cs="Times New Roman"/>
          <w:i/>
          <w:iCs/>
          <w:szCs w:val="24"/>
          <w:shd w:val="clear" w:color="auto" w:fill="FFFFFF"/>
        </w:rPr>
        <w:t>trategies</w:t>
      </w:r>
      <w:r>
        <w:rPr>
          <w:rFonts w:cs="Times New Roman"/>
          <w:i/>
          <w:iCs/>
          <w:szCs w:val="24"/>
          <w:shd w:val="clear" w:color="auto" w:fill="FFFFFF"/>
        </w:rPr>
        <w:t xml:space="preserve"> to improve nutrition quality</w:t>
      </w:r>
      <w:r>
        <w:rPr>
          <w:rFonts w:cs="Times New Roman"/>
          <w:szCs w:val="24"/>
          <w:shd w:val="clear" w:color="auto" w:fill="FFFFFF"/>
        </w:rPr>
        <w:t> </w:t>
      </w:r>
      <w:r w:rsidR="005655EE">
        <w:rPr>
          <w:rFonts w:cs="Times New Roman"/>
          <w:szCs w:val="24"/>
          <w:shd w:val="clear" w:color="auto" w:fill="FFFFFF"/>
        </w:rPr>
        <w:t>(edited by Biesalski</w:t>
      </w:r>
      <w:r w:rsidR="00AA1B13">
        <w:rPr>
          <w:rFonts w:cs="Times New Roman"/>
          <w:szCs w:val="24"/>
          <w:shd w:val="clear" w:color="auto" w:fill="FFFFFF"/>
        </w:rPr>
        <w:t>, H. K. &amp; Birner, R.</w:t>
      </w:r>
      <w:r w:rsidR="005655EE">
        <w:rPr>
          <w:rFonts w:cs="Times New Roman"/>
          <w:szCs w:val="24"/>
          <w:shd w:val="clear" w:color="auto" w:fill="FFFFFF"/>
        </w:rPr>
        <w:t>)</w:t>
      </w:r>
      <w:r w:rsidR="007E49E2">
        <w:rPr>
          <w:rFonts w:cs="Times New Roman"/>
          <w:szCs w:val="24"/>
          <w:shd w:val="clear" w:color="auto" w:fill="FFFFFF"/>
        </w:rPr>
        <w:t>,</w:t>
      </w:r>
      <w:r w:rsidR="005655EE">
        <w:rPr>
          <w:rFonts w:cs="Times New Roman"/>
          <w:szCs w:val="24"/>
          <w:shd w:val="clear" w:color="auto" w:fill="FFFFFF"/>
        </w:rPr>
        <w:t xml:space="preserve"> Pp</w:t>
      </w:r>
      <w:r>
        <w:rPr>
          <w:rFonts w:cs="Times New Roman"/>
          <w:szCs w:val="24"/>
          <w:shd w:val="clear" w:color="auto" w:fill="FFFFFF"/>
        </w:rPr>
        <w:t xml:space="preserve"> 112-122</w:t>
      </w:r>
      <w:r w:rsidR="007E49E2">
        <w:rPr>
          <w:rFonts w:cs="Times New Roman"/>
          <w:szCs w:val="24"/>
          <w:shd w:val="clear" w:color="auto" w:fill="FFFFFF"/>
        </w:rPr>
        <w:t>.</w:t>
      </w:r>
      <w:r>
        <w:rPr>
          <w:rFonts w:cs="Times New Roman"/>
          <w:szCs w:val="24"/>
          <w:shd w:val="clear" w:color="auto" w:fill="FFFFFF"/>
        </w:rPr>
        <w:t xml:space="preserve"> Karger Publishers</w:t>
      </w:r>
      <w:r w:rsidR="005655EE">
        <w:rPr>
          <w:rFonts w:cs="Times New Roman"/>
          <w:szCs w:val="24"/>
          <w:shd w:val="clear" w:color="auto" w:fill="FFFFFF"/>
        </w:rPr>
        <w:t xml:space="preserve">: </w:t>
      </w:r>
      <w:r w:rsidR="00E961C6">
        <w:rPr>
          <w:rFonts w:cs="Times New Roman"/>
          <w:szCs w:val="24"/>
          <w:shd w:val="clear" w:color="auto" w:fill="FFFFFF"/>
        </w:rPr>
        <w:t>Basel, Switzerland.</w:t>
      </w:r>
    </w:p>
    <w:p w14:paraId="36F7E615"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shd w:val="clear" w:color="auto" w:fill="FFFFFF"/>
        </w:rPr>
        <w:t>Bravo, L. (1998) Polyphenols: chemistry, dietary sources, metabolism, and nutritional significance. </w:t>
      </w:r>
      <w:r>
        <w:rPr>
          <w:rFonts w:cs="Times New Roman"/>
          <w:i/>
          <w:iCs/>
          <w:szCs w:val="24"/>
          <w:shd w:val="clear" w:color="auto" w:fill="FFFFFF"/>
        </w:rPr>
        <w:t>Nutrition Reviews</w:t>
      </w:r>
      <w:r>
        <w:rPr>
          <w:rFonts w:cs="Times New Roman"/>
          <w:szCs w:val="24"/>
          <w:shd w:val="clear" w:color="auto" w:fill="FFFFFF"/>
        </w:rPr>
        <w:t>, 56, 317-333.</w:t>
      </w:r>
    </w:p>
    <w:p w14:paraId="5F427D95"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noProof/>
          <w:szCs w:val="24"/>
        </w:rPr>
        <w:t xml:space="preserve">Brilhante, R. S. N., Sales, J. A., Pereira, V. S., Castelo-Branco, D. D. S. C. M., de Aguiar  Cordeiro, R., de Souza Sampaio, C. M., … &amp; Rocha, M. F. G. (2017). Research advances on the multiple uses of </w:t>
      </w:r>
      <w:r>
        <w:rPr>
          <w:rFonts w:cs="Times New Roman"/>
          <w:i/>
          <w:noProof/>
          <w:szCs w:val="24"/>
        </w:rPr>
        <w:t>Moringa oleifera:</w:t>
      </w:r>
      <w:r>
        <w:rPr>
          <w:rFonts w:cs="Times New Roman"/>
          <w:noProof/>
          <w:szCs w:val="24"/>
        </w:rPr>
        <w:t xml:space="preserve"> A sustainable alternative for socially neglected population. </w:t>
      </w:r>
      <w:r>
        <w:rPr>
          <w:rFonts w:cs="Times New Roman"/>
          <w:i/>
          <w:noProof/>
          <w:szCs w:val="24"/>
        </w:rPr>
        <w:t xml:space="preserve">Asian Pacific Journal of Tropical Medicine, </w:t>
      </w:r>
      <w:r>
        <w:rPr>
          <w:rFonts w:cs="Times New Roman"/>
          <w:iCs/>
          <w:noProof/>
          <w:szCs w:val="24"/>
        </w:rPr>
        <w:t>10</w:t>
      </w:r>
      <w:r>
        <w:rPr>
          <w:rFonts w:cs="Times New Roman"/>
          <w:i/>
          <w:noProof/>
          <w:szCs w:val="24"/>
        </w:rPr>
        <w:t>,</w:t>
      </w:r>
      <w:r>
        <w:rPr>
          <w:rFonts w:cs="Times New Roman"/>
          <w:noProof/>
          <w:szCs w:val="24"/>
        </w:rPr>
        <w:t xml:space="preserve"> 621-630.</w:t>
      </w:r>
    </w:p>
    <w:p w14:paraId="14D8A1B0" w14:textId="77777777" w:rsidR="00AA6FAA" w:rsidRDefault="00AA6FAA" w:rsidP="00AA6FAA">
      <w:pPr>
        <w:widowControl w:val="0"/>
        <w:autoSpaceDE w:val="0"/>
        <w:autoSpaceDN w:val="0"/>
        <w:adjustRightInd w:val="0"/>
        <w:spacing w:line="240" w:lineRule="auto"/>
        <w:ind w:left="480" w:hanging="480"/>
        <w:rPr>
          <w:rFonts w:cs="Times New Roman"/>
          <w:szCs w:val="24"/>
        </w:rPr>
      </w:pPr>
      <w:bookmarkStart w:id="175" w:name="_Hlk55656364"/>
      <w:r>
        <w:rPr>
          <w:rFonts w:cs="Times New Roman"/>
          <w:szCs w:val="24"/>
          <w:shd w:val="clear" w:color="auto" w:fill="FFFFFF"/>
        </w:rPr>
        <w:t>Brnić</w:t>
      </w:r>
      <w:bookmarkEnd w:id="175"/>
      <w:r>
        <w:rPr>
          <w:rFonts w:cs="Times New Roman"/>
          <w:szCs w:val="24"/>
          <w:shd w:val="clear" w:color="auto" w:fill="FFFFFF"/>
        </w:rPr>
        <w:t>, M., Wegmüller, R., Zeder, C., Senti, G. &amp; Hurrell, R. F. (2014) Influence of phytase, EDTA, and polyphenols on zinc absorption in adults from porridges fortified with zinc sulfate or zinc oxide. </w:t>
      </w:r>
      <w:r>
        <w:rPr>
          <w:rFonts w:cs="Times New Roman"/>
          <w:i/>
          <w:iCs/>
          <w:szCs w:val="24"/>
          <w:shd w:val="clear" w:color="auto" w:fill="FFFFFF"/>
        </w:rPr>
        <w:t>The Journal of Nutrition</w:t>
      </w:r>
      <w:r>
        <w:rPr>
          <w:rFonts w:cs="Times New Roman"/>
          <w:szCs w:val="24"/>
          <w:shd w:val="clear" w:color="auto" w:fill="FFFFFF"/>
        </w:rPr>
        <w:t>, </w:t>
      </w:r>
      <w:r>
        <w:rPr>
          <w:rFonts w:cs="Times New Roman"/>
          <w:iCs/>
          <w:szCs w:val="24"/>
          <w:shd w:val="clear" w:color="auto" w:fill="FFFFFF"/>
        </w:rPr>
        <w:t>144</w:t>
      </w:r>
      <w:r>
        <w:rPr>
          <w:rFonts w:cs="Times New Roman"/>
          <w:szCs w:val="24"/>
          <w:shd w:val="clear" w:color="auto" w:fill="FFFFFF"/>
        </w:rPr>
        <w:t>, 1467-1473.</w:t>
      </w:r>
    </w:p>
    <w:p w14:paraId="55BF8745" w14:textId="6F99D17B"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Brown, K. H., Peerson, J. M., Baker, S. K. &amp; Hess, S. Y. (2009) Preventive zinc supplementation among infants, preschoolers, and older prepubertal children. </w:t>
      </w:r>
      <w:r>
        <w:rPr>
          <w:rFonts w:cs="Times New Roman"/>
          <w:i/>
          <w:iCs/>
          <w:szCs w:val="24"/>
          <w:shd w:val="clear" w:color="auto" w:fill="FFFFFF"/>
        </w:rPr>
        <w:t>Food and nutrition bulletin</w:t>
      </w:r>
      <w:r>
        <w:rPr>
          <w:rFonts w:cs="Times New Roman"/>
          <w:szCs w:val="24"/>
          <w:shd w:val="clear" w:color="auto" w:fill="FFFFFF"/>
        </w:rPr>
        <w:t>, 30, S12-S40.</w:t>
      </w:r>
    </w:p>
    <w:p w14:paraId="2FB553F5"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Bryant, R. J., Dorsch, J. A., Peterson, K. L., Rutger, J. N. &amp; Raboy, V. (2005) Phosphorus and mineral concentrations in whole grain and milled low phytic acid (</w:t>
      </w:r>
      <w:r>
        <w:rPr>
          <w:rFonts w:cs="Times New Roman"/>
          <w:i/>
          <w:iCs/>
          <w:szCs w:val="24"/>
          <w:shd w:val="clear" w:color="auto" w:fill="FFFFFF"/>
        </w:rPr>
        <w:t>lpa</w:t>
      </w:r>
      <w:r>
        <w:rPr>
          <w:rFonts w:cs="Times New Roman"/>
          <w:szCs w:val="24"/>
          <w:shd w:val="clear" w:color="auto" w:fill="FFFFFF"/>
        </w:rPr>
        <w:t>) 1‐1 rice. </w:t>
      </w:r>
      <w:r>
        <w:rPr>
          <w:rFonts w:cs="Times New Roman"/>
          <w:i/>
          <w:iCs/>
          <w:szCs w:val="24"/>
          <w:shd w:val="clear" w:color="auto" w:fill="FFFFFF"/>
        </w:rPr>
        <w:t>Cereal Chemistry</w:t>
      </w:r>
      <w:r>
        <w:rPr>
          <w:rFonts w:cs="Times New Roman"/>
          <w:szCs w:val="24"/>
          <w:shd w:val="clear" w:color="auto" w:fill="FFFFFF"/>
        </w:rPr>
        <w:t>, </w:t>
      </w:r>
      <w:r>
        <w:rPr>
          <w:rFonts w:cs="Times New Roman"/>
          <w:iCs/>
          <w:szCs w:val="24"/>
          <w:shd w:val="clear" w:color="auto" w:fill="FFFFFF"/>
        </w:rPr>
        <w:t xml:space="preserve">82, </w:t>
      </w:r>
      <w:r>
        <w:rPr>
          <w:rFonts w:cs="Times New Roman"/>
          <w:szCs w:val="24"/>
          <w:shd w:val="clear" w:color="auto" w:fill="FFFFFF"/>
        </w:rPr>
        <w:t>517-522.</w:t>
      </w:r>
    </w:p>
    <w:p w14:paraId="5A62BB70"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lang w:val="en-ZA"/>
        </w:rPr>
        <w:t>Buchmann, C., Prehsler, S., Hartl, A. &amp; Vogl, C. R. (2010). The importance of baobab (</w:t>
      </w:r>
      <w:r>
        <w:rPr>
          <w:rFonts w:cs="Times New Roman"/>
          <w:i/>
          <w:szCs w:val="24"/>
          <w:lang w:val="en-ZA"/>
        </w:rPr>
        <w:t xml:space="preserve">Adansonia digitata </w:t>
      </w:r>
      <w:r>
        <w:rPr>
          <w:rFonts w:cs="Times New Roman"/>
          <w:iCs/>
          <w:szCs w:val="24"/>
          <w:lang w:val="en-ZA"/>
        </w:rPr>
        <w:t>L</w:t>
      </w:r>
      <w:r>
        <w:rPr>
          <w:rFonts w:cs="Times New Roman"/>
          <w:szCs w:val="24"/>
          <w:lang w:val="en-ZA"/>
        </w:rPr>
        <w:t xml:space="preserve">.) in rural West African subsistence—suggestion of a cautionary approach to international market export of baobab fruits. </w:t>
      </w:r>
      <w:r>
        <w:rPr>
          <w:rFonts w:cs="Times New Roman"/>
          <w:i/>
          <w:szCs w:val="24"/>
          <w:lang w:val="en-ZA"/>
        </w:rPr>
        <w:t xml:space="preserve">Ecology of Food and Nutrition, </w:t>
      </w:r>
      <w:r>
        <w:rPr>
          <w:rFonts w:cs="Times New Roman"/>
          <w:iCs/>
          <w:szCs w:val="24"/>
          <w:lang w:val="en-ZA"/>
        </w:rPr>
        <w:t>49,</w:t>
      </w:r>
      <w:r>
        <w:rPr>
          <w:rFonts w:cs="Times New Roman"/>
          <w:szCs w:val="24"/>
          <w:lang w:val="en-ZA"/>
        </w:rPr>
        <w:t xml:space="preserve"> 145-172</w:t>
      </w:r>
    </w:p>
    <w:p w14:paraId="18BDA4F0"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Cepeda-Lopez, A. C., Melse-Boonsta, A., Zimmermann, M. B. &amp; Herter-Aeberli, I. (2015) In overweight and obese women, dietary iron absorption is reduced and the enhancement of iron absorption by ascorbic acid is one-half that in normal-weight women. </w:t>
      </w:r>
      <w:r>
        <w:rPr>
          <w:rFonts w:cs="Times New Roman"/>
          <w:i/>
          <w:szCs w:val="24"/>
        </w:rPr>
        <w:t>American Journal of Nutrition,</w:t>
      </w:r>
      <w:r>
        <w:rPr>
          <w:rFonts w:cs="Times New Roman"/>
          <w:szCs w:val="24"/>
        </w:rPr>
        <w:t xml:space="preserve"> 102, 1389-1397.</w:t>
      </w:r>
    </w:p>
    <w:p w14:paraId="3E6D3838"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Cercamondi, C. I., Egli, I. M., Mitchikpe, E., Tossou, F., Zeder, C., Hounhouigan, J. D. &amp; Hurrell, R.F. (2013). Total iron absorption by young women from iron-biofortified pearl millet composite meals is double that from regular millet meals but less than that from post-harvest iron-fortified millet meals. </w:t>
      </w:r>
      <w:r>
        <w:rPr>
          <w:rFonts w:cs="Times New Roman"/>
          <w:i/>
          <w:szCs w:val="24"/>
        </w:rPr>
        <w:t>Journal of Nutrition</w:t>
      </w:r>
      <w:r>
        <w:rPr>
          <w:rFonts w:cs="Times New Roman"/>
          <w:szCs w:val="24"/>
        </w:rPr>
        <w:t xml:space="preserve">, 143, 1376-1382. </w:t>
      </w:r>
    </w:p>
    <w:p w14:paraId="7F129C8C" w14:textId="638DE930"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Cercamondi, C. I., Egli, I. M., Zeder, C. &amp; Hurrell, R. F. (2014</w:t>
      </w:r>
      <w:r w:rsidR="00C200BA">
        <w:rPr>
          <w:rFonts w:cs="Times New Roman"/>
          <w:szCs w:val="24"/>
          <w:shd w:val="clear" w:color="auto" w:fill="FFFFFF"/>
        </w:rPr>
        <w:t>a</w:t>
      </w:r>
      <w:r>
        <w:rPr>
          <w:rFonts w:cs="Times New Roman"/>
          <w:szCs w:val="24"/>
          <w:shd w:val="clear" w:color="auto" w:fill="FFFFFF"/>
        </w:rPr>
        <w:t>) Sodium iron EDTA and ascorbic acid, but not polyphenol oxidase treatment, counteract the strong inhibitory effect of polyphenols from brown sorghum on the absorption of fortification iron in young women. </w:t>
      </w:r>
      <w:r>
        <w:rPr>
          <w:rFonts w:cs="Times New Roman"/>
          <w:i/>
          <w:iCs/>
          <w:szCs w:val="24"/>
          <w:shd w:val="clear" w:color="auto" w:fill="FFFFFF"/>
        </w:rPr>
        <w:t>British Journal of Nutrition</w:t>
      </w:r>
      <w:r>
        <w:rPr>
          <w:rFonts w:cs="Times New Roman"/>
          <w:szCs w:val="24"/>
          <w:shd w:val="clear" w:color="auto" w:fill="FFFFFF"/>
        </w:rPr>
        <w:t>, 111, 481-489.</w:t>
      </w:r>
    </w:p>
    <w:p w14:paraId="36F55890" w14:textId="0B0BECF3" w:rsidR="00C200BA" w:rsidRPr="00C200BA" w:rsidRDefault="00C200BA" w:rsidP="00AA6FAA">
      <w:pPr>
        <w:widowControl w:val="0"/>
        <w:autoSpaceDE w:val="0"/>
        <w:autoSpaceDN w:val="0"/>
        <w:adjustRightInd w:val="0"/>
        <w:spacing w:line="240" w:lineRule="auto"/>
        <w:ind w:left="480" w:hanging="480"/>
        <w:rPr>
          <w:rFonts w:cs="Times New Roman"/>
          <w:szCs w:val="24"/>
          <w:shd w:val="clear" w:color="auto" w:fill="FFFFFF"/>
        </w:rPr>
      </w:pPr>
      <w:r w:rsidRPr="00C200BA">
        <w:rPr>
          <w:rFonts w:cs="Times New Roman"/>
          <w:szCs w:val="24"/>
          <w:shd w:val="clear" w:color="auto" w:fill="FFFFFF"/>
        </w:rPr>
        <w:t>Cercamondi, C. I., Icard-Verniere, C., Egli, I. M., Vernay, M., Hama, F., Brouwer, I. D., Zeder, C., Berger, J., Hurrell, R. F. &amp; Mouquet-Rivier, C. (2014</w:t>
      </w:r>
      <w:r>
        <w:rPr>
          <w:rFonts w:cs="Times New Roman"/>
          <w:szCs w:val="24"/>
          <w:shd w:val="clear" w:color="auto" w:fill="FFFFFF"/>
        </w:rPr>
        <w:t>b</w:t>
      </w:r>
      <w:r w:rsidRPr="00C200BA">
        <w:rPr>
          <w:rFonts w:cs="Times New Roman"/>
          <w:szCs w:val="24"/>
          <w:shd w:val="clear" w:color="auto" w:fill="FFFFFF"/>
        </w:rPr>
        <w:t>) A higher proportion of iron-rich leafy vegetables in a typical Burkinabe maize meal does not increase the amount of iron absorbed in young women. </w:t>
      </w:r>
      <w:r w:rsidRPr="00C200BA">
        <w:rPr>
          <w:rFonts w:cs="Times New Roman"/>
          <w:i/>
          <w:iCs/>
          <w:szCs w:val="24"/>
          <w:shd w:val="clear" w:color="auto" w:fill="FFFFFF"/>
        </w:rPr>
        <w:t>The Journal of Nutrition</w:t>
      </w:r>
      <w:r w:rsidRPr="00C200BA">
        <w:rPr>
          <w:rFonts w:cs="Times New Roman"/>
          <w:szCs w:val="24"/>
          <w:shd w:val="clear" w:color="auto" w:fill="FFFFFF"/>
        </w:rPr>
        <w:t>, 144, 1394-1400.</w:t>
      </w:r>
    </w:p>
    <w:p w14:paraId="080CAFC2"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Chadare, F. J., Idohou, R., Nago, E., Affonfere, M., Agossadou, J., Fassinou, T. K., Kénou, C., Honfo, S., Azokpota, P., Linnemann, A. R. &amp; Hounhouigan, D. J. (2019) Conventional and food‐to‐food fortification: An appraisal of past practices and lessons learned. </w:t>
      </w:r>
      <w:r>
        <w:rPr>
          <w:rFonts w:cs="Times New Roman"/>
          <w:i/>
          <w:iCs/>
          <w:szCs w:val="24"/>
          <w:shd w:val="clear" w:color="auto" w:fill="FFFFFF"/>
        </w:rPr>
        <w:t>Food Science &amp; Nutrition</w:t>
      </w:r>
      <w:r>
        <w:rPr>
          <w:rFonts w:cs="Times New Roman"/>
          <w:szCs w:val="24"/>
          <w:shd w:val="clear" w:color="auto" w:fill="FFFFFF"/>
        </w:rPr>
        <w:t>, 7, 2781-2795.</w:t>
      </w:r>
    </w:p>
    <w:p w14:paraId="69BF538E"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Chiplonkar, S. A. &amp; Kawade, R. (2012) Effect of zinc- and micronutrient-rich food supplements on zinc and vitamin A status of adolescent girls. </w:t>
      </w:r>
      <w:r>
        <w:rPr>
          <w:rFonts w:cs="Times New Roman"/>
          <w:i/>
          <w:szCs w:val="24"/>
        </w:rPr>
        <w:t>Nutrition,</w:t>
      </w:r>
      <w:r>
        <w:rPr>
          <w:rFonts w:cs="Times New Roman"/>
          <w:szCs w:val="24"/>
        </w:rPr>
        <w:t xml:space="preserve"> 28, 551-558.</w:t>
      </w:r>
    </w:p>
    <w:p w14:paraId="6BF5639F"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Chomba, E., Westcott, C. M., Westcott, J. E., Mpabalwani, E. M., Krebs, N. F., </w:t>
      </w:r>
      <w:r>
        <w:rPr>
          <w:rFonts w:cs="Times New Roman"/>
          <w:szCs w:val="24"/>
          <w:shd w:val="clear" w:color="auto" w:fill="FFFFFF"/>
        </w:rPr>
        <w:t>Patinkin, Z. W., Palacios, N. &amp; Hambidge, K. M.</w:t>
      </w:r>
      <w:r>
        <w:rPr>
          <w:rFonts w:cs="Times New Roman"/>
          <w:szCs w:val="24"/>
        </w:rPr>
        <w:t xml:space="preserve"> (2015). Zinc absorption from biofortified maize meets the requirements of young rural Zambian children. </w:t>
      </w:r>
      <w:r>
        <w:rPr>
          <w:rFonts w:cs="Times New Roman"/>
          <w:i/>
          <w:szCs w:val="24"/>
        </w:rPr>
        <w:t>Journal of Nutrition</w:t>
      </w:r>
      <w:r>
        <w:rPr>
          <w:rFonts w:cs="Times New Roman"/>
          <w:szCs w:val="24"/>
        </w:rPr>
        <w:t>, 145, 514-519.</w:t>
      </w:r>
    </w:p>
    <w:p w14:paraId="3FFBC053"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 xml:space="preserve">Christides, T., Amagloh, F. K. &amp; Coad, J. (2015) Iron bioavailability and provitamin A from sweet potato- and cereal-based complementary foods. </w:t>
      </w:r>
      <w:r>
        <w:rPr>
          <w:rFonts w:cs="Times New Roman"/>
          <w:i/>
          <w:noProof/>
          <w:szCs w:val="24"/>
        </w:rPr>
        <w:t>Foods,</w:t>
      </w:r>
      <w:r>
        <w:rPr>
          <w:rFonts w:cs="Times New Roman"/>
          <w:noProof/>
          <w:szCs w:val="24"/>
        </w:rPr>
        <w:t xml:space="preserve"> 4, 463-476.</w:t>
      </w:r>
    </w:p>
    <w:p w14:paraId="380E09D8"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Cid-Ortega, S. &amp; Guerrero, J. A (2015) Roselle calyces (</w:t>
      </w:r>
      <w:r>
        <w:rPr>
          <w:rFonts w:cs="Times New Roman"/>
          <w:i/>
          <w:szCs w:val="24"/>
        </w:rPr>
        <w:t>Hibiscus sabdariffa</w:t>
      </w:r>
      <w:r>
        <w:rPr>
          <w:rFonts w:cs="Times New Roman"/>
          <w:szCs w:val="24"/>
        </w:rPr>
        <w:t xml:space="preserve">), an alternative to the food and beverage industries: a review. </w:t>
      </w:r>
      <w:r>
        <w:rPr>
          <w:rFonts w:cs="Times New Roman"/>
          <w:i/>
          <w:szCs w:val="24"/>
        </w:rPr>
        <w:t>Journal of Food Science and Technology,</w:t>
      </w:r>
      <w:r>
        <w:rPr>
          <w:rFonts w:cs="Times New Roman"/>
          <w:szCs w:val="24"/>
        </w:rPr>
        <w:t xml:space="preserve"> 52, 6869-6865. </w:t>
      </w:r>
    </w:p>
    <w:p w14:paraId="0D9C6735"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lang w:val="en-ZA"/>
        </w:rPr>
        <w:t xml:space="preserve">Da-Costa-Rocha, I., Bonnlaender, B., Sievers, H., Pischel, I., Heinrich, M. (2014) Hibiscus sabdariffa L. – A phytochemical and pharmacological review. </w:t>
      </w:r>
      <w:r>
        <w:rPr>
          <w:rFonts w:cs="Times New Roman"/>
          <w:i/>
          <w:iCs/>
          <w:szCs w:val="24"/>
          <w:lang w:val="en-ZA"/>
        </w:rPr>
        <w:t>Food Chemistry</w:t>
      </w:r>
      <w:r>
        <w:rPr>
          <w:rFonts w:cs="Times New Roman"/>
          <w:szCs w:val="24"/>
          <w:lang w:val="en-ZA"/>
        </w:rPr>
        <w:t>, 165, 424–443.</w:t>
      </w:r>
    </w:p>
    <w:p w14:paraId="44301786"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noProof/>
          <w:szCs w:val="24"/>
        </w:rPr>
        <w:t xml:space="preserve">Dairo, M. D., &amp; Ige, O. K. (2009) Supplementation of micronutrient in community micronutrient deficiency prevention programmes. </w:t>
      </w:r>
      <w:r>
        <w:rPr>
          <w:rFonts w:cs="Times New Roman"/>
          <w:i/>
          <w:noProof/>
          <w:szCs w:val="24"/>
        </w:rPr>
        <w:t>Annals of Ibadan Postgraduate Medicine 7,</w:t>
      </w:r>
      <w:r>
        <w:rPr>
          <w:rFonts w:cs="Times New Roman"/>
          <w:noProof/>
          <w:szCs w:val="24"/>
        </w:rPr>
        <w:t xml:space="preserve"> 6-9.</w:t>
      </w:r>
    </w:p>
    <w:p w14:paraId="04033D29"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Das, J. K., Salam, R. A., Kumar, R. &amp; Bhutta, Z. A. (2013) Micronutrient fortification of food and its impact on woman and child health: a systematic review. </w:t>
      </w:r>
      <w:r>
        <w:rPr>
          <w:rFonts w:cs="Times New Roman"/>
          <w:i/>
          <w:iCs/>
          <w:szCs w:val="24"/>
        </w:rPr>
        <w:t>Systematic Reviews</w:t>
      </w:r>
      <w:r>
        <w:rPr>
          <w:rFonts w:cs="Times New Roman"/>
          <w:szCs w:val="24"/>
        </w:rPr>
        <w:t xml:space="preserve"> 2. https://doi.org/10.1186/2046-4053-2-67 </w:t>
      </w:r>
    </w:p>
    <w:p w14:paraId="0B4DFA55"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Davidsson, L., Almgren, A., Sandström, B. &amp; Hurrell, R. F. (1995) Zinc absorption in adult humans: the effect of iron fortification. </w:t>
      </w:r>
      <w:r>
        <w:rPr>
          <w:rFonts w:cs="Times New Roman"/>
          <w:i/>
          <w:iCs/>
          <w:szCs w:val="24"/>
          <w:shd w:val="clear" w:color="auto" w:fill="FFFFFF"/>
        </w:rPr>
        <w:t>British Journal of Nutrition</w:t>
      </w:r>
      <w:r>
        <w:rPr>
          <w:rFonts w:cs="Times New Roman"/>
          <w:szCs w:val="24"/>
          <w:shd w:val="clear" w:color="auto" w:fill="FFFFFF"/>
        </w:rPr>
        <w:t>, 74, 417-425.</w:t>
      </w:r>
    </w:p>
    <w:p w14:paraId="49893757"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rPr>
        <w:t xml:space="preserve">De Groote, H., Dema, G, Sonda, G. B. &amp; Gitonga, Z. M. (2013). Maize for food and feed in East Africa–The farmers’ perspective. </w:t>
      </w:r>
      <w:r>
        <w:rPr>
          <w:rFonts w:cs="Times New Roman"/>
          <w:i/>
          <w:szCs w:val="24"/>
        </w:rPr>
        <w:t xml:space="preserve">Field Crops Research, </w:t>
      </w:r>
      <w:r>
        <w:rPr>
          <w:rFonts w:cs="Times New Roman"/>
          <w:iCs/>
          <w:szCs w:val="24"/>
        </w:rPr>
        <w:t>153,</w:t>
      </w:r>
      <w:r>
        <w:rPr>
          <w:rFonts w:cs="Times New Roman"/>
          <w:szCs w:val="24"/>
        </w:rPr>
        <w:t xml:space="preserve"> 22-36. </w:t>
      </w:r>
    </w:p>
    <w:p w14:paraId="301CE1BE"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De Groote, H., Kariuki, S. W., Traore, D., Taylor, J. R. N., Ferruzzi, M. G. &amp; Hamaker, B. R. (2018) Measuring consumers' interest in instant fortified pearl millet products: a field experiment in Touba, Senegal. </w:t>
      </w:r>
      <w:r>
        <w:rPr>
          <w:rFonts w:cs="Times New Roman"/>
          <w:i/>
          <w:iCs/>
          <w:szCs w:val="24"/>
          <w:shd w:val="clear" w:color="auto" w:fill="FFFFFF"/>
        </w:rPr>
        <w:t>Journal of the Science of Food and Agriculture</w:t>
      </w:r>
      <w:r>
        <w:rPr>
          <w:rFonts w:cs="Times New Roman"/>
          <w:szCs w:val="24"/>
          <w:shd w:val="clear" w:color="auto" w:fill="FFFFFF"/>
        </w:rPr>
        <w:t>, 98, 2320-2331.</w:t>
      </w:r>
    </w:p>
    <w:p w14:paraId="5F0D0765"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De Groote, H., Mugalavai, V., Ferruzzi, M., Onkware, A., Ayua, E., Duodu, K. G., Ndegwa, M. &amp; Hamaker, B. R. (2020) Consumer acceptance and willingness to pay for instant cereal products with food-to-food fortification in Eldoret, Kenya. </w:t>
      </w:r>
      <w:r>
        <w:rPr>
          <w:rFonts w:cs="Times New Roman"/>
          <w:i/>
          <w:iCs/>
          <w:szCs w:val="24"/>
          <w:shd w:val="clear" w:color="auto" w:fill="FFFFFF"/>
        </w:rPr>
        <w:t>Food and Nutrition Bulletin</w:t>
      </w:r>
      <w:r>
        <w:rPr>
          <w:rFonts w:cs="Times New Roman"/>
          <w:szCs w:val="24"/>
          <w:shd w:val="clear" w:color="auto" w:fill="FFFFFF"/>
        </w:rPr>
        <w:t>, 41, 224-243.</w:t>
      </w:r>
    </w:p>
    <w:p w14:paraId="692B8A1E" w14:textId="77777777" w:rsidR="00E30999" w:rsidRDefault="00AA6FAA" w:rsidP="00E30999">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 xml:space="preserve">del Campo, G., Berregi, I., Caracena, R. &amp; Santos, J. I. (2006) Quantitative analysis of malic and citric acids in fruit juices using proton nuclear magnetic resonance spectroscopy. </w:t>
      </w:r>
      <w:r>
        <w:rPr>
          <w:rFonts w:cs="Times New Roman"/>
          <w:i/>
          <w:iCs/>
          <w:szCs w:val="24"/>
          <w:shd w:val="clear" w:color="auto" w:fill="FFFFFF"/>
        </w:rPr>
        <w:t>Analytica Chimica Acta,</w:t>
      </w:r>
      <w:r>
        <w:rPr>
          <w:rFonts w:cs="Times New Roman"/>
          <w:szCs w:val="24"/>
          <w:shd w:val="clear" w:color="auto" w:fill="FFFFFF"/>
        </w:rPr>
        <w:t xml:space="preserve"> 2, 462-468</w:t>
      </w:r>
      <w:r w:rsidR="00E30999">
        <w:rPr>
          <w:rFonts w:cs="Times New Roman"/>
          <w:szCs w:val="24"/>
          <w:shd w:val="clear" w:color="auto" w:fill="FFFFFF"/>
        </w:rPr>
        <w:t>.</w:t>
      </w:r>
    </w:p>
    <w:p w14:paraId="4E4FDD90" w14:textId="30DA7895" w:rsidR="00E30999" w:rsidRPr="00E30999" w:rsidRDefault="00E30999" w:rsidP="00E30999">
      <w:pPr>
        <w:widowControl w:val="0"/>
        <w:autoSpaceDE w:val="0"/>
        <w:autoSpaceDN w:val="0"/>
        <w:adjustRightInd w:val="0"/>
        <w:spacing w:line="240" w:lineRule="auto"/>
        <w:ind w:left="480" w:hanging="480"/>
        <w:rPr>
          <w:rFonts w:cs="Times New Roman"/>
          <w:szCs w:val="24"/>
          <w:shd w:val="clear" w:color="auto" w:fill="FFFFFF"/>
        </w:rPr>
      </w:pPr>
      <w:r w:rsidRPr="00E30999">
        <w:rPr>
          <w:rFonts w:eastAsia="STIXTwoText" w:cs="Times New Roman"/>
          <w:szCs w:val="24"/>
          <w:lang w:val="en-ZA"/>
        </w:rPr>
        <w:t xml:space="preserve">Development Initiatives (2018) Global nutrition report: Shining a light to spur action on nutrition. </w:t>
      </w:r>
      <w:r>
        <w:rPr>
          <w:rFonts w:eastAsia="STIXTwoText" w:cs="Times New Roman"/>
          <w:szCs w:val="24"/>
          <w:lang w:val="en-ZA"/>
        </w:rPr>
        <w:t>B</w:t>
      </w:r>
      <w:r w:rsidRPr="00E30999">
        <w:rPr>
          <w:rFonts w:eastAsia="STIXTwoText" w:cs="Times New Roman"/>
          <w:szCs w:val="24"/>
          <w:lang w:val="en-ZA"/>
        </w:rPr>
        <w:t>ristol, UK: Development</w:t>
      </w:r>
      <w:r>
        <w:rPr>
          <w:rFonts w:eastAsia="STIXTwoText" w:cs="Times New Roman"/>
          <w:szCs w:val="24"/>
          <w:lang w:val="en-ZA"/>
        </w:rPr>
        <w:t xml:space="preserve"> </w:t>
      </w:r>
      <w:r w:rsidRPr="00E30999">
        <w:rPr>
          <w:rFonts w:eastAsia="STIXTwoText" w:cs="Times New Roman"/>
          <w:szCs w:val="24"/>
          <w:lang w:val="en-ZA"/>
        </w:rPr>
        <w:t>Initiatives</w:t>
      </w:r>
      <w:r>
        <w:rPr>
          <w:rFonts w:eastAsia="STIXTwoText" w:cs="Times New Roman"/>
          <w:szCs w:val="24"/>
          <w:lang w:val="en-ZA"/>
        </w:rPr>
        <w:t>.</w:t>
      </w:r>
    </w:p>
    <w:p w14:paraId="159A6CC0"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Dykes, L., &amp; Rooney, L. W. (2007) Phenolic compounds in cereal grains and their health benefits. </w:t>
      </w:r>
      <w:r>
        <w:rPr>
          <w:rFonts w:cs="Times New Roman"/>
          <w:i/>
          <w:szCs w:val="24"/>
        </w:rPr>
        <w:t>Cereal Foods World,</w:t>
      </w:r>
      <w:r>
        <w:rPr>
          <w:rFonts w:cs="Times New Roman"/>
          <w:szCs w:val="24"/>
        </w:rPr>
        <w:t xml:space="preserve"> 50, 105-111.</w:t>
      </w:r>
    </w:p>
    <w:p w14:paraId="604ACC01"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shd w:val="clear" w:color="auto" w:fill="FFFFFF"/>
        </w:rPr>
        <w:t>Ekpa, O., Palacios-Rojas, N., Kruseman, G., Fogliano, V. &amp; Linnemann, A. R. (2019) Sub-Saharan african maize-based foods-processing practices, challenges and opportunities. </w:t>
      </w:r>
      <w:r>
        <w:rPr>
          <w:rFonts w:cs="Times New Roman"/>
          <w:i/>
          <w:iCs/>
          <w:szCs w:val="24"/>
          <w:shd w:val="clear" w:color="auto" w:fill="FFFFFF"/>
        </w:rPr>
        <w:t>Food Reviews International</w:t>
      </w:r>
      <w:r>
        <w:rPr>
          <w:rFonts w:cs="Times New Roman"/>
          <w:szCs w:val="24"/>
          <w:shd w:val="clear" w:color="auto" w:fill="FFFFFF"/>
        </w:rPr>
        <w:t>, 35, 609-639.</w:t>
      </w:r>
    </w:p>
    <w:p w14:paraId="30811C6E"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Ekpa, O., Palacious-Rojas, N., Kruseman, G., Fogliano, V. and Linnermann, A. R. (2018) Sub-Saharan African maize-based foods: Technological perspectives to increase the food and nutrition security impacts of maize breeding programmes. </w:t>
      </w:r>
      <w:r>
        <w:rPr>
          <w:rFonts w:cs="Times New Roman"/>
          <w:i/>
          <w:szCs w:val="24"/>
        </w:rPr>
        <w:t>Global Food Security,</w:t>
      </w:r>
      <w:r>
        <w:rPr>
          <w:rFonts w:cs="Times New Roman"/>
          <w:szCs w:val="24"/>
        </w:rPr>
        <w:t xml:space="preserve"> 17, 48-56.</w:t>
      </w:r>
    </w:p>
    <w:p w14:paraId="642C682C"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 xml:space="preserve">Engle-Stone, R., Ndjebayi, A. O., Nankap, M., Killilea, D. W. &amp; Brown, K. H. (2014) Stunting prevalence, plasma zinc concentrations, and dietary zinc intakes in a nationally representative samples suggest a high risk of zinc deficiency among women and young children in Cameroon. </w:t>
      </w:r>
      <w:r>
        <w:rPr>
          <w:rFonts w:cs="Times New Roman"/>
          <w:i/>
          <w:noProof/>
          <w:szCs w:val="24"/>
        </w:rPr>
        <w:t>The Journal of Nutrition,</w:t>
      </w:r>
      <w:r>
        <w:rPr>
          <w:rFonts w:cs="Times New Roman"/>
          <w:noProof/>
          <w:szCs w:val="24"/>
        </w:rPr>
        <w:t xml:space="preserve"> 144, 382-391.</w:t>
      </w:r>
    </w:p>
    <w:p w14:paraId="16A55360"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Etcheverry, P., Grusak, M. A. &amp; Fleige, L. E. (2012) Application of in vitro bioaccessibility and bioavailability methods for calcium, carotenoids, folate, iron, magnesium, polyphenols, zinc, and vitamins B6, B12, D, and E. </w:t>
      </w:r>
      <w:r>
        <w:rPr>
          <w:rFonts w:cs="Times New Roman"/>
          <w:i/>
          <w:iCs/>
          <w:szCs w:val="24"/>
          <w:shd w:val="clear" w:color="auto" w:fill="FFFFFF"/>
        </w:rPr>
        <w:t>Frontiers in Physiology</w:t>
      </w:r>
      <w:r>
        <w:rPr>
          <w:rFonts w:cs="Times New Roman"/>
          <w:szCs w:val="24"/>
          <w:shd w:val="clear" w:color="auto" w:fill="FFFFFF"/>
        </w:rPr>
        <w:t>, 3. https://doi.org/10.3389/fphys.2012.00317</w:t>
      </w:r>
    </w:p>
    <w:p w14:paraId="5F7C5939"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shd w:val="clear" w:color="auto" w:fill="FFFFFF"/>
        </w:rPr>
        <w:t>Etcheverry, P., Hawthorne, K. M., Liang, L. K., Abrams, S. A. &amp; Griffin, I. J. (2006) Effect of beef and soy proteins on the absorption of non-heme iron and inorganic zinc in children. </w:t>
      </w:r>
      <w:r>
        <w:rPr>
          <w:rFonts w:cs="Times New Roman"/>
          <w:i/>
          <w:iCs/>
          <w:szCs w:val="24"/>
          <w:shd w:val="clear" w:color="auto" w:fill="FFFFFF"/>
        </w:rPr>
        <w:t>Journal of the American College of Nutrition</w:t>
      </w:r>
      <w:r>
        <w:rPr>
          <w:rFonts w:cs="Times New Roman"/>
          <w:szCs w:val="24"/>
          <w:shd w:val="clear" w:color="auto" w:fill="FFFFFF"/>
        </w:rPr>
        <w:t>, </w:t>
      </w:r>
      <w:r>
        <w:rPr>
          <w:rFonts w:cs="Times New Roman"/>
          <w:iCs/>
          <w:szCs w:val="24"/>
          <w:shd w:val="clear" w:color="auto" w:fill="FFFFFF"/>
        </w:rPr>
        <w:t>25</w:t>
      </w:r>
      <w:r>
        <w:rPr>
          <w:rFonts w:cs="Times New Roman"/>
          <w:szCs w:val="24"/>
          <w:shd w:val="clear" w:color="auto" w:fill="FFFFFF"/>
        </w:rPr>
        <w:t>, 34-40.</w:t>
      </w:r>
    </w:p>
    <w:p w14:paraId="4077C742"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Fairweather-Tait, S. J. &amp; Teucher, B. (2002) Iron and calcium bioavailability of fortified foods and dietary supplements. </w:t>
      </w:r>
      <w:r>
        <w:rPr>
          <w:rFonts w:cs="Times New Roman"/>
          <w:i/>
          <w:iCs/>
          <w:szCs w:val="24"/>
          <w:shd w:val="clear" w:color="auto" w:fill="FFFFFF"/>
        </w:rPr>
        <w:t>Nutrition Reviews</w:t>
      </w:r>
      <w:r>
        <w:rPr>
          <w:rFonts w:cs="Times New Roman"/>
          <w:szCs w:val="24"/>
          <w:shd w:val="clear" w:color="auto" w:fill="FFFFFF"/>
        </w:rPr>
        <w:t>, 60, 360-367.</w:t>
      </w:r>
    </w:p>
    <w:p w14:paraId="4E2409DD" w14:textId="77777777" w:rsidR="00AA6FAA" w:rsidRDefault="00AA6FAA" w:rsidP="00AA6FAA">
      <w:pPr>
        <w:pStyle w:val="NormalWeb"/>
        <w:ind w:left="480" w:hanging="480"/>
        <w:rPr>
          <w:noProof/>
        </w:rPr>
      </w:pPr>
      <w:r>
        <w:rPr>
          <w:noProof/>
        </w:rPr>
        <w:t xml:space="preserve">Fairweather-Tait, S., Lynch, S., Hotz, C., Hurrell, R., Abrahamse, L., Beebe, S., … &amp; Trinidad, T. P. (2005). The usefulness of in vitro models to predict the bioavailability of iron and zinc: A consensus statement from the HarvestPlus expert consultation. </w:t>
      </w:r>
      <w:r>
        <w:rPr>
          <w:i/>
          <w:iCs/>
          <w:noProof/>
        </w:rPr>
        <w:t>International Journal for Vitamin and Nutrition Research</w:t>
      </w:r>
      <w:r>
        <w:rPr>
          <w:noProof/>
        </w:rPr>
        <w:t>, 75, 371–374.</w:t>
      </w:r>
    </w:p>
    <w:p w14:paraId="579B49C9" w14:textId="319ADC8A" w:rsidR="00AA6FAA" w:rsidRDefault="00AA6FAA" w:rsidP="00AA6FAA">
      <w:pPr>
        <w:pStyle w:val="NormalWeb"/>
        <w:ind w:left="480" w:hanging="480"/>
        <w:rPr>
          <w:noProof/>
        </w:rPr>
      </w:pPr>
      <w:r>
        <w:rPr>
          <w:rFonts w:eastAsia="AdvGulliv-R"/>
        </w:rPr>
        <w:t xml:space="preserve">Feil, B. (2001) Phytic acid. </w:t>
      </w:r>
      <w:r>
        <w:rPr>
          <w:rFonts w:eastAsia="AdvGulliv-R"/>
          <w:i/>
          <w:iCs/>
        </w:rPr>
        <w:t>Journal of New Seeds,</w:t>
      </w:r>
      <w:r>
        <w:rPr>
          <w:rFonts w:eastAsia="AdvGulliv-R"/>
        </w:rPr>
        <w:t xml:space="preserve"> 3, 1–35.</w:t>
      </w:r>
    </w:p>
    <w:p w14:paraId="7B6A9070" w14:textId="724F33E6"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Fellows, P. J. (2009) Freeze drying and freeze concentration</w:t>
      </w:r>
      <w:r w:rsidR="00BB2EE5">
        <w:rPr>
          <w:rFonts w:cs="Times New Roman"/>
          <w:noProof/>
          <w:szCs w:val="24"/>
        </w:rPr>
        <w:t>:</w:t>
      </w:r>
      <w:r>
        <w:rPr>
          <w:rFonts w:cs="Times New Roman"/>
          <w:noProof/>
          <w:szCs w:val="24"/>
        </w:rPr>
        <w:t xml:space="preserve"> </w:t>
      </w:r>
      <w:r w:rsidR="00BB2EE5" w:rsidRPr="00E961C6">
        <w:rPr>
          <w:rFonts w:cs="Times New Roman"/>
          <w:iCs/>
          <w:noProof/>
          <w:szCs w:val="24"/>
        </w:rPr>
        <w:t>I</w:t>
      </w:r>
      <w:r w:rsidRPr="00E961C6">
        <w:rPr>
          <w:rFonts w:cs="Times New Roman"/>
          <w:iCs/>
          <w:noProof/>
          <w:szCs w:val="24"/>
        </w:rPr>
        <w:t>n</w:t>
      </w:r>
      <w:r>
        <w:rPr>
          <w:rFonts w:cs="Times New Roman"/>
          <w:i/>
          <w:noProof/>
          <w:szCs w:val="24"/>
        </w:rPr>
        <w:t xml:space="preserve"> </w:t>
      </w:r>
      <w:r w:rsidRPr="0079085C">
        <w:rPr>
          <w:rFonts w:cs="Times New Roman"/>
          <w:i/>
          <w:iCs/>
          <w:noProof/>
          <w:szCs w:val="24"/>
        </w:rPr>
        <w:t>Food processing technology – principles and practice</w:t>
      </w:r>
      <w:r w:rsidR="00BB2EE5">
        <w:rPr>
          <w:rFonts w:cs="Times New Roman"/>
          <w:noProof/>
          <w:szCs w:val="24"/>
        </w:rPr>
        <w:t xml:space="preserve"> (edited by Fellows, P. J.)</w:t>
      </w:r>
      <w:r>
        <w:rPr>
          <w:rFonts w:cs="Times New Roman"/>
          <w:noProof/>
          <w:szCs w:val="24"/>
        </w:rPr>
        <w:t xml:space="preserve">, </w:t>
      </w:r>
      <w:r w:rsidR="00E961C6">
        <w:rPr>
          <w:rFonts w:cs="Times New Roman"/>
          <w:noProof/>
          <w:szCs w:val="24"/>
        </w:rPr>
        <w:t>Pp 687-699.</w:t>
      </w:r>
      <w:r>
        <w:rPr>
          <w:rFonts w:cs="Times New Roman"/>
          <w:noProof/>
          <w:szCs w:val="24"/>
        </w:rPr>
        <w:t xml:space="preserve"> Woodhead Publish</w:t>
      </w:r>
      <w:r w:rsidR="00E961C6">
        <w:rPr>
          <w:rFonts w:cs="Times New Roman"/>
          <w:noProof/>
          <w:szCs w:val="24"/>
        </w:rPr>
        <w:t xml:space="preserve">ing: </w:t>
      </w:r>
      <w:r w:rsidR="00397CEB">
        <w:rPr>
          <w:rFonts w:cs="Times New Roman"/>
          <w:noProof/>
          <w:szCs w:val="24"/>
        </w:rPr>
        <w:t>Cambridge, UK.</w:t>
      </w:r>
    </w:p>
    <w:p w14:paraId="42341285" w14:textId="25E80987" w:rsidR="00AA6FAA" w:rsidRDefault="00AA6FAA" w:rsidP="00AA6FAA">
      <w:pPr>
        <w:widowControl w:val="0"/>
        <w:autoSpaceDE w:val="0"/>
        <w:autoSpaceDN w:val="0"/>
        <w:adjustRightInd w:val="0"/>
        <w:spacing w:line="240" w:lineRule="auto"/>
        <w:ind w:left="480" w:hanging="480"/>
        <w:rPr>
          <w:rFonts w:eastAsia="ScalaLancetPro" w:cs="Times New Roman"/>
          <w:szCs w:val="24"/>
          <w:lang w:val="en-US"/>
        </w:rPr>
      </w:pPr>
      <w:r>
        <w:rPr>
          <w:rFonts w:eastAsia="ScalaLancetPro" w:cs="Times New Roman"/>
          <w:szCs w:val="24"/>
          <w:lang w:val="en-US"/>
        </w:rPr>
        <w:t xml:space="preserve">Fernandez-Gaxiola, A. C. &amp; De-Regil, L. M. (2011) Intermittent iron supplementation for reducing anaemia and its associated impairments in menstruating women. </w:t>
      </w:r>
      <w:r>
        <w:rPr>
          <w:rFonts w:eastAsia="ScalaLancetPro" w:cs="Times New Roman"/>
          <w:i/>
          <w:iCs/>
          <w:szCs w:val="24"/>
          <w:lang w:val="en-US"/>
        </w:rPr>
        <w:t>Cochrane Database of Systematic Reviews</w:t>
      </w:r>
      <w:r>
        <w:rPr>
          <w:rFonts w:eastAsia="ScalaLancetPro" w:cs="Times New Roman"/>
          <w:szCs w:val="24"/>
          <w:lang w:val="en-US"/>
        </w:rPr>
        <w:t xml:space="preserve">, 12. </w:t>
      </w:r>
      <w:hyperlink r:id="rId30" w:history="1">
        <w:r w:rsidR="001E379F" w:rsidRPr="00B2597B">
          <w:rPr>
            <w:rStyle w:val="Hyperlink"/>
            <w:rFonts w:eastAsia="ScalaLancetPro" w:cs="Times New Roman"/>
            <w:szCs w:val="24"/>
            <w:lang w:val="en-US"/>
          </w:rPr>
          <w:t>https://doi.org/10.1002/14651858.CD009218.pub2</w:t>
        </w:r>
      </w:hyperlink>
    </w:p>
    <w:p w14:paraId="19E802BE" w14:textId="42495FB1" w:rsidR="001E379F" w:rsidRPr="001E379F" w:rsidRDefault="001E379F" w:rsidP="00AA6FAA">
      <w:pPr>
        <w:widowControl w:val="0"/>
        <w:autoSpaceDE w:val="0"/>
        <w:autoSpaceDN w:val="0"/>
        <w:adjustRightInd w:val="0"/>
        <w:spacing w:line="240" w:lineRule="auto"/>
        <w:ind w:left="480" w:hanging="480"/>
        <w:rPr>
          <w:rFonts w:eastAsia="ScalaLancetPro" w:cs="Times New Roman"/>
          <w:szCs w:val="24"/>
          <w:lang w:val="en-US"/>
        </w:rPr>
      </w:pPr>
      <w:r w:rsidRPr="001E379F">
        <w:rPr>
          <w:rFonts w:cs="Times New Roman"/>
          <w:szCs w:val="24"/>
          <w:shd w:val="clear" w:color="auto" w:fill="FFFFFF"/>
        </w:rPr>
        <w:t>Ferruzzi, M. G., Kruger, J., Mohamedshah, Z., Debelo, H. &amp; Taylor, J. R. N. (2020) Insights from in vitro exploration of factors influencing iron, zinc and provitamin A carotenoid bioaccessibility and intestinal absorption from cereals. </w:t>
      </w:r>
      <w:r w:rsidRPr="001E379F">
        <w:rPr>
          <w:rFonts w:cs="Times New Roman"/>
          <w:i/>
          <w:iCs/>
          <w:szCs w:val="24"/>
          <w:shd w:val="clear" w:color="auto" w:fill="FFFFFF"/>
        </w:rPr>
        <w:t>Journal of Cereal Science</w:t>
      </w:r>
      <w:r w:rsidRPr="001E379F">
        <w:rPr>
          <w:rFonts w:cs="Times New Roman"/>
          <w:szCs w:val="24"/>
          <w:shd w:val="clear" w:color="auto" w:fill="FFFFFF"/>
        </w:rPr>
        <w:t>, 103126. https://doi.org/10.1016/j.jcs.2020.103126</w:t>
      </w:r>
    </w:p>
    <w:p w14:paraId="62B75FA4" w14:textId="77777777" w:rsidR="00AA6FAA" w:rsidRDefault="00AA6FAA" w:rsidP="00AA6FAA">
      <w:pPr>
        <w:widowControl w:val="0"/>
        <w:autoSpaceDE w:val="0"/>
        <w:autoSpaceDN w:val="0"/>
        <w:adjustRightInd w:val="0"/>
        <w:spacing w:line="240" w:lineRule="auto"/>
        <w:ind w:left="480" w:hanging="480"/>
        <w:rPr>
          <w:rFonts w:eastAsia="ScalaLancetPro" w:cs="Times New Roman"/>
          <w:szCs w:val="24"/>
          <w:lang w:val="en-US"/>
        </w:rPr>
      </w:pPr>
      <w:r>
        <w:rPr>
          <w:rFonts w:cs="Times New Roman"/>
          <w:szCs w:val="24"/>
          <w:shd w:val="clear" w:color="auto" w:fill="FFFFFF"/>
        </w:rPr>
        <w:t>Finkelstein, J. L., Mehta, S., Udipi, S. A., Ghugre, P. S., Luna, S. V., Wenger, M. J., Murray-Kolb, L. E., Przybyszewski, E. M. &amp; Haas, J. D. (2015) A randomized trial of iron-biofortified pearl millet in school children in India. </w:t>
      </w:r>
      <w:r>
        <w:rPr>
          <w:rFonts w:cs="Times New Roman"/>
          <w:i/>
          <w:iCs/>
          <w:szCs w:val="24"/>
          <w:shd w:val="clear" w:color="auto" w:fill="FFFFFF"/>
        </w:rPr>
        <w:t>The Journal of Nutrition</w:t>
      </w:r>
      <w:r>
        <w:rPr>
          <w:rFonts w:cs="Times New Roman"/>
          <w:szCs w:val="24"/>
          <w:shd w:val="clear" w:color="auto" w:fill="FFFFFF"/>
        </w:rPr>
        <w:t>, 145, 1576-1581.</w:t>
      </w:r>
    </w:p>
    <w:p w14:paraId="2FDD02ED"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 xml:space="preserve">Fiorentino, M., Landais, E., Bastard, G., Carriquiry, A., Wieringa, F. T. &amp; Berger, J. (2016) Nutrient intake is insufficient among Senegalese Urban school children and adolescents: Results from 24 h recalls in State primary schools in Dakar. </w:t>
      </w:r>
      <w:r>
        <w:rPr>
          <w:rFonts w:cs="Times New Roman"/>
          <w:i/>
          <w:noProof/>
          <w:szCs w:val="24"/>
        </w:rPr>
        <w:t>Nutrients,</w:t>
      </w:r>
      <w:r>
        <w:rPr>
          <w:rFonts w:cs="Times New Roman"/>
          <w:noProof/>
          <w:szCs w:val="24"/>
        </w:rPr>
        <w:t xml:space="preserve"> 8. https://doi.org/10.3390/nu8100650. </w:t>
      </w:r>
    </w:p>
    <w:p w14:paraId="4CC60A99" w14:textId="3C0B7091"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Food &amp; Agriculture Organization (FAO) (2015) FAOSTAT. </w:t>
      </w:r>
      <w:hyperlink r:id="rId31" w:history="1">
        <w:r>
          <w:rPr>
            <w:rStyle w:val="Hyperlink"/>
            <w:rFonts w:cs="Times New Roman"/>
            <w:szCs w:val="24"/>
          </w:rPr>
          <w:t>http://faostat.fao.org/site/5676/DesktopDefault.aspx</w:t>
        </w:r>
      </w:hyperlink>
      <w:r>
        <w:rPr>
          <w:rFonts w:cs="Times New Roman"/>
          <w:szCs w:val="24"/>
        </w:rPr>
        <w:t xml:space="preserve"> (Access</w:t>
      </w:r>
      <w:r w:rsidR="00807098">
        <w:rPr>
          <w:rFonts w:cs="Times New Roman"/>
          <w:szCs w:val="24"/>
        </w:rPr>
        <w:t>ed</w:t>
      </w:r>
      <w:r>
        <w:rPr>
          <w:rFonts w:cs="Times New Roman"/>
          <w:szCs w:val="24"/>
        </w:rPr>
        <w:t xml:space="preserve"> October 2020)</w:t>
      </w:r>
    </w:p>
    <w:p w14:paraId="64917AE1" w14:textId="2C42047C" w:rsidR="00AA6FAA" w:rsidRDefault="00AA6FAA" w:rsidP="00AA6FAA">
      <w:pPr>
        <w:widowControl w:val="0"/>
        <w:autoSpaceDE w:val="0"/>
        <w:autoSpaceDN w:val="0"/>
        <w:adjustRightInd w:val="0"/>
        <w:spacing w:line="240" w:lineRule="auto"/>
        <w:ind w:left="540" w:hanging="540"/>
        <w:rPr>
          <w:rFonts w:cs="Times New Roman"/>
          <w:szCs w:val="24"/>
        </w:rPr>
      </w:pPr>
      <w:r>
        <w:rPr>
          <w:rFonts w:cs="Times New Roman"/>
          <w:szCs w:val="24"/>
        </w:rPr>
        <w:t xml:space="preserve">Food &amp; Nutrition Board (2001) Dietary reference intakes for Vitamin A, Vitamin K, Arsenic, Boron, Chromium, Copper, Iodine, Iron, Manganese, Molybdenum, Nickel, Silicon, Vanadium and zinc. Washington </w:t>
      </w:r>
      <w:r w:rsidR="006D39B9">
        <w:rPr>
          <w:rFonts w:cs="Times New Roman"/>
          <w:szCs w:val="24"/>
        </w:rPr>
        <w:t xml:space="preserve">DC, USA: </w:t>
      </w:r>
      <w:r>
        <w:rPr>
          <w:rFonts w:cs="Times New Roman"/>
          <w:szCs w:val="24"/>
        </w:rPr>
        <w:t>National Academic Press.</w:t>
      </w:r>
    </w:p>
    <w:p w14:paraId="3C23E7C6" w14:textId="646C5CBB" w:rsidR="00AA6FAA" w:rsidRDefault="00AA6FAA" w:rsidP="00AA6FAA">
      <w:pPr>
        <w:widowControl w:val="0"/>
        <w:autoSpaceDE w:val="0"/>
        <w:autoSpaceDN w:val="0"/>
        <w:adjustRightInd w:val="0"/>
        <w:spacing w:line="240" w:lineRule="auto"/>
        <w:ind w:left="540" w:hanging="540"/>
        <w:rPr>
          <w:rFonts w:cs="Times New Roman"/>
          <w:szCs w:val="24"/>
          <w:shd w:val="clear" w:color="auto" w:fill="FFFFFF"/>
        </w:rPr>
      </w:pPr>
      <w:r>
        <w:rPr>
          <w:rFonts w:cs="Times New Roman"/>
          <w:szCs w:val="24"/>
          <w:shd w:val="clear" w:color="auto" w:fill="FFFFFF"/>
        </w:rPr>
        <w:t>Fredlund, K. E. M. (2004) Inhibition of calcium and zinc absorption by phytate in man: Methodological studies and hydrothermal processing of cereals to improve absorption.</w:t>
      </w:r>
      <w:r w:rsidR="006D39B9">
        <w:rPr>
          <w:rFonts w:cs="Times New Roman"/>
          <w:szCs w:val="24"/>
          <w:shd w:val="clear" w:color="auto" w:fill="FFFFFF"/>
        </w:rPr>
        <w:t xml:space="preserve"> </w:t>
      </w:r>
      <w:r>
        <w:rPr>
          <w:rFonts w:cs="Times New Roman"/>
          <w:szCs w:val="24"/>
          <w:shd w:val="clear" w:color="auto" w:fill="FFFFFF"/>
        </w:rPr>
        <w:t>PhD Thesis, Göteborg</w:t>
      </w:r>
      <w:r w:rsidR="00EB3D7D">
        <w:rPr>
          <w:rFonts w:cs="Times New Roman"/>
          <w:szCs w:val="24"/>
          <w:shd w:val="clear" w:color="auto" w:fill="FFFFFF"/>
        </w:rPr>
        <w:t>, Sweden</w:t>
      </w:r>
      <w:r>
        <w:rPr>
          <w:rFonts w:cs="Times New Roman"/>
          <w:szCs w:val="24"/>
          <w:shd w:val="clear" w:color="auto" w:fill="FFFFFF"/>
        </w:rPr>
        <w:t>: Chalmers University of Technology.</w:t>
      </w:r>
    </w:p>
    <w:p w14:paraId="487F6F32" w14:textId="77777777" w:rsidR="00AA6FAA" w:rsidRDefault="00AA6FAA" w:rsidP="00AA6FAA">
      <w:pPr>
        <w:widowControl w:val="0"/>
        <w:autoSpaceDE w:val="0"/>
        <w:autoSpaceDN w:val="0"/>
        <w:adjustRightInd w:val="0"/>
        <w:spacing w:line="240" w:lineRule="auto"/>
        <w:ind w:left="540" w:hanging="540"/>
        <w:rPr>
          <w:rFonts w:cs="Times New Roman"/>
          <w:szCs w:val="24"/>
          <w:shd w:val="clear" w:color="auto" w:fill="FFFFFF"/>
        </w:rPr>
      </w:pPr>
      <w:r>
        <w:rPr>
          <w:rFonts w:cs="Times New Roman"/>
          <w:noProof/>
          <w:szCs w:val="24"/>
        </w:rPr>
        <w:t xml:space="preserve">Frühbeck, G., Alonso, R., Marzo, F. &amp; Santidrián, S. (1995) A modified method for the indirect quantitative analysis of phytate in foodstuffs. </w:t>
      </w:r>
      <w:r>
        <w:rPr>
          <w:rFonts w:cs="Times New Roman"/>
          <w:i/>
          <w:iCs/>
          <w:noProof/>
          <w:szCs w:val="24"/>
        </w:rPr>
        <w:t>Analytical Biochemistry</w:t>
      </w:r>
      <w:r>
        <w:rPr>
          <w:rFonts w:cs="Times New Roman"/>
          <w:noProof/>
          <w:szCs w:val="24"/>
        </w:rPr>
        <w:t xml:space="preserve">, </w:t>
      </w:r>
      <w:r>
        <w:rPr>
          <w:rFonts w:cs="Times New Roman"/>
          <w:iCs/>
          <w:noProof/>
          <w:szCs w:val="24"/>
        </w:rPr>
        <w:t>225,</w:t>
      </w:r>
      <w:r>
        <w:rPr>
          <w:rFonts w:cs="Times New Roman"/>
          <w:noProof/>
          <w:szCs w:val="24"/>
        </w:rPr>
        <w:t xml:space="preserve"> 206–212.</w:t>
      </w:r>
    </w:p>
    <w:p w14:paraId="5BD9A9F4" w14:textId="0BCC66AD" w:rsidR="00AA6FAA" w:rsidRDefault="00AA6FAA" w:rsidP="00AA6FAA">
      <w:pPr>
        <w:widowControl w:val="0"/>
        <w:autoSpaceDE w:val="0"/>
        <w:autoSpaceDN w:val="0"/>
        <w:adjustRightInd w:val="0"/>
        <w:spacing w:line="240" w:lineRule="auto"/>
        <w:ind w:left="540" w:hanging="540"/>
        <w:rPr>
          <w:rFonts w:cs="Times New Roman"/>
          <w:szCs w:val="24"/>
          <w:shd w:val="clear" w:color="auto" w:fill="FFFFFF"/>
        </w:rPr>
      </w:pPr>
      <w:r>
        <w:rPr>
          <w:rFonts w:cs="Times New Roman"/>
          <w:szCs w:val="24"/>
          <w:lang w:val="en-ZA"/>
        </w:rPr>
        <w:t>Fuglie, L. J. (2001) The miracle tree: The multiple attributes of moringa. Wageningen, The Netherlands: CTA Publications</w:t>
      </w:r>
      <w:r w:rsidR="00EB3D7D">
        <w:rPr>
          <w:rFonts w:cs="Times New Roman"/>
          <w:szCs w:val="24"/>
          <w:lang w:val="en-ZA"/>
        </w:rPr>
        <w:t>.</w:t>
      </w:r>
    </w:p>
    <w:p w14:paraId="4859D8D8" w14:textId="77777777" w:rsidR="00AA6FAA" w:rsidRDefault="00AA6FAA" w:rsidP="00AA6FAA">
      <w:pPr>
        <w:widowControl w:val="0"/>
        <w:autoSpaceDE w:val="0"/>
        <w:autoSpaceDN w:val="0"/>
        <w:adjustRightInd w:val="0"/>
        <w:spacing w:line="240" w:lineRule="auto"/>
        <w:ind w:left="540" w:hanging="540"/>
        <w:rPr>
          <w:rFonts w:cs="Times New Roman"/>
          <w:szCs w:val="24"/>
          <w:shd w:val="clear" w:color="auto" w:fill="FFFFFF"/>
        </w:rPr>
      </w:pPr>
      <w:r>
        <w:rPr>
          <w:rFonts w:cs="Times New Roman"/>
          <w:szCs w:val="24"/>
          <w:lang w:eastAsia="en-GB"/>
        </w:rPr>
        <w:t xml:space="preserve">Gabaza, M., Muchuweti, M., Vandamme, P. &amp; Raes, K. (2017) Can fermentation be used as a sustainable strategy to reduce iron and zinc binders in traditional African fermented cereal porridge gruels? </w:t>
      </w:r>
      <w:r>
        <w:rPr>
          <w:rFonts w:cs="Times New Roman"/>
          <w:i/>
          <w:szCs w:val="24"/>
          <w:lang w:eastAsia="en-GB"/>
        </w:rPr>
        <w:t xml:space="preserve">Food Reviews International, </w:t>
      </w:r>
      <w:r>
        <w:rPr>
          <w:rFonts w:cs="Times New Roman"/>
          <w:iCs/>
          <w:szCs w:val="24"/>
          <w:lang w:eastAsia="en-GB"/>
        </w:rPr>
        <w:t>33,</w:t>
      </w:r>
      <w:r>
        <w:rPr>
          <w:rFonts w:cs="Times New Roman"/>
          <w:szCs w:val="24"/>
          <w:lang w:eastAsia="en-GB"/>
        </w:rPr>
        <w:t xml:space="preserve"> 561-586.</w:t>
      </w:r>
    </w:p>
    <w:p w14:paraId="39E0C331"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rPr>
        <w:t xml:space="preserve">Gabaza, M., Shumoy, H., Muchuweti, M., Vandamme, P. &amp; Raes, K. (2018) Baobab fruit pulp and mopane worm as potential functional ingredients to improve the iron and zinc content and bioaccessibility of fermented cereals. </w:t>
      </w:r>
      <w:r>
        <w:rPr>
          <w:rFonts w:cs="Times New Roman"/>
          <w:i/>
          <w:szCs w:val="24"/>
        </w:rPr>
        <w:t>Innovative Food Science and Emerging Technologies,</w:t>
      </w:r>
      <w:r>
        <w:rPr>
          <w:rFonts w:cs="Times New Roman"/>
          <w:iCs/>
          <w:szCs w:val="24"/>
        </w:rPr>
        <w:t xml:space="preserve"> 47</w:t>
      </w:r>
      <w:r>
        <w:rPr>
          <w:rFonts w:cs="Times New Roman"/>
          <w:i/>
          <w:szCs w:val="24"/>
        </w:rPr>
        <w:t>,</w:t>
      </w:r>
      <w:r>
        <w:rPr>
          <w:rFonts w:cs="Times New Roman"/>
          <w:szCs w:val="24"/>
        </w:rPr>
        <w:t xml:space="preserve"> 390-398.</w:t>
      </w:r>
      <w:r>
        <w:rPr>
          <w:rFonts w:cs="Times New Roman"/>
          <w:szCs w:val="24"/>
          <w:shd w:val="clear" w:color="auto" w:fill="FFFFFF"/>
        </w:rPr>
        <w:t xml:space="preserve"> </w:t>
      </w:r>
    </w:p>
    <w:p w14:paraId="7EACF7C7" w14:textId="77777777" w:rsidR="00AA6FAA" w:rsidRDefault="00AA6FAA" w:rsidP="00AA6FAA">
      <w:pPr>
        <w:widowControl w:val="0"/>
        <w:autoSpaceDE w:val="0"/>
        <w:autoSpaceDN w:val="0"/>
        <w:adjustRightInd w:val="0"/>
        <w:spacing w:line="240" w:lineRule="auto"/>
        <w:ind w:left="540" w:hanging="540"/>
        <w:rPr>
          <w:rFonts w:cs="Times New Roman"/>
          <w:szCs w:val="24"/>
          <w:shd w:val="clear" w:color="auto" w:fill="FFFFFF"/>
        </w:rPr>
      </w:pPr>
      <w:r>
        <w:rPr>
          <w:rFonts w:cs="Times New Roman"/>
          <w:szCs w:val="24"/>
          <w:shd w:val="clear" w:color="auto" w:fill="FFFFFF"/>
        </w:rPr>
        <w:t>Garcı́a-Casal, M. N., Layrisse, M., Solano, L., Barón, M. A., Arguello, F., Llovera, D., Ramı́rez, J., Leets, I. &amp; Tropper, E. (1998) Vitamin A and β-carotene can improve nonheme iron absorption from rice, wheat and corn by humans. </w:t>
      </w:r>
      <w:r>
        <w:rPr>
          <w:rFonts w:cs="Times New Roman"/>
          <w:i/>
          <w:iCs/>
          <w:szCs w:val="24"/>
          <w:shd w:val="clear" w:color="auto" w:fill="FFFFFF"/>
        </w:rPr>
        <w:t>The Journal of Nutrition</w:t>
      </w:r>
      <w:r>
        <w:rPr>
          <w:rFonts w:cs="Times New Roman"/>
          <w:szCs w:val="24"/>
          <w:shd w:val="clear" w:color="auto" w:fill="FFFFFF"/>
        </w:rPr>
        <w:t>, 128, 646-650.</w:t>
      </w:r>
    </w:p>
    <w:p w14:paraId="4CAA8A59" w14:textId="77777777" w:rsidR="00AA6FAA" w:rsidRDefault="00AA6FAA" w:rsidP="00AA6FAA">
      <w:pPr>
        <w:widowControl w:val="0"/>
        <w:autoSpaceDE w:val="0"/>
        <w:autoSpaceDN w:val="0"/>
        <w:adjustRightInd w:val="0"/>
        <w:spacing w:line="240" w:lineRule="auto"/>
        <w:ind w:left="540" w:hanging="540"/>
        <w:rPr>
          <w:rFonts w:cs="Times New Roman"/>
          <w:szCs w:val="24"/>
          <w:shd w:val="clear" w:color="auto" w:fill="FFFFFF"/>
        </w:rPr>
      </w:pPr>
      <w:r>
        <w:rPr>
          <w:rFonts w:cs="Times New Roman"/>
          <w:szCs w:val="24"/>
          <w:shd w:val="clear" w:color="auto" w:fill="FFFFFF"/>
        </w:rPr>
        <w:t>Garcia-Casal, M. N., Peña-Rosas, J. P., De‐Regil, L. M., Gwirtz, J. A. &amp; Pasricha, S.R. (2018) Fortification of maize flour with iron for controlling anaemia and iron deficiency in populations. </w:t>
      </w:r>
      <w:r>
        <w:rPr>
          <w:rFonts w:cs="Times New Roman"/>
          <w:i/>
          <w:iCs/>
          <w:szCs w:val="24"/>
          <w:shd w:val="clear" w:color="auto" w:fill="FFFFFF"/>
        </w:rPr>
        <w:t>Cochrane Database of Systematic Reviews</w:t>
      </w:r>
      <w:r>
        <w:rPr>
          <w:rFonts w:cs="Times New Roman"/>
          <w:szCs w:val="24"/>
          <w:shd w:val="clear" w:color="auto" w:fill="FFFFFF"/>
        </w:rPr>
        <w:t>, 12. https://doi.org/10.1002/14651858.CD010187.pub2</w:t>
      </w:r>
    </w:p>
    <w:p w14:paraId="458A5851" w14:textId="77777777" w:rsidR="00AA6FAA" w:rsidRDefault="00AA6FAA" w:rsidP="00AA6FAA">
      <w:pPr>
        <w:widowControl w:val="0"/>
        <w:autoSpaceDE w:val="0"/>
        <w:autoSpaceDN w:val="0"/>
        <w:adjustRightInd w:val="0"/>
        <w:spacing w:line="240" w:lineRule="auto"/>
        <w:ind w:left="540" w:hanging="540"/>
        <w:rPr>
          <w:rFonts w:cs="Times New Roman"/>
          <w:szCs w:val="24"/>
          <w:shd w:val="clear" w:color="auto" w:fill="FFFFFF"/>
        </w:rPr>
      </w:pPr>
      <w:r>
        <w:rPr>
          <w:rFonts w:ascii="TimesNewRomanPSMT" w:hAnsi="TimesNewRomanPSMT" w:cs="TimesNewRomanPSMT"/>
          <w:szCs w:val="24"/>
          <w:lang w:val="en-ZA"/>
        </w:rPr>
        <w:t xml:space="preserve">Garrett, D. A., Failla, M. L &amp; Sarama, R. J. (1999) Development of an in vitro digestion method to assess carotenoid bioavailability from meals. </w:t>
      </w:r>
      <w:r>
        <w:rPr>
          <w:rFonts w:ascii="TimesNewRomanPSMT" w:hAnsi="TimesNewRomanPSMT" w:cs="TimesNewRomanPSMT"/>
          <w:i/>
          <w:iCs/>
          <w:szCs w:val="24"/>
          <w:lang w:val="en-ZA"/>
        </w:rPr>
        <w:t>Journal of Agricultural and Food Chemistry,</w:t>
      </w:r>
      <w:r>
        <w:rPr>
          <w:rFonts w:ascii="TimesNewRomanPSMT" w:hAnsi="TimesNewRomanPSMT" w:cs="TimesNewRomanPSMT"/>
          <w:szCs w:val="24"/>
          <w:lang w:val="en-ZA"/>
        </w:rPr>
        <w:t xml:space="preserve"> 47, 4301-4309.</w:t>
      </w:r>
    </w:p>
    <w:p w14:paraId="676AE90D"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Gautam, S., Platel, K. &amp; Srinivasan, K. (2010) Influence of β-carotene-rich vegetables on the bioaccessibility of zinc and iron from food grains. </w:t>
      </w:r>
      <w:r>
        <w:rPr>
          <w:rFonts w:cs="Times New Roman"/>
          <w:i/>
          <w:iCs/>
          <w:szCs w:val="24"/>
          <w:shd w:val="clear" w:color="auto" w:fill="FFFFFF"/>
        </w:rPr>
        <w:t>Food Chemistry</w:t>
      </w:r>
      <w:r>
        <w:rPr>
          <w:rFonts w:cs="Times New Roman"/>
          <w:szCs w:val="24"/>
          <w:shd w:val="clear" w:color="auto" w:fill="FFFFFF"/>
        </w:rPr>
        <w:t>, </w:t>
      </w:r>
      <w:r>
        <w:rPr>
          <w:rFonts w:cs="Times New Roman"/>
          <w:iCs/>
          <w:szCs w:val="24"/>
          <w:shd w:val="clear" w:color="auto" w:fill="FFFFFF"/>
        </w:rPr>
        <w:t>122</w:t>
      </w:r>
      <w:r>
        <w:rPr>
          <w:rFonts w:cs="Times New Roman"/>
          <w:szCs w:val="24"/>
          <w:shd w:val="clear" w:color="auto" w:fill="FFFFFF"/>
        </w:rPr>
        <w:t>, 668-672.</w:t>
      </w:r>
    </w:p>
    <w:p w14:paraId="0B7B7875"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Geerligs, P. P., Brabin, B. J. &amp; Omari, A. A. A. (2003) Food prepared in iron cooking pots as an intervention for reducing iron deficiency anaemia in developing countries: a systematic review. </w:t>
      </w:r>
      <w:r>
        <w:rPr>
          <w:rFonts w:cs="Times New Roman"/>
          <w:i/>
          <w:iCs/>
          <w:szCs w:val="24"/>
          <w:shd w:val="clear" w:color="auto" w:fill="FFFFFF"/>
        </w:rPr>
        <w:t>Journal of Human Nutrition and Dietetics</w:t>
      </w:r>
      <w:r>
        <w:rPr>
          <w:rFonts w:cs="Times New Roman"/>
          <w:szCs w:val="24"/>
          <w:shd w:val="clear" w:color="auto" w:fill="FFFFFF"/>
        </w:rPr>
        <w:t>, 16, 275-281.</w:t>
      </w:r>
    </w:p>
    <w:p w14:paraId="1AC8E717" w14:textId="77777777" w:rsidR="00AA6FAA" w:rsidRDefault="00AA6FAA" w:rsidP="00AA6FAA">
      <w:pPr>
        <w:widowControl w:val="0"/>
        <w:autoSpaceDE w:val="0"/>
        <w:autoSpaceDN w:val="0"/>
        <w:adjustRightInd w:val="0"/>
        <w:spacing w:line="240" w:lineRule="auto"/>
        <w:ind w:left="540" w:hanging="540"/>
        <w:rPr>
          <w:rFonts w:cs="Times New Roman"/>
          <w:szCs w:val="24"/>
          <w:shd w:val="clear" w:color="auto" w:fill="FFFFFF"/>
        </w:rPr>
      </w:pPr>
      <w:r>
        <w:rPr>
          <w:rFonts w:cs="Times New Roman"/>
          <w:szCs w:val="24"/>
          <w:shd w:val="clear" w:color="auto" w:fill="FFFFFF"/>
        </w:rPr>
        <w:t>genannt Bonsmann, S. S., Walczyk, T., Renggli, S. &amp; Hurrell, R. F. (2008) Oxalic acid does not influence non-haem iron absorption in humans: a comparison of kale and spinach meals. </w:t>
      </w:r>
      <w:r>
        <w:rPr>
          <w:rFonts w:cs="Times New Roman"/>
          <w:i/>
          <w:iCs/>
          <w:szCs w:val="24"/>
          <w:shd w:val="clear" w:color="auto" w:fill="FFFFFF"/>
        </w:rPr>
        <w:t>European Journal of Clinical Nutrition</w:t>
      </w:r>
      <w:r>
        <w:rPr>
          <w:rFonts w:cs="Times New Roman"/>
          <w:szCs w:val="24"/>
          <w:shd w:val="clear" w:color="auto" w:fill="FFFFFF"/>
        </w:rPr>
        <w:t>, 62, 336-341.</w:t>
      </w:r>
    </w:p>
    <w:p w14:paraId="285614E1" w14:textId="77777777" w:rsidR="00AA6FAA" w:rsidRDefault="00AA6FAA" w:rsidP="00AA6FAA">
      <w:pPr>
        <w:widowControl w:val="0"/>
        <w:autoSpaceDE w:val="0"/>
        <w:autoSpaceDN w:val="0"/>
        <w:adjustRightInd w:val="0"/>
        <w:spacing w:line="240" w:lineRule="auto"/>
        <w:ind w:left="540" w:hanging="540"/>
        <w:rPr>
          <w:rFonts w:cs="Times New Roman"/>
          <w:szCs w:val="24"/>
          <w:shd w:val="clear" w:color="auto" w:fill="FFFFFF"/>
        </w:rPr>
      </w:pPr>
      <w:r>
        <w:rPr>
          <w:rFonts w:cs="Times New Roman"/>
          <w:szCs w:val="24"/>
          <w:shd w:val="clear" w:color="auto" w:fill="FFFFFF"/>
        </w:rPr>
        <w:t>Gera, T., Sachdev, H. S. &amp; Boy, E. (2012) Effect of iron-fortified foods on hematologic and biological outcomes: systematic review of randomized controlled trials. </w:t>
      </w:r>
      <w:r>
        <w:rPr>
          <w:rFonts w:cs="Times New Roman"/>
          <w:i/>
          <w:iCs/>
          <w:szCs w:val="24"/>
          <w:shd w:val="clear" w:color="auto" w:fill="FFFFFF"/>
        </w:rPr>
        <w:t>The American Journal of Clinical Nutrition</w:t>
      </w:r>
      <w:r>
        <w:rPr>
          <w:rFonts w:cs="Times New Roman"/>
          <w:szCs w:val="24"/>
          <w:shd w:val="clear" w:color="auto" w:fill="FFFFFF"/>
        </w:rPr>
        <w:t>, 96, 309-324.</w:t>
      </w:r>
    </w:p>
    <w:p w14:paraId="096BC612"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Gibson, R. S. (2006) Zinc: the missing link in combating micronutrient malnutrition in developing countries. </w:t>
      </w:r>
      <w:r>
        <w:rPr>
          <w:rFonts w:cs="Times New Roman"/>
          <w:i/>
          <w:iCs/>
          <w:szCs w:val="24"/>
          <w:shd w:val="clear" w:color="auto" w:fill="FFFFFF"/>
        </w:rPr>
        <w:t>Proceedings of the Nutrition Society</w:t>
      </w:r>
      <w:r>
        <w:rPr>
          <w:rFonts w:cs="Times New Roman"/>
          <w:szCs w:val="24"/>
          <w:shd w:val="clear" w:color="auto" w:fill="FFFFFF"/>
        </w:rPr>
        <w:t xml:space="preserve">, 65, 51-60. </w:t>
      </w:r>
    </w:p>
    <w:p w14:paraId="069A5B36" w14:textId="77777777" w:rsidR="00AA6FAA" w:rsidRDefault="00AA6FAA" w:rsidP="00AA6FAA">
      <w:pPr>
        <w:widowControl w:val="0"/>
        <w:autoSpaceDE w:val="0"/>
        <w:autoSpaceDN w:val="0"/>
        <w:adjustRightInd w:val="0"/>
        <w:spacing w:line="240" w:lineRule="auto"/>
        <w:ind w:left="540" w:hanging="540"/>
        <w:rPr>
          <w:rFonts w:cs="Times New Roman"/>
          <w:noProof/>
          <w:szCs w:val="24"/>
        </w:rPr>
      </w:pPr>
      <w:r>
        <w:rPr>
          <w:rFonts w:cs="Times New Roman"/>
          <w:szCs w:val="24"/>
          <w:shd w:val="clear" w:color="auto" w:fill="FFFFFF"/>
        </w:rPr>
        <w:t>Gibson, R. S., Bailey, K. B., Gibbs, M. &amp; Ferguson, E. L. (2010) A review of phytate, iron, zinc, and calcium concentrations in plant-based complementary foods used in low-income countries and implications for bioavailability. </w:t>
      </w:r>
      <w:r>
        <w:rPr>
          <w:rFonts w:cs="Times New Roman"/>
          <w:i/>
          <w:iCs/>
          <w:szCs w:val="24"/>
          <w:shd w:val="clear" w:color="auto" w:fill="FFFFFF"/>
        </w:rPr>
        <w:t>Food and Nutrition Bulletin</w:t>
      </w:r>
      <w:r>
        <w:rPr>
          <w:rFonts w:cs="Times New Roman"/>
          <w:szCs w:val="24"/>
          <w:shd w:val="clear" w:color="auto" w:fill="FFFFFF"/>
        </w:rPr>
        <w:t>, 31, S134-S146.</w:t>
      </w:r>
    </w:p>
    <w:p w14:paraId="6AA9E2B5"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Gibson, R. S., Hotz, C., Temple, L., Yeudall, F., Mtitimuni, B. &amp; Ferguson, E. (2000) Dietary strategies to combat deficiencies of iron, zinc, and vitamin A in developing countries: development, implementation, monitoring, and evaluation. </w:t>
      </w:r>
      <w:r>
        <w:rPr>
          <w:rFonts w:cs="Times New Roman"/>
          <w:i/>
          <w:iCs/>
          <w:szCs w:val="24"/>
          <w:shd w:val="clear" w:color="auto" w:fill="FFFFFF"/>
        </w:rPr>
        <w:t>Food and Nutrition Bulletin</w:t>
      </w:r>
      <w:r>
        <w:rPr>
          <w:rFonts w:cs="Times New Roman"/>
          <w:szCs w:val="24"/>
          <w:shd w:val="clear" w:color="auto" w:fill="FFFFFF"/>
        </w:rPr>
        <w:t>, 21, 219-231.</w:t>
      </w:r>
    </w:p>
    <w:p w14:paraId="126B2D85"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Gibson, R. S., Raboy, V. &amp; King, J. C. (2018) Implications of phytate in plant-based foods for iron and zinc bioavailability, setting dietary requirements, and formulating programs and policies. </w:t>
      </w:r>
      <w:r>
        <w:rPr>
          <w:rFonts w:cs="Times New Roman"/>
          <w:i/>
          <w:iCs/>
          <w:szCs w:val="24"/>
          <w:shd w:val="clear" w:color="auto" w:fill="FFFFFF"/>
        </w:rPr>
        <w:t>Nutrition Reviews</w:t>
      </w:r>
      <w:r>
        <w:rPr>
          <w:rFonts w:cs="Times New Roman"/>
          <w:szCs w:val="24"/>
          <w:shd w:val="clear" w:color="auto" w:fill="FFFFFF"/>
        </w:rPr>
        <w:t>, 76, 793-804.</w:t>
      </w:r>
    </w:p>
    <w:p w14:paraId="34BE1325" w14:textId="77777777" w:rsidR="00AA6FAA" w:rsidRDefault="00AA6FAA" w:rsidP="00AA6FAA">
      <w:pPr>
        <w:widowControl w:val="0"/>
        <w:autoSpaceDE w:val="0"/>
        <w:autoSpaceDN w:val="0"/>
        <w:adjustRightInd w:val="0"/>
        <w:spacing w:line="240" w:lineRule="auto"/>
        <w:ind w:left="540" w:hanging="540"/>
        <w:rPr>
          <w:rFonts w:cs="Times New Roman"/>
          <w:noProof/>
          <w:szCs w:val="24"/>
        </w:rPr>
      </w:pPr>
      <w:r>
        <w:rPr>
          <w:rFonts w:cs="Times New Roman"/>
          <w:noProof/>
          <w:szCs w:val="24"/>
        </w:rPr>
        <w:t xml:space="preserve">Glover-Amengor, M., Aryeetey, R., Afari, E. &amp; Nyarko, A. (2016) Micronutrient composition and acceptability of </w:t>
      </w:r>
      <w:r>
        <w:rPr>
          <w:rFonts w:cs="Times New Roman"/>
          <w:i/>
          <w:noProof/>
          <w:szCs w:val="24"/>
        </w:rPr>
        <w:t>Moringa oleifera</w:t>
      </w:r>
      <w:r>
        <w:rPr>
          <w:rFonts w:cs="Times New Roman"/>
          <w:noProof/>
          <w:szCs w:val="24"/>
        </w:rPr>
        <w:t xml:space="preserve"> leaf-fortified dishes by children in Ada-East district, Ghana. </w:t>
      </w:r>
      <w:r>
        <w:rPr>
          <w:rFonts w:cs="Times New Roman"/>
          <w:i/>
          <w:noProof/>
          <w:szCs w:val="24"/>
        </w:rPr>
        <w:t>Food Science and Nutrition</w:t>
      </w:r>
      <w:r>
        <w:rPr>
          <w:rFonts w:cs="Times New Roman"/>
          <w:noProof/>
          <w:szCs w:val="24"/>
        </w:rPr>
        <w:t>, 5, 317-323.</w:t>
      </w:r>
    </w:p>
    <w:p w14:paraId="7AF14562" w14:textId="77777777" w:rsidR="00AA6FAA" w:rsidRDefault="00AA6FAA" w:rsidP="00AA6FAA">
      <w:pPr>
        <w:widowControl w:val="0"/>
        <w:autoSpaceDE w:val="0"/>
        <w:autoSpaceDN w:val="0"/>
        <w:adjustRightInd w:val="0"/>
        <w:spacing w:line="240" w:lineRule="auto"/>
        <w:ind w:left="540" w:hanging="540"/>
        <w:rPr>
          <w:rFonts w:cs="Times New Roman"/>
          <w:szCs w:val="24"/>
        </w:rPr>
      </w:pPr>
      <w:r>
        <w:rPr>
          <w:rFonts w:cs="Times New Roman"/>
          <w:szCs w:val="24"/>
          <w:shd w:val="clear" w:color="auto" w:fill="FFFFFF"/>
        </w:rPr>
        <w:t>González-Aguilar, G. A., Wang, C. Y. &amp; Buta, J. G. (2000) Maintaining quality of fresh-cut mangoes using antibrowning agents and modified atmosphere packaging. </w:t>
      </w:r>
      <w:r>
        <w:rPr>
          <w:rFonts w:cs="Times New Roman"/>
          <w:i/>
          <w:iCs/>
          <w:szCs w:val="24"/>
          <w:shd w:val="clear" w:color="auto" w:fill="FFFFFF"/>
        </w:rPr>
        <w:t>Journal of Agricultural and Food Chemistry</w:t>
      </w:r>
      <w:r>
        <w:rPr>
          <w:rFonts w:cs="Times New Roman"/>
          <w:szCs w:val="24"/>
          <w:shd w:val="clear" w:color="auto" w:fill="FFFFFF"/>
        </w:rPr>
        <w:t>, 48, 4204-4208.</w:t>
      </w:r>
    </w:p>
    <w:p w14:paraId="14FFC3BB" w14:textId="77777777" w:rsidR="00AA6FAA" w:rsidRDefault="00AA6FAA" w:rsidP="00AA6FAA">
      <w:pPr>
        <w:widowControl w:val="0"/>
        <w:autoSpaceDE w:val="0"/>
        <w:autoSpaceDN w:val="0"/>
        <w:adjustRightInd w:val="0"/>
        <w:spacing w:line="240" w:lineRule="auto"/>
        <w:ind w:left="540" w:hanging="540"/>
        <w:rPr>
          <w:rFonts w:cs="Times New Roman"/>
          <w:noProof/>
          <w:szCs w:val="24"/>
        </w:rPr>
      </w:pPr>
      <w:r>
        <w:rPr>
          <w:rFonts w:cs="Times New Roman"/>
          <w:noProof/>
          <w:szCs w:val="24"/>
        </w:rPr>
        <w:t xml:space="preserve">Gopalakrishnan, L., Doriya, K. &amp; Kumar, D. S. (2016) </w:t>
      </w:r>
      <w:r>
        <w:rPr>
          <w:rFonts w:cs="Times New Roman"/>
          <w:i/>
          <w:noProof/>
          <w:szCs w:val="24"/>
        </w:rPr>
        <w:t>Moringa oleifera</w:t>
      </w:r>
      <w:r>
        <w:rPr>
          <w:rFonts w:cs="Times New Roman"/>
          <w:noProof/>
          <w:szCs w:val="24"/>
        </w:rPr>
        <w:t xml:space="preserve">: A review on nutritive importance and its medicinal application. </w:t>
      </w:r>
      <w:r>
        <w:rPr>
          <w:rFonts w:cs="Times New Roman"/>
          <w:i/>
          <w:noProof/>
          <w:szCs w:val="24"/>
        </w:rPr>
        <w:t xml:space="preserve">Food Science and Human Wellness, </w:t>
      </w:r>
      <w:r>
        <w:rPr>
          <w:rFonts w:cs="Times New Roman"/>
          <w:iCs/>
          <w:noProof/>
          <w:szCs w:val="24"/>
        </w:rPr>
        <w:t>5</w:t>
      </w:r>
      <w:r>
        <w:rPr>
          <w:rFonts w:cs="Times New Roman"/>
          <w:i/>
          <w:noProof/>
          <w:szCs w:val="24"/>
        </w:rPr>
        <w:t>,</w:t>
      </w:r>
      <w:r>
        <w:rPr>
          <w:rFonts w:cs="Times New Roman"/>
          <w:noProof/>
          <w:szCs w:val="24"/>
        </w:rPr>
        <w:t xml:space="preserve"> 49-56.</w:t>
      </w:r>
    </w:p>
    <w:p w14:paraId="33048B9D"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 xml:space="preserve">Gozzelino, R. &amp; Arosio, P. (2016) Iron homeostasis in health and disease. </w:t>
      </w:r>
      <w:r>
        <w:rPr>
          <w:rFonts w:cs="Times New Roman"/>
          <w:i/>
          <w:noProof/>
          <w:szCs w:val="24"/>
        </w:rPr>
        <w:t>International Journal of Molecular Sciences,</w:t>
      </w:r>
      <w:r>
        <w:rPr>
          <w:rFonts w:cs="Times New Roman"/>
          <w:noProof/>
          <w:szCs w:val="24"/>
        </w:rPr>
        <w:t xml:space="preserve"> 17. https://doi:10.3390/ijms17010130</w:t>
      </w:r>
    </w:p>
    <w:p w14:paraId="506CE618" w14:textId="77777777" w:rsidR="00AA6FAA" w:rsidRDefault="00AA6FAA" w:rsidP="00AA6FAA">
      <w:pPr>
        <w:widowControl w:val="0"/>
        <w:autoSpaceDE w:val="0"/>
        <w:autoSpaceDN w:val="0"/>
        <w:adjustRightInd w:val="0"/>
        <w:spacing w:line="240" w:lineRule="auto"/>
        <w:ind w:left="540" w:hanging="540"/>
        <w:rPr>
          <w:rFonts w:cs="Times New Roman"/>
          <w:noProof/>
          <w:szCs w:val="24"/>
        </w:rPr>
      </w:pPr>
      <w:r>
        <w:rPr>
          <w:rFonts w:cs="Times New Roman"/>
          <w:szCs w:val="24"/>
          <w:shd w:val="clear" w:color="auto" w:fill="FFFFFF"/>
        </w:rPr>
        <w:t>Green, J. H., Booth, C. &amp; Bunning, R. (2003) Acute effect of high-calcium milk with or without additional magnesium, or calcium phosphate on parathyroid hormone and biochemical markers of bone resorption. </w:t>
      </w:r>
      <w:r>
        <w:rPr>
          <w:rFonts w:cs="Times New Roman"/>
          <w:i/>
          <w:iCs/>
          <w:szCs w:val="24"/>
          <w:shd w:val="clear" w:color="auto" w:fill="FFFFFF"/>
        </w:rPr>
        <w:t>European Journal of Clinical Nutrition</w:t>
      </w:r>
      <w:r>
        <w:rPr>
          <w:rFonts w:cs="Times New Roman"/>
          <w:szCs w:val="24"/>
          <w:shd w:val="clear" w:color="auto" w:fill="FFFFFF"/>
        </w:rPr>
        <w:t>, 57, 61-68.</w:t>
      </w:r>
    </w:p>
    <w:p w14:paraId="7CC3FB4F"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Greffeuille, V., Kayodé, A. P., Icard-Vernière, C., Gnimadi, M., Rochette, I. &amp; Mouquet-Rivier, C. (2011) Changes in iron, zinc and chelating agents during traditional African processing of maize: effect of iron contamination on bioaccessibility. </w:t>
      </w:r>
      <w:r>
        <w:rPr>
          <w:rFonts w:cs="Times New Roman"/>
          <w:i/>
          <w:iCs/>
          <w:szCs w:val="24"/>
          <w:shd w:val="clear" w:color="auto" w:fill="FFFFFF"/>
        </w:rPr>
        <w:t>Food Chemistry</w:t>
      </w:r>
      <w:r>
        <w:rPr>
          <w:rFonts w:cs="Times New Roman"/>
          <w:szCs w:val="24"/>
          <w:shd w:val="clear" w:color="auto" w:fill="FFFFFF"/>
        </w:rPr>
        <w:t>, 126, 1800-1807.</w:t>
      </w:r>
    </w:p>
    <w:p w14:paraId="058D08AE" w14:textId="5D009879"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 xml:space="preserve">Gregory, P. J., Wahbi, A., Adu-Gyamfi, J., Heiling, M., Gruber, R., Joy, E. J. M. &amp; Broadley M. R. (2017) Approches to reduce zinc and iron deficits in food systems. </w:t>
      </w:r>
      <w:r>
        <w:rPr>
          <w:rFonts w:cs="Times New Roman"/>
          <w:i/>
          <w:noProof/>
          <w:szCs w:val="24"/>
        </w:rPr>
        <w:t>Global Food Security,</w:t>
      </w:r>
      <w:r>
        <w:rPr>
          <w:rFonts w:cs="Times New Roman"/>
          <w:noProof/>
          <w:szCs w:val="24"/>
        </w:rPr>
        <w:t xml:space="preserve"> 15, 1-10.</w:t>
      </w:r>
    </w:p>
    <w:p w14:paraId="7AE6421B" w14:textId="5D4258FB" w:rsidR="00A472EF" w:rsidRPr="00A472EF" w:rsidRDefault="00A472EF" w:rsidP="00AA6FAA">
      <w:pPr>
        <w:widowControl w:val="0"/>
        <w:autoSpaceDE w:val="0"/>
        <w:autoSpaceDN w:val="0"/>
        <w:adjustRightInd w:val="0"/>
        <w:spacing w:line="240" w:lineRule="auto"/>
        <w:ind w:left="480" w:hanging="480"/>
        <w:rPr>
          <w:rFonts w:cs="Times New Roman"/>
          <w:noProof/>
          <w:szCs w:val="24"/>
        </w:rPr>
      </w:pPr>
      <w:r w:rsidRPr="00A472EF">
        <w:rPr>
          <w:rFonts w:cs="Times New Roman"/>
          <w:szCs w:val="24"/>
          <w:shd w:val="clear" w:color="auto" w:fill="FFFFFF"/>
        </w:rPr>
        <w:t>Gupta, C. P. (2014) Role of iron (Fe) in body. </w:t>
      </w:r>
      <w:r w:rsidRPr="00A472EF">
        <w:rPr>
          <w:rFonts w:cs="Times New Roman"/>
          <w:i/>
          <w:iCs/>
          <w:szCs w:val="24"/>
          <w:shd w:val="clear" w:color="auto" w:fill="FFFFFF"/>
        </w:rPr>
        <w:t>IOSR Journal of Applied Chemistry</w:t>
      </w:r>
      <w:r w:rsidRPr="00A472EF">
        <w:rPr>
          <w:rFonts w:cs="Times New Roman"/>
          <w:szCs w:val="24"/>
          <w:shd w:val="clear" w:color="auto" w:fill="FFFFFF"/>
        </w:rPr>
        <w:t>, 7, 38-46.</w:t>
      </w:r>
    </w:p>
    <w:p w14:paraId="5A3B1726" w14:textId="43B5A806" w:rsidR="00C67AFD" w:rsidRPr="00C67AFD" w:rsidRDefault="00C67AFD" w:rsidP="00AA6FAA">
      <w:pPr>
        <w:widowControl w:val="0"/>
        <w:autoSpaceDE w:val="0"/>
        <w:autoSpaceDN w:val="0"/>
        <w:adjustRightInd w:val="0"/>
        <w:spacing w:line="240" w:lineRule="auto"/>
        <w:ind w:left="480" w:hanging="480"/>
        <w:rPr>
          <w:rFonts w:cs="Times New Roman"/>
          <w:noProof/>
          <w:szCs w:val="24"/>
        </w:rPr>
      </w:pPr>
      <w:r w:rsidRPr="00C67AFD">
        <w:rPr>
          <w:rFonts w:cs="Times New Roman"/>
          <w:szCs w:val="24"/>
          <w:shd w:val="clear" w:color="auto" w:fill="FFFFFF"/>
        </w:rPr>
        <w:t>Gupta, S., Brazier, A. K. M. &amp; Lowe, N. M. (2020) Zinc deficiency in low‐and middle‐income countries: prevalence and approaches for mitigation. </w:t>
      </w:r>
      <w:r w:rsidRPr="00C67AFD">
        <w:rPr>
          <w:rFonts w:cs="Times New Roman"/>
          <w:i/>
          <w:iCs/>
          <w:szCs w:val="24"/>
          <w:shd w:val="clear" w:color="auto" w:fill="FFFFFF"/>
        </w:rPr>
        <w:t>Journal of Human Nutrition and Dietetics</w:t>
      </w:r>
      <w:r w:rsidRPr="00C67AFD">
        <w:rPr>
          <w:rFonts w:cs="Times New Roman"/>
          <w:szCs w:val="24"/>
          <w:shd w:val="clear" w:color="auto" w:fill="FFFFFF"/>
        </w:rPr>
        <w:t>, 33, 624-643.</w:t>
      </w:r>
    </w:p>
    <w:p w14:paraId="0E929BCF"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Gwamba, J., Kruger, J. &amp; Taylor, J. R. N. (2020) Influence of grain quality characteristics and basic processing technologies on the mineral and antinutrient contents of iron and zinc biofortified open-pollinated variety and hybrid-type pearl millet. </w:t>
      </w:r>
      <w:r>
        <w:rPr>
          <w:rFonts w:cs="Times New Roman"/>
          <w:i/>
          <w:iCs/>
          <w:szCs w:val="24"/>
          <w:shd w:val="clear" w:color="auto" w:fill="FFFFFF"/>
        </w:rPr>
        <w:t>International Journal of Food Science &amp; Technology</w:t>
      </w:r>
      <w:r>
        <w:rPr>
          <w:rFonts w:cs="Times New Roman"/>
          <w:szCs w:val="24"/>
          <w:shd w:val="clear" w:color="auto" w:fill="FFFFFF"/>
        </w:rPr>
        <w:t>, 55, 1547-1558.</w:t>
      </w:r>
    </w:p>
    <w:p w14:paraId="29700833"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Haas, J. D., Luna, S. V., Lung'aho, M. G., Wenger, M. J., Murray-Kolb, L. E., Beebe, S., Gahutu, J. B. &amp; Egli, I. M. (2016) Consuming iron biofortified beans increases iron status in Rwandan women after 128 days in a randomized controlled feeding trial. </w:t>
      </w:r>
      <w:r>
        <w:rPr>
          <w:rFonts w:cs="Times New Roman"/>
          <w:i/>
          <w:iCs/>
          <w:szCs w:val="24"/>
          <w:shd w:val="clear" w:color="auto" w:fill="FFFFFF"/>
        </w:rPr>
        <w:t>The Journal of Nutrition</w:t>
      </w:r>
      <w:r>
        <w:rPr>
          <w:rFonts w:cs="Times New Roman"/>
          <w:szCs w:val="24"/>
          <w:shd w:val="clear" w:color="auto" w:fill="FFFFFF"/>
        </w:rPr>
        <w:t>, 146, 1586-1592.</w:t>
      </w:r>
    </w:p>
    <w:p w14:paraId="49F7689D"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Hackl, L., Cercamondi, C.I., Zeder, C., Wild, D., Adelmann, H., Zimmermann, M. B. &amp; Moretti, D. (2016) Cofortification of ferric pyrophosphate and citric acid/trisodium citrate into extruded rice grains doubles iron bioavailability through in situ generation of soluble ferric pyrophosphate citrate complexes. </w:t>
      </w:r>
      <w:r>
        <w:rPr>
          <w:rFonts w:cs="Times New Roman"/>
          <w:i/>
          <w:iCs/>
          <w:szCs w:val="24"/>
          <w:shd w:val="clear" w:color="auto" w:fill="FFFFFF"/>
        </w:rPr>
        <w:t>The American Journal of Clinical Nutrition</w:t>
      </w:r>
      <w:r>
        <w:rPr>
          <w:rFonts w:cs="Times New Roman"/>
          <w:szCs w:val="24"/>
          <w:shd w:val="clear" w:color="auto" w:fill="FFFFFF"/>
        </w:rPr>
        <w:t>, 103, 1252-1259.</w:t>
      </w:r>
    </w:p>
    <w:p w14:paraId="337531F1"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Haddad, L., Achadi, E., Bendech, M. A., Ahuja, A., Bhatia, K., Bhutta, Z., </w:t>
      </w:r>
      <w:r>
        <w:rPr>
          <w:rFonts w:cs="Times New Roman"/>
          <w:szCs w:val="24"/>
          <w:shd w:val="clear" w:color="auto" w:fill="FFFFFF"/>
        </w:rPr>
        <w:t>Blössner, M., Borghi, E., Colecraft, E., De Onis, M. &amp; Eriksen, K.</w:t>
      </w:r>
      <w:r>
        <w:rPr>
          <w:rFonts w:cs="Times New Roman"/>
          <w:szCs w:val="24"/>
        </w:rPr>
        <w:t xml:space="preserve"> (2015) The global nutrition report 2014: Actions and accountability to accelerate the world’s progress on nutrition. </w:t>
      </w:r>
      <w:r>
        <w:rPr>
          <w:rFonts w:cs="Times New Roman"/>
          <w:i/>
          <w:szCs w:val="24"/>
        </w:rPr>
        <w:t>Journal of Nutrition,</w:t>
      </w:r>
      <w:r>
        <w:rPr>
          <w:rFonts w:cs="Times New Roman"/>
          <w:szCs w:val="24"/>
        </w:rPr>
        <w:t xml:space="preserve"> 145, 663-671.</w:t>
      </w:r>
    </w:p>
    <w:p w14:paraId="3209BB66"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Hadebe, S. T., Modi, A. T. &amp; Mabhaudhi, T. (2017) Drought tolerance and water use of cereal crops: A focus on sorghum as a food security crop in sub-Saharan Africa. </w:t>
      </w:r>
      <w:r>
        <w:rPr>
          <w:rFonts w:cs="Times New Roman"/>
          <w:i/>
          <w:iCs/>
          <w:szCs w:val="24"/>
          <w:shd w:val="clear" w:color="auto" w:fill="FFFFFF"/>
        </w:rPr>
        <w:t>Journal of Agronomy and Crop Science</w:t>
      </w:r>
      <w:r>
        <w:rPr>
          <w:rFonts w:cs="Times New Roman"/>
          <w:szCs w:val="24"/>
          <w:shd w:val="clear" w:color="auto" w:fill="FFFFFF"/>
        </w:rPr>
        <w:t>, 203, 177-191.</w:t>
      </w:r>
    </w:p>
    <w:p w14:paraId="3A671185"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Haggblade, S., Duodu, K. G., Kabasa, J. D., Minnaar, A., Ojijo, N. K. &amp; Taylor, J. R. N. (2016) Emerging early actions to bend the curve in Sub-Saharan Africa’s nutrition transition. </w:t>
      </w:r>
      <w:r>
        <w:rPr>
          <w:rFonts w:cs="Times New Roman"/>
          <w:i/>
          <w:iCs/>
          <w:szCs w:val="24"/>
          <w:shd w:val="clear" w:color="auto" w:fill="FFFFFF"/>
        </w:rPr>
        <w:t>Food and Nutrition Bulletin</w:t>
      </w:r>
      <w:r>
        <w:rPr>
          <w:rFonts w:cs="Times New Roman"/>
          <w:szCs w:val="24"/>
          <w:shd w:val="clear" w:color="auto" w:fill="FFFFFF"/>
        </w:rPr>
        <w:t>, 37, 219-241.</w:t>
      </w:r>
    </w:p>
    <w:p w14:paraId="1F17F083"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Hallberg, L. &amp; Hulthén, L. (2000) Prediction of dietary iron absorption: an algorithm for calculating absorption and bioavailability of dietary iron. </w:t>
      </w:r>
      <w:r>
        <w:rPr>
          <w:rFonts w:cs="Times New Roman"/>
          <w:i/>
          <w:iCs/>
          <w:szCs w:val="24"/>
          <w:shd w:val="clear" w:color="auto" w:fill="FFFFFF"/>
        </w:rPr>
        <w:t>The American Journal of Clinical Nutrition</w:t>
      </w:r>
      <w:r>
        <w:rPr>
          <w:rFonts w:cs="Times New Roman"/>
          <w:szCs w:val="24"/>
          <w:shd w:val="clear" w:color="auto" w:fill="FFFFFF"/>
        </w:rPr>
        <w:t>, 71, 1147-1160.</w:t>
      </w:r>
    </w:p>
    <w:p w14:paraId="74729938"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Hallberg, L., Brune, M., Erlandsson, M., Sandberg, A. S. &amp; Rossander-Hulten, L. (1991) Calcium: effect of different amounts on nonheme-and heme-iron absorption in humans. </w:t>
      </w:r>
      <w:r>
        <w:rPr>
          <w:rFonts w:cs="Times New Roman"/>
          <w:i/>
          <w:iCs/>
          <w:szCs w:val="24"/>
          <w:shd w:val="clear" w:color="auto" w:fill="FFFFFF"/>
        </w:rPr>
        <w:t>The American Journal of Clinical Nutrition</w:t>
      </w:r>
      <w:r>
        <w:rPr>
          <w:rFonts w:cs="Times New Roman"/>
          <w:szCs w:val="24"/>
          <w:shd w:val="clear" w:color="auto" w:fill="FFFFFF"/>
        </w:rPr>
        <w:t>, 53, 112-119.</w:t>
      </w:r>
    </w:p>
    <w:p w14:paraId="6B6CEC0F" w14:textId="77777777" w:rsidR="00AA6FAA" w:rsidRDefault="00AA6FAA" w:rsidP="00AA6FAA">
      <w:pPr>
        <w:pStyle w:val="NormalWeb"/>
        <w:ind w:left="480" w:hanging="480"/>
        <w:rPr>
          <w:noProof/>
          <w:lang w:val="en-GB"/>
        </w:rPr>
      </w:pPr>
      <w:r>
        <w:rPr>
          <w:noProof/>
          <w:lang w:val="en-GB"/>
        </w:rPr>
        <w:t xml:space="preserve">Halleux, C. &amp; Schneider, Y. J. (1991) Iron absorption by intestinal epithelial cells: 1. CaCo2 cells cultivated in serum-free medium, on polyethyleneterephthalate microporous membranes, as an in vitro model. </w:t>
      </w:r>
      <w:r>
        <w:rPr>
          <w:i/>
          <w:iCs/>
          <w:noProof/>
          <w:lang w:val="en-GB"/>
        </w:rPr>
        <w:t>Journal of the Tissue Culture Association</w:t>
      </w:r>
      <w:r>
        <w:rPr>
          <w:noProof/>
          <w:lang w:val="en-GB"/>
        </w:rPr>
        <w:t>, 27A,  293–302.</w:t>
      </w:r>
    </w:p>
    <w:p w14:paraId="4CA8D8E2"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Harika, R., Faber, M., Samuel, F., Kimiywe, J., Mulugeta, A. &amp; Eilander, A. (2017b) Micronutrient status and dietary intake of iron, vitamin A, iodine, folate and zinc in women of reproductive age and pregnant women in Ethiopia, Kenya, Nigeria and South Africa: a systematic review of data from 2005 to 2015. </w:t>
      </w:r>
      <w:r>
        <w:rPr>
          <w:rFonts w:cs="Times New Roman"/>
          <w:i/>
          <w:iCs/>
          <w:szCs w:val="24"/>
          <w:shd w:val="clear" w:color="auto" w:fill="FFFFFF"/>
        </w:rPr>
        <w:t>Nutrients</w:t>
      </w:r>
      <w:r>
        <w:rPr>
          <w:rFonts w:cs="Times New Roman"/>
          <w:szCs w:val="24"/>
          <w:shd w:val="clear" w:color="auto" w:fill="FFFFFF"/>
        </w:rPr>
        <w:t>, 9, 1096.</w:t>
      </w:r>
    </w:p>
    <w:p w14:paraId="0495436D"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Harika, R., Faber, M., Samuel, F., Mulugeta, A., Kimiywe, J. &amp; Eilander, A. (2017a) Are low intakes and deficiencies in iron, vitamin A, zinc, and iodine of public health concern in Ethiopian, Kenyan, Nigerian, and South African children and adolescents? </w:t>
      </w:r>
      <w:r>
        <w:rPr>
          <w:rFonts w:cs="Times New Roman"/>
          <w:i/>
          <w:iCs/>
          <w:szCs w:val="24"/>
          <w:shd w:val="clear" w:color="auto" w:fill="FFFFFF"/>
        </w:rPr>
        <w:t>Food and Nutrition Bulletin</w:t>
      </w:r>
      <w:r>
        <w:rPr>
          <w:rFonts w:cs="Times New Roman"/>
          <w:szCs w:val="24"/>
          <w:shd w:val="clear" w:color="auto" w:fill="FFFFFF"/>
        </w:rPr>
        <w:t>, 38, 405-427.</w:t>
      </w:r>
    </w:p>
    <w:p w14:paraId="6D486098"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Hemalatha, S., Gautam, S., Platel, K. &amp; Srinivasan, K. (2009) Influence of exogenous iron, calcium, protein and common salt on the bioaccessibility of zinc from cereals and legumes. </w:t>
      </w:r>
      <w:r>
        <w:rPr>
          <w:rFonts w:cs="Times New Roman"/>
          <w:i/>
          <w:iCs/>
          <w:szCs w:val="24"/>
          <w:shd w:val="clear" w:color="auto" w:fill="FFFFFF"/>
        </w:rPr>
        <w:t>Journal of Trace Elements in Medicine and Biology</w:t>
      </w:r>
      <w:r>
        <w:rPr>
          <w:rFonts w:cs="Times New Roman"/>
          <w:szCs w:val="24"/>
          <w:shd w:val="clear" w:color="auto" w:fill="FFFFFF"/>
        </w:rPr>
        <w:t>, 23, 75-83.</w:t>
      </w:r>
    </w:p>
    <w:p w14:paraId="0CAEA9AC"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Hemalatha, S., Platel, K. &amp; Srinivasan, K. (2005) Influence of food acidulants on bioaccessibility of zinc and iron from selected food grains. </w:t>
      </w:r>
      <w:r>
        <w:rPr>
          <w:rFonts w:cs="Times New Roman"/>
          <w:i/>
          <w:iCs/>
          <w:szCs w:val="24"/>
          <w:shd w:val="clear" w:color="auto" w:fill="FFFFFF"/>
        </w:rPr>
        <w:t>Molecular Nutrition &amp; Food Research</w:t>
      </w:r>
      <w:r>
        <w:rPr>
          <w:rFonts w:cs="Times New Roman"/>
          <w:szCs w:val="24"/>
          <w:shd w:val="clear" w:color="auto" w:fill="FFFFFF"/>
        </w:rPr>
        <w:t>, 49, 950-956.</w:t>
      </w:r>
    </w:p>
    <w:p w14:paraId="23AFE81A"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Hernández, Y., Lobo, M.G. &amp; González, M. (2009) Factors affecting sample extraction in the liquid chromatographic determination of organic acids in papaya and pineapple. </w:t>
      </w:r>
      <w:r>
        <w:rPr>
          <w:rFonts w:cs="Times New Roman"/>
          <w:i/>
          <w:iCs/>
          <w:szCs w:val="24"/>
          <w:shd w:val="clear" w:color="auto" w:fill="FFFFFF"/>
        </w:rPr>
        <w:t>Food Chemistry</w:t>
      </w:r>
      <w:r>
        <w:rPr>
          <w:rFonts w:cs="Times New Roman"/>
          <w:szCs w:val="24"/>
          <w:shd w:val="clear" w:color="auto" w:fill="FFFFFF"/>
        </w:rPr>
        <w:t>, 114, 734-741.</w:t>
      </w:r>
    </w:p>
    <w:p w14:paraId="2E680543" w14:textId="1E300565"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Hess, S. Y., Lönnerdal, B., Hotz, C., Rivera, J. A. &amp; Brown, K. H. (2009) Recent advances in knowledge of zinc nutrition and human health. </w:t>
      </w:r>
      <w:r>
        <w:rPr>
          <w:rFonts w:cs="Times New Roman"/>
          <w:i/>
          <w:iCs/>
          <w:szCs w:val="24"/>
          <w:shd w:val="clear" w:color="auto" w:fill="FFFFFF"/>
        </w:rPr>
        <w:t>Food and Nutrition Bulletin</w:t>
      </w:r>
      <w:r>
        <w:rPr>
          <w:rFonts w:cs="Times New Roman"/>
          <w:szCs w:val="24"/>
          <w:shd w:val="clear" w:color="auto" w:fill="FFFFFF"/>
        </w:rPr>
        <w:t>, 30, S5-S11.</w:t>
      </w:r>
    </w:p>
    <w:p w14:paraId="334BC2D1" w14:textId="3E05462D" w:rsidR="0082037E" w:rsidRPr="00FF422B" w:rsidRDefault="0082037E" w:rsidP="00AA6FAA">
      <w:pPr>
        <w:widowControl w:val="0"/>
        <w:autoSpaceDE w:val="0"/>
        <w:autoSpaceDN w:val="0"/>
        <w:adjustRightInd w:val="0"/>
        <w:spacing w:line="240" w:lineRule="auto"/>
        <w:ind w:left="480" w:hanging="480"/>
        <w:rPr>
          <w:rFonts w:cs="Times New Roman"/>
          <w:szCs w:val="24"/>
          <w:shd w:val="clear" w:color="auto" w:fill="FFFFFF"/>
        </w:rPr>
      </w:pPr>
      <w:r w:rsidRPr="00FF422B">
        <w:rPr>
          <w:rFonts w:cs="Times New Roman"/>
          <w:szCs w:val="24"/>
          <w:shd w:val="clear" w:color="auto" w:fill="FFFFFF"/>
        </w:rPr>
        <w:t>Horn, L. N. &amp; Shimelis, H. (2020) Production constraints and breeding approaches for cowpea improvement for drought prone agro-ecologies in Sub-Saharan Africa. </w:t>
      </w:r>
      <w:r w:rsidRPr="00FF422B">
        <w:rPr>
          <w:rFonts w:cs="Times New Roman"/>
          <w:i/>
          <w:iCs/>
          <w:szCs w:val="24"/>
          <w:shd w:val="clear" w:color="auto" w:fill="FFFFFF"/>
        </w:rPr>
        <w:t>Annals of Agricultural Sciences</w:t>
      </w:r>
      <w:r w:rsidRPr="00FF422B">
        <w:rPr>
          <w:rFonts w:cs="Times New Roman"/>
          <w:szCs w:val="24"/>
          <w:shd w:val="clear" w:color="auto" w:fill="FFFFFF"/>
        </w:rPr>
        <w:t>, 65, 83-91.</w:t>
      </w:r>
    </w:p>
    <w:p w14:paraId="679EB0AE"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 xml:space="preserve">Hotz, C. &amp; Brown, K. H. (2004) International zinc nutrition consultative group (IZiNCG): Assessment of the risk of zinc deficiency in populations and options for its control. </w:t>
      </w:r>
      <w:r>
        <w:rPr>
          <w:rFonts w:cs="Times New Roman"/>
          <w:i/>
          <w:iCs/>
          <w:szCs w:val="24"/>
          <w:shd w:val="clear" w:color="auto" w:fill="FFFFFF"/>
        </w:rPr>
        <w:t>Food and Nutrition Bulletin,</w:t>
      </w:r>
      <w:r>
        <w:rPr>
          <w:rFonts w:cs="Times New Roman"/>
          <w:szCs w:val="24"/>
          <w:shd w:val="clear" w:color="auto" w:fill="FFFFFF"/>
        </w:rPr>
        <w:t xml:space="preserve"> 25, S91-S204.</w:t>
      </w:r>
    </w:p>
    <w:p w14:paraId="4DECFF24" w14:textId="77777777" w:rsidR="00AA6FAA" w:rsidRDefault="00AA6FAA" w:rsidP="00AA6FAA">
      <w:pPr>
        <w:widowControl w:val="0"/>
        <w:autoSpaceDE w:val="0"/>
        <w:autoSpaceDN w:val="0"/>
        <w:adjustRightInd w:val="0"/>
        <w:spacing w:line="240" w:lineRule="auto"/>
        <w:ind w:left="480" w:hanging="480"/>
        <w:rPr>
          <w:rFonts w:cs="Times New Roman"/>
          <w:szCs w:val="24"/>
          <w:lang w:val="en-US"/>
        </w:rPr>
      </w:pPr>
      <w:r>
        <w:rPr>
          <w:rFonts w:cs="Times New Roman"/>
          <w:szCs w:val="24"/>
          <w:shd w:val="clear" w:color="auto" w:fill="FFFFFF"/>
        </w:rPr>
        <w:t>Hotz, C. &amp; Gibson, R. S. (2007) Traditional food-processing and preparation practices to enhance the bioavailability of micronutrients in plant-based diets. </w:t>
      </w:r>
      <w:r>
        <w:rPr>
          <w:rFonts w:cs="Times New Roman"/>
          <w:i/>
          <w:iCs/>
          <w:szCs w:val="24"/>
          <w:shd w:val="clear" w:color="auto" w:fill="FFFFFF"/>
        </w:rPr>
        <w:t>The Journal of Nutrition</w:t>
      </w:r>
      <w:r>
        <w:rPr>
          <w:rFonts w:cs="Times New Roman"/>
          <w:szCs w:val="24"/>
          <w:shd w:val="clear" w:color="auto" w:fill="FFFFFF"/>
        </w:rPr>
        <w:t>, 137, 1097-1100.</w:t>
      </w:r>
    </w:p>
    <w:p w14:paraId="1804F28E"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Hotz, C. &amp; Gibson, R.S. (2001) Assessment of home-based processing methods to reduce the phytate content and phytate/zinc molar ratio of white maize (</w:t>
      </w:r>
      <w:r>
        <w:rPr>
          <w:rFonts w:cs="Times New Roman"/>
          <w:i/>
          <w:iCs/>
          <w:szCs w:val="24"/>
          <w:shd w:val="clear" w:color="auto" w:fill="FFFFFF"/>
        </w:rPr>
        <w:t>Zea mays</w:t>
      </w:r>
      <w:r>
        <w:rPr>
          <w:rFonts w:cs="Times New Roman"/>
          <w:szCs w:val="24"/>
          <w:shd w:val="clear" w:color="auto" w:fill="FFFFFF"/>
        </w:rPr>
        <w:t>). </w:t>
      </w:r>
      <w:r>
        <w:rPr>
          <w:rFonts w:cs="Times New Roman"/>
          <w:i/>
          <w:iCs/>
          <w:szCs w:val="24"/>
          <w:shd w:val="clear" w:color="auto" w:fill="FFFFFF"/>
        </w:rPr>
        <w:t>Journal of Agricultural and Food Chemistry</w:t>
      </w:r>
      <w:r>
        <w:rPr>
          <w:rFonts w:cs="Times New Roman"/>
          <w:szCs w:val="24"/>
          <w:shd w:val="clear" w:color="auto" w:fill="FFFFFF"/>
        </w:rPr>
        <w:t>, 49, 692-698.</w:t>
      </w:r>
    </w:p>
    <w:p w14:paraId="10D9E956" w14:textId="3B624EA3"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Hotz, C. (2005) Evidence for the usefulness of in vitro dialyzability, Caco-2 cell models, animal models, and algorithms to predict zinc bioavailability in humans. </w:t>
      </w:r>
      <w:r>
        <w:rPr>
          <w:rFonts w:cs="Times New Roman"/>
          <w:i/>
          <w:iCs/>
          <w:szCs w:val="24"/>
          <w:shd w:val="clear" w:color="auto" w:fill="FFFFFF"/>
        </w:rPr>
        <w:t>International Journal for Vitamin and Nutrition Research</w:t>
      </w:r>
      <w:r>
        <w:rPr>
          <w:rFonts w:cs="Times New Roman"/>
          <w:szCs w:val="24"/>
          <w:shd w:val="clear" w:color="auto" w:fill="FFFFFF"/>
        </w:rPr>
        <w:t>, 75, 423-435.</w:t>
      </w:r>
    </w:p>
    <w:p w14:paraId="456F96FC" w14:textId="6E93891E" w:rsidR="00345B7E" w:rsidRPr="00FF422B" w:rsidRDefault="00345B7E" w:rsidP="00AA6FAA">
      <w:pPr>
        <w:widowControl w:val="0"/>
        <w:autoSpaceDE w:val="0"/>
        <w:autoSpaceDN w:val="0"/>
        <w:adjustRightInd w:val="0"/>
        <w:spacing w:line="240" w:lineRule="auto"/>
        <w:ind w:left="480" w:hanging="480"/>
        <w:rPr>
          <w:rFonts w:cs="Times New Roman"/>
          <w:szCs w:val="24"/>
          <w:shd w:val="clear" w:color="auto" w:fill="FFFFFF"/>
        </w:rPr>
      </w:pPr>
      <w:r w:rsidRPr="00FF422B">
        <w:rPr>
          <w:rFonts w:cs="Times New Roman"/>
          <w:szCs w:val="24"/>
          <w:shd w:val="clear" w:color="auto" w:fill="FFFFFF"/>
        </w:rPr>
        <w:t>Huey, S.</w:t>
      </w:r>
      <w:r w:rsidR="00FF422B" w:rsidRPr="00FF422B">
        <w:rPr>
          <w:rFonts w:cs="Times New Roman"/>
          <w:szCs w:val="24"/>
          <w:shd w:val="clear" w:color="auto" w:fill="FFFFFF"/>
        </w:rPr>
        <w:t xml:space="preserve"> </w:t>
      </w:r>
      <w:r w:rsidRPr="00FF422B">
        <w:rPr>
          <w:rFonts w:cs="Times New Roman"/>
          <w:szCs w:val="24"/>
          <w:shd w:val="clear" w:color="auto" w:fill="FFFFFF"/>
        </w:rPr>
        <w:t>L., Venkatramanan, S., Udipi, S.</w:t>
      </w:r>
      <w:r w:rsidR="00FF422B" w:rsidRPr="00FF422B">
        <w:rPr>
          <w:rFonts w:cs="Times New Roman"/>
          <w:szCs w:val="24"/>
          <w:shd w:val="clear" w:color="auto" w:fill="FFFFFF"/>
        </w:rPr>
        <w:t xml:space="preserve"> </w:t>
      </w:r>
      <w:r w:rsidRPr="00FF422B">
        <w:rPr>
          <w:rFonts w:cs="Times New Roman"/>
          <w:szCs w:val="24"/>
          <w:shd w:val="clear" w:color="auto" w:fill="FFFFFF"/>
        </w:rPr>
        <w:t>A., Finkelstein, J.</w:t>
      </w:r>
      <w:r w:rsidR="00FF422B" w:rsidRPr="00FF422B">
        <w:rPr>
          <w:rFonts w:cs="Times New Roman"/>
          <w:szCs w:val="24"/>
          <w:shd w:val="clear" w:color="auto" w:fill="FFFFFF"/>
        </w:rPr>
        <w:t xml:space="preserve"> </w:t>
      </w:r>
      <w:r w:rsidRPr="00FF422B">
        <w:rPr>
          <w:rFonts w:cs="Times New Roman"/>
          <w:szCs w:val="24"/>
          <w:shd w:val="clear" w:color="auto" w:fill="FFFFFF"/>
        </w:rPr>
        <w:t>L., Ghugre, P., Haas, J.</w:t>
      </w:r>
      <w:r w:rsidR="00FF422B">
        <w:rPr>
          <w:rFonts w:cs="Times New Roman"/>
          <w:szCs w:val="24"/>
          <w:shd w:val="clear" w:color="auto" w:fill="FFFFFF"/>
        </w:rPr>
        <w:t xml:space="preserve"> </w:t>
      </w:r>
      <w:r w:rsidRPr="00FF422B">
        <w:rPr>
          <w:rFonts w:cs="Times New Roman"/>
          <w:szCs w:val="24"/>
          <w:shd w:val="clear" w:color="auto" w:fill="FFFFFF"/>
        </w:rPr>
        <w:t>D., Thakker, V., Thorat, A., Salvi, A., Kurpad, A.</w:t>
      </w:r>
      <w:r w:rsidR="00FF422B" w:rsidRPr="00FF422B">
        <w:rPr>
          <w:rFonts w:cs="Times New Roman"/>
          <w:szCs w:val="24"/>
          <w:shd w:val="clear" w:color="auto" w:fill="FFFFFF"/>
        </w:rPr>
        <w:t xml:space="preserve"> </w:t>
      </w:r>
      <w:r w:rsidRPr="00FF422B">
        <w:rPr>
          <w:rFonts w:cs="Times New Roman"/>
          <w:szCs w:val="24"/>
          <w:shd w:val="clear" w:color="auto" w:fill="FFFFFF"/>
        </w:rPr>
        <w:t xml:space="preserve">V. </w:t>
      </w:r>
      <w:r w:rsidR="00FF422B" w:rsidRPr="00FF422B">
        <w:rPr>
          <w:rFonts w:cs="Times New Roman"/>
          <w:szCs w:val="24"/>
          <w:shd w:val="clear" w:color="auto" w:fill="FFFFFF"/>
        </w:rPr>
        <w:t>&amp;</w:t>
      </w:r>
      <w:r w:rsidRPr="00FF422B">
        <w:rPr>
          <w:rFonts w:cs="Times New Roman"/>
          <w:szCs w:val="24"/>
          <w:shd w:val="clear" w:color="auto" w:fill="FFFFFF"/>
        </w:rPr>
        <w:t xml:space="preserve"> Mehta, S. </w:t>
      </w:r>
      <w:r w:rsidR="00FF422B" w:rsidRPr="00FF422B">
        <w:rPr>
          <w:rFonts w:cs="Times New Roman"/>
          <w:szCs w:val="24"/>
          <w:shd w:val="clear" w:color="auto" w:fill="FFFFFF"/>
        </w:rPr>
        <w:t>(</w:t>
      </w:r>
      <w:r w:rsidRPr="00FF422B">
        <w:rPr>
          <w:rFonts w:cs="Times New Roman"/>
          <w:szCs w:val="24"/>
          <w:shd w:val="clear" w:color="auto" w:fill="FFFFFF"/>
        </w:rPr>
        <w:t>2017</w:t>
      </w:r>
      <w:r w:rsidR="00FF422B" w:rsidRPr="00FF422B">
        <w:rPr>
          <w:rFonts w:cs="Times New Roman"/>
          <w:szCs w:val="24"/>
          <w:shd w:val="clear" w:color="auto" w:fill="FFFFFF"/>
        </w:rPr>
        <w:t>)</w:t>
      </w:r>
      <w:r w:rsidRPr="00FF422B">
        <w:rPr>
          <w:rFonts w:cs="Times New Roman"/>
          <w:szCs w:val="24"/>
          <w:shd w:val="clear" w:color="auto" w:fill="FFFFFF"/>
        </w:rPr>
        <w:t xml:space="preserve"> Acceptability of iron-and zinc-biofortified pearl millet (ICTP-8203)-based complementary foods among children in an urban slum of Mumbai, India. </w:t>
      </w:r>
      <w:r w:rsidRPr="00FF422B">
        <w:rPr>
          <w:rFonts w:cs="Times New Roman"/>
          <w:i/>
          <w:iCs/>
          <w:szCs w:val="24"/>
          <w:shd w:val="clear" w:color="auto" w:fill="FFFFFF"/>
        </w:rPr>
        <w:t>Frontiers in Nutrition</w:t>
      </w:r>
      <w:r w:rsidRPr="00FF422B">
        <w:rPr>
          <w:rFonts w:cs="Times New Roman"/>
          <w:szCs w:val="24"/>
          <w:shd w:val="clear" w:color="auto" w:fill="FFFFFF"/>
        </w:rPr>
        <w:t>, 4. https://doi.org/10.3389/fnut.2017.00039</w:t>
      </w:r>
    </w:p>
    <w:p w14:paraId="12D9411E"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lang w:val="en-US"/>
        </w:rPr>
        <w:t xml:space="preserve">Hunt, J. R. (2003). Bioavailability of iron, zinc, and other trace minerals from vegetarian diets. </w:t>
      </w:r>
      <w:r>
        <w:rPr>
          <w:rFonts w:cs="Times New Roman"/>
          <w:i/>
          <w:szCs w:val="24"/>
          <w:lang w:val="en-US"/>
        </w:rPr>
        <w:t xml:space="preserve">American Journal of Clinical Nutrition </w:t>
      </w:r>
      <w:r>
        <w:rPr>
          <w:rFonts w:cs="Times New Roman"/>
          <w:iCs/>
          <w:szCs w:val="24"/>
          <w:lang w:val="en-US"/>
        </w:rPr>
        <w:t>78,</w:t>
      </w:r>
      <w:r>
        <w:rPr>
          <w:rFonts w:cs="Times New Roman"/>
          <w:szCs w:val="24"/>
          <w:lang w:val="en-US"/>
        </w:rPr>
        <w:t xml:space="preserve"> 633S–639S.</w:t>
      </w:r>
    </w:p>
    <w:p w14:paraId="33A3CA35"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eastAsia="AdvGulliv-R" w:cs="Times New Roman"/>
          <w:szCs w:val="24"/>
          <w:lang w:val="en-US"/>
        </w:rPr>
        <w:t xml:space="preserve">Hunt, J. R. (2005). Dietary and physiological factors that affect the absorption and bioavailability of iron. </w:t>
      </w:r>
      <w:r>
        <w:rPr>
          <w:rFonts w:eastAsia="AdvGulliv-R" w:cs="Times New Roman"/>
          <w:i/>
          <w:szCs w:val="24"/>
          <w:lang w:val="en-US"/>
        </w:rPr>
        <w:t xml:space="preserve">International Journal of Vitamins and Nutrition Research, </w:t>
      </w:r>
      <w:r>
        <w:rPr>
          <w:rFonts w:eastAsia="AdvGulliv-R" w:cs="Times New Roman"/>
          <w:iCs/>
          <w:szCs w:val="24"/>
          <w:lang w:val="en-US"/>
        </w:rPr>
        <w:t>75,</w:t>
      </w:r>
      <w:r>
        <w:rPr>
          <w:rFonts w:eastAsia="AdvGulliv-R" w:cs="Times New Roman"/>
          <w:szCs w:val="24"/>
          <w:lang w:val="en-US"/>
        </w:rPr>
        <w:t xml:space="preserve"> 375-384.</w:t>
      </w:r>
    </w:p>
    <w:p w14:paraId="2D911079"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bookmarkStart w:id="176" w:name="_Hlk55678058"/>
      <w:r>
        <w:rPr>
          <w:rFonts w:cs="Times New Roman"/>
          <w:szCs w:val="24"/>
          <w:shd w:val="clear" w:color="auto" w:fill="FFFFFF"/>
        </w:rPr>
        <w:t>Hurrell, R. F. &amp; Egli</w:t>
      </w:r>
      <w:bookmarkEnd w:id="176"/>
      <w:r>
        <w:rPr>
          <w:rFonts w:cs="Times New Roman"/>
          <w:szCs w:val="24"/>
          <w:shd w:val="clear" w:color="auto" w:fill="FFFFFF"/>
        </w:rPr>
        <w:t>, I. (2010) Iron bioavailability and dietary reference values. </w:t>
      </w:r>
      <w:r>
        <w:rPr>
          <w:rFonts w:cs="Times New Roman"/>
          <w:i/>
          <w:iCs/>
          <w:szCs w:val="24"/>
          <w:shd w:val="clear" w:color="auto" w:fill="FFFFFF"/>
        </w:rPr>
        <w:t>The American Journal of Clinical Nutrition</w:t>
      </w:r>
      <w:r>
        <w:rPr>
          <w:rFonts w:cs="Times New Roman"/>
          <w:szCs w:val="24"/>
          <w:shd w:val="clear" w:color="auto" w:fill="FFFFFF"/>
        </w:rPr>
        <w:t>, 91, 1461S-1467S.</w:t>
      </w:r>
    </w:p>
    <w:p w14:paraId="3131B4CB"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eastAsia="AdvGulliv-R" w:cs="Times New Roman"/>
          <w:szCs w:val="24"/>
          <w:lang w:val="en-US"/>
        </w:rPr>
        <w:t xml:space="preserve">Hurrell, R. F. (2003). Influence of vegetable protein sources on trace element and mineral bioavailability. </w:t>
      </w:r>
      <w:r>
        <w:rPr>
          <w:rFonts w:eastAsia="AdvGulliv-I" w:cs="Times New Roman"/>
          <w:i/>
          <w:szCs w:val="24"/>
          <w:lang w:val="en-US"/>
        </w:rPr>
        <w:t xml:space="preserve">Journal of Nutrition, </w:t>
      </w:r>
      <w:r>
        <w:rPr>
          <w:rFonts w:eastAsia="AdvGulliv-I" w:cs="Times New Roman"/>
          <w:iCs/>
          <w:szCs w:val="24"/>
          <w:lang w:val="en-US"/>
        </w:rPr>
        <w:t>133</w:t>
      </w:r>
      <w:r>
        <w:rPr>
          <w:rFonts w:eastAsia="AdvGulliv-R" w:cs="Times New Roman"/>
          <w:iCs/>
          <w:szCs w:val="24"/>
          <w:lang w:val="en-US"/>
        </w:rPr>
        <w:t>,</w:t>
      </w:r>
      <w:r>
        <w:rPr>
          <w:rFonts w:eastAsia="AdvGulliv-R" w:cs="Times New Roman"/>
          <w:szCs w:val="24"/>
          <w:lang w:val="en-US"/>
        </w:rPr>
        <w:t xml:space="preserve"> 2973S–2977S.</w:t>
      </w:r>
    </w:p>
    <w:p w14:paraId="5AF1AA7C"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Hurrell, R. F., Reddy, M. &amp; Cook, J.D. (1999) Inhibition of non-haem iron absorption in man by polyphenolic-containing beverages. </w:t>
      </w:r>
      <w:r>
        <w:rPr>
          <w:rFonts w:cs="Times New Roman"/>
          <w:i/>
          <w:iCs/>
          <w:szCs w:val="24"/>
          <w:shd w:val="clear" w:color="auto" w:fill="FFFFFF"/>
        </w:rPr>
        <w:t>British Journal of Nutrition</w:t>
      </w:r>
      <w:r>
        <w:rPr>
          <w:rFonts w:cs="Times New Roman"/>
          <w:szCs w:val="24"/>
          <w:shd w:val="clear" w:color="auto" w:fill="FFFFFF"/>
        </w:rPr>
        <w:t xml:space="preserve">, 81, 289-295. </w:t>
      </w:r>
    </w:p>
    <w:p w14:paraId="04262F9E"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Hurrell, R. F., Reddy, M. B., Juillerat, M-A. &amp; Cook, J. D. (2003) Degradation of phytic acid in cereal porridges improves iron absorption in human subjects. </w:t>
      </w:r>
      <w:r>
        <w:rPr>
          <w:rFonts w:cs="Times New Roman"/>
          <w:i/>
          <w:szCs w:val="24"/>
        </w:rPr>
        <w:t>The American Journal of Clinical Nutrition,</w:t>
      </w:r>
      <w:r>
        <w:rPr>
          <w:rFonts w:cs="Times New Roman"/>
          <w:szCs w:val="24"/>
        </w:rPr>
        <w:t xml:space="preserve"> 77, 1213-1219. </w:t>
      </w:r>
    </w:p>
    <w:p w14:paraId="47FD6856"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shd w:val="clear" w:color="auto" w:fill="FFFFFF"/>
        </w:rPr>
        <w:t>Icard-Vernière, C., Olive, F., Picq, C. &amp; Mouquet-Rivier, C. (2015) Contribution of leafy vegetable sauces to dietary iron, zinc, vitamin A and energy requirements in children and their mothers in Burkina faso. </w:t>
      </w:r>
      <w:r>
        <w:rPr>
          <w:rFonts w:cs="Times New Roman"/>
          <w:i/>
          <w:iCs/>
          <w:szCs w:val="24"/>
          <w:shd w:val="clear" w:color="auto" w:fill="FFFFFF"/>
        </w:rPr>
        <w:t>Plant Foods for Human Nutrition</w:t>
      </w:r>
      <w:r>
        <w:rPr>
          <w:rFonts w:cs="Times New Roman"/>
          <w:szCs w:val="24"/>
          <w:shd w:val="clear" w:color="auto" w:fill="FFFFFF"/>
        </w:rPr>
        <w:t>, 70, 63-70.</w:t>
      </w:r>
    </w:p>
    <w:p w14:paraId="5F987DF6"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Imdad, A. B. &amp; Bhutta, Z. A. (2012) Routine iron/folate supplementation during pregnancy: effect on maternal anaemia and birth outcomes. </w:t>
      </w:r>
      <w:r>
        <w:rPr>
          <w:rFonts w:cs="Times New Roman"/>
          <w:i/>
          <w:szCs w:val="24"/>
        </w:rPr>
        <w:t>Paediatric and Perinatal Epidemiology,</w:t>
      </w:r>
      <w:r>
        <w:rPr>
          <w:rFonts w:cs="Times New Roman"/>
          <w:szCs w:val="24"/>
        </w:rPr>
        <w:t xml:space="preserve"> 26, 168-177.</w:t>
      </w:r>
    </w:p>
    <w:p w14:paraId="52E67D02" w14:textId="2D287C35" w:rsidR="00EB3D7D" w:rsidRDefault="00AA6FAA" w:rsidP="00AA6FAA">
      <w:pPr>
        <w:widowControl w:val="0"/>
        <w:autoSpaceDE w:val="0"/>
        <w:autoSpaceDN w:val="0"/>
        <w:adjustRightInd w:val="0"/>
        <w:spacing w:line="240" w:lineRule="auto"/>
        <w:ind w:left="480" w:hanging="480"/>
        <w:rPr>
          <w:rStyle w:val="mixed-citation"/>
          <w:rFonts w:cs="Times New Roman"/>
          <w:szCs w:val="24"/>
          <w:bdr w:val="none" w:sz="0" w:space="0" w:color="auto" w:frame="1"/>
        </w:rPr>
      </w:pPr>
      <w:r>
        <w:rPr>
          <w:rFonts w:cs="Times New Roman"/>
          <w:szCs w:val="24"/>
          <w:shd w:val="clear" w:color="auto" w:fill="FFFFFF"/>
        </w:rPr>
        <w:t>Institute of Medicine (IOM) (1997). Dietary References Intakes for calcium, phosphorus, magnesium, vitamin D, and fluoride. Washington DC</w:t>
      </w:r>
      <w:r w:rsidR="00FD618B">
        <w:rPr>
          <w:rFonts w:cs="Times New Roman"/>
          <w:szCs w:val="24"/>
          <w:shd w:val="clear" w:color="auto" w:fill="FFFFFF"/>
        </w:rPr>
        <w:t>, USA</w:t>
      </w:r>
      <w:r>
        <w:rPr>
          <w:rFonts w:cs="Times New Roman"/>
          <w:szCs w:val="24"/>
          <w:shd w:val="clear" w:color="auto" w:fill="FFFFFF"/>
        </w:rPr>
        <w:t xml:space="preserve">: National Academies Press. </w:t>
      </w:r>
      <w:r>
        <w:rPr>
          <w:rStyle w:val="mixed-citation"/>
          <w:rFonts w:cs="Times New Roman"/>
          <w:szCs w:val="24"/>
          <w:bdr w:val="none" w:sz="0" w:space="0" w:color="auto" w:frame="1"/>
        </w:rPr>
        <w:t> </w:t>
      </w:r>
    </w:p>
    <w:p w14:paraId="78253495" w14:textId="106C0696" w:rsidR="00AA6FAA" w:rsidRDefault="004A65DA" w:rsidP="00AA6FAA">
      <w:pPr>
        <w:widowControl w:val="0"/>
        <w:autoSpaceDE w:val="0"/>
        <w:autoSpaceDN w:val="0"/>
        <w:adjustRightInd w:val="0"/>
        <w:spacing w:line="240" w:lineRule="auto"/>
        <w:ind w:left="480" w:hanging="480"/>
        <w:rPr>
          <w:rFonts w:cs="Times New Roman"/>
          <w:szCs w:val="24"/>
        </w:rPr>
      </w:pPr>
      <w:r>
        <w:rPr>
          <w:rStyle w:val="comment"/>
          <w:rFonts w:cs="Times New Roman"/>
          <w:szCs w:val="24"/>
          <w:bdr w:val="none" w:sz="0" w:space="0" w:color="auto" w:frame="1"/>
        </w:rPr>
        <w:t>International Seed Testing Association</w:t>
      </w:r>
      <w:r w:rsidDel="004A65DA">
        <w:rPr>
          <w:rStyle w:val="comment"/>
          <w:rFonts w:cs="Times New Roman"/>
          <w:szCs w:val="24"/>
          <w:bdr w:val="none" w:sz="0" w:space="0" w:color="auto" w:frame="1"/>
        </w:rPr>
        <w:t xml:space="preserve"> </w:t>
      </w:r>
      <w:r w:rsidR="00EB3D7D">
        <w:rPr>
          <w:rStyle w:val="comment"/>
          <w:rFonts w:cs="Times New Roman"/>
          <w:szCs w:val="24"/>
          <w:bdr w:val="none" w:sz="0" w:space="0" w:color="auto" w:frame="1"/>
        </w:rPr>
        <w:t>(ISTA) (</w:t>
      </w:r>
      <w:r w:rsidR="00AA6FAA">
        <w:rPr>
          <w:rStyle w:val="comment"/>
          <w:rFonts w:cs="Times New Roman"/>
          <w:szCs w:val="24"/>
          <w:bdr w:val="none" w:sz="0" w:space="0" w:color="auto" w:frame="1"/>
        </w:rPr>
        <w:t>2018</w:t>
      </w:r>
      <w:r w:rsidR="00EB3D7D">
        <w:rPr>
          <w:rStyle w:val="comment"/>
          <w:rFonts w:cs="Times New Roman"/>
          <w:szCs w:val="24"/>
          <w:bdr w:val="none" w:sz="0" w:space="0" w:color="auto" w:frame="1"/>
        </w:rPr>
        <w:t>)</w:t>
      </w:r>
      <w:r w:rsidR="00AA6FAA">
        <w:rPr>
          <w:rStyle w:val="comment"/>
          <w:rFonts w:cs="Times New Roman"/>
          <w:szCs w:val="24"/>
          <w:bdr w:val="none" w:sz="0" w:space="0" w:color="auto" w:frame="1"/>
        </w:rPr>
        <w:t xml:space="preserve">. </w:t>
      </w:r>
      <w:r>
        <w:rPr>
          <w:rStyle w:val="comment"/>
          <w:rFonts w:cs="Times New Roman"/>
          <w:szCs w:val="24"/>
          <w:bdr w:val="none" w:sz="0" w:space="0" w:color="auto" w:frame="1"/>
        </w:rPr>
        <w:t>International rules for seed testing.</w:t>
      </w:r>
      <w:r w:rsidR="00AA6FAA">
        <w:rPr>
          <w:rStyle w:val="comment"/>
          <w:rFonts w:cs="Times New Roman"/>
          <w:szCs w:val="24"/>
          <w:bdr w:val="none" w:sz="0" w:space="0" w:color="auto" w:frame="1"/>
        </w:rPr>
        <w:t xml:space="preserve"> Bassersdorf, Switzerland</w:t>
      </w:r>
      <w:r w:rsidR="00C53ED8">
        <w:rPr>
          <w:rStyle w:val="mixed-citation"/>
          <w:rFonts w:cs="Times New Roman"/>
          <w:szCs w:val="24"/>
          <w:bdr w:val="none" w:sz="0" w:space="0" w:color="auto" w:frame="1"/>
        </w:rPr>
        <w:t>:</w:t>
      </w:r>
      <w:r w:rsidR="00FD618B">
        <w:rPr>
          <w:rStyle w:val="mixed-citation"/>
          <w:rFonts w:cs="Times New Roman"/>
          <w:szCs w:val="24"/>
          <w:bdr w:val="none" w:sz="0" w:space="0" w:color="auto" w:frame="1"/>
        </w:rPr>
        <w:t xml:space="preserve"> </w:t>
      </w:r>
      <w:r w:rsidR="00C53ED8">
        <w:rPr>
          <w:rStyle w:val="mixed-citation"/>
          <w:rFonts w:cs="Times New Roman"/>
          <w:szCs w:val="24"/>
          <w:bdr w:val="none" w:sz="0" w:space="0" w:color="auto" w:frame="1"/>
        </w:rPr>
        <w:t>ISTA.</w:t>
      </w:r>
    </w:p>
    <w:p w14:paraId="465F3FC0"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Iyengar, V., Pullakhandam, R. &amp; Nair, K. M. (2010). Dietary ligands as determinants of iron-zinc interactions at the absorptive enterocyte. </w:t>
      </w:r>
      <w:r>
        <w:rPr>
          <w:rFonts w:cs="Times New Roman"/>
          <w:i/>
          <w:szCs w:val="24"/>
        </w:rPr>
        <w:t xml:space="preserve">Journal of Food Science, </w:t>
      </w:r>
      <w:r>
        <w:rPr>
          <w:rFonts w:cs="Times New Roman"/>
          <w:iCs/>
          <w:szCs w:val="24"/>
        </w:rPr>
        <w:t>75,</w:t>
      </w:r>
      <w:r>
        <w:rPr>
          <w:rFonts w:cs="Times New Roman"/>
          <w:szCs w:val="24"/>
        </w:rPr>
        <w:t xml:space="preserve"> 260-264.</w:t>
      </w:r>
    </w:p>
    <w:p w14:paraId="7C6C6618" w14:textId="413F098C" w:rsidR="002838FA" w:rsidRPr="002838F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Jaeggi, T., Kortman, G. A.,Moretti, D., Chassard, C., Holding, P., Dostal, A., … &amp; Zimmermann, M. B. (2015) Iron fortification adversely affects the gut microbiome, increases pathogen abundance and induces intestinal inflammation in Kenyan infants. </w:t>
      </w:r>
      <w:r>
        <w:rPr>
          <w:rFonts w:cs="Times New Roman"/>
          <w:i/>
          <w:szCs w:val="24"/>
        </w:rPr>
        <w:t xml:space="preserve">Gut, </w:t>
      </w:r>
      <w:r>
        <w:rPr>
          <w:rFonts w:cs="Times New Roman"/>
          <w:iCs/>
          <w:szCs w:val="24"/>
        </w:rPr>
        <w:t>64,</w:t>
      </w:r>
      <w:r>
        <w:rPr>
          <w:rFonts w:cs="Times New Roman"/>
          <w:szCs w:val="24"/>
        </w:rPr>
        <w:t xml:space="preserve"> 731-742.</w:t>
      </w:r>
    </w:p>
    <w:p w14:paraId="38DA3B88"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Jonker, F. A. M., te Poel, E, Bates, I. and van Hensbroek, M. B. (2017) Anaemia, iron deficiency and susceptibility to infection in children in sub-Saharan Africa, guideline dilemmas. </w:t>
      </w:r>
      <w:r>
        <w:rPr>
          <w:rFonts w:cs="Times New Roman"/>
          <w:i/>
          <w:szCs w:val="24"/>
        </w:rPr>
        <w:t>British Journal of Haematology,</w:t>
      </w:r>
      <w:r>
        <w:rPr>
          <w:rFonts w:cs="Times New Roman"/>
          <w:iCs/>
          <w:szCs w:val="24"/>
        </w:rPr>
        <w:t>177,</w:t>
      </w:r>
      <w:r>
        <w:rPr>
          <w:rFonts w:cs="Times New Roman"/>
          <w:szCs w:val="24"/>
        </w:rPr>
        <w:t xml:space="preserve"> 878-883. </w:t>
      </w:r>
    </w:p>
    <w:p w14:paraId="272A951E"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noProof/>
          <w:szCs w:val="24"/>
        </w:rPr>
        <w:t xml:space="preserve">Joshi, P. &amp; Mehta, D. (2010) Effect of dehydration on the nutritive value of drumstick leaves. </w:t>
      </w:r>
      <w:r>
        <w:rPr>
          <w:rFonts w:cs="Times New Roman"/>
          <w:i/>
          <w:iCs/>
          <w:noProof/>
          <w:szCs w:val="24"/>
        </w:rPr>
        <w:t>Journal of Metabolomics and Systems Biology,</w:t>
      </w:r>
      <w:r>
        <w:rPr>
          <w:rFonts w:cs="Times New Roman"/>
          <w:noProof/>
          <w:szCs w:val="24"/>
        </w:rPr>
        <w:t xml:space="preserve"> l 1, 5-9.</w:t>
      </w:r>
    </w:p>
    <w:p w14:paraId="27A76908"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shd w:val="clear" w:color="auto" w:fill="FFFFFF"/>
        </w:rPr>
        <w:t>Joy, E.  J., Ander, E. L., Young, S. D., Black, C. R., Watts, M. J., Chilimba, A. D., … &amp; Fairweather-Tait, S.J. (2014). Dietary mineral supplies in Africa. </w:t>
      </w:r>
      <w:r>
        <w:rPr>
          <w:rFonts w:cs="Times New Roman"/>
          <w:i/>
          <w:iCs/>
          <w:szCs w:val="24"/>
          <w:shd w:val="clear" w:color="auto" w:fill="FFFFFF"/>
        </w:rPr>
        <w:t>Physiologia Plantarum</w:t>
      </w:r>
      <w:r>
        <w:rPr>
          <w:rFonts w:cs="Times New Roman"/>
          <w:szCs w:val="24"/>
          <w:shd w:val="clear" w:color="auto" w:fill="FFFFFF"/>
        </w:rPr>
        <w:t>, 151, 208-229.</w:t>
      </w:r>
    </w:p>
    <w:p w14:paraId="5C75162C"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Jukanti, A. K., Gowda, C. L. L., Rai, K. N., Manga, V. K. &amp; Bhatt, R. K. (2016) Crops that feed the world 11. Pearl millet (</w:t>
      </w:r>
      <w:r>
        <w:rPr>
          <w:rFonts w:cs="Times New Roman"/>
          <w:i/>
          <w:iCs/>
          <w:szCs w:val="24"/>
        </w:rPr>
        <w:t>Pennisetum glaucum</w:t>
      </w:r>
      <w:r>
        <w:rPr>
          <w:rFonts w:cs="Times New Roman"/>
          <w:szCs w:val="24"/>
        </w:rPr>
        <w:t xml:space="preserve"> L.): an important source of food security, nutrition and health in the arid and semi-arid tropics. </w:t>
      </w:r>
      <w:r>
        <w:rPr>
          <w:rFonts w:cs="Times New Roman"/>
          <w:i/>
          <w:iCs/>
          <w:szCs w:val="24"/>
        </w:rPr>
        <w:t>Food Security</w:t>
      </w:r>
      <w:r>
        <w:rPr>
          <w:rFonts w:ascii="Arial" w:hAnsi="Arial"/>
          <w:i/>
          <w:iCs/>
          <w:color w:val="222222"/>
          <w:sz w:val="20"/>
          <w:szCs w:val="20"/>
          <w:shd w:val="clear" w:color="auto" w:fill="FFFFFF"/>
        </w:rPr>
        <w:t>,</w:t>
      </w:r>
      <w:r>
        <w:rPr>
          <w:rFonts w:ascii="Arial" w:hAnsi="Arial"/>
          <w:color w:val="222222"/>
          <w:sz w:val="20"/>
          <w:szCs w:val="20"/>
          <w:shd w:val="clear" w:color="auto" w:fill="FFFFFF"/>
        </w:rPr>
        <w:t> </w:t>
      </w:r>
      <w:r>
        <w:rPr>
          <w:rFonts w:cs="Times New Roman"/>
          <w:color w:val="222222"/>
          <w:szCs w:val="24"/>
          <w:shd w:val="clear" w:color="auto" w:fill="FFFFFF"/>
        </w:rPr>
        <w:t>8, 307-329</w:t>
      </w:r>
      <w:r>
        <w:rPr>
          <w:rFonts w:cs="Times New Roman"/>
          <w:szCs w:val="24"/>
        </w:rPr>
        <w:t>.</w:t>
      </w:r>
    </w:p>
    <w:p w14:paraId="12E06DA7"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Kamatou, G. P. P., Vermaak, I. &amp; Viljoen, A. M. (2011). An updated review of </w:t>
      </w:r>
      <w:r>
        <w:rPr>
          <w:rFonts w:cs="Times New Roman"/>
          <w:i/>
          <w:szCs w:val="24"/>
        </w:rPr>
        <w:t>Adansonia digitata:</w:t>
      </w:r>
      <w:r>
        <w:rPr>
          <w:rFonts w:cs="Times New Roman"/>
          <w:szCs w:val="24"/>
        </w:rPr>
        <w:t xml:space="preserve"> A commercially important African tree. </w:t>
      </w:r>
      <w:r>
        <w:rPr>
          <w:rFonts w:cs="Times New Roman"/>
          <w:i/>
          <w:szCs w:val="24"/>
        </w:rPr>
        <w:t xml:space="preserve">South African Journal of Botany, </w:t>
      </w:r>
      <w:r>
        <w:rPr>
          <w:rFonts w:cs="Times New Roman"/>
          <w:iCs/>
          <w:szCs w:val="24"/>
        </w:rPr>
        <w:t>77,</w:t>
      </w:r>
      <w:r>
        <w:rPr>
          <w:rFonts w:cs="Times New Roman"/>
          <w:szCs w:val="24"/>
        </w:rPr>
        <w:t xml:space="preserve"> 908-919.</w:t>
      </w:r>
    </w:p>
    <w:p w14:paraId="46DB6713"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Kaur, S., Sharma, S., Singh, B. &amp; Dar, B. N. (2015) Effect of extrusion variables (temperature, moisture) on the antinutrient components of cereal brans. </w:t>
      </w:r>
      <w:r>
        <w:rPr>
          <w:rFonts w:cs="Times New Roman"/>
          <w:i/>
          <w:iCs/>
          <w:szCs w:val="24"/>
          <w:shd w:val="clear" w:color="auto" w:fill="FFFFFF"/>
        </w:rPr>
        <w:t>Journal of Food Science and Technology</w:t>
      </w:r>
      <w:r>
        <w:rPr>
          <w:rFonts w:cs="Times New Roman"/>
          <w:szCs w:val="24"/>
          <w:shd w:val="clear" w:color="auto" w:fill="FFFFFF"/>
        </w:rPr>
        <w:t xml:space="preserve"> 52, 1670-1676.</w:t>
      </w:r>
    </w:p>
    <w:p w14:paraId="6A0E21B6"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rPr>
        <w:t xml:space="preserve">Kawo, A. H., Abdullahi, B. A., Gaiya, Z. A., Halilu, A., Dabai, M. &amp; Dakare, M. A. (2009). Preliminary phytochemical screening, proximate and elemental composition of </w:t>
      </w:r>
      <w:r>
        <w:rPr>
          <w:rFonts w:cs="Times New Roman"/>
          <w:i/>
          <w:szCs w:val="24"/>
        </w:rPr>
        <w:t>Moringa oleifera</w:t>
      </w:r>
      <w:r>
        <w:rPr>
          <w:rFonts w:cs="Times New Roman"/>
          <w:szCs w:val="24"/>
        </w:rPr>
        <w:t xml:space="preserve"> Lam. seed powder. </w:t>
      </w:r>
      <w:r>
        <w:rPr>
          <w:rFonts w:cs="Times New Roman"/>
          <w:i/>
          <w:szCs w:val="24"/>
        </w:rPr>
        <w:t xml:space="preserve">Bayero Journal of Pure and Applied Sciences, </w:t>
      </w:r>
      <w:r>
        <w:rPr>
          <w:rFonts w:cs="Times New Roman"/>
          <w:iCs/>
          <w:szCs w:val="24"/>
        </w:rPr>
        <w:t>2,</w:t>
      </w:r>
      <w:r>
        <w:rPr>
          <w:rFonts w:cs="Times New Roman"/>
          <w:szCs w:val="24"/>
        </w:rPr>
        <w:t xml:space="preserve"> 96-100.</w:t>
      </w:r>
    </w:p>
    <w:p w14:paraId="3B302CD7"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Kelebek, H., Selli, S., Gubbuk, H. &amp; Gunes, E. (2015) Comparative evaluation of volatiles, phenolics, sugars, organic acids and antioxidant properties of Sel-42 and Tainung papaya varieties. </w:t>
      </w:r>
      <w:r>
        <w:rPr>
          <w:rFonts w:cs="Times New Roman"/>
          <w:i/>
          <w:iCs/>
          <w:szCs w:val="24"/>
          <w:shd w:val="clear" w:color="auto" w:fill="FFFFFF"/>
        </w:rPr>
        <w:t>Food Chemistry</w:t>
      </w:r>
      <w:r>
        <w:rPr>
          <w:rFonts w:cs="Times New Roman"/>
          <w:szCs w:val="24"/>
          <w:shd w:val="clear" w:color="auto" w:fill="FFFFFF"/>
        </w:rPr>
        <w:t>, 173, 912-919.</w:t>
      </w:r>
    </w:p>
    <w:p w14:paraId="42351942" w14:textId="7E024C52"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King, J. C., Brown, K. H., Gibson, R. S., Krebs, N. F., Lowe, N. M., Siekmann, J. H. &amp; Raiten, D. J. (201</w:t>
      </w:r>
      <w:r w:rsidR="002642FA">
        <w:rPr>
          <w:rFonts w:cs="Times New Roman"/>
          <w:szCs w:val="24"/>
          <w:shd w:val="clear" w:color="auto" w:fill="FFFFFF"/>
        </w:rPr>
        <w:t>6</w:t>
      </w:r>
      <w:r>
        <w:rPr>
          <w:rFonts w:cs="Times New Roman"/>
          <w:szCs w:val="24"/>
          <w:shd w:val="clear" w:color="auto" w:fill="FFFFFF"/>
        </w:rPr>
        <w:t>) Biomarkers of Nutrition for Development (BOND)—zinc review. </w:t>
      </w:r>
      <w:r>
        <w:rPr>
          <w:rFonts w:cs="Times New Roman"/>
          <w:i/>
          <w:iCs/>
          <w:szCs w:val="24"/>
          <w:shd w:val="clear" w:color="auto" w:fill="FFFFFF"/>
        </w:rPr>
        <w:t>The Journal of Nutrition</w:t>
      </w:r>
      <w:r>
        <w:rPr>
          <w:rFonts w:cs="Times New Roman"/>
          <w:szCs w:val="24"/>
          <w:shd w:val="clear" w:color="auto" w:fill="FFFFFF"/>
        </w:rPr>
        <w:t>, 146, 858S-885S.</w:t>
      </w:r>
    </w:p>
    <w:p w14:paraId="0A16DB10" w14:textId="53B8B3AE"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Kleiveland, C. R. (2015) Co-cultivation of Caco-2 and HT-29MTX</w:t>
      </w:r>
      <w:r w:rsidR="0079085C">
        <w:rPr>
          <w:rFonts w:cs="Times New Roman"/>
          <w:szCs w:val="24"/>
          <w:shd w:val="clear" w:color="auto" w:fill="FFFFFF"/>
        </w:rPr>
        <w:t>:</w:t>
      </w:r>
      <w:r>
        <w:rPr>
          <w:rFonts w:cs="Times New Roman"/>
          <w:szCs w:val="24"/>
          <w:shd w:val="clear" w:color="auto" w:fill="FFFFFF"/>
        </w:rPr>
        <w:t xml:space="preserve"> In </w:t>
      </w:r>
      <w:r w:rsidRPr="004D5539">
        <w:rPr>
          <w:rFonts w:cs="Times New Roman"/>
          <w:i/>
          <w:iCs/>
          <w:szCs w:val="24"/>
          <w:shd w:val="clear" w:color="auto" w:fill="FFFFFF"/>
        </w:rPr>
        <w:t>The impact of food bio</w:t>
      </w:r>
      <w:r w:rsidR="004D5539">
        <w:rPr>
          <w:rFonts w:cs="Times New Roman"/>
          <w:i/>
          <w:iCs/>
          <w:szCs w:val="24"/>
          <w:shd w:val="clear" w:color="auto" w:fill="FFFFFF"/>
        </w:rPr>
        <w:t>-</w:t>
      </w:r>
      <w:r w:rsidRPr="004D5539">
        <w:rPr>
          <w:rFonts w:cs="Times New Roman"/>
          <w:i/>
          <w:iCs/>
          <w:szCs w:val="24"/>
          <w:shd w:val="clear" w:color="auto" w:fill="FFFFFF"/>
        </w:rPr>
        <w:t>actives on health</w:t>
      </w:r>
      <w:r>
        <w:rPr>
          <w:rFonts w:cs="Times New Roman"/>
          <w:szCs w:val="24"/>
          <w:shd w:val="clear" w:color="auto" w:fill="FFFFFF"/>
        </w:rPr>
        <w:t> </w:t>
      </w:r>
      <w:r w:rsidR="0079085C">
        <w:rPr>
          <w:rFonts w:cs="Times New Roman"/>
          <w:szCs w:val="24"/>
          <w:shd w:val="clear" w:color="auto" w:fill="FFFFFF"/>
        </w:rPr>
        <w:t xml:space="preserve">(edited by </w:t>
      </w:r>
      <w:r w:rsidR="00B713F2">
        <w:rPr>
          <w:rFonts w:cs="Times New Roman"/>
          <w:szCs w:val="24"/>
          <w:shd w:val="clear" w:color="auto" w:fill="FFFFFF"/>
        </w:rPr>
        <w:t>Verhoeckx, K., Cotter, P., Lopez-Exposito, I., Kleiveland, C., Lea, T., Mackie, A., Requena, T., Swiatecka, D. &amp; Wichers, H.</w:t>
      </w:r>
      <w:r w:rsidR="0079085C">
        <w:rPr>
          <w:rFonts w:cs="Times New Roman"/>
          <w:szCs w:val="24"/>
          <w:shd w:val="clear" w:color="auto" w:fill="FFFFFF"/>
        </w:rPr>
        <w:t xml:space="preserve">), Pp </w:t>
      </w:r>
      <w:r>
        <w:rPr>
          <w:rFonts w:cs="Times New Roman"/>
          <w:szCs w:val="24"/>
          <w:shd w:val="clear" w:color="auto" w:fill="FFFFFF"/>
        </w:rPr>
        <w:t>135-140. Springer</w:t>
      </w:r>
      <w:r w:rsidR="0079085C">
        <w:rPr>
          <w:rFonts w:cs="Times New Roman"/>
          <w:szCs w:val="24"/>
          <w:shd w:val="clear" w:color="auto" w:fill="FFFFFF"/>
        </w:rPr>
        <w:t>:</w:t>
      </w:r>
      <w:r w:rsidR="004D5539" w:rsidRPr="004D5539">
        <w:rPr>
          <w:rFonts w:cs="Times New Roman"/>
          <w:szCs w:val="24"/>
          <w:shd w:val="clear" w:color="auto" w:fill="FFFFFF"/>
        </w:rPr>
        <w:t xml:space="preserve"> New York</w:t>
      </w:r>
      <w:r w:rsidR="00436200">
        <w:rPr>
          <w:rFonts w:cs="Times New Roman"/>
          <w:szCs w:val="24"/>
          <w:shd w:val="clear" w:color="auto" w:fill="FFFFFF"/>
        </w:rPr>
        <w:t>, USA.</w:t>
      </w:r>
      <w:r w:rsidR="0079085C">
        <w:rPr>
          <w:rFonts w:cs="Times New Roman"/>
          <w:szCs w:val="24"/>
          <w:shd w:val="clear" w:color="auto" w:fill="FFFFFF"/>
        </w:rPr>
        <w:t xml:space="preserve">  </w:t>
      </w:r>
    </w:p>
    <w:p w14:paraId="29DE9F60" w14:textId="557D799D"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Kohgo, Y., Ikuta, K., Ohtake, T., Torimoto, T. &amp; Kato, J. (2008) Body iron metabolism and pathophysiology of iron overload. </w:t>
      </w:r>
      <w:r>
        <w:rPr>
          <w:rFonts w:cs="Times New Roman"/>
          <w:i/>
          <w:szCs w:val="24"/>
        </w:rPr>
        <w:t>International Journal of Hematology,</w:t>
      </w:r>
      <w:r>
        <w:rPr>
          <w:rFonts w:cs="Times New Roman"/>
          <w:szCs w:val="24"/>
        </w:rPr>
        <w:t xml:space="preserve"> 88, 7-15.</w:t>
      </w:r>
    </w:p>
    <w:p w14:paraId="49AF7139" w14:textId="62EEFE7C" w:rsidR="00EA2F11" w:rsidRDefault="00EA2F11" w:rsidP="00AA6FAA">
      <w:pPr>
        <w:widowControl w:val="0"/>
        <w:autoSpaceDE w:val="0"/>
        <w:autoSpaceDN w:val="0"/>
        <w:adjustRightInd w:val="0"/>
        <w:spacing w:line="240" w:lineRule="auto"/>
        <w:ind w:left="480" w:hanging="480"/>
        <w:rPr>
          <w:rFonts w:cs="Times New Roman"/>
          <w:noProof/>
          <w:szCs w:val="24"/>
        </w:rPr>
      </w:pPr>
      <w:r>
        <w:rPr>
          <w:rFonts w:cs="Times New Roman"/>
          <w:szCs w:val="24"/>
        </w:rPr>
        <w:t>Krishnan, R. &amp; Meera, M. S. (2017) Assessment of inhibitory factors on bioaccessibility of iron and zinc in pearl millet (</w:t>
      </w:r>
      <w:r w:rsidRPr="00636011">
        <w:rPr>
          <w:rFonts w:cs="Times New Roman"/>
          <w:i/>
          <w:iCs/>
          <w:szCs w:val="24"/>
        </w:rPr>
        <w:t>Pennisetum glaucum</w:t>
      </w:r>
      <w:r>
        <w:rPr>
          <w:rFonts w:cs="Times New Roman"/>
          <w:szCs w:val="24"/>
        </w:rPr>
        <w:t xml:space="preserve"> (L.) R. Br.) cultivars</w:t>
      </w:r>
      <w:r w:rsidR="00636011">
        <w:rPr>
          <w:rFonts w:cs="Times New Roman"/>
          <w:szCs w:val="24"/>
        </w:rPr>
        <w:t xml:space="preserve">. </w:t>
      </w:r>
      <w:r w:rsidR="00636011" w:rsidRPr="00636011">
        <w:rPr>
          <w:rFonts w:cs="Times New Roman"/>
          <w:i/>
          <w:iCs/>
          <w:szCs w:val="24"/>
        </w:rPr>
        <w:t>Journal of Food Science and Technology</w:t>
      </w:r>
      <w:r w:rsidR="00636011">
        <w:rPr>
          <w:rFonts w:cs="Times New Roman"/>
          <w:szCs w:val="24"/>
        </w:rPr>
        <w:t>, 54, 4378-4386.</w:t>
      </w:r>
    </w:p>
    <w:p w14:paraId="5C94DFF1"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rPr>
        <w:t xml:space="preserve">Krishnan, R., Dharmaraj, U. &amp; Malleshi, N. G. (2012). Influence of decortications, popping and malting on bioaccessibility of calcium, iron and zinc in finger millet. </w:t>
      </w:r>
      <w:r>
        <w:rPr>
          <w:rFonts w:cs="Times New Roman"/>
          <w:i/>
          <w:szCs w:val="24"/>
        </w:rPr>
        <w:t xml:space="preserve">LWT-Food Science and Technology, </w:t>
      </w:r>
      <w:r>
        <w:rPr>
          <w:rFonts w:cs="Times New Roman"/>
          <w:iCs/>
          <w:szCs w:val="24"/>
        </w:rPr>
        <w:t>48,</w:t>
      </w:r>
      <w:r>
        <w:rPr>
          <w:rFonts w:cs="Times New Roman"/>
          <w:szCs w:val="24"/>
        </w:rPr>
        <w:t xml:space="preserve"> 169-174.</w:t>
      </w:r>
    </w:p>
    <w:p w14:paraId="566017FC"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Kruger, J. (2020) Potential of food-to-food fortification with cowpea leaves and orange-fleshed sweet potato, in combination with conventional fortification, to improve the cellular uptake of iron and zinc from ready-to-eat maize porridges. </w:t>
      </w:r>
      <w:r>
        <w:rPr>
          <w:rFonts w:cs="Times New Roman"/>
          <w:i/>
          <w:iCs/>
          <w:szCs w:val="24"/>
          <w:shd w:val="clear" w:color="auto" w:fill="FFFFFF"/>
        </w:rPr>
        <w:t>Food Science &amp; Nutrition</w:t>
      </w:r>
      <w:r>
        <w:rPr>
          <w:rFonts w:cs="Times New Roman"/>
          <w:szCs w:val="24"/>
          <w:shd w:val="clear" w:color="auto" w:fill="FFFFFF"/>
        </w:rPr>
        <w:t>, 8, 3190-3199.</w:t>
      </w:r>
    </w:p>
    <w:p w14:paraId="3F850CEB"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Kruger, J., Breynaert, A., Pieters, L. &amp; Hermans, N. (2018) Vegetable relishes, high in β-carotene, increase the iron, zinc and β-carotene nutritive values from cereal porridges. </w:t>
      </w:r>
      <w:r>
        <w:rPr>
          <w:rFonts w:cs="Times New Roman"/>
          <w:i/>
          <w:iCs/>
          <w:szCs w:val="24"/>
          <w:shd w:val="clear" w:color="auto" w:fill="FFFFFF"/>
        </w:rPr>
        <w:t>International Journal of Food Sciences and Nutrition</w:t>
      </w:r>
      <w:r>
        <w:rPr>
          <w:rFonts w:cs="Times New Roman"/>
          <w:szCs w:val="24"/>
          <w:shd w:val="clear" w:color="auto" w:fill="FFFFFF"/>
        </w:rPr>
        <w:t>, 69, 291-297.</w:t>
      </w:r>
    </w:p>
    <w:p w14:paraId="6E4D5C33"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lang w:val="en-US"/>
        </w:rPr>
        <w:t xml:space="preserve">Kruger, J., Mongwaketse, T., Faber, M., van der Hoeven, M. &amp; Smuts, C. M. (2015). Potential contribution of African green leafy vegetables and maize porridge composite meals to iron and zinc nutrition. </w:t>
      </w:r>
      <w:r>
        <w:rPr>
          <w:rFonts w:cs="Times New Roman"/>
          <w:i/>
          <w:szCs w:val="24"/>
          <w:lang w:val="en-US"/>
        </w:rPr>
        <w:t xml:space="preserve">Nutrients, </w:t>
      </w:r>
      <w:r>
        <w:rPr>
          <w:rFonts w:cs="Times New Roman"/>
          <w:iCs/>
          <w:szCs w:val="24"/>
          <w:lang w:val="en-US"/>
        </w:rPr>
        <w:t>31,</w:t>
      </w:r>
      <w:r>
        <w:rPr>
          <w:rFonts w:cs="Times New Roman"/>
          <w:szCs w:val="24"/>
          <w:lang w:val="en-US"/>
        </w:rPr>
        <w:t xml:space="preserve"> 1117-1123.</w:t>
      </w:r>
    </w:p>
    <w:p w14:paraId="28D6FFA6"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 xml:space="preserve">Kruger, J., Oelofse, A. &amp; Taylor, J. R.N . (2014) Effects of aqueous soaking on the phytate and mineral contents phytate:mineral ratios of wholegrain normal sorghum and maize and low phytate sorghum. </w:t>
      </w:r>
      <w:r>
        <w:rPr>
          <w:rFonts w:cs="Times New Roman"/>
          <w:i/>
          <w:noProof/>
          <w:szCs w:val="24"/>
        </w:rPr>
        <w:t>International Journal of Food Science and Nutrition,</w:t>
      </w:r>
      <w:r>
        <w:rPr>
          <w:rFonts w:cs="Times New Roman"/>
          <w:noProof/>
          <w:szCs w:val="24"/>
        </w:rPr>
        <w:t xml:space="preserve"> 65, 539-546.</w:t>
      </w:r>
    </w:p>
    <w:p w14:paraId="5B1A452A"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Kruger, J., Taylor, J. R. N. &amp; Oelofse, A. (2012) Effects of reducing phytate content in sorghum through genetic modification and fermentation on in vitro availability in whole grain porridges. </w:t>
      </w:r>
      <w:r>
        <w:rPr>
          <w:rFonts w:cs="Times New Roman"/>
          <w:i/>
          <w:szCs w:val="24"/>
        </w:rPr>
        <w:t>Food Chemistry,</w:t>
      </w:r>
      <w:r>
        <w:rPr>
          <w:rFonts w:cs="Times New Roman"/>
          <w:szCs w:val="24"/>
        </w:rPr>
        <w:t xml:space="preserve"> 131, 220-224.</w:t>
      </w:r>
    </w:p>
    <w:p w14:paraId="19DC4F80" w14:textId="77777777" w:rsidR="00AA6FAA" w:rsidRDefault="00AA6FAA" w:rsidP="00AA6FAA">
      <w:pPr>
        <w:pStyle w:val="NormalWeb"/>
        <w:ind w:left="480" w:hanging="480"/>
        <w:rPr>
          <w:noProof/>
        </w:rPr>
      </w:pPr>
      <w:r>
        <w:rPr>
          <w:noProof/>
        </w:rPr>
        <w:t xml:space="preserve">Kruger, J., Taylor, J. R. N., Du, X., De Moura, F. F., Lönnerdal, B. &amp; Oelofse, A. (2013) Effect of phytate reduction of sorghum, through genetic modification, on iron and zinc availability as assessed by an in vitro dialysability bioaccessibility assay, Caco-2 cell uptake assay, and suckling rat pup absorption model. </w:t>
      </w:r>
      <w:r>
        <w:rPr>
          <w:i/>
          <w:iCs/>
          <w:noProof/>
        </w:rPr>
        <w:t>Food Chemistry</w:t>
      </w:r>
      <w:r>
        <w:rPr>
          <w:noProof/>
        </w:rPr>
        <w:t>, 141, 1019–1025.</w:t>
      </w:r>
    </w:p>
    <w:p w14:paraId="33E2A2EA"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Kruger, J., Taylor, J. R., Ferruzzi, M. G. &amp; Debelo, H. (2020) What is food‐to‐food fortification? A working definition and framework for evaluation of efficiency and implementation of best practices. </w:t>
      </w:r>
      <w:r>
        <w:rPr>
          <w:rFonts w:cs="Times New Roman"/>
          <w:i/>
          <w:iCs/>
          <w:szCs w:val="24"/>
          <w:shd w:val="clear" w:color="auto" w:fill="FFFFFF"/>
        </w:rPr>
        <w:t>Comprehensive Reviews in Food Science and Food Safety</w:t>
      </w:r>
      <w:r>
        <w:rPr>
          <w:rFonts w:cs="Times New Roman"/>
          <w:szCs w:val="24"/>
          <w:shd w:val="clear" w:color="auto" w:fill="FFFFFF"/>
        </w:rPr>
        <w:t>, 1-41.</w:t>
      </w:r>
    </w:p>
    <w:p w14:paraId="1890B471" w14:textId="77777777" w:rsidR="00AA6FAA" w:rsidRDefault="00AA6FAA" w:rsidP="00AA6FAA">
      <w:pPr>
        <w:pStyle w:val="NormalWeb"/>
        <w:ind w:left="480" w:hanging="480"/>
      </w:pPr>
      <w:r>
        <w:t xml:space="preserve">Kumssa, D. B., Joy, E. J. M., Ander, E. L., Watts, M. J., Young, S. D., Walker, S. &amp; Broadley, M. R. (2015). Dietary calcium and zinc deficiency risks are decreasing but remain prevalent. </w:t>
      </w:r>
      <w:r>
        <w:rPr>
          <w:i/>
        </w:rPr>
        <w:t xml:space="preserve">Scientific Reports, </w:t>
      </w:r>
      <w:r>
        <w:rPr>
          <w:iCs/>
        </w:rPr>
        <w:t>5. https://doi.org/10.1038/srep</w:t>
      </w:r>
      <w:r>
        <w:t xml:space="preserve">10974 </w:t>
      </w:r>
    </w:p>
    <w:p w14:paraId="026706D5" w14:textId="77777777" w:rsidR="00AA6FAA" w:rsidRDefault="00AA6FAA" w:rsidP="00AA6FAA">
      <w:pPr>
        <w:pStyle w:val="NormalWeb"/>
        <w:ind w:left="480" w:hanging="480"/>
        <w:rPr>
          <w:noProof/>
        </w:rPr>
      </w:pPr>
      <w:r>
        <w:rPr>
          <w:shd w:val="clear" w:color="auto" w:fill="FFFFFF"/>
        </w:rPr>
        <w:t>Kumssa, D. B., Joy, E. J., Ander, E. L., Watts, M.  J., Young, S. D., Rosanoff, A., White, P. J., Walker, S. &amp; Broadley, M. R. (2016). Global magnesium supply in the food chain. </w:t>
      </w:r>
      <w:r>
        <w:rPr>
          <w:i/>
          <w:iCs/>
          <w:shd w:val="clear" w:color="auto" w:fill="FFFFFF"/>
        </w:rPr>
        <w:t>Crop and Pasture Science</w:t>
      </w:r>
      <w:r>
        <w:rPr>
          <w:shd w:val="clear" w:color="auto" w:fill="FFFFFF"/>
        </w:rPr>
        <w:t>, 66, 1278-1289.</w:t>
      </w:r>
    </w:p>
    <w:p w14:paraId="457DBA33" w14:textId="77777777" w:rsidR="00AA6FAA" w:rsidRDefault="00AA6FAA" w:rsidP="00AA6FAA">
      <w:pPr>
        <w:pStyle w:val="NormalWeb"/>
        <w:ind w:left="480" w:hanging="480"/>
        <w:rPr>
          <w:noProof/>
        </w:rPr>
      </w:pPr>
      <w:r>
        <w:rPr>
          <w:noProof/>
        </w:rPr>
        <w:t xml:space="preserve">Kurozawa, L. E., Terng, I., Hubinger, M. D. &amp; Park, K. J. (2014) Ascorbic acid degradation of papaya during drying: effect of process conditions and glass transition phenomenon. </w:t>
      </w:r>
      <w:r>
        <w:rPr>
          <w:i/>
          <w:noProof/>
        </w:rPr>
        <w:t>Journal of Food Engineering,</w:t>
      </w:r>
      <w:r>
        <w:rPr>
          <w:noProof/>
        </w:rPr>
        <w:t xml:space="preserve"> 123, 157-164.</w:t>
      </w:r>
    </w:p>
    <w:p w14:paraId="035CFF70" w14:textId="77777777" w:rsidR="00AA6FAA" w:rsidRDefault="00AA6FAA" w:rsidP="00AA6FAA">
      <w:pPr>
        <w:pStyle w:val="NormalWeb"/>
        <w:ind w:left="480" w:hanging="480"/>
        <w:rPr>
          <w:shd w:val="clear" w:color="auto" w:fill="FFFFFF"/>
        </w:rPr>
      </w:pPr>
      <w:r>
        <w:rPr>
          <w:shd w:val="clear" w:color="auto" w:fill="FFFFFF"/>
        </w:rPr>
        <w:t>Kushwaha, S. (2015) Nutritional Composition of Drumstick (</w:t>
      </w:r>
      <w:r>
        <w:rPr>
          <w:i/>
          <w:iCs/>
          <w:shd w:val="clear" w:color="auto" w:fill="FFFFFF"/>
        </w:rPr>
        <w:t>Moringa oleifera</w:t>
      </w:r>
      <w:r>
        <w:rPr>
          <w:shd w:val="clear" w:color="auto" w:fill="FFFFFF"/>
        </w:rPr>
        <w:t xml:space="preserve">). </w:t>
      </w:r>
      <w:r>
        <w:rPr>
          <w:i/>
          <w:iCs/>
          <w:shd w:val="clear" w:color="auto" w:fill="FFFFFF"/>
        </w:rPr>
        <w:t>International Journal of Research,</w:t>
      </w:r>
      <w:r>
        <w:rPr>
          <w:shd w:val="clear" w:color="auto" w:fill="FFFFFF"/>
        </w:rPr>
        <w:t xml:space="preserve"> 2, 688-691.</w:t>
      </w:r>
    </w:p>
    <w:p w14:paraId="21C02C0E" w14:textId="77777777" w:rsidR="00AA6FAA" w:rsidRDefault="00AA6FAA" w:rsidP="00AA6FAA">
      <w:pPr>
        <w:pStyle w:val="NormalWeb"/>
        <w:ind w:left="480" w:hanging="480"/>
        <w:rPr>
          <w:shd w:val="clear" w:color="auto" w:fill="FFFFFF"/>
        </w:rPr>
      </w:pPr>
      <w:r>
        <w:rPr>
          <w:shd w:val="clear" w:color="auto" w:fill="FFFFFF"/>
        </w:rPr>
        <w:t>La Frano, M. R., de Moura, F. F., Boy, E., Lönnerdal, B. &amp; Burri, B. J. (2014) Bioavailability of iron, zinc, and provitamin A carotenoids in biofortified staple crops. </w:t>
      </w:r>
      <w:r>
        <w:rPr>
          <w:i/>
          <w:iCs/>
          <w:shd w:val="clear" w:color="auto" w:fill="FFFFFF"/>
        </w:rPr>
        <w:t>Nutrition Reviews</w:t>
      </w:r>
      <w:r>
        <w:rPr>
          <w:shd w:val="clear" w:color="auto" w:fill="FFFFFF"/>
        </w:rPr>
        <w:t>, 72, 289-307.</w:t>
      </w:r>
    </w:p>
    <w:p w14:paraId="6466C9AF" w14:textId="77777777" w:rsidR="00AA6FAA" w:rsidRDefault="00AA6FAA" w:rsidP="00AA6FAA">
      <w:pPr>
        <w:pStyle w:val="NormalWeb"/>
        <w:ind w:left="480" w:hanging="480"/>
        <w:rPr>
          <w:shd w:val="clear" w:color="auto" w:fill="FFFFFF"/>
          <w:lang w:val="en-GB"/>
        </w:rPr>
      </w:pPr>
      <w:r>
        <w:t xml:space="preserve">Latta, M., &amp; Eskin, M. (1980) A simple and rapid colorimetric method for phytate determination. </w:t>
      </w:r>
      <w:r>
        <w:rPr>
          <w:i/>
          <w:iCs/>
        </w:rPr>
        <w:t>Journal of Agricultural and Food Chemistry,</w:t>
      </w:r>
      <w:r>
        <w:t xml:space="preserve"> 28, 1313–1315.</w:t>
      </w:r>
    </w:p>
    <w:p w14:paraId="56542C0B" w14:textId="77777777" w:rsidR="00AA6FAA" w:rsidRDefault="00AA6FAA" w:rsidP="00AA6FAA">
      <w:pPr>
        <w:widowControl w:val="0"/>
        <w:autoSpaceDE w:val="0"/>
        <w:autoSpaceDN w:val="0"/>
        <w:adjustRightInd w:val="0"/>
        <w:spacing w:line="240" w:lineRule="auto"/>
        <w:ind w:left="480" w:hanging="480"/>
        <w:rPr>
          <w:rFonts w:cs="Times New Roman"/>
          <w:noProof/>
          <w:szCs w:val="24"/>
        </w:rPr>
      </w:pPr>
      <w:bookmarkStart w:id="177" w:name="_Hlk55485638"/>
      <w:r>
        <w:rPr>
          <w:rFonts w:cs="Times New Roman"/>
          <w:szCs w:val="24"/>
          <w:shd w:val="clear" w:color="auto" w:fill="FFFFFF"/>
        </w:rPr>
        <w:t>Le Blanc</w:t>
      </w:r>
      <w:bookmarkEnd w:id="177"/>
      <w:r>
        <w:rPr>
          <w:rFonts w:cs="Times New Roman"/>
          <w:szCs w:val="24"/>
          <w:shd w:val="clear" w:color="auto" w:fill="FFFFFF"/>
        </w:rPr>
        <w:t>, S., Garrick, M. D. &amp; Arredondo, M. (2012) Heme carrier protein 1 transports heme and is involved in heme-Fe metabolism. </w:t>
      </w:r>
      <w:r>
        <w:rPr>
          <w:rFonts w:cs="Times New Roman"/>
          <w:i/>
          <w:iCs/>
          <w:szCs w:val="24"/>
          <w:shd w:val="clear" w:color="auto" w:fill="FFFFFF"/>
        </w:rPr>
        <w:t>American Journal of Physiology-Cell Physiology</w:t>
      </w:r>
      <w:r>
        <w:rPr>
          <w:rFonts w:cs="Times New Roman"/>
          <w:szCs w:val="24"/>
          <w:shd w:val="clear" w:color="auto" w:fill="FFFFFF"/>
        </w:rPr>
        <w:t>, 302, C1780-C1785.</w:t>
      </w:r>
    </w:p>
    <w:p w14:paraId="762A8A4B" w14:textId="527F823F" w:rsidR="00AA6FAA" w:rsidRDefault="00AA6FAA" w:rsidP="00AA6FAA">
      <w:pPr>
        <w:pStyle w:val="NormalWeb"/>
        <w:ind w:left="480" w:hanging="480"/>
        <w:rPr>
          <w:shd w:val="clear" w:color="auto" w:fill="FFFFFF"/>
        </w:rPr>
      </w:pPr>
      <w:r>
        <w:rPr>
          <w:shd w:val="clear" w:color="auto" w:fill="FFFFFF"/>
        </w:rPr>
        <w:t>Lea, T. 2015. Caco-2 cell line</w:t>
      </w:r>
      <w:r w:rsidR="00E92453">
        <w:rPr>
          <w:shd w:val="clear" w:color="auto" w:fill="FFFFFF"/>
        </w:rPr>
        <w:t>:</w:t>
      </w:r>
      <w:r>
        <w:rPr>
          <w:shd w:val="clear" w:color="auto" w:fill="FFFFFF"/>
        </w:rPr>
        <w:t xml:space="preserve"> </w:t>
      </w:r>
      <w:r w:rsidR="00373390">
        <w:rPr>
          <w:shd w:val="clear" w:color="auto" w:fill="FFFFFF"/>
        </w:rPr>
        <w:t>In </w:t>
      </w:r>
      <w:r w:rsidR="00373390" w:rsidRPr="004D5539">
        <w:rPr>
          <w:i/>
          <w:iCs/>
          <w:shd w:val="clear" w:color="auto" w:fill="FFFFFF"/>
        </w:rPr>
        <w:t>The impact of food bio</w:t>
      </w:r>
      <w:r w:rsidR="00373390">
        <w:rPr>
          <w:i/>
          <w:iCs/>
          <w:shd w:val="clear" w:color="auto" w:fill="FFFFFF"/>
        </w:rPr>
        <w:t>-</w:t>
      </w:r>
      <w:r w:rsidR="00373390" w:rsidRPr="004D5539">
        <w:rPr>
          <w:i/>
          <w:iCs/>
          <w:shd w:val="clear" w:color="auto" w:fill="FFFFFF"/>
        </w:rPr>
        <w:t>actives on health</w:t>
      </w:r>
      <w:r w:rsidR="00373390">
        <w:rPr>
          <w:shd w:val="clear" w:color="auto" w:fill="FFFFFF"/>
        </w:rPr>
        <w:t> (edited by Verhoeckx, K., Cotter, P., Lopez-Exposito, I., Kleiveland, C., Lea, T., Mackie, A., Requena, T., Swiatecka, D. &amp; Wichers, H.), Pp 103-111. Springer:</w:t>
      </w:r>
      <w:r w:rsidR="00373390" w:rsidRPr="004D5539">
        <w:rPr>
          <w:shd w:val="clear" w:color="auto" w:fill="FFFFFF"/>
        </w:rPr>
        <w:t xml:space="preserve"> New York</w:t>
      </w:r>
      <w:r w:rsidR="00373390">
        <w:rPr>
          <w:shd w:val="clear" w:color="auto" w:fill="FFFFFF"/>
        </w:rPr>
        <w:t xml:space="preserve">, USA. </w:t>
      </w:r>
    </w:p>
    <w:p w14:paraId="59085974" w14:textId="77777777" w:rsidR="00AA6FAA" w:rsidRDefault="00AA6FAA" w:rsidP="00AA6FAA">
      <w:pPr>
        <w:pStyle w:val="NormalWeb"/>
        <w:ind w:left="480" w:hanging="480"/>
        <w:rPr>
          <w:noProof/>
        </w:rPr>
      </w:pPr>
      <w:r>
        <w:rPr>
          <w:shd w:val="clear" w:color="auto" w:fill="FFFFFF"/>
        </w:rPr>
        <w:t>Lemmens, L., Colle, I. J., Van Buggenhout, S., Van Loey, A. M. &amp; Hendrickx, M. E. (2011) Quantifying the influence of thermal process parameters on in vitro β-carotene bioaccessibility: a case study on carrots. </w:t>
      </w:r>
      <w:r>
        <w:rPr>
          <w:i/>
          <w:iCs/>
          <w:shd w:val="clear" w:color="auto" w:fill="FFFFFF"/>
        </w:rPr>
        <w:t>Journal of Agricultural and Food Chemistry</w:t>
      </w:r>
      <w:r>
        <w:rPr>
          <w:shd w:val="clear" w:color="auto" w:fill="FFFFFF"/>
        </w:rPr>
        <w:t>, 59, 3162-3167.</w:t>
      </w:r>
    </w:p>
    <w:p w14:paraId="305C9ADF" w14:textId="77777777" w:rsidR="00AA6FAA" w:rsidRDefault="00AA6FAA" w:rsidP="00AA6FAA">
      <w:pPr>
        <w:pStyle w:val="NormalWeb"/>
        <w:ind w:left="480" w:hanging="480"/>
        <w:rPr>
          <w:noProof/>
        </w:rPr>
      </w:pPr>
      <w:r>
        <w:rPr>
          <w:noProof/>
        </w:rPr>
        <w:t xml:space="preserve">Leone, A., Fiorillo, G., Criscuoli, F., Ravasenghi, S., Santagostini, L., Fico, G., Spadafranca, A., </w:t>
      </w:r>
      <w:r>
        <w:t>… &amp; di Lello, S.</w:t>
      </w:r>
      <w:r>
        <w:rPr>
          <w:noProof/>
        </w:rPr>
        <w:t xml:space="preserve"> (2015) Nutritional characterization and phenolic profiling of Moringa oleifera leaves grown in Chad, Sahrawi refugee camps, and Haiti. </w:t>
      </w:r>
      <w:r>
        <w:rPr>
          <w:i/>
          <w:noProof/>
        </w:rPr>
        <w:t>International Journal of Molecular Sciences,</w:t>
      </w:r>
      <w:r>
        <w:rPr>
          <w:noProof/>
        </w:rPr>
        <w:t xml:space="preserve"> 16, 18923-18937.</w:t>
      </w:r>
    </w:p>
    <w:p w14:paraId="6BAE2DC8" w14:textId="77777777" w:rsidR="00AA6FAA" w:rsidRDefault="00AA6FAA" w:rsidP="00AA6FAA">
      <w:pPr>
        <w:pStyle w:val="NormalWeb"/>
        <w:ind w:left="480" w:hanging="480"/>
        <w:rPr>
          <w:noProof/>
        </w:rPr>
      </w:pPr>
      <w:r>
        <w:rPr>
          <w:noProof/>
        </w:rPr>
        <w:t>Lestienne, I., Besancon, P., Bertrand, C., Lullien-Pellerin, V. &amp; Treche, S. (2005). Iron and zinc in vitro availability in pearl millet flours (</w:t>
      </w:r>
      <w:r>
        <w:rPr>
          <w:i/>
          <w:noProof/>
        </w:rPr>
        <w:t>Pennisetum glaucum</w:t>
      </w:r>
      <w:r>
        <w:rPr>
          <w:noProof/>
        </w:rPr>
        <w:t xml:space="preserve">) with varying phytate, tannin, and fiber content. </w:t>
      </w:r>
      <w:r>
        <w:rPr>
          <w:i/>
          <w:noProof/>
        </w:rPr>
        <w:t>Journal of Agricultural and Food Chemistry</w:t>
      </w:r>
      <w:r>
        <w:rPr>
          <w:noProof/>
        </w:rPr>
        <w:t xml:space="preserve">, </w:t>
      </w:r>
      <w:r>
        <w:rPr>
          <w:iCs/>
          <w:noProof/>
        </w:rPr>
        <w:t>52,</w:t>
      </w:r>
      <w:r>
        <w:rPr>
          <w:noProof/>
        </w:rPr>
        <w:t xml:space="preserve"> 3240-3247.</w:t>
      </w:r>
    </w:p>
    <w:p w14:paraId="141F4A85" w14:textId="77777777" w:rsidR="00AA6FAA" w:rsidRDefault="00AA6FAA" w:rsidP="00AA6FAA">
      <w:pPr>
        <w:pStyle w:val="NormalWeb"/>
        <w:ind w:left="480" w:hanging="480"/>
        <w:rPr>
          <w:lang w:val="en-US"/>
        </w:rPr>
      </w:pPr>
      <w:r>
        <w:rPr>
          <w:noProof/>
        </w:rPr>
        <w:t xml:space="preserve">Lestienne, I., Buisson, M., Lullien-Pellerin, V., Picq, C. &amp; </w:t>
      </w:r>
      <w:r>
        <w:rPr>
          <w:shd w:val="clear" w:color="auto" w:fill="FFFFFF"/>
        </w:rPr>
        <w:t>Trèche</w:t>
      </w:r>
      <w:r>
        <w:rPr>
          <w:lang w:val="en-US"/>
        </w:rPr>
        <w:t>, S. (2007) Losses of nutrients and anti-nutritional factors during abrasive decortications of two pearl millet cultivars (</w:t>
      </w:r>
      <w:r>
        <w:rPr>
          <w:i/>
          <w:lang w:val="en-US"/>
        </w:rPr>
        <w:t>Pennisetum glaucum</w:t>
      </w:r>
      <w:r>
        <w:rPr>
          <w:lang w:val="en-US"/>
        </w:rPr>
        <w:t xml:space="preserve">). </w:t>
      </w:r>
      <w:r>
        <w:rPr>
          <w:i/>
          <w:lang w:val="en-US"/>
        </w:rPr>
        <w:t>Food Chemistry</w:t>
      </w:r>
      <w:r>
        <w:rPr>
          <w:lang w:val="en-US"/>
        </w:rPr>
        <w:t xml:space="preserve">, 100, 1316-1323. </w:t>
      </w:r>
    </w:p>
    <w:p w14:paraId="0F7A8359" w14:textId="2A8B7169" w:rsidR="00AA6FAA" w:rsidRDefault="00AA6FAA" w:rsidP="00AA6FAA">
      <w:pPr>
        <w:pStyle w:val="NormalWeb"/>
        <w:ind w:left="480" w:hanging="480"/>
        <w:rPr>
          <w:noProof/>
        </w:rPr>
      </w:pPr>
      <w:r>
        <w:t>Lewis, J. (2019) Codex nutrient reference values. Rome</w:t>
      </w:r>
      <w:r w:rsidR="00DB62A4">
        <w:t>, Italy:</w:t>
      </w:r>
      <w:r>
        <w:t xml:space="preserve"> FAO and WHO.</w:t>
      </w:r>
    </w:p>
    <w:p w14:paraId="6A0D9531"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Liu, F. X., Fu, S. F., Bi, X. F., Chen, F., Liao, X. J., Hu, X. S. &amp; Wu, J. H. (2013) Physico-chemical and antioxidant properties of four mango (</w:t>
      </w:r>
      <w:r>
        <w:rPr>
          <w:rFonts w:cs="Times New Roman"/>
          <w:i/>
          <w:iCs/>
          <w:szCs w:val="24"/>
          <w:shd w:val="clear" w:color="auto" w:fill="FFFFFF"/>
        </w:rPr>
        <w:t>Mangifera indica</w:t>
      </w:r>
      <w:r>
        <w:rPr>
          <w:rFonts w:cs="Times New Roman"/>
          <w:szCs w:val="24"/>
          <w:shd w:val="clear" w:color="auto" w:fill="FFFFFF"/>
        </w:rPr>
        <w:t xml:space="preserve"> L.) cultivars in China. </w:t>
      </w:r>
      <w:r>
        <w:rPr>
          <w:rFonts w:cs="Times New Roman"/>
          <w:i/>
          <w:iCs/>
          <w:szCs w:val="24"/>
          <w:shd w:val="clear" w:color="auto" w:fill="FFFFFF"/>
        </w:rPr>
        <w:t>Food Chemistry</w:t>
      </w:r>
      <w:r>
        <w:rPr>
          <w:rFonts w:cs="Times New Roman"/>
          <w:szCs w:val="24"/>
          <w:shd w:val="clear" w:color="auto" w:fill="FFFFFF"/>
        </w:rPr>
        <w:t>, 138, 396-405.</w:t>
      </w:r>
    </w:p>
    <w:p w14:paraId="26216AEB" w14:textId="77777777" w:rsidR="00AA6FAA" w:rsidRDefault="00AA6FAA" w:rsidP="00AA6FAA">
      <w:pPr>
        <w:pStyle w:val="NormalWeb"/>
        <w:ind w:left="480" w:hanging="480"/>
        <w:rPr>
          <w:noProof/>
        </w:rPr>
      </w:pPr>
      <w:r>
        <w:rPr>
          <w:noProof/>
        </w:rPr>
        <w:t xml:space="preserve">Lönnerdal, B. (2000) Zinc and health: Current status and future directions. dietary factors influencing zinc absorption. </w:t>
      </w:r>
      <w:r>
        <w:rPr>
          <w:i/>
          <w:iCs/>
          <w:noProof/>
        </w:rPr>
        <w:t>The Journal of Nutrition</w:t>
      </w:r>
      <w:r>
        <w:rPr>
          <w:noProof/>
        </w:rPr>
        <w:t>, 130, S1378–S1383.</w:t>
      </w:r>
    </w:p>
    <w:p w14:paraId="6B0F8559" w14:textId="77777777" w:rsidR="00AA6FAA" w:rsidRDefault="00AA6FAA" w:rsidP="00AA6FAA">
      <w:pPr>
        <w:pStyle w:val="NormalWeb"/>
        <w:ind w:left="480" w:hanging="480"/>
        <w:rPr>
          <w:shd w:val="clear" w:color="auto" w:fill="FFFFFF"/>
        </w:rPr>
      </w:pPr>
      <w:r>
        <w:rPr>
          <w:shd w:val="clear" w:color="auto" w:fill="FFFFFF"/>
        </w:rPr>
        <w:t>Lopez-Martinez, L. X., Parkin, K. L. &amp; Garcia, H. S. (2011) Phase II-inducing, polyphenols content and antioxidant capacity of corn (</w:t>
      </w:r>
      <w:r>
        <w:rPr>
          <w:i/>
          <w:iCs/>
          <w:shd w:val="clear" w:color="auto" w:fill="FFFFFF"/>
        </w:rPr>
        <w:t>Zea mays</w:t>
      </w:r>
      <w:r>
        <w:rPr>
          <w:shd w:val="clear" w:color="auto" w:fill="FFFFFF"/>
        </w:rPr>
        <w:t xml:space="preserve"> L.) from phenotypes of white, blue, red and purple colors processed into masa and tortillas. </w:t>
      </w:r>
      <w:r>
        <w:rPr>
          <w:i/>
          <w:iCs/>
          <w:shd w:val="clear" w:color="auto" w:fill="FFFFFF"/>
        </w:rPr>
        <w:t>Plant Foods for Human Nutrition</w:t>
      </w:r>
      <w:r>
        <w:rPr>
          <w:shd w:val="clear" w:color="auto" w:fill="FFFFFF"/>
        </w:rPr>
        <w:t>, 66, 41-47.</w:t>
      </w:r>
    </w:p>
    <w:p w14:paraId="4D7B8837" w14:textId="77777777" w:rsidR="00AA6FAA" w:rsidRDefault="00AA6FAA" w:rsidP="00AA6FAA">
      <w:pPr>
        <w:pStyle w:val="NormalWeb"/>
        <w:ind w:left="480" w:hanging="480"/>
        <w:rPr>
          <w:shd w:val="clear" w:color="auto" w:fill="FFFFFF"/>
        </w:rPr>
      </w:pPr>
      <w:r>
        <w:rPr>
          <w:shd w:val="clear" w:color="auto" w:fill="FFFFFF"/>
        </w:rPr>
        <w:t xml:space="preserve">Luo, Y. W. &amp; Xie, W. H. (2012) Effects of vegetables on iron and zinc availability in cereals and legumes. </w:t>
      </w:r>
      <w:r>
        <w:rPr>
          <w:i/>
          <w:iCs/>
          <w:shd w:val="clear" w:color="auto" w:fill="FFFFFF"/>
        </w:rPr>
        <w:t>International Food Research Journal,</w:t>
      </w:r>
      <w:r>
        <w:rPr>
          <w:shd w:val="clear" w:color="auto" w:fill="FFFFFF"/>
        </w:rPr>
        <w:t xml:space="preserve"> 19, 455-459.</w:t>
      </w:r>
    </w:p>
    <w:p w14:paraId="17257A94" w14:textId="77777777" w:rsidR="00AA6FAA" w:rsidRDefault="00AA6FAA" w:rsidP="00AA6FAA">
      <w:pPr>
        <w:pStyle w:val="NormalWeb"/>
        <w:ind w:left="480" w:hanging="480"/>
        <w:rPr>
          <w:noProof/>
        </w:rPr>
      </w:pPr>
      <w:r>
        <w:rPr>
          <w:shd w:val="clear" w:color="auto" w:fill="FFFFFF"/>
        </w:rPr>
        <w:t>Luten, J., Crews, H., Flynn, A., Van Dael, P., Kastenmayer, P., Hurrell, R., Deelstra, H., Shen, L. H., Fairweather-Tait, S., Hickson, K. &amp; Farré, R. (1996) Interlaboratory trial on the determination of the in vitro iron dialysability from food. </w:t>
      </w:r>
      <w:r>
        <w:rPr>
          <w:i/>
          <w:iCs/>
          <w:shd w:val="clear" w:color="auto" w:fill="FFFFFF"/>
        </w:rPr>
        <w:t>Journal of the Science of Food and Agriculture</w:t>
      </w:r>
      <w:r>
        <w:rPr>
          <w:shd w:val="clear" w:color="auto" w:fill="FFFFFF"/>
        </w:rPr>
        <w:t>, 72, 415-424.</w:t>
      </w:r>
    </w:p>
    <w:p w14:paraId="13DC3604"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Lyon, D. B. (1984) Studies on the solubility of Ca, Mg, Zn, and Cu in cereal products. </w:t>
      </w:r>
      <w:r>
        <w:rPr>
          <w:rFonts w:cs="Times New Roman"/>
          <w:i/>
          <w:iCs/>
          <w:szCs w:val="24"/>
          <w:shd w:val="clear" w:color="auto" w:fill="FFFFFF"/>
        </w:rPr>
        <w:t>American Journal of Clinical Nutrition</w:t>
      </w:r>
      <w:r>
        <w:rPr>
          <w:rFonts w:cs="Times New Roman"/>
          <w:szCs w:val="24"/>
          <w:shd w:val="clear" w:color="auto" w:fill="FFFFFF"/>
        </w:rPr>
        <w:t xml:space="preserve">, 39, 190-195. </w:t>
      </w:r>
    </w:p>
    <w:p w14:paraId="0210FE6A" w14:textId="77777777" w:rsidR="00AA6FAA" w:rsidRDefault="00AA6FAA" w:rsidP="00AA6FAA">
      <w:pPr>
        <w:pStyle w:val="NormalWeb"/>
        <w:ind w:left="480" w:hanging="480"/>
        <w:rPr>
          <w:shd w:val="clear" w:color="auto" w:fill="FFFFFF"/>
        </w:rPr>
      </w:pPr>
      <w:r>
        <w:rPr>
          <w:shd w:val="clear" w:color="auto" w:fill="FFFFFF"/>
        </w:rPr>
        <w:t>Macharia-Mutie, C. W., Moretti, D., Van den Briel, N., Omusundi, A. M., Mwangi, A. M., Kok, F.J., Zimmermann, M. B. &amp; Brouwer, I. D. (2012) Maize porridge enriched with a micronutrient powder containing low-dose iron as NaFeEDTA but not amaranth grain flour reduces anemia and iron deficiency in Kenyan preschool children. </w:t>
      </w:r>
      <w:r>
        <w:rPr>
          <w:i/>
          <w:iCs/>
          <w:shd w:val="clear" w:color="auto" w:fill="FFFFFF"/>
        </w:rPr>
        <w:t>The Journal of Nutrition</w:t>
      </w:r>
      <w:r>
        <w:rPr>
          <w:shd w:val="clear" w:color="auto" w:fill="FFFFFF"/>
        </w:rPr>
        <w:t>, 142, 1756-1763.</w:t>
      </w:r>
    </w:p>
    <w:p w14:paraId="60FCDC82"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lang w:val="en-ZA"/>
        </w:rPr>
        <w:t xml:space="preserve">Mackenzie, B., &amp; Garrick, M. D. (2005) Iron imports II: Iron uptake at the apical membrane in the intestine. </w:t>
      </w:r>
      <w:r>
        <w:rPr>
          <w:rFonts w:cs="Times New Roman"/>
          <w:i/>
          <w:iCs/>
          <w:szCs w:val="24"/>
          <w:lang w:val="en-ZA"/>
        </w:rPr>
        <w:t>American Journal of Physiology - Gastrointestinal and Live Physiology</w:t>
      </w:r>
      <w:r>
        <w:rPr>
          <w:rFonts w:cs="Times New Roman"/>
          <w:szCs w:val="24"/>
          <w:lang w:val="en-ZA"/>
        </w:rPr>
        <w:t>, 289, G981–G986.</w:t>
      </w:r>
    </w:p>
    <w:p w14:paraId="5FA44350" w14:textId="1EC567FD" w:rsidR="00AA6FAA" w:rsidRDefault="00AA6FAA" w:rsidP="00AA6FAA">
      <w:pPr>
        <w:pStyle w:val="NormalWeb"/>
        <w:ind w:left="480" w:hanging="480"/>
      </w:pPr>
      <w:r>
        <w:t xml:space="preserve">Magaia, T., Uamusse, A., Sjoholm, I. &amp; Skog, K. (2013). Dietary fibre, organic acids and minerals in selected wild edible fruits of Mozambique. </w:t>
      </w:r>
      <w:r>
        <w:rPr>
          <w:i/>
        </w:rPr>
        <w:t>SpringerPlus</w:t>
      </w:r>
      <w:r>
        <w:t xml:space="preserve">, </w:t>
      </w:r>
      <w:r>
        <w:rPr>
          <w:iCs/>
        </w:rPr>
        <w:t>2</w:t>
      </w:r>
      <w:r>
        <w:t xml:space="preserve">. </w:t>
      </w:r>
      <w:hyperlink r:id="rId32" w:history="1">
        <w:r w:rsidR="00970627" w:rsidRPr="00834EBE">
          <w:rPr>
            <w:rStyle w:val="Hyperlink"/>
          </w:rPr>
          <w:t>https://doi.org/10.1186/2193-1801-2-88</w:t>
        </w:r>
      </w:hyperlink>
    </w:p>
    <w:p w14:paraId="7574EA5D" w14:textId="3E7555C5" w:rsidR="00970627" w:rsidRPr="00970627" w:rsidRDefault="00970627" w:rsidP="00AA6FAA">
      <w:pPr>
        <w:pStyle w:val="NormalWeb"/>
        <w:ind w:left="480" w:hanging="480"/>
      </w:pPr>
      <w:r w:rsidRPr="00970627">
        <w:rPr>
          <w:shd w:val="clear" w:color="auto" w:fill="FFFFFF"/>
        </w:rPr>
        <w:t>Mantadakis, E., Chatzimichael, E. &amp; Zikidou, P. (2020) Iron deficiency anemia in children residing in high and low-income countries: risk factors, prevention, diagnosis and therapy. </w:t>
      </w:r>
      <w:r w:rsidRPr="00970627">
        <w:rPr>
          <w:i/>
          <w:iCs/>
          <w:shd w:val="clear" w:color="auto" w:fill="FFFFFF"/>
        </w:rPr>
        <w:t>Mediterranean Journal of Hematology and Infectious Diseases</w:t>
      </w:r>
      <w:r w:rsidRPr="00970627">
        <w:rPr>
          <w:shd w:val="clear" w:color="auto" w:fill="FFFFFF"/>
        </w:rPr>
        <w:t>, 12. 10.4084/Mjhid.2020.041</w:t>
      </w:r>
    </w:p>
    <w:p w14:paraId="3BB74DF9"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Martin-Prevel, Y., Allemand, P., Nikiema, L., Ayassou, K. A., Ouedraogo, H. G., Moursi, M. &amp; De Moura, F. F. (2016) Biological status and dietary intakes of iron, zinc and vitamin A among women and preschool children in Rural Burkina Faso. </w:t>
      </w:r>
      <w:r>
        <w:rPr>
          <w:rFonts w:cs="Times New Roman"/>
          <w:i/>
          <w:szCs w:val="24"/>
        </w:rPr>
        <w:t>PloS ONE</w:t>
      </w:r>
      <w:r>
        <w:rPr>
          <w:rFonts w:cs="Times New Roman"/>
          <w:szCs w:val="24"/>
        </w:rPr>
        <w:t>, 11. https://doi.org/10.1371/journal.pone.0146810</w:t>
      </w:r>
    </w:p>
    <w:p w14:paraId="6232E22E" w14:textId="77777777" w:rsidR="00E92453" w:rsidRDefault="00AA6FAA" w:rsidP="00AA6FAA">
      <w:pPr>
        <w:widowControl w:val="0"/>
        <w:autoSpaceDE w:val="0"/>
        <w:autoSpaceDN w:val="0"/>
        <w:adjustRightInd w:val="0"/>
        <w:spacing w:line="240" w:lineRule="auto"/>
        <w:ind w:left="480" w:hanging="480"/>
        <w:rPr>
          <w:rFonts w:cs="Times New Roman"/>
          <w:bCs/>
          <w:szCs w:val="24"/>
          <w:lang w:val="en-US"/>
        </w:rPr>
      </w:pPr>
      <w:r>
        <w:rPr>
          <w:rFonts w:cs="Times New Roman"/>
          <w:bCs/>
          <w:szCs w:val="24"/>
          <w:lang w:val="en-US"/>
        </w:rPr>
        <w:t xml:space="preserve">Miller, D. D., Schricker, B. R., Rasmussen, R. R., &amp; Van Campen, D. (1981). An </w:t>
      </w:r>
      <w:r>
        <w:rPr>
          <w:rFonts w:cs="Times New Roman"/>
          <w:bCs/>
          <w:i/>
          <w:szCs w:val="24"/>
          <w:lang w:val="en-US"/>
        </w:rPr>
        <w:t>in vitro</w:t>
      </w:r>
      <w:r>
        <w:rPr>
          <w:rFonts w:cs="Times New Roman"/>
          <w:bCs/>
          <w:szCs w:val="24"/>
          <w:lang w:val="en-US"/>
        </w:rPr>
        <w:t xml:space="preserve"> method for estimation of iron availability from meals. </w:t>
      </w:r>
      <w:r>
        <w:rPr>
          <w:rFonts w:cs="Times New Roman"/>
          <w:bCs/>
          <w:i/>
          <w:szCs w:val="24"/>
          <w:lang w:val="en-US"/>
        </w:rPr>
        <w:t xml:space="preserve">The American Journal of Clinical Nutrition, </w:t>
      </w:r>
      <w:r>
        <w:rPr>
          <w:rFonts w:cs="Times New Roman"/>
          <w:bCs/>
          <w:iCs/>
          <w:szCs w:val="24"/>
          <w:lang w:val="en-US"/>
        </w:rPr>
        <w:t>34,</w:t>
      </w:r>
      <w:r>
        <w:rPr>
          <w:rFonts w:cs="Times New Roman"/>
          <w:bCs/>
          <w:i/>
          <w:szCs w:val="24"/>
          <w:lang w:val="en-US"/>
        </w:rPr>
        <w:t xml:space="preserve"> </w:t>
      </w:r>
      <w:r>
        <w:rPr>
          <w:rFonts w:cs="Times New Roman"/>
          <w:bCs/>
          <w:szCs w:val="24"/>
          <w:lang w:val="en-US"/>
        </w:rPr>
        <w:t>2248-2256.</w:t>
      </w:r>
    </w:p>
    <w:p w14:paraId="0237113E" w14:textId="30A35215" w:rsidR="00AA6FAA" w:rsidRDefault="00E92453" w:rsidP="00AA6FAA">
      <w:pPr>
        <w:widowControl w:val="0"/>
        <w:autoSpaceDE w:val="0"/>
        <w:autoSpaceDN w:val="0"/>
        <w:adjustRightInd w:val="0"/>
        <w:spacing w:line="240" w:lineRule="auto"/>
        <w:ind w:left="480" w:hanging="480"/>
        <w:rPr>
          <w:rFonts w:cs="Times New Roman"/>
          <w:szCs w:val="24"/>
        </w:rPr>
      </w:pPr>
      <w:r>
        <w:rPr>
          <w:rFonts w:cs="Times New Roman"/>
          <w:bCs/>
          <w:szCs w:val="24"/>
          <w:lang w:val="en-US"/>
        </w:rPr>
        <w:t xml:space="preserve"> </w:t>
      </w:r>
      <w:r>
        <w:rPr>
          <w:rFonts w:cs="Times New Roman"/>
          <w:szCs w:val="24"/>
          <w:shd w:val="clear" w:color="auto" w:fill="FFFFFF"/>
        </w:rPr>
        <w:t>Minekus, M. (2015) The TNO gastro-intestinal model (TIM): In </w:t>
      </w:r>
      <w:r>
        <w:rPr>
          <w:rFonts w:cs="Times New Roman"/>
          <w:i/>
          <w:iCs/>
          <w:szCs w:val="24"/>
          <w:shd w:val="clear" w:color="auto" w:fill="FFFFFF"/>
        </w:rPr>
        <w:t xml:space="preserve">The impact of food bioactives on health </w:t>
      </w:r>
      <w:r>
        <w:rPr>
          <w:rFonts w:cs="Times New Roman"/>
          <w:szCs w:val="24"/>
          <w:shd w:val="clear" w:color="auto" w:fill="FFFFFF"/>
        </w:rPr>
        <w:t>(edited by Verhoeckx, K., Cotter, P., Lopez-Exposito, I., Kleiveland, C., Lea, T., Mackie, A., Requena, T., Swiatecka, D. &amp; Wichers, H.), Pp 37-46. Springer:</w:t>
      </w:r>
      <w:r w:rsidRPr="004D5539">
        <w:rPr>
          <w:rFonts w:cs="Times New Roman"/>
          <w:szCs w:val="24"/>
          <w:shd w:val="clear" w:color="auto" w:fill="FFFFFF"/>
        </w:rPr>
        <w:t xml:space="preserve"> New York</w:t>
      </w:r>
      <w:r>
        <w:rPr>
          <w:rFonts w:cs="Times New Roman"/>
          <w:szCs w:val="24"/>
          <w:shd w:val="clear" w:color="auto" w:fill="FFFFFF"/>
        </w:rPr>
        <w:t>, USA.</w:t>
      </w:r>
    </w:p>
    <w:p w14:paraId="4998AFE6" w14:textId="77777777" w:rsidR="00AA6FAA" w:rsidRDefault="00AA6FAA" w:rsidP="00AA6FAA">
      <w:pPr>
        <w:autoSpaceDE w:val="0"/>
        <w:autoSpaceDN w:val="0"/>
        <w:adjustRightInd w:val="0"/>
        <w:spacing w:before="240" w:line="240" w:lineRule="auto"/>
        <w:ind w:left="360" w:hanging="360"/>
        <w:rPr>
          <w:rFonts w:cs="Times New Roman"/>
          <w:bCs/>
          <w:szCs w:val="24"/>
          <w:lang w:val="en-US"/>
        </w:rPr>
      </w:pPr>
      <w:r>
        <w:rPr>
          <w:rFonts w:cs="Times New Roman"/>
          <w:szCs w:val="24"/>
          <w:shd w:val="clear" w:color="auto" w:fill="FFFFFF"/>
        </w:rPr>
        <w:t>Monteiro, P. M. J., Costa, A. I. A., Franco, M. I., Bechoff, A., Cisse, M., Geneviève, F., Tomlins, K. &amp; E. Pintado, M. M. (2017) Cross-cultural development of hibiscus tea sensory lexicons for trained and untrained panellists. </w:t>
      </w:r>
      <w:r>
        <w:rPr>
          <w:rFonts w:cs="Times New Roman"/>
          <w:i/>
          <w:iCs/>
          <w:szCs w:val="24"/>
          <w:shd w:val="clear" w:color="auto" w:fill="FFFFFF"/>
        </w:rPr>
        <w:t>Journal of Sensory Studies</w:t>
      </w:r>
      <w:r>
        <w:rPr>
          <w:rFonts w:cs="Times New Roman"/>
          <w:szCs w:val="24"/>
          <w:shd w:val="clear" w:color="auto" w:fill="FFFFFF"/>
        </w:rPr>
        <w:t>, 32. https://doi.org/10.1111/joss.12297</w:t>
      </w:r>
    </w:p>
    <w:p w14:paraId="01A0E23A" w14:textId="77777777" w:rsidR="00AA6FAA" w:rsidRDefault="00AA6FAA" w:rsidP="00AA6FAA">
      <w:pPr>
        <w:pStyle w:val="NormalWeb"/>
        <w:ind w:left="480" w:hanging="480"/>
        <w:rPr>
          <w:noProof/>
        </w:rPr>
      </w:pPr>
      <w:r>
        <w:rPr>
          <w:noProof/>
        </w:rPr>
        <w:t xml:space="preserve">Moretti, D., Bienbinger R., Bruins, M. J., Hoeft, B. &amp; Kraemer, K. (2013) Bioavailability of iron, zinc, folic acid, and vitamin A from fortified maize. </w:t>
      </w:r>
      <w:r>
        <w:rPr>
          <w:i/>
          <w:noProof/>
        </w:rPr>
        <w:t>Annals of the New York Academy of Science,</w:t>
      </w:r>
      <w:r>
        <w:rPr>
          <w:noProof/>
        </w:rPr>
        <w:t xml:space="preserve"> 1312, 54-65. </w:t>
      </w:r>
    </w:p>
    <w:p w14:paraId="3EF27E4D" w14:textId="2C1E5045" w:rsidR="009555D4" w:rsidRPr="002838FA" w:rsidRDefault="00AA6FAA" w:rsidP="00AA6FAA">
      <w:pPr>
        <w:pStyle w:val="NormalWeb"/>
        <w:ind w:left="480" w:hanging="480"/>
      </w:pPr>
      <w:r>
        <w:rPr>
          <w:shd w:val="clear" w:color="auto" w:fill="FFFFFF"/>
        </w:rPr>
        <w:t>Morris, E. R. &amp; Ellis, R. (1989) Usefulness of the dietary phytic acid/zinc molar ratio as an index of zinc bioavailability to rats and humans. </w:t>
      </w:r>
      <w:r>
        <w:rPr>
          <w:i/>
          <w:iCs/>
          <w:shd w:val="clear" w:color="auto" w:fill="FFFFFF"/>
        </w:rPr>
        <w:t>Biological Trace Element Research</w:t>
      </w:r>
      <w:r>
        <w:rPr>
          <w:shd w:val="clear" w:color="auto" w:fill="FFFFFF"/>
        </w:rPr>
        <w:t>, 19, 107-117.</w:t>
      </w:r>
    </w:p>
    <w:p w14:paraId="48277259" w14:textId="77777777" w:rsidR="00AA6FAA" w:rsidRDefault="00AA6FAA" w:rsidP="00AA6FAA">
      <w:pPr>
        <w:pStyle w:val="NormalWeb"/>
        <w:ind w:left="480" w:hanging="480"/>
      </w:pPr>
      <w:r>
        <w:t xml:space="preserve">Moyo, B., Hugo, A., Masika, P. &amp; Muchenje, V. (2011) Nutritional characterisation of Moringa (Moringa oleifera Lam.) leaves. </w:t>
      </w:r>
      <w:r>
        <w:rPr>
          <w:i/>
          <w:iCs/>
        </w:rPr>
        <w:t xml:space="preserve">African Journal of Biotechnology, </w:t>
      </w:r>
      <w:r>
        <w:t>10, 12925-12933.</w:t>
      </w:r>
    </w:p>
    <w:p w14:paraId="2C5A8F32" w14:textId="77777777" w:rsidR="00AA6FAA" w:rsidRDefault="00AA6FAA" w:rsidP="00AA6FAA">
      <w:pPr>
        <w:pStyle w:val="NormalWeb"/>
        <w:ind w:left="480" w:hanging="480"/>
        <w:rPr>
          <w:noProof/>
        </w:rPr>
      </w:pPr>
      <w:r>
        <w:t xml:space="preserve">Mulvihill, B., Kirwan, F. M., Morrissey, P. A. &amp; Flynn, A. (1998) Effect of myofibrillar muscle proteins on the in vitro bioavailability of non-haem iron. </w:t>
      </w:r>
      <w:r>
        <w:rPr>
          <w:i/>
        </w:rPr>
        <w:t>International Journal of Food Science and Nutrition,</w:t>
      </w:r>
      <w:r>
        <w:t xml:space="preserve"> 49, 187–92</w:t>
      </w:r>
      <w:r>
        <w:rPr>
          <w:noProof/>
        </w:rPr>
        <w:t>.</w:t>
      </w:r>
    </w:p>
    <w:p w14:paraId="29343EA4" w14:textId="21C05D8F"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Mutambuka, M. (2013) Iron bioavailability and consumer acceptability of extruded common bean (</w:t>
      </w:r>
      <w:r>
        <w:rPr>
          <w:rFonts w:cs="Times New Roman"/>
          <w:i/>
          <w:iCs/>
          <w:szCs w:val="24"/>
          <w:shd w:val="clear" w:color="auto" w:fill="FFFFFF"/>
        </w:rPr>
        <w:t>Phaseolus vulgaris</w:t>
      </w:r>
      <w:r>
        <w:rPr>
          <w:rFonts w:cs="Times New Roman"/>
          <w:szCs w:val="24"/>
          <w:shd w:val="clear" w:color="auto" w:fill="FFFFFF"/>
        </w:rPr>
        <w:t>) flour. PhD Thesis</w:t>
      </w:r>
      <w:r w:rsidR="009C4058">
        <w:rPr>
          <w:rFonts w:cs="Times New Roman"/>
          <w:szCs w:val="24"/>
          <w:shd w:val="clear" w:color="auto" w:fill="FFFFFF"/>
        </w:rPr>
        <w:t>, Ames, USA: Iowa State University</w:t>
      </w:r>
      <w:r>
        <w:rPr>
          <w:rFonts w:cs="Times New Roman"/>
          <w:szCs w:val="24"/>
          <w:shd w:val="clear" w:color="auto" w:fill="FFFFFF"/>
        </w:rPr>
        <w:t xml:space="preserve">. </w:t>
      </w:r>
    </w:p>
    <w:p w14:paraId="5453EC5F" w14:textId="77777777" w:rsidR="00AA6FAA" w:rsidRDefault="00AA6FAA" w:rsidP="00AA6FAA">
      <w:pPr>
        <w:pStyle w:val="NormalWeb"/>
        <w:ind w:left="480" w:hanging="480"/>
        <w:rPr>
          <w:noProof/>
        </w:rPr>
      </w:pPr>
      <w:r>
        <w:rPr>
          <w:shd w:val="clear" w:color="auto" w:fill="FFFFFF"/>
        </w:rPr>
        <w:t>Nair, K. M., Brahmam, G. N., Radhika, M. S., Dripta, R. C., Ravinder, P., Balakrishna, N., Chen, Z., Hawthorne, K. M. &amp; Abrams, S. A. (2013) Inclusion of guava enhances non-heme iron bioavailability but not fractional zinc absorption from a rice-based meal in adolescents. </w:t>
      </w:r>
      <w:r>
        <w:rPr>
          <w:i/>
          <w:iCs/>
          <w:shd w:val="clear" w:color="auto" w:fill="FFFFFF"/>
        </w:rPr>
        <w:t>The Journal of Nutrition</w:t>
      </w:r>
      <w:r>
        <w:rPr>
          <w:shd w:val="clear" w:color="auto" w:fill="FFFFFF"/>
        </w:rPr>
        <w:t>, 143, 852-858.</w:t>
      </w:r>
    </w:p>
    <w:p w14:paraId="329FEDB3"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Nkundabombi, M. G., Nakimbugwe, D. &amp; Muyonga, J. H. (2016) Effect of processing methods on nutritional, sensory, and physicochemical characteristics of biofortified bean flour. </w:t>
      </w:r>
      <w:r>
        <w:rPr>
          <w:rFonts w:cs="Times New Roman"/>
          <w:i/>
          <w:iCs/>
          <w:szCs w:val="24"/>
          <w:shd w:val="clear" w:color="auto" w:fill="FFFFFF"/>
        </w:rPr>
        <w:t>Food Science and Nutr</w:t>
      </w:r>
      <w:r>
        <w:rPr>
          <w:rFonts w:cs="Times New Roman"/>
          <w:szCs w:val="24"/>
          <w:shd w:val="clear" w:color="auto" w:fill="FFFFFF"/>
        </w:rPr>
        <w:t xml:space="preserve">ition, 4, 384-397. </w:t>
      </w:r>
    </w:p>
    <w:p w14:paraId="3C6EC92A" w14:textId="77777777" w:rsidR="00AA6FAA" w:rsidRDefault="00AA6FAA" w:rsidP="00AA6FAA">
      <w:pPr>
        <w:pStyle w:val="NormalWeb"/>
        <w:ind w:left="480" w:hanging="480"/>
        <w:rPr>
          <w:noProof/>
        </w:rPr>
      </w:pPr>
      <w:r>
        <w:rPr>
          <w:shd w:val="clear" w:color="auto" w:fill="FFFFFF"/>
        </w:rPr>
        <w:t>Nossier, S. A., Naeim, N. E., El-Sayed, N. A. &amp; Zeid, A. A. A. (2015) The effect of zinc supplementation on pregnancy outcomes: a double-blind, randomised controlled trial, Egypt. </w:t>
      </w:r>
      <w:r>
        <w:rPr>
          <w:i/>
          <w:iCs/>
          <w:shd w:val="clear" w:color="auto" w:fill="FFFFFF"/>
        </w:rPr>
        <w:t>British Journal of Nutrition</w:t>
      </w:r>
      <w:r>
        <w:rPr>
          <w:shd w:val="clear" w:color="auto" w:fill="FFFFFF"/>
        </w:rPr>
        <w:t>, 114, 274-285.</w:t>
      </w:r>
    </w:p>
    <w:p w14:paraId="012821A2" w14:textId="77777777" w:rsidR="00AA6FAA" w:rsidRDefault="00AA6FAA" w:rsidP="00AA6FAA">
      <w:pPr>
        <w:pStyle w:val="NormalWeb"/>
        <w:ind w:left="480" w:hanging="480"/>
        <w:rPr>
          <w:noProof/>
        </w:rPr>
      </w:pPr>
      <w:r>
        <w:rPr>
          <w:shd w:val="clear" w:color="auto" w:fill="FFFFFF"/>
        </w:rPr>
        <w:t>Nour, V., Trandafir, I. &amp; Ionica, M. E. (2010) HPLC organic acid analysis in different citrus juices under reversed phase conditions. </w:t>
      </w:r>
      <w:r>
        <w:rPr>
          <w:i/>
          <w:iCs/>
          <w:shd w:val="clear" w:color="auto" w:fill="FFFFFF"/>
        </w:rPr>
        <w:t>Notulae Botanicae Horti Agrobotanici Cluj-Napoca</w:t>
      </w:r>
      <w:r>
        <w:rPr>
          <w:shd w:val="clear" w:color="auto" w:fill="FFFFFF"/>
        </w:rPr>
        <w:t>, 38, 44-48.</w:t>
      </w:r>
    </w:p>
    <w:p w14:paraId="7B9F015D" w14:textId="77777777" w:rsidR="00AA6FAA" w:rsidRDefault="00AA6FAA" w:rsidP="00AA6FAA">
      <w:pPr>
        <w:pStyle w:val="NormalWeb"/>
        <w:ind w:left="480" w:hanging="480"/>
        <w:rPr>
          <w:noProof/>
        </w:rPr>
      </w:pPr>
      <w:r>
        <w:rPr>
          <w:noProof/>
        </w:rPr>
        <w:t xml:space="preserve">Ntsoane, M. L., Zude-Sasse, M., Mahajan, P. &amp; Sivakumar, D. (2019) Quality assesment and postharvest technology of mango: a review of its current status and future perspectives. </w:t>
      </w:r>
      <w:r>
        <w:rPr>
          <w:i/>
          <w:noProof/>
        </w:rPr>
        <w:t>Scientia Horticulturae,</w:t>
      </w:r>
      <w:r>
        <w:rPr>
          <w:noProof/>
        </w:rPr>
        <w:t xml:space="preserve"> 249, 77-85.</w:t>
      </w:r>
    </w:p>
    <w:p w14:paraId="1E0451DD" w14:textId="77777777" w:rsidR="00AA6FAA" w:rsidRDefault="00AA6FAA" w:rsidP="00AA6FAA">
      <w:pPr>
        <w:pStyle w:val="NormalWeb"/>
        <w:ind w:left="480" w:hanging="480"/>
        <w:rPr>
          <w:noProof/>
        </w:rPr>
      </w:pPr>
      <w:r>
        <w:t>Osman, M. A. (2004). Chemical and nutrient analysis of baobab (</w:t>
      </w:r>
      <w:r>
        <w:rPr>
          <w:i/>
        </w:rPr>
        <w:t>Adansonia digitata</w:t>
      </w:r>
      <w:r>
        <w:t>) fruit and seed protein solubility. </w:t>
      </w:r>
      <w:r>
        <w:rPr>
          <w:i/>
          <w:iCs/>
        </w:rPr>
        <w:t>Plant Foods for Human Nutrition</w:t>
      </w:r>
      <w:r>
        <w:t>, 59,</w:t>
      </w:r>
      <w:r>
        <w:rPr>
          <w:i/>
          <w:iCs/>
        </w:rPr>
        <w:t xml:space="preserve"> </w:t>
      </w:r>
      <w:r>
        <w:t>29-33.</w:t>
      </w:r>
    </w:p>
    <w:p w14:paraId="26C53AB7" w14:textId="77777777" w:rsidR="00AA6FAA" w:rsidRDefault="00AA6FAA" w:rsidP="00AA6FAA">
      <w:pPr>
        <w:pStyle w:val="NormalWeb"/>
        <w:ind w:left="480" w:hanging="480"/>
        <w:rPr>
          <w:noProof/>
        </w:rPr>
      </w:pPr>
      <w:r>
        <w:rPr>
          <w:shd w:val="clear" w:color="auto" w:fill="FFFFFF"/>
        </w:rPr>
        <w:t>Ota, E., Mori, R., Middleton, P., Tobe‐Gai, R., Mahomed, K., Miyazaki, C. &amp; Bhutta, Z. A. (2015) Zinc supplementation for improving pregnancy and infant outcome. </w:t>
      </w:r>
      <w:r>
        <w:rPr>
          <w:i/>
          <w:iCs/>
          <w:shd w:val="clear" w:color="auto" w:fill="FFFFFF"/>
        </w:rPr>
        <w:t>Cochrane Database of Systematic Reviews</w:t>
      </w:r>
      <w:r>
        <w:rPr>
          <w:shd w:val="clear" w:color="auto" w:fill="FFFFFF"/>
        </w:rPr>
        <w:t>, 2. https://doi.org/10.1002/14651858.CD000230.pub5</w:t>
      </w:r>
    </w:p>
    <w:p w14:paraId="776A577E" w14:textId="70416085" w:rsidR="00AA6FAA" w:rsidRDefault="00AA6FAA" w:rsidP="00AA6FAA">
      <w:pPr>
        <w:pStyle w:val="NormalWeb"/>
        <w:ind w:left="480" w:hanging="480"/>
        <w:rPr>
          <w:shd w:val="clear" w:color="auto" w:fill="FFFFFF"/>
        </w:rPr>
      </w:pPr>
      <w:r>
        <w:rPr>
          <w:shd w:val="clear" w:color="auto" w:fill="FFFFFF"/>
        </w:rPr>
        <w:t xml:space="preserve">Owusu, D., Oduro, I. &amp; Ellis, W. O. (2011) Development of crackers from cassava and sweetpotato flours using </w:t>
      </w:r>
      <w:r>
        <w:rPr>
          <w:i/>
          <w:iCs/>
          <w:shd w:val="clear" w:color="auto" w:fill="FFFFFF"/>
        </w:rPr>
        <w:t>Moringa oleifera</w:t>
      </w:r>
      <w:r>
        <w:rPr>
          <w:shd w:val="clear" w:color="auto" w:fill="FFFFFF"/>
        </w:rPr>
        <w:t xml:space="preserve"> and </w:t>
      </w:r>
      <w:r>
        <w:rPr>
          <w:i/>
          <w:iCs/>
          <w:shd w:val="clear" w:color="auto" w:fill="FFFFFF"/>
        </w:rPr>
        <w:t>Ipomoea batatas</w:t>
      </w:r>
      <w:r>
        <w:rPr>
          <w:shd w:val="clear" w:color="auto" w:fill="FFFFFF"/>
        </w:rPr>
        <w:t xml:space="preserve"> leaves as fortificant. </w:t>
      </w:r>
      <w:r>
        <w:rPr>
          <w:i/>
          <w:iCs/>
          <w:shd w:val="clear" w:color="auto" w:fill="FFFFFF"/>
        </w:rPr>
        <w:t>American Journal of Food and Nutrition,</w:t>
      </w:r>
      <w:r>
        <w:rPr>
          <w:shd w:val="clear" w:color="auto" w:fill="FFFFFF"/>
        </w:rPr>
        <w:t xml:space="preserve"> </w:t>
      </w:r>
      <w:r w:rsidR="00497889">
        <w:rPr>
          <w:shd w:val="clear" w:color="auto" w:fill="FFFFFF"/>
        </w:rPr>
        <w:t>1, 114-122</w:t>
      </w:r>
      <w:r>
        <w:t>.</w:t>
      </w:r>
    </w:p>
    <w:p w14:paraId="45AB74E2" w14:textId="77777777" w:rsidR="00AA6FAA" w:rsidRDefault="00AA6FAA" w:rsidP="00AA6FAA">
      <w:pPr>
        <w:pStyle w:val="NormalWeb"/>
        <w:ind w:left="480" w:hanging="480"/>
        <w:rPr>
          <w:shd w:val="clear" w:color="auto" w:fill="FFFFFF"/>
        </w:rPr>
      </w:pPr>
      <w:r>
        <w:rPr>
          <w:shd w:val="clear" w:color="auto" w:fill="FFFFFF"/>
        </w:rPr>
        <w:t>Paganini, D. &amp; Zimmermann, M. B. (2017) The effects of iron fortification and supplementation on the gut microbiome and diarrhea in infants and children: a review. </w:t>
      </w:r>
      <w:r>
        <w:rPr>
          <w:i/>
          <w:iCs/>
          <w:shd w:val="clear" w:color="auto" w:fill="FFFFFF"/>
        </w:rPr>
        <w:t>The American Journal of Clinical Nutrition</w:t>
      </w:r>
      <w:r>
        <w:rPr>
          <w:shd w:val="clear" w:color="auto" w:fill="FFFFFF"/>
        </w:rPr>
        <w:t>, 106, 1688S-1693S.</w:t>
      </w:r>
      <w:r>
        <w:t xml:space="preserve">Parveen, B. S. &amp; Manjula, K. (2015) Food to food fortification - a novel approach to mitigate iron deficiency anemia. </w:t>
      </w:r>
      <w:r>
        <w:rPr>
          <w:i/>
          <w:iCs/>
        </w:rPr>
        <w:t>International Journal of Food, Agriculture and Veterinary Sciences,</w:t>
      </w:r>
      <w:r>
        <w:t xml:space="preserve"> 5, 55-58.</w:t>
      </w:r>
    </w:p>
    <w:p w14:paraId="5DAFE288" w14:textId="77777777" w:rsidR="00AA6FAA" w:rsidRDefault="00AA6FAA" w:rsidP="00AA6FAA">
      <w:pPr>
        <w:pStyle w:val="NormalWeb"/>
        <w:ind w:left="480" w:hanging="480"/>
        <w:rPr>
          <w:shd w:val="clear" w:color="auto" w:fill="FFFFFF"/>
        </w:rPr>
      </w:pPr>
      <w:r>
        <w:rPr>
          <w:shd w:val="clear" w:color="auto" w:fill="FFFFFF"/>
        </w:rPr>
        <w:t>Patterson, A. J., Brown, W. J., Roberts, D. C. &amp; Seldon, M. R. (2001) Dietary treatment of iron deficiency in women of childbearing age. </w:t>
      </w:r>
      <w:r>
        <w:rPr>
          <w:i/>
          <w:iCs/>
          <w:shd w:val="clear" w:color="auto" w:fill="FFFFFF"/>
        </w:rPr>
        <w:t>The American Journal of Clinical Nutrition</w:t>
      </w:r>
      <w:r>
        <w:rPr>
          <w:shd w:val="clear" w:color="auto" w:fill="FFFFFF"/>
        </w:rPr>
        <w:t>, 74, 650-656.</w:t>
      </w:r>
    </w:p>
    <w:p w14:paraId="3F9272D8" w14:textId="77777777" w:rsidR="00AA6FAA" w:rsidRDefault="00AA6FAA" w:rsidP="00AA6FAA">
      <w:pPr>
        <w:pStyle w:val="NormalWeb"/>
        <w:ind w:left="480" w:hanging="480"/>
        <w:rPr>
          <w:noProof/>
        </w:rPr>
      </w:pPr>
      <w:r>
        <w:rPr>
          <w:shd w:val="clear" w:color="auto" w:fill="FFFFFF"/>
        </w:rPr>
        <w:t>Patterson, J. K., Lei, X. G. &amp; Miller, D. D. (2008) The pig as an experimental model for elucidating the mechanisms governing dietary influence on mineral absorption. </w:t>
      </w:r>
      <w:r>
        <w:rPr>
          <w:i/>
          <w:iCs/>
          <w:shd w:val="clear" w:color="auto" w:fill="FFFFFF"/>
        </w:rPr>
        <w:t>Experimental Biology and Medicine</w:t>
      </w:r>
      <w:r>
        <w:rPr>
          <w:shd w:val="clear" w:color="auto" w:fill="FFFFFF"/>
        </w:rPr>
        <w:t>, 233, 651-664.</w:t>
      </w:r>
    </w:p>
    <w:p w14:paraId="4A0A502E" w14:textId="77777777" w:rsidR="00D136FA" w:rsidRDefault="00AA6FAA" w:rsidP="00AA6FAA">
      <w:pPr>
        <w:pStyle w:val="NormalWeb"/>
        <w:ind w:left="480" w:hanging="480"/>
        <w:rPr>
          <w:shd w:val="clear" w:color="auto" w:fill="FFFFFF"/>
        </w:rPr>
      </w:pPr>
      <w:r>
        <w:rPr>
          <w:shd w:val="clear" w:color="auto" w:fill="FFFFFF"/>
        </w:rPr>
        <w:t>Perkins-Veazie, P. (2007) Carotenoids in watermelon and mango. In </w:t>
      </w:r>
      <w:r>
        <w:rPr>
          <w:i/>
          <w:iCs/>
          <w:shd w:val="clear" w:color="auto" w:fill="FFFFFF"/>
        </w:rPr>
        <w:t xml:space="preserve">International Conference on Quality Management of Fresh Cut Produce </w:t>
      </w:r>
      <w:r>
        <w:rPr>
          <w:shd w:val="clear" w:color="auto" w:fill="FFFFFF"/>
        </w:rPr>
        <w:t>746 pp. 259-264. Lane, Oklahoma, USA</w:t>
      </w:r>
      <w:r w:rsidR="00D136FA">
        <w:rPr>
          <w:shd w:val="clear" w:color="auto" w:fill="FFFFFF"/>
        </w:rPr>
        <w:t>.</w:t>
      </w:r>
    </w:p>
    <w:p w14:paraId="704C9079" w14:textId="21877279" w:rsidR="00AA6FAA" w:rsidRPr="00191E23" w:rsidRDefault="00D136FA" w:rsidP="00AA6FAA">
      <w:pPr>
        <w:pStyle w:val="NormalWeb"/>
        <w:ind w:left="480" w:hanging="480"/>
        <w:rPr>
          <w:shd w:val="clear" w:color="auto" w:fill="FFFFFF"/>
        </w:rPr>
      </w:pPr>
      <w:r w:rsidRPr="00191E23">
        <w:rPr>
          <w:shd w:val="clear" w:color="auto" w:fill="FFFFFF"/>
        </w:rPr>
        <w:t>Petry, N., Egli, I., Gahutu, J.</w:t>
      </w:r>
      <w:r w:rsidR="00191E23" w:rsidRPr="00191E23">
        <w:rPr>
          <w:shd w:val="clear" w:color="auto" w:fill="FFFFFF"/>
        </w:rPr>
        <w:t xml:space="preserve"> </w:t>
      </w:r>
      <w:r w:rsidRPr="00191E23">
        <w:rPr>
          <w:shd w:val="clear" w:color="auto" w:fill="FFFFFF"/>
        </w:rPr>
        <w:t>B., Tugirimana, P.</w:t>
      </w:r>
      <w:r w:rsidR="00191E23" w:rsidRPr="00191E23">
        <w:rPr>
          <w:shd w:val="clear" w:color="auto" w:fill="FFFFFF"/>
        </w:rPr>
        <w:t xml:space="preserve"> </w:t>
      </w:r>
      <w:r w:rsidRPr="00191E23">
        <w:rPr>
          <w:shd w:val="clear" w:color="auto" w:fill="FFFFFF"/>
        </w:rPr>
        <w:t xml:space="preserve">L., Boy, E. </w:t>
      </w:r>
      <w:r w:rsidR="00191E23" w:rsidRPr="00191E23">
        <w:rPr>
          <w:shd w:val="clear" w:color="auto" w:fill="FFFFFF"/>
        </w:rPr>
        <w:t>&amp;</w:t>
      </w:r>
      <w:r w:rsidRPr="00191E23">
        <w:rPr>
          <w:shd w:val="clear" w:color="auto" w:fill="FFFFFF"/>
        </w:rPr>
        <w:t xml:space="preserve"> Hurrell, R. </w:t>
      </w:r>
      <w:r w:rsidR="00191E23" w:rsidRPr="00191E23">
        <w:rPr>
          <w:shd w:val="clear" w:color="auto" w:fill="FFFFFF"/>
        </w:rPr>
        <w:t>(</w:t>
      </w:r>
      <w:r w:rsidRPr="00191E23">
        <w:rPr>
          <w:shd w:val="clear" w:color="auto" w:fill="FFFFFF"/>
        </w:rPr>
        <w:t>2014</w:t>
      </w:r>
      <w:r w:rsidR="00191E23" w:rsidRPr="00191E23">
        <w:rPr>
          <w:shd w:val="clear" w:color="auto" w:fill="FFFFFF"/>
        </w:rPr>
        <w:t>)</w:t>
      </w:r>
      <w:r w:rsidRPr="00191E23">
        <w:rPr>
          <w:shd w:val="clear" w:color="auto" w:fill="FFFFFF"/>
        </w:rPr>
        <w:t xml:space="preserve"> Phytic acid concentration influences iron bioavailability from biofortified beans in Rwandese women with low iron status. </w:t>
      </w:r>
      <w:r w:rsidRPr="00191E23">
        <w:rPr>
          <w:i/>
          <w:iCs/>
          <w:shd w:val="clear" w:color="auto" w:fill="FFFFFF"/>
        </w:rPr>
        <w:t xml:space="preserve">The Journal of </w:t>
      </w:r>
      <w:r w:rsidR="00191E23">
        <w:rPr>
          <w:i/>
          <w:iCs/>
          <w:shd w:val="clear" w:color="auto" w:fill="FFFFFF"/>
        </w:rPr>
        <w:t>N</w:t>
      </w:r>
      <w:r w:rsidRPr="00191E23">
        <w:rPr>
          <w:i/>
          <w:iCs/>
          <w:shd w:val="clear" w:color="auto" w:fill="FFFFFF"/>
        </w:rPr>
        <w:t>utrition</w:t>
      </w:r>
      <w:r w:rsidRPr="00191E23">
        <w:rPr>
          <w:shd w:val="clear" w:color="auto" w:fill="FFFFFF"/>
        </w:rPr>
        <w:t>, 144</w:t>
      </w:r>
      <w:r w:rsidR="00191E23" w:rsidRPr="00191E23">
        <w:rPr>
          <w:shd w:val="clear" w:color="auto" w:fill="FFFFFF"/>
        </w:rPr>
        <w:t xml:space="preserve">, </w:t>
      </w:r>
      <w:r w:rsidRPr="00191E23">
        <w:rPr>
          <w:shd w:val="clear" w:color="auto" w:fill="FFFFFF"/>
        </w:rPr>
        <w:t>1681-1687.</w:t>
      </w:r>
    </w:p>
    <w:p w14:paraId="444F6127" w14:textId="77777777" w:rsidR="00AA6FAA" w:rsidRDefault="00AA6FAA" w:rsidP="00AA6FAA">
      <w:pPr>
        <w:pStyle w:val="NormalWeb"/>
        <w:ind w:left="480" w:hanging="480"/>
        <w:rPr>
          <w:shd w:val="clear" w:color="auto" w:fill="FFFFFF"/>
        </w:rPr>
      </w:pPr>
      <w:r>
        <w:rPr>
          <w:shd w:val="clear" w:color="auto" w:fill="FFFFFF"/>
        </w:rPr>
        <w:t>Petry, N., Jallow, B., Sawo, Y., Darboe, M. K., Barrow, S., Sarr, A., … &amp; Rohner, F. (2019) Micronutrient deficiencies, nutritional status and the determinants of anemia in children 0–59 months of age and non-pregnant women of reproductive age in The Gambia. </w:t>
      </w:r>
      <w:r>
        <w:rPr>
          <w:i/>
          <w:iCs/>
          <w:shd w:val="clear" w:color="auto" w:fill="FFFFFF"/>
        </w:rPr>
        <w:t>Nutrients</w:t>
      </w:r>
      <w:r>
        <w:rPr>
          <w:shd w:val="clear" w:color="auto" w:fill="FFFFFF"/>
        </w:rPr>
        <w:t>, </w:t>
      </w:r>
      <w:r>
        <w:rPr>
          <w:iCs/>
          <w:shd w:val="clear" w:color="auto" w:fill="FFFFFF"/>
        </w:rPr>
        <w:t>11</w:t>
      </w:r>
      <w:r>
        <w:rPr>
          <w:shd w:val="clear" w:color="auto" w:fill="FFFFFF"/>
        </w:rPr>
        <w:t>, 2275.</w:t>
      </w:r>
    </w:p>
    <w:p w14:paraId="344EDDED" w14:textId="77777777" w:rsidR="00AA6FAA" w:rsidRDefault="00AA6FAA" w:rsidP="00AA6FAA">
      <w:pPr>
        <w:pStyle w:val="NormalWeb"/>
        <w:ind w:left="480" w:hanging="480"/>
        <w:rPr>
          <w:shd w:val="clear" w:color="auto" w:fill="FFFFFF"/>
        </w:rPr>
      </w:pPr>
      <w:r>
        <w:rPr>
          <w:shd w:val="clear" w:color="auto" w:fill="FFFFFF"/>
        </w:rPr>
        <w:t>Petry, N., Olofin, I., Hurrell, R. F., Boy, E., Wirth, J. P., Moursi, M., Donahue Angel, M. &amp; Rohner, F. (2016a) The proportion of anemia associated with iron deficiency in low, medium, and high human development index countries: a systematic analysis of national surveys. </w:t>
      </w:r>
      <w:r>
        <w:rPr>
          <w:i/>
          <w:iCs/>
          <w:shd w:val="clear" w:color="auto" w:fill="FFFFFF"/>
        </w:rPr>
        <w:t>Nutrients</w:t>
      </w:r>
      <w:r>
        <w:rPr>
          <w:shd w:val="clear" w:color="auto" w:fill="FFFFFF"/>
        </w:rPr>
        <w:t>, </w:t>
      </w:r>
      <w:r>
        <w:rPr>
          <w:iCs/>
          <w:shd w:val="clear" w:color="auto" w:fill="FFFFFF"/>
        </w:rPr>
        <w:t>8</w:t>
      </w:r>
      <w:r>
        <w:rPr>
          <w:shd w:val="clear" w:color="auto" w:fill="FFFFFF"/>
        </w:rPr>
        <w:t>. https://doi.org/10.3390/nu8110693</w:t>
      </w:r>
    </w:p>
    <w:p w14:paraId="50A48EE2" w14:textId="77777777" w:rsidR="00AA6FAA" w:rsidRDefault="00AA6FAA" w:rsidP="00AA6FAA">
      <w:pPr>
        <w:pStyle w:val="NormalWeb"/>
        <w:ind w:left="480" w:hanging="480"/>
        <w:rPr>
          <w:noProof/>
        </w:rPr>
      </w:pPr>
      <w:r>
        <w:rPr>
          <w:shd w:val="clear" w:color="auto" w:fill="FFFFFF"/>
        </w:rPr>
        <w:t>Petry, N., Rohner, F., Gahutu, J. B., Campion, B., Boy, E., Tugirimana, P. L., Zimmerman, M. B., Zwahlen, C., Wirth, J. P. &amp; Moretti, D. (2016b) In Rwandese women with low iron status, iron absorption from low-phytic acid beans and biofortified beans is comparable, but low-phytic acid beans cause adverse gastrointestinal symptoms. </w:t>
      </w:r>
      <w:r>
        <w:rPr>
          <w:i/>
          <w:iCs/>
          <w:shd w:val="clear" w:color="auto" w:fill="FFFFFF"/>
        </w:rPr>
        <w:t>The Journal of Nutrition</w:t>
      </w:r>
      <w:r>
        <w:rPr>
          <w:shd w:val="clear" w:color="auto" w:fill="FFFFFF"/>
        </w:rPr>
        <w:t>, 146, 970-975.</w:t>
      </w:r>
    </w:p>
    <w:p w14:paraId="540A605F" w14:textId="77777777" w:rsidR="00AA6FAA" w:rsidRDefault="00AA6FAA" w:rsidP="00AA6FAA">
      <w:pPr>
        <w:pStyle w:val="NormalWeb"/>
        <w:ind w:left="480" w:hanging="480"/>
        <w:rPr>
          <w:noProof/>
        </w:rPr>
      </w:pPr>
      <w:r>
        <w:rPr>
          <w:shd w:val="clear" w:color="auto" w:fill="FFFFFF"/>
        </w:rPr>
        <w:t>Phatlhane, D. V., Zemlin, A. E., Matsha, T. E., Hoffmann, M., Naidoo, N., Ichihara, K., Smit, F. &amp; Erasmus, R. T. (2016) The iron status of a healthy South African adult population. </w:t>
      </w:r>
      <w:r>
        <w:rPr>
          <w:i/>
          <w:iCs/>
          <w:shd w:val="clear" w:color="auto" w:fill="FFFFFF"/>
        </w:rPr>
        <w:t>Clinica Chimica Acta</w:t>
      </w:r>
      <w:r>
        <w:rPr>
          <w:shd w:val="clear" w:color="auto" w:fill="FFFFFF"/>
        </w:rPr>
        <w:t>, 460, 240-245.</w:t>
      </w:r>
    </w:p>
    <w:p w14:paraId="2D200869"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Platel, K. &amp; Srinivasan, K. (2016) Bioavailability of micronutrients from plant foods: an update. </w:t>
      </w:r>
      <w:r>
        <w:rPr>
          <w:rFonts w:cs="Times New Roman"/>
          <w:i/>
          <w:iCs/>
          <w:szCs w:val="24"/>
          <w:shd w:val="clear" w:color="auto" w:fill="FFFFFF"/>
        </w:rPr>
        <w:t>Critical Reviews in Food Science and Nutrition</w:t>
      </w:r>
      <w:r>
        <w:rPr>
          <w:rFonts w:cs="Times New Roman"/>
          <w:szCs w:val="24"/>
          <w:shd w:val="clear" w:color="auto" w:fill="FFFFFF"/>
        </w:rPr>
        <w:t>, 56, 1608-1619.</w:t>
      </w:r>
    </w:p>
    <w:p w14:paraId="40EF6D33"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rPr>
        <w:t xml:space="preserve">Porres, J. M., Etcheverry, P. &amp; Miller, D. D. (2001) Phytase and citric acid supplementation in whole-wheat bread improves phytate-phosphorus release and iron dialyzability. </w:t>
      </w:r>
      <w:r>
        <w:rPr>
          <w:rFonts w:cs="Times New Roman"/>
          <w:i/>
          <w:szCs w:val="24"/>
        </w:rPr>
        <w:t xml:space="preserve">Journal of Food Science, </w:t>
      </w:r>
      <w:r>
        <w:rPr>
          <w:rFonts w:cs="Times New Roman"/>
          <w:iCs/>
          <w:szCs w:val="24"/>
        </w:rPr>
        <w:t>66,</w:t>
      </w:r>
      <w:r>
        <w:rPr>
          <w:rFonts w:cs="Times New Roman"/>
          <w:szCs w:val="24"/>
        </w:rPr>
        <w:t xml:space="preserve"> 614-619.</w:t>
      </w:r>
    </w:p>
    <w:p w14:paraId="3C3D1B30"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Potocnik, F. C., van Rensburg, S. J., Hon, D., Emsley, R. A., Moodie, I. M. &amp; Erasmus, R. T. (2006) Oral zinc augmentation with vitamins A and D increases plasma zinc concentration: implications for burden of disease. </w:t>
      </w:r>
      <w:r>
        <w:rPr>
          <w:rFonts w:cs="Times New Roman"/>
          <w:i/>
          <w:iCs/>
          <w:szCs w:val="24"/>
          <w:shd w:val="clear" w:color="auto" w:fill="FFFFFF"/>
        </w:rPr>
        <w:t>Metabolic Brain Disease</w:t>
      </w:r>
      <w:r>
        <w:rPr>
          <w:rFonts w:cs="Times New Roman"/>
          <w:szCs w:val="24"/>
          <w:shd w:val="clear" w:color="auto" w:fill="FFFFFF"/>
        </w:rPr>
        <w:t>, 21, 139-147.</w:t>
      </w:r>
    </w:p>
    <w:p w14:paraId="0F48DC3A"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rPr>
        <w:t xml:space="preserve">Price, M. L., Van Scoyoc, S. &amp; Butler, L. G. (1978). A critical evaluation of the vanillin reaction as an assay for tannin in sorghum grain. </w:t>
      </w:r>
      <w:r>
        <w:rPr>
          <w:rFonts w:cs="Times New Roman"/>
          <w:i/>
          <w:szCs w:val="24"/>
        </w:rPr>
        <w:t xml:space="preserve">Journal of Agricultural and Food Chemistry, </w:t>
      </w:r>
      <w:r>
        <w:rPr>
          <w:rFonts w:cs="Times New Roman"/>
          <w:iCs/>
          <w:szCs w:val="24"/>
        </w:rPr>
        <w:t>26,</w:t>
      </w:r>
      <w:r>
        <w:rPr>
          <w:rFonts w:cs="Times New Roman"/>
          <w:szCs w:val="24"/>
        </w:rPr>
        <w:t xml:space="preserve"> 1214-1218.</w:t>
      </w:r>
    </w:p>
    <w:p w14:paraId="79356419"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rPr>
        <w:t xml:space="preserve">Proulx, A. K. &amp; Reddy, M. B. (2007). Fermentation and lactic acid addition enhance iron bioavailability of maize. </w:t>
      </w:r>
      <w:r>
        <w:rPr>
          <w:rFonts w:cs="Times New Roman"/>
          <w:i/>
          <w:szCs w:val="24"/>
        </w:rPr>
        <w:t xml:space="preserve">Journal of Agricultural and Food Chemistry, </w:t>
      </w:r>
      <w:r>
        <w:rPr>
          <w:rFonts w:cs="Times New Roman"/>
          <w:iCs/>
          <w:szCs w:val="24"/>
        </w:rPr>
        <w:t>55,</w:t>
      </w:r>
      <w:r>
        <w:rPr>
          <w:rFonts w:cs="Times New Roman"/>
          <w:szCs w:val="24"/>
        </w:rPr>
        <w:t xml:space="preserve"> 2749-2754.</w:t>
      </w:r>
    </w:p>
    <w:p w14:paraId="104E1AC8" w14:textId="2CDDEF08" w:rsidR="00AA6FAA" w:rsidRDefault="00AA6FAA" w:rsidP="00AA6FAA">
      <w:pPr>
        <w:pStyle w:val="NormalWeb"/>
        <w:ind w:left="480" w:hanging="480"/>
        <w:rPr>
          <w:shd w:val="clear" w:color="auto" w:fill="FFFFFF"/>
        </w:rPr>
      </w:pPr>
      <w:r>
        <w:rPr>
          <w:shd w:val="clear" w:color="auto" w:fill="FFFFFF"/>
        </w:rPr>
        <w:t>Raes, K., Knockaert, D., Struijs, K. &amp; Van Camp, J. (2014) Role of processing on bioaccessibility of minerals: Influence of localization of minerals and anti-nutritional factors in the plant. </w:t>
      </w:r>
      <w:r>
        <w:rPr>
          <w:i/>
          <w:iCs/>
          <w:shd w:val="clear" w:color="auto" w:fill="FFFFFF"/>
        </w:rPr>
        <w:t>Trends in Food Science &amp; Technology</w:t>
      </w:r>
      <w:r>
        <w:rPr>
          <w:shd w:val="clear" w:color="auto" w:fill="FFFFFF"/>
        </w:rPr>
        <w:t>, 37, 32-41.</w:t>
      </w:r>
    </w:p>
    <w:p w14:paraId="5927C1C6" w14:textId="687F3251" w:rsidR="0051739D" w:rsidRPr="00496837" w:rsidRDefault="0051739D" w:rsidP="00AA6FAA">
      <w:pPr>
        <w:pStyle w:val="NormalWeb"/>
        <w:ind w:left="480" w:hanging="480"/>
        <w:rPr>
          <w:shd w:val="clear" w:color="auto" w:fill="FFFFFF"/>
        </w:rPr>
      </w:pPr>
      <w:r w:rsidRPr="00496837">
        <w:rPr>
          <w:shd w:val="clear" w:color="auto" w:fill="FFFFFF"/>
        </w:rPr>
        <w:t>Raheem, D., Carrascosa, C., Oluwole, O.</w:t>
      </w:r>
      <w:r w:rsidR="00496837" w:rsidRPr="00496837">
        <w:rPr>
          <w:shd w:val="clear" w:color="auto" w:fill="FFFFFF"/>
        </w:rPr>
        <w:t xml:space="preserve"> </w:t>
      </w:r>
      <w:r w:rsidRPr="00496837">
        <w:rPr>
          <w:shd w:val="clear" w:color="auto" w:fill="FFFFFF"/>
        </w:rPr>
        <w:t xml:space="preserve">B., Nieuwland, M., Saraiva, A., Millán, R. </w:t>
      </w:r>
      <w:r w:rsidR="00496837" w:rsidRPr="00496837">
        <w:rPr>
          <w:shd w:val="clear" w:color="auto" w:fill="FFFFFF"/>
        </w:rPr>
        <w:t>&amp;</w:t>
      </w:r>
      <w:r w:rsidRPr="00496837">
        <w:rPr>
          <w:shd w:val="clear" w:color="auto" w:fill="FFFFFF"/>
        </w:rPr>
        <w:t xml:space="preserve"> Raposo, A. </w:t>
      </w:r>
      <w:r w:rsidR="00496837" w:rsidRPr="00496837">
        <w:rPr>
          <w:shd w:val="clear" w:color="auto" w:fill="FFFFFF"/>
        </w:rPr>
        <w:t>(</w:t>
      </w:r>
      <w:r w:rsidRPr="00496837">
        <w:rPr>
          <w:shd w:val="clear" w:color="auto" w:fill="FFFFFF"/>
        </w:rPr>
        <w:t>2019</w:t>
      </w:r>
      <w:r w:rsidR="00496837" w:rsidRPr="00496837">
        <w:rPr>
          <w:shd w:val="clear" w:color="auto" w:fill="FFFFFF"/>
        </w:rPr>
        <w:t>)</w:t>
      </w:r>
      <w:r w:rsidRPr="00496837">
        <w:rPr>
          <w:shd w:val="clear" w:color="auto" w:fill="FFFFFF"/>
        </w:rPr>
        <w:t xml:space="preserve"> Traditional consumption of and rearing edible insects in Africa, Asia and Europe. </w:t>
      </w:r>
      <w:r w:rsidRPr="00496837">
        <w:rPr>
          <w:i/>
          <w:iCs/>
          <w:shd w:val="clear" w:color="auto" w:fill="FFFFFF"/>
        </w:rPr>
        <w:t>Critical Reviews in Food Science and Nutrition</w:t>
      </w:r>
      <w:r w:rsidRPr="00496837">
        <w:rPr>
          <w:shd w:val="clear" w:color="auto" w:fill="FFFFFF"/>
        </w:rPr>
        <w:t>, 59</w:t>
      </w:r>
      <w:r w:rsidR="00496837" w:rsidRPr="00496837">
        <w:rPr>
          <w:shd w:val="clear" w:color="auto" w:fill="FFFFFF"/>
        </w:rPr>
        <w:t xml:space="preserve">, </w:t>
      </w:r>
      <w:r w:rsidRPr="00496837">
        <w:rPr>
          <w:shd w:val="clear" w:color="auto" w:fill="FFFFFF"/>
        </w:rPr>
        <w:t>2169-2188.</w:t>
      </w:r>
    </w:p>
    <w:p w14:paraId="1F661C56" w14:textId="77777777" w:rsidR="00AA6FAA" w:rsidRDefault="00AA6FAA" w:rsidP="00AA6FAA">
      <w:pPr>
        <w:pStyle w:val="NormalWeb"/>
        <w:ind w:left="480" w:hanging="480"/>
        <w:rPr>
          <w:noProof/>
        </w:rPr>
      </w:pPr>
      <w:r>
        <w:rPr>
          <w:shd w:val="clear" w:color="auto" w:fill="FFFFFF"/>
        </w:rPr>
        <w:t>Ranum, P., Peña-Rosas, J. P. &amp; Garcia-Casal, M. N. (2014) Global maize production, utilization, and consumption. </w:t>
      </w:r>
      <w:r>
        <w:rPr>
          <w:i/>
          <w:iCs/>
          <w:shd w:val="clear" w:color="auto" w:fill="FFFFFF"/>
        </w:rPr>
        <w:t>Annals of the New York Academy of Sciences</w:t>
      </w:r>
      <w:r>
        <w:rPr>
          <w:shd w:val="clear" w:color="auto" w:fill="FFFFFF"/>
        </w:rPr>
        <w:t>, 1312, 105-112.</w:t>
      </w:r>
    </w:p>
    <w:p w14:paraId="2B59D321" w14:textId="77777777" w:rsidR="00AA6FAA" w:rsidRDefault="00AA6FAA" w:rsidP="00AA6FAA">
      <w:pPr>
        <w:pStyle w:val="NormalWeb"/>
        <w:ind w:left="480" w:hanging="480"/>
        <w:rPr>
          <w:shd w:val="clear" w:color="auto" w:fill="FFFFFF"/>
        </w:rPr>
      </w:pPr>
      <w:r>
        <w:rPr>
          <w:shd w:val="clear" w:color="auto" w:fill="FFFFFF"/>
        </w:rPr>
        <w:t>Rao, S., Joshi, S., Bhide, P., Puranik, B. &amp; Asawari, K. (2014) Dietary diversification for prevention of anaemia among women of childbearing age from rural India. </w:t>
      </w:r>
      <w:r>
        <w:rPr>
          <w:i/>
          <w:iCs/>
          <w:shd w:val="clear" w:color="auto" w:fill="FFFFFF"/>
        </w:rPr>
        <w:t>Public Health Nutrition</w:t>
      </w:r>
      <w:r>
        <w:rPr>
          <w:shd w:val="clear" w:color="auto" w:fill="FFFFFF"/>
        </w:rPr>
        <w:t>, 17, 939-947.</w:t>
      </w:r>
    </w:p>
    <w:p w14:paraId="30056232" w14:textId="77777777" w:rsidR="00AA6FAA" w:rsidRDefault="00AA6FAA" w:rsidP="00AA6FAA">
      <w:pPr>
        <w:pStyle w:val="NormalWeb"/>
        <w:ind w:left="480" w:hanging="480"/>
        <w:rPr>
          <w:noProof/>
        </w:rPr>
      </w:pPr>
      <w:r>
        <w:rPr>
          <w:shd w:val="clear" w:color="auto" w:fill="FFFFFF"/>
        </w:rPr>
        <w:t>Reddy, M. B. &amp; Cook, J. D. (1991) Assessment of dietary determinants of nonheme-iron absorption in humans and rats. </w:t>
      </w:r>
      <w:r>
        <w:rPr>
          <w:i/>
          <w:iCs/>
          <w:shd w:val="clear" w:color="auto" w:fill="FFFFFF"/>
        </w:rPr>
        <w:t>The American Journal of Clinical Nutrition</w:t>
      </w:r>
      <w:r>
        <w:rPr>
          <w:shd w:val="clear" w:color="auto" w:fill="FFFFFF"/>
        </w:rPr>
        <w:t>, 54, 723-728.</w:t>
      </w:r>
    </w:p>
    <w:p w14:paraId="5994DD66" w14:textId="77777777" w:rsidR="00AA6FAA" w:rsidRDefault="00AA6FAA" w:rsidP="00AA6FAA">
      <w:pPr>
        <w:pStyle w:val="NormalWeb"/>
        <w:ind w:left="480" w:hanging="480"/>
        <w:rPr>
          <w:shd w:val="clear" w:color="auto" w:fill="FFFFFF"/>
        </w:rPr>
      </w:pPr>
      <w:r>
        <w:rPr>
          <w:shd w:val="clear" w:color="auto" w:fill="FFFFFF"/>
        </w:rPr>
        <w:t>Roba, K. T., O’Connor, T. P., Belachew, T. &amp; O’Brien, N. M. (2018) Concurrent iron and zinc deficiencies in lactating mothers and their children 6–23 months of age in two agro-ecological zones of rural Ethiopia. </w:t>
      </w:r>
      <w:r>
        <w:rPr>
          <w:i/>
          <w:iCs/>
          <w:shd w:val="clear" w:color="auto" w:fill="FFFFFF"/>
        </w:rPr>
        <w:t>European Journal of Nutrition</w:t>
      </w:r>
      <w:r>
        <w:rPr>
          <w:shd w:val="clear" w:color="auto" w:fill="FFFFFF"/>
        </w:rPr>
        <w:t>, </w:t>
      </w:r>
      <w:r>
        <w:rPr>
          <w:iCs/>
          <w:shd w:val="clear" w:color="auto" w:fill="FFFFFF"/>
        </w:rPr>
        <w:t>57</w:t>
      </w:r>
      <w:r>
        <w:rPr>
          <w:shd w:val="clear" w:color="auto" w:fill="FFFFFF"/>
        </w:rPr>
        <w:t>, 655-667.</w:t>
      </w:r>
    </w:p>
    <w:p w14:paraId="3EFE659A" w14:textId="77777777" w:rsidR="00AA6FAA" w:rsidRDefault="00AA6FAA" w:rsidP="00AA6FAA">
      <w:pPr>
        <w:pStyle w:val="NormalWeb"/>
        <w:ind w:left="480" w:hanging="480"/>
        <w:rPr>
          <w:shd w:val="clear" w:color="auto" w:fill="FFFFFF"/>
        </w:rPr>
      </w:pPr>
      <w:r>
        <w:rPr>
          <w:shd w:val="clear" w:color="auto" w:fill="FFFFFF"/>
        </w:rPr>
        <w:t xml:space="preserve">Rodriguez-Ramiro, I., Dell’Aquila, C., Ward, J. L., Neal, A. L., Bruggraber, S. F. A., Shewry, P. R. &amp; Fairweather-Tait, S. (2019) Estimation of the iron bioavailability in green vegetables using in vitro digestion/Caco-2 cell model. </w:t>
      </w:r>
      <w:r>
        <w:rPr>
          <w:i/>
          <w:iCs/>
          <w:shd w:val="clear" w:color="auto" w:fill="FFFFFF"/>
        </w:rPr>
        <w:t>Food Chemistry,</w:t>
      </w:r>
      <w:r>
        <w:rPr>
          <w:shd w:val="clear" w:color="auto" w:fill="FFFFFF"/>
        </w:rPr>
        <w:t xml:space="preserve"> 301, 125292</w:t>
      </w:r>
    </w:p>
    <w:p w14:paraId="408C8CBA" w14:textId="77777777" w:rsidR="00AA6FAA" w:rsidRDefault="00AA6FAA" w:rsidP="00AA6FAA">
      <w:pPr>
        <w:pStyle w:val="NormalWeb"/>
        <w:ind w:left="480" w:hanging="480"/>
        <w:rPr>
          <w:shd w:val="clear" w:color="auto" w:fill="FFFFFF"/>
        </w:rPr>
      </w:pPr>
      <w:r>
        <w:rPr>
          <w:shd w:val="clear" w:color="auto" w:fill="FFFFFF"/>
        </w:rPr>
        <w:t>Roohani, N., Hurrell, R., Kelishadi, R. &amp; Schulin, R. (2013) Zinc and its importance for human health: An integrative review. </w:t>
      </w:r>
      <w:r>
        <w:rPr>
          <w:i/>
          <w:iCs/>
          <w:shd w:val="clear" w:color="auto" w:fill="FFFFFF"/>
        </w:rPr>
        <w:t>Journal of Research in Medical Sciences,</w:t>
      </w:r>
      <w:r>
        <w:rPr>
          <w:shd w:val="clear" w:color="auto" w:fill="FFFFFF"/>
        </w:rPr>
        <w:t> 18, 144-157.</w:t>
      </w:r>
    </w:p>
    <w:p w14:paraId="6AFF95DB" w14:textId="77777777" w:rsidR="00AA6FAA" w:rsidRDefault="00AA6FAA" w:rsidP="00AA6FAA">
      <w:pPr>
        <w:pStyle w:val="NormalWeb"/>
        <w:ind w:left="480" w:hanging="480"/>
        <w:rPr>
          <w:shd w:val="clear" w:color="auto" w:fill="FFFFFF"/>
        </w:rPr>
      </w:pPr>
      <w:r>
        <w:rPr>
          <w:shd w:val="clear" w:color="auto" w:fill="FFFFFF"/>
        </w:rPr>
        <w:t>Rosado, J. L., Díaz, M., Muñoz, E., Westcott, J. L., González, K. E., Krebs, N. F., Caamaño, M.C. &amp; Hambidge, M. (2012) Bioavailability of zinc oxide added to corn tortilla is similar to that of zinc sulfate and is not affected by simultaneous addition of iron. </w:t>
      </w:r>
      <w:r>
        <w:rPr>
          <w:i/>
          <w:iCs/>
          <w:shd w:val="clear" w:color="auto" w:fill="FFFFFF"/>
        </w:rPr>
        <w:t>Food and Nutrition Bulletin</w:t>
      </w:r>
      <w:r>
        <w:rPr>
          <w:shd w:val="clear" w:color="auto" w:fill="FFFFFF"/>
        </w:rPr>
        <w:t xml:space="preserve">, 33, 261–266. </w:t>
      </w:r>
    </w:p>
    <w:p w14:paraId="6A24EE0A" w14:textId="77777777" w:rsidR="00AA6FAA" w:rsidRDefault="00AA6FAA" w:rsidP="00AA6FAA">
      <w:pPr>
        <w:pStyle w:val="NormalWeb"/>
        <w:ind w:left="480" w:hanging="480"/>
        <w:rPr>
          <w:shd w:val="clear" w:color="auto" w:fill="FFFFFF"/>
        </w:rPr>
      </w:pPr>
      <w:r>
        <w:rPr>
          <w:shd w:val="clear" w:color="auto" w:fill="FFFFFF"/>
        </w:rPr>
        <w:t>Ross, A. C., Taylor, C. L., Yaktine, A. L., &amp; Del Valle, H. B., eds. (2011) </w:t>
      </w:r>
      <w:r>
        <w:rPr>
          <w:i/>
          <w:iCs/>
          <w:shd w:val="clear" w:color="auto" w:fill="FFFFFF"/>
        </w:rPr>
        <w:t>Dietary reference intakes for calcium and vitamin D</w:t>
      </w:r>
      <w:r>
        <w:rPr>
          <w:shd w:val="clear" w:color="auto" w:fill="FFFFFF"/>
        </w:rPr>
        <w:t>. The National Academies Press. Washington DC Institute of Medicine.</w:t>
      </w:r>
    </w:p>
    <w:p w14:paraId="25CCDCA9" w14:textId="77777777" w:rsidR="00AA6FAA" w:rsidRDefault="00AA6FAA" w:rsidP="00AA6FAA">
      <w:pPr>
        <w:pStyle w:val="NormalWeb"/>
        <w:ind w:left="480" w:hanging="480"/>
        <w:rPr>
          <w:shd w:val="clear" w:color="auto" w:fill="FFFFFF"/>
        </w:rPr>
      </w:pPr>
      <w:r>
        <w:rPr>
          <w:shd w:val="clear" w:color="auto" w:fill="FFFFFF"/>
        </w:rPr>
        <w:t>Rossander-Hultén, L., Brune, M., Sandström, B., Lönnerdal, B. &amp; Hallberg, L. (1991) Competitive inhibition of iron absorption by manganese and zinc in humans. </w:t>
      </w:r>
      <w:r>
        <w:rPr>
          <w:i/>
          <w:iCs/>
          <w:shd w:val="clear" w:color="auto" w:fill="FFFFFF"/>
        </w:rPr>
        <w:t>The American Journal of Clinical Nutrition</w:t>
      </w:r>
      <w:r>
        <w:rPr>
          <w:shd w:val="clear" w:color="auto" w:fill="FFFFFF"/>
        </w:rPr>
        <w:t>, 54, 152-156.</w:t>
      </w:r>
    </w:p>
    <w:p w14:paraId="3F3A0FDE" w14:textId="77777777" w:rsidR="00AA6FAA" w:rsidRDefault="00AA6FAA" w:rsidP="00AA6FAA">
      <w:pPr>
        <w:pStyle w:val="NormalWeb"/>
        <w:ind w:left="480" w:hanging="480"/>
        <w:rPr>
          <w:noProof/>
        </w:rPr>
      </w:pPr>
      <w:r>
        <w:rPr>
          <w:shd w:val="clear" w:color="auto" w:fill="FFFFFF"/>
        </w:rPr>
        <w:t>Rousseau, S., Kyomugasho, C., Celus, M., Hendrickx, M. E. &amp; Grauwet, T. (2020) Barriers impairing mineral bioaccessibility and bioavailability in plant-based foods and the perspectives for food processing. </w:t>
      </w:r>
      <w:r>
        <w:rPr>
          <w:i/>
          <w:iCs/>
          <w:shd w:val="clear" w:color="auto" w:fill="FFFFFF"/>
        </w:rPr>
        <w:t>Critical Reviews in Food Science and Nutrition</w:t>
      </w:r>
      <w:r>
        <w:rPr>
          <w:shd w:val="clear" w:color="auto" w:fill="FFFFFF"/>
        </w:rPr>
        <w:t>, 60, 826-843.</w:t>
      </w:r>
    </w:p>
    <w:p w14:paraId="317F94A3" w14:textId="77777777" w:rsidR="00AA6FAA" w:rsidRDefault="00AA6FAA" w:rsidP="00AA6FAA">
      <w:pPr>
        <w:pStyle w:val="NormalWeb"/>
        <w:ind w:left="480" w:hanging="480"/>
        <w:rPr>
          <w:shd w:val="clear" w:color="auto" w:fill="FFFFFF"/>
        </w:rPr>
      </w:pPr>
      <w:r>
        <w:t>Ruel, M. T.</w:t>
      </w:r>
      <w:r>
        <w:rPr>
          <w:i/>
          <w:iCs/>
        </w:rPr>
        <w:t xml:space="preserve"> </w:t>
      </w:r>
      <w:r>
        <w:t xml:space="preserve">(2003) </w:t>
      </w:r>
      <w:r>
        <w:rPr>
          <w:shd w:val="clear" w:color="auto" w:fill="FFFFFF"/>
        </w:rPr>
        <w:t>Is dietary diversity an indicator of food security or dietary quality? A review of measurement issues and research needs.</w:t>
      </w:r>
      <w:r>
        <w:rPr>
          <w:i/>
          <w:iCs/>
        </w:rPr>
        <w:t xml:space="preserve"> Food Nutrition Bulletin, </w:t>
      </w:r>
      <w:r>
        <w:t>24,</w:t>
      </w:r>
      <w:r>
        <w:rPr>
          <w:i/>
          <w:iCs/>
        </w:rPr>
        <w:t xml:space="preserve"> 231-232.</w:t>
      </w:r>
    </w:p>
    <w:p w14:paraId="0675F4A7" w14:textId="77777777" w:rsidR="00AA6FAA" w:rsidRDefault="00AA6FAA" w:rsidP="00AA6FAA">
      <w:pPr>
        <w:pStyle w:val="NormalWeb"/>
        <w:ind w:left="480" w:hanging="480"/>
        <w:rPr>
          <w:shd w:val="clear" w:color="auto" w:fill="FFFFFF"/>
        </w:rPr>
      </w:pPr>
      <w:r>
        <w:rPr>
          <w:shd w:val="clear" w:color="auto" w:fill="FFFFFF"/>
        </w:rPr>
        <w:t>Sachdev, H. P. S., Gera, T. &amp; Nestel, P. (2005) Effect of iron supplementation on mental and motor development in children: systematic review of randomised controlled trials. </w:t>
      </w:r>
      <w:r>
        <w:rPr>
          <w:i/>
          <w:iCs/>
          <w:shd w:val="clear" w:color="auto" w:fill="FFFFFF"/>
        </w:rPr>
        <w:t>Public Health Nutrition</w:t>
      </w:r>
      <w:r>
        <w:rPr>
          <w:shd w:val="clear" w:color="auto" w:fill="FFFFFF"/>
        </w:rPr>
        <w:t>, </w:t>
      </w:r>
      <w:r>
        <w:rPr>
          <w:iCs/>
          <w:shd w:val="clear" w:color="auto" w:fill="FFFFFF"/>
        </w:rPr>
        <w:t>8</w:t>
      </w:r>
      <w:r>
        <w:rPr>
          <w:shd w:val="clear" w:color="auto" w:fill="FFFFFF"/>
        </w:rPr>
        <w:t>, 117-132.</w:t>
      </w:r>
    </w:p>
    <w:p w14:paraId="7637706C"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noProof/>
          <w:szCs w:val="24"/>
        </w:rPr>
        <w:t xml:space="preserve">Salvo, A., La Torre, G.L., Mangano, V., Casale, K. E., Bartolomeo, G., Santini, A., … &amp; Dugo, G. (2018). Toxic inorganic pollutants in foods from agricultural producing areas of southern Italy: Level and risk assessment. </w:t>
      </w:r>
      <w:r>
        <w:rPr>
          <w:rFonts w:cs="Times New Roman"/>
          <w:i/>
          <w:noProof/>
          <w:szCs w:val="24"/>
        </w:rPr>
        <w:t xml:space="preserve">Ecotoxicology and Environmental Safety, </w:t>
      </w:r>
      <w:r>
        <w:rPr>
          <w:rFonts w:cs="Times New Roman"/>
          <w:iCs/>
          <w:noProof/>
          <w:szCs w:val="24"/>
        </w:rPr>
        <w:t>148,</w:t>
      </w:r>
      <w:r>
        <w:rPr>
          <w:rFonts w:cs="Times New Roman"/>
          <w:noProof/>
          <w:szCs w:val="24"/>
        </w:rPr>
        <w:t xml:space="preserve"> 114-124.</w:t>
      </w:r>
    </w:p>
    <w:p w14:paraId="47E0E38F" w14:textId="4FB653DB" w:rsidR="00AA6FAA" w:rsidRDefault="00AA6FAA" w:rsidP="00AA6FAA">
      <w:pPr>
        <w:pStyle w:val="NormalWeb"/>
        <w:ind w:left="480" w:hanging="480"/>
        <w:rPr>
          <w:noProof/>
        </w:rPr>
      </w:pPr>
      <w:r>
        <w:t xml:space="preserve">Sandstead, H. H. (2015) Zinc. In: </w:t>
      </w:r>
      <w:r w:rsidR="00DC1E20" w:rsidRPr="00C53ED8">
        <w:rPr>
          <w:i/>
          <w:iCs/>
        </w:rPr>
        <w:t>Handbook on the toxicology of metals</w:t>
      </w:r>
      <w:r w:rsidR="00DC1E20">
        <w:t xml:space="preserve"> (edited by </w:t>
      </w:r>
      <w:r>
        <w:t>Nordberg</w:t>
      </w:r>
      <w:r w:rsidR="00DC1E20">
        <w:t>,</w:t>
      </w:r>
      <w:r>
        <w:t xml:space="preserve"> G</w:t>
      </w:r>
      <w:r w:rsidR="00DC1E20">
        <w:t xml:space="preserve">. </w:t>
      </w:r>
      <w:r>
        <w:t>F</w:t>
      </w:r>
      <w:r w:rsidR="00DC1E20">
        <w:t>.</w:t>
      </w:r>
      <w:r>
        <w:t>, Fowler</w:t>
      </w:r>
      <w:r w:rsidR="00DC1E20">
        <w:t>,</w:t>
      </w:r>
      <w:r>
        <w:t xml:space="preserve"> B</w:t>
      </w:r>
      <w:r w:rsidR="00DC1E20">
        <w:t xml:space="preserve">. </w:t>
      </w:r>
      <w:r>
        <w:t>A</w:t>
      </w:r>
      <w:r w:rsidR="00DC1E20">
        <w:t>. &amp;</w:t>
      </w:r>
      <w:r>
        <w:t xml:space="preserve"> Nordberg</w:t>
      </w:r>
      <w:r w:rsidR="00DC1E20">
        <w:t>,</w:t>
      </w:r>
      <w:r>
        <w:t xml:space="preserve"> M</w:t>
      </w:r>
      <w:r w:rsidR="00DC1E20">
        <w:t>.), Pp 1370–1379.</w:t>
      </w:r>
      <w:r>
        <w:t xml:space="preserve">  Academic </w:t>
      </w:r>
      <w:r w:rsidR="00C53ED8">
        <w:t>P</w:t>
      </w:r>
      <w:r>
        <w:t>ress</w:t>
      </w:r>
      <w:r w:rsidR="00C53ED8">
        <w:t>:</w:t>
      </w:r>
      <w:r>
        <w:t xml:space="preserve"> Cambridge</w:t>
      </w:r>
      <w:r w:rsidR="00C53ED8">
        <w:t>, UK.</w:t>
      </w:r>
    </w:p>
    <w:p w14:paraId="1986B666"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Sandström, B. &amp; Cederblad, A. (1987) Effect of ascorbic acid on the absorption of zinc and calcium in man. </w:t>
      </w:r>
      <w:r>
        <w:rPr>
          <w:rFonts w:cs="Times New Roman"/>
          <w:i/>
          <w:iCs/>
          <w:szCs w:val="24"/>
          <w:shd w:val="clear" w:color="auto" w:fill="FFFFFF"/>
        </w:rPr>
        <w:t>International Journal for Vitamin and Nutrition Research,</w:t>
      </w:r>
      <w:r>
        <w:rPr>
          <w:rFonts w:cs="Times New Roman"/>
          <w:szCs w:val="24"/>
          <w:shd w:val="clear" w:color="auto" w:fill="FFFFFF"/>
        </w:rPr>
        <w:t> 57, 87-90.</w:t>
      </w:r>
    </w:p>
    <w:p w14:paraId="60102B8A" w14:textId="77777777" w:rsidR="00AA6FAA" w:rsidRDefault="00AA6FAA" w:rsidP="00AA6FAA">
      <w:pPr>
        <w:widowControl w:val="0"/>
        <w:autoSpaceDE w:val="0"/>
        <w:autoSpaceDN w:val="0"/>
        <w:adjustRightInd w:val="0"/>
        <w:spacing w:line="240" w:lineRule="auto"/>
        <w:ind w:left="480" w:hanging="480"/>
        <w:rPr>
          <w:rFonts w:cs="Times New Roman"/>
          <w:szCs w:val="24"/>
        </w:rPr>
      </w:pPr>
      <w:bookmarkStart w:id="178" w:name="_Hlk55657292"/>
      <w:r>
        <w:rPr>
          <w:rFonts w:cs="Times New Roman"/>
          <w:szCs w:val="24"/>
        </w:rPr>
        <w:t>Sandström</w:t>
      </w:r>
      <w:bookmarkEnd w:id="178"/>
      <w:r>
        <w:rPr>
          <w:rFonts w:cs="Times New Roman"/>
          <w:szCs w:val="24"/>
        </w:rPr>
        <w:t xml:space="preserve">, B. (2001) ‘Micronutrient interactions: effects on absorption and bioavailability’. </w:t>
      </w:r>
      <w:r>
        <w:rPr>
          <w:rFonts w:cs="Times New Roman"/>
          <w:i/>
          <w:iCs/>
          <w:szCs w:val="24"/>
        </w:rPr>
        <w:t>British Journal of Nutrition,</w:t>
      </w:r>
      <w:r>
        <w:rPr>
          <w:rFonts w:cs="Times New Roman"/>
          <w:szCs w:val="24"/>
        </w:rPr>
        <w:t xml:space="preserve"> 85, S181–S185.</w:t>
      </w:r>
    </w:p>
    <w:p w14:paraId="676327B8" w14:textId="1AD3CF96" w:rsidR="00AA6FAA" w:rsidRPr="00181B75" w:rsidRDefault="00AA6FAA" w:rsidP="00AA6FAA">
      <w:pPr>
        <w:widowControl w:val="0"/>
        <w:autoSpaceDE w:val="0"/>
        <w:autoSpaceDN w:val="0"/>
        <w:adjustRightInd w:val="0"/>
        <w:spacing w:line="240" w:lineRule="auto"/>
        <w:ind w:left="480" w:hanging="480"/>
        <w:rPr>
          <w:rFonts w:cs="Times New Roman"/>
          <w:szCs w:val="24"/>
          <w:shd w:val="clear" w:color="auto" w:fill="FFFFFF"/>
        </w:rPr>
      </w:pPr>
      <w:r w:rsidRPr="00181B75">
        <w:rPr>
          <w:szCs w:val="24"/>
        </w:rPr>
        <w:t xml:space="preserve">Scott, J. K. (2001) </w:t>
      </w:r>
      <w:r w:rsidRPr="00181B75">
        <w:rPr>
          <w:i/>
          <w:iCs/>
          <w:szCs w:val="24"/>
        </w:rPr>
        <w:t xml:space="preserve">Current Protocals in Food Analytical Chemistry. </w:t>
      </w:r>
      <w:r w:rsidR="00181B75" w:rsidRPr="00181B75">
        <w:rPr>
          <w:szCs w:val="24"/>
        </w:rPr>
        <w:t>Hoboken</w:t>
      </w:r>
      <w:r w:rsidR="00522F54" w:rsidRPr="00181B75">
        <w:rPr>
          <w:szCs w:val="24"/>
        </w:rPr>
        <w:t>, U</w:t>
      </w:r>
      <w:r w:rsidR="00181B75" w:rsidRPr="00181B75">
        <w:rPr>
          <w:szCs w:val="24"/>
        </w:rPr>
        <w:t>SA</w:t>
      </w:r>
      <w:r w:rsidR="00522F54" w:rsidRPr="00181B75">
        <w:rPr>
          <w:szCs w:val="24"/>
        </w:rPr>
        <w:t xml:space="preserve">: </w:t>
      </w:r>
      <w:r w:rsidRPr="00181B75">
        <w:rPr>
          <w:szCs w:val="24"/>
        </w:rPr>
        <w:t>John Wiley &amp; Sons, Inc</w:t>
      </w:r>
      <w:r w:rsidR="00522F54" w:rsidRPr="00181B75">
        <w:rPr>
          <w:szCs w:val="24"/>
        </w:rPr>
        <w:t>.</w:t>
      </w:r>
    </w:p>
    <w:p w14:paraId="61F7AED5"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shd w:val="clear" w:color="auto" w:fill="FFFFFF"/>
        </w:rPr>
        <w:t>Shah, D., Sachdev, H. S., Gera, T., De-Regil, L. M. &amp; Peña-Rosas, J. P. (2016) Fortification of staple foods with zinc for improving zinc status and other health outcomes in the general population. </w:t>
      </w:r>
      <w:r>
        <w:rPr>
          <w:rFonts w:cs="Times New Roman"/>
          <w:i/>
          <w:iCs/>
          <w:szCs w:val="24"/>
          <w:shd w:val="clear" w:color="auto" w:fill="FFFFFF"/>
        </w:rPr>
        <w:t>Cochrane Database of Systematic Reviews</w:t>
      </w:r>
      <w:r>
        <w:rPr>
          <w:rFonts w:cs="Times New Roman"/>
          <w:szCs w:val="24"/>
          <w:shd w:val="clear" w:color="auto" w:fill="FFFFFF"/>
        </w:rPr>
        <w:t>, 6. https://doi.org/10.1002/14651858.CD010697.pub2</w:t>
      </w:r>
    </w:p>
    <w:p w14:paraId="75FB1E48"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rPr>
        <w:t xml:space="preserve">Sharma, K. D., Karki, S., Thakur, N. S. &amp; Attri, S. (2012) Chemical composition, functional properties and processing of carrot–a review. </w:t>
      </w:r>
      <w:r>
        <w:rPr>
          <w:rFonts w:cs="Times New Roman"/>
          <w:i/>
          <w:szCs w:val="24"/>
        </w:rPr>
        <w:t>Journal of Food Science and Technology,</w:t>
      </w:r>
      <w:r>
        <w:rPr>
          <w:rFonts w:cs="Times New Roman"/>
          <w:szCs w:val="24"/>
        </w:rPr>
        <w:t xml:space="preserve"> 49, 22-32.</w:t>
      </w:r>
    </w:p>
    <w:p w14:paraId="3DC5A87E"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shd w:val="clear" w:color="auto" w:fill="FFFFFF"/>
        </w:rPr>
        <w:t>Sharp, P. &amp; Srai, S. K. (2007). Molecular mechanisms involved in intestinal iron absorption. </w:t>
      </w:r>
      <w:r>
        <w:rPr>
          <w:rFonts w:cs="Times New Roman"/>
          <w:i/>
          <w:iCs/>
          <w:szCs w:val="24"/>
          <w:shd w:val="clear" w:color="auto" w:fill="FFFFFF"/>
        </w:rPr>
        <w:t>World Journal of Gastroenterology</w:t>
      </w:r>
      <w:r>
        <w:rPr>
          <w:rFonts w:cs="Times New Roman"/>
          <w:szCs w:val="24"/>
          <w:shd w:val="clear" w:color="auto" w:fill="FFFFFF"/>
        </w:rPr>
        <w:t>, 13, 4716.</w:t>
      </w:r>
    </w:p>
    <w:p w14:paraId="62DDB8D2"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Shashi, B. K., Sharan, S., Hittalamani, S., Shankar,  A. G. &amp; Nagarathna, T. K., (2007) Micronutrient composition, antinutritional factors and bioaccessibility of iron in different finger millet (</w:t>
      </w:r>
      <w:r>
        <w:rPr>
          <w:rFonts w:cs="Times New Roman"/>
          <w:i/>
          <w:iCs/>
          <w:noProof/>
          <w:szCs w:val="24"/>
        </w:rPr>
        <w:t>Eleusine coracana</w:t>
      </w:r>
      <w:r>
        <w:rPr>
          <w:rFonts w:cs="Times New Roman"/>
          <w:noProof/>
          <w:szCs w:val="24"/>
        </w:rPr>
        <w:t xml:space="preserve">) </w:t>
      </w:r>
      <w:r>
        <w:rPr>
          <w:rFonts w:cs="Times New Roman"/>
          <w:i/>
          <w:iCs/>
          <w:noProof/>
          <w:szCs w:val="24"/>
        </w:rPr>
        <w:t>Genotypes,</w:t>
      </w:r>
      <w:r>
        <w:rPr>
          <w:rFonts w:cs="Times New Roman"/>
          <w:noProof/>
          <w:szCs w:val="24"/>
        </w:rPr>
        <w:t xml:space="preserve"> 20, 583–585.</w:t>
      </w:r>
    </w:p>
    <w:p w14:paraId="6F084254" w14:textId="61958A7A"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 xml:space="preserve">Signorell, C., Zimmermann, M. B., Cakmak, I., Wegmüller, R., Zeder, C., Hurrell, R., </w:t>
      </w:r>
      <w:r w:rsidR="00CF342F">
        <w:rPr>
          <w:rFonts w:cs="Times New Roman"/>
          <w:szCs w:val="24"/>
          <w:shd w:val="clear" w:color="auto" w:fill="FFFFFF"/>
        </w:rPr>
        <w:t>..</w:t>
      </w:r>
      <w:r>
        <w:rPr>
          <w:rFonts w:cs="Times New Roman"/>
          <w:szCs w:val="24"/>
          <w:shd w:val="clear" w:color="auto" w:fill="FFFFFF"/>
        </w:rPr>
        <w:t>. &amp; Moretti, D. (2019) Zinc absorption from agronomically biofortified wheat is similar to post-harvest fortified wheat and is a substantial source of bioavailable zinc in humans. </w:t>
      </w:r>
      <w:r>
        <w:rPr>
          <w:rFonts w:cs="Times New Roman"/>
          <w:i/>
          <w:iCs/>
          <w:szCs w:val="24"/>
          <w:shd w:val="clear" w:color="auto" w:fill="FFFFFF"/>
        </w:rPr>
        <w:t>The Journal of Nutrition</w:t>
      </w:r>
      <w:r>
        <w:rPr>
          <w:rFonts w:cs="Times New Roman"/>
          <w:szCs w:val="24"/>
          <w:shd w:val="clear" w:color="auto" w:fill="FFFFFF"/>
        </w:rPr>
        <w:t>, 149, 840-846.</w:t>
      </w:r>
    </w:p>
    <w:p w14:paraId="2AE57BE4"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Sihag, M. K., Sharma, V., Goyal, A., Arora, S. &amp; Singh, A. K. (2015) Effect of domestic processing treatments on iron, β-carotene, phytic acid and polyphenols of pearl millet. </w:t>
      </w:r>
      <w:r>
        <w:rPr>
          <w:rFonts w:cs="Times New Roman"/>
          <w:i/>
          <w:iCs/>
          <w:szCs w:val="24"/>
          <w:shd w:val="clear" w:color="auto" w:fill="FFFFFF"/>
        </w:rPr>
        <w:t>Cogent Food &amp; Agriculture</w:t>
      </w:r>
      <w:r>
        <w:rPr>
          <w:rFonts w:cs="Times New Roman"/>
          <w:szCs w:val="24"/>
          <w:shd w:val="clear" w:color="auto" w:fill="FFFFFF"/>
        </w:rPr>
        <w:t>, 1. https://doi.org/10.1080/23311932.2015.1109171</w:t>
      </w:r>
    </w:p>
    <w:p w14:paraId="40CE988B"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Singh, P. &amp; Prasad, S. (2018) Determination of ascorbic acid and its influence on the bioavailability of iron, zinc and calcium in Fijian food samples. </w:t>
      </w:r>
      <w:r>
        <w:rPr>
          <w:rFonts w:cs="Times New Roman"/>
          <w:i/>
          <w:iCs/>
          <w:szCs w:val="24"/>
          <w:shd w:val="clear" w:color="auto" w:fill="FFFFFF"/>
        </w:rPr>
        <w:t>Microchemical Journal</w:t>
      </w:r>
      <w:r>
        <w:rPr>
          <w:rFonts w:cs="Times New Roman"/>
          <w:szCs w:val="24"/>
          <w:shd w:val="clear" w:color="auto" w:fill="FFFFFF"/>
        </w:rPr>
        <w:t>, 139, 119-124.</w:t>
      </w:r>
    </w:p>
    <w:p w14:paraId="069BEC8B" w14:textId="067D888D"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lang w:val="en-US"/>
        </w:rPr>
        <w:t>Smale, M., Byerlee, D., &amp; Jayne, T. (2013). Maize revolutions in sub-Saharan Africa</w:t>
      </w:r>
      <w:r w:rsidR="00181B75">
        <w:rPr>
          <w:rFonts w:cs="Times New Roman"/>
          <w:szCs w:val="24"/>
          <w:lang w:val="en-US"/>
        </w:rPr>
        <w:t>:</w:t>
      </w:r>
      <w:r>
        <w:rPr>
          <w:rFonts w:cs="Times New Roman"/>
          <w:szCs w:val="24"/>
          <w:lang w:val="en-US"/>
        </w:rPr>
        <w:t xml:space="preserve"> In </w:t>
      </w:r>
      <w:r w:rsidR="00181B75">
        <w:rPr>
          <w:rFonts w:eastAsia="AdvGulliv-I" w:cs="Times New Roman"/>
          <w:i/>
          <w:szCs w:val="24"/>
          <w:lang w:val="en-US"/>
        </w:rPr>
        <w:t>An African green revolution</w:t>
      </w:r>
      <w:r w:rsidR="00181B75">
        <w:rPr>
          <w:rFonts w:cs="Times New Roman"/>
          <w:szCs w:val="24"/>
          <w:lang w:val="en-US"/>
        </w:rPr>
        <w:t xml:space="preserve"> (edited by Otsuka, </w:t>
      </w:r>
      <w:r>
        <w:rPr>
          <w:rFonts w:cs="Times New Roman"/>
          <w:szCs w:val="24"/>
          <w:lang w:val="en-US"/>
        </w:rPr>
        <w:t xml:space="preserve">K. &amp; </w:t>
      </w:r>
      <w:r w:rsidR="00181B75">
        <w:rPr>
          <w:rFonts w:cs="Times New Roman"/>
          <w:szCs w:val="24"/>
          <w:lang w:val="en-US"/>
        </w:rPr>
        <w:t xml:space="preserve">Larson, </w:t>
      </w:r>
      <w:r>
        <w:rPr>
          <w:rFonts w:cs="Times New Roman"/>
          <w:szCs w:val="24"/>
          <w:lang w:val="en-US"/>
        </w:rPr>
        <w:t xml:space="preserve">D. F., </w:t>
      </w:r>
      <w:r w:rsidR="00181B75">
        <w:rPr>
          <w:rFonts w:cs="Times New Roman"/>
          <w:szCs w:val="24"/>
          <w:lang w:val="en-US"/>
        </w:rPr>
        <w:t>P</w:t>
      </w:r>
      <w:r>
        <w:rPr>
          <w:rFonts w:cs="Times New Roman"/>
          <w:szCs w:val="24"/>
          <w:lang w:val="en-US"/>
        </w:rPr>
        <w:t xml:space="preserve">p 165–195. </w:t>
      </w:r>
      <w:r w:rsidR="00864F40">
        <w:rPr>
          <w:rFonts w:cs="Times New Roman"/>
          <w:szCs w:val="24"/>
          <w:lang w:val="en-US"/>
        </w:rPr>
        <w:t xml:space="preserve">Springer: </w:t>
      </w:r>
      <w:r>
        <w:rPr>
          <w:rFonts w:cs="Times New Roman"/>
          <w:szCs w:val="24"/>
          <w:lang w:val="en-US"/>
        </w:rPr>
        <w:t>Heidelberg</w:t>
      </w:r>
      <w:r w:rsidR="00864F40">
        <w:rPr>
          <w:rFonts w:cs="Times New Roman"/>
          <w:szCs w:val="24"/>
          <w:lang w:val="en-US"/>
        </w:rPr>
        <w:t>, South Africa</w:t>
      </w:r>
      <w:r>
        <w:rPr>
          <w:rFonts w:cs="Times New Roman"/>
          <w:szCs w:val="24"/>
          <w:lang w:val="en-US"/>
        </w:rPr>
        <w:t>.</w:t>
      </w:r>
      <w:r w:rsidR="00496837">
        <w:rPr>
          <w:rFonts w:cs="Times New Roman"/>
          <w:szCs w:val="24"/>
          <w:shd w:val="clear" w:color="auto" w:fill="FFFFFF"/>
        </w:rPr>
        <w:t xml:space="preserve"> </w:t>
      </w:r>
    </w:p>
    <w:p w14:paraId="18EC2DB7" w14:textId="10FF46D6" w:rsidR="00762A89" w:rsidRDefault="00762A89" w:rsidP="00AA6FAA">
      <w:pPr>
        <w:widowControl w:val="0"/>
        <w:autoSpaceDE w:val="0"/>
        <w:autoSpaceDN w:val="0"/>
        <w:adjustRightInd w:val="0"/>
        <w:spacing w:line="240" w:lineRule="auto"/>
        <w:ind w:left="480" w:hanging="480"/>
        <w:rPr>
          <w:rFonts w:cs="Times New Roman"/>
          <w:szCs w:val="24"/>
          <w:shd w:val="clear" w:color="auto" w:fill="FFFFFF"/>
        </w:rPr>
      </w:pPr>
      <w:r w:rsidRPr="001A3B12">
        <w:rPr>
          <w:rFonts w:cs="Times New Roman"/>
          <w:szCs w:val="24"/>
          <w:shd w:val="clear" w:color="auto" w:fill="FFFFFF"/>
        </w:rPr>
        <w:t>Solomons, N. W. &amp; Jacob, R. A. (1981) Studies on the bioavailability of zinc in humans: effects of heme and nonheme iron on the absorption of zinc. </w:t>
      </w:r>
      <w:r w:rsidRPr="001A3B12">
        <w:rPr>
          <w:rFonts w:cs="Times New Roman"/>
          <w:i/>
          <w:iCs/>
          <w:szCs w:val="24"/>
          <w:shd w:val="clear" w:color="auto" w:fill="FFFFFF"/>
        </w:rPr>
        <w:t>The American Journal of Clinical Nutrition</w:t>
      </w:r>
      <w:r w:rsidRPr="001A3B12">
        <w:rPr>
          <w:rFonts w:cs="Times New Roman"/>
          <w:szCs w:val="24"/>
          <w:shd w:val="clear" w:color="auto" w:fill="FFFFFF"/>
        </w:rPr>
        <w:t>, 34, 475-482</w:t>
      </w:r>
      <w:r>
        <w:rPr>
          <w:rFonts w:cs="Times New Roman"/>
          <w:szCs w:val="24"/>
          <w:shd w:val="clear" w:color="auto" w:fill="FFFFFF"/>
        </w:rPr>
        <w:t>.</w:t>
      </w:r>
    </w:p>
    <w:p w14:paraId="26CE3EBB"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shd w:val="clear" w:color="auto" w:fill="FFFFFF"/>
        </w:rPr>
        <w:t>Sowmiya, P., Sumathi, P. &amp; Revathi, S. (2016) Estimates of genetic parameters and quantification of β-carotene in pearl millet (</w:t>
      </w:r>
      <w:r>
        <w:rPr>
          <w:rFonts w:cs="Times New Roman"/>
          <w:i/>
          <w:iCs/>
          <w:szCs w:val="24"/>
          <w:shd w:val="clear" w:color="auto" w:fill="FFFFFF"/>
        </w:rPr>
        <w:t>Pennisetum glaucum</w:t>
      </w:r>
      <w:r>
        <w:rPr>
          <w:rFonts w:cs="Times New Roman"/>
          <w:szCs w:val="24"/>
          <w:shd w:val="clear" w:color="auto" w:fill="FFFFFF"/>
        </w:rPr>
        <w:t xml:space="preserve"> L.) segregating population. </w:t>
      </w:r>
      <w:r>
        <w:rPr>
          <w:rFonts w:cs="Times New Roman"/>
          <w:i/>
          <w:iCs/>
          <w:szCs w:val="24"/>
          <w:shd w:val="clear" w:color="auto" w:fill="FFFFFF"/>
        </w:rPr>
        <w:t>Electronic Journal of Plant Breeding</w:t>
      </w:r>
      <w:r>
        <w:rPr>
          <w:rFonts w:cs="Times New Roman"/>
          <w:szCs w:val="24"/>
          <w:shd w:val="clear" w:color="auto" w:fill="FFFFFF"/>
        </w:rPr>
        <w:t>, 7, 640-648.</w:t>
      </w:r>
    </w:p>
    <w:p w14:paraId="5149422E" w14:textId="77777777" w:rsidR="00AA6FAA" w:rsidRDefault="00AA6FAA" w:rsidP="00AA6FAA">
      <w:pPr>
        <w:pStyle w:val="NormalWeb"/>
        <w:ind w:left="480" w:hanging="480"/>
        <w:rPr>
          <w:noProof/>
        </w:rPr>
      </w:pPr>
      <w:r>
        <w:rPr>
          <w:noProof/>
        </w:rPr>
        <w:t xml:space="preserve">Stadlmayr, B., Charrondiere, U. R., Eisenwagen, S., Jamnadass, R. &amp; Kehlenbeck, K. (2013). Nutrient composition of selected indigenous fruits from sub-Saharan Africa. </w:t>
      </w:r>
      <w:r>
        <w:rPr>
          <w:i/>
          <w:noProof/>
        </w:rPr>
        <w:t xml:space="preserve">Journal of the Science and Food and Agriculture, </w:t>
      </w:r>
      <w:r>
        <w:rPr>
          <w:iCs/>
          <w:noProof/>
        </w:rPr>
        <w:t>93,</w:t>
      </w:r>
      <w:r>
        <w:rPr>
          <w:noProof/>
        </w:rPr>
        <w:t xml:space="preserve"> 2627-2636.</w:t>
      </w:r>
    </w:p>
    <w:p w14:paraId="027CCC09" w14:textId="77777777" w:rsidR="00AA6FAA" w:rsidRDefault="00AA6FAA" w:rsidP="00AA6FAA">
      <w:pPr>
        <w:pStyle w:val="NormalWeb"/>
        <w:ind w:left="480" w:hanging="480"/>
        <w:rPr>
          <w:noProof/>
        </w:rPr>
      </w:pPr>
      <w:r>
        <w:rPr>
          <w:noProof/>
        </w:rPr>
        <w:t>Suma, P. F. &amp; Urooj, A. (2014) Influence of germination on bioaccessible iron and calcium in pearl millet (</w:t>
      </w:r>
      <w:r>
        <w:rPr>
          <w:i/>
          <w:noProof/>
        </w:rPr>
        <w:t>Pennisetum typhoideum</w:t>
      </w:r>
      <w:r>
        <w:rPr>
          <w:noProof/>
        </w:rPr>
        <w:t xml:space="preserve">). </w:t>
      </w:r>
      <w:r>
        <w:rPr>
          <w:i/>
          <w:noProof/>
        </w:rPr>
        <w:t>Journal of Food Science and Technology,</w:t>
      </w:r>
      <w:r>
        <w:rPr>
          <w:noProof/>
        </w:rPr>
        <w:t xml:space="preserve"> 51, 976-981.</w:t>
      </w:r>
    </w:p>
    <w:p w14:paraId="08AC2946"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 xml:space="preserve">Takatera, K., Miyake, Y., Hiramitsu M., Inoue, T. &amp; Katagiri, T. (2012) Effects of citric acid and lemon juice on iron absorption and improvement of anemia in iron deficient rats. </w:t>
      </w:r>
      <w:r>
        <w:rPr>
          <w:rFonts w:cs="Times New Roman"/>
          <w:i/>
          <w:noProof/>
          <w:szCs w:val="24"/>
        </w:rPr>
        <w:t>Food Science and Technology Research</w:t>
      </w:r>
      <w:r>
        <w:rPr>
          <w:rFonts w:cs="Times New Roman"/>
          <w:noProof/>
          <w:szCs w:val="24"/>
        </w:rPr>
        <w:t>, 18, 127-130.</w:t>
      </w:r>
    </w:p>
    <w:p w14:paraId="4FB81828" w14:textId="7DFCFAA8" w:rsidR="00AA6FAA" w:rsidRDefault="00AA6FAA" w:rsidP="00AA6FAA">
      <w:pPr>
        <w:pStyle w:val="NormalWeb"/>
        <w:ind w:left="480" w:hanging="480"/>
        <w:rPr>
          <w:noProof/>
        </w:rPr>
      </w:pPr>
      <w:r>
        <w:rPr>
          <w:noProof/>
        </w:rPr>
        <w:t>Taylor, J. R. N. (2016) Millet pearl: Overview</w:t>
      </w:r>
      <w:r w:rsidR="00EB5E7B">
        <w:rPr>
          <w:noProof/>
        </w:rPr>
        <w:t>:</w:t>
      </w:r>
      <w:r>
        <w:rPr>
          <w:noProof/>
        </w:rPr>
        <w:t xml:space="preserve"> In </w:t>
      </w:r>
      <w:r w:rsidR="00EB5E7B">
        <w:rPr>
          <w:i/>
          <w:noProof/>
        </w:rPr>
        <w:t>Encyclopedia of Food Grains</w:t>
      </w:r>
      <w:r w:rsidR="00EB5E7B">
        <w:rPr>
          <w:noProof/>
        </w:rPr>
        <w:t xml:space="preserve"> (edited by Wrigley, </w:t>
      </w:r>
      <w:r>
        <w:rPr>
          <w:noProof/>
        </w:rPr>
        <w:t xml:space="preserve">C., </w:t>
      </w:r>
      <w:r w:rsidR="00EB5E7B">
        <w:rPr>
          <w:noProof/>
        </w:rPr>
        <w:t xml:space="preserve">Corke, </w:t>
      </w:r>
      <w:r>
        <w:rPr>
          <w:noProof/>
        </w:rPr>
        <w:t xml:space="preserve">H., </w:t>
      </w:r>
      <w:r w:rsidR="00EB5E7B">
        <w:rPr>
          <w:noProof/>
        </w:rPr>
        <w:t xml:space="preserve">Seetharaman, </w:t>
      </w:r>
      <w:r>
        <w:rPr>
          <w:noProof/>
        </w:rPr>
        <w:t xml:space="preserve">K. &amp; </w:t>
      </w:r>
      <w:r w:rsidR="00EB5E7B">
        <w:rPr>
          <w:noProof/>
        </w:rPr>
        <w:t xml:space="preserve">Faubion, </w:t>
      </w:r>
      <w:r>
        <w:rPr>
          <w:noProof/>
        </w:rPr>
        <w:t xml:space="preserve">J.), </w:t>
      </w:r>
      <w:r w:rsidR="00EB5E7B">
        <w:rPr>
          <w:noProof/>
        </w:rPr>
        <w:t>P</w:t>
      </w:r>
      <w:r>
        <w:rPr>
          <w:noProof/>
        </w:rPr>
        <w:t xml:space="preserve">p 190-198. </w:t>
      </w:r>
      <w:r w:rsidR="00EB5E7B">
        <w:rPr>
          <w:noProof/>
        </w:rPr>
        <w:t xml:space="preserve">Academic Press: </w:t>
      </w:r>
      <w:r>
        <w:rPr>
          <w:noProof/>
        </w:rPr>
        <w:t>Oxford</w:t>
      </w:r>
      <w:r w:rsidR="00EB5E7B">
        <w:rPr>
          <w:noProof/>
        </w:rPr>
        <w:t>, UK</w:t>
      </w:r>
      <w:r>
        <w:rPr>
          <w:noProof/>
        </w:rPr>
        <w:t>.</w:t>
      </w:r>
    </w:p>
    <w:p w14:paraId="6D28F976" w14:textId="51D36856" w:rsidR="007067C0" w:rsidRDefault="007067C0" w:rsidP="00AA6FAA">
      <w:pPr>
        <w:pStyle w:val="NormalWeb"/>
        <w:ind w:left="480" w:hanging="480"/>
        <w:rPr>
          <w:noProof/>
        </w:rPr>
      </w:pPr>
      <w:r w:rsidRPr="00A97B51">
        <w:t>Taylor</w:t>
      </w:r>
      <w:r w:rsidR="00C72D80">
        <w:t>,</w:t>
      </w:r>
      <w:r w:rsidRPr="00A97B51">
        <w:t xml:space="preserve"> J</w:t>
      </w:r>
      <w:r w:rsidR="00C72D80">
        <w:t xml:space="preserve">. </w:t>
      </w:r>
      <w:r w:rsidRPr="00A97B51">
        <w:t>R</w:t>
      </w:r>
      <w:r w:rsidR="00C72D80">
        <w:t xml:space="preserve">. </w:t>
      </w:r>
      <w:r w:rsidRPr="00A97B51">
        <w:t>N</w:t>
      </w:r>
      <w:r w:rsidR="00C72D80">
        <w:t>.</w:t>
      </w:r>
      <w:r w:rsidRPr="00A97B51">
        <w:t xml:space="preserve"> </w:t>
      </w:r>
      <w:r>
        <w:t>(</w:t>
      </w:r>
      <w:r w:rsidRPr="00A97B51">
        <w:t>2019</w:t>
      </w:r>
      <w:r>
        <w:t>)</w:t>
      </w:r>
      <w:r w:rsidRPr="00A97B51">
        <w:t xml:space="preserve"> Sorghum and millets: </w:t>
      </w:r>
      <w:r w:rsidR="00C72D80">
        <w:t xml:space="preserve">In </w:t>
      </w:r>
      <w:r w:rsidRPr="00C72D80">
        <w:rPr>
          <w:i/>
          <w:iCs/>
        </w:rPr>
        <w:t>Taxonomy, history, distribution, and production. In: Sorghum and Millets: Chemistry, Technology and Nutritional Attributes</w:t>
      </w:r>
      <w:r w:rsidRPr="00A97B51">
        <w:t xml:space="preserve"> (</w:t>
      </w:r>
      <w:r w:rsidR="00C72D80">
        <w:t xml:space="preserve">edited by </w:t>
      </w:r>
      <w:r w:rsidRPr="00A97B51">
        <w:t>Taylor, J.</w:t>
      </w:r>
      <w:r w:rsidR="00C72D80">
        <w:t xml:space="preserve"> </w:t>
      </w:r>
      <w:r w:rsidRPr="00A97B51">
        <w:t>R.</w:t>
      </w:r>
      <w:r w:rsidR="00C72D80">
        <w:t xml:space="preserve"> </w:t>
      </w:r>
      <w:r w:rsidRPr="00A97B51">
        <w:t xml:space="preserve">N. </w:t>
      </w:r>
      <w:r w:rsidR="00C72D80">
        <w:t>&amp;</w:t>
      </w:r>
      <w:r w:rsidRPr="00A97B51">
        <w:t xml:space="preserve"> Duodu, K.</w:t>
      </w:r>
      <w:r w:rsidR="00C72D80">
        <w:t xml:space="preserve"> </w:t>
      </w:r>
      <w:r w:rsidRPr="00A97B51">
        <w:t xml:space="preserve">G.), </w:t>
      </w:r>
      <w:r w:rsidR="00C72D80">
        <w:t xml:space="preserve">Pp 1-21. </w:t>
      </w:r>
      <w:r w:rsidRPr="00A97B51">
        <w:t xml:space="preserve">Woodhead Publishing, </w:t>
      </w:r>
      <w:r w:rsidR="00C72D80">
        <w:t>O</w:t>
      </w:r>
      <w:r w:rsidRPr="00A97B51">
        <w:t>xford, UK</w:t>
      </w:r>
      <w:r w:rsidR="00C72D80">
        <w:t>.</w:t>
      </w:r>
    </w:p>
    <w:p w14:paraId="64838A11" w14:textId="77777777" w:rsidR="00AA6FAA" w:rsidRDefault="00AA6FAA" w:rsidP="00AA6FAA">
      <w:pPr>
        <w:pStyle w:val="NormalWeb"/>
        <w:ind w:left="480" w:hanging="480"/>
        <w:rPr>
          <w:noProof/>
        </w:rPr>
      </w:pPr>
      <w:r>
        <w:rPr>
          <w:rFonts w:eastAsia="AdvGulliv-I"/>
        </w:rPr>
        <w:t>Tembo, D. T., Holmes, M. J. &amp; Marshall, L. J. (2017) Effect of thermal treatment and storage on bioactive compounds, organic acids and antioxidant activity of baobab fruit (</w:t>
      </w:r>
      <w:r>
        <w:rPr>
          <w:rFonts w:eastAsia="AdvGulliv-I"/>
          <w:i/>
        </w:rPr>
        <w:t>Adansonia digitata</w:t>
      </w:r>
      <w:r>
        <w:rPr>
          <w:rFonts w:eastAsia="AdvGulliv-I"/>
        </w:rPr>
        <w:t xml:space="preserve">) pulp from Malawi. </w:t>
      </w:r>
      <w:r>
        <w:rPr>
          <w:rFonts w:eastAsia="AdvGulliv-I"/>
          <w:i/>
        </w:rPr>
        <w:t>Journal of Food Composition and Analysis</w:t>
      </w:r>
      <w:r>
        <w:rPr>
          <w:rFonts w:eastAsia="AdvGulliv-I"/>
        </w:rPr>
        <w:t xml:space="preserve">, </w:t>
      </w:r>
      <w:r>
        <w:rPr>
          <w:rFonts w:eastAsia="AdvGulliv-I"/>
          <w:i/>
        </w:rPr>
        <w:t>58,</w:t>
      </w:r>
      <w:r>
        <w:rPr>
          <w:rFonts w:eastAsia="AdvGulliv-I"/>
        </w:rPr>
        <w:t xml:space="preserve"> 40-51.</w:t>
      </w:r>
    </w:p>
    <w:p w14:paraId="25548D09" w14:textId="77777777" w:rsidR="00AA6FAA" w:rsidRDefault="00AA6FAA" w:rsidP="00AA6FAA">
      <w:pPr>
        <w:pStyle w:val="NormalWeb"/>
        <w:ind w:left="480" w:hanging="480"/>
        <w:rPr>
          <w:shd w:val="clear" w:color="auto" w:fill="FFFFFF"/>
        </w:rPr>
      </w:pPr>
      <w:r>
        <w:rPr>
          <w:shd w:val="clear" w:color="auto" w:fill="FFFFFF"/>
        </w:rPr>
        <w:t>Teucher, B., Olivares M. &amp; Cori, H. (2004) Enhancers of iron absorption: ascorbic acid and other organic acids. </w:t>
      </w:r>
      <w:r>
        <w:rPr>
          <w:i/>
          <w:iCs/>
          <w:shd w:val="clear" w:color="auto" w:fill="FFFFFF"/>
        </w:rPr>
        <w:t>International Journal for Vitamin and Nutrition Research</w:t>
      </w:r>
      <w:r>
        <w:rPr>
          <w:shd w:val="clear" w:color="auto" w:fill="FFFFFF"/>
        </w:rPr>
        <w:t>, 74, 403-419.</w:t>
      </w:r>
    </w:p>
    <w:p w14:paraId="37B36A76"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Tidemann-Andersen, I., Acham, H., Maage, A. &amp; Malde, M. K., (2011) Iron and zinc content of selected foods in the diet of schoolchildren in Kumi district, east of Uganda: a cross-sectional study. </w:t>
      </w:r>
      <w:r>
        <w:rPr>
          <w:rFonts w:cs="Times New Roman"/>
          <w:i/>
          <w:iCs/>
          <w:szCs w:val="24"/>
          <w:shd w:val="clear" w:color="auto" w:fill="FFFFFF"/>
        </w:rPr>
        <w:t>Nutrition Journal</w:t>
      </w:r>
      <w:r>
        <w:rPr>
          <w:rFonts w:cs="Times New Roman"/>
          <w:szCs w:val="24"/>
          <w:shd w:val="clear" w:color="auto" w:fill="FFFFFF"/>
        </w:rPr>
        <w:t>, </w:t>
      </w:r>
      <w:r>
        <w:rPr>
          <w:rFonts w:cs="Times New Roman"/>
          <w:iCs/>
          <w:szCs w:val="24"/>
          <w:shd w:val="clear" w:color="auto" w:fill="FFFFFF"/>
        </w:rPr>
        <w:t>10. https://doi.org/10.1186/1475-2891-10-</w:t>
      </w:r>
      <w:r>
        <w:rPr>
          <w:rFonts w:cs="Times New Roman"/>
          <w:szCs w:val="24"/>
          <w:shd w:val="clear" w:color="auto" w:fill="FFFFFF"/>
        </w:rPr>
        <w:t>81</w:t>
      </w:r>
    </w:p>
    <w:p w14:paraId="790802B0" w14:textId="77777777" w:rsidR="00AA6FAA" w:rsidRDefault="00AA6FAA" w:rsidP="00AA6FAA">
      <w:pPr>
        <w:pStyle w:val="NormalWeb"/>
        <w:ind w:left="480" w:hanging="480"/>
        <w:rPr>
          <w:rFonts w:eastAsia="AdvGulliv-I"/>
        </w:rPr>
      </w:pPr>
      <w:r>
        <w:rPr>
          <w:shd w:val="clear" w:color="auto" w:fill="FFFFFF"/>
        </w:rPr>
        <w:t>Troesch, B., Egli, I., Zeder, C., Hurrell, R. F. &amp; Zimmermann, M. B. (2011) Fortification iron as ferrous sulfate plus ascorbic acid is more rapidly absorbed than as sodium iron EDTA but neither increases serum nontransferrin-bound iron in women. </w:t>
      </w:r>
      <w:r>
        <w:rPr>
          <w:i/>
          <w:iCs/>
          <w:shd w:val="clear" w:color="auto" w:fill="FFFFFF"/>
        </w:rPr>
        <w:t>The Journal of Nutrition</w:t>
      </w:r>
      <w:r>
        <w:rPr>
          <w:shd w:val="clear" w:color="auto" w:fill="FFFFFF"/>
        </w:rPr>
        <w:t>, 14, 822-827.</w:t>
      </w:r>
    </w:p>
    <w:p w14:paraId="435C0144" w14:textId="158B3174" w:rsidR="00AA6FAA" w:rsidRDefault="00AA6FAA" w:rsidP="00AA6FAA">
      <w:pPr>
        <w:pStyle w:val="NormalWeb"/>
        <w:ind w:left="480" w:hanging="480"/>
        <w:rPr>
          <w:lang w:val="en-US"/>
        </w:rPr>
      </w:pPr>
      <w:r>
        <w:rPr>
          <w:lang w:val="en-US"/>
        </w:rPr>
        <w:t xml:space="preserve">U.S. EPA (1994) </w:t>
      </w:r>
      <w:r w:rsidRPr="006F27DF">
        <w:rPr>
          <w:iCs/>
          <w:lang w:val="en-US"/>
        </w:rPr>
        <w:t>Method 200.7, Determination of metals and trace elements in water and wastes by inductively coupled plasma-atomic emission spectrometry,</w:t>
      </w:r>
      <w:r>
        <w:rPr>
          <w:lang w:val="en-US"/>
        </w:rPr>
        <w:t xml:space="preserve"> Revision 4.4</w:t>
      </w:r>
      <w:r w:rsidR="003D21A2">
        <w:rPr>
          <w:lang w:val="en-US"/>
        </w:rPr>
        <w:t>.</w:t>
      </w:r>
      <w:r>
        <w:rPr>
          <w:lang w:val="en-US"/>
        </w:rPr>
        <w:t xml:space="preserve"> Cincinnati, US</w:t>
      </w:r>
      <w:r w:rsidR="006F27DF">
        <w:rPr>
          <w:lang w:val="en-US"/>
        </w:rPr>
        <w:t xml:space="preserve">A: </w:t>
      </w:r>
      <w:r>
        <w:rPr>
          <w:lang w:val="en-US"/>
        </w:rPr>
        <w:t>EPA.</w:t>
      </w:r>
    </w:p>
    <w:p w14:paraId="3BA953C3" w14:textId="291E8424" w:rsidR="00AA6FAA" w:rsidRDefault="00AA6FAA" w:rsidP="00AA6FAA">
      <w:pPr>
        <w:pStyle w:val="NormalWeb"/>
        <w:ind w:left="480" w:hanging="480"/>
        <w:rPr>
          <w:lang w:val="en-US"/>
        </w:rPr>
      </w:pPr>
      <w:r>
        <w:rPr>
          <w:lang w:val="en-US"/>
        </w:rPr>
        <w:t xml:space="preserve">U.S. EPA (2007) </w:t>
      </w:r>
      <w:r w:rsidRPr="003D21A2">
        <w:rPr>
          <w:iCs/>
          <w:lang w:val="en-US"/>
        </w:rPr>
        <w:t>Method 3051A (SW-846): Microwave assisted acid digestion of sediments, sludges, and oils, Revision 1.</w:t>
      </w:r>
      <w:r>
        <w:rPr>
          <w:lang w:val="en-US"/>
        </w:rPr>
        <w:t xml:space="preserve"> Washington DC</w:t>
      </w:r>
      <w:r w:rsidR="003D21A2">
        <w:rPr>
          <w:lang w:val="en-US"/>
        </w:rPr>
        <w:t>,</w:t>
      </w:r>
      <w:r>
        <w:rPr>
          <w:lang w:val="en-US"/>
        </w:rPr>
        <w:t xml:space="preserve"> US</w:t>
      </w:r>
      <w:r w:rsidR="003D21A2">
        <w:rPr>
          <w:lang w:val="en-US"/>
        </w:rPr>
        <w:t>A:</w:t>
      </w:r>
      <w:r>
        <w:rPr>
          <w:lang w:val="en-US"/>
        </w:rPr>
        <w:t xml:space="preserve"> EPA.</w:t>
      </w:r>
    </w:p>
    <w:p w14:paraId="69FF334F" w14:textId="6EE4B048"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noProof/>
          <w:szCs w:val="24"/>
        </w:rPr>
        <w:t>USDA, (2019) Food composition databases.</w:t>
      </w:r>
      <w:r>
        <w:rPr>
          <w:rFonts w:cs="Times New Roman"/>
          <w:szCs w:val="24"/>
        </w:rPr>
        <w:t xml:space="preserve"> </w:t>
      </w:r>
      <w:hyperlink r:id="rId33" w:history="1">
        <w:r>
          <w:rPr>
            <w:rStyle w:val="Hyperlink"/>
            <w:rFonts w:cs="Times New Roman"/>
            <w:szCs w:val="24"/>
          </w:rPr>
          <w:t>https://ndb.nal.usda.gov/ndb/</w:t>
        </w:r>
      </w:hyperlink>
      <w:r>
        <w:rPr>
          <w:rStyle w:val="Hyperlink"/>
          <w:rFonts w:cs="Times New Roman"/>
          <w:szCs w:val="24"/>
        </w:rPr>
        <w:t xml:space="preserve"> (Accessed April 2020)</w:t>
      </w:r>
    </w:p>
    <w:p w14:paraId="7E6044DF"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szCs w:val="24"/>
          <w:lang w:val="en-US"/>
        </w:rPr>
        <w:t xml:space="preserve">Uusiku, N. P., Oelofse, A., Duodu, K. G., Bester, M. J. &amp; Faber, M. (2010). Nutritional value of leafy vegetables of sub-Saharan Africa and their potential contribution to human health: a review. </w:t>
      </w:r>
      <w:r>
        <w:rPr>
          <w:rFonts w:cs="Times New Roman"/>
          <w:i/>
          <w:szCs w:val="24"/>
          <w:lang w:val="en-US"/>
        </w:rPr>
        <w:t xml:space="preserve">Journal of Food Composition and Analysis, </w:t>
      </w:r>
      <w:r>
        <w:rPr>
          <w:rFonts w:cs="Times New Roman"/>
          <w:iCs/>
          <w:szCs w:val="24"/>
          <w:lang w:val="en-US"/>
        </w:rPr>
        <w:t>23,</w:t>
      </w:r>
      <w:r>
        <w:rPr>
          <w:rFonts w:cs="Times New Roman"/>
          <w:szCs w:val="24"/>
          <w:lang w:val="en-US"/>
        </w:rPr>
        <w:t xml:space="preserve"> 499–509. </w:t>
      </w:r>
    </w:p>
    <w:p w14:paraId="4E3F23C9" w14:textId="6D59E15A"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noProof/>
          <w:szCs w:val="24"/>
        </w:rPr>
        <w:t xml:space="preserve">Van der Merwe, R. (2017) Pearl millet porridge: improvement in iron and zinc bioaccessibilities through fortification with micronutrient-rich plant food components. MSc dissertation, </w:t>
      </w:r>
      <w:r w:rsidR="00DB10F3">
        <w:rPr>
          <w:rFonts w:cs="Times New Roman"/>
          <w:noProof/>
          <w:szCs w:val="24"/>
        </w:rPr>
        <w:t xml:space="preserve">Pretoria, South Africa: </w:t>
      </w:r>
      <w:r>
        <w:rPr>
          <w:rFonts w:cs="Times New Roman"/>
          <w:noProof/>
          <w:szCs w:val="24"/>
        </w:rPr>
        <w:t>University of Pretoria.</w:t>
      </w:r>
    </w:p>
    <w:p w14:paraId="674CAAC3"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 xml:space="preserve">Van der Merwe, R., Kruger, J., Ferruzzi, M. G., Duodu, K. G. &amp; Taylor, J. R. N. (2019) Improving iron and zinc bioaccessibility through food-to-food fortification of pearl millet with tropical plant foodstuffs (moringa leaf powder, roselle calyces anf baobab fruit pulp). </w:t>
      </w:r>
      <w:r>
        <w:rPr>
          <w:rFonts w:cs="Times New Roman"/>
          <w:i/>
          <w:iCs/>
          <w:noProof/>
          <w:szCs w:val="24"/>
        </w:rPr>
        <w:t>Journal of Food Science and Technology,</w:t>
      </w:r>
      <w:r>
        <w:rPr>
          <w:rFonts w:cs="Times New Roman"/>
          <w:noProof/>
          <w:szCs w:val="24"/>
        </w:rPr>
        <w:t xml:space="preserve"> 56, 2244-2256.</w:t>
      </w:r>
    </w:p>
    <w:p w14:paraId="033FE564" w14:textId="77777777" w:rsidR="00AA6FAA" w:rsidRDefault="00AA6FAA" w:rsidP="00AA6FAA">
      <w:pPr>
        <w:pStyle w:val="NormalWeb"/>
        <w:ind w:left="480" w:hanging="480"/>
        <w:rPr>
          <w:noProof/>
          <w:lang w:val="en-GB"/>
        </w:rPr>
      </w:pPr>
      <w:r>
        <w:rPr>
          <w:noProof/>
          <w:lang w:val="en-GB"/>
        </w:rPr>
        <w:t xml:space="preserve">Viadel, B., Perales, S., Barbera, R., Lagarda, M. J. &amp; Farre, R. (2007) Ferritin synthesis by Caco-2 cells as an indicator of iron bioavailability: Application to milk-based infant formulas. </w:t>
      </w:r>
      <w:r>
        <w:rPr>
          <w:i/>
          <w:noProof/>
          <w:lang w:val="en-GB"/>
        </w:rPr>
        <w:t>Food Chemistry,</w:t>
      </w:r>
      <w:r>
        <w:rPr>
          <w:noProof/>
          <w:lang w:val="en-GB"/>
        </w:rPr>
        <w:t xml:space="preserve"> 102, 925-931.</w:t>
      </w:r>
    </w:p>
    <w:p w14:paraId="454FEC0B"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 xml:space="preserve">Victora, G. C., Adair, L., Fall, C., Hallal, P. C., Martorell, R., Richter, L. &amp; Sachdev, H. S. (2008) </w:t>
      </w:r>
      <w:r>
        <w:rPr>
          <w:rFonts w:cs="Times New Roman"/>
          <w:szCs w:val="24"/>
          <w:shd w:val="clear" w:color="auto" w:fill="FFFFFF"/>
        </w:rPr>
        <w:t xml:space="preserve">Maternal and child undernutrition: Consequences for adult health and human capital. </w:t>
      </w:r>
      <w:r>
        <w:rPr>
          <w:rFonts w:cs="Times New Roman"/>
          <w:i/>
          <w:noProof/>
          <w:szCs w:val="24"/>
        </w:rPr>
        <w:t>The Lancet,</w:t>
      </w:r>
      <w:r>
        <w:rPr>
          <w:rFonts w:cs="Times New Roman"/>
          <w:noProof/>
          <w:szCs w:val="24"/>
        </w:rPr>
        <w:t xml:space="preserve"> 371, 340-357.</w:t>
      </w:r>
    </w:p>
    <w:p w14:paraId="261F3D1D"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Vitali, D., Dragojević, I. V. &amp; Šebečić, B. (2008) Bioaccessibility of Ca, Mg, Mn and Cu from whole grain tea-biscuits: Impact of proteins, phytic acid and polyphenols. </w:t>
      </w:r>
      <w:r>
        <w:rPr>
          <w:rFonts w:cs="Times New Roman"/>
          <w:i/>
          <w:iCs/>
          <w:szCs w:val="24"/>
          <w:shd w:val="clear" w:color="auto" w:fill="FFFFFF"/>
        </w:rPr>
        <w:t>Food Chemistry</w:t>
      </w:r>
      <w:r>
        <w:rPr>
          <w:rFonts w:cs="Times New Roman"/>
          <w:szCs w:val="24"/>
          <w:shd w:val="clear" w:color="auto" w:fill="FFFFFF"/>
        </w:rPr>
        <w:t xml:space="preserve">, 110, 62-68. </w:t>
      </w:r>
    </w:p>
    <w:p w14:paraId="17784739" w14:textId="77777777" w:rsidR="00AA6FAA" w:rsidRDefault="00AA6FAA" w:rsidP="00AA6FAA">
      <w:pPr>
        <w:widowControl w:val="0"/>
        <w:autoSpaceDE w:val="0"/>
        <w:autoSpaceDN w:val="0"/>
        <w:adjustRightInd w:val="0"/>
        <w:spacing w:line="240" w:lineRule="auto"/>
        <w:ind w:left="480" w:hanging="480"/>
        <w:rPr>
          <w:rFonts w:cs="Times New Roman"/>
          <w:szCs w:val="24"/>
        </w:rPr>
      </w:pPr>
      <w:r>
        <w:rPr>
          <w:rFonts w:cs="Times New Roman"/>
          <w:noProof/>
          <w:szCs w:val="24"/>
        </w:rPr>
        <w:t xml:space="preserve">Vongsak, B., Sithisarn, P., Mangmool, S., Thongpraditchote, S., Wongkkrajang, Y. &amp; Gritsanapan, W. (2013) Maximizing total phenolics, total flavonoids contents and antioxidant activity of </w:t>
      </w:r>
      <w:r>
        <w:rPr>
          <w:rFonts w:cs="Times New Roman"/>
          <w:i/>
          <w:iCs/>
          <w:noProof/>
          <w:szCs w:val="24"/>
        </w:rPr>
        <w:t>Moringa oleifera</w:t>
      </w:r>
      <w:r>
        <w:rPr>
          <w:rFonts w:cs="Times New Roman"/>
          <w:noProof/>
          <w:szCs w:val="24"/>
        </w:rPr>
        <w:t xml:space="preserve"> leaf extract by the appropriate extraction method. </w:t>
      </w:r>
      <w:r>
        <w:rPr>
          <w:rFonts w:cs="Times New Roman"/>
          <w:i/>
          <w:noProof/>
          <w:szCs w:val="24"/>
        </w:rPr>
        <w:t xml:space="preserve">Industrial Crops and Products, </w:t>
      </w:r>
      <w:r>
        <w:rPr>
          <w:rFonts w:cs="Times New Roman"/>
          <w:iCs/>
          <w:noProof/>
          <w:szCs w:val="24"/>
        </w:rPr>
        <w:t>44,</w:t>
      </w:r>
      <w:r>
        <w:rPr>
          <w:rFonts w:cs="Times New Roman"/>
          <w:noProof/>
          <w:szCs w:val="24"/>
        </w:rPr>
        <w:t xml:space="preserve"> 566-571. </w:t>
      </w:r>
    </w:p>
    <w:p w14:paraId="7C510655"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Walter, A., Rimbach, G., Most, E. &amp; Pallauf, J. (1998) Effect of citric acid supplements to a maize-soya diet on the in vitro availability of minerals, trace elements, and heavy metals. </w:t>
      </w:r>
      <w:r>
        <w:rPr>
          <w:rFonts w:cs="Times New Roman"/>
          <w:i/>
          <w:iCs/>
          <w:szCs w:val="24"/>
          <w:shd w:val="clear" w:color="auto" w:fill="FFFFFF"/>
        </w:rPr>
        <w:t>Zentralbl Veterinarmed A</w:t>
      </w:r>
      <w:r>
        <w:rPr>
          <w:rFonts w:cs="Times New Roman"/>
          <w:szCs w:val="24"/>
          <w:shd w:val="clear" w:color="auto" w:fill="FFFFFF"/>
        </w:rPr>
        <w:t>. 45, 517-524.</w:t>
      </w:r>
    </w:p>
    <w:p w14:paraId="4B6CE6A9" w14:textId="02914612"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noProof/>
          <w:szCs w:val="24"/>
        </w:rPr>
        <w:t xml:space="preserve">Waterman, P. G. &amp; Mole, S. (1994) </w:t>
      </w:r>
      <w:r w:rsidRPr="001A221A">
        <w:rPr>
          <w:rFonts w:cs="Times New Roman"/>
          <w:noProof/>
          <w:szCs w:val="24"/>
        </w:rPr>
        <w:t>Analysis of phenolic plant metabolites</w:t>
      </w:r>
      <w:r w:rsidR="001A221A">
        <w:rPr>
          <w:rFonts w:cs="Times New Roman"/>
          <w:noProof/>
          <w:szCs w:val="24"/>
        </w:rPr>
        <w:t>.</w:t>
      </w:r>
      <w:r>
        <w:rPr>
          <w:rFonts w:cs="Times New Roman"/>
          <w:noProof/>
          <w:szCs w:val="24"/>
        </w:rPr>
        <w:t xml:space="preserve"> Oxford, UK: Blackwell Scientific Publications.</w:t>
      </w:r>
    </w:p>
    <w:p w14:paraId="5B5839D0" w14:textId="2F82BFEA" w:rsidR="00AA6FAA" w:rsidRDefault="00AA6FAA" w:rsidP="009F0C3B">
      <w:pPr>
        <w:widowControl w:val="0"/>
        <w:autoSpaceDE w:val="0"/>
        <w:autoSpaceDN w:val="0"/>
        <w:adjustRightInd w:val="0"/>
        <w:spacing w:line="240" w:lineRule="auto"/>
        <w:ind w:left="480" w:hanging="480"/>
        <w:rPr>
          <w:rFonts w:cs="Times New Roman"/>
          <w:noProof/>
          <w:szCs w:val="24"/>
        </w:rPr>
      </w:pPr>
      <w:r>
        <w:rPr>
          <w:rFonts w:cs="Times New Roman"/>
          <w:noProof/>
          <w:szCs w:val="24"/>
        </w:rPr>
        <w:t xml:space="preserve">WHO (2011) Haemoglobin concentrations for the diagnosis of anaemia and assessment of severity: Vitamin and mineral nutrition information system. Geneva, </w:t>
      </w:r>
      <w:r w:rsidR="001A221A">
        <w:rPr>
          <w:rFonts w:cs="Times New Roman"/>
          <w:noProof/>
          <w:szCs w:val="24"/>
        </w:rPr>
        <w:t xml:space="preserve">Switzerland: </w:t>
      </w:r>
      <w:r>
        <w:rPr>
          <w:rFonts w:cs="Times New Roman"/>
          <w:noProof/>
          <w:szCs w:val="24"/>
        </w:rPr>
        <w:t>World</w:t>
      </w:r>
      <w:r w:rsidR="001A221A">
        <w:rPr>
          <w:rFonts w:cs="Times New Roman"/>
          <w:noProof/>
          <w:szCs w:val="24"/>
        </w:rPr>
        <w:t xml:space="preserve"> </w:t>
      </w:r>
      <w:r w:rsidR="001A221A" w:rsidRPr="009F0C3B">
        <w:rPr>
          <w:rFonts w:cs="Times New Roman"/>
          <w:noProof/>
          <w:szCs w:val="24"/>
        </w:rPr>
        <w:t>Health Organization.</w:t>
      </w:r>
      <w:r w:rsidR="001A221A">
        <w:rPr>
          <w:rFonts w:cs="Times New Roman"/>
          <w:noProof/>
          <w:szCs w:val="24"/>
        </w:rPr>
        <w:t xml:space="preserve"> </w:t>
      </w:r>
      <w:hyperlink r:id="rId34" w:history="1">
        <w:r w:rsidR="009F0C3B" w:rsidRPr="00524AB4">
          <w:rPr>
            <w:rStyle w:val="Hyperlink"/>
          </w:rPr>
          <w:t>http://www.who.int/vmnis/indicators/haemoglobin.pdf</w:t>
        </w:r>
      </w:hyperlink>
      <w:r w:rsidR="009F0C3B">
        <w:t xml:space="preserve"> (Assessed November 2020)</w:t>
      </w:r>
      <w:r>
        <w:rPr>
          <w:rFonts w:cs="Times New Roman"/>
          <w:noProof/>
          <w:szCs w:val="24"/>
        </w:rPr>
        <w:t xml:space="preserve"> </w:t>
      </w:r>
    </w:p>
    <w:p w14:paraId="62AEBF0C" w14:textId="70918CFE"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 xml:space="preserve">WHO (2015) The global prevalence of anaemia in 2011. </w:t>
      </w:r>
      <w:r w:rsidR="00E71A9F">
        <w:rPr>
          <w:rFonts w:cs="Times New Roman"/>
          <w:noProof/>
          <w:szCs w:val="24"/>
        </w:rPr>
        <w:t xml:space="preserve">Geneva, Switzerland: </w:t>
      </w:r>
      <w:r>
        <w:rPr>
          <w:rFonts w:cs="Times New Roman"/>
          <w:noProof/>
          <w:szCs w:val="24"/>
        </w:rPr>
        <w:t>World Health Organization.</w:t>
      </w:r>
    </w:p>
    <w:p w14:paraId="64E40B12" w14:textId="4195B8AF" w:rsidR="00AA6FAA" w:rsidRDefault="00AA6FAA" w:rsidP="00AA6FAA">
      <w:pPr>
        <w:widowControl w:val="0"/>
        <w:autoSpaceDE w:val="0"/>
        <w:autoSpaceDN w:val="0"/>
        <w:adjustRightInd w:val="0"/>
        <w:spacing w:line="240" w:lineRule="auto"/>
        <w:ind w:left="480" w:hanging="480"/>
        <w:rPr>
          <w:rFonts w:eastAsia="MyriadPro-Regular" w:cs="Times New Roman"/>
          <w:szCs w:val="24"/>
          <w:lang w:val="en-ZA"/>
        </w:rPr>
      </w:pPr>
      <w:r>
        <w:rPr>
          <w:rFonts w:cs="Times New Roman"/>
          <w:szCs w:val="24"/>
          <w:shd w:val="clear" w:color="auto" w:fill="FFFFFF"/>
        </w:rPr>
        <w:t xml:space="preserve">WHO (2017) Nutritional anaemias: </w:t>
      </w:r>
      <w:r w:rsidR="004F6AC7">
        <w:rPr>
          <w:rFonts w:cs="Times New Roman"/>
          <w:szCs w:val="24"/>
          <w:shd w:val="clear" w:color="auto" w:fill="FFFFFF"/>
        </w:rPr>
        <w:t>T</w:t>
      </w:r>
      <w:r>
        <w:rPr>
          <w:rFonts w:cs="Times New Roman"/>
          <w:szCs w:val="24"/>
          <w:shd w:val="clear" w:color="auto" w:fill="FFFFFF"/>
        </w:rPr>
        <w:t>ools for effective prevention and control</w:t>
      </w:r>
      <w:r w:rsidR="004F6AC7">
        <w:rPr>
          <w:rFonts w:cs="Times New Roman"/>
          <w:szCs w:val="24"/>
          <w:shd w:val="clear" w:color="auto" w:fill="FFFFFF"/>
        </w:rPr>
        <w:t>.</w:t>
      </w:r>
      <w:r>
        <w:rPr>
          <w:rFonts w:cs="Times New Roman"/>
          <w:szCs w:val="24"/>
          <w:shd w:val="clear" w:color="auto" w:fill="FFFFFF"/>
        </w:rPr>
        <w:t xml:space="preserve"> </w:t>
      </w:r>
      <w:r>
        <w:rPr>
          <w:rFonts w:eastAsia="MyriadPro-Regular" w:cs="Times New Roman"/>
          <w:szCs w:val="24"/>
          <w:lang w:val="en-ZA"/>
        </w:rPr>
        <w:t>Geneva</w:t>
      </w:r>
      <w:r w:rsidR="004F6AC7">
        <w:rPr>
          <w:rFonts w:eastAsia="MyriadPro-Regular" w:cs="Times New Roman"/>
          <w:szCs w:val="24"/>
          <w:lang w:val="en-ZA"/>
        </w:rPr>
        <w:t>, Switzerland: World Health Organization.</w:t>
      </w:r>
    </w:p>
    <w:p w14:paraId="27DADD54" w14:textId="1A18D72C" w:rsidR="004F6AC7" w:rsidRDefault="004F6AC7"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 xml:space="preserve">WHO (2020) Micronutrient deficiencies: Vitamin A deficiency. </w:t>
      </w:r>
      <w:r w:rsidR="003D54CA" w:rsidRPr="00600A6B">
        <w:rPr>
          <w:rFonts w:cs="Times New Roman"/>
          <w:szCs w:val="24"/>
          <w:u w:val="single"/>
          <w:shd w:val="clear" w:color="auto" w:fill="FFFFFF"/>
        </w:rPr>
        <w:t>http://www.who.int/nutrition/topics/vad/en/</w:t>
      </w:r>
      <w:r w:rsidR="003D54CA">
        <w:rPr>
          <w:rFonts w:cs="Times New Roman"/>
          <w:szCs w:val="24"/>
          <w:shd w:val="clear" w:color="auto" w:fill="FFFFFF"/>
        </w:rPr>
        <w:t xml:space="preserve"> (</w:t>
      </w:r>
      <w:r w:rsidR="003D54CA" w:rsidRPr="003D54CA">
        <w:rPr>
          <w:rFonts w:cs="Times New Roman"/>
          <w:szCs w:val="24"/>
          <w:shd w:val="clear" w:color="auto" w:fill="FFFFFF"/>
        </w:rPr>
        <w:t>Accessed August 2020</w:t>
      </w:r>
      <w:r w:rsidR="003D54CA">
        <w:rPr>
          <w:rFonts w:cs="Times New Roman"/>
          <w:szCs w:val="24"/>
          <w:shd w:val="clear" w:color="auto" w:fill="FFFFFF"/>
        </w:rPr>
        <w:t>)</w:t>
      </w:r>
    </w:p>
    <w:p w14:paraId="0897C430" w14:textId="2AA8F60D"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 xml:space="preserve">WHO &amp; FAO (2004) </w:t>
      </w:r>
      <w:r w:rsidRPr="003D54CA">
        <w:rPr>
          <w:rFonts w:cs="Times New Roman"/>
          <w:iCs/>
          <w:noProof/>
          <w:szCs w:val="24"/>
        </w:rPr>
        <w:t>Vitamin and mineral requirements in human nutrition</w:t>
      </w:r>
      <w:r w:rsidR="003D54CA">
        <w:rPr>
          <w:rFonts w:cs="Times New Roman"/>
          <w:iCs/>
          <w:noProof/>
          <w:szCs w:val="24"/>
        </w:rPr>
        <w:t>.</w:t>
      </w:r>
      <w:r>
        <w:rPr>
          <w:rFonts w:cs="Times New Roman"/>
          <w:noProof/>
          <w:szCs w:val="24"/>
        </w:rPr>
        <w:t xml:space="preserve"> </w:t>
      </w:r>
      <w:r w:rsidR="003D54CA">
        <w:rPr>
          <w:rFonts w:cs="Times New Roman"/>
          <w:noProof/>
          <w:szCs w:val="24"/>
        </w:rPr>
        <w:t>Rome, Italy</w:t>
      </w:r>
      <w:r w:rsidR="00CA43C8">
        <w:rPr>
          <w:rFonts w:cs="Times New Roman"/>
          <w:noProof/>
          <w:szCs w:val="24"/>
        </w:rPr>
        <w:t>:</w:t>
      </w:r>
      <w:r w:rsidR="003D54CA">
        <w:rPr>
          <w:rFonts w:cs="Times New Roman"/>
          <w:noProof/>
          <w:szCs w:val="24"/>
        </w:rPr>
        <w:t xml:space="preserve"> </w:t>
      </w:r>
      <w:r w:rsidR="00CA43C8">
        <w:rPr>
          <w:rFonts w:cs="Times New Roman"/>
          <w:noProof/>
          <w:szCs w:val="24"/>
        </w:rPr>
        <w:t xml:space="preserve">Food and Agriculture Organization. </w:t>
      </w:r>
    </w:p>
    <w:p w14:paraId="414E16AA" w14:textId="2A7219CF"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noProof/>
          <w:szCs w:val="24"/>
        </w:rPr>
        <w:t xml:space="preserve">WHO &amp; FAO, (2006) </w:t>
      </w:r>
      <w:r>
        <w:rPr>
          <w:rFonts w:cs="Times New Roman"/>
          <w:iCs/>
          <w:noProof/>
          <w:szCs w:val="24"/>
        </w:rPr>
        <w:t>Guidelines on food fortification with micronutrients</w:t>
      </w:r>
      <w:r w:rsidR="00807098">
        <w:rPr>
          <w:rFonts w:cs="Times New Roman"/>
          <w:noProof/>
          <w:szCs w:val="24"/>
        </w:rPr>
        <w:t>.</w:t>
      </w:r>
      <w:r>
        <w:rPr>
          <w:rFonts w:cs="Times New Roman"/>
          <w:noProof/>
          <w:szCs w:val="24"/>
        </w:rPr>
        <w:t xml:space="preserve"> </w:t>
      </w:r>
      <w:r w:rsidR="00807098">
        <w:rPr>
          <w:rFonts w:cs="Times New Roman"/>
          <w:noProof/>
          <w:szCs w:val="24"/>
        </w:rPr>
        <w:t>Geneva, Switzerland: World Health Organization &amp; F</w:t>
      </w:r>
      <w:r w:rsidR="00C845F7">
        <w:rPr>
          <w:rFonts w:cs="Times New Roman"/>
          <w:noProof/>
          <w:szCs w:val="24"/>
        </w:rPr>
        <w:t xml:space="preserve">ood and </w:t>
      </w:r>
      <w:r w:rsidR="00807098">
        <w:rPr>
          <w:rFonts w:cs="Times New Roman"/>
          <w:noProof/>
          <w:szCs w:val="24"/>
        </w:rPr>
        <w:t>A</w:t>
      </w:r>
      <w:r w:rsidR="00C845F7">
        <w:rPr>
          <w:rFonts w:cs="Times New Roman"/>
          <w:noProof/>
          <w:szCs w:val="24"/>
        </w:rPr>
        <w:t xml:space="preserve">griculture </w:t>
      </w:r>
      <w:r w:rsidR="00807098">
        <w:rPr>
          <w:rFonts w:cs="Times New Roman"/>
          <w:noProof/>
          <w:szCs w:val="24"/>
        </w:rPr>
        <w:t>O</w:t>
      </w:r>
      <w:r w:rsidR="00C845F7">
        <w:rPr>
          <w:rFonts w:cs="Times New Roman"/>
          <w:noProof/>
          <w:szCs w:val="24"/>
        </w:rPr>
        <w:t>rganization</w:t>
      </w:r>
    </w:p>
    <w:p w14:paraId="6BC85E8F"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Wierzbowska, J., Cwalina-Ambroziak, B., Głosek-Sobieraj, M. &amp; Sienkiewicz, S. (2017) Yield and mineral content of edible carrot depending on cultivation and plant protection methods. </w:t>
      </w:r>
      <w:r>
        <w:rPr>
          <w:rFonts w:cs="Times New Roman"/>
          <w:i/>
          <w:iCs/>
          <w:szCs w:val="24"/>
          <w:shd w:val="clear" w:color="auto" w:fill="FFFFFF"/>
        </w:rPr>
        <w:t>Acta Scientiarum Polonorum Hortorum Cultus</w:t>
      </w:r>
      <w:r>
        <w:rPr>
          <w:rFonts w:cs="Times New Roman"/>
          <w:szCs w:val="24"/>
          <w:shd w:val="clear" w:color="auto" w:fill="FFFFFF"/>
        </w:rPr>
        <w:t>, 16, 75-86.</w:t>
      </w:r>
    </w:p>
    <w:p w14:paraId="00E075E2" w14:textId="77777777" w:rsidR="00AA6FAA" w:rsidRDefault="00AA6FAA" w:rsidP="00AA6FAA">
      <w:pPr>
        <w:widowControl w:val="0"/>
        <w:autoSpaceDE w:val="0"/>
        <w:autoSpaceDN w:val="0"/>
        <w:adjustRightInd w:val="0"/>
        <w:spacing w:line="240" w:lineRule="auto"/>
        <w:ind w:left="480" w:hanging="480"/>
        <w:rPr>
          <w:rFonts w:cs="Times New Roman"/>
          <w:szCs w:val="24"/>
          <w:shd w:val="clear" w:color="auto" w:fill="FFFFFF"/>
        </w:rPr>
      </w:pPr>
      <w:r>
        <w:rPr>
          <w:rFonts w:cs="Times New Roman"/>
          <w:szCs w:val="24"/>
          <w:shd w:val="clear" w:color="auto" w:fill="FFFFFF"/>
        </w:rPr>
        <w:t>Wolters, M. G., Schreuder, H. A., Van Den Heuvel, G., Van Lonkhuijsen, H. J., Hermus, R. J. &amp; Voragen, A. G. (1993) A continuous in vitro method for estimation of the bioavailability of minerals and trace elements in foods: application to breads varying in phytic acid content. </w:t>
      </w:r>
      <w:r>
        <w:rPr>
          <w:rFonts w:cs="Times New Roman"/>
          <w:i/>
          <w:iCs/>
          <w:szCs w:val="24"/>
          <w:shd w:val="clear" w:color="auto" w:fill="FFFFFF"/>
        </w:rPr>
        <w:t>British Journal of Nutrition</w:t>
      </w:r>
      <w:r>
        <w:rPr>
          <w:rFonts w:cs="Times New Roman"/>
          <w:szCs w:val="24"/>
          <w:shd w:val="clear" w:color="auto" w:fill="FFFFFF"/>
        </w:rPr>
        <w:t>, 69, 849-861.</w:t>
      </w:r>
    </w:p>
    <w:p w14:paraId="3E17222A"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Yakoob, M. Y., Theodoratou, E., Jabeen, A., Imdad, A., Eisele, T. P., Ferguson, J., Jhass, A., Rudan, I., Campbell, H., Black, R. E. &amp; Bhutta, Z. A. (2011) Preventive zinc supplementation in developing countries: impact on mortality and morbidity due to diarrhoea, pneumonia and malaria. </w:t>
      </w:r>
      <w:r>
        <w:rPr>
          <w:rFonts w:cs="Times New Roman"/>
          <w:i/>
          <w:iCs/>
          <w:szCs w:val="24"/>
          <w:shd w:val="clear" w:color="auto" w:fill="FFFFFF"/>
        </w:rPr>
        <w:t>BMC Public Health</w:t>
      </w:r>
      <w:r>
        <w:rPr>
          <w:rFonts w:cs="Times New Roman"/>
          <w:szCs w:val="24"/>
          <w:shd w:val="clear" w:color="auto" w:fill="FFFFFF"/>
        </w:rPr>
        <w:t>, </w:t>
      </w:r>
      <w:r>
        <w:rPr>
          <w:rFonts w:cs="Times New Roman"/>
          <w:iCs/>
          <w:szCs w:val="24"/>
          <w:shd w:val="clear" w:color="auto" w:fill="FFFFFF"/>
        </w:rPr>
        <w:t>11</w:t>
      </w:r>
      <w:r>
        <w:rPr>
          <w:rFonts w:cs="Times New Roman"/>
          <w:szCs w:val="24"/>
          <w:shd w:val="clear" w:color="auto" w:fill="FFFFFF"/>
        </w:rPr>
        <w:t>, S23.</w:t>
      </w:r>
    </w:p>
    <w:p w14:paraId="18866E8B" w14:textId="77777777" w:rsidR="00AA6FAA" w:rsidRDefault="00AA6FAA" w:rsidP="00AA6FAA">
      <w:pPr>
        <w:widowControl w:val="0"/>
        <w:autoSpaceDE w:val="0"/>
        <w:autoSpaceDN w:val="0"/>
        <w:adjustRightInd w:val="0"/>
        <w:spacing w:line="240" w:lineRule="auto"/>
        <w:ind w:left="480" w:hanging="480"/>
        <w:rPr>
          <w:rFonts w:cs="Times New Roman"/>
          <w:noProof/>
          <w:szCs w:val="24"/>
        </w:rPr>
      </w:pPr>
      <w:r>
        <w:rPr>
          <w:rFonts w:cs="Times New Roman"/>
          <w:szCs w:val="24"/>
          <w:shd w:val="clear" w:color="auto" w:fill="FFFFFF"/>
        </w:rPr>
        <w:t>Zaccari, F., Cabrera, M. C., Ramos, A. &amp; Saadoun, A. (2015) In vitro bioaccessibility of β-carotene, Ca, Mg and Zn in landrace carrots (</w:t>
      </w:r>
      <w:r>
        <w:rPr>
          <w:rFonts w:cs="Times New Roman"/>
          <w:i/>
          <w:iCs/>
          <w:szCs w:val="24"/>
          <w:shd w:val="clear" w:color="auto" w:fill="FFFFFF"/>
        </w:rPr>
        <w:t>Daucus carota</w:t>
      </w:r>
      <w:r>
        <w:rPr>
          <w:rFonts w:cs="Times New Roman"/>
          <w:szCs w:val="24"/>
          <w:shd w:val="clear" w:color="auto" w:fill="FFFFFF"/>
        </w:rPr>
        <w:t xml:space="preserve"> L.). </w:t>
      </w:r>
      <w:r>
        <w:rPr>
          <w:rFonts w:cs="Times New Roman"/>
          <w:i/>
          <w:iCs/>
          <w:szCs w:val="24"/>
          <w:shd w:val="clear" w:color="auto" w:fill="FFFFFF"/>
        </w:rPr>
        <w:t>Food Chemistry</w:t>
      </w:r>
      <w:r>
        <w:rPr>
          <w:rFonts w:cs="Times New Roman"/>
          <w:szCs w:val="24"/>
          <w:shd w:val="clear" w:color="auto" w:fill="FFFFFF"/>
        </w:rPr>
        <w:t>, 166, 365-371.</w:t>
      </w:r>
    </w:p>
    <w:p w14:paraId="784B7BCC" w14:textId="77777777" w:rsidR="00AA6FAA" w:rsidRDefault="00AA6FAA" w:rsidP="00AA6FAA">
      <w:pPr>
        <w:pStyle w:val="NormalWeb"/>
        <w:ind w:left="480" w:hanging="480"/>
      </w:pPr>
      <w:r>
        <w:rPr>
          <w:shd w:val="clear" w:color="auto" w:fill="FFFFFF"/>
        </w:rPr>
        <w:t>Zimmermann, M. B., Chaouki, N. &amp; Hurrell, R. F. (2005) Iron deficiency due to consumption of a habitual diet low in bioavailable iron: a longitudinal cohort study in Moroccan children. </w:t>
      </w:r>
      <w:r>
        <w:rPr>
          <w:i/>
          <w:iCs/>
          <w:shd w:val="clear" w:color="auto" w:fill="FFFFFF"/>
        </w:rPr>
        <w:t>The American Journal of Clinical Nutrition</w:t>
      </w:r>
      <w:r>
        <w:rPr>
          <w:shd w:val="clear" w:color="auto" w:fill="FFFFFF"/>
        </w:rPr>
        <w:t>, </w:t>
      </w:r>
      <w:r>
        <w:rPr>
          <w:i/>
          <w:iCs/>
          <w:shd w:val="clear" w:color="auto" w:fill="FFFFFF"/>
        </w:rPr>
        <w:t>81</w:t>
      </w:r>
      <w:r>
        <w:rPr>
          <w:shd w:val="clear" w:color="auto" w:fill="FFFFFF"/>
        </w:rPr>
        <w:t xml:space="preserve">, 115-121. </w:t>
      </w:r>
      <w:bookmarkEnd w:id="173"/>
    </w:p>
    <w:p w14:paraId="7DABF931" w14:textId="77777777" w:rsidR="00AA6FAA" w:rsidRDefault="00AA6FAA" w:rsidP="000D7DDF">
      <w:pPr>
        <w:widowControl w:val="0"/>
        <w:autoSpaceDE w:val="0"/>
        <w:autoSpaceDN w:val="0"/>
        <w:adjustRightInd w:val="0"/>
        <w:spacing w:line="240" w:lineRule="auto"/>
        <w:ind w:left="480" w:hanging="480"/>
        <w:rPr>
          <w:rFonts w:cs="Times New Roman"/>
          <w:noProof/>
          <w:szCs w:val="24"/>
        </w:rPr>
      </w:pPr>
    </w:p>
    <w:p w14:paraId="2D8753A8" w14:textId="2158F1EC" w:rsidR="00072B59" w:rsidRDefault="00072B59">
      <w:pPr>
        <w:spacing w:after="160" w:line="259" w:lineRule="auto"/>
        <w:jc w:val="left"/>
      </w:pPr>
      <w:r>
        <w:br w:type="page"/>
      </w:r>
    </w:p>
    <w:p w14:paraId="75542F66" w14:textId="46D9CB58" w:rsidR="00FC2142" w:rsidRPr="00FC2142" w:rsidRDefault="00FC2142" w:rsidP="00FC2142">
      <w:pPr>
        <w:pStyle w:val="Heading1"/>
      </w:pPr>
      <w:bookmarkStart w:id="179" w:name="_Toc65253622"/>
      <w:r w:rsidRPr="00FC2142">
        <w:t>8</w:t>
      </w:r>
      <w:r w:rsidR="00072B59">
        <w:t>.</w:t>
      </w:r>
      <w:r w:rsidR="00843F2D">
        <w:tab/>
      </w:r>
      <w:r w:rsidRPr="00FC2142">
        <w:t>APPENDI</w:t>
      </w:r>
      <w:r w:rsidR="00316835">
        <w:t>X</w:t>
      </w:r>
      <w:bookmarkEnd w:id="179"/>
    </w:p>
    <w:p w14:paraId="2C90D6A9" w14:textId="4B67963C" w:rsidR="00450842" w:rsidRPr="00843E4B" w:rsidRDefault="00FC2142" w:rsidP="00DA20B0">
      <w:pPr>
        <w:rPr>
          <w:b/>
          <w:lang w:val="en-ZA"/>
        </w:rPr>
      </w:pPr>
      <w:r w:rsidRPr="00843E4B">
        <w:rPr>
          <w:b/>
          <w:lang w:val="en-ZA"/>
        </w:rPr>
        <w:t>Publications and presentations from this research</w:t>
      </w:r>
    </w:p>
    <w:p w14:paraId="27079E72" w14:textId="424E55E0" w:rsidR="00520DAA" w:rsidRDefault="00520DAA" w:rsidP="00450842">
      <w:pPr>
        <w:rPr>
          <w:lang w:val="en-ZA"/>
        </w:rPr>
      </w:pPr>
      <w:r w:rsidRPr="00647044">
        <w:rPr>
          <w:lang w:val="en-ZA"/>
        </w:rPr>
        <w:t xml:space="preserve">Adetola, </w:t>
      </w:r>
      <w:r>
        <w:rPr>
          <w:lang w:val="en-ZA"/>
        </w:rPr>
        <w:t>O.</w:t>
      </w:r>
      <w:r w:rsidR="005708A7">
        <w:rPr>
          <w:lang w:val="en-ZA"/>
        </w:rPr>
        <w:t xml:space="preserve"> </w:t>
      </w:r>
      <w:r w:rsidRPr="00647044">
        <w:rPr>
          <w:lang w:val="en-ZA"/>
        </w:rPr>
        <w:t>Y, Kruger, J., White, Z.</w:t>
      </w:r>
      <w:r>
        <w:rPr>
          <w:lang w:val="en-ZA"/>
        </w:rPr>
        <w:t xml:space="preserve"> &amp;</w:t>
      </w:r>
      <w:r w:rsidRPr="00647044">
        <w:rPr>
          <w:lang w:val="en-ZA"/>
        </w:rPr>
        <w:t xml:space="preserve"> Taylor, J.</w:t>
      </w:r>
      <w:r w:rsidR="005708A7">
        <w:rPr>
          <w:lang w:val="en-ZA"/>
        </w:rPr>
        <w:t xml:space="preserve"> </w:t>
      </w:r>
      <w:r w:rsidRPr="00647044">
        <w:rPr>
          <w:lang w:val="en-ZA"/>
        </w:rPr>
        <w:t>R.</w:t>
      </w:r>
      <w:r w:rsidR="005708A7">
        <w:rPr>
          <w:lang w:val="en-ZA"/>
        </w:rPr>
        <w:t xml:space="preserve"> </w:t>
      </w:r>
      <w:r w:rsidRPr="00647044">
        <w:rPr>
          <w:lang w:val="en-ZA"/>
        </w:rPr>
        <w:t xml:space="preserve">N. </w:t>
      </w:r>
      <w:r w:rsidR="00A37586">
        <w:rPr>
          <w:lang w:val="en-ZA"/>
        </w:rPr>
        <w:t>(</w:t>
      </w:r>
      <w:r w:rsidRPr="00647044">
        <w:rPr>
          <w:lang w:val="en-ZA"/>
        </w:rPr>
        <w:t>2019</w:t>
      </w:r>
      <w:r w:rsidR="00A37586">
        <w:rPr>
          <w:lang w:val="en-ZA"/>
        </w:rPr>
        <w:t>)</w:t>
      </w:r>
      <w:r w:rsidRPr="00647044">
        <w:rPr>
          <w:lang w:val="en-ZA"/>
        </w:rPr>
        <w:t xml:space="preserve"> Comparison between food-to-food fortification of pearl millet porridge with moringa leaves and baobab fruit and with adding ascorbic and citric acid on iron, zinc and other mineral bioaccessibility. </w:t>
      </w:r>
      <w:r w:rsidRPr="00520DAA">
        <w:rPr>
          <w:i/>
          <w:iCs/>
          <w:lang w:val="en-ZA"/>
        </w:rPr>
        <w:t>LWT</w:t>
      </w:r>
      <w:r w:rsidR="005708A7">
        <w:rPr>
          <w:i/>
          <w:iCs/>
          <w:lang w:val="en-ZA"/>
        </w:rPr>
        <w:t xml:space="preserve"> </w:t>
      </w:r>
      <w:r w:rsidR="00C02900">
        <w:rPr>
          <w:i/>
          <w:iCs/>
          <w:lang w:val="en-ZA"/>
        </w:rPr>
        <w:t>-</w:t>
      </w:r>
      <w:r w:rsidR="005708A7">
        <w:rPr>
          <w:i/>
          <w:iCs/>
          <w:lang w:val="en-ZA"/>
        </w:rPr>
        <w:t xml:space="preserve"> </w:t>
      </w:r>
      <w:r w:rsidRPr="00520DAA">
        <w:rPr>
          <w:i/>
          <w:iCs/>
          <w:lang w:val="en-ZA"/>
        </w:rPr>
        <w:t>Food Science and Technology</w:t>
      </w:r>
      <w:r w:rsidRPr="00647044">
        <w:rPr>
          <w:lang w:val="en-ZA"/>
        </w:rPr>
        <w:t xml:space="preserve"> 106</w:t>
      </w:r>
      <w:r>
        <w:rPr>
          <w:lang w:val="en-ZA"/>
        </w:rPr>
        <w:t xml:space="preserve">, </w:t>
      </w:r>
      <w:r w:rsidRPr="00647044">
        <w:rPr>
          <w:lang w:val="en-ZA"/>
        </w:rPr>
        <w:t>92-97.</w:t>
      </w:r>
    </w:p>
    <w:p w14:paraId="054CF3A5" w14:textId="3DFCAA61" w:rsidR="002B3600" w:rsidRDefault="00FC1949" w:rsidP="00450842">
      <w:pPr>
        <w:rPr>
          <w:lang w:val="en-ZA"/>
        </w:rPr>
      </w:pPr>
      <w:r w:rsidRPr="00647044">
        <w:rPr>
          <w:lang w:val="en-ZA"/>
        </w:rPr>
        <w:t xml:space="preserve">Adetola, </w:t>
      </w:r>
      <w:r>
        <w:rPr>
          <w:lang w:val="en-ZA"/>
        </w:rPr>
        <w:t>O.</w:t>
      </w:r>
      <w:r w:rsidR="005708A7">
        <w:rPr>
          <w:lang w:val="en-ZA"/>
        </w:rPr>
        <w:t xml:space="preserve"> Y.</w:t>
      </w:r>
      <w:r w:rsidRPr="00647044">
        <w:rPr>
          <w:lang w:val="en-ZA"/>
        </w:rPr>
        <w:t xml:space="preserve">, </w:t>
      </w:r>
      <w:r>
        <w:rPr>
          <w:lang w:val="en-ZA"/>
        </w:rPr>
        <w:t>Hoffman, M. &amp;</w:t>
      </w:r>
      <w:r w:rsidRPr="00647044">
        <w:rPr>
          <w:lang w:val="en-ZA"/>
        </w:rPr>
        <w:t xml:space="preserve"> Taylor, J.</w:t>
      </w:r>
      <w:r w:rsidR="005708A7">
        <w:rPr>
          <w:lang w:val="en-ZA"/>
        </w:rPr>
        <w:t xml:space="preserve"> </w:t>
      </w:r>
      <w:r w:rsidRPr="00647044">
        <w:rPr>
          <w:lang w:val="en-ZA"/>
        </w:rPr>
        <w:t>R.</w:t>
      </w:r>
      <w:r w:rsidR="005708A7">
        <w:rPr>
          <w:lang w:val="en-ZA"/>
        </w:rPr>
        <w:t xml:space="preserve"> </w:t>
      </w:r>
      <w:r w:rsidRPr="00647044">
        <w:rPr>
          <w:lang w:val="en-ZA"/>
        </w:rPr>
        <w:t>N.</w:t>
      </w:r>
      <w:r>
        <w:rPr>
          <w:lang w:val="en-ZA"/>
        </w:rPr>
        <w:t xml:space="preserve"> (2020) Enhancing iron bioaccessibility in African cereal-based diet using a food-based approach: a potential sustainable strategy to alleviate iron deficiency in Africa. </w:t>
      </w:r>
      <w:r w:rsidRPr="00FC1949">
        <w:rPr>
          <w:i/>
          <w:iCs/>
          <w:lang w:val="en-ZA"/>
        </w:rPr>
        <w:t>Journal of Applied Physiology, Applied Physiology, Nutrition and Metabolism,</w:t>
      </w:r>
      <w:r>
        <w:rPr>
          <w:lang w:val="en-ZA"/>
        </w:rPr>
        <w:t xml:space="preserve"> 45, S1 (Published Conference Abstract). Poster presentation at the 10</w:t>
      </w:r>
      <w:r w:rsidRPr="00FC1949">
        <w:rPr>
          <w:vertAlign w:val="superscript"/>
          <w:lang w:val="en-ZA"/>
        </w:rPr>
        <w:t>th</w:t>
      </w:r>
      <w:r>
        <w:rPr>
          <w:lang w:val="en-ZA"/>
        </w:rPr>
        <w:t xml:space="preserve"> Annual Canadian Nutrition Conference (CNS) Virtual Poster Expo, May 2020.</w:t>
      </w:r>
    </w:p>
    <w:p w14:paraId="07F5D7F6" w14:textId="1A271BBA" w:rsidR="00A37586" w:rsidRDefault="00A37586" w:rsidP="00450842">
      <w:pPr>
        <w:rPr>
          <w:lang w:val="en-ZA"/>
        </w:rPr>
      </w:pPr>
      <w:r w:rsidRPr="00647044">
        <w:rPr>
          <w:lang w:val="en-ZA"/>
        </w:rPr>
        <w:t xml:space="preserve">Adetola, </w:t>
      </w:r>
      <w:r>
        <w:rPr>
          <w:lang w:val="en-ZA"/>
        </w:rPr>
        <w:t>O.</w:t>
      </w:r>
      <w:r w:rsidR="005708A7">
        <w:rPr>
          <w:lang w:val="en-ZA"/>
        </w:rPr>
        <w:t xml:space="preserve"> Y.</w:t>
      </w:r>
      <w:r w:rsidRPr="00647044">
        <w:rPr>
          <w:lang w:val="en-ZA"/>
        </w:rPr>
        <w:t>, Kruger, J., White, Z.</w:t>
      </w:r>
      <w:r>
        <w:rPr>
          <w:lang w:val="en-ZA"/>
        </w:rPr>
        <w:t xml:space="preserve"> &amp;</w:t>
      </w:r>
      <w:r w:rsidRPr="00647044">
        <w:rPr>
          <w:lang w:val="en-ZA"/>
        </w:rPr>
        <w:t xml:space="preserve"> Taylor, J. </w:t>
      </w:r>
      <w:r w:rsidR="005708A7">
        <w:rPr>
          <w:lang w:val="en-ZA"/>
        </w:rPr>
        <w:t xml:space="preserve">R. N. </w:t>
      </w:r>
      <w:r>
        <w:rPr>
          <w:lang w:val="en-ZA"/>
        </w:rPr>
        <w:t>(</w:t>
      </w:r>
      <w:r w:rsidRPr="00647044">
        <w:rPr>
          <w:lang w:val="en-ZA"/>
        </w:rPr>
        <w:t>2019</w:t>
      </w:r>
      <w:r>
        <w:rPr>
          <w:lang w:val="en-ZA"/>
        </w:rPr>
        <w:t>)</w:t>
      </w:r>
      <w:r w:rsidR="000F02FC">
        <w:rPr>
          <w:lang w:val="en-ZA"/>
        </w:rPr>
        <w:t xml:space="preserve"> Baobab fruit enhanced iron and zinc bioaccessibility from African whole maize porridge. </w:t>
      </w:r>
      <w:r w:rsidR="000F02FC" w:rsidRPr="000F02FC">
        <w:rPr>
          <w:i/>
          <w:iCs/>
          <w:lang w:val="en-ZA"/>
        </w:rPr>
        <w:t>Journal of the Academy of Nutrition and Dietetics,</w:t>
      </w:r>
      <w:r w:rsidR="000F02FC">
        <w:rPr>
          <w:lang w:val="en-ZA"/>
        </w:rPr>
        <w:t xml:space="preserve"> 119, A45</w:t>
      </w:r>
      <w:r w:rsidR="00FC1949" w:rsidRPr="00FC1949">
        <w:rPr>
          <w:lang w:val="en-ZA"/>
        </w:rPr>
        <w:t xml:space="preserve"> </w:t>
      </w:r>
      <w:r w:rsidR="00FC1949">
        <w:rPr>
          <w:lang w:val="en-ZA"/>
        </w:rPr>
        <w:t>(Published Conference Abstract)</w:t>
      </w:r>
      <w:r w:rsidR="000F02FC">
        <w:rPr>
          <w:lang w:val="en-ZA"/>
        </w:rPr>
        <w:t>.</w:t>
      </w:r>
    </w:p>
    <w:p w14:paraId="5CAD28B5" w14:textId="5881E779" w:rsidR="000F02FC" w:rsidRDefault="000F02FC" w:rsidP="00450842">
      <w:pPr>
        <w:rPr>
          <w:lang w:val="en-ZA"/>
        </w:rPr>
      </w:pPr>
      <w:r w:rsidRPr="00647044">
        <w:rPr>
          <w:lang w:val="en-ZA"/>
        </w:rPr>
        <w:t xml:space="preserve">Adetola, </w:t>
      </w:r>
      <w:r>
        <w:rPr>
          <w:lang w:val="en-ZA"/>
        </w:rPr>
        <w:t>O.</w:t>
      </w:r>
      <w:r w:rsidR="005708A7">
        <w:rPr>
          <w:lang w:val="en-ZA"/>
        </w:rPr>
        <w:t xml:space="preserve"> Y.</w:t>
      </w:r>
      <w:r w:rsidRPr="00647044">
        <w:rPr>
          <w:lang w:val="en-ZA"/>
        </w:rPr>
        <w:t>, Kruger, J., White, Z.</w:t>
      </w:r>
      <w:r>
        <w:rPr>
          <w:lang w:val="en-ZA"/>
        </w:rPr>
        <w:t xml:space="preserve"> &amp;</w:t>
      </w:r>
      <w:r w:rsidRPr="00647044">
        <w:rPr>
          <w:lang w:val="en-ZA"/>
        </w:rPr>
        <w:t xml:space="preserve"> Taylor, J.</w:t>
      </w:r>
      <w:r w:rsidR="005708A7">
        <w:rPr>
          <w:lang w:val="en-ZA"/>
        </w:rPr>
        <w:t xml:space="preserve"> </w:t>
      </w:r>
      <w:r w:rsidRPr="00647044">
        <w:rPr>
          <w:lang w:val="en-ZA"/>
        </w:rPr>
        <w:t>R.</w:t>
      </w:r>
      <w:r w:rsidR="005708A7">
        <w:rPr>
          <w:lang w:val="en-ZA"/>
        </w:rPr>
        <w:t xml:space="preserve"> </w:t>
      </w:r>
      <w:r w:rsidRPr="00647044">
        <w:rPr>
          <w:lang w:val="en-ZA"/>
        </w:rPr>
        <w:t>N.</w:t>
      </w:r>
      <w:r>
        <w:rPr>
          <w:lang w:val="en-ZA"/>
        </w:rPr>
        <w:t xml:space="preserve"> (2018)</w:t>
      </w:r>
      <w:r w:rsidR="002B3600">
        <w:rPr>
          <w:lang w:val="en-ZA"/>
        </w:rPr>
        <w:t xml:space="preserve"> Natural food fortification: </w:t>
      </w:r>
      <w:r w:rsidR="005708A7">
        <w:rPr>
          <w:lang w:val="en-ZA"/>
        </w:rPr>
        <w:t>A</w:t>
      </w:r>
      <w:r w:rsidR="002B3600">
        <w:rPr>
          <w:lang w:val="en-ZA"/>
        </w:rPr>
        <w:t xml:space="preserve"> potential sustainable plant food-based strategy to improve essential mineral bioavailability in African cereal-based diets. </w:t>
      </w:r>
      <w:r w:rsidR="002B3600" w:rsidRPr="00450842">
        <w:rPr>
          <w:lang w:val="en-ZA"/>
        </w:rPr>
        <w:t>Poster presentation at the</w:t>
      </w:r>
      <w:r w:rsidR="002B3600">
        <w:rPr>
          <w:lang w:val="en-ZA"/>
        </w:rPr>
        <w:t xml:space="preserve"> Nutrition Congress “Nutrition: Past, Present, Future” Johannesburg, South Africa, September 2018.</w:t>
      </w:r>
    </w:p>
    <w:p w14:paraId="6926CBB1" w14:textId="42369910" w:rsidR="002B3600" w:rsidRDefault="002B3600" w:rsidP="00450842">
      <w:pPr>
        <w:rPr>
          <w:lang w:val="en-ZA"/>
        </w:rPr>
      </w:pPr>
      <w:r w:rsidRPr="00647044">
        <w:rPr>
          <w:lang w:val="en-ZA"/>
        </w:rPr>
        <w:t xml:space="preserve">Adetola, </w:t>
      </w:r>
      <w:r>
        <w:rPr>
          <w:lang w:val="en-ZA"/>
        </w:rPr>
        <w:t>O.</w:t>
      </w:r>
      <w:r w:rsidR="005708A7">
        <w:rPr>
          <w:lang w:val="en-ZA"/>
        </w:rPr>
        <w:t>Y.</w:t>
      </w:r>
      <w:r w:rsidRPr="00647044">
        <w:rPr>
          <w:lang w:val="en-ZA"/>
        </w:rPr>
        <w:t xml:space="preserve">, </w:t>
      </w:r>
      <w:r>
        <w:rPr>
          <w:lang w:val="en-ZA"/>
        </w:rPr>
        <w:t>Hoffman, M., Van der Merwe, R. &amp;</w:t>
      </w:r>
      <w:r w:rsidRPr="00647044">
        <w:rPr>
          <w:lang w:val="en-ZA"/>
        </w:rPr>
        <w:t xml:space="preserve"> Taylor, J.</w:t>
      </w:r>
      <w:r w:rsidR="005708A7">
        <w:rPr>
          <w:lang w:val="en-ZA"/>
        </w:rPr>
        <w:t xml:space="preserve"> </w:t>
      </w:r>
      <w:r w:rsidRPr="00647044">
        <w:rPr>
          <w:lang w:val="en-ZA"/>
        </w:rPr>
        <w:t>R.</w:t>
      </w:r>
      <w:r w:rsidR="005708A7">
        <w:rPr>
          <w:lang w:val="en-ZA"/>
        </w:rPr>
        <w:t xml:space="preserve"> </w:t>
      </w:r>
      <w:r w:rsidRPr="00647044">
        <w:rPr>
          <w:lang w:val="en-ZA"/>
        </w:rPr>
        <w:t>N.</w:t>
      </w:r>
      <w:r>
        <w:rPr>
          <w:lang w:val="en-ZA"/>
        </w:rPr>
        <w:t xml:space="preserve"> (2019) Enhancing essential mineral bioaccessibility in a cereal-based diet using a food-based approach. Oral presentation at the </w:t>
      </w:r>
      <w:r w:rsidRPr="00450842">
        <w:rPr>
          <w:lang w:val="en-ZA"/>
        </w:rPr>
        <w:t>2</w:t>
      </w:r>
      <w:r>
        <w:rPr>
          <w:lang w:val="en-ZA"/>
        </w:rPr>
        <w:t>3r</w:t>
      </w:r>
      <w:r w:rsidRPr="00450842">
        <w:rPr>
          <w:lang w:val="en-ZA"/>
        </w:rPr>
        <w:t>d Biennial</w:t>
      </w:r>
      <w:r>
        <w:rPr>
          <w:lang w:val="en-ZA"/>
        </w:rPr>
        <w:t xml:space="preserve"> </w:t>
      </w:r>
      <w:r w:rsidRPr="00450842">
        <w:rPr>
          <w:lang w:val="en-ZA"/>
        </w:rPr>
        <w:t>International</w:t>
      </w:r>
      <w:r>
        <w:rPr>
          <w:lang w:val="en-ZA"/>
        </w:rPr>
        <w:t xml:space="preserve"> South African Association for Food Science &amp; Technology (</w:t>
      </w:r>
      <w:r w:rsidRPr="00450842">
        <w:rPr>
          <w:lang w:val="en-ZA"/>
        </w:rPr>
        <w:t>SAAFoST</w:t>
      </w:r>
      <w:r>
        <w:rPr>
          <w:lang w:val="en-ZA"/>
        </w:rPr>
        <w:t>)</w:t>
      </w:r>
      <w:r w:rsidRPr="00450842">
        <w:rPr>
          <w:lang w:val="en-ZA"/>
        </w:rPr>
        <w:t xml:space="preserve"> Congress, </w:t>
      </w:r>
      <w:r>
        <w:rPr>
          <w:lang w:val="en-ZA"/>
        </w:rPr>
        <w:t>Johannesburg, South Africa,</w:t>
      </w:r>
      <w:r w:rsidRPr="00450842">
        <w:rPr>
          <w:lang w:val="en-ZA"/>
        </w:rPr>
        <w:t xml:space="preserve"> </w:t>
      </w:r>
      <w:r w:rsidR="00916485" w:rsidRPr="00450842">
        <w:rPr>
          <w:lang w:val="en-ZA"/>
        </w:rPr>
        <w:t>September</w:t>
      </w:r>
      <w:r w:rsidRPr="00450842">
        <w:rPr>
          <w:lang w:val="en-ZA"/>
        </w:rPr>
        <w:t xml:space="preserve"> 201</w:t>
      </w:r>
      <w:r>
        <w:rPr>
          <w:lang w:val="en-ZA"/>
        </w:rPr>
        <w:t>9</w:t>
      </w:r>
      <w:r w:rsidRPr="00450842">
        <w:rPr>
          <w:lang w:val="en-ZA"/>
        </w:rPr>
        <w:t>.</w:t>
      </w:r>
      <w:r w:rsidR="005708A7">
        <w:rPr>
          <w:lang w:val="en-ZA"/>
        </w:rPr>
        <w:t xml:space="preserve"> </w:t>
      </w:r>
      <w:r w:rsidR="00C02900">
        <w:rPr>
          <w:lang w:val="en-ZA"/>
        </w:rPr>
        <w:t>Dreosti award for best oral presentation.</w:t>
      </w:r>
    </w:p>
    <w:p w14:paraId="74F42131" w14:textId="0A99E899" w:rsidR="002B3600" w:rsidRDefault="002B3600" w:rsidP="00450842">
      <w:pPr>
        <w:rPr>
          <w:lang w:val="en-ZA"/>
        </w:rPr>
      </w:pPr>
      <w:r w:rsidRPr="00647044">
        <w:rPr>
          <w:lang w:val="en-ZA"/>
        </w:rPr>
        <w:t xml:space="preserve">Adetola, </w:t>
      </w:r>
      <w:r>
        <w:rPr>
          <w:lang w:val="en-ZA"/>
        </w:rPr>
        <w:t>O.</w:t>
      </w:r>
      <w:r w:rsidR="005708A7">
        <w:rPr>
          <w:lang w:val="en-ZA"/>
        </w:rPr>
        <w:t xml:space="preserve"> Y.</w:t>
      </w:r>
      <w:r w:rsidRPr="00647044">
        <w:rPr>
          <w:lang w:val="en-ZA"/>
        </w:rPr>
        <w:t>, Kruger, J., White, Z.</w:t>
      </w:r>
      <w:r>
        <w:rPr>
          <w:lang w:val="en-ZA"/>
        </w:rPr>
        <w:t xml:space="preserve"> &amp;</w:t>
      </w:r>
      <w:r w:rsidRPr="00647044">
        <w:rPr>
          <w:lang w:val="en-ZA"/>
        </w:rPr>
        <w:t xml:space="preserve"> Taylor, J.</w:t>
      </w:r>
      <w:r w:rsidR="005708A7">
        <w:rPr>
          <w:lang w:val="en-ZA"/>
        </w:rPr>
        <w:t xml:space="preserve"> </w:t>
      </w:r>
      <w:r w:rsidRPr="00647044">
        <w:rPr>
          <w:lang w:val="en-ZA"/>
        </w:rPr>
        <w:t>R.</w:t>
      </w:r>
      <w:r w:rsidR="005708A7">
        <w:rPr>
          <w:lang w:val="en-ZA"/>
        </w:rPr>
        <w:t xml:space="preserve"> </w:t>
      </w:r>
      <w:r w:rsidRPr="00647044">
        <w:rPr>
          <w:lang w:val="en-ZA"/>
        </w:rPr>
        <w:t>N.</w:t>
      </w:r>
      <w:r>
        <w:rPr>
          <w:lang w:val="en-ZA"/>
        </w:rPr>
        <w:t xml:space="preserve"> (2018) Natural food fortification: </w:t>
      </w:r>
      <w:r w:rsidR="00C02900">
        <w:rPr>
          <w:lang w:val="en-ZA"/>
        </w:rPr>
        <w:t>A</w:t>
      </w:r>
      <w:r>
        <w:rPr>
          <w:lang w:val="en-ZA"/>
        </w:rPr>
        <w:t xml:space="preserve"> potential sustainable plant food-based strategy to improve essential mineral bioavailability in African cereal-based diets. </w:t>
      </w:r>
      <w:r w:rsidRPr="00450842">
        <w:rPr>
          <w:lang w:val="en-ZA"/>
        </w:rPr>
        <w:t>Poster presentation at the</w:t>
      </w:r>
      <w:r>
        <w:rPr>
          <w:lang w:val="en-ZA"/>
        </w:rPr>
        <w:t xml:space="preserve"> </w:t>
      </w:r>
      <w:r w:rsidRPr="00450842">
        <w:rPr>
          <w:lang w:val="en-ZA"/>
        </w:rPr>
        <w:t xml:space="preserve">International Sorghum Conference “Sorghum in the 21st Century”, Cape Town, South Africa, </w:t>
      </w:r>
      <w:r w:rsidR="00916485" w:rsidRPr="00450842">
        <w:rPr>
          <w:lang w:val="en-ZA"/>
        </w:rPr>
        <w:t>April</w:t>
      </w:r>
      <w:r w:rsidRPr="00450842">
        <w:rPr>
          <w:lang w:val="en-ZA"/>
        </w:rPr>
        <w:t xml:space="preserve"> 2018.</w:t>
      </w:r>
    </w:p>
    <w:sectPr w:rsidR="002B3600" w:rsidSect="00D1616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EF3BD9" w14:textId="77777777" w:rsidR="0038137E" w:rsidRDefault="0038137E" w:rsidP="009F5E59">
      <w:pPr>
        <w:spacing w:after="0" w:line="240" w:lineRule="auto"/>
      </w:pPr>
      <w:r>
        <w:separator/>
      </w:r>
    </w:p>
  </w:endnote>
  <w:endnote w:type="continuationSeparator" w:id="0">
    <w:p w14:paraId="2DE64915" w14:textId="77777777" w:rsidR="0038137E" w:rsidRDefault="0038137E" w:rsidP="009F5E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AdvGulliv-R">
    <w:altName w:val="MS Mincho"/>
    <w:panose1 w:val="00000000000000000000"/>
    <w:charset w:val="80"/>
    <w:family w:val="auto"/>
    <w:notTrueType/>
    <w:pitch w:val="default"/>
    <w:sig w:usb0="00000003" w:usb1="08070000" w:usb2="00000010" w:usb3="00000000" w:csb0="00020001" w:csb1="00000000"/>
  </w:font>
  <w:font w:name="AdvGulliv-I">
    <w:altName w:val="MS Mincho"/>
    <w:panose1 w:val="00000000000000000000"/>
    <w:charset w:val="80"/>
    <w:family w:val="auto"/>
    <w:notTrueType/>
    <w:pitch w:val="default"/>
    <w:sig w:usb0="00000003" w:usb1="08070000" w:usb2="00000010" w:usb3="00000000" w:csb0="00020001" w:csb1="00000000"/>
  </w:font>
  <w:font w:name="STIXTwoText">
    <w:altName w:val="Yu Gothic"/>
    <w:panose1 w:val="00000000000000000000"/>
    <w:charset w:val="80"/>
    <w:family w:val="auto"/>
    <w:notTrueType/>
    <w:pitch w:val="default"/>
    <w:sig w:usb0="00000001" w:usb1="08070000" w:usb2="00000010" w:usb3="00000000" w:csb0="00020000" w:csb1="00000000"/>
  </w:font>
  <w:font w:name="ScalaLancetPro">
    <w:altName w:val="MS Mincho"/>
    <w:panose1 w:val="00000000000000000000"/>
    <w:charset w:val="80"/>
    <w:family w:val="auto"/>
    <w:notTrueType/>
    <w:pitch w:val="default"/>
    <w:sig w:usb0="00000000" w:usb1="08070000" w:usb2="00000010" w:usb3="00000000" w:csb0="00020000"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MyriadPro-Regular">
    <w:altName w:val="Yu Gothic"/>
    <w:panose1 w:val="00000000000000000000"/>
    <w:charset w:val="80"/>
    <w:family w:val="swiss"/>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6473785"/>
      <w:docPartObj>
        <w:docPartGallery w:val="Page Numbers (Bottom of Page)"/>
        <w:docPartUnique/>
      </w:docPartObj>
    </w:sdtPr>
    <w:sdtEndPr>
      <w:rPr>
        <w:noProof/>
      </w:rPr>
    </w:sdtEndPr>
    <w:sdtContent>
      <w:p w14:paraId="0615A9AA" w14:textId="7BC837BA" w:rsidR="003A6483" w:rsidRDefault="003A6483">
        <w:pPr>
          <w:pStyle w:val="Footer"/>
          <w:jc w:val="center"/>
        </w:pPr>
        <w:r>
          <w:fldChar w:fldCharType="begin"/>
        </w:r>
        <w:r>
          <w:instrText xml:space="preserve"> PAGE   \* MERGEFORMAT </w:instrText>
        </w:r>
        <w:r>
          <w:fldChar w:fldCharType="separate"/>
        </w:r>
        <w:r w:rsidR="009B5E90">
          <w:rPr>
            <w:noProof/>
          </w:rPr>
          <w:t>17</w:t>
        </w:r>
        <w:r>
          <w:rPr>
            <w:noProof/>
          </w:rPr>
          <w:fldChar w:fldCharType="end"/>
        </w:r>
      </w:p>
    </w:sdtContent>
  </w:sdt>
  <w:p w14:paraId="67780228" w14:textId="687B2729" w:rsidR="003A6483" w:rsidRDefault="003A6483" w:rsidP="00B774A1">
    <w:pPr>
      <w:pStyle w:val="Footer"/>
      <w:tabs>
        <w:tab w:val="clear" w:pos="4680"/>
        <w:tab w:val="clear" w:pos="9360"/>
        <w:tab w:val="left" w:pos="366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F87956" w14:textId="77777777" w:rsidR="0038137E" w:rsidRDefault="0038137E" w:rsidP="009F5E59">
      <w:pPr>
        <w:spacing w:after="0" w:line="240" w:lineRule="auto"/>
      </w:pPr>
      <w:r>
        <w:separator/>
      </w:r>
    </w:p>
  </w:footnote>
  <w:footnote w:type="continuationSeparator" w:id="0">
    <w:p w14:paraId="6B89ABD5" w14:textId="77777777" w:rsidR="0038137E" w:rsidRDefault="0038137E" w:rsidP="009F5E5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4FA8CC" w14:textId="77777777" w:rsidR="003A6483" w:rsidRPr="002B614C" w:rsidRDefault="003A6483" w:rsidP="002B614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C415A9" w14:textId="240D9CE1" w:rsidR="003A6483" w:rsidRPr="00514FC3" w:rsidRDefault="003A6483" w:rsidP="00514FC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D5445"/>
    <w:multiLevelType w:val="hybridMultilevel"/>
    <w:tmpl w:val="B526143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2352082"/>
    <w:multiLevelType w:val="hybridMultilevel"/>
    <w:tmpl w:val="DEE22A0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227E01EB"/>
    <w:multiLevelType w:val="hybridMultilevel"/>
    <w:tmpl w:val="DC649056"/>
    <w:lvl w:ilvl="0" w:tplc="3A6E0CF2">
      <w:start w:val="51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311C3B"/>
    <w:multiLevelType w:val="hybridMultilevel"/>
    <w:tmpl w:val="3564AB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02B2A50"/>
    <w:multiLevelType w:val="hybridMultilevel"/>
    <w:tmpl w:val="DA4A048A"/>
    <w:lvl w:ilvl="0" w:tplc="F55C8D14">
      <w:start w:val="11"/>
      <w:numFmt w:val="bullet"/>
      <w:lvlText w:val=""/>
      <w:lvlJc w:val="left"/>
      <w:pPr>
        <w:ind w:left="720" w:hanging="360"/>
      </w:pPr>
      <w:rPr>
        <w:rFonts w:ascii="Symbol" w:eastAsiaTheme="minorHAnsi" w:hAnsi="Symbol"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nsid w:val="33A20FB9"/>
    <w:multiLevelType w:val="hybridMultilevel"/>
    <w:tmpl w:val="D3587FFE"/>
    <w:lvl w:ilvl="0" w:tplc="D6868DEE">
      <w:start w:val="5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63D0465"/>
    <w:multiLevelType w:val="hybridMultilevel"/>
    <w:tmpl w:val="8F82D738"/>
    <w:lvl w:ilvl="0" w:tplc="9DA2FE0E">
      <w:start w:val="52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80F2577"/>
    <w:multiLevelType w:val="hybridMultilevel"/>
    <w:tmpl w:val="0302CBFE"/>
    <w:lvl w:ilvl="0" w:tplc="3A6E0CF2">
      <w:start w:val="5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87D2CD1"/>
    <w:multiLevelType w:val="hybridMultilevel"/>
    <w:tmpl w:val="4EC2FE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A40422A"/>
    <w:multiLevelType w:val="hybridMultilevel"/>
    <w:tmpl w:val="55249DD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nsid w:val="54BC08E5"/>
    <w:multiLevelType w:val="hybridMultilevel"/>
    <w:tmpl w:val="4EC2FE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6B061C3"/>
    <w:multiLevelType w:val="hybridMultilevel"/>
    <w:tmpl w:val="77628072"/>
    <w:lvl w:ilvl="0" w:tplc="3A6E0CF2">
      <w:start w:val="5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8976142"/>
    <w:multiLevelType w:val="hybridMultilevel"/>
    <w:tmpl w:val="33CEC5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D7C1E70"/>
    <w:multiLevelType w:val="hybridMultilevel"/>
    <w:tmpl w:val="EA069C3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7CD6D42"/>
    <w:multiLevelType w:val="hybridMultilevel"/>
    <w:tmpl w:val="838CFB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9AE786A"/>
    <w:multiLevelType w:val="hybridMultilevel"/>
    <w:tmpl w:val="4EC2FE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BF85ABF"/>
    <w:multiLevelType w:val="hybridMultilevel"/>
    <w:tmpl w:val="4EC2FE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1CE36BE"/>
    <w:multiLevelType w:val="hybridMultilevel"/>
    <w:tmpl w:val="FFE233C4"/>
    <w:lvl w:ilvl="0" w:tplc="1FCC34D4">
      <w:start w:val="52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65D105F"/>
    <w:multiLevelType w:val="hybridMultilevel"/>
    <w:tmpl w:val="CC2647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85A6208"/>
    <w:multiLevelType w:val="hybridMultilevel"/>
    <w:tmpl w:val="5D6A470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nsid w:val="78745A30"/>
    <w:multiLevelType w:val="hybridMultilevel"/>
    <w:tmpl w:val="37D412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E1844CF"/>
    <w:multiLevelType w:val="hybridMultilevel"/>
    <w:tmpl w:val="BEEC0D50"/>
    <w:lvl w:ilvl="0" w:tplc="011CFB5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3"/>
  </w:num>
  <w:num w:numId="3">
    <w:abstractNumId w:val="8"/>
  </w:num>
  <w:num w:numId="4">
    <w:abstractNumId w:val="10"/>
  </w:num>
  <w:num w:numId="5">
    <w:abstractNumId w:val="16"/>
  </w:num>
  <w:num w:numId="6">
    <w:abstractNumId w:val="15"/>
  </w:num>
  <w:num w:numId="7">
    <w:abstractNumId w:val="21"/>
  </w:num>
  <w:num w:numId="8">
    <w:abstractNumId w:val="18"/>
  </w:num>
  <w:num w:numId="9">
    <w:abstractNumId w:val="3"/>
  </w:num>
  <w:num w:numId="10">
    <w:abstractNumId w:val="12"/>
  </w:num>
  <w:num w:numId="11">
    <w:abstractNumId w:val="14"/>
  </w:num>
  <w:num w:numId="12">
    <w:abstractNumId w:val="2"/>
  </w:num>
  <w:num w:numId="13">
    <w:abstractNumId w:val="5"/>
  </w:num>
  <w:num w:numId="14">
    <w:abstractNumId w:val="7"/>
  </w:num>
  <w:num w:numId="15">
    <w:abstractNumId w:val="11"/>
  </w:num>
  <w:num w:numId="16">
    <w:abstractNumId w:val="20"/>
  </w:num>
  <w:num w:numId="17">
    <w:abstractNumId w:val="17"/>
  </w:num>
  <w:num w:numId="18">
    <w:abstractNumId w:val="6"/>
  </w:num>
  <w:num w:numId="19">
    <w:abstractNumId w:val="19"/>
  </w:num>
  <w:num w:numId="20">
    <w:abstractNumId w:val="1"/>
  </w:num>
  <w:num w:numId="21">
    <w:abstractNumId w:val="9"/>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0039"/>
    <w:rsid w:val="00000361"/>
    <w:rsid w:val="00002200"/>
    <w:rsid w:val="00002A3E"/>
    <w:rsid w:val="00003CBC"/>
    <w:rsid w:val="000057B5"/>
    <w:rsid w:val="00005D50"/>
    <w:rsid w:val="00006913"/>
    <w:rsid w:val="00006AF2"/>
    <w:rsid w:val="00007611"/>
    <w:rsid w:val="0001019F"/>
    <w:rsid w:val="00013064"/>
    <w:rsid w:val="00013604"/>
    <w:rsid w:val="00014FF9"/>
    <w:rsid w:val="00015FCD"/>
    <w:rsid w:val="00016BC8"/>
    <w:rsid w:val="0001705F"/>
    <w:rsid w:val="00017723"/>
    <w:rsid w:val="0001787C"/>
    <w:rsid w:val="0002155A"/>
    <w:rsid w:val="000218B5"/>
    <w:rsid w:val="00022E91"/>
    <w:rsid w:val="0002493E"/>
    <w:rsid w:val="00024950"/>
    <w:rsid w:val="00026033"/>
    <w:rsid w:val="000260D1"/>
    <w:rsid w:val="00026725"/>
    <w:rsid w:val="00027C3E"/>
    <w:rsid w:val="00031502"/>
    <w:rsid w:val="00032118"/>
    <w:rsid w:val="000323EA"/>
    <w:rsid w:val="00032421"/>
    <w:rsid w:val="00032743"/>
    <w:rsid w:val="0003294E"/>
    <w:rsid w:val="00034726"/>
    <w:rsid w:val="000402F4"/>
    <w:rsid w:val="0004191B"/>
    <w:rsid w:val="00042AE6"/>
    <w:rsid w:val="00042CB7"/>
    <w:rsid w:val="00043246"/>
    <w:rsid w:val="00043268"/>
    <w:rsid w:val="000432A4"/>
    <w:rsid w:val="0004368A"/>
    <w:rsid w:val="00043931"/>
    <w:rsid w:val="000500B2"/>
    <w:rsid w:val="00050891"/>
    <w:rsid w:val="000510EB"/>
    <w:rsid w:val="0005155F"/>
    <w:rsid w:val="00054634"/>
    <w:rsid w:val="0005560F"/>
    <w:rsid w:val="00055E87"/>
    <w:rsid w:val="000570A5"/>
    <w:rsid w:val="0005734B"/>
    <w:rsid w:val="00057D92"/>
    <w:rsid w:val="00057DD8"/>
    <w:rsid w:val="000622C8"/>
    <w:rsid w:val="00063B27"/>
    <w:rsid w:val="00064809"/>
    <w:rsid w:val="00064B9E"/>
    <w:rsid w:val="00066336"/>
    <w:rsid w:val="000671E2"/>
    <w:rsid w:val="00070125"/>
    <w:rsid w:val="00072B59"/>
    <w:rsid w:val="000742ED"/>
    <w:rsid w:val="00074C73"/>
    <w:rsid w:val="000777A0"/>
    <w:rsid w:val="00077C39"/>
    <w:rsid w:val="00082C9D"/>
    <w:rsid w:val="00083218"/>
    <w:rsid w:val="00084691"/>
    <w:rsid w:val="0008500D"/>
    <w:rsid w:val="0008557D"/>
    <w:rsid w:val="000856EB"/>
    <w:rsid w:val="000858D6"/>
    <w:rsid w:val="00086615"/>
    <w:rsid w:val="000867F0"/>
    <w:rsid w:val="00090214"/>
    <w:rsid w:val="00090977"/>
    <w:rsid w:val="0009135E"/>
    <w:rsid w:val="0009246E"/>
    <w:rsid w:val="0009276D"/>
    <w:rsid w:val="00093162"/>
    <w:rsid w:val="000934A6"/>
    <w:rsid w:val="00094477"/>
    <w:rsid w:val="00095741"/>
    <w:rsid w:val="0009744B"/>
    <w:rsid w:val="0009779A"/>
    <w:rsid w:val="000A235E"/>
    <w:rsid w:val="000A32B6"/>
    <w:rsid w:val="000A34FD"/>
    <w:rsid w:val="000A3E32"/>
    <w:rsid w:val="000A61CB"/>
    <w:rsid w:val="000A7965"/>
    <w:rsid w:val="000B2882"/>
    <w:rsid w:val="000B46B3"/>
    <w:rsid w:val="000B68DC"/>
    <w:rsid w:val="000B70B0"/>
    <w:rsid w:val="000B7FC2"/>
    <w:rsid w:val="000C0364"/>
    <w:rsid w:val="000C1451"/>
    <w:rsid w:val="000C21CA"/>
    <w:rsid w:val="000C3462"/>
    <w:rsid w:val="000C3C9F"/>
    <w:rsid w:val="000C650D"/>
    <w:rsid w:val="000D12FB"/>
    <w:rsid w:val="000D3B56"/>
    <w:rsid w:val="000D7234"/>
    <w:rsid w:val="000D7B8E"/>
    <w:rsid w:val="000D7DDF"/>
    <w:rsid w:val="000E06B4"/>
    <w:rsid w:val="000E0720"/>
    <w:rsid w:val="000E3251"/>
    <w:rsid w:val="000E3A38"/>
    <w:rsid w:val="000E6BC0"/>
    <w:rsid w:val="000E7152"/>
    <w:rsid w:val="000F0106"/>
    <w:rsid w:val="000F02FC"/>
    <w:rsid w:val="000F1ACE"/>
    <w:rsid w:val="000F2395"/>
    <w:rsid w:val="000F7110"/>
    <w:rsid w:val="000F72A4"/>
    <w:rsid w:val="000F79AF"/>
    <w:rsid w:val="000F79C5"/>
    <w:rsid w:val="00101CE6"/>
    <w:rsid w:val="00101CEE"/>
    <w:rsid w:val="00101E79"/>
    <w:rsid w:val="00101FBE"/>
    <w:rsid w:val="001033FD"/>
    <w:rsid w:val="00103DD1"/>
    <w:rsid w:val="00103F87"/>
    <w:rsid w:val="00110778"/>
    <w:rsid w:val="00111E3E"/>
    <w:rsid w:val="00112A83"/>
    <w:rsid w:val="0011502A"/>
    <w:rsid w:val="00115FF3"/>
    <w:rsid w:val="00116411"/>
    <w:rsid w:val="00120652"/>
    <w:rsid w:val="00120B2F"/>
    <w:rsid w:val="001216DC"/>
    <w:rsid w:val="001236DE"/>
    <w:rsid w:val="001238CD"/>
    <w:rsid w:val="001244B8"/>
    <w:rsid w:val="00124749"/>
    <w:rsid w:val="00125EDB"/>
    <w:rsid w:val="00132856"/>
    <w:rsid w:val="001335B3"/>
    <w:rsid w:val="00134B7B"/>
    <w:rsid w:val="00135038"/>
    <w:rsid w:val="001354B4"/>
    <w:rsid w:val="00135DC0"/>
    <w:rsid w:val="00137973"/>
    <w:rsid w:val="00137E93"/>
    <w:rsid w:val="00141FE1"/>
    <w:rsid w:val="00144016"/>
    <w:rsid w:val="001449B5"/>
    <w:rsid w:val="00144C18"/>
    <w:rsid w:val="00145BC1"/>
    <w:rsid w:val="00146CAA"/>
    <w:rsid w:val="0015099A"/>
    <w:rsid w:val="00150A69"/>
    <w:rsid w:val="00150AAE"/>
    <w:rsid w:val="00154608"/>
    <w:rsid w:val="001556D0"/>
    <w:rsid w:val="00156CFE"/>
    <w:rsid w:val="00161655"/>
    <w:rsid w:val="001635F2"/>
    <w:rsid w:val="00165467"/>
    <w:rsid w:val="00166FEF"/>
    <w:rsid w:val="001703FC"/>
    <w:rsid w:val="001708D6"/>
    <w:rsid w:val="001709BE"/>
    <w:rsid w:val="001711B1"/>
    <w:rsid w:val="00172DC2"/>
    <w:rsid w:val="00177BC2"/>
    <w:rsid w:val="001809EC"/>
    <w:rsid w:val="00181B75"/>
    <w:rsid w:val="001839D2"/>
    <w:rsid w:val="00184558"/>
    <w:rsid w:val="00185252"/>
    <w:rsid w:val="001866ED"/>
    <w:rsid w:val="00187A29"/>
    <w:rsid w:val="00187AE9"/>
    <w:rsid w:val="00190D3E"/>
    <w:rsid w:val="00191133"/>
    <w:rsid w:val="00191E23"/>
    <w:rsid w:val="00191E7D"/>
    <w:rsid w:val="00195762"/>
    <w:rsid w:val="001A00A6"/>
    <w:rsid w:val="001A1118"/>
    <w:rsid w:val="001A1CC8"/>
    <w:rsid w:val="001A1EE2"/>
    <w:rsid w:val="001A221A"/>
    <w:rsid w:val="001A279C"/>
    <w:rsid w:val="001A2F30"/>
    <w:rsid w:val="001A49F4"/>
    <w:rsid w:val="001A6A33"/>
    <w:rsid w:val="001A7295"/>
    <w:rsid w:val="001A73B3"/>
    <w:rsid w:val="001A7B3E"/>
    <w:rsid w:val="001B4BED"/>
    <w:rsid w:val="001B74CF"/>
    <w:rsid w:val="001C1A66"/>
    <w:rsid w:val="001C1C80"/>
    <w:rsid w:val="001C3797"/>
    <w:rsid w:val="001C4FAE"/>
    <w:rsid w:val="001C5378"/>
    <w:rsid w:val="001C65AA"/>
    <w:rsid w:val="001C7E79"/>
    <w:rsid w:val="001D04F0"/>
    <w:rsid w:val="001D1718"/>
    <w:rsid w:val="001D20B0"/>
    <w:rsid w:val="001D66A6"/>
    <w:rsid w:val="001E04DC"/>
    <w:rsid w:val="001E1964"/>
    <w:rsid w:val="001E2525"/>
    <w:rsid w:val="001E2A43"/>
    <w:rsid w:val="001E324F"/>
    <w:rsid w:val="001E379F"/>
    <w:rsid w:val="001E4B61"/>
    <w:rsid w:val="001F3C83"/>
    <w:rsid w:val="001F4CF5"/>
    <w:rsid w:val="001F596E"/>
    <w:rsid w:val="001F77E1"/>
    <w:rsid w:val="00202C06"/>
    <w:rsid w:val="00202FF1"/>
    <w:rsid w:val="00203377"/>
    <w:rsid w:val="00203AD9"/>
    <w:rsid w:val="00204660"/>
    <w:rsid w:val="00204D30"/>
    <w:rsid w:val="00207487"/>
    <w:rsid w:val="002079C9"/>
    <w:rsid w:val="00213BFF"/>
    <w:rsid w:val="00215608"/>
    <w:rsid w:val="00215C1E"/>
    <w:rsid w:val="00220231"/>
    <w:rsid w:val="00220A2D"/>
    <w:rsid w:val="00223834"/>
    <w:rsid w:val="00223BDB"/>
    <w:rsid w:val="002256A9"/>
    <w:rsid w:val="00227633"/>
    <w:rsid w:val="00231417"/>
    <w:rsid w:val="0023234F"/>
    <w:rsid w:val="00232C63"/>
    <w:rsid w:val="0023304C"/>
    <w:rsid w:val="00233E0D"/>
    <w:rsid w:val="00235B5D"/>
    <w:rsid w:val="002365F6"/>
    <w:rsid w:val="00236D7E"/>
    <w:rsid w:val="00240DE2"/>
    <w:rsid w:val="00241A28"/>
    <w:rsid w:val="00243AC6"/>
    <w:rsid w:val="00243D64"/>
    <w:rsid w:val="00246429"/>
    <w:rsid w:val="002501EB"/>
    <w:rsid w:val="0025162A"/>
    <w:rsid w:val="00252098"/>
    <w:rsid w:val="00253251"/>
    <w:rsid w:val="00253EB5"/>
    <w:rsid w:val="00254EE6"/>
    <w:rsid w:val="002553AD"/>
    <w:rsid w:val="002557A0"/>
    <w:rsid w:val="002569CF"/>
    <w:rsid w:val="00257D68"/>
    <w:rsid w:val="00261255"/>
    <w:rsid w:val="002642FA"/>
    <w:rsid w:val="00264D8A"/>
    <w:rsid w:val="002672A0"/>
    <w:rsid w:val="0027035C"/>
    <w:rsid w:val="00272272"/>
    <w:rsid w:val="00276AAC"/>
    <w:rsid w:val="00282460"/>
    <w:rsid w:val="00283573"/>
    <w:rsid w:val="002838FA"/>
    <w:rsid w:val="00283B86"/>
    <w:rsid w:val="00284094"/>
    <w:rsid w:val="00284748"/>
    <w:rsid w:val="00284C0A"/>
    <w:rsid w:val="00286848"/>
    <w:rsid w:val="00287F30"/>
    <w:rsid w:val="002903E6"/>
    <w:rsid w:val="00290A43"/>
    <w:rsid w:val="00290D83"/>
    <w:rsid w:val="00291CAA"/>
    <w:rsid w:val="00292341"/>
    <w:rsid w:val="00292ABA"/>
    <w:rsid w:val="00293DB1"/>
    <w:rsid w:val="00296BD8"/>
    <w:rsid w:val="00296C9A"/>
    <w:rsid w:val="002A04C8"/>
    <w:rsid w:val="002A1995"/>
    <w:rsid w:val="002A2148"/>
    <w:rsid w:val="002A26CE"/>
    <w:rsid w:val="002A32F9"/>
    <w:rsid w:val="002A33F9"/>
    <w:rsid w:val="002A3420"/>
    <w:rsid w:val="002A39F8"/>
    <w:rsid w:val="002A71F9"/>
    <w:rsid w:val="002B0664"/>
    <w:rsid w:val="002B141E"/>
    <w:rsid w:val="002B3600"/>
    <w:rsid w:val="002B5038"/>
    <w:rsid w:val="002B614C"/>
    <w:rsid w:val="002B72BA"/>
    <w:rsid w:val="002C295E"/>
    <w:rsid w:val="002C33B8"/>
    <w:rsid w:val="002C454C"/>
    <w:rsid w:val="002C4F9B"/>
    <w:rsid w:val="002C57FC"/>
    <w:rsid w:val="002C6098"/>
    <w:rsid w:val="002C63B8"/>
    <w:rsid w:val="002D3CFE"/>
    <w:rsid w:val="002D433A"/>
    <w:rsid w:val="002D46CE"/>
    <w:rsid w:val="002D4794"/>
    <w:rsid w:val="002D540A"/>
    <w:rsid w:val="002D64BF"/>
    <w:rsid w:val="002E01DD"/>
    <w:rsid w:val="002E2609"/>
    <w:rsid w:val="002E2B4E"/>
    <w:rsid w:val="002E31E2"/>
    <w:rsid w:val="002E432C"/>
    <w:rsid w:val="002E4BDE"/>
    <w:rsid w:val="002E5123"/>
    <w:rsid w:val="002E6426"/>
    <w:rsid w:val="002F17DB"/>
    <w:rsid w:val="002F1B22"/>
    <w:rsid w:val="002F1D16"/>
    <w:rsid w:val="002F1D4E"/>
    <w:rsid w:val="002F204C"/>
    <w:rsid w:val="002F2820"/>
    <w:rsid w:val="002F7DBE"/>
    <w:rsid w:val="00300323"/>
    <w:rsid w:val="00300F48"/>
    <w:rsid w:val="00300F69"/>
    <w:rsid w:val="003017B6"/>
    <w:rsid w:val="00305B7C"/>
    <w:rsid w:val="0031055E"/>
    <w:rsid w:val="00311498"/>
    <w:rsid w:val="00311AB7"/>
    <w:rsid w:val="00311CCC"/>
    <w:rsid w:val="00311E3C"/>
    <w:rsid w:val="00313B67"/>
    <w:rsid w:val="003146D5"/>
    <w:rsid w:val="00316818"/>
    <w:rsid w:val="00316835"/>
    <w:rsid w:val="00317AB3"/>
    <w:rsid w:val="00320D14"/>
    <w:rsid w:val="003218FD"/>
    <w:rsid w:val="003220CA"/>
    <w:rsid w:val="00323A8D"/>
    <w:rsid w:val="00325BDC"/>
    <w:rsid w:val="003274C7"/>
    <w:rsid w:val="00331437"/>
    <w:rsid w:val="00331833"/>
    <w:rsid w:val="0033227A"/>
    <w:rsid w:val="003348E2"/>
    <w:rsid w:val="00334CA0"/>
    <w:rsid w:val="003365B6"/>
    <w:rsid w:val="00340143"/>
    <w:rsid w:val="0034596E"/>
    <w:rsid w:val="00345B7E"/>
    <w:rsid w:val="0034620B"/>
    <w:rsid w:val="003467B0"/>
    <w:rsid w:val="00346D07"/>
    <w:rsid w:val="00351D12"/>
    <w:rsid w:val="003533E8"/>
    <w:rsid w:val="00355236"/>
    <w:rsid w:val="003559A0"/>
    <w:rsid w:val="00355CE1"/>
    <w:rsid w:val="00360365"/>
    <w:rsid w:val="0036054C"/>
    <w:rsid w:val="00360AEF"/>
    <w:rsid w:val="00361A81"/>
    <w:rsid w:val="00362A7C"/>
    <w:rsid w:val="00371D6D"/>
    <w:rsid w:val="003729FC"/>
    <w:rsid w:val="00372B23"/>
    <w:rsid w:val="003730D1"/>
    <w:rsid w:val="00373390"/>
    <w:rsid w:val="00376EC2"/>
    <w:rsid w:val="00380D4F"/>
    <w:rsid w:val="0038137E"/>
    <w:rsid w:val="00381922"/>
    <w:rsid w:val="00382163"/>
    <w:rsid w:val="00382274"/>
    <w:rsid w:val="003842D5"/>
    <w:rsid w:val="00385A83"/>
    <w:rsid w:val="003863BB"/>
    <w:rsid w:val="00387213"/>
    <w:rsid w:val="00387369"/>
    <w:rsid w:val="00387BF6"/>
    <w:rsid w:val="00387E0C"/>
    <w:rsid w:val="00390039"/>
    <w:rsid w:val="00390844"/>
    <w:rsid w:val="00392C13"/>
    <w:rsid w:val="003930BF"/>
    <w:rsid w:val="00393665"/>
    <w:rsid w:val="00393D07"/>
    <w:rsid w:val="00397CEB"/>
    <w:rsid w:val="003A048F"/>
    <w:rsid w:val="003A2956"/>
    <w:rsid w:val="003A2FE7"/>
    <w:rsid w:val="003A3AD8"/>
    <w:rsid w:val="003A4489"/>
    <w:rsid w:val="003A44AB"/>
    <w:rsid w:val="003A4CAA"/>
    <w:rsid w:val="003A5678"/>
    <w:rsid w:val="003A6483"/>
    <w:rsid w:val="003A7903"/>
    <w:rsid w:val="003B0165"/>
    <w:rsid w:val="003B0DAD"/>
    <w:rsid w:val="003B5B3A"/>
    <w:rsid w:val="003B6B08"/>
    <w:rsid w:val="003C125E"/>
    <w:rsid w:val="003C19D3"/>
    <w:rsid w:val="003C4AF8"/>
    <w:rsid w:val="003D090C"/>
    <w:rsid w:val="003D0D63"/>
    <w:rsid w:val="003D21A2"/>
    <w:rsid w:val="003D2A84"/>
    <w:rsid w:val="003D3C69"/>
    <w:rsid w:val="003D43B3"/>
    <w:rsid w:val="003D460A"/>
    <w:rsid w:val="003D54CA"/>
    <w:rsid w:val="003D63B2"/>
    <w:rsid w:val="003D7851"/>
    <w:rsid w:val="003D799E"/>
    <w:rsid w:val="003E0595"/>
    <w:rsid w:val="003E1950"/>
    <w:rsid w:val="003E2CFD"/>
    <w:rsid w:val="003E5104"/>
    <w:rsid w:val="003E5D7C"/>
    <w:rsid w:val="003E63C3"/>
    <w:rsid w:val="003E6726"/>
    <w:rsid w:val="003E7BE3"/>
    <w:rsid w:val="003F0161"/>
    <w:rsid w:val="003F0564"/>
    <w:rsid w:val="003F17DA"/>
    <w:rsid w:val="003F2D52"/>
    <w:rsid w:val="003F2EA9"/>
    <w:rsid w:val="003F3035"/>
    <w:rsid w:val="003F555A"/>
    <w:rsid w:val="003F5937"/>
    <w:rsid w:val="00401CE6"/>
    <w:rsid w:val="00402F0B"/>
    <w:rsid w:val="00404472"/>
    <w:rsid w:val="004046B1"/>
    <w:rsid w:val="00405470"/>
    <w:rsid w:val="0040670A"/>
    <w:rsid w:val="00410543"/>
    <w:rsid w:val="0041118C"/>
    <w:rsid w:val="00411A19"/>
    <w:rsid w:val="0041271A"/>
    <w:rsid w:val="00412D69"/>
    <w:rsid w:val="00413966"/>
    <w:rsid w:val="0041440D"/>
    <w:rsid w:val="00414D95"/>
    <w:rsid w:val="004155B9"/>
    <w:rsid w:val="00417FCC"/>
    <w:rsid w:val="00422A87"/>
    <w:rsid w:val="004231F0"/>
    <w:rsid w:val="00426262"/>
    <w:rsid w:val="0043041D"/>
    <w:rsid w:val="00432588"/>
    <w:rsid w:val="00433759"/>
    <w:rsid w:val="004356EA"/>
    <w:rsid w:val="00436200"/>
    <w:rsid w:val="00436DF7"/>
    <w:rsid w:val="004372D0"/>
    <w:rsid w:val="004415D0"/>
    <w:rsid w:val="0044406A"/>
    <w:rsid w:val="004461F6"/>
    <w:rsid w:val="0044629D"/>
    <w:rsid w:val="00450842"/>
    <w:rsid w:val="00451F3E"/>
    <w:rsid w:val="0045329E"/>
    <w:rsid w:val="00454053"/>
    <w:rsid w:val="00457A3D"/>
    <w:rsid w:val="00460290"/>
    <w:rsid w:val="00461E25"/>
    <w:rsid w:val="00462603"/>
    <w:rsid w:val="004652F6"/>
    <w:rsid w:val="00466556"/>
    <w:rsid w:val="004675D5"/>
    <w:rsid w:val="004728DA"/>
    <w:rsid w:val="0047291D"/>
    <w:rsid w:val="0047313B"/>
    <w:rsid w:val="00475F81"/>
    <w:rsid w:val="00477E57"/>
    <w:rsid w:val="0048013F"/>
    <w:rsid w:val="004804E8"/>
    <w:rsid w:val="00481E87"/>
    <w:rsid w:val="00481F1C"/>
    <w:rsid w:val="004827A6"/>
    <w:rsid w:val="00483199"/>
    <w:rsid w:val="004841BD"/>
    <w:rsid w:val="004854C3"/>
    <w:rsid w:val="00485C92"/>
    <w:rsid w:val="00486368"/>
    <w:rsid w:val="00486B36"/>
    <w:rsid w:val="0048792C"/>
    <w:rsid w:val="00490187"/>
    <w:rsid w:val="0049029C"/>
    <w:rsid w:val="0049065D"/>
    <w:rsid w:val="004909CF"/>
    <w:rsid w:val="004921DE"/>
    <w:rsid w:val="0049503E"/>
    <w:rsid w:val="00495671"/>
    <w:rsid w:val="004958DB"/>
    <w:rsid w:val="00495D7A"/>
    <w:rsid w:val="00496826"/>
    <w:rsid w:val="00496837"/>
    <w:rsid w:val="0049723C"/>
    <w:rsid w:val="00497889"/>
    <w:rsid w:val="00497E95"/>
    <w:rsid w:val="004A26F2"/>
    <w:rsid w:val="004A2793"/>
    <w:rsid w:val="004A5026"/>
    <w:rsid w:val="004A607A"/>
    <w:rsid w:val="004A65DA"/>
    <w:rsid w:val="004A6DE6"/>
    <w:rsid w:val="004A7C96"/>
    <w:rsid w:val="004B06BA"/>
    <w:rsid w:val="004B0DFB"/>
    <w:rsid w:val="004B1023"/>
    <w:rsid w:val="004B2D64"/>
    <w:rsid w:val="004B30EC"/>
    <w:rsid w:val="004B4AE0"/>
    <w:rsid w:val="004B6240"/>
    <w:rsid w:val="004C0404"/>
    <w:rsid w:val="004C0F46"/>
    <w:rsid w:val="004C32B0"/>
    <w:rsid w:val="004C44B5"/>
    <w:rsid w:val="004C5207"/>
    <w:rsid w:val="004C5655"/>
    <w:rsid w:val="004C5BBB"/>
    <w:rsid w:val="004C7154"/>
    <w:rsid w:val="004D04D9"/>
    <w:rsid w:val="004D0A6C"/>
    <w:rsid w:val="004D3C53"/>
    <w:rsid w:val="004D40B4"/>
    <w:rsid w:val="004D4241"/>
    <w:rsid w:val="004D4ADB"/>
    <w:rsid w:val="004D5539"/>
    <w:rsid w:val="004D609B"/>
    <w:rsid w:val="004D651F"/>
    <w:rsid w:val="004D6B39"/>
    <w:rsid w:val="004E2208"/>
    <w:rsid w:val="004E2966"/>
    <w:rsid w:val="004E345F"/>
    <w:rsid w:val="004E51D8"/>
    <w:rsid w:val="004E69BC"/>
    <w:rsid w:val="004E741C"/>
    <w:rsid w:val="004F1C82"/>
    <w:rsid w:val="004F36BC"/>
    <w:rsid w:val="004F52F9"/>
    <w:rsid w:val="004F5656"/>
    <w:rsid w:val="004F5908"/>
    <w:rsid w:val="004F59BC"/>
    <w:rsid w:val="004F5E19"/>
    <w:rsid w:val="004F6384"/>
    <w:rsid w:val="004F671C"/>
    <w:rsid w:val="004F6A20"/>
    <w:rsid w:val="004F6AC7"/>
    <w:rsid w:val="00502143"/>
    <w:rsid w:val="00505CCE"/>
    <w:rsid w:val="0050720A"/>
    <w:rsid w:val="0051066F"/>
    <w:rsid w:val="005113F8"/>
    <w:rsid w:val="00512033"/>
    <w:rsid w:val="00513F37"/>
    <w:rsid w:val="00514FC3"/>
    <w:rsid w:val="00515031"/>
    <w:rsid w:val="0051729E"/>
    <w:rsid w:val="0051739D"/>
    <w:rsid w:val="00520647"/>
    <w:rsid w:val="00520DAA"/>
    <w:rsid w:val="00522C67"/>
    <w:rsid w:val="00522F54"/>
    <w:rsid w:val="00525DBD"/>
    <w:rsid w:val="0052723D"/>
    <w:rsid w:val="005274D1"/>
    <w:rsid w:val="00527D9A"/>
    <w:rsid w:val="005303BF"/>
    <w:rsid w:val="00530F24"/>
    <w:rsid w:val="00531831"/>
    <w:rsid w:val="00531D1E"/>
    <w:rsid w:val="005328FE"/>
    <w:rsid w:val="00532977"/>
    <w:rsid w:val="0053754C"/>
    <w:rsid w:val="0053762A"/>
    <w:rsid w:val="00537B39"/>
    <w:rsid w:val="00537D27"/>
    <w:rsid w:val="00543112"/>
    <w:rsid w:val="00543614"/>
    <w:rsid w:val="00543ECA"/>
    <w:rsid w:val="00544AE5"/>
    <w:rsid w:val="00545108"/>
    <w:rsid w:val="00545C8B"/>
    <w:rsid w:val="00545DF0"/>
    <w:rsid w:val="005463FC"/>
    <w:rsid w:val="00546ED3"/>
    <w:rsid w:val="00547619"/>
    <w:rsid w:val="00547624"/>
    <w:rsid w:val="00550310"/>
    <w:rsid w:val="0055187E"/>
    <w:rsid w:val="0055478D"/>
    <w:rsid w:val="00554919"/>
    <w:rsid w:val="00555E50"/>
    <w:rsid w:val="00560FD8"/>
    <w:rsid w:val="005613E8"/>
    <w:rsid w:val="00561A56"/>
    <w:rsid w:val="00562E2A"/>
    <w:rsid w:val="00562FD9"/>
    <w:rsid w:val="005636CF"/>
    <w:rsid w:val="0056482E"/>
    <w:rsid w:val="0056508C"/>
    <w:rsid w:val="005655EE"/>
    <w:rsid w:val="00566B27"/>
    <w:rsid w:val="005679AB"/>
    <w:rsid w:val="0057038D"/>
    <w:rsid w:val="005708A7"/>
    <w:rsid w:val="00570D61"/>
    <w:rsid w:val="00571BAE"/>
    <w:rsid w:val="005721DF"/>
    <w:rsid w:val="0057624B"/>
    <w:rsid w:val="005807ED"/>
    <w:rsid w:val="005810C4"/>
    <w:rsid w:val="00583348"/>
    <w:rsid w:val="00583F8A"/>
    <w:rsid w:val="00585253"/>
    <w:rsid w:val="00585523"/>
    <w:rsid w:val="00585F3E"/>
    <w:rsid w:val="0058724F"/>
    <w:rsid w:val="00592205"/>
    <w:rsid w:val="005931BF"/>
    <w:rsid w:val="00595378"/>
    <w:rsid w:val="00595E9D"/>
    <w:rsid w:val="00596ED3"/>
    <w:rsid w:val="005A0A5C"/>
    <w:rsid w:val="005A1B40"/>
    <w:rsid w:val="005A1E42"/>
    <w:rsid w:val="005A382D"/>
    <w:rsid w:val="005A3CF7"/>
    <w:rsid w:val="005A5205"/>
    <w:rsid w:val="005A5580"/>
    <w:rsid w:val="005A6734"/>
    <w:rsid w:val="005B030D"/>
    <w:rsid w:val="005B0896"/>
    <w:rsid w:val="005B1109"/>
    <w:rsid w:val="005B144C"/>
    <w:rsid w:val="005B2499"/>
    <w:rsid w:val="005B2E77"/>
    <w:rsid w:val="005B417A"/>
    <w:rsid w:val="005B678E"/>
    <w:rsid w:val="005B7C24"/>
    <w:rsid w:val="005C01E4"/>
    <w:rsid w:val="005C07A8"/>
    <w:rsid w:val="005C2457"/>
    <w:rsid w:val="005C51F9"/>
    <w:rsid w:val="005C5A23"/>
    <w:rsid w:val="005C7E70"/>
    <w:rsid w:val="005D0AD3"/>
    <w:rsid w:val="005D1CFD"/>
    <w:rsid w:val="005D25BD"/>
    <w:rsid w:val="005D2B8D"/>
    <w:rsid w:val="005D4813"/>
    <w:rsid w:val="005D5142"/>
    <w:rsid w:val="005D6924"/>
    <w:rsid w:val="005D72C0"/>
    <w:rsid w:val="005E1AEB"/>
    <w:rsid w:val="005E2B64"/>
    <w:rsid w:val="005E5D9C"/>
    <w:rsid w:val="005E6D8E"/>
    <w:rsid w:val="005F0962"/>
    <w:rsid w:val="005F0C60"/>
    <w:rsid w:val="005F2AD5"/>
    <w:rsid w:val="005F2B4E"/>
    <w:rsid w:val="005F494C"/>
    <w:rsid w:val="005F4FD3"/>
    <w:rsid w:val="005F5508"/>
    <w:rsid w:val="005F6BAC"/>
    <w:rsid w:val="005F712F"/>
    <w:rsid w:val="005F785D"/>
    <w:rsid w:val="005F7AC1"/>
    <w:rsid w:val="00600A6B"/>
    <w:rsid w:val="006038E2"/>
    <w:rsid w:val="00605307"/>
    <w:rsid w:val="00606EEC"/>
    <w:rsid w:val="006105BB"/>
    <w:rsid w:val="00611343"/>
    <w:rsid w:val="00612E13"/>
    <w:rsid w:val="00615ECA"/>
    <w:rsid w:val="00617764"/>
    <w:rsid w:val="006178B0"/>
    <w:rsid w:val="006236B2"/>
    <w:rsid w:val="00623FEC"/>
    <w:rsid w:val="0062679E"/>
    <w:rsid w:val="0063116E"/>
    <w:rsid w:val="00636011"/>
    <w:rsid w:val="00636F34"/>
    <w:rsid w:val="0063798A"/>
    <w:rsid w:val="00640315"/>
    <w:rsid w:val="00642C6A"/>
    <w:rsid w:val="00647044"/>
    <w:rsid w:val="0065037B"/>
    <w:rsid w:val="006503B1"/>
    <w:rsid w:val="006530B4"/>
    <w:rsid w:val="0065552A"/>
    <w:rsid w:val="00656D60"/>
    <w:rsid w:val="00657648"/>
    <w:rsid w:val="00660118"/>
    <w:rsid w:val="00661613"/>
    <w:rsid w:val="0066456F"/>
    <w:rsid w:val="00665413"/>
    <w:rsid w:val="00665C67"/>
    <w:rsid w:val="0067028F"/>
    <w:rsid w:val="00670662"/>
    <w:rsid w:val="0067147A"/>
    <w:rsid w:val="00671958"/>
    <w:rsid w:val="00672176"/>
    <w:rsid w:val="00672326"/>
    <w:rsid w:val="006725DD"/>
    <w:rsid w:val="00673613"/>
    <w:rsid w:val="0067377F"/>
    <w:rsid w:val="00674793"/>
    <w:rsid w:val="0068103B"/>
    <w:rsid w:val="006818A8"/>
    <w:rsid w:val="00682339"/>
    <w:rsid w:val="0068581C"/>
    <w:rsid w:val="00686821"/>
    <w:rsid w:val="00686B66"/>
    <w:rsid w:val="006871D8"/>
    <w:rsid w:val="006900A9"/>
    <w:rsid w:val="00690148"/>
    <w:rsid w:val="0069038B"/>
    <w:rsid w:val="00691685"/>
    <w:rsid w:val="00692657"/>
    <w:rsid w:val="00692E45"/>
    <w:rsid w:val="0069352B"/>
    <w:rsid w:val="00694A4E"/>
    <w:rsid w:val="00695111"/>
    <w:rsid w:val="006956A7"/>
    <w:rsid w:val="00696C5C"/>
    <w:rsid w:val="00696D0B"/>
    <w:rsid w:val="006A1A40"/>
    <w:rsid w:val="006A6640"/>
    <w:rsid w:val="006A6E94"/>
    <w:rsid w:val="006B0E78"/>
    <w:rsid w:val="006B137D"/>
    <w:rsid w:val="006B1FCF"/>
    <w:rsid w:val="006B2DB9"/>
    <w:rsid w:val="006B3333"/>
    <w:rsid w:val="006B3C4E"/>
    <w:rsid w:val="006B4492"/>
    <w:rsid w:val="006B601A"/>
    <w:rsid w:val="006B6C78"/>
    <w:rsid w:val="006B6D5F"/>
    <w:rsid w:val="006B7B45"/>
    <w:rsid w:val="006C10AC"/>
    <w:rsid w:val="006C1799"/>
    <w:rsid w:val="006C303B"/>
    <w:rsid w:val="006C3080"/>
    <w:rsid w:val="006C431E"/>
    <w:rsid w:val="006C648F"/>
    <w:rsid w:val="006C6A4C"/>
    <w:rsid w:val="006C7064"/>
    <w:rsid w:val="006C74F9"/>
    <w:rsid w:val="006C7A3E"/>
    <w:rsid w:val="006D139E"/>
    <w:rsid w:val="006D39B9"/>
    <w:rsid w:val="006D47C3"/>
    <w:rsid w:val="006D4983"/>
    <w:rsid w:val="006D5B58"/>
    <w:rsid w:val="006E03AC"/>
    <w:rsid w:val="006E0491"/>
    <w:rsid w:val="006E2272"/>
    <w:rsid w:val="006E4911"/>
    <w:rsid w:val="006E5E77"/>
    <w:rsid w:val="006E6B51"/>
    <w:rsid w:val="006E7C1D"/>
    <w:rsid w:val="006F27DF"/>
    <w:rsid w:val="006F2FE6"/>
    <w:rsid w:val="006F2FF1"/>
    <w:rsid w:val="00701EFD"/>
    <w:rsid w:val="007038B1"/>
    <w:rsid w:val="00703A46"/>
    <w:rsid w:val="0070407D"/>
    <w:rsid w:val="007066ED"/>
    <w:rsid w:val="007067C0"/>
    <w:rsid w:val="00707E8C"/>
    <w:rsid w:val="00713709"/>
    <w:rsid w:val="0071416D"/>
    <w:rsid w:val="007148C4"/>
    <w:rsid w:val="00715390"/>
    <w:rsid w:val="007165C5"/>
    <w:rsid w:val="00716DEF"/>
    <w:rsid w:val="0071721E"/>
    <w:rsid w:val="007215BE"/>
    <w:rsid w:val="00725171"/>
    <w:rsid w:val="0073272F"/>
    <w:rsid w:val="00732B38"/>
    <w:rsid w:val="00732FF4"/>
    <w:rsid w:val="00733549"/>
    <w:rsid w:val="0073421F"/>
    <w:rsid w:val="007351C4"/>
    <w:rsid w:val="00735645"/>
    <w:rsid w:val="007366AD"/>
    <w:rsid w:val="00736C21"/>
    <w:rsid w:val="00740EB9"/>
    <w:rsid w:val="007429BA"/>
    <w:rsid w:val="00742FEC"/>
    <w:rsid w:val="00744C6A"/>
    <w:rsid w:val="00751296"/>
    <w:rsid w:val="00753F3B"/>
    <w:rsid w:val="00754472"/>
    <w:rsid w:val="00754EF6"/>
    <w:rsid w:val="00760246"/>
    <w:rsid w:val="007609ED"/>
    <w:rsid w:val="0076237A"/>
    <w:rsid w:val="007626C3"/>
    <w:rsid w:val="007629BE"/>
    <w:rsid w:val="00762A89"/>
    <w:rsid w:val="007636BF"/>
    <w:rsid w:val="00763952"/>
    <w:rsid w:val="0076628A"/>
    <w:rsid w:val="007669B6"/>
    <w:rsid w:val="007679F9"/>
    <w:rsid w:val="00772448"/>
    <w:rsid w:val="00774099"/>
    <w:rsid w:val="00780089"/>
    <w:rsid w:val="00780344"/>
    <w:rsid w:val="00781E79"/>
    <w:rsid w:val="007827D0"/>
    <w:rsid w:val="0078396C"/>
    <w:rsid w:val="00783B3A"/>
    <w:rsid w:val="007840BC"/>
    <w:rsid w:val="0079085C"/>
    <w:rsid w:val="00792503"/>
    <w:rsid w:val="00794CA0"/>
    <w:rsid w:val="00795DC5"/>
    <w:rsid w:val="00797366"/>
    <w:rsid w:val="00797602"/>
    <w:rsid w:val="00797817"/>
    <w:rsid w:val="007A06E8"/>
    <w:rsid w:val="007A6EB9"/>
    <w:rsid w:val="007B1ADA"/>
    <w:rsid w:val="007B1B57"/>
    <w:rsid w:val="007B1BB8"/>
    <w:rsid w:val="007B1C9D"/>
    <w:rsid w:val="007B2CE0"/>
    <w:rsid w:val="007B4B23"/>
    <w:rsid w:val="007B5F87"/>
    <w:rsid w:val="007B6829"/>
    <w:rsid w:val="007B6AF6"/>
    <w:rsid w:val="007B73D7"/>
    <w:rsid w:val="007B77E3"/>
    <w:rsid w:val="007C3DC9"/>
    <w:rsid w:val="007C4BCF"/>
    <w:rsid w:val="007C6267"/>
    <w:rsid w:val="007D0347"/>
    <w:rsid w:val="007D06EA"/>
    <w:rsid w:val="007D09F6"/>
    <w:rsid w:val="007D1596"/>
    <w:rsid w:val="007D2DAF"/>
    <w:rsid w:val="007D72E7"/>
    <w:rsid w:val="007D7C69"/>
    <w:rsid w:val="007E071A"/>
    <w:rsid w:val="007E0F29"/>
    <w:rsid w:val="007E2B9C"/>
    <w:rsid w:val="007E49E2"/>
    <w:rsid w:val="007E4C47"/>
    <w:rsid w:val="007E76D3"/>
    <w:rsid w:val="007F0432"/>
    <w:rsid w:val="007F2E44"/>
    <w:rsid w:val="007F493F"/>
    <w:rsid w:val="007F6D85"/>
    <w:rsid w:val="007F77DE"/>
    <w:rsid w:val="007F7CB5"/>
    <w:rsid w:val="00800125"/>
    <w:rsid w:val="00800342"/>
    <w:rsid w:val="00801015"/>
    <w:rsid w:val="00802E25"/>
    <w:rsid w:val="0080344B"/>
    <w:rsid w:val="00804998"/>
    <w:rsid w:val="0080574E"/>
    <w:rsid w:val="00806772"/>
    <w:rsid w:val="00807098"/>
    <w:rsid w:val="008078AA"/>
    <w:rsid w:val="0081112B"/>
    <w:rsid w:val="008128E8"/>
    <w:rsid w:val="00813476"/>
    <w:rsid w:val="008154A4"/>
    <w:rsid w:val="00817A3B"/>
    <w:rsid w:val="0082037E"/>
    <w:rsid w:val="008207D7"/>
    <w:rsid w:val="00820F40"/>
    <w:rsid w:val="008230ED"/>
    <w:rsid w:val="00824C0A"/>
    <w:rsid w:val="00825799"/>
    <w:rsid w:val="00826C9D"/>
    <w:rsid w:val="00827438"/>
    <w:rsid w:val="00830449"/>
    <w:rsid w:val="008304D3"/>
    <w:rsid w:val="008310EF"/>
    <w:rsid w:val="00831EE3"/>
    <w:rsid w:val="00832253"/>
    <w:rsid w:val="00832ADE"/>
    <w:rsid w:val="00835256"/>
    <w:rsid w:val="00840F0D"/>
    <w:rsid w:val="00841F3C"/>
    <w:rsid w:val="00841FDC"/>
    <w:rsid w:val="008420BE"/>
    <w:rsid w:val="00843A25"/>
    <w:rsid w:val="00843E4B"/>
    <w:rsid w:val="00843F2D"/>
    <w:rsid w:val="008450E0"/>
    <w:rsid w:val="00845D66"/>
    <w:rsid w:val="00846D36"/>
    <w:rsid w:val="00847645"/>
    <w:rsid w:val="00851939"/>
    <w:rsid w:val="00856436"/>
    <w:rsid w:val="0086108C"/>
    <w:rsid w:val="008621B2"/>
    <w:rsid w:val="00862CC7"/>
    <w:rsid w:val="00864852"/>
    <w:rsid w:val="00864F40"/>
    <w:rsid w:val="00864F47"/>
    <w:rsid w:val="00865C79"/>
    <w:rsid w:val="00867015"/>
    <w:rsid w:val="00867505"/>
    <w:rsid w:val="0087059E"/>
    <w:rsid w:val="00870B2B"/>
    <w:rsid w:val="00872B2C"/>
    <w:rsid w:val="00872F26"/>
    <w:rsid w:val="00877310"/>
    <w:rsid w:val="00877A2B"/>
    <w:rsid w:val="00881A9F"/>
    <w:rsid w:val="00883058"/>
    <w:rsid w:val="008831BA"/>
    <w:rsid w:val="0088463A"/>
    <w:rsid w:val="008848B6"/>
    <w:rsid w:val="00890599"/>
    <w:rsid w:val="008914FC"/>
    <w:rsid w:val="008928AE"/>
    <w:rsid w:val="00893288"/>
    <w:rsid w:val="008936B4"/>
    <w:rsid w:val="00894473"/>
    <w:rsid w:val="00894667"/>
    <w:rsid w:val="00894D59"/>
    <w:rsid w:val="008955AA"/>
    <w:rsid w:val="0089568C"/>
    <w:rsid w:val="00897218"/>
    <w:rsid w:val="008974D3"/>
    <w:rsid w:val="008A0AE8"/>
    <w:rsid w:val="008A0FC7"/>
    <w:rsid w:val="008A2630"/>
    <w:rsid w:val="008A2B73"/>
    <w:rsid w:val="008A44EE"/>
    <w:rsid w:val="008A7203"/>
    <w:rsid w:val="008B29D9"/>
    <w:rsid w:val="008B4589"/>
    <w:rsid w:val="008B57DD"/>
    <w:rsid w:val="008B77BF"/>
    <w:rsid w:val="008C1506"/>
    <w:rsid w:val="008C1E7E"/>
    <w:rsid w:val="008C3107"/>
    <w:rsid w:val="008C312C"/>
    <w:rsid w:val="008C40BF"/>
    <w:rsid w:val="008C5860"/>
    <w:rsid w:val="008C7AB1"/>
    <w:rsid w:val="008C7EA1"/>
    <w:rsid w:val="008D1E08"/>
    <w:rsid w:val="008D2D3C"/>
    <w:rsid w:val="008D4DCA"/>
    <w:rsid w:val="008D4DD6"/>
    <w:rsid w:val="008D5646"/>
    <w:rsid w:val="008D7F06"/>
    <w:rsid w:val="008D7FC4"/>
    <w:rsid w:val="008E0B52"/>
    <w:rsid w:val="008E2150"/>
    <w:rsid w:val="008E3214"/>
    <w:rsid w:val="008E4B03"/>
    <w:rsid w:val="008E4C5E"/>
    <w:rsid w:val="008E69F5"/>
    <w:rsid w:val="008E6FFA"/>
    <w:rsid w:val="008E7657"/>
    <w:rsid w:val="008F0730"/>
    <w:rsid w:val="008F352A"/>
    <w:rsid w:val="008F4A90"/>
    <w:rsid w:val="008F593A"/>
    <w:rsid w:val="00902C80"/>
    <w:rsid w:val="009053A7"/>
    <w:rsid w:val="00905FB0"/>
    <w:rsid w:val="00906090"/>
    <w:rsid w:val="009076FE"/>
    <w:rsid w:val="009077CF"/>
    <w:rsid w:val="00911DD0"/>
    <w:rsid w:val="00912882"/>
    <w:rsid w:val="00912FBE"/>
    <w:rsid w:val="009130A5"/>
    <w:rsid w:val="00915BE6"/>
    <w:rsid w:val="00916328"/>
    <w:rsid w:val="009163EF"/>
    <w:rsid w:val="00916485"/>
    <w:rsid w:val="00917B18"/>
    <w:rsid w:val="009220AC"/>
    <w:rsid w:val="009228CA"/>
    <w:rsid w:val="0092308F"/>
    <w:rsid w:val="00923ADB"/>
    <w:rsid w:val="00923B98"/>
    <w:rsid w:val="009245F7"/>
    <w:rsid w:val="00925446"/>
    <w:rsid w:val="00927E2B"/>
    <w:rsid w:val="0093357F"/>
    <w:rsid w:val="009340B1"/>
    <w:rsid w:val="009347E9"/>
    <w:rsid w:val="00935811"/>
    <w:rsid w:val="00935AC4"/>
    <w:rsid w:val="00935CB3"/>
    <w:rsid w:val="009368F2"/>
    <w:rsid w:val="009370BF"/>
    <w:rsid w:val="0093746A"/>
    <w:rsid w:val="00941171"/>
    <w:rsid w:val="009411F1"/>
    <w:rsid w:val="00941A63"/>
    <w:rsid w:val="0094384F"/>
    <w:rsid w:val="009452C7"/>
    <w:rsid w:val="0094544B"/>
    <w:rsid w:val="00945CE5"/>
    <w:rsid w:val="00946E98"/>
    <w:rsid w:val="00947C5A"/>
    <w:rsid w:val="0095063D"/>
    <w:rsid w:val="009525D5"/>
    <w:rsid w:val="00952DBF"/>
    <w:rsid w:val="009531F3"/>
    <w:rsid w:val="00953AC4"/>
    <w:rsid w:val="00953D8F"/>
    <w:rsid w:val="009545B8"/>
    <w:rsid w:val="009555D4"/>
    <w:rsid w:val="00955A49"/>
    <w:rsid w:val="0095645B"/>
    <w:rsid w:val="00956A23"/>
    <w:rsid w:val="00956D9B"/>
    <w:rsid w:val="00957686"/>
    <w:rsid w:val="0095776E"/>
    <w:rsid w:val="00961673"/>
    <w:rsid w:val="00962E55"/>
    <w:rsid w:val="00962FE5"/>
    <w:rsid w:val="00964FC0"/>
    <w:rsid w:val="00966549"/>
    <w:rsid w:val="00970627"/>
    <w:rsid w:val="00972CFA"/>
    <w:rsid w:val="00974910"/>
    <w:rsid w:val="00974913"/>
    <w:rsid w:val="00975673"/>
    <w:rsid w:val="00975A07"/>
    <w:rsid w:val="00975F60"/>
    <w:rsid w:val="0097694E"/>
    <w:rsid w:val="00976A1B"/>
    <w:rsid w:val="0097770F"/>
    <w:rsid w:val="009779EB"/>
    <w:rsid w:val="0098004F"/>
    <w:rsid w:val="00980B28"/>
    <w:rsid w:val="00980E11"/>
    <w:rsid w:val="00982057"/>
    <w:rsid w:val="009830C9"/>
    <w:rsid w:val="0098329F"/>
    <w:rsid w:val="009870BE"/>
    <w:rsid w:val="00987340"/>
    <w:rsid w:val="00987ABE"/>
    <w:rsid w:val="00990E78"/>
    <w:rsid w:val="0099173F"/>
    <w:rsid w:val="00991AA7"/>
    <w:rsid w:val="00991B05"/>
    <w:rsid w:val="00993304"/>
    <w:rsid w:val="0099576F"/>
    <w:rsid w:val="00995C0F"/>
    <w:rsid w:val="009A05B2"/>
    <w:rsid w:val="009A13CD"/>
    <w:rsid w:val="009A3804"/>
    <w:rsid w:val="009A3E68"/>
    <w:rsid w:val="009A3EC2"/>
    <w:rsid w:val="009A4A34"/>
    <w:rsid w:val="009A68EA"/>
    <w:rsid w:val="009B532E"/>
    <w:rsid w:val="009B5E90"/>
    <w:rsid w:val="009B6E02"/>
    <w:rsid w:val="009C05D5"/>
    <w:rsid w:val="009C1CDB"/>
    <w:rsid w:val="009C2B8C"/>
    <w:rsid w:val="009C3DD9"/>
    <w:rsid w:val="009C4058"/>
    <w:rsid w:val="009C537A"/>
    <w:rsid w:val="009C76BE"/>
    <w:rsid w:val="009C7F25"/>
    <w:rsid w:val="009D119B"/>
    <w:rsid w:val="009D18B3"/>
    <w:rsid w:val="009D1F3E"/>
    <w:rsid w:val="009D203C"/>
    <w:rsid w:val="009D2FDF"/>
    <w:rsid w:val="009D523F"/>
    <w:rsid w:val="009D5403"/>
    <w:rsid w:val="009D7A80"/>
    <w:rsid w:val="009E0C63"/>
    <w:rsid w:val="009E1699"/>
    <w:rsid w:val="009E28C6"/>
    <w:rsid w:val="009E32E7"/>
    <w:rsid w:val="009E7815"/>
    <w:rsid w:val="009E7BCC"/>
    <w:rsid w:val="009F08AC"/>
    <w:rsid w:val="009F0C3B"/>
    <w:rsid w:val="009F19DC"/>
    <w:rsid w:val="009F268D"/>
    <w:rsid w:val="009F348D"/>
    <w:rsid w:val="009F38E0"/>
    <w:rsid w:val="009F3FE5"/>
    <w:rsid w:val="009F53AD"/>
    <w:rsid w:val="009F5E59"/>
    <w:rsid w:val="009F5EFD"/>
    <w:rsid w:val="00A00456"/>
    <w:rsid w:val="00A00C26"/>
    <w:rsid w:val="00A012E9"/>
    <w:rsid w:val="00A01B71"/>
    <w:rsid w:val="00A03AB7"/>
    <w:rsid w:val="00A04015"/>
    <w:rsid w:val="00A07682"/>
    <w:rsid w:val="00A12D4E"/>
    <w:rsid w:val="00A14247"/>
    <w:rsid w:val="00A14258"/>
    <w:rsid w:val="00A14756"/>
    <w:rsid w:val="00A1651D"/>
    <w:rsid w:val="00A165D2"/>
    <w:rsid w:val="00A16727"/>
    <w:rsid w:val="00A16D1B"/>
    <w:rsid w:val="00A176D5"/>
    <w:rsid w:val="00A2080B"/>
    <w:rsid w:val="00A21DA8"/>
    <w:rsid w:val="00A23B2A"/>
    <w:rsid w:val="00A23D16"/>
    <w:rsid w:val="00A30419"/>
    <w:rsid w:val="00A31126"/>
    <w:rsid w:val="00A31723"/>
    <w:rsid w:val="00A3216D"/>
    <w:rsid w:val="00A324CB"/>
    <w:rsid w:val="00A340F0"/>
    <w:rsid w:val="00A3476D"/>
    <w:rsid w:val="00A34C41"/>
    <w:rsid w:val="00A369F3"/>
    <w:rsid w:val="00A37586"/>
    <w:rsid w:val="00A3786C"/>
    <w:rsid w:val="00A41CE3"/>
    <w:rsid w:val="00A41F6E"/>
    <w:rsid w:val="00A45F43"/>
    <w:rsid w:val="00A4662A"/>
    <w:rsid w:val="00A472EF"/>
    <w:rsid w:val="00A47F6D"/>
    <w:rsid w:val="00A50A5A"/>
    <w:rsid w:val="00A51238"/>
    <w:rsid w:val="00A52614"/>
    <w:rsid w:val="00A53C05"/>
    <w:rsid w:val="00A576E2"/>
    <w:rsid w:val="00A60391"/>
    <w:rsid w:val="00A61647"/>
    <w:rsid w:val="00A625D7"/>
    <w:rsid w:val="00A62734"/>
    <w:rsid w:val="00A6439E"/>
    <w:rsid w:val="00A65FBE"/>
    <w:rsid w:val="00A70168"/>
    <w:rsid w:val="00A701A0"/>
    <w:rsid w:val="00A7419B"/>
    <w:rsid w:val="00A74659"/>
    <w:rsid w:val="00A77611"/>
    <w:rsid w:val="00A8209F"/>
    <w:rsid w:val="00A8391A"/>
    <w:rsid w:val="00A83A53"/>
    <w:rsid w:val="00A83D23"/>
    <w:rsid w:val="00A9388B"/>
    <w:rsid w:val="00A97371"/>
    <w:rsid w:val="00A97AD3"/>
    <w:rsid w:val="00A97B4A"/>
    <w:rsid w:val="00A97C08"/>
    <w:rsid w:val="00AA0A91"/>
    <w:rsid w:val="00AA1B13"/>
    <w:rsid w:val="00AA1F4E"/>
    <w:rsid w:val="00AA2374"/>
    <w:rsid w:val="00AA5DA1"/>
    <w:rsid w:val="00AA6FAA"/>
    <w:rsid w:val="00AB01D2"/>
    <w:rsid w:val="00AB0C3F"/>
    <w:rsid w:val="00AB101A"/>
    <w:rsid w:val="00AB1435"/>
    <w:rsid w:val="00AB1A5F"/>
    <w:rsid w:val="00AB2559"/>
    <w:rsid w:val="00AC0582"/>
    <w:rsid w:val="00AC0B57"/>
    <w:rsid w:val="00AC1208"/>
    <w:rsid w:val="00AC1E9D"/>
    <w:rsid w:val="00AC5114"/>
    <w:rsid w:val="00AC5E69"/>
    <w:rsid w:val="00AC65D6"/>
    <w:rsid w:val="00AD02E8"/>
    <w:rsid w:val="00AD101A"/>
    <w:rsid w:val="00AD262B"/>
    <w:rsid w:val="00AD340C"/>
    <w:rsid w:val="00AD44BE"/>
    <w:rsid w:val="00AD4754"/>
    <w:rsid w:val="00AD607A"/>
    <w:rsid w:val="00AD65EF"/>
    <w:rsid w:val="00AD6E17"/>
    <w:rsid w:val="00AE1C6D"/>
    <w:rsid w:val="00AE5EDC"/>
    <w:rsid w:val="00AF0D80"/>
    <w:rsid w:val="00AF29A0"/>
    <w:rsid w:val="00AF2C30"/>
    <w:rsid w:val="00AF2DFC"/>
    <w:rsid w:val="00AF31EC"/>
    <w:rsid w:val="00AF5014"/>
    <w:rsid w:val="00AF60D8"/>
    <w:rsid w:val="00AF6DF9"/>
    <w:rsid w:val="00AF7790"/>
    <w:rsid w:val="00B01F6B"/>
    <w:rsid w:val="00B0390C"/>
    <w:rsid w:val="00B047CB"/>
    <w:rsid w:val="00B04F38"/>
    <w:rsid w:val="00B05DE1"/>
    <w:rsid w:val="00B06520"/>
    <w:rsid w:val="00B071FC"/>
    <w:rsid w:val="00B120FC"/>
    <w:rsid w:val="00B12386"/>
    <w:rsid w:val="00B13107"/>
    <w:rsid w:val="00B1502A"/>
    <w:rsid w:val="00B155CB"/>
    <w:rsid w:val="00B15718"/>
    <w:rsid w:val="00B1584C"/>
    <w:rsid w:val="00B20675"/>
    <w:rsid w:val="00B21C8D"/>
    <w:rsid w:val="00B22842"/>
    <w:rsid w:val="00B22DF6"/>
    <w:rsid w:val="00B23973"/>
    <w:rsid w:val="00B23C8D"/>
    <w:rsid w:val="00B23F32"/>
    <w:rsid w:val="00B24B9A"/>
    <w:rsid w:val="00B2714D"/>
    <w:rsid w:val="00B274A2"/>
    <w:rsid w:val="00B27A95"/>
    <w:rsid w:val="00B31974"/>
    <w:rsid w:val="00B31B0B"/>
    <w:rsid w:val="00B323F2"/>
    <w:rsid w:val="00B32E95"/>
    <w:rsid w:val="00B330DD"/>
    <w:rsid w:val="00B3395A"/>
    <w:rsid w:val="00B34870"/>
    <w:rsid w:val="00B35530"/>
    <w:rsid w:val="00B376CF"/>
    <w:rsid w:val="00B4041A"/>
    <w:rsid w:val="00B4098E"/>
    <w:rsid w:val="00B46164"/>
    <w:rsid w:val="00B51E54"/>
    <w:rsid w:val="00B5628C"/>
    <w:rsid w:val="00B57AFF"/>
    <w:rsid w:val="00B6162E"/>
    <w:rsid w:val="00B61870"/>
    <w:rsid w:val="00B619B7"/>
    <w:rsid w:val="00B62616"/>
    <w:rsid w:val="00B62DFE"/>
    <w:rsid w:val="00B63632"/>
    <w:rsid w:val="00B66798"/>
    <w:rsid w:val="00B66A1A"/>
    <w:rsid w:val="00B70221"/>
    <w:rsid w:val="00B713F2"/>
    <w:rsid w:val="00B7155A"/>
    <w:rsid w:val="00B71823"/>
    <w:rsid w:val="00B730A3"/>
    <w:rsid w:val="00B7361E"/>
    <w:rsid w:val="00B74372"/>
    <w:rsid w:val="00B774A1"/>
    <w:rsid w:val="00B8076A"/>
    <w:rsid w:val="00B82A61"/>
    <w:rsid w:val="00B8497A"/>
    <w:rsid w:val="00B906E5"/>
    <w:rsid w:val="00B92D43"/>
    <w:rsid w:val="00B938AA"/>
    <w:rsid w:val="00B9417C"/>
    <w:rsid w:val="00B9561A"/>
    <w:rsid w:val="00B97DE1"/>
    <w:rsid w:val="00BA0663"/>
    <w:rsid w:val="00BA0B7A"/>
    <w:rsid w:val="00BA18DA"/>
    <w:rsid w:val="00BA1BBF"/>
    <w:rsid w:val="00BA4754"/>
    <w:rsid w:val="00BA63BE"/>
    <w:rsid w:val="00BA6676"/>
    <w:rsid w:val="00BA7475"/>
    <w:rsid w:val="00BA7597"/>
    <w:rsid w:val="00BB08E0"/>
    <w:rsid w:val="00BB1B3E"/>
    <w:rsid w:val="00BB2C01"/>
    <w:rsid w:val="00BB2EE5"/>
    <w:rsid w:val="00BB371B"/>
    <w:rsid w:val="00BB3B59"/>
    <w:rsid w:val="00BB3F3E"/>
    <w:rsid w:val="00BB65E5"/>
    <w:rsid w:val="00BC00EA"/>
    <w:rsid w:val="00BC0CD7"/>
    <w:rsid w:val="00BC28ED"/>
    <w:rsid w:val="00BC445B"/>
    <w:rsid w:val="00BC4B98"/>
    <w:rsid w:val="00BC578C"/>
    <w:rsid w:val="00BC6775"/>
    <w:rsid w:val="00BC6F83"/>
    <w:rsid w:val="00BC7787"/>
    <w:rsid w:val="00BD1474"/>
    <w:rsid w:val="00BD15F1"/>
    <w:rsid w:val="00BD3ED8"/>
    <w:rsid w:val="00BD44C6"/>
    <w:rsid w:val="00BD4CBC"/>
    <w:rsid w:val="00BD5C20"/>
    <w:rsid w:val="00BD6B46"/>
    <w:rsid w:val="00BD7F8B"/>
    <w:rsid w:val="00BE0041"/>
    <w:rsid w:val="00BE03C5"/>
    <w:rsid w:val="00BE0EC5"/>
    <w:rsid w:val="00BE26EA"/>
    <w:rsid w:val="00BE26F4"/>
    <w:rsid w:val="00BE28F0"/>
    <w:rsid w:val="00BE2B1D"/>
    <w:rsid w:val="00BE7990"/>
    <w:rsid w:val="00BE7B87"/>
    <w:rsid w:val="00BF0BD0"/>
    <w:rsid w:val="00BF0E78"/>
    <w:rsid w:val="00BF148D"/>
    <w:rsid w:val="00BF2155"/>
    <w:rsid w:val="00BF4A69"/>
    <w:rsid w:val="00BF60CE"/>
    <w:rsid w:val="00BF6329"/>
    <w:rsid w:val="00BF6B29"/>
    <w:rsid w:val="00C0148F"/>
    <w:rsid w:val="00C02900"/>
    <w:rsid w:val="00C0362A"/>
    <w:rsid w:val="00C04920"/>
    <w:rsid w:val="00C061D2"/>
    <w:rsid w:val="00C07302"/>
    <w:rsid w:val="00C076C7"/>
    <w:rsid w:val="00C07768"/>
    <w:rsid w:val="00C10C62"/>
    <w:rsid w:val="00C1215F"/>
    <w:rsid w:val="00C12893"/>
    <w:rsid w:val="00C12C45"/>
    <w:rsid w:val="00C131F9"/>
    <w:rsid w:val="00C152B5"/>
    <w:rsid w:val="00C15B57"/>
    <w:rsid w:val="00C17A96"/>
    <w:rsid w:val="00C200BA"/>
    <w:rsid w:val="00C202D2"/>
    <w:rsid w:val="00C20C3D"/>
    <w:rsid w:val="00C20DF9"/>
    <w:rsid w:val="00C20E0D"/>
    <w:rsid w:val="00C213B4"/>
    <w:rsid w:val="00C22CC4"/>
    <w:rsid w:val="00C2460D"/>
    <w:rsid w:val="00C2486E"/>
    <w:rsid w:val="00C27232"/>
    <w:rsid w:val="00C31644"/>
    <w:rsid w:val="00C33C74"/>
    <w:rsid w:val="00C34C3D"/>
    <w:rsid w:val="00C35ECE"/>
    <w:rsid w:val="00C36CD2"/>
    <w:rsid w:val="00C402C1"/>
    <w:rsid w:val="00C40C5B"/>
    <w:rsid w:val="00C41368"/>
    <w:rsid w:val="00C453C1"/>
    <w:rsid w:val="00C45485"/>
    <w:rsid w:val="00C4638C"/>
    <w:rsid w:val="00C471E0"/>
    <w:rsid w:val="00C47D65"/>
    <w:rsid w:val="00C50241"/>
    <w:rsid w:val="00C5045B"/>
    <w:rsid w:val="00C50867"/>
    <w:rsid w:val="00C50D14"/>
    <w:rsid w:val="00C5197F"/>
    <w:rsid w:val="00C52451"/>
    <w:rsid w:val="00C53ED8"/>
    <w:rsid w:val="00C54223"/>
    <w:rsid w:val="00C5558D"/>
    <w:rsid w:val="00C56979"/>
    <w:rsid w:val="00C57BEA"/>
    <w:rsid w:val="00C62521"/>
    <w:rsid w:val="00C628A9"/>
    <w:rsid w:val="00C6459E"/>
    <w:rsid w:val="00C659F6"/>
    <w:rsid w:val="00C66BB0"/>
    <w:rsid w:val="00C67367"/>
    <w:rsid w:val="00C67486"/>
    <w:rsid w:val="00C67AFD"/>
    <w:rsid w:val="00C70ED4"/>
    <w:rsid w:val="00C71F7E"/>
    <w:rsid w:val="00C72D80"/>
    <w:rsid w:val="00C74469"/>
    <w:rsid w:val="00C8069F"/>
    <w:rsid w:val="00C81BC9"/>
    <w:rsid w:val="00C845F7"/>
    <w:rsid w:val="00C86791"/>
    <w:rsid w:val="00C86976"/>
    <w:rsid w:val="00C875E3"/>
    <w:rsid w:val="00C87F1B"/>
    <w:rsid w:val="00C92046"/>
    <w:rsid w:val="00C92EB9"/>
    <w:rsid w:val="00C937EF"/>
    <w:rsid w:val="00C94B7B"/>
    <w:rsid w:val="00C95987"/>
    <w:rsid w:val="00C9677A"/>
    <w:rsid w:val="00C97453"/>
    <w:rsid w:val="00CA183F"/>
    <w:rsid w:val="00CA34EC"/>
    <w:rsid w:val="00CA3C4A"/>
    <w:rsid w:val="00CA43C8"/>
    <w:rsid w:val="00CA4D2C"/>
    <w:rsid w:val="00CA51A9"/>
    <w:rsid w:val="00CA59B2"/>
    <w:rsid w:val="00CA5BC9"/>
    <w:rsid w:val="00CA6EBF"/>
    <w:rsid w:val="00CB1860"/>
    <w:rsid w:val="00CB4FE0"/>
    <w:rsid w:val="00CB5635"/>
    <w:rsid w:val="00CC031A"/>
    <w:rsid w:val="00CC03FA"/>
    <w:rsid w:val="00CC0726"/>
    <w:rsid w:val="00CC167A"/>
    <w:rsid w:val="00CC53BF"/>
    <w:rsid w:val="00CC6036"/>
    <w:rsid w:val="00CC61DA"/>
    <w:rsid w:val="00CC650C"/>
    <w:rsid w:val="00CC6CB1"/>
    <w:rsid w:val="00CC6EEE"/>
    <w:rsid w:val="00CD0EED"/>
    <w:rsid w:val="00CD1D00"/>
    <w:rsid w:val="00CD1DE4"/>
    <w:rsid w:val="00CD2631"/>
    <w:rsid w:val="00CD326D"/>
    <w:rsid w:val="00CD39CD"/>
    <w:rsid w:val="00CD5A52"/>
    <w:rsid w:val="00CE3B96"/>
    <w:rsid w:val="00CE41D1"/>
    <w:rsid w:val="00CE7248"/>
    <w:rsid w:val="00CF048D"/>
    <w:rsid w:val="00CF06D2"/>
    <w:rsid w:val="00CF306F"/>
    <w:rsid w:val="00CF342F"/>
    <w:rsid w:val="00CF3E8A"/>
    <w:rsid w:val="00CF7840"/>
    <w:rsid w:val="00D03893"/>
    <w:rsid w:val="00D03CD4"/>
    <w:rsid w:val="00D03E58"/>
    <w:rsid w:val="00D04BF2"/>
    <w:rsid w:val="00D05929"/>
    <w:rsid w:val="00D06436"/>
    <w:rsid w:val="00D06D85"/>
    <w:rsid w:val="00D07324"/>
    <w:rsid w:val="00D13113"/>
    <w:rsid w:val="00D13209"/>
    <w:rsid w:val="00D136FA"/>
    <w:rsid w:val="00D1486B"/>
    <w:rsid w:val="00D14CE9"/>
    <w:rsid w:val="00D16164"/>
    <w:rsid w:val="00D210E8"/>
    <w:rsid w:val="00D22475"/>
    <w:rsid w:val="00D239B3"/>
    <w:rsid w:val="00D23DE3"/>
    <w:rsid w:val="00D25306"/>
    <w:rsid w:val="00D25B56"/>
    <w:rsid w:val="00D25F7A"/>
    <w:rsid w:val="00D26ACC"/>
    <w:rsid w:val="00D26C58"/>
    <w:rsid w:val="00D27358"/>
    <w:rsid w:val="00D31336"/>
    <w:rsid w:val="00D31CC9"/>
    <w:rsid w:val="00D31D14"/>
    <w:rsid w:val="00D32CD3"/>
    <w:rsid w:val="00D32E52"/>
    <w:rsid w:val="00D3448A"/>
    <w:rsid w:val="00D34728"/>
    <w:rsid w:val="00D3564D"/>
    <w:rsid w:val="00D365FD"/>
    <w:rsid w:val="00D40B27"/>
    <w:rsid w:val="00D41615"/>
    <w:rsid w:val="00D43A5A"/>
    <w:rsid w:val="00D458ED"/>
    <w:rsid w:val="00D46997"/>
    <w:rsid w:val="00D46A3B"/>
    <w:rsid w:val="00D476A7"/>
    <w:rsid w:val="00D5016D"/>
    <w:rsid w:val="00D504E1"/>
    <w:rsid w:val="00D52E1F"/>
    <w:rsid w:val="00D5369A"/>
    <w:rsid w:val="00D5398A"/>
    <w:rsid w:val="00D55401"/>
    <w:rsid w:val="00D569E5"/>
    <w:rsid w:val="00D609DA"/>
    <w:rsid w:val="00D60CBB"/>
    <w:rsid w:val="00D61A72"/>
    <w:rsid w:val="00D62285"/>
    <w:rsid w:val="00D62E03"/>
    <w:rsid w:val="00D64427"/>
    <w:rsid w:val="00D679D3"/>
    <w:rsid w:val="00D67E86"/>
    <w:rsid w:val="00D701C8"/>
    <w:rsid w:val="00D70F5B"/>
    <w:rsid w:val="00D7145C"/>
    <w:rsid w:val="00D71474"/>
    <w:rsid w:val="00D73E85"/>
    <w:rsid w:val="00D75A5B"/>
    <w:rsid w:val="00D7647B"/>
    <w:rsid w:val="00D821AE"/>
    <w:rsid w:val="00D856C3"/>
    <w:rsid w:val="00D85727"/>
    <w:rsid w:val="00D874B6"/>
    <w:rsid w:val="00D87F48"/>
    <w:rsid w:val="00D917B4"/>
    <w:rsid w:val="00D91B2C"/>
    <w:rsid w:val="00D921B4"/>
    <w:rsid w:val="00D92265"/>
    <w:rsid w:val="00D92737"/>
    <w:rsid w:val="00D93940"/>
    <w:rsid w:val="00D9430D"/>
    <w:rsid w:val="00D963C7"/>
    <w:rsid w:val="00D96E5B"/>
    <w:rsid w:val="00D97448"/>
    <w:rsid w:val="00DA0A6A"/>
    <w:rsid w:val="00DA20B0"/>
    <w:rsid w:val="00DA2AEB"/>
    <w:rsid w:val="00DA2EAA"/>
    <w:rsid w:val="00DA348F"/>
    <w:rsid w:val="00DA6ACA"/>
    <w:rsid w:val="00DA7699"/>
    <w:rsid w:val="00DB10F3"/>
    <w:rsid w:val="00DB31A3"/>
    <w:rsid w:val="00DB62A4"/>
    <w:rsid w:val="00DB6376"/>
    <w:rsid w:val="00DB7582"/>
    <w:rsid w:val="00DC1980"/>
    <w:rsid w:val="00DC1E20"/>
    <w:rsid w:val="00DC4020"/>
    <w:rsid w:val="00DC49D1"/>
    <w:rsid w:val="00DC68B9"/>
    <w:rsid w:val="00DD162F"/>
    <w:rsid w:val="00DD3595"/>
    <w:rsid w:val="00DD7328"/>
    <w:rsid w:val="00DD740B"/>
    <w:rsid w:val="00DE0F35"/>
    <w:rsid w:val="00DE0F68"/>
    <w:rsid w:val="00DE1ADE"/>
    <w:rsid w:val="00DE24A3"/>
    <w:rsid w:val="00DE2881"/>
    <w:rsid w:val="00DE2CBC"/>
    <w:rsid w:val="00DF0B7A"/>
    <w:rsid w:val="00DF1A4D"/>
    <w:rsid w:val="00DF1A67"/>
    <w:rsid w:val="00DF215B"/>
    <w:rsid w:val="00DF2440"/>
    <w:rsid w:val="00DF307B"/>
    <w:rsid w:val="00DF4A22"/>
    <w:rsid w:val="00DF5C46"/>
    <w:rsid w:val="00DF647A"/>
    <w:rsid w:val="00E00539"/>
    <w:rsid w:val="00E01029"/>
    <w:rsid w:val="00E0157F"/>
    <w:rsid w:val="00E02AA8"/>
    <w:rsid w:val="00E02D3B"/>
    <w:rsid w:val="00E04DE4"/>
    <w:rsid w:val="00E05211"/>
    <w:rsid w:val="00E05388"/>
    <w:rsid w:val="00E06C2E"/>
    <w:rsid w:val="00E100F2"/>
    <w:rsid w:val="00E10BD4"/>
    <w:rsid w:val="00E10CA1"/>
    <w:rsid w:val="00E11A11"/>
    <w:rsid w:val="00E142CB"/>
    <w:rsid w:val="00E1472E"/>
    <w:rsid w:val="00E174F6"/>
    <w:rsid w:val="00E22753"/>
    <w:rsid w:val="00E233C7"/>
    <w:rsid w:val="00E254E7"/>
    <w:rsid w:val="00E25D63"/>
    <w:rsid w:val="00E30999"/>
    <w:rsid w:val="00E32814"/>
    <w:rsid w:val="00E34BB1"/>
    <w:rsid w:val="00E35196"/>
    <w:rsid w:val="00E35B41"/>
    <w:rsid w:val="00E4177D"/>
    <w:rsid w:val="00E44DBC"/>
    <w:rsid w:val="00E45CDE"/>
    <w:rsid w:val="00E46022"/>
    <w:rsid w:val="00E46987"/>
    <w:rsid w:val="00E51206"/>
    <w:rsid w:val="00E51BF7"/>
    <w:rsid w:val="00E51C6C"/>
    <w:rsid w:val="00E51E15"/>
    <w:rsid w:val="00E52EFA"/>
    <w:rsid w:val="00E5440D"/>
    <w:rsid w:val="00E56DC7"/>
    <w:rsid w:val="00E60255"/>
    <w:rsid w:val="00E60403"/>
    <w:rsid w:val="00E60BB9"/>
    <w:rsid w:val="00E64740"/>
    <w:rsid w:val="00E64F07"/>
    <w:rsid w:val="00E65AEA"/>
    <w:rsid w:val="00E67510"/>
    <w:rsid w:val="00E67F89"/>
    <w:rsid w:val="00E7020D"/>
    <w:rsid w:val="00E70ACC"/>
    <w:rsid w:val="00E70C8D"/>
    <w:rsid w:val="00E71A9F"/>
    <w:rsid w:val="00E72ABF"/>
    <w:rsid w:val="00E74D62"/>
    <w:rsid w:val="00E77790"/>
    <w:rsid w:val="00E809C6"/>
    <w:rsid w:val="00E8125B"/>
    <w:rsid w:val="00E812CD"/>
    <w:rsid w:val="00E82BA3"/>
    <w:rsid w:val="00E84027"/>
    <w:rsid w:val="00E86DAA"/>
    <w:rsid w:val="00E86DBA"/>
    <w:rsid w:val="00E90BBE"/>
    <w:rsid w:val="00E9157F"/>
    <w:rsid w:val="00E92453"/>
    <w:rsid w:val="00E9245D"/>
    <w:rsid w:val="00E938D0"/>
    <w:rsid w:val="00E944EA"/>
    <w:rsid w:val="00E94A36"/>
    <w:rsid w:val="00E9549D"/>
    <w:rsid w:val="00E95735"/>
    <w:rsid w:val="00E961C6"/>
    <w:rsid w:val="00E967D4"/>
    <w:rsid w:val="00E96C3E"/>
    <w:rsid w:val="00E96D5F"/>
    <w:rsid w:val="00E96D72"/>
    <w:rsid w:val="00E96EEB"/>
    <w:rsid w:val="00EA1628"/>
    <w:rsid w:val="00EA1C30"/>
    <w:rsid w:val="00EA2F11"/>
    <w:rsid w:val="00EA3143"/>
    <w:rsid w:val="00EA5FB9"/>
    <w:rsid w:val="00EB1117"/>
    <w:rsid w:val="00EB1D73"/>
    <w:rsid w:val="00EB22FD"/>
    <w:rsid w:val="00EB2848"/>
    <w:rsid w:val="00EB3D7D"/>
    <w:rsid w:val="00EB48D8"/>
    <w:rsid w:val="00EB4A81"/>
    <w:rsid w:val="00EB5E7B"/>
    <w:rsid w:val="00EC188E"/>
    <w:rsid w:val="00EC25AB"/>
    <w:rsid w:val="00EC35AE"/>
    <w:rsid w:val="00EC4B47"/>
    <w:rsid w:val="00EC765D"/>
    <w:rsid w:val="00EC7DF8"/>
    <w:rsid w:val="00ED116E"/>
    <w:rsid w:val="00ED3E5E"/>
    <w:rsid w:val="00ED4398"/>
    <w:rsid w:val="00EE32D3"/>
    <w:rsid w:val="00EE500C"/>
    <w:rsid w:val="00EE6233"/>
    <w:rsid w:val="00EE7C99"/>
    <w:rsid w:val="00EF070D"/>
    <w:rsid w:val="00EF1B54"/>
    <w:rsid w:val="00EF2246"/>
    <w:rsid w:val="00EF243D"/>
    <w:rsid w:val="00EF30E3"/>
    <w:rsid w:val="00EF4864"/>
    <w:rsid w:val="00EF4B24"/>
    <w:rsid w:val="00EF4D89"/>
    <w:rsid w:val="00EF575B"/>
    <w:rsid w:val="00EF7979"/>
    <w:rsid w:val="00F005CC"/>
    <w:rsid w:val="00F018A4"/>
    <w:rsid w:val="00F04998"/>
    <w:rsid w:val="00F054C7"/>
    <w:rsid w:val="00F05B1A"/>
    <w:rsid w:val="00F07C57"/>
    <w:rsid w:val="00F13209"/>
    <w:rsid w:val="00F15B5B"/>
    <w:rsid w:val="00F1619B"/>
    <w:rsid w:val="00F16AEF"/>
    <w:rsid w:val="00F20877"/>
    <w:rsid w:val="00F22892"/>
    <w:rsid w:val="00F24A85"/>
    <w:rsid w:val="00F3066A"/>
    <w:rsid w:val="00F30A6C"/>
    <w:rsid w:val="00F31E05"/>
    <w:rsid w:val="00F32A4F"/>
    <w:rsid w:val="00F3465C"/>
    <w:rsid w:val="00F34EEC"/>
    <w:rsid w:val="00F35E96"/>
    <w:rsid w:val="00F363AD"/>
    <w:rsid w:val="00F3680E"/>
    <w:rsid w:val="00F36B82"/>
    <w:rsid w:val="00F36F32"/>
    <w:rsid w:val="00F404DA"/>
    <w:rsid w:val="00F41D46"/>
    <w:rsid w:val="00F4339B"/>
    <w:rsid w:val="00F43622"/>
    <w:rsid w:val="00F440FA"/>
    <w:rsid w:val="00F45913"/>
    <w:rsid w:val="00F47082"/>
    <w:rsid w:val="00F50D72"/>
    <w:rsid w:val="00F52636"/>
    <w:rsid w:val="00F5297E"/>
    <w:rsid w:val="00F52B07"/>
    <w:rsid w:val="00F53DE7"/>
    <w:rsid w:val="00F5455A"/>
    <w:rsid w:val="00F55625"/>
    <w:rsid w:val="00F55DE7"/>
    <w:rsid w:val="00F5762E"/>
    <w:rsid w:val="00F60E49"/>
    <w:rsid w:val="00F643D1"/>
    <w:rsid w:val="00F656BB"/>
    <w:rsid w:val="00F6589B"/>
    <w:rsid w:val="00F65CEE"/>
    <w:rsid w:val="00F734F3"/>
    <w:rsid w:val="00F74AF0"/>
    <w:rsid w:val="00F756A9"/>
    <w:rsid w:val="00F7594D"/>
    <w:rsid w:val="00F76C69"/>
    <w:rsid w:val="00F7737B"/>
    <w:rsid w:val="00F8088C"/>
    <w:rsid w:val="00F816CC"/>
    <w:rsid w:val="00F8581A"/>
    <w:rsid w:val="00F86606"/>
    <w:rsid w:val="00F86C25"/>
    <w:rsid w:val="00F923BA"/>
    <w:rsid w:val="00F9246E"/>
    <w:rsid w:val="00F9293B"/>
    <w:rsid w:val="00F93201"/>
    <w:rsid w:val="00F94C6A"/>
    <w:rsid w:val="00F9622B"/>
    <w:rsid w:val="00F96501"/>
    <w:rsid w:val="00F97FEF"/>
    <w:rsid w:val="00FA05F2"/>
    <w:rsid w:val="00FA3F77"/>
    <w:rsid w:val="00FA4571"/>
    <w:rsid w:val="00FA5746"/>
    <w:rsid w:val="00FA7142"/>
    <w:rsid w:val="00FB21CE"/>
    <w:rsid w:val="00FB254E"/>
    <w:rsid w:val="00FB5039"/>
    <w:rsid w:val="00FB6644"/>
    <w:rsid w:val="00FB6C32"/>
    <w:rsid w:val="00FC0200"/>
    <w:rsid w:val="00FC07DB"/>
    <w:rsid w:val="00FC1949"/>
    <w:rsid w:val="00FC1B6C"/>
    <w:rsid w:val="00FC2142"/>
    <w:rsid w:val="00FC248F"/>
    <w:rsid w:val="00FC5A09"/>
    <w:rsid w:val="00FC732A"/>
    <w:rsid w:val="00FC74D1"/>
    <w:rsid w:val="00FC7A4F"/>
    <w:rsid w:val="00FD0350"/>
    <w:rsid w:val="00FD4059"/>
    <w:rsid w:val="00FD5B91"/>
    <w:rsid w:val="00FD5DDA"/>
    <w:rsid w:val="00FD618B"/>
    <w:rsid w:val="00FD6DAA"/>
    <w:rsid w:val="00FD6DD0"/>
    <w:rsid w:val="00FE0EAF"/>
    <w:rsid w:val="00FE0FE0"/>
    <w:rsid w:val="00FE2521"/>
    <w:rsid w:val="00FE2C43"/>
    <w:rsid w:val="00FE584F"/>
    <w:rsid w:val="00FF0368"/>
    <w:rsid w:val="00FF0F42"/>
    <w:rsid w:val="00FF2366"/>
    <w:rsid w:val="00FF422B"/>
    <w:rsid w:val="00FF625C"/>
    <w:rsid w:val="00FF676C"/>
    <w:rsid w:val="00FF7FD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14:docId w14:val="3F11DA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uiPriority="39"/>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latentStyles>
  <w:style w:type="paragraph" w:default="1" w:styleId="Normal">
    <w:name w:val="Normal"/>
    <w:qFormat/>
    <w:rsid w:val="000D3B56"/>
    <w:pPr>
      <w:spacing w:after="200" w:line="360" w:lineRule="auto"/>
      <w:jc w:val="both"/>
    </w:pPr>
    <w:rPr>
      <w:rFonts w:ascii="Times New Roman" w:hAnsi="Times New Roman" w:cs="Arial"/>
      <w:sz w:val="24"/>
      <w:lang w:val="en-GB"/>
    </w:rPr>
  </w:style>
  <w:style w:type="paragraph" w:styleId="Heading1">
    <w:name w:val="heading 1"/>
    <w:basedOn w:val="Normal"/>
    <w:next w:val="Normal"/>
    <w:link w:val="Heading1Char"/>
    <w:uiPriority w:val="9"/>
    <w:qFormat/>
    <w:rsid w:val="00CC6CB1"/>
    <w:pPr>
      <w:keepNext/>
      <w:keepLines/>
      <w:spacing w:before="240" w:after="0" w:line="480" w:lineRule="auto"/>
      <w:jc w:val="center"/>
      <w:outlineLvl w:val="0"/>
    </w:pPr>
    <w:rPr>
      <w:rFonts w:eastAsiaTheme="majorEastAsia" w:cstheme="majorBidi"/>
      <w:b/>
      <w:smallCaps/>
      <w:sz w:val="28"/>
      <w:szCs w:val="32"/>
    </w:rPr>
  </w:style>
  <w:style w:type="paragraph" w:styleId="Heading2">
    <w:name w:val="heading 2"/>
    <w:basedOn w:val="Normal"/>
    <w:next w:val="Normal"/>
    <w:link w:val="Heading2Char"/>
    <w:uiPriority w:val="9"/>
    <w:unhideWhenUsed/>
    <w:qFormat/>
    <w:rsid w:val="00A97AD3"/>
    <w:pPr>
      <w:keepNext/>
      <w:keepLines/>
      <w:spacing w:before="40" w:after="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AC0B57"/>
    <w:pPr>
      <w:keepNext/>
      <w:keepLines/>
      <w:spacing w:before="40" w:after="0"/>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AC0B57"/>
    <w:pPr>
      <w:keepNext/>
      <w:keepLines/>
      <w:spacing w:before="40" w:after="0"/>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6CB1"/>
    <w:rPr>
      <w:rFonts w:ascii="Times New Roman" w:eastAsiaTheme="majorEastAsia" w:hAnsi="Times New Roman" w:cstheme="majorBidi"/>
      <w:b/>
      <w:smallCaps/>
      <w:sz w:val="28"/>
      <w:szCs w:val="32"/>
      <w:lang w:val="en-GB"/>
    </w:rPr>
  </w:style>
  <w:style w:type="character" w:customStyle="1" w:styleId="Heading2Char">
    <w:name w:val="Heading 2 Char"/>
    <w:basedOn w:val="DefaultParagraphFont"/>
    <w:link w:val="Heading2"/>
    <w:uiPriority w:val="9"/>
    <w:rsid w:val="00A97AD3"/>
    <w:rPr>
      <w:rFonts w:ascii="Times New Roman" w:eastAsiaTheme="majorEastAsia" w:hAnsi="Times New Roman" w:cstheme="majorBidi"/>
      <w:b/>
      <w:sz w:val="24"/>
      <w:szCs w:val="26"/>
      <w:lang w:val="en-GB"/>
    </w:rPr>
  </w:style>
  <w:style w:type="character" w:customStyle="1" w:styleId="Heading3Char">
    <w:name w:val="Heading 3 Char"/>
    <w:basedOn w:val="DefaultParagraphFont"/>
    <w:link w:val="Heading3"/>
    <w:uiPriority w:val="9"/>
    <w:rsid w:val="00AC0B57"/>
    <w:rPr>
      <w:rFonts w:ascii="Times New Roman" w:eastAsiaTheme="majorEastAsia" w:hAnsi="Times New Roman" w:cstheme="majorBidi"/>
      <w:b/>
      <w:sz w:val="24"/>
      <w:szCs w:val="24"/>
      <w:lang w:val="en-GB"/>
    </w:rPr>
  </w:style>
  <w:style w:type="character" w:customStyle="1" w:styleId="Heading4Char">
    <w:name w:val="Heading 4 Char"/>
    <w:basedOn w:val="DefaultParagraphFont"/>
    <w:link w:val="Heading4"/>
    <w:uiPriority w:val="9"/>
    <w:rsid w:val="00AC0B57"/>
    <w:rPr>
      <w:rFonts w:ascii="Times New Roman" w:eastAsiaTheme="majorEastAsia" w:hAnsi="Times New Roman" w:cstheme="majorBidi"/>
      <w:b/>
      <w:iCs/>
      <w:sz w:val="24"/>
      <w:lang w:val="en-GB"/>
    </w:rPr>
  </w:style>
  <w:style w:type="paragraph" w:styleId="ListParagraph">
    <w:name w:val="List Paragraph"/>
    <w:basedOn w:val="Normal"/>
    <w:uiPriority w:val="34"/>
    <w:rsid w:val="00390039"/>
    <w:pPr>
      <w:ind w:left="720"/>
      <w:contextualSpacing/>
    </w:pPr>
  </w:style>
  <w:style w:type="character" w:styleId="Hyperlink">
    <w:name w:val="Hyperlink"/>
    <w:basedOn w:val="DefaultParagraphFont"/>
    <w:uiPriority w:val="99"/>
    <w:unhideWhenUsed/>
    <w:rsid w:val="00390039"/>
    <w:rPr>
      <w:color w:val="0563C1" w:themeColor="hyperlink"/>
      <w:u w:val="single"/>
    </w:rPr>
  </w:style>
  <w:style w:type="table" w:styleId="TableGrid">
    <w:name w:val="Table Grid"/>
    <w:basedOn w:val="TableNormal"/>
    <w:uiPriority w:val="39"/>
    <w:rsid w:val="0039003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NewParagraph">
    <w:name w:val="New Paragraph"/>
    <w:basedOn w:val="Normal"/>
    <w:link w:val="NewParagraphChar"/>
    <w:rsid w:val="00390039"/>
    <w:pPr>
      <w:spacing w:after="160"/>
    </w:pPr>
    <w:rPr>
      <w:rFonts w:cs="Times New Roman"/>
      <w:lang w:eastAsia="en-ZA"/>
    </w:rPr>
  </w:style>
  <w:style w:type="character" w:customStyle="1" w:styleId="NewParagraphChar">
    <w:name w:val="New Paragraph Char"/>
    <w:basedOn w:val="DefaultParagraphFont"/>
    <w:link w:val="NewParagraph"/>
    <w:rsid w:val="00390039"/>
    <w:rPr>
      <w:rFonts w:ascii="Times New Roman" w:hAnsi="Times New Roman" w:cs="Times New Roman"/>
      <w:sz w:val="24"/>
      <w:lang w:val="en-GB" w:eastAsia="en-ZA"/>
    </w:rPr>
  </w:style>
  <w:style w:type="paragraph" w:customStyle="1" w:styleId="References">
    <w:name w:val="References"/>
    <w:basedOn w:val="Normal"/>
    <w:link w:val="ReferencesChar"/>
    <w:rsid w:val="00390039"/>
    <w:pPr>
      <w:widowControl w:val="0"/>
      <w:autoSpaceDE w:val="0"/>
      <w:autoSpaceDN w:val="0"/>
      <w:adjustRightInd w:val="0"/>
      <w:spacing w:after="0"/>
      <w:ind w:left="426" w:hanging="426"/>
    </w:pPr>
    <w:rPr>
      <w:rFonts w:cstheme="minorBidi"/>
      <w:lang w:eastAsia="en-ZA"/>
    </w:rPr>
  </w:style>
  <w:style w:type="character" w:customStyle="1" w:styleId="ReferencesChar">
    <w:name w:val="References Char"/>
    <w:basedOn w:val="DefaultParagraphFont"/>
    <w:link w:val="References"/>
    <w:rsid w:val="00390039"/>
    <w:rPr>
      <w:rFonts w:ascii="Times New Roman" w:hAnsi="Times New Roman"/>
      <w:sz w:val="24"/>
      <w:lang w:val="en-GB" w:eastAsia="en-ZA"/>
    </w:rPr>
  </w:style>
  <w:style w:type="paragraph" w:styleId="NormalWeb">
    <w:name w:val="Normal (Web)"/>
    <w:basedOn w:val="Normal"/>
    <w:uiPriority w:val="99"/>
    <w:unhideWhenUsed/>
    <w:rsid w:val="00390039"/>
    <w:pPr>
      <w:spacing w:before="100" w:beforeAutospacing="1" w:after="100" w:afterAutospacing="1" w:line="240" w:lineRule="auto"/>
    </w:pPr>
    <w:rPr>
      <w:rFonts w:eastAsia="Times New Roman" w:cs="Times New Roman"/>
      <w:szCs w:val="24"/>
      <w:lang w:val="en-ZA" w:eastAsia="en-ZA"/>
    </w:rPr>
  </w:style>
  <w:style w:type="paragraph" w:customStyle="1" w:styleId="EndNoteBibliography">
    <w:name w:val="EndNote Bibliography"/>
    <w:basedOn w:val="Normal"/>
    <w:link w:val="EndNoteBibliographyChar"/>
    <w:rsid w:val="00390039"/>
    <w:pPr>
      <w:spacing w:line="240" w:lineRule="auto"/>
    </w:pPr>
    <w:rPr>
      <w:rFonts w:cs="Times New Roman"/>
      <w:noProof/>
      <w:lang w:val="en-US"/>
    </w:rPr>
  </w:style>
  <w:style w:type="character" w:customStyle="1" w:styleId="EndNoteBibliographyChar">
    <w:name w:val="EndNote Bibliography Char"/>
    <w:basedOn w:val="DefaultParagraphFont"/>
    <w:link w:val="EndNoteBibliography"/>
    <w:rsid w:val="00390039"/>
    <w:rPr>
      <w:rFonts w:ascii="Times New Roman" w:hAnsi="Times New Roman" w:cs="Times New Roman"/>
      <w:noProof/>
      <w:sz w:val="24"/>
    </w:rPr>
  </w:style>
  <w:style w:type="paragraph" w:styleId="Header">
    <w:name w:val="header"/>
    <w:basedOn w:val="Normal"/>
    <w:link w:val="HeaderChar"/>
    <w:uiPriority w:val="99"/>
    <w:unhideWhenUsed/>
    <w:rsid w:val="0039003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0039"/>
    <w:rPr>
      <w:rFonts w:ascii="Times New Roman" w:hAnsi="Times New Roman" w:cs="Arial"/>
      <w:sz w:val="24"/>
      <w:lang w:val="en-GB"/>
    </w:rPr>
  </w:style>
  <w:style w:type="paragraph" w:styleId="Footer">
    <w:name w:val="footer"/>
    <w:basedOn w:val="Normal"/>
    <w:link w:val="FooterChar"/>
    <w:uiPriority w:val="99"/>
    <w:unhideWhenUsed/>
    <w:rsid w:val="0039003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0039"/>
    <w:rPr>
      <w:rFonts w:ascii="Times New Roman" w:hAnsi="Times New Roman" w:cs="Arial"/>
      <w:sz w:val="24"/>
      <w:lang w:val="en-GB"/>
    </w:rPr>
  </w:style>
  <w:style w:type="paragraph" w:styleId="Subtitle">
    <w:name w:val="Subtitle"/>
    <w:aliases w:val="Footnotes"/>
    <w:basedOn w:val="Normal"/>
    <w:next w:val="Normal"/>
    <w:link w:val="SubtitleChar"/>
    <w:uiPriority w:val="11"/>
    <w:rsid w:val="00390039"/>
    <w:pPr>
      <w:keepNext/>
      <w:keepLines/>
      <w:spacing w:after="360"/>
      <w:contextualSpacing/>
    </w:pPr>
    <w:rPr>
      <w:rFonts w:cstheme="minorBidi"/>
      <w:sz w:val="22"/>
      <w:lang w:eastAsia="en-GB"/>
    </w:rPr>
  </w:style>
  <w:style w:type="character" w:customStyle="1" w:styleId="SubtitleChar">
    <w:name w:val="Subtitle Char"/>
    <w:aliases w:val="Footnotes Char"/>
    <w:basedOn w:val="DefaultParagraphFont"/>
    <w:link w:val="Subtitle"/>
    <w:uiPriority w:val="11"/>
    <w:rsid w:val="00390039"/>
    <w:rPr>
      <w:rFonts w:ascii="Times New Roman" w:hAnsi="Times New Roman"/>
      <w:lang w:val="en-GB" w:eastAsia="en-GB"/>
    </w:rPr>
  </w:style>
  <w:style w:type="character" w:styleId="LineNumber">
    <w:name w:val="line number"/>
    <w:basedOn w:val="DefaultParagraphFont"/>
    <w:uiPriority w:val="99"/>
    <w:semiHidden/>
    <w:unhideWhenUsed/>
    <w:rsid w:val="00692657"/>
  </w:style>
  <w:style w:type="paragraph" w:styleId="BalloonText">
    <w:name w:val="Balloon Text"/>
    <w:basedOn w:val="Normal"/>
    <w:link w:val="BalloonTextChar"/>
    <w:uiPriority w:val="99"/>
    <w:semiHidden/>
    <w:unhideWhenUsed/>
    <w:rsid w:val="00527D9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7D9A"/>
    <w:rPr>
      <w:rFonts w:ascii="Tahoma" w:hAnsi="Tahoma" w:cs="Tahoma"/>
      <w:sz w:val="16"/>
      <w:szCs w:val="16"/>
      <w:lang w:val="en-GB"/>
    </w:rPr>
  </w:style>
  <w:style w:type="character" w:styleId="CommentReference">
    <w:name w:val="annotation reference"/>
    <w:basedOn w:val="DefaultParagraphFont"/>
    <w:uiPriority w:val="99"/>
    <w:semiHidden/>
    <w:unhideWhenUsed/>
    <w:rsid w:val="00CA4D2C"/>
    <w:rPr>
      <w:sz w:val="16"/>
      <w:szCs w:val="16"/>
    </w:rPr>
  </w:style>
  <w:style w:type="paragraph" w:styleId="CommentText">
    <w:name w:val="annotation text"/>
    <w:basedOn w:val="Normal"/>
    <w:link w:val="CommentTextChar"/>
    <w:uiPriority w:val="99"/>
    <w:unhideWhenUsed/>
    <w:rsid w:val="00CA4D2C"/>
    <w:pPr>
      <w:spacing w:line="240" w:lineRule="auto"/>
    </w:pPr>
    <w:rPr>
      <w:sz w:val="20"/>
      <w:szCs w:val="20"/>
    </w:rPr>
  </w:style>
  <w:style w:type="character" w:customStyle="1" w:styleId="CommentTextChar">
    <w:name w:val="Comment Text Char"/>
    <w:basedOn w:val="DefaultParagraphFont"/>
    <w:link w:val="CommentText"/>
    <w:uiPriority w:val="99"/>
    <w:rsid w:val="00CA4D2C"/>
    <w:rPr>
      <w:rFonts w:ascii="Times New Roman" w:hAnsi="Times New Roman" w:cs="Arial"/>
      <w:sz w:val="20"/>
      <w:szCs w:val="20"/>
      <w:lang w:val="en-GB"/>
    </w:rPr>
  </w:style>
  <w:style w:type="paragraph" w:styleId="CommentSubject">
    <w:name w:val="annotation subject"/>
    <w:basedOn w:val="CommentText"/>
    <w:next w:val="CommentText"/>
    <w:link w:val="CommentSubjectChar"/>
    <w:uiPriority w:val="99"/>
    <w:semiHidden/>
    <w:unhideWhenUsed/>
    <w:rsid w:val="00CA4D2C"/>
    <w:rPr>
      <w:b/>
      <w:bCs/>
    </w:rPr>
  </w:style>
  <w:style w:type="character" w:customStyle="1" w:styleId="CommentSubjectChar">
    <w:name w:val="Comment Subject Char"/>
    <w:basedOn w:val="CommentTextChar"/>
    <w:link w:val="CommentSubject"/>
    <w:uiPriority w:val="99"/>
    <w:semiHidden/>
    <w:rsid w:val="00CA4D2C"/>
    <w:rPr>
      <w:rFonts w:ascii="Times New Roman" w:hAnsi="Times New Roman" w:cs="Arial"/>
      <w:b/>
      <w:bCs/>
      <w:sz w:val="20"/>
      <w:szCs w:val="20"/>
      <w:lang w:val="en-GB"/>
    </w:rPr>
  </w:style>
  <w:style w:type="table" w:customStyle="1" w:styleId="TableGrid1">
    <w:name w:val="Table Grid1"/>
    <w:basedOn w:val="TableNormal"/>
    <w:next w:val="TableGrid"/>
    <w:uiPriority w:val="39"/>
    <w:rsid w:val="00B20675"/>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F3680E"/>
    <w:pPr>
      <w:autoSpaceDE w:val="0"/>
      <w:autoSpaceDN w:val="0"/>
      <w:adjustRightInd w:val="0"/>
      <w:spacing w:after="0" w:line="240" w:lineRule="auto"/>
    </w:pPr>
    <w:rPr>
      <w:rFonts w:ascii="Times New Roman" w:hAnsi="Times New Roman" w:cs="Times New Roman"/>
      <w:color w:val="000000"/>
      <w:sz w:val="24"/>
      <w:szCs w:val="24"/>
      <w:lang w:val="en-ZA"/>
    </w:rPr>
  </w:style>
  <w:style w:type="paragraph" w:styleId="TOCHeading">
    <w:name w:val="TOC Heading"/>
    <w:basedOn w:val="Heading1"/>
    <w:next w:val="Normal"/>
    <w:uiPriority w:val="39"/>
    <w:unhideWhenUsed/>
    <w:rsid w:val="00E96EEB"/>
    <w:pPr>
      <w:spacing w:line="259" w:lineRule="auto"/>
      <w:jc w:val="left"/>
      <w:outlineLvl w:val="9"/>
    </w:pPr>
    <w:rPr>
      <w:rFonts w:asciiTheme="majorHAnsi" w:hAnsiTheme="majorHAnsi"/>
      <w:b w:val="0"/>
      <w:smallCaps w:val="0"/>
      <w:color w:val="2E74B5" w:themeColor="accent1" w:themeShade="BF"/>
      <w:sz w:val="32"/>
      <w:lang w:val="en-US"/>
    </w:rPr>
  </w:style>
  <w:style w:type="paragraph" w:styleId="TOC1">
    <w:name w:val="toc 1"/>
    <w:basedOn w:val="Normal"/>
    <w:next w:val="Normal"/>
    <w:autoRedefine/>
    <w:uiPriority w:val="39"/>
    <w:unhideWhenUsed/>
    <w:rsid w:val="00E96EEB"/>
    <w:pPr>
      <w:spacing w:after="100"/>
    </w:pPr>
  </w:style>
  <w:style w:type="paragraph" w:styleId="TOC2">
    <w:name w:val="toc 2"/>
    <w:basedOn w:val="Normal"/>
    <w:next w:val="Normal"/>
    <w:autoRedefine/>
    <w:uiPriority w:val="39"/>
    <w:unhideWhenUsed/>
    <w:rsid w:val="00E96EEB"/>
    <w:pPr>
      <w:spacing w:after="100"/>
      <w:ind w:left="240"/>
    </w:pPr>
  </w:style>
  <w:style w:type="paragraph" w:styleId="TOC3">
    <w:name w:val="toc 3"/>
    <w:basedOn w:val="Normal"/>
    <w:next w:val="Normal"/>
    <w:autoRedefine/>
    <w:uiPriority w:val="39"/>
    <w:unhideWhenUsed/>
    <w:rsid w:val="00E96EEB"/>
    <w:pPr>
      <w:spacing w:after="100"/>
      <w:ind w:left="480"/>
    </w:pPr>
  </w:style>
  <w:style w:type="paragraph" w:styleId="Caption">
    <w:name w:val="caption"/>
    <w:basedOn w:val="Normal"/>
    <w:next w:val="Normal"/>
    <w:uiPriority w:val="35"/>
    <w:unhideWhenUsed/>
    <w:qFormat/>
    <w:rsid w:val="004C32B0"/>
    <w:pPr>
      <w:spacing w:after="120"/>
    </w:pPr>
    <w:rPr>
      <w:iCs/>
      <w:szCs w:val="18"/>
    </w:rPr>
  </w:style>
  <w:style w:type="character" w:customStyle="1" w:styleId="titleauthoretc">
    <w:name w:val="titleauthoretc"/>
    <w:basedOn w:val="DefaultParagraphFont"/>
    <w:rsid w:val="00695111"/>
  </w:style>
  <w:style w:type="character" w:customStyle="1" w:styleId="sr-only">
    <w:name w:val="sr-only"/>
    <w:basedOn w:val="DefaultParagraphFont"/>
    <w:rsid w:val="00695111"/>
  </w:style>
  <w:style w:type="character" w:styleId="Strong">
    <w:name w:val="Strong"/>
    <w:basedOn w:val="DefaultParagraphFont"/>
    <w:uiPriority w:val="22"/>
    <w:rsid w:val="00695111"/>
    <w:rPr>
      <w:b/>
      <w:bCs/>
    </w:rPr>
  </w:style>
  <w:style w:type="character" w:customStyle="1" w:styleId="UnresolvedMention1">
    <w:name w:val="Unresolved Mention1"/>
    <w:basedOn w:val="DefaultParagraphFont"/>
    <w:uiPriority w:val="99"/>
    <w:semiHidden/>
    <w:unhideWhenUsed/>
    <w:rsid w:val="00695111"/>
    <w:rPr>
      <w:color w:val="605E5C"/>
      <w:shd w:val="clear" w:color="auto" w:fill="E1DFDD"/>
    </w:rPr>
  </w:style>
  <w:style w:type="paragraph" w:customStyle="1" w:styleId="c-bibliographic-informationcitation">
    <w:name w:val="c-bibliographic-information__citation"/>
    <w:basedOn w:val="Normal"/>
    <w:rsid w:val="00695111"/>
    <w:pPr>
      <w:spacing w:before="100" w:beforeAutospacing="1" w:after="100" w:afterAutospacing="1" w:line="240" w:lineRule="auto"/>
      <w:jc w:val="left"/>
    </w:pPr>
    <w:rPr>
      <w:rFonts w:eastAsia="Times New Roman" w:cs="Times New Roman"/>
      <w:szCs w:val="24"/>
      <w:lang w:val="en-ZA" w:eastAsia="en-ZA"/>
    </w:rPr>
  </w:style>
  <w:style w:type="character" w:customStyle="1" w:styleId="UnresolvedMention2">
    <w:name w:val="Unresolved Mention2"/>
    <w:basedOn w:val="DefaultParagraphFont"/>
    <w:uiPriority w:val="99"/>
    <w:semiHidden/>
    <w:unhideWhenUsed/>
    <w:rsid w:val="00695111"/>
    <w:rPr>
      <w:color w:val="605E5C"/>
      <w:shd w:val="clear" w:color="auto" w:fill="E1DFDD"/>
    </w:rPr>
  </w:style>
  <w:style w:type="paragraph" w:customStyle="1" w:styleId="body-paragraph">
    <w:name w:val="body-paragraph"/>
    <w:basedOn w:val="Normal"/>
    <w:rsid w:val="00695111"/>
    <w:pPr>
      <w:spacing w:before="100" w:beforeAutospacing="1" w:after="100" w:afterAutospacing="1" w:line="240" w:lineRule="auto"/>
      <w:jc w:val="left"/>
    </w:pPr>
    <w:rPr>
      <w:rFonts w:eastAsia="Times New Roman" w:cs="Times New Roman"/>
      <w:szCs w:val="24"/>
      <w:lang w:val="en-ZA" w:eastAsia="en-ZA"/>
    </w:rPr>
  </w:style>
  <w:style w:type="character" w:styleId="Emphasis">
    <w:name w:val="Emphasis"/>
    <w:basedOn w:val="DefaultParagraphFont"/>
    <w:uiPriority w:val="20"/>
    <w:rsid w:val="00695111"/>
    <w:rPr>
      <w:i/>
      <w:iCs/>
    </w:rPr>
  </w:style>
  <w:style w:type="paragraph" w:customStyle="1" w:styleId="Myfigures">
    <w:name w:val="My figures"/>
    <w:basedOn w:val="Caption"/>
    <w:next w:val="Caption"/>
    <w:qFormat/>
    <w:rsid w:val="001E04DC"/>
  </w:style>
  <w:style w:type="paragraph" w:customStyle="1" w:styleId="MyTables">
    <w:name w:val="My Tables"/>
    <w:basedOn w:val="Caption"/>
    <w:next w:val="Caption"/>
    <w:qFormat/>
    <w:rsid w:val="00D70F5B"/>
  </w:style>
  <w:style w:type="paragraph" w:styleId="TableofFigures">
    <w:name w:val="table of figures"/>
    <w:basedOn w:val="Normal"/>
    <w:next w:val="Normal"/>
    <w:uiPriority w:val="99"/>
    <w:unhideWhenUsed/>
    <w:rsid w:val="00D70F5B"/>
    <w:pPr>
      <w:spacing w:after="0"/>
      <w:ind w:left="480" w:hanging="480"/>
      <w:jc w:val="left"/>
    </w:pPr>
    <w:rPr>
      <w:rFonts w:cstheme="minorHAnsi"/>
      <w:szCs w:val="20"/>
    </w:rPr>
  </w:style>
  <w:style w:type="character" w:customStyle="1" w:styleId="mixed-citation">
    <w:name w:val="mixed-citation"/>
    <w:basedOn w:val="DefaultParagraphFont"/>
    <w:rsid w:val="00AA6FAA"/>
  </w:style>
  <w:style w:type="character" w:customStyle="1" w:styleId="collab">
    <w:name w:val="collab"/>
    <w:basedOn w:val="DefaultParagraphFont"/>
    <w:rsid w:val="00AA6FAA"/>
  </w:style>
  <w:style w:type="character" w:customStyle="1" w:styleId="year">
    <w:name w:val="year"/>
    <w:basedOn w:val="DefaultParagraphFont"/>
    <w:rsid w:val="00AA6FAA"/>
  </w:style>
  <w:style w:type="character" w:customStyle="1" w:styleId="comment">
    <w:name w:val="comment"/>
    <w:basedOn w:val="DefaultParagraphFont"/>
    <w:rsid w:val="00AA6FAA"/>
  </w:style>
  <w:style w:type="character" w:customStyle="1" w:styleId="UnresolvedMention3">
    <w:name w:val="Unresolved Mention3"/>
    <w:basedOn w:val="DefaultParagraphFont"/>
    <w:uiPriority w:val="99"/>
    <w:semiHidden/>
    <w:unhideWhenUsed/>
    <w:rsid w:val="00EB3D7D"/>
    <w:rPr>
      <w:color w:val="605E5C"/>
      <w:shd w:val="clear" w:color="auto" w:fill="E1DFDD"/>
    </w:rPr>
  </w:style>
  <w:style w:type="paragraph" w:styleId="TOC4">
    <w:name w:val="toc 4"/>
    <w:basedOn w:val="Normal"/>
    <w:next w:val="Normal"/>
    <w:autoRedefine/>
    <w:uiPriority w:val="39"/>
    <w:unhideWhenUsed/>
    <w:rsid w:val="00235B5D"/>
    <w:pPr>
      <w:spacing w:after="100"/>
      <w:ind w:left="720"/>
    </w:pPr>
  </w:style>
  <w:style w:type="paragraph" w:styleId="TOC5">
    <w:name w:val="toc 5"/>
    <w:basedOn w:val="Normal"/>
    <w:next w:val="Normal"/>
    <w:autoRedefine/>
    <w:uiPriority w:val="39"/>
    <w:unhideWhenUsed/>
    <w:rsid w:val="00D3448A"/>
    <w:pPr>
      <w:spacing w:after="100" w:line="259" w:lineRule="auto"/>
      <w:ind w:left="880"/>
      <w:jc w:val="left"/>
    </w:pPr>
    <w:rPr>
      <w:rFonts w:asciiTheme="minorHAnsi" w:eastAsiaTheme="minorEastAsia" w:hAnsiTheme="minorHAnsi" w:cstheme="minorBidi"/>
      <w:sz w:val="22"/>
      <w:lang w:val="en-ZA" w:eastAsia="en-ZA"/>
    </w:rPr>
  </w:style>
  <w:style w:type="paragraph" w:styleId="TOC6">
    <w:name w:val="toc 6"/>
    <w:basedOn w:val="Normal"/>
    <w:next w:val="Normal"/>
    <w:autoRedefine/>
    <w:uiPriority w:val="39"/>
    <w:unhideWhenUsed/>
    <w:rsid w:val="00D3448A"/>
    <w:pPr>
      <w:spacing w:after="100" w:line="259" w:lineRule="auto"/>
      <w:ind w:left="1100"/>
      <w:jc w:val="left"/>
    </w:pPr>
    <w:rPr>
      <w:rFonts w:asciiTheme="minorHAnsi" w:eastAsiaTheme="minorEastAsia" w:hAnsiTheme="minorHAnsi" w:cstheme="minorBidi"/>
      <w:sz w:val="22"/>
      <w:lang w:val="en-ZA" w:eastAsia="en-ZA"/>
    </w:rPr>
  </w:style>
  <w:style w:type="paragraph" w:styleId="TOC7">
    <w:name w:val="toc 7"/>
    <w:basedOn w:val="Normal"/>
    <w:next w:val="Normal"/>
    <w:autoRedefine/>
    <w:uiPriority w:val="39"/>
    <w:unhideWhenUsed/>
    <w:rsid w:val="00D3448A"/>
    <w:pPr>
      <w:spacing w:after="100" w:line="259" w:lineRule="auto"/>
      <w:ind w:left="1320"/>
      <w:jc w:val="left"/>
    </w:pPr>
    <w:rPr>
      <w:rFonts w:asciiTheme="minorHAnsi" w:eastAsiaTheme="minorEastAsia" w:hAnsiTheme="minorHAnsi" w:cstheme="minorBidi"/>
      <w:sz w:val="22"/>
      <w:lang w:val="en-ZA" w:eastAsia="en-ZA"/>
    </w:rPr>
  </w:style>
  <w:style w:type="paragraph" w:styleId="TOC8">
    <w:name w:val="toc 8"/>
    <w:basedOn w:val="Normal"/>
    <w:next w:val="Normal"/>
    <w:autoRedefine/>
    <w:uiPriority w:val="39"/>
    <w:unhideWhenUsed/>
    <w:rsid w:val="00D3448A"/>
    <w:pPr>
      <w:spacing w:after="100" w:line="259" w:lineRule="auto"/>
      <w:ind w:left="1540"/>
      <w:jc w:val="left"/>
    </w:pPr>
    <w:rPr>
      <w:rFonts w:asciiTheme="minorHAnsi" w:eastAsiaTheme="minorEastAsia" w:hAnsiTheme="minorHAnsi" w:cstheme="minorBidi"/>
      <w:sz w:val="22"/>
      <w:lang w:val="en-ZA" w:eastAsia="en-ZA"/>
    </w:rPr>
  </w:style>
  <w:style w:type="paragraph" w:styleId="TOC9">
    <w:name w:val="toc 9"/>
    <w:basedOn w:val="Normal"/>
    <w:next w:val="Normal"/>
    <w:autoRedefine/>
    <w:uiPriority w:val="39"/>
    <w:unhideWhenUsed/>
    <w:rsid w:val="00D3448A"/>
    <w:pPr>
      <w:spacing w:after="100" w:line="259" w:lineRule="auto"/>
      <w:ind w:left="1760"/>
      <w:jc w:val="left"/>
    </w:pPr>
    <w:rPr>
      <w:rFonts w:asciiTheme="minorHAnsi" w:eastAsiaTheme="minorEastAsia" w:hAnsiTheme="minorHAnsi" w:cstheme="minorBidi"/>
      <w:sz w:val="22"/>
      <w:lang w:val="en-ZA" w:eastAsia="en-ZA"/>
    </w:rPr>
  </w:style>
  <w:style w:type="paragraph" w:styleId="Revision">
    <w:name w:val="Revision"/>
    <w:hidden/>
    <w:uiPriority w:val="99"/>
    <w:semiHidden/>
    <w:rsid w:val="008D1E08"/>
    <w:pPr>
      <w:spacing w:after="0" w:line="240" w:lineRule="auto"/>
    </w:pPr>
    <w:rPr>
      <w:rFonts w:ascii="Times New Roman" w:hAnsi="Times New Roman" w:cs="Arial"/>
      <w:sz w:val="24"/>
      <w:lang w:val="en-GB"/>
    </w:rPr>
  </w:style>
  <w:style w:type="character" w:customStyle="1" w:styleId="UnresolvedMention">
    <w:name w:val="Unresolved Mention"/>
    <w:basedOn w:val="DefaultParagraphFont"/>
    <w:uiPriority w:val="99"/>
    <w:semiHidden/>
    <w:unhideWhenUsed/>
    <w:rsid w:val="00BF2155"/>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uiPriority="39"/>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latentStyles>
  <w:style w:type="paragraph" w:default="1" w:styleId="Normal">
    <w:name w:val="Normal"/>
    <w:qFormat/>
    <w:rsid w:val="000D3B56"/>
    <w:pPr>
      <w:spacing w:after="200" w:line="360" w:lineRule="auto"/>
      <w:jc w:val="both"/>
    </w:pPr>
    <w:rPr>
      <w:rFonts w:ascii="Times New Roman" w:hAnsi="Times New Roman" w:cs="Arial"/>
      <w:sz w:val="24"/>
      <w:lang w:val="en-GB"/>
    </w:rPr>
  </w:style>
  <w:style w:type="paragraph" w:styleId="Heading1">
    <w:name w:val="heading 1"/>
    <w:basedOn w:val="Normal"/>
    <w:next w:val="Normal"/>
    <w:link w:val="Heading1Char"/>
    <w:uiPriority w:val="9"/>
    <w:qFormat/>
    <w:rsid w:val="00CC6CB1"/>
    <w:pPr>
      <w:keepNext/>
      <w:keepLines/>
      <w:spacing w:before="240" w:after="0" w:line="480" w:lineRule="auto"/>
      <w:jc w:val="center"/>
      <w:outlineLvl w:val="0"/>
    </w:pPr>
    <w:rPr>
      <w:rFonts w:eastAsiaTheme="majorEastAsia" w:cstheme="majorBidi"/>
      <w:b/>
      <w:smallCaps/>
      <w:sz w:val="28"/>
      <w:szCs w:val="32"/>
    </w:rPr>
  </w:style>
  <w:style w:type="paragraph" w:styleId="Heading2">
    <w:name w:val="heading 2"/>
    <w:basedOn w:val="Normal"/>
    <w:next w:val="Normal"/>
    <w:link w:val="Heading2Char"/>
    <w:uiPriority w:val="9"/>
    <w:unhideWhenUsed/>
    <w:qFormat/>
    <w:rsid w:val="00A97AD3"/>
    <w:pPr>
      <w:keepNext/>
      <w:keepLines/>
      <w:spacing w:before="40" w:after="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AC0B57"/>
    <w:pPr>
      <w:keepNext/>
      <w:keepLines/>
      <w:spacing w:before="40" w:after="0"/>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AC0B57"/>
    <w:pPr>
      <w:keepNext/>
      <w:keepLines/>
      <w:spacing w:before="40" w:after="0"/>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6CB1"/>
    <w:rPr>
      <w:rFonts w:ascii="Times New Roman" w:eastAsiaTheme="majorEastAsia" w:hAnsi="Times New Roman" w:cstheme="majorBidi"/>
      <w:b/>
      <w:smallCaps/>
      <w:sz w:val="28"/>
      <w:szCs w:val="32"/>
      <w:lang w:val="en-GB"/>
    </w:rPr>
  </w:style>
  <w:style w:type="character" w:customStyle="1" w:styleId="Heading2Char">
    <w:name w:val="Heading 2 Char"/>
    <w:basedOn w:val="DefaultParagraphFont"/>
    <w:link w:val="Heading2"/>
    <w:uiPriority w:val="9"/>
    <w:rsid w:val="00A97AD3"/>
    <w:rPr>
      <w:rFonts w:ascii="Times New Roman" w:eastAsiaTheme="majorEastAsia" w:hAnsi="Times New Roman" w:cstheme="majorBidi"/>
      <w:b/>
      <w:sz w:val="24"/>
      <w:szCs w:val="26"/>
      <w:lang w:val="en-GB"/>
    </w:rPr>
  </w:style>
  <w:style w:type="character" w:customStyle="1" w:styleId="Heading3Char">
    <w:name w:val="Heading 3 Char"/>
    <w:basedOn w:val="DefaultParagraphFont"/>
    <w:link w:val="Heading3"/>
    <w:uiPriority w:val="9"/>
    <w:rsid w:val="00AC0B57"/>
    <w:rPr>
      <w:rFonts w:ascii="Times New Roman" w:eastAsiaTheme="majorEastAsia" w:hAnsi="Times New Roman" w:cstheme="majorBidi"/>
      <w:b/>
      <w:sz w:val="24"/>
      <w:szCs w:val="24"/>
      <w:lang w:val="en-GB"/>
    </w:rPr>
  </w:style>
  <w:style w:type="character" w:customStyle="1" w:styleId="Heading4Char">
    <w:name w:val="Heading 4 Char"/>
    <w:basedOn w:val="DefaultParagraphFont"/>
    <w:link w:val="Heading4"/>
    <w:uiPriority w:val="9"/>
    <w:rsid w:val="00AC0B57"/>
    <w:rPr>
      <w:rFonts w:ascii="Times New Roman" w:eastAsiaTheme="majorEastAsia" w:hAnsi="Times New Roman" w:cstheme="majorBidi"/>
      <w:b/>
      <w:iCs/>
      <w:sz w:val="24"/>
      <w:lang w:val="en-GB"/>
    </w:rPr>
  </w:style>
  <w:style w:type="paragraph" w:styleId="ListParagraph">
    <w:name w:val="List Paragraph"/>
    <w:basedOn w:val="Normal"/>
    <w:uiPriority w:val="34"/>
    <w:rsid w:val="00390039"/>
    <w:pPr>
      <w:ind w:left="720"/>
      <w:contextualSpacing/>
    </w:pPr>
  </w:style>
  <w:style w:type="character" w:styleId="Hyperlink">
    <w:name w:val="Hyperlink"/>
    <w:basedOn w:val="DefaultParagraphFont"/>
    <w:uiPriority w:val="99"/>
    <w:unhideWhenUsed/>
    <w:rsid w:val="00390039"/>
    <w:rPr>
      <w:color w:val="0563C1" w:themeColor="hyperlink"/>
      <w:u w:val="single"/>
    </w:rPr>
  </w:style>
  <w:style w:type="table" w:styleId="TableGrid">
    <w:name w:val="Table Grid"/>
    <w:basedOn w:val="TableNormal"/>
    <w:uiPriority w:val="39"/>
    <w:rsid w:val="0039003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NewParagraph">
    <w:name w:val="New Paragraph"/>
    <w:basedOn w:val="Normal"/>
    <w:link w:val="NewParagraphChar"/>
    <w:rsid w:val="00390039"/>
    <w:pPr>
      <w:spacing w:after="160"/>
    </w:pPr>
    <w:rPr>
      <w:rFonts w:cs="Times New Roman"/>
      <w:lang w:eastAsia="en-ZA"/>
    </w:rPr>
  </w:style>
  <w:style w:type="character" w:customStyle="1" w:styleId="NewParagraphChar">
    <w:name w:val="New Paragraph Char"/>
    <w:basedOn w:val="DefaultParagraphFont"/>
    <w:link w:val="NewParagraph"/>
    <w:rsid w:val="00390039"/>
    <w:rPr>
      <w:rFonts w:ascii="Times New Roman" w:hAnsi="Times New Roman" w:cs="Times New Roman"/>
      <w:sz w:val="24"/>
      <w:lang w:val="en-GB" w:eastAsia="en-ZA"/>
    </w:rPr>
  </w:style>
  <w:style w:type="paragraph" w:customStyle="1" w:styleId="References">
    <w:name w:val="References"/>
    <w:basedOn w:val="Normal"/>
    <w:link w:val="ReferencesChar"/>
    <w:rsid w:val="00390039"/>
    <w:pPr>
      <w:widowControl w:val="0"/>
      <w:autoSpaceDE w:val="0"/>
      <w:autoSpaceDN w:val="0"/>
      <w:adjustRightInd w:val="0"/>
      <w:spacing w:after="0"/>
      <w:ind w:left="426" w:hanging="426"/>
    </w:pPr>
    <w:rPr>
      <w:rFonts w:cstheme="minorBidi"/>
      <w:lang w:eastAsia="en-ZA"/>
    </w:rPr>
  </w:style>
  <w:style w:type="character" w:customStyle="1" w:styleId="ReferencesChar">
    <w:name w:val="References Char"/>
    <w:basedOn w:val="DefaultParagraphFont"/>
    <w:link w:val="References"/>
    <w:rsid w:val="00390039"/>
    <w:rPr>
      <w:rFonts w:ascii="Times New Roman" w:hAnsi="Times New Roman"/>
      <w:sz w:val="24"/>
      <w:lang w:val="en-GB" w:eastAsia="en-ZA"/>
    </w:rPr>
  </w:style>
  <w:style w:type="paragraph" w:styleId="NormalWeb">
    <w:name w:val="Normal (Web)"/>
    <w:basedOn w:val="Normal"/>
    <w:uiPriority w:val="99"/>
    <w:unhideWhenUsed/>
    <w:rsid w:val="00390039"/>
    <w:pPr>
      <w:spacing w:before="100" w:beforeAutospacing="1" w:after="100" w:afterAutospacing="1" w:line="240" w:lineRule="auto"/>
    </w:pPr>
    <w:rPr>
      <w:rFonts w:eastAsia="Times New Roman" w:cs="Times New Roman"/>
      <w:szCs w:val="24"/>
      <w:lang w:val="en-ZA" w:eastAsia="en-ZA"/>
    </w:rPr>
  </w:style>
  <w:style w:type="paragraph" w:customStyle="1" w:styleId="EndNoteBibliography">
    <w:name w:val="EndNote Bibliography"/>
    <w:basedOn w:val="Normal"/>
    <w:link w:val="EndNoteBibliographyChar"/>
    <w:rsid w:val="00390039"/>
    <w:pPr>
      <w:spacing w:line="240" w:lineRule="auto"/>
    </w:pPr>
    <w:rPr>
      <w:rFonts w:cs="Times New Roman"/>
      <w:noProof/>
      <w:lang w:val="en-US"/>
    </w:rPr>
  </w:style>
  <w:style w:type="character" w:customStyle="1" w:styleId="EndNoteBibliographyChar">
    <w:name w:val="EndNote Bibliography Char"/>
    <w:basedOn w:val="DefaultParagraphFont"/>
    <w:link w:val="EndNoteBibliography"/>
    <w:rsid w:val="00390039"/>
    <w:rPr>
      <w:rFonts w:ascii="Times New Roman" w:hAnsi="Times New Roman" w:cs="Times New Roman"/>
      <w:noProof/>
      <w:sz w:val="24"/>
    </w:rPr>
  </w:style>
  <w:style w:type="paragraph" w:styleId="Header">
    <w:name w:val="header"/>
    <w:basedOn w:val="Normal"/>
    <w:link w:val="HeaderChar"/>
    <w:uiPriority w:val="99"/>
    <w:unhideWhenUsed/>
    <w:rsid w:val="0039003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0039"/>
    <w:rPr>
      <w:rFonts w:ascii="Times New Roman" w:hAnsi="Times New Roman" w:cs="Arial"/>
      <w:sz w:val="24"/>
      <w:lang w:val="en-GB"/>
    </w:rPr>
  </w:style>
  <w:style w:type="paragraph" w:styleId="Footer">
    <w:name w:val="footer"/>
    <w:basedOn w:val="Normal"/>
    <w:link w:val="FooterChar"/>
    <w:uiPriority w:val="99"/>
    <w:unhideWhenUsed/>
    <w:rsid w:val="0039003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0039"/>
    <w:rPr>
      <w:rFonts w:ascii="Times New Roman" w:hAnsi="Times New Roman" w:cs="Arial"/>
      <w:sz w:val="24"/>
      <w:lang w:val="en-GB"/>
    </w:rPr>
  </w:style>
  <w:style w:type="paragraph" w:styleId="Subtitle">
    <w:name w:val="Subtitle"/>
    <w:aliases w:val="Footnotes"/>
    <w:basedOn w:val="Normal"/>
    <w:next w:val="Normal"/>
    <w:link w:val="SubtitleChar"/>
    <w:uiPriority w:val="11"/>
    <w:rsid w:val="00390039"/>
    <w:pPr>
      <w:keepNext/>
      <w:keepLines/>
      <w:spacing w:after="360"/>
      <w:contextualSpacing/>
    </w:pPr>
    <w:rPr>
      <w:rFonts w:cstheme="minorBidi"/>
      <w:sz w:val="22"/>
      <w:lang w:eastAsia="en-GB"/>
    </w:rPr>
  </w:style>
  <w:style w:type="character" w:customStyle="1" w:styleId="SubtitleChar">
    <w:name w:val="Subtitle Char"/>
    <w:aliases w:val="Footnotes Char"/>
    <w:basedOn w:val="DefaultParagraphFont"/>
    <w:link w:val="Subtitle"/>
    <w:uiPriority w:val="11"/>
    <w:rsid w:val="00390039"/>
    <w:rPr>
      <w:rFonts w:ascii="Times New Roman" w:hAnsi="Times New Roman"/>
      <w:lang w:val="en-GB" w:eastAsia="en-GB"/>
    </w:rPr>
  </w:style>
  <w:style w:type="character" w:styleId="LineNumber">
    <w:name w:val="line number"/>
    <w:basedOn w:val="DefaultParagraphFont"/>
    <w:uiPriority w:val="99"/>
    <w:semiHidden/>
    <w:unhideWhenUsed/>
    <w:rsid w:val="00692657"/>
  </w:style>
  <w:style w:type="paragraph" w:styleId="BalloonText">
    <w:name w:val="Balloon Text"/>
    <w:basedOn w:val="Normal"/>
    <w:link w:val="BalloonTextChar"/>
    <w:uiPriority w:val="99"/>
    <w:semiHidden/>
    <w:unhideWhenUsed/>
    <w:rsid w:val="00527D9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7D9A"/>
    <w:rPr>
      <w:rFonts w:ascii="Tahoma" w:hAnsi="Tahoma" w:cs="Tahoma"/>
      <w:sz w:val="16"/>
      <w:szCs w:val="16"/>
      <w:lang w:val="en-GB"/>
    </w:rPr>
  </w:style>
  <w:style w:type="character" w:styleId="CommentReference">
    <w:name w:val="annotation reference"/>
    <w:basedOn w:val="DefaultParagraphFont"/>
    <w:uiPriority w:val="99"/>
    <w:semiHidden/>
    <w:unhideWhenUsed/>
    <w:rsid w:val="00CA4D2C"/>
    <w:rPr>
      <w:sz w:val="16"/>
      <w:szCs w:val="16"/>
    </w:rPr>
  </w:style>
  <w:style w:type="paragraph" w:styleId="CommentText">
    <w:name w:val="annotation text"/>
    <w:basedOn w:val="Normal"/>
    <w:link w:val="CommentTextChar"/>
    <w:uiPriority w:val="99"/>
    <w:unhideWhenUsed/>
    <w:rsid w:val="00CA4D2C"/>
    <w:pPr>
      <w:spacing w:line="240" w:lineRule="auto"/>
    </w:pPr>
    <w:rPr>
      <w:sz w:val="20"/>
      <w:szCs w:val="20"/>
    </w:rPr>
  </w:style>
  <w:style w:type="character" w:customStyle="1" w:styleId="CommentTextChar">
    <w:name w:val="Comment Text Char"/>
    <w:basedOn w:val="DefaultParagraphFont"/>
    <w:link w:val="CommentText"/>
    <w:uiPriority w:val="99"/>
    <w:rsid w:val="00CA4D2C"/>
    <w:rPr>
      <w:rFonts w:ascii="Times New Roman" w:hAnsi="Times New Roman" w:cs="Arial"/>
      <w:sz w:val="20"/>
      <w:szCs w:val="20"/>
      <w:lang w:val="en-GB"/>
    </w:rPr>
  </w:style>
  <w:style w:type="paragraph" w:styleId="CommentSubject">
    <w:name w:val="annotation subject"/>
    <w:basedOn w:val="CommentText"/>
    <w:next w:val="CommentText"/>
    <w:link w:val="CommentSubjectChar"/>
    <w:uiPriority w:val="99"/>
    <w:semiHidden/>
    <w:unhideWhenUsed/>
    <w:rsid w:val="00CA4D2C"/>
    <w:rPr>
      <w:b/>
      <w:bCs/>
    </w:rPr>
  </w:style>
  <w:style w:type="character" w:customStyle="1" w:styleId="CommentSubjectChar">
    <w:name w:val="Comment Subject Char"/>
    <w:basedOn w:val="CommentTextChar"/>
    <w:link w:val="CommentSubject"/>
    <w:uiPriority w:val="99"/>
    <w:semiHidden/>
    <w:rsid w:val="00CA4D2C"/>
    <w:rPr>
      <w:rFonts w:ascii="Times New Roman" w:hAnsi="Times New Roman" w:cs="Arial"/>
      <w:b/>
      <w:bCs/>
      <w:sz w:val="20"/>
      <w:szCs w:val="20"/>
      <w:lang w:val="en-GB"/>
    </w:rPr>
  </w:style>
  <w:style w:type="table" w:customStyle="1" w:styleId="TableGrid1">
    <w:name w:val="Table Grid1"/>
    <w:basedOn w:val="TableNormal"/>
    <w:next w:val="TableGrid"/>
    <w:uiPriority w:val="39"/>
    <w:rsid w:val="00B20675"/>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F3680E"/>
    <w:pPr>
      <w:autoSpaceDE w:val="0"/>
      <w:autoSpaceDN w:val="0"/>
      <w:adjustRightInd w:val="0"/>
      <w:spacing w:after="0" w:line="240" w:lineRule="auto"/>
    </w:pPr>
    <w:rPr>
      <w:rFonts w:ascii="Times New Roman" w:hAnsi="Times New Roman" w:cs="Times New Roman"/>
      <w:color w:val="000000"/>
      <w:sz w:val="24"/>
      <w:szCs w:val="24"/>
      <w:lang w:val="en-ZA"/>
    </w:rPr>
  </w:style>
  <w:style w:type="paragraph" w:styleId="TOCHeading">
    <w:name w:val="TOC Heading"/>
    <w:basedOn w:val="Heading1"/>
    <w:next w:val="Normal"/>
    <w:uiPriority w:val="39"/>
    <w:unhideWhenUsed/>
    <w:rsid w:val="00E96EEB"/>
    <w:pPr>
      <w:spacing w:line="259" w:lineRule="auto"/>
      <w:jc w:val="left"/>
      <w:outlineLvl w:val="9"/>
    </w:pPr>
    <w:rPr>
      <w:rFonts w:asciiTheme="majorHAnsi" w:hAnsiTheme="majorHAnsi"/>
      <w:b w:val="0"/>
      <w:smallCaps w:val="0"/>
      <w:color w:val="2E74B5" w:themeColor="accent1" w:themeShade="BF"/>
      <w:sz w:val="32"/>
      <w:lang w:val="en-US"/>
    </w:rPr>
  </w:style>
  <w:style w:type="paragraph" w:styleId="TOC1">
    <w:name w:val="toc 1"/>
    <w:basedOn w:val="Normal"/>
    <w:next w:val="Normal"/>
    <w:autoRedefine/>
    <w:uiPriority w:val="39"/>
    <w:unhideWhenUsed/>
    <w:rsid w:val="00E96EEB"/>
    <w:pPr>
      <w:spacing w:after="100"/>
    </w:pPr>
  </w:style>
  <w:style w:type="paragraph" w:styleId="TOC2">
    <w:name w:val="toc 2"/>
    <w:basedOn w:val="Normal"/>
    <w:next w:val="Normal"/>
    <w:autoRedefine/>
    <w:uiPriority w:val="39"/>
    <w:unhideWhenUsed/>
    <w:rsid w:val="00E96EEB"/>
    <w:pPr>
      <w:spacing w:after="100"/>
      <w:ind w:left="240"/>
    </w:pPr>
  </w:style>
  <w:style w:type="paragraph" w:styleId="TOC3">
    <w:name w:val="toc 3"/>
    <w:basedOn w:val="Normal"/>
    <w:next w:val="Normal"/>
    <w:autoRedefine/>
    <w:uiPriority w:val="39"/>
    <w:unhideWhenUsed/>
    <w:rsid w:val="00E96EEB"/>
    <w:pPr>
      <w:spacing w:after="100"/>
      <w:ind w:left="480"/>
    </w:pPr>
  </w:style>
  <w:style w:type="paragraph" w:styleId="Caption">
    <w:name w:val="caption"/>
    <w:basedOn w:val="Normal"/>
    <w:next w:val="Normal"/>
    <w:uiPriority w:val="35"/>
    <w:unhideWhenUsed/>
    <w:qFormat/>
    <w:rsid w:val="004C32B0"/>
    <w:pPr>
      <w:spacing w:after="120"/>
    </w:pPr>
    <w:rPr>
      <w:iCs/>
      <w:szCs w:val="18"/>
    </w:rPr>
  </w:style>
  <w:style w:type="character" w:customStyle="1" w:styleId="titleauthoretc">
    <w:name w:val="titleauthoretc"/>
    <w:basedOn w:val="DefaultParagraphFont"/>
    <w:rsid w:val="00695111"/>
  </w:style>
  <w:style w:type="character" w:customStyle="1" w:styleId="sr-only">
    <w:name w:val="sr-only"/>
    <w:basedOn w:val="DefaultParagraphFont"/>
    <w:rsid w:val="00695111"/>
  </w:style>
  <w:style w:type="character" w:styleId="Strong">
    <w:name w:val="Strong"/>
    <w:basedOn w:val="DefaultParagraphFont"/>
    <w:uiPriority w:val="22"/>
    <w:rsid w:val="00695111"/>
    <w:rPr>
      <w:b/>
      <w:bCs/>
    </w:rPr>
  </w:style>
  <w:style w:type="character" w:customStyle="1" w:styleId="UnresolvedMention1">
    <w:name w:val="Unresolved Mention1"/>
    <w:basedOn w:val="DefaultParagraphFont"/>
    <w:uiPriority w:val="99"/>
    <w:semiHidden/>
    <w:unhideWhenUsed/>
    <w:rsid w:val="00695111"/>
    <w:rPr>
      <w:color w:val="605E5C"/>
      <w:shd w:val="clear" w:color="auto" w:fill="E1DFDD"/>
    </w:rPr>
  </w:style>
  <w:style w:type="paragraph" w:customStyle="1" w:styleId="c-bibliographic-informationcitation">
    <w:name w:val="c-bibliographic-information__citation"/>
    <w:basedOn w:val="Normal"/>
    <w:rsid w:val="00695111"/>
    <w:pPr>
      <w:spacing w:before="100" w:beforeAutospacing="1" w:after="100" w:afterAutospacing="1" w:line="240" w:lineRule="auto"/>
      <w:jc w:val="left"/>
    </w:pPr>
    <w:rPr>
      <w:rFonts w:eastAsia="Times New Roman" w:cs="Times New Roman"/>
      <w:szCs w:val="24"/>
      <w:lang w:val="en-ZA" w:eastAsia="en-ZA"/>
    </w:rPr>
  </w:style>
  <w:style w:type="character" w:customStyle="1" w:styleId="UnresolvedMention2">
    <w:name w:val="Unresolved Mention2"/>
    <w:basedOn w:val="DefaultParagraphFont"/>
    <w:uiPriority w:val="99"/>
    <w:semiHidden/>
    <w:unhideWhenUsed/>
    <w:rsid w:val="00695111"/>
    <w:rPr>
      <w:color w:val="605E5C"/>
      <w:shd w:val="clear" w:color="auto" w:fill="E1DFDD"/>
    </w:rPr>
  </w:style>
  <w:style w:type="paragraph" w:customStyle="1" w:styleId="body-paragraph">
    <w:name w:val="body-paragraph"/>
    <w:basedOn w:val="Normal"/>
    <w:rsid w:val="00695111"/>
    <w:pPr>
      <w:spacing w:before="100" w:beforeAutospacing="1" w:after="100" w:afterAutospacing="1" w:line="240" w:lineRule="auto"/>
      <w:jc w:val="left"/>
    </w:pPr>
    <w:rPr>
      <w:rFonts w:eastAsia="Times New Roman" w:cs="Times New Roman"/>
      <w:szCs w:val="24"/>
      <w:lang w:val="en-ZA" w:eastAsia="en-ZA"/>
    </w:rPr>
  </w:style>
  <w:style w:type="character" w:styleId="Emphasis">
    <w:name w:val="Emphasis"/>
    <w:basedOn w:val="DefaultParagraphFont"/>
    <w:uiPriority w:val="20"/>
    <w:rsid w:val="00695111"/>
    <w:rPr>
      <w:i/>
      <w:iCs/>
    </w:rPr>
  </w:style>
  <w:style w:type="paragraph" w:customStyle="1" w:styleId="Myfigures">
    <w:name w:val="My figures"/>
    <w:basedOn w:val="Caption"/>
    <w:next w:val="Caption"/>
    <w:qFormat/>
    <w:rsid w:val="001E04DC"/>
  </w:style>
  <w:style w:type="paragraph" w:customStyle="1" w:styleId="MyTables">
    <w:name w:val="My Tables"/>
    <w:basedOn w:val="Caption"/>
    <w:next w:val="Caption"/>
    <w:qFormat/>
    <w:rsid w:val="00D70F5B"/>
  </w:style>
  <w:style w:type="paragraph" w:styleId="TableofFigures">
    <w:name w:val="table of figures"/>
    <w:basedOn w:val="Normal"/>
    <w:next w:val="Normal"/>
    <w:uiPriority w:val="99"/>
    <w:unhideWhenUsed/>
    <w:rsid w:val="00D70F5B"/>
    <w:pPr>
      <w:spacing w:after="0"/>
      <w:ind w:left="480" w:hanging="480"/>
      <w:jc w:val="left"/>
    </w:pPr>
    <w:rPr>
      <w:rFonts w:cstheme="minorHAnsi"/>
      <w:szCs w:val="20"/>
    </w:rPr>
  </w:style>
  <w:style w:type="character" w:customStyle="1" w:styleId="mixed-citation">
    <w:name w:val="mixed-citation"/>
    <w:basedOn w:val="DefaultParagraphFont"/>
    <w:rsid w:val="00AA6FAA"/>
  </w:style>
  <w:style w:type="character" w:customStyle="1" w:styleId="collab">
    <w:name w:val="collab"/>
    <w:basedOn w:val="DefaultParagraphFont"/>
    <w:rsid w:val="00AA6FAA"/>
  </w:style>
  <w:style w:type="character" w:customStyle="1" w:styleId="year">
    <w:name w:val="year"/>
    <w:basedOn w:val="DefaultParagraphFont"/>
    <w:rsid w:val="00AA6FAA"/>
  </w:style>
  <w:style w:type="character" w:customStyle="1" w:styleId="comment">
    <w:name w:val="comment"/>
    <w:basedOn w:val="DefaultParagraphFont"/>
    <w:rsid w:val="00AA6FAA"/>
  </w:style>
  <w:style w:type="character" w:customStyle="1" w:styleId="UnresolvedMention3">
    <w:name w:val="Unresolved Mention3"/>
    <w:basedOn w:val="DefaultParagraphFont"/>
    <w:uiPriority w:val="99"/>
    <w:semiHidden/>
    <w:unhideWhenUsed/>
    <w:rsid w:val="00EB3D7D"/>
    <w:rPr>
      <w:color w:val="605E5C"/>
      <w:shd w:val="clear" w:color="auto" w:fill="E1DFDD"/>
    </w:rPr>
  </w:style>
  <w:style w:type="paragraph" w:styleId="TOC4">
    <w:name w:val="toc 4"/>
    <w:basedOn w:val="Normal"/>
    <w:next w:val="Normal"/>
    <w:autoRedefine/>
    <w:uiPriority w:val="39"/>
    <w:unhideWhenUsed/>
    <w:rsid w:val="00235B5D"/>
    <w:pPr>
      <w:spacing w:after="100"/>
      <w:ind w:left="720"/>
    </w:pPr>
  </w:style>
  <w:style w:type="paragraph" w:styleId="TOC5">
    <w:name w:val="toc 5"/>
    <w:basedOn w:val="Normal"/>
    <w:next w:val="Normal"/>
    <w:autoRedefine/>
    <w:uiPriority w:val="39"/>
    <w:unhideWhenUsed/>
    <w:rsid w:val="00D3448A"/>
    <w:pPr>
      <w:spacing w:after="100" w:line="259" w:lineRule="auto"/>
      <w:ind w:left="880"/>
      <w:jc w:val="left"/>
    </w:pPr>
    <w:rPr>
      <w:rFonts w:asciiTheme="minorHAnsi" w:eastAsiaTheme="minorEastAsia" w:hAnsiTheme="minorHAnsi" w:cstheme="minorBidi"/>
      <w:sz w:val="22"/>
      <w:lang w:val="en-ZA" w:eastAsia="en-ZA"/>
    </w:rPr>
  </w:style>
  <w:style w:type="paragraph" w:styleId="TOC6">
    <w:name w:val="toc 6"/>
    <w:basedOn w:val="Normal"/>
    <w:next w:val="Normal"/>
    <w:autoRedefine/>
    <w:uiPriority w:val="39"/>
    <w:unhideWhenUsed/>
    <w:rsid w:val="00D3448A"/>
    <w:pPr>
      <w:spacing w:after="100" w:line="259" w:lineRule="auto"/>
      <w:ind w:left="1100"/>
      <w:jc w:val="left"/>
    </w:pPr>
    <w:rPr>
      <w:rFonts w:asciiTheme="minorHAnsi" w:eastAsiaTheme="minorEastAsia" w:hAnsiTheme="minorHAnsi" w:cstheme="minorBidi"/>
      <w:sz w:val="22"/>
      <w:lang w:val="en-ZA" w:eastAsia="en-ZA"/>
    </w:rPr>
  </w:style>
  <w:style w:type="paragraph" w:styleId="TOC7">
    <w:name w:val="toc 7"/>
    <w:basedOn w:val="Normal"/>
    <w:next w:val="Normal"/>
    <w:autoRedefine/>
    <w:uiPriority w:val="39"/>
    <w:unhideWhenUsed/>
    <w:rsid w:val="00D3448A"/>
    <w:pPr>
      <w:spacing w:after="100" w:line="259" w:lineRule="auto"/>
      <w:ind w:left="1320"/>
      <w:jc w:val="left"/>
    </w:pPr>
    <w:rPr>
      <w:rFonts w:asciiTheme="minorHAnsi" w:eastAsiaTheme="minorEastAsia" w:hAnsiTheme="minorHAnsi" w:cstheme="minorBidi"/>
      <w:sz w:val="22"/>
      <w:lang w:val="en-ZA" w:eastAsia="en-ZA"/>
    </w:rPr>
  </w:style>
  <w:style w:type="paragraph" w:styleId="TOC8">
    <w:name w:val="toc 8"/>
    <w:basedOn w:val="Normal"/>
    <w:next w:val="Normal"/>
    <w:autoRedefine/>
    <w:uiPriority w:val="39"/>
    <w:unhideWhenUsed/>
    <w:rsid w:val="00D3448A"/>
    <w:pPr>
      <w:spacing w:after="100" w:line="259" w:lineRule="auto"/>
      <w:ind w:left="1540"/>
      <w:jc w:val="left"/>
    </w:pPr>
    <w:rPr>
      <w:rFonts w:asciiTheme="minorHAnsi" w:eastAsiaTheme="minorEastAsia" w:hAnsiTheme="minorHAnsi" w:cstheme="minorBidi"/>
      <w:sz w:val="22"/>
      <w:lang w:val="en-ZA" w:eastAsia="en-ZA"/>
    </w:rPr>
  </w:style>
  <w:style w:type="paragraph" w:styleId="TOC9">
    <w:name w:val="toc 9"/>
    <w:basedOn w:val="Normal"/>
    <w:next w:val="Normal"/>
    <w:autoRedefine/>
    <w:uiPriority w:val="39"/>
    <w:unhideWhenUsed/>
    <w:rsid w:val="00D3448A"/>
    <w:pPr>
      <w:spacing w:after="100" w:line="259" w:lineRule="auto"/>
      <w:ind w:left="1760"/>
      <w:jc w:val="left"/>
    </w:pPr>
    <w:rPr>
      <w:rFonts w:asciiTheme="minorHAnsi" w:eastAsiaTheme="minorEastAsia" w:hAnsiTheme="minorHAnsi" w:cstheme="minorBidi"/>
      <w:sz w:val="22"/>
      <w:lang w:val="en-ZA" w:eastAsia="en-ZA"/>
    </w:rPr>
  </w:style>
  <w:style w:type="paragraph" w:styleId="Revision">
    <w:name w:val="Revision"/>
    <w:hidden/>
    <w:uiPriority w:val="99"/>
    <w:semiHidden/>
    <w:rsid w:val="008D1E08"/>
    <w:pPr>
      <w:spacing w:after="0" w:line="240" w:lineRule="auto"/>
    </w:pPr>
    <w:rPr>
      <w:rFonts w:ascii="Times New Roman" w:hAnsi="Times New Roman" w:cs="Arial"/>
      <w:sz w:val="24"/>
      <w:lang w:val="en-GB"/>
    </w:rPr>
  </w:style>
  <w:style w:type="character" w:customStyle="1" w:styleId="UnresolvedMention">
    <w:name w:val="Unresolved Mention"/>
    <w:basedOn w:val="DefaultParagraphFont"/>
    <w:uiPriority w:val="99"/>
    <w:semiHidden/>
    <w:unhideWhenUsed/>
    <w:rsid w:val="00BF215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2739920">
      <w:bodyDiv w:val="1"/>
      <w:marLeft w:val="0"/>
      <w:marRight w:val="0"/>
      <w:marTop w:val="0"/>
      <w:marBottom w:val="0"/>
      <w:divBdr>
        <w:top w:val="none" w:sz="0" w:space="0" w:color="auto"/>
        <w:left w:val="none" w:sz="0" w:space="0" w:color="auto"/>
        <w:bottom w:val="none" w:sz="0" w:space="0" w:color="auto"/>
        <w:right w:val="none" w:sz="0" w:space="0" w:color="auto"/>
      </w:divBdr>
    </w:div>
    <w:div w:id="1404376013">
      <w:bodyDiv w:val="1"/>
      <w:marLeft w:val="0"/>
      <w:marRight w:val="0"/>
      <w:marTop w:val="0"/>
      <w:marBottom w:val="0"/>
      <w:divBdr>
        <w:top w:val="none" w:sz="0" w:space="0" w:color="auto"/>
        <w:left w:val="none" w:sz="0" w:space="0" w:color="auto"/>
        <w:bottom w:val="none" w:sz="0" w:space="0" w:color="auto"/>
        <w:right w:val="none" w:sz="0" w:space="0" w:color="auto"/>
      </w:divBdr>
    </w:div>
    <w:div w:id="2108960620">
      <w:bodyDiv w:val="1"/>
      <w:marLeft w:val="0"/>
      <w:marRight w:val="0"/>
      <w:marTop w:val="0"/>
      <w:marBottom w:val="0"/>
      <w:divBdr>
        <w:top w:val="none" w:sz="0" w:space="0" w:color="auto"/>
        <w:left w:val="none" w:sz="0" w:space="0" w:color="auto"/>
        <w:bottom w:val="none" w:sz="0" w:space="0" w:color="auto"/>
        <w:right w:val="none" w:sz="0" w:space="0" w:color="auto"/>
      </w:divBdr>
      <w:divsChild>
        <w:div w:id="20217394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emf"/><Relationship Id="rId18" Type="http://schemas.openxmlformats.org/officeDocument/2006/relationships/image" Target="media/image7.png"/><Relationship Id="rId26" Type="http://schemas.openxmlformats.org/officeDocument/2006/relationships/hyperlink" Target="https://www.amazon.co.uk/MQH-WholefoodsTM-Naturally-Organically-Pesticide/dp/B01MQWW7SG" TargetMode="External"/><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hyperlink" Target="http://www.who.int/vmnis/indicators/haemoglobin.pdf"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6.png"/><Relationship Id="rId25" Type="http://schemas.openxmlformats.org/officeDocument/2006/relationships/hyperlink" Target="https://www.irishtimes.com/life-and-style/food-and-drink/how-many-uses-can-you-find-for-a-bunch-of-carrots-1.3818058" TargetMode="External"/><Relationship Id="rId33" Type="http://schemas.openxmlformats.org/officeDocument/2006/relationships/hyperlink" Target="https://ndb.nal.usda.gov/ndb/"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s://agrocommtrade.com/all-you-need-to-know-about-white-maize/" TargetMode="External"/><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s://www.catalyticgenerators.com/ripening_tips/papayas/" TargetMode="External"/><Relationship Id="rId32" Type="http://schemas.openxmlformats.org/officeDocument/2006/relationships/hyperlink" Target="https://doi.org/10.1186/2193-1801-2-88" TargetMode="Externa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yperlink" Target="https://www.indiamart.com/proddetail/neelam-mango-fruit-20370345973.html" TargetMode="External"/><Relationship Id="rId28" Type="http://schemas.openxmlformats.org/officeDocument/2006/relationships/image" Target="media/image11.png"/><Relationship Id="rId36" Type="http://schemas.openxmlformats.org/officeDocument/2006/relationships/theme" Target="theme/theme1.xml"/><Relationship Id="rId10" Type="http://schemas.openxmlformats.org/officeDocument/2006/relationships/image" Target="media/image1.emf"/><Relationship Id="rId19" Type="http://schemas.openxmlformats.org/officeDocument/2006/relationships/image" Target="media/image8.png"/><Relationship Id="rId31" Type="http://schemas.openxmlformats.org/officeDocument/2006/relationships/hyperlink" Target="http://faostat.fao.org/site/5676/DesktopDefault.aspx"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hyperlink" Target="https://www.herbalgoodnessco.com/blogs/healthy-living/the-magic-of-moringa-leaves-benefits-and-uses" TargetMode="External"/><Relationship Id="rId27" Type="http://schemas.openxmlformats.org/officeDocument/2006/relationships/image" Target="media/image10.png"/><Relationship Id="rId30" Type="http://schemas.openxmlformats.org/officeDocument/2006/relationships/hyperlink" Target="https://doi.org/10.1002/14651858.CD009218.pub2"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4A85AB-EAFE-4B03-AA86-3DE19CA920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59291</Words>
  <Characters>337961</Characters>
  <Application>Microsoft Office Word</Application>
  <DocSecurity>0</DocSecurity>
  <Lines>2816</Lines>
  <Paragraphs>792</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396460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Prof. JRN Taylor</cp:lastModifiedBy>
  <cp:revision>2</cp:revision>
  <cp:lastPrinted>2021-02-26T13:51:00Z</cp:lastPrinted>
  <dcterms:created xsi:type="dcterms:W3CDTF">2021-02-26T17:08:00Z</dcterms:created>
  <dcterms:modified xsi:type="dcterms:W3CDTF">2021-02-26T17:08:00Z</dcterms:modified>
</cp:coreProperties>
</file>