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1763C5" w14:textId="77777777" w:rsidR="008937F2" w:rsidRPr="008B105F" w:rsidRDefault="00F42450" w:rsidP="008937F2">
      <w:pPr>
        <w:pStyle w:val="Heading2"/>
        <w:spacing w:before="0" w:line="48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Supplementary T</w:t>
      </w:r>
      <w:r w:rsidRPr="00263427">
        <w:rPr>
          <w:rFonts w:ascii="Times New Roman" w:hAnsi="Times New Roman" w:cs="Times New Roman"/>
          <w:b/>
          <w:bCs/>
        </w:rPr>
        <w:t xml:space="preserve">able </w:t>
      </w:r>
      <w:r>
        <w:rPr>
          <w:rFonts w:ascii="Times New Roman" w:hAnsi="Times New Roman" w:cs="Times New Roman"/>
          <w:b/>
          <w:bCs/>
        </w:rPr>
        <w:t>2</w:t>
      </w:r>
      <w:r w:rsidRPr="00263427">
        <w:rPr>
          <w:rFonts w:ascii="Times New Roman" w:hAnsi="Times New Roman" w:cs="Times New Roman"/>
        </w:rPr>
        <w:t xml:space="preserve">: </w:t>
      </w:r>
      <w:r w:rsidR="008937F2" w:rsidRPr="008B105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In-house multiplex PCR </w:t>
      </w:r>
      <w:r w:rsidR="008937F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assay </w:t>
      </w:r>
      <w:r w:rsidR="008937F2" w:rsidRPr="008B105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reagents and conditions </w:t>
      </w:r>
    </w:p>
    <w:p w14:paraId="594D5491" w14:textId="699FFBBA" w:rsidR="008937F2" w:rsidRDefault="008937F2" w:rsidP="008937F2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the</w:t>
      </w:r>
      <w:r w:rsidRPr="009075D5">
        <w:rPr>
          <w:rFonts w:ascii="Times New Roman" w:hAnsi="Times New Roman" w:cs="Times New Roman"/>
          <w:sz w:val="24"/>
          <w:szCs w:val="24"/>
        </w:rPr>
        <w:t xml:space="preserve"> PCR </w:t>
      </w:r>
      <w:r>
        <w:rPr>
          <w:rFonts w:ascii="Times New Roman" w:hAnsi="Times New Roman" w:cs="Times New Roman"/>
          <w:sz w:val="24"/>
          <w:szCs w:val="24"/>
        </w:rPr>
        <w:t>experiments in this study were conducted using</w:t>
      </w:r>
      <w:r w:rsidRPr="009075D5">
        <w:rPr>
          <w:rFonts w:ascii="Times New Roman" w:hAnsi="Times New Roman" w:cs="Times New Roman"/>
          <w:sz w:val="24"/>
          <w:szCs w:val="24"/>
        </w:rPr>
        <w:t xml:space="preserve"> the SuperScript</w:t>
      </w:r>
      <w:r w:rsidRPr="00CA6A78">
        <w:rPr>
          <w:rFonts w:ascii="Times New Roman" w:hAnsi="Times New Roman" w:cs="Times New Roman"/>
          <w:sz w:val="24"/>
          <w:szCs w:val="24"/>
          <w:vertAlign w:val="superscript"/>
        </w:rPr>
        <w:t>TM</w:t>
      </w:r>
      <w:r w:rsidRPr="009075D5">
        <w:rPr>
          <w:rFonts w:ascii="Times New Roman" w:hAnsi="Times New Roman" w:cs="Times New Roman"/>
          <w:sz w:val="24"/>
          <w:szCs w:val="24"/>
        </w:rPr>
        <w:t xml:space="preserve"> III One-Step RT-PCR System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75D5">
        <w:rPr>
          <w:rFonts w:ascii="Times New Roman" w:hAnsi="Times New Roman" w:cs="Times New Roman"/>
          <w:sz w:val="24"/>
          <w:szCs w:val="24"/>
        </w:rPr>
        <w:t xml:space="preserve">(Invitrogen, Carlsbad, California, USA). Each PCR reaction </w:t>
      </w:r>
      <w:r>
        <w:rPr>
          <w:rFonts w:ascii="Times New Roman" w:hAnsi="Times New Roman" w:cs="Times New Roman"/>
          <w:sz w:val="24"/>
          <w:szCs w:val="24"/>
        </w:rPr>
        <w:t xml:space="preserve">was </w:t>
      </w:r>
      <w:r w:rsidRPr="009075D5">
        <w:rPr>
          <w:rFonts w:ascii="Times New Roman" w:hAnsi="Times New Roman" w:cs="Times New Roman"/>
          <w:sz w:val="24"/>
          <w:szCs w:val="24"/>
        </w:rPr>
        <w:t xml:space="preserve">performed in a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9075D5">
        <w:rPr>
          <w:rFonts w:ascii="Times New Roman" w:hAnsi="Times New Roman" w:cs="Times New Roman"/>
          <w:sz w:val="24"/>
          <w:szCs w:val="24"/>
        </w:rPr>
        <w:t>µl reaction, which include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075D5">
        <w:rPr>
          <w:rFonts w:ascii="Times New Roman" w:hAnsi="Times New Roman" w:cs="Times New Roman"/>
          <w:sz w:val="24"/>
          <w:szCs w:val="24"/>
        </w:rPr>
        <w:t xml:space="preserve"> 5µl of extracted</w:t>
      </w:r>
      <w:r>
        <w:rPr>
          <w:rFonts w:ascii="Times New Roman" w:hAnsi="Times New Roman" w:cs="Times New Roman"/>
          <w:sz w:val="24"/>
          <w:szCs w:val="24"/>
        </w:rPr>
        <w:t xml:space="preserve"> NAs </w:t>
      </w:r>
      <w:r w:rsidRPr="009075D5">
        <w:rPr>
          <w:rFonts w:ascii="Times New Roman" w:hAnsi="Times New Roman" w:cs="Times New Roman"/>
          <w:sz w:val="24"/>
          <w:szCs w:val="24"/>
        </w:rPr>
        <w:t xml:space="preserve">, 2X reaction mix </w:t>
      </w:r>
      <w:r>
        <w:rPr>
          <w:rFonts w:ascii="Times New Roman" w:hAnsi="Times New Roman" w:cs="Times New Roman"/>
          <w:sz w:val="24"/>
          <w:szCs w:val="24"/>
        </w:rPr>
        <w:t xml:space="preserve">containing </w:t>
      </w:r>
      <w:r w:rsidRPr="009075D5">
        <w:rPr>
          <w:rFonts w:ascii="Times New Roman" w:hAnsi="Times New Roman" w:cs="Times New Roman"/>
          <w:sz w:val="24"/>
          <w:szCs w:val="24"/>
        </w:rPr>
        <w:t>2.4 mM magnesium sulphate (MgSO</w:t>
      </w:r>
      <w:r w:rsidRPr="003C64C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9075D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075D5">
        <w:rPr>
          <w:rFonts w:ascii="Times New Roman" w:hAnsi="Times New Roman" w:cs="Times New Roman"/>
          <w:sz w:val="24"/>
          <w:szCs w:val="24"/>
        </w:rPr>
        <w:t>0.4 mM of each deoxynucleotide triphosphate (dNTP)</w:t>
      </w:r>
      <w:r w:rsidRPr="00EC2BBD">
        <w:rPr>
          <w:rFonts w:ascii="Times New Roman" w:hAnsi="Times New Roman" w:cs="Times New Roman"/>
          <w:sz w:val="24"/>
          <w:szCs w:val="24"/>
        </w:rPr>
        <w:t xml:space="preserve"> </w:t>
      </w:r>
      <w:r w:rsidRPr="009075D5">
        <w:rPr>
          <w:rFonts w:ascii="Times New Roman" w:hAnsi="Times New Roman" w:cs="Times New Roman"/>
          <w:sz w:val="24"/>
          <w:szCs w:val="24"/>
        </w:rPr>
        <w:t>(Invitrogen, Carlsbad, California, USA), 10 mM sense primer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075D5">
        <w:rPr>
          <w:rFonts w:ascii="Times New Roman" w:hAnsi="Times New Roman" w:cs="Times New Roman"/>
          <w:sz w:val="24"/>
          <w:szCs w:val="24"/>
        </w:rPr>
        <w:t>, 10 mM anti-sense primer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075D5">
        <w:rPr>
          <w:rFonts w:ascii="Times New Roman" w:hAnsi="Times New Roman" w:cs="Times New Roman"/>
          <w:sz w:val="24"/>
          <w:szCs w:val="24"/>
        </w:rPr>
        <w:t>, 5 units (U) of enzyme mix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75D5">
        <w:rPr>
          <w:rFonts w:ascii="Times New Roman" w:hAnsi="Times New Roman" w:cs="Times New Roman"/>
          <w:sz w:val="24"/>
          <w:szCs w:val="24"/>
        </w:rPr>
        <w:t>(first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9075D5">
        <w:rPr>
          <w:rFonts w:ascii="Times New Roman" w:hAnsi="Times New Roman" w:cs="Times New Roman"/>
          <w:sz w:val="24"/>
          <w:szCs w:val="24"/>
        </w:rPr>
        <w:t xml:space="preserve">round)  </w:t>
      </w:r>
      <w:r>
        <w:rPr>
          <w:rFonts w:ascii="Times New Roman" w:hAnsi="Times New Roman" w:cs="Times New Roman"/>
          <w:sz w:val="24"/>
          <w:szCs w:val="24"/>
        </w:rPr>
        <w:t xml:space="preserve">or </w:t>
      </w:r>
      <w:r w:rsidRPr="009075D5">
        <w:rPr>
          <w:rFonts w:ascii="Times New Roman" w:hAnsi="Times New Roman" w:cs="Times New Roman"/>
          <w:sz w:val="24"/>
          <w:szCs w:val="24"/>
        </w:rPr>
        <w:t>1U of Platinum</w:t>
      </w:r>
      <w:r w:rsidRPr="00A64962">
        <w:rPr>
          <w:rFonts w:ascii="Times New Roman" w:hAnsi="Times New Roman" w:cs="Times New Roman"/>
          <w:sz w:val="24"/>
          <w:szCs w:val="24"/>
          <w:vertAlign w:val="superscript"/>
        </w:rPr>
        <w:t>TM</w:t>
      </w:r>
      <w:r w:rsidRPr="009075D5">
        <w:rPr>
          <w:rFonts w:ascii="Times New Roman" w:hAnsi="Times New Roman" w:cs="Times New Roman"/>
          <w:sz w:val="24"/>
          <w:szCs w:val="24"/>
        </w:rPr>
        <w:t xml:space="preserve"> SuperFi II DNA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9075D5">
        <w:rPr>
          <w:rFonts w:ascii="Times New Roman" w:hAnsi="Times New Roman" w:cs="Times New Roman"/>
          <w:sz w:val="24"/>
          <w:szCs w:val="24"/>
        </w:rPr>
        <w:t>olymerase (second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9075D5">
        <w:rPr>
          <w:rFonts w:ascii="Times New Roman" w:hAnsi="Times New Roman" w:cs="Times New Roman"/>
          <w:sz w:val="24"/>
          <w:szCs w:val="24"/>
        </w:rPr>
        <w:t>round)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75D5">
        <w:rPr>
          <w:rFonts w:ascii="Times New Roman" w:hAnsi="Times New Roman" w:cs="Times New Roman"/>
          <w:sz w:val="24"/>
          <w:szCs w:val="24"/>
        </w:rPr>
        <w:t xml:space="preserve">(Invitrogen, Carlsbad, California, USA) and nuclease-free water. </w:t>
      </w:r>
      <w:r>
        <w:rPr>
          <w:rFonts w:ascii="Times New Roman" w:hAnsi="Times New Roman" w:cs="Times New Roman"/>
          <w:sz w:val="24"/>
          <w:szCs w:val="24"/>
        </w:rPr>
        <w:t xml:space="preserve"> A 1</w:t>
      </w:r>
      <w:r w:rsidRPr="00423F87">
        <w:rPr>
          <w:rFonts w:ascii="Times New Roman" w:hAnsi="Times New Roman" w:cs="Times New Roman"/>
          <w:sz w:val="24"/>
          <w:szCs w:val="24"/>
        </w:rPr>
        <w:t xml:space="preserve"> </w:t>
      </w:r>
      <w:r w:rsidRPr="009075D5">
        <w:rPr>
          <w:rFonts w:ascii="Times New Roman" w:hAnsi="Times New Roman" w:cs="Times New Roman"/>
          <w:sz w:val="24"/>
          <w:szCs w:val="24"/>
        </w:rPr>
        <w:t>µl</w:t>
      </w:r>
      <w:r>
        <w:rPr>
          <w:rFonts w:ascii="Times New Roman" w:hAnsi="Times New Roman" w:cs="Times New Roman"/>
          <w:sz w:val="24"/>
          <w:szCs w:val="24"/>
        </w:rPr>
        <w:t xml:space="preserve"> volume from the first-round reaction </w:t>
      </w:r>
      <w:r w:rsidRPr="009075D5">
        <w:rPr>
          <w:rFonts w:ascii="Times New Roman" w:hAnsi="Times New Roman" w:cs="Times New Roman"/>
          <w:sz w:val="24"/>
          <w:szCs w:val="24"/>
        </w:rPr>
        <w:t>w</w:t>
      </w:r>
      <w:r>
        <w:rPr>
          <w:rFonts w:ascii="Times New Roman" w:hAnsi="Times New Roman" w:cs="Times New Roman"/>
          <w:sz w:val="24"/>
          <w:szCs w:val="24"/>
        </w:rPr>
        <w:t>as</w:t>
      </w:r>
      <w:r w:rsidRPr="009075D5">
        <w:rPr>
          <w:rFonts w:ascii="Times New Roman" w:hAnsi="Times New Roman" w:cs="Times New Roman"/>
          <w:sz w:val="24"/>
          <w:szCs w:val="24"/>
        </w:rPr>
        <w:t xml:space="preserve"> used 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75D5">
        <w:rPr>
          <w:rFonts w:ascii="Times New Roman" w:hAnsi="Times New Roman" w:cs="Times New Roman"/>
          <w:sz w:val="24"/>
          <w:szCs w:val="24"/>
        </w:rPr>
        <w:t xml:space="preserve">template for the second-round amplification. </w:t>
      </w:r>
      <w:r>
        <w:rPr>
          <w:rFonts w:ascii="Times New Roman" w:hAnsi="Times New Roman" w:cs="Times New Roman"/>
          <w:sz w:val="24"/>
          <w:szCs w:val="24"/>
        </w:rPr>
        <w:t>Nucleic acids</w:t>
      </w:r>
      <w:r>
        <w:rPr>
          <w:rFonts w:ascii="Times New Roman" w:hAnsi="Times New Roman" w:cs="Times New Roman"/>
          <w:sz w:val="24"/>
          <w:szCs w:val="24"/>
        </w:rPr>
        <w:t xml:space="preserve"> extracted from </w:t>
      </w:r>
      <w:r w:rsidRPr="009075D5">
        <w:rPr>
          <w:rFonts w:ascii="Times New Roman" w:hAnsi="Times New Roman" w:cs="Times New Roman"/>
          <w:sz w:val="24"/>
          <w:szCs w:val="24"/>
        </w:rPr>
        <w:t>HIV-1 negative</w:t>
      </w:r>
      <w:r>
        <w:rPr>
          <w:rFonts w:ascii="Times New Roman" w:hAnsi="Times New Roman" w:cs="Times New Roman"/>
          <w:sz w:val="24"/>
          <w:szCs w:val="24"/>
        </w:rPr>
        <w:t xml:space="preserve"> plasma samples</w:t>
      </w:r>
      <w:r w:rsidRPr="009075D5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ere</w:t>
      </w:r>
      <w:r w:rsidRPr="009075D5">
        <w:rPr>
          <w:rFonts w:ascii="Times New Roman" w:hAnsi="Times New Roman" w:cs="Times New Roman"/>
          <w:sz w:val="24"/>
          <w:szCs w:val="24"/>
        </w:rPr>
        <w:t xml:space="preserve"> included in each experiment</w:t>
      </w:r>
      <w:r>
        <w:rPr>
          <w:rFonts w:ascii="Times New Roman" w:hAnsi="Times New Roman" w:cs="Times New Roman"/>
          <w:sz w:val="24"/>
          <w:szCs w:val="24"/>
        </w:rPr>
        <w:t xml:space="preserve"> as controls</w:t>
      </w:r>
      <w:r w:rsidRPr="009075D5">
        <w:rPr>
          <w:rFonts w:ascii="Times New Roman" w:hAnsi="Times New Roman" w:cs="Times New Roman"/>
          <w:sz w:val="24"/>
          <w:szCs w:val="24"/>
        </w:rPr>
        <w:t xml:space="preserve"> to assess potential contamination. </w:t>
      </w:r>
      <w:r w:rsidRPr="00A739B8">
        <w:rPr>
          <w:rFonts w:ascii="Times New Roman" w:hAnsi="Times New Roman" w:cs="Times New Roman"/>
          <w:sz w:val="24"/>
          <w:szCs w:val="24"/>
        </w:rPr>
        <w:t>No positive control was included because the samples had known HIV-1 VL.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See </w:t>
      </w:r>
      <w:r w:rsidRPr="00C80426">
        <w:rPr>
          <w:rFonts w:ascii="Times New Roman" w:hAnsi="Times New Roman" w:cs="Times New Roman"/>
          <w:b/>
          <w:bCs/>
          <w:sz w:val="24"/>
          <w:szCs w:val="24"/>
        </w:rPr>
        <w:t>Tabl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e </w:t>
      </w:r>
      <w:r w:rsidRPr="008937F2">
        <w:rPr>
          <w:rFonts w:ascii="Times New Roman" w:hAnsi="Times New Roman" w:cs="Times New Roman"/>
          <w:sz w:val="24"/>
          <w:szCs w:val="24"/>
        </w:rPr>
        <w:t>below</w:t>
      </w:r>
      <w:r>
        <w:rPr>
          <w:rFonts w:ascii="Times New Roman" w:hAnsi="Times New Roman" w:cs="Times New Roman"/>
          <w:sz w:val="24"/>
          <w:szCs w:val="24"/>
        </w:rPr>
        <w:t xml:space="preserve"> for d</w:t>
      </w:r>
      <w:r>
        <w:rPr>
          <w:rFonts w:ascii="Times New Roman" w:hAnsi="Times New Roman" w:cs="Times New Roman"/>
          <w:sz w:val="24"/>
          <w:szCs w:val="24"/>
        </w:rPr>
        <w:t>etails of the thermocycling conditions for the first-round One-Step RT-PCR and second-round nested PCR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Samples that failed amplification with the multiplex approach were re-amplified in a separate second-round PCR reaction using amplicons from the first-round and fragment-specific PCR primers. Successful amplification of target fragments was evaluated by electrophoresis on a 1% agarose gel with a 1kb DNA ladder</w:t>
      </w:r>
      <w:r w:rsidRPr="00894EAE">
        <w:t xml:space="preserve"> </w:t>
      </w:r>
      <w:r w:rsidRPr="00894EAE">
        <w:rPr>
          <w:rFonts w:ascii="Times New Roman" w:hAnsi="Times New Roman" w:cs="Times New Roman"/>
          <w:sz w:val="24"/>
          <w:szCs w:val="24"/>
        </w:rPr>
        <w:t>(New England Biolabs, MA, USA)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918F8D" w14:textId="77777777" w:rsidR="008937F2" w:rsidRPr="00263427" w:rsidRDefault="008937F2" w:rsidP="008937F2">
      <w:pPr>
        <w:spacing w:after="0" w:line="480" w:lineRule="auto"/>
        <w:jc w:val="both"/>
        <w:rPr>
          <w:rFonts w:ascii="Times New Roman" w:hAnsi="Times New Roman" w:cs="Times New Roman"/>
        </w:rPr>
      </w:pPr>
    </w:p>
    <w:tbl>
      <w:tblPr>
        <w:tblStyle w:val="PlainTable2"/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A0" w:firstRow="1" w:lastRow="0" w:firstColumn="1" w:lastColumn="0" w:noHBand="1" w:noVBand="1"/>
      </w:tblPr>
      <w:tblGrid>
        <w:gridCol w:w="2247"/>
        <w:gridCol w:w="2247"/>
        <w:gridCol w:w="18"/>
        <w:gridCol w:w="2146"/>
        <w:gridCol w:w="2342"/>
      </w:tblGrid>
      <w:tr w:rsidR="00C47A0C" w:rsidRPr="00031C55" w14:paraId="2A35FF0E" w14:textId="77777777" w:rsidTr="00AF135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00" w:type="dxa"/>
            <w:gridSpan w:val="5"/>
          </w:tcPr>
          <w:p w14:paraId="3F0B2923" w14:textId="7B4847B4" w:rsidR="00C47A0C" w:rsidRPr="008937F2" w:rsidRDefault="008937F2" w:rsidP="00C47A0C">
            <w:pPr>
              <w:spacing w:line="360" w:lineRule="auto"/>
              <w:rPr>
                <w:rFonts w:ascii="Times New Roman" w:hAnsi="Times New Roman" w:cs="Times New Roman"/>
                <w:lang w:val="en-US" w:eastAsia="ja-JP"/>
              </w:rPr>
            </w:pPr>
            <w:r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 xml:space="preserve">                                                           </w:t>
            </w:r>
            <w:r w:rsidRPr="008937F2">
              <w:rPr>
                <w:rFonts w:ascii="Times New Roman" w:hAnsi="Times New Roman" w:cs="Times New Roman"/>
                <w:lang w:val="en-US" w:eastAsia="ja-JP"/>
              </w:rPr>
              <w:t>Thermocycling conditions</w:t>
            </w:r>
          </w:p>
        </w:tc>
      </w:tr>
      <w:tr w:rsidR="00C47A0C" w:rsidRPr="00031C55" w14:paraId="43A5DAF4" w14:textId="5DF68573" w:rsidTr="00AF1354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0F86DBAB" w14:textId="013F921D" w:rsidR="00C47A0C" w:rsidRPr="00246C7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 w:eastAsia="ja-JP"/>
              </w:rPr>
            </w:pPr>
            <w:r w:rsidRPr="00246C77">
              <w:rPr>
                <w:rFonts w:ascii="Times New Roman" w:hAnsi="Times New Roman" w:cs="Times New Roman"/>
                <w:lang w:val="en-US" w:eastAsia="ja-JP"/>
              </w:rPr>
              <w:t>Step</w:t>
            </w:r>
          </w:p>
        </w:tc>
        <w:tc>
          <w:tcPr>
            <w:tcW w:w="2265" w:type="dxa"/>
            <w:gridSpan w:val="2"/>
          </w:tcPr>
          <w:p w14:paraId="7A05633A" w14:textId="7ED52538" w:rsidR="00C47A0C" w:rsidRPr="00246C7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lang w:val="en-US" w:eastAsia="ja-JP"/>
              </w:rPr>
            </w:pPr>
            <w:r w:rsidRPr="00246C77">
              <w:rPr>
                <w:rFonts w:ascii="Times New Roman" w:hAnsi="Times New Roman" w:cs="Times New Roman"/>
                <w:b/>
                <w:bCs/>
                <w:lang w:val="en-US" w:eastAsia="ja-JP"/>
              </w:rPr>
              <w:t>Temperature</w:t>
            </w:r>
          </w:p>
        </w:tc>
        <w:tc>
          <w:tcPr>
            <w:tcW w:w="2146" w:type="dxa"/>
          </w:tcPr>
          <w:p w14:paraId="4F943700" w14:textId="5201C882" w:rsidR="00C47A0C" w:rsidRPr="00246C7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lang w:val="en-US" w:eastAsia="ja-JP"/>
              </w:rPr>
            </w:pPr>
            <w:r w:rsidRPr="00246C77">
              <w:rPr>
                <w:rFonts w:ascii="Times New Roman" w:hAnsi="Times New Roman" w:cs="Times New Roman"/>
                <w:b/>
                <w:bCs/>
                <w:lang w:val="en-US" w:eastAsia="ja-JP"/>
              </w:rPr>
              <w:t>Time</w:t>
            </w:r>
          </w:p>
        </w:tc>
        <w:tc>
          <w:tcPr>
            <w:tcW w:w="2342" w:type="dxa"/>
          </w:tcPr>
          <w:p w14:paraId="556A7C1F" w14:textId="29760FA6" w:rsidR="00C47A0C" w:rsidRPr="00246C7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lang w:val="en-US" w:eastAsia="ja-JP"/>
              </w:rPr>
            </w:pPr>
            <w:r w:rsidRPr="00246C77">
              <w:rPr>
                <w:rFonts w:ascii="Times New Roman" w:hAnsi="Times New Roman" w:cs="Times New Roman"/>
                <w:b/>
                <w:bCs/>
                <w:lang w:val="en-US" w:eastAsia="ja-JP"/>
              </w:rPr>
              <w:t>Cycle</w:t>
            </w:r>
          </w:p>
        </w:tc>
      </w:tr>
      <w:tr w:rsidR="00C47A0C" w:rsidRPr="00031C55" w14:paraId="3909BEF5" w14:textId="74E8374B" w:rsidTr="00AF1354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00" w:type="dxa"/>
            <w:gridSpan w:val="5"/>
          </w:tcPr>
          <w:p w14:paraId="0B9E3DC6" w14:textId="4EE22CAC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First round</w:t>
            </w:r>
          </w:p>
        </w:tc>
      </w:tr>
      <w:tr w:rsidR="00C47A0C" w:rsidRPr="00031C55" w14:paraId="3BD701D8" w14:textId="77777777" w:rsidTr="00AF1354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58438A0F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cDNA synthesis</w:t>
            </w:r>
          </w:p>
        </w:tc>
        <w:tc>
          <w:tcPr>
            <w:tcW w:w="2247" w:type="dxa"/>
          </w:tcPr>
          <w:p w14:paraId="3214434F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55</w:t>
            </w:r>
            <m:oMath>
              <m:r>
                <w:rPr>
                  <w:rFonts w:ascii="Cambria Math" w:hAnsi="Cambria Math" w:cs="Times New Roman"/>
                  <w:lang w:val="en-US" w:eastAsia="ja-JP"/>
                </w:rPr>
                <m:t>℃</m:t>
              </m:r>
            </m:oMath>
          </w:p>
        </w:tc>
        <w:tc>
          <w:tcPr>
            <w:tcW w:w="2164" w:type="dxa"/>
            <w:gridSpan w:val="2"/>
          </w:tcPr>
          <w:p w14:paraId="4E66F75A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30 minutes</w:t>
            </w:r>
          </w:p>
        </w:tc>
        <w:tc>
          <w:tcPr>
            <w:tcW w:w="2342" w:type="dxa"/>
            <w:vMerge w:val="restart"/>
          </w:tcPr>
          <w:p w14:paraId="5F2C26BD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1 cycle</w:t>
            </w:r>
          </w:p>
        </w:tc>
      </w:tr>
      <w:tr w:rsidR="00C47A0C" w:rsidRPr="00031C55" w14:paraId="1D7D7A57" w14:textId="77777777" w:rsidTr="00AF1354">
        <w:trPr>
          <w:trHeight w:val="3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426E8580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Pre-denaturation</w:t>
            </w:r>
          </w:p>
        </w:tc>
        <w:tc>
          <w:tcPr>
            <w:tcW w:w="2247" w:type="dxa"/>
          </w:tcPr>
          <w:p w14:paraId="250444A9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94</w:t>
            </w:r>
            <m:oMath>
              <m:r>
                <w:rPr>
                  <w:rFonts w:ascii="Cambria Math" w:hAnsi="Cambria Math" w:cs="Times New Roman"/>
                  <w:lang w:val="en-US" w:eastAsia="ja-JP"/>
                </w:rPr>
                <m:t>℃</m:t>
              </m:r>
            </m:oMath>
          </w:p>
        </w:tc>
        <w:tc>
          <w:tcPr>
            <w:tcW w:w="2164" w:type="dxa"/>
            <w:gridSpan w:val="2"/>
          </w:tcPr>
          <w:p w14:paraId="2FCAD3F9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2 minutes</w:t>
            </w:r>
          </w:p>
        </w:tc>
        <w:tc>
          <w:tcPr>
            <w:tcW w:w="2342" w:type="dxa"/>
            <w:vMerge/>
          </w:tcPr>
          <w:p w14:paraId="1332C35D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</w:p>
        </w:tc>
      </w:tr>
      <w:tr w:rsidR="00C47A0C" w:rsidRPr="00031C55" w14:paraId="11CC6FB9" w14:textId="77777777" w:rsidTr="00AF1354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71CB0DE1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Denaturation</w:t>
            </w:r>
          </w:p>
        </w:tc>
        <w:tc>
          <w:tcPr>
            <w:tcW w:w="2247" w:type="dxa"/>
          </w:tcPr>
          <w:p w14:paraId="15E06C5F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94</w:t>
            </w:r>
            <m:oMath>
              <m:r>
                <w:rPr>
                  <w:rFonts w:ascii="Cambria Math" w:hAnsi="Cambria Math" w:cs="Times New Roman"/>
                  <w:lang w:val="en-US" w:eastAsia="ja-JP"/>
                </w:rPr>
                <m:t>℃</m:t>
              </m:r>
            </m:oMath>
          </w:p>
        </w:tc>
        <w:tc>
          <w:tcPr>
            <w:tcW w:w="2164" w:type="dxa"/>
            <w:gridSpan w:val="2"/>
          </w:tcPr>
          <w:p w14:paraId="5DAA4743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15 seconds</w:t>
            </w:r>
          </w:p>
        </w:tc>
        <w:tc>
          <w:tcPr>
            <w:tcW w:w="2342" w:type="dxa"/>
            <w:vMerge w:val="restart"/>
          </w:tcPr>
          <w:p w14:paraId="687CAB81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35 cycles</w:t>
            </w:r>
          </w:p>
        </w:tc>
      </w:tr>
      <w:tr w:rsidR="00C47A0C" w:rsidRPr="00031C55" w14:paraId="38892610" w14:textId="77777777" w:rsidTr="00AF1354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6AE6C959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Annealing</w:t>
            </w:r>
          </w:p>
        </w:tc>
        <w:tc>
          <w:tcPr>
            <w:tcW w:w="2247" w:type="dxa"/>
          </w:tcPr>
          <w:p w14:paraId="32C73D90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50</w:t>
            </w:r>
            <m:oMath>
              <m:r>
                <w:rPr>
                  <w:rFonts w:ascii="Cambria Math" w:hAnsi="Cambria Math" w:cs="Times New Roman"/>
                  <w:lang w:val="en-US" w:eastAsia="ja-JP"/>
                </w:rPr>
                <m:t>℃</m:t>
              </m:r>
            </m:oMath>
          </w:p>
        </w:tc>
        <w:tc>
          <w:tcPr>
            <w:tcW w:w="2164" w:type="dxa"/>
            <w:gridSpan w:val="2"/>
          </w:tcPr>
          <w:p w14:paraId="20919C40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30 seconds</w:t>
            </w:r>
          </w:p>
        </w:tc>
        <w:tc>
          <w:tcPr>
            <w:tcW w:w="2342" w:type="dxa"/>
            <w:vMerge/>
          </w:tcPr>
          <w:p w14:paraId="0D23FC0D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</w:p>
        </w:tc>
      </w:tr>
      <w:tr w:rsidR="00C47A0C" w:rsidRPr="00031C55" w14:paraId="37E9C790" w14:textId="77777777" w:rsidTr="00AF1354">
        <w:trPr>
          <w:trHeight w:val="3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0085F527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Extension</w:t>
            </w:r>
          </w:p>
        </w:tc>
        <w:tc>
          <w:tcPr>
            <w:tcW w:w="2247" w:type="dxa"/>
          </w:tcPr>
          <w:p w14:paraId="2E1A9BA1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68</w:t>
            </w:r>
            <m:oMath>
              <m:r>
                <w:rPr>
                  <w:rFonts w:ascii="Cambria Math" w:hAnsi="Cambria Math" w:cs="Times New Roman"/>
                  <w:lang w:val="en-US" w:eastAsia="ja-JP"/>
                </w:rPr>
                <m:t>℃</m:t>
              </m:r>
            </m:oMath>
          </w:p>
        </w:tc>
        <w:tc>
          <w:tcPr>
            <w:tcW w:w="2164" w:type="dxa"/>
            <w:gridSpan w:val="2"/>
          </w:tcPr>
          <w:p w14:paraId="4DD14DC0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1 ½ minutes</w:t>
            </w:r>
          </w:p>
        </w:tc>
        <w:tc>
          <w:tcPr>
            <w:tcW w:w="2342" w:type="dxa"/>
            <w:vMerge/>
          </w:tcPr>
          <w:p w14:paraId="71A0910E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</w:p>
        </w:tc>
      </w:tr>
      <w:tr w:rsidR="00C47A0C" w:rsidRPr="00031C55" w14:paraId="2D7D50EC" w14:textId="77777777" w:rsidTr="00AF1354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1E99B45C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Final extension</w:t>
            </w:r>
          </w:p>
        </w:tc>
        <w:tc>
          <w:tcPr>
            <w:tcW w:w="2247" w:type="dxa"/>
          </w:tcPr>
          <w:p w14:paraId="09A8E71F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68</w:t>
            </w:r>
            <m:oMath>
              <m:r>
                <w:rPr>
                  <w:rFonts w:ascii="Cambria Math" w:hAnsi="Cambria Math" w:cs="Times New Roman"/>
                  <w:lang w:val="en-US" w:eastAsia="ja-JP"/>
                </w:rPr>
                <m:t>℃</m:t>
              </m:r>
            </m:oMath>
          </w:p>
        </w:tc>
        <w:tc>
          <w:tcPr>
            <w:tcW w:w="2164" w:type="dxa"/>
            <w:gridSpan w:val="2"/>
          </w:tcPr>
          <w:p w14:paraId="2FB73E7E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10 minutes</w:t>
            </w:r>
          </w:p>
        </w:tc>
        <w:tc>
          <w:tcPr>
            <w:tcW w:w="2342" w:type="dxa"/>
          </w:tcPr>
          <w:p w14:paraId="23E54463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1 cycle</w:t>
            </w:r>
          </w:p>
        </w:tc>
      </w:tr>
      <w:tr w:rsidR="00C47A0C" w:rsidRPr="00031C55" w14:paraId="0F58C32C" w14:textId="77777777" w:rsidTr="00AF1354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00" w:type="dxa"/>
            <w:gridSpan w:val="5"/>
          </w:tcPr>
          <w:p w14:paraId="3B964819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lastRenderedPageBreak/>
              <w:t>Second round</w:t>
            </w:r>
          </w:p>
        </w:tc>
      </w:tr>
      <w:tr w:rsidR="00C47A0C" w:rsidRPr="00031C55" w14:paraId="4897B6C2" w14:textId="77777777" w:rsidTr="00AF1354">
        <w:trPr>
          <w:trHeight w:val="3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5B442B86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Pre-denaturation</w:t>
            </w:r>
          </w:p>
        </w:tc>
        <w:tc>
          <w:tcPr>
            <w:tcW w:w="2247" w:type="dxa"/>
          </w:tcPr>
          <w:p w14:paraId="6146AAE4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94</w:t>
            </w:r>
            <m:oMath>
              <m:r>
                <w:rPr>
                  <w:rFonts w:ascii="Cambria Math" w:hAnsi="Cambria Math" w:cs="Times New Roman"/>
                  <w:lang w:val="en-US" w:eastAsia="ja-JP"/>
                </w:rPr>
                <m:t>℃</m:t>
              </m:r>
            </m:oMath>
          </w:p>
        </w:tc>
        <w:tc>
          <w:tcPr>
            <w:tcW w:w="2164" w:type="dxa"/>
            <w:gridSpan w:val="2"/>
          </w:tcPr>
          <w:p w14:paraId="6F16C64A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2 minutes</w:t>
            </w:r>
          </w:p>
        </w:tc>
        <w:tc>
          <w:tcPr>
            <w:tcW w:w="2342" w:type="dxa"/>
          </w:tcPr>
          <w:p w14:paraId="57C20070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1 cycle</w:t>
            </w:r>
          </w:p>
        </w:tc>
      </w:tr>
      <w:tr w:rsidR="00C47A0C" w:rsidRPr="00031C55" w14:paraId="75FE6A8F" w14:textId="77777777" w:rsidTr="00AF1354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7F4B03CB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Denaturation</w:t>
            </w:r>
          </w:p>
        </w:tc>
        <w:tc>
          <w:tcPr>
            <w:tcW w:w="2247" w:type="dxa"/>
          </w:tcPr>
          <w:p w14:paraId="7BDD8258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94</w:t>
            </w:r>
            <m:oMath>
              <m:r>
                <w:rPr>
                  <w:rFonts w:ascii="Cambria Math" w:hAnsi="Cambria Math" w:cs="Times New Roman"/>
                  <w:lang w:val="en-US" w:eastAsia="ja-JP"/>
                </w:rPr>
                <m:t>℃</m:t>
              </m:r>
            </m:oMath>
          </w:p>
        </w:tc>
        <w:tc>
          <w:tcPr>
            <w:tcW w:w="2164" w:type="dxa"/>
            <w:gridSpan w:val="2"/>
          </w:tcPr>
          <w:p w14:paraId="7BDE770E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15 seconds</w:t>
            </w:r>
          </w:p>
        </w:tc>
        <w:tc>
          <w:tcPr>
            <w:tcW w:w="2342" w:type="dxa"/>
            <w:vMerge w:val="restart"/>
          </w:tcPr>
          <w:p w14:paraId="208A557D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30 cycles</w:t>
            </w:r>
          </w:p>
        </w:tc>
      </w:tr>
      <w:tr w:rsidR="00C47A0C" w:rsidRPr="00031C55" w14:paraId="008E4942" w14:textId="77777777" w:rsidTr="00AF1354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3C4ADB19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Annealing</w:t>
            </w:r>
          </w:p>
        </w:tc>
        <w:tc>
          <w:tcPr>
            <w:tcW w:w="2247" w:type="dxa"/>
          </w:tcPr>
          <w:p w14:paraId="1EC41E55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50</w:t>
            </w:r>
            <m:oMath>
              <m:r>
                <w:rPr>
                  <w:rFonts w:ascii="Cambria Math" w:hAnsi="Cambria Math" w:cs="Times New Roman"/>
                  <w:lang w:val="en-US" w:eastAsia="ja-JP"/>
                </w:rPr>
                <m:t>℃</m:t>
              </m:r>
            </m:oMath>
          </w:p>
        </w:tc>
        <w:tc>
          <w:tcPr>
            <w:tcW w:w="2164" w:type="dxa"/>
            <w:gridSpan w:val="2"/>
          </w:tcPr>
          <w:p w14:paraId="64CC6AF5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30 seconds</w:t>
            </w:r>
          </w:p>
        </w:tc>
        <w:tc>
          <w:tcPr>
            <w:tcW w:w="2342" w:type="dxa"/>
            <w:vMerge/>
          </w:tcPr>
          <w:p w14:paraId="11302F2B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</w:p>
        </w:tc>
      </w:tr>
      <w:tr w:rsidR="00C47A0C" w:rsidRPr="00031C55" w14:paraId="660BCCE2" w14:textId="77777777" w:rsidTr="00AF1354">
        <w:trPr>
          <w:trHeight w:val="3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6D9D2B23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Extension</w:t>
            </w:r>
          </w:p>
        </w:tc>
        <w:tc>
          <w:tcPr>
            <w:tcW w:w="2247" w:type="dxa"/>
          </w:tcPr>
          <w:p w14:paraId="418CC677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68</w:t>
            </w:r>
            <m:oMath>
              <m:r>
                <w:rPr>
                  <w:rFonts w:ascii="Cambria Math" w:hAnsi="Cambria Math" w:cs="Times New Roman"/>
                  <w:lang w:val="en-US" w:eastAsia="ja-JP"/>
                </w:rPr>
                <m:t>℃</m:t>
              </m:r>
            </m:oMath>
          </w:p>
        </w:tc>
        <w:tc>
          <w:tcPr>
            <w:tcW w:w="2164" w:type="dxa"/>
            <w:gridSpan w:val="2"/>
          </w:tcPr>
          <w:p w14:paraId="50A6A60F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1 ½ minutes</w:t>
            </w:r>
          </w:p>
        </w:tc>
        <w:tc>
          <w:tcPr>
            <w:tcW w:w="2342" w:type="dxa"/>
            <w:vMerge/>
          </w:tcPr>
          <w:p w14:paraId="243D7DB2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</w:p>
        </w:tc>
      </w:tr>
      <w:tr w:rsidR="00C47A0C" w:rsidRPr="00031C55" w14:paraId="6AB5F66A" w14:textId="77777777" w:rsidTr="00AF1354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7" w:type="dxa"/>
          </w:tcPr>
          <w:p w14:paraId="6DBFF548" w14:textId="77777777" w:rsidR="00C47A0C" w:rsidRPr="00263427" w:rsidRDefault="00C47A0C" w:rsidP="00C47A0C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b w:val="0"/>
                <w:bCs w:val="0"/>
                <w:lang w:val="en-US" w:eastAsia="ja-JP"/>
              </w:rPr>
              <w:t>Final extension</w:t>
            </w:r>
          </w:p>
        </w:tc>
        <w:tc>
          <w:tcPr>
            <w:tcW w:w="2247" w:type="dxa"/>
          </w:tcPr>
          <w:p w14:paraId="7831BCAB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68</w:t>
            </w:r>
            <m:oMath>
              <m:r>
                <w:rPr>
                  <w:rFonts w:ascii="Cambria Math" w:hAnsi="Cambria Math" w:cs="Times New Roman"/>
                  <w:lang w:val="en-US" w:eastAsia="ja-JP"/>
                </w:rPr>
                <m:t>℃</m:t>
              </m:r>
            </m:oMath>
          </w:p>
        </w:tc>
        <w:tc>
          <w:tcPr>
            <w:tcW w:w="2164" w:type="dxa"/>
            <w:gridSpan w:val="2"/>
          </w:tcPr>
          <w:p w14:paraId="271FF385" w14:textId="77777777" w:rsidR="00C47A0C" w:rsidRPr="00263427" w:rsidRDefault="00C47A0C" w:rsidP="00C47A0C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10 minutes</w:t>
            </w:r>
          </w:p>
        </w:tc>
        <w:tc>
          <w:tcPr>
            <w:tcW w:w="2342" w:type="dxa"/>
          </w:tcPr>
          <w:p w14:paraId="0FCDF17D" w14:textId="77777777" w:rsidR="00C47A0C" w:rsidRPr="00263427" w:rsidRDefault="00C47A0C" w:rsidP="00C47A0C">
            <w:pPr>
              <w:keepNext/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 w:eastAsia="ja-JP"/>
              </w:rPr>
            </w:pPr>
            <w:r w:rsidRPr="00263427">
              <w:rPr>
                <w:rFonts w:ascii="Times New Roman" w:hAnsi="Times New Roman" w:cs="Times New Roman"/>
                <w:lang w:val="en-US" w:eastAsia="ja-JP"/>
              </w:rPr>
              <w:t>1 cycle</w:t>
            </w:r>
          </w:p>
        </w:tc>
      </w:tr>
    </w:tbl>
    <w:p w14:paraId="61BB2E93" w14:textId="5302CA02" w:rsidR="00F42450" w:rsidRPr="00526D3A" w:rsidRDefault="00F42450" w:rsidP="00F42450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</w:pPr>
      <w:r w:rsidRPr="0093681B">
        <w:rPr>
          <w:rFonts w:ascii="Times New Roman" w:hAnsi="Times New Roman" w:cs="Times New Roman"/>
          <w:color w:val="000000" w:themeColor="text1"/>
          <w:sz w:val="20"/>
          <w:szCs w:val="20"/>
        </w:rPr>
        <w:t>pol</w:t>
      </w:r>
      <w:r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 xml:space="preserve"> – HIV-1 polymerase gene; </w:t>
      </w:r>
      <w:r w:rsidRPr="00A604D9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>cDNA</w:t>
      </w:r>
      <w:r w:rsidRPr="00B83920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 xml:space="preserve"> – complementary deoxyribonucleic acid</w:t>
      </w:r>
      <w:r w:rsidR="00075FCA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>;</w:t>
      </w:r>
      <w:r w:rsidR="00075FCA" w:rsidRPr="00075FCA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  <w:vertAlign w:val="superscript"/>
        </w:rPr>
        <w:t>1</w:t>
      </w:r>
      <w:r w:rsidR="00075FCA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 xml:space="preserve"> </w:t>
      </w:r>
      <w:r w:rsidR="00526D3A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>–</w:t>
      </w:r>
      <w:r w:rsidR="00075FCA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 xml:space="preserve"> Manufact</w:t>
      </w:r>
      <w:r w:rsidR="00526D3A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 xml:space="preserve">ured by </w:t>
      </w:r>
      <w:r w:rsidR="00075FCA" w:rsidRPr="00075FCA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>Invitrogen, Carlsbad, California, USA</w:t>
      </w:r>
      <w:r w:rsidR="00526D3A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 xml:space="preserve">; </w:t>
      </w:r>
      <w:r w:rsidR="00526D3A" w:rsidRPr="00526D3A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  <w:vertAlign w:val="superscript"/>
        </w:rPr>
        <w:t>2</w:t>
      </w:r>
      <w:r w:rsidR="00526D3A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  <w:vertAlign w:val="superscript"/>
        </w:rPr>
        <w:t xml:space="preserve"> </w:t>
      </w:r>
      <w:r w:rsidR="00526D3A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 xml:space="preserve">- </w:t>
      </w:r>
      <w:r w:rsidR="006E255C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 xml:space="preserve">Manufactured by </w:t>
      </w:r>
      <w:r w:rsidR="004D3609" w:rsidRPr="004D3609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>Inqaba Biotechnical Industries, Pretoria, South Africa</w:t>
      </w:r>
      <w:r w:rsidR="004D3609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>.</w:t>
      </w:r>
    </w:p>
    <w:p w14:paraId="270179E3" w14:textId="4C26CD01" w:rsidR="00AD5AA8" w:rsidRPr="00A00FCD" w:rsidRDefault="00AD5AA8" w:rsidP="00A00FCD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AD5AA8" w:rsidRPr="00A00F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450"/>
    <w:rsid w:val="00075FCA"/>
    <w:rsid w:val="000A4243"/>
    <w:rsid w:val="001E7486"/>
    <w:rsid w:val="00246C77"/>
    <w:rsid w:val="002513B1"/>
    <w:rsid w:val="00275C1B"/>
    <w:rsid w:val="00390D79"/>
    <w:rsid w:val="003D7BC3"/>
    <w:rsid w:val="003F68D5"/>
    <w:rsid w:val="004D3609"/>
    <w:rsid w:val="00526D3A"/>
    <w:rsid w:val="005D194C"/>
    <w:rsid w:val="00616C69"/>
    <w:rsid w:val="006249CF"/>
    <w:rsid w:val="006E255C"/>
    <w:rsid w:val="007540E9"/>
    <w:rsid w:val="00850DB0"/>
    <w:rsid w:val="00890A5B"/>
    <w:rsid w:val="008937F2"/>
    <w:rsid w:val="00911205"/>
    <w:rsid w:val="00A00FCD"/>
    <w:rsid w:val="00A90EE8"/>
    <w:rsid w:val="00AD5AA8"/>
    <w:rsid w:val="00AF1354"/>
    <w:rsid w:val="00BA2C94"/>
    <w:rsid w:val="00C40FB1"/>
    <w:rsid w:val="00C47A0C"/>
    <w:rsid w:val="00C569B7"/>
    <w:rsid w:val="00CA318A"/>
    <w:rsid w:val="00D204DB"/>
    <w:rsid w:val="00DA7E92"/>
    <w:rsid w:val="00DD40AE"/>
    <w:rsid w:val="00E65956"/>
    <w:rsid w:val="00F17C1D"/>
    <w:rsid w:val="00F42450"/>
    <w:rsid w:val="00F74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878965"/>
  <w15:chartTrackingRefBased/>
  <w15:docId w15:val="{5A1FB036-9659-42CA-9F02-1A717063F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2450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4245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2">
    <w:name w:val="Plain Table 2"/>
    <w:basedOn w:val="TableNormal"/>
    <w:uiPriority w:val="42"/>
    <w:rsid w:val="00F42450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F4245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F42450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styleId="Hyperlink">
    <w:name w:val="Hyperlink"/>
    <w:basedOn w:val="DefaultParagraphFont"/>
    <w:uiPriority w:val="99"/>
    <w:unhideWhenUsed/>
    <w:rsid w:val="00F4245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</Pages>
  <Words>327</Words>
  <Characters>1866</Characters>
  <Application>Microsoft Office Word</Application>
  <DocSecurity>0</DocSecurity>
  <Lines>15</Lines>
  <Paragraphs>4</Paragraphs>
  <ScaleCrop>false</ScaleCrop>
  <Company/>
  <LinksUpToDate>false</LinksUpToDate>
  <CharactersWithSpaces>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TL Fortuin</dc:creator>
  <cp:keywords/>
  <dc:description/>
  <cp:lastModifiedBy>Prof. SH Mayaphi</cp:lastModifiedBy>
  <cp:revision>34</cp:revision>
  <dcterms:created xsi:type="dcterms:W3CDTF">2024-06-07T12:56:00Z</dcterms:created>
  <dcterms:modified xsi:type="dcterms:W3CDTF">2024-06-14T08:06:00Z</dcterms:modified>
</cp:coreProperties>
</file>