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AED2CC" w14:textId="0F14D176" w:rsidR="00665129" w:rsidRPr="005F2437" w:rsidRDefault="00665129" w:rsidP="00665129">
      <w:pPr>
        <w:spacing w:before="120"/>
        <w:rPr>
          <w:b/>
          <w:bCs/>
        </w:rPr>
      </w:pPr>
      <w:bookmarkStart w:id="0" w:name="_GoBack"/>
      <w:bookmarkEnd w:id="0"/>
      <w:r w:rsidRPr="005F2437">
        <w:rPr>
          <w:b/>
          <w:bCs/>
        </w:rPr>
        <w:t>Supplementary information</w:t>
      </w:r>
    </w:p>
    <w:p w14:paraId="50455EB1" w14:textId="73B88AB9" w:rsidR="00B24328" w:rsidRPr="005F2437" w:rsidRDefault="00B24328" w:rsidP="00E800A7">
      <w:pPr>
        <w:spacing w:before="240" w:after="240"/>
        <w:rPr>
          <w:sz w:val="32"/>
          <w:szCs w:val="32"/>
        </w:rPr>
      </w:pPr>
      <w:r w:rsidRPr="005F2437">
        <w:rPr>
          <w:sz w:val="32"/>
          <w:szCs w:val="32"/>
        </w:rPr>
        <w:t xml:space="preserve">The HGR motif is the antiangiogenic determinant of vasoinhibin: </w:t>
      </w:r>
      <w:r w:rsidR="007B7E76" w:rsidRPr="005F2437">
        <w:rPr>
          <w:sz w:val="32"/>
          <w:szCs w:val="32"/>
        </w:rPr>
        <w:t>I</w:t>
      </w:r>
      <w:r w:rsidRPr="005F2437">
        <w:rPr>
          <w:sz w:val="32"/>
          <w:szCs w:val="32"/>
        </w:rPr>
        <w:t xml:space="preserve">mplications for a therapeutic orally active oligopeptide </w:t>
      </w:r>
    </w:p>
    <w:p w14:paraId="3FA3BB75" w14:textId="27DB7C7B" w:rsidR="000B66DB" w:rsidRPr="005F2437" w:rsidRDefault="00B24328" w:rsidP="00E800A7">
      <w:pPr>
        <w:spacing w:before="240" w:after="240"/>
        <w:rPr>
          <w:sz w:val="20"/>
          <w:szCs w:val="20"/>
          <w:lang w:val="es-ES"/>
        </w:rPr>
      </w:pPr>
      <w:r w:rsidRPr="005F2437">
        <w:rPr>
          <w:sz w:val="20"/>
          <w:szCs w:val="20"/>
          <w:lang w:val="es-ES"/>
        </w:rPr>
        <w:t>Juan Pablo Robles, Magdalena Zamora, Lourdes Siqueiros-Marquez, Elva Adan-Castro, Gabriela Ramirez-Hernandez, Francisco Freinet Nuñez, Fernando Lopez-Casillas, Robert P. Millar, Thomas Bertsch, Gonzalo Martinez de la Escalera, Jakob Triebel &amp; Carmen Clapp*</w:t>
      </w:r>
    </w:p>
    <w:p w14:paraId="68B3EF5E" w14:textId="5F458D26" w:rsidR="00FB0359" w:rsidRPr="005F2437" w:rsidRDefault="00B24328" w:rsidP="00E800A7">
      <w:pPr>
        <w:spacing w:before="120"/>
        <w:rPr>
          <w:sz w:val="20"/>
          <w:szCs w:val="20"/>
        </w:rPr>
      </w:pPr>
      <w:r w:rsidRPr="005F2437">
        <w:rPr>
          <w:sz w:val="20"/>
          <w:szCs w:val="20"/>
        </w:rPr>
        <w:t xml:space="preserve">*Correspondence to Carmen Clapp, </w:t>
      </w:r>
      <w:r w:rsidRPr="005F2437">
        <w:rPr>
          <w:b/>
          <w:sz w:val="20"/>
          <w:szCs w:val="20"/>
        </w:rPr>
        <w:t xml:space="preserve">Email: </w:t>
      </w:r>
      <w:hyperlink r:id="rId8" w:history="1">
        <w:r w:rsidRPr="005F2437">
          <w:rPr>
            <w:rStyle w:val="Hyperlink"/>
            <w:color w:val="auto"/>
            <w:sz w:val="20"/>
            <w:szCs w:val="20"/>
          </w:rPr>
          <w:t>clapp@unam.mx</w:t>
        </w:r>
      </w:hyperlink>
      <w:r w:rsidRPr="005F2437">
        <w:rPr>
          <w:sz w:val="20"/>
          <w:szCs w:val="20"/>
        </w:rPr>
        <w:t xml:space="preserve"> </w:t>
      </w:r>
    </w:p>
    <w:p w14:paraId="6E64CBB6" w14:textId="77777777" w:rsidR="006E6CCE" w:rsidRPr="005F2437" w:rsidRDefault="006E6CCE" w:rsidP="006E6CCE">
      <w:pPr>
        <w:rPr>
          <w:b/>
          <w:sz w:val="20"/>
          <w:szCs w:val="20"/>
        </w:rPr>
      </w:pPr>
    </w:p>
    <w:p w14:paraId="2BE7F12A" w14:textId="77777777" w:rsidR="006E6CCE" w:rsidRPr="005F2437" w:rsidRDefault="006E6CCE" w:rsidP="006E6CCE">
      <w:pPr>
        <w:rPr>
          <w:b/>
          <w:sz w:val="20"/>
          <w:szCs w:val="20"/>
        </w:rPr>
      </w:pPr>
      <w:r w:rsidRPr="005F2437">
        <w:rPr>
          <w:b/>
          <w:sz w:val="20"/>
          <w:szCs w:val="20"/>
        </w:rPr>
        <w:t>This PDF file includes:</w:t>
      </w:r>
    </w:p>
    <w:p w14:paraId="03F01072" w14:textId="36371718" w:rsidR="006223B3" w:rsidRPr="005F2437" w:rsidRDefault="006223B3" w:rsidP="006223B3">
      <w:pPr>
        <w:ind w:left="720"/>
        <w:rPr>
          <w:sz w:val="20"/>
          <w:szCs w:val="20"/>
        </w:rPr>
      </w:pPr>
      <w:r w:rsidRPr="005F2437">
        <w:rPr>
          <w:sz w:val="20"/>
          <w:szCs w:val="20"/>
        </w:rPr>
        <w:t>Figures S1 to S</w:t>
      </w:r>
      <w:r w:rsidR="00CD7DC7" w:rsidRPr="005F2437">
        <w:rPr>
          <w:sz w:val="20"/>
          <w:szCs w:val="20"/>
        </w:rPr>
        <w:t>3</w:t>
      </w:r>
    </w:p>
    <w:p w14:paraId="2BB384D0" w14:textId="77777777" w:rsidR="006223B3" w:rsidRPr="005F2437" w:rsidRDefault="006223B3" w:rsidP="006223B3">
      <w:pPr>
        <w:ind w:left="720"/>
        <w:rPr>
          <w:sz w:val="20"/>
          <w:szCs w:val="20"/>
        </w:rPr>
      </w:pPr>
      <w:r w:rsidRPr="005F2437">
        <w:rPr>
          <w:sz w:val="20"/>
          <w:szCs w:val="20"/>
        </w:rPr>
        <w:t xml:space="preserve">Tables S1 to S2 </w:t>
      </w:r>
    </w:p>
    <w:p w14:paraId="20FAD729" w14:textId="77777777" w:rsidR="006223B3" w:rsidRPr="005F2437" w:rsidRDefault="006223B3" w:rsidP="006223B3">
      <w:pPr>
        <w:ind w:left="720"/>
        <w:rPr>
          <w:sz w:val="20"/>
          <w:szCs w:val="20"/>
        </w:rPr>
      </w:pPr>
      <w:r w:rsidRPr="005F2437">
        <w:rPr>
          <w:sz w:val="20"/>
          <w:szCs w:val="20"/>
        </w:rPr>
        <w:t>Supplementary Experimental Procedures</w:t>
      </w:r>
    </w:p>
    <w:p w14:paraId="521D1131" w14:textId="77777777" w:rsidR="006223B3" w:rsidRPr="005F2437" w:rsidRDefault="006223B3" w:rsidP="006223B3">
      <w:pPr>
        <w:ind w:left="720"/>
        <w:rPr>
          <w:sz w:val="20"/>
          <w:szCs w:val="20"/>
        </w:rPr>
      </w:pPr>
      <w:r w:rsidRPr="005F2437">
        <w:rPr>
          <w:sz w:val="20"/>
          <w:szCs w:val="20"/>
        </w:rPr>
        <w:t>SI References</w:t>
      </w:r>
    </w:p>
    <w:p w14:paraId="302CCE26" w14:textId="6188E9E3" w:rsidR="006E6CCE" w:rsidRPr="005F2437" w:rsidRDefault="006E6CCE">
      <w:pPr>
        <w:rPr>
          <w:b/>
          <w:bCs/>
          <w:sz w:val="20"/>
          <w:szCs w:val="20"/>
        </w:rPr>
      </w:pPr>
      <w:r w:rsidRPr="005F2437">
        <w:rPr>
          <w:b/>
          <w:bCs/>
          <w:sz w:val="20"/>
          <w:szCs w:val="20"/>
        </w:rPr>
        <w:br w:type="page"/>
      </w:r>
    </w:p>
    <w:p w14:paraId="1956AF72" w14:textId="508D124B" w:rsidR="00793F43" w:rsidRPr="005F2437" w:rsidRDefault="009F43BC" w:rsidP="00A74280">
      <w:pPr>
        <w:rPr>
          <w:b/>
          <w:bCs/>
        </w:rPr>
      </w:pPr>
      <w:r w:rsidRPr="005F2437">
        <w:rPr>
          <w:b/>
          <w:bCs/>
        </w:rPr>
        <w:lastRenderedPageBreak/>
        <w:t>Supplementary Figures</w:t>
      </w:r>
    </w:p>
    <w:p w14:paraId="4F039A6A" w14:textId="77777777" w:rsidR="008A6692" w:rsidRPr="005F2437" w:rsidRDefault="008A6692" w:rsidP="00A74280">
      <w:pPr>
        <w:rPr>
          <w:b/>
          <w:bCs/>
          <w:sz w:val="22"/>
          <w:szCs w:val="22"/>
        </w:rPr>
      </w:pPr>
    </w:p>
    <w:p w14:paraId="371E8D96" w14:textId="2C0243C0" w:rsidR="00522A78" w:rsidRPr="005F2437" w:rsidRDefault="00CD7DC7" w:rsidP="00A74280">
      <w:pPr>
        <w:rPr>
          <w:b/>
          <w:bCs/>
          <w:sz w:val="20"/>
          <w:szCs w:val="20"/>
        </w:rPr>
      </w:pPr>
      <w:r w:rsidRPr="005F2437">
        <w:rPr>
          <w:b/>
          <w:bCs/>
          <w:noProof/>
          <w:sz w:val="20"/>
          <w:szCs w:val="20"/>
          <w:lang w:val="en-ZA" w:eastAsia="en-ZA"/>
        </w:rPr>
        <w:drawing>
          <wp:inline distT="0" distB="0" distL="0" distR="0" wp14:anchorId="6DEDEA39" wp14:editId="0CCCFAFC">
            <wp:extent cx="5943600" cy="14306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5943600" cy="1430655"/>
                    </a:xfrm>
                    <a:prstGeom prst="rect">
                      <a:avLst/>
                    </a:prstGeom>
                  </pic:spPr>
                </pic:pic>
              </a:graphicData>
            </a:graphic>
          </wp:inline>
        </w:drawing>
      </w:r>
    </w:p>
    <w:p w14:paraId="1C752399" w14:textId="75E65D94" w:rsidR="00CD7DC7" w:rsidRPr="005F2437" w:rsidRDefault="006E6CCE" w:rsidP="00A74280">
      <w:pPr>
        <w:rPr>
          <w:sz w:val="20"/>
          <w:szCs w:val="20"/>
        </w:rPr>
      </w:pPr>
      <w:r w:rsidRPr="005F2437">
        <w:rPr>
          <w:b/>
          <w:bCs/>
          <w:sz w:val="20"/>
          <w:szCs w:val="20"/>
        </w:rPr>
        <w:t>Fig</w:t>
      </w:r>
      <w:r w:rsidR="009F43BC" w:rsidRPr="005F2437">
        <w:rPr>
          <w:b/>
          <w:bCs/>
          <w:sz w:val="20"/>
          <w:szCs w:val="20"/>
        </w:rPr>
        <w:t>.</w:t>
      </w:r>
      <w:r w:rsidRPr="005F2437">
        <w:rPr>
          <w:b/>
          <w:bCs/>
          <w:sz w:val="20"/>
          <w:szCs w:val="20"/>
        </w:rPr>
        <w:t xml:space="preserve"> S1 The heptapeptide comprising residues 45 to 51 of vasoinhibin (Vi45-51) inhibits </w:t>
      </w:r>
      <w:r w:rsidR="00CD7DC7" w:rsidRPr="005F2437">
        <w:rPr>
          <w:b/>
          <w:bCs/>
          <w:sz w:val="20"/>
          <w:szCs w:val="20"/>
        </w:rPr>
        <w:t xml:space="preserve">endothelial </w:t>
      </w:r>
      <w:r w:rsidRPr="005F2437">
        <w:rPr>
          <w:b/>
          <w:bCs/>
          <w:sz w:val="20"/>
          <w:szCs w:val="20"/>
        </w:rPr>
        <w:t>cell proliferation</w:t>
      </w:r>
      <w:r w:rsidR="00CD7DC7" w:rsidRPr="005F2437">
        <w:rPr>
          <w:b/>
          <w:bCs/>
          <w:sz w:val="20"/>
          <w:szCs w:val="20"/>
        </w:rPr>
        <w:t xml:space="preserve"> </w:t>
      </w:r>
      <w:r w:rsidR="00CE3265" w:rsidRPr="005F2437">
        <w:rPr>
          <w:b/>
          <w:bCs/>
          <w:sz w:val="20"/>
          <w:szCs w:val="20"/>
        </w:rPr>
        <w:t>with a potency similar to full-length</w:t>
      </w:r>
      <w:r w:rsidR="00CD7DC7" w:rsidRPr="005F2437">
        <w:rPr>
          <w:b/>
          <w:bCs/>
          <w:sz w:val="20"/>
          <w:szCs w:val="20"/>
        </w:rPr>
        <w:t xml:space="preserve"> vasoinhibin</w:t>
      </w:r>
      <w:r w:rsidRPr="005F2437">
        <w:rPr>
          <w:b/>
          <w:bCs/>
          <w:sz w:val="20"/>
          <w:szCs w:val="20"/>
        </w:rPr>
        <w:t>.</w:t>
      </w:r>
      <w:r w:rsidRPr="005F2437">
        <w:rPr>
          <w:sz w:val="20"/>
          <w:szCs w:val="20"/>
        </w:rPr>
        <w:t xml:space="preserve"> </w:t>
      </w:r>
      <w:r w:rsidR="00CD7DC7" w:rsidRPr="005F2437">
        <w:rPr>
          <w:b/>
          <w:bCs/>
          <w:sz w:val="20"/>
          <w:szCs w:val="20"/>
        </w:rPr>
        <w:t>a</w:t>
      </w:r>
      <w:r w:rsidR="00CD7DC7" w:rsidRPr="005F2437">
        <w:rPr>
          <w:sz w:val="20"/>
          <w:szCs w:val="20"/>
        </w:rPr>
        <w:t xml:space="preserve"> </w:t>
      </w:r>
      <w:r w:rsidRPr="005F2437">
        <w:rPr>
          <w:sz w:val="20"/>
          <w:szCs w:val="20"/>
        </w:rPr>
        <w:t xml:space="preserve">Diagram of the secondary structure of vasoinhibin showing </w:t>
      </w:r>
      <w:r w:rsidRPr="005F2437">
        <w:rPr>
          <w:rFonts w:ascii="Cambria Math" w:hAnsi="Cambria Math" w:cs="Cambria Math"/>
          <w:sz w:val="20"/>
          <w:szCs w:val="20"/>
        </w:rPr>
        <w:t>⍺</w:t>
      </w:r>
      <w:r w:rsidRPr="005F2437">
        <w:rPr>
          <w:sz w:val="20"/>
          <w:szCs w:val="20"/>
        </w:rPr>
        <w:t xml:space="preserve">-helixes 1 to 3 (H1-3) and residues 40 to 65 in loop 1 (L1). Oligopeptides synthesized within the 45 to 58 sequence are indicated. The HGR motif is highlighted. </w:t>
      </w:r>
      <w:r w:rsidR="00CD7DC7" w:rsidRPr="005F2437">
        <w:rPr>
          <w:b/>
          <w:bCs/>
          <w:sz w:val="20"/>
          <w:szCs w:val="20"/>
        </w:rPr>
        <w:t>b</w:t>
      </w:r>
      <w:r w:rsidRPr="005F2437">
        <w:rPr>
          <w:sz w:val="20"/>
          <w:szCs w:val="20"/>
        </w:rPr>
        <w:t xml:space="preserve"> Dose-dependent inhibition of VEGF-induced proliferation of the bovine umbilical vein endothelial E6E7 cell line (BUVEC-E6E7) by vasoinhibin of 123 residues (Vi) or the synthetic oligopeptides shown in (</w:t>
      </w:r>
      <w:r w:rsidR="00CD7DC7" w:rsidRPr="005F2437">
        <w:rPr>
          <w:sz w:val="20"/>
          <w:szCs w:val="20"/>
        </w:rPr>
        <w:t>a</w:t>
      </w:r>
      <w:r w:rsidRPr="005F2437">
        <w:rPr>
          <w:sz w:val="20"/>
          <w:szCs w:val="20"/>
        </w:rPr>
        <w:t>). Proliferation is relative to values corresponding to the lowest and highest doses of the Vi positive control. *</w:t>
      </w:r>
      <w:r w:rsidRPr="005F2437">
        <w:rPr>
          <w:i/>
          <w:iCs/>
          <w:sz w:val="20"/>
          <w:szCs w:val="20"/>
        </w:rPr>
        <w:t>P</w:t>
      </w:r>
      <w:r w:rsidRPr="005F2437">
        <w:rPr>
          <w:sz w:val="20"/>
          <w:szCs w:val="20"/>
        </w:rPr>
        <w:t>&lt;0.001 versus Vi (Two-way ANOVA, Dunnett). Dose-response curves fitted by least square regression analysis (r</w:t>
      </w:r>
      <w:r w:rsidRPr="005F2437">
        <w:rPr>
          <w:sz w:val="20"/>
          <w:szCs w:val="20"/>
          <w:vertAlign w:val="superscript"/>
        </w:rPr>
        <w:t>2</w:t>
      </w:r>
      <w:r w:rsidRPr="005F2437">
        <w:rPr>
          <w:sz w:val="20"/>
          <w:szCs w:val="20"/>
        </w:rPr>
        <w:t xml:space="preserve"> &lt; 0.7). </w:t>
      </w:r>
      <w:r w:rsidR="00CD7DC7" w:rsidRPr="005F2437">
        <w:rPr>
          <w:sz w:val="20"/>
          <w:szCs w:val="20"/>
          <w:lang w:val="es-ES"/>
        </w:rPr>
        <w:t>V</w:t>
      </w:r>
      <w:r w:rsidR="00CD7DC7" w:rsidRPr="005F2437">
        <w:rPr>
          <w:sz w:val="20"/>
          <w:szCs w:val="20"/>
        </w:rPr>
        <w:t>alues are means ± SD, n = 9</w:t>
      </w:r>
    </w:p>
    <w:p w14:paraId="0EB3C703" w14:textId="5847C62C" w:rsidR="00CD7DC7" w:rsidRPr="005F2437" w:rsidRDefault="00CD7DC7" w:rsidP="00A74280">
      <w:pPr>
        <w:rPr>
          <w:sz w:val="20"/>
          <w:szCs w:val="20"/>
        </w:rPr>
      </w:pPr>
    </w:p>
    <w:p w14:paraId="548A74E1" w14:textId="77777777" w:rsidR="008A6692" w:rsidRPr="005F2437" w:rsidRDefault="008A6692" w:rsidP="00A74280">
      <w:pPr>
        <w:rPr>
          <w:sz w:val="20"/>
          <w:szCs w:val="20"/>
        </w:rPr>
      </w:pPr>
    </w:p>
    <w:p w14:paraId="3564B331" w14:textId="033B4B8F" w:rsidR="00CD7DC7" w:rsidRPr="005F2437" w:rsidRDefault="00CD7DC7" w:rsidP="00A74280">
      <w:pPr>
        <w:rPr>
          <w:sz w:val="20"/>
          <w:szCs w:val="20"/>
        </w:rPr>
      </w:pPr>
      <w:r w:rsidRPr="005F2437">
        <w:rPr>
          <w:noProof/>
          <w:sz w:val="20"/>
          <w:szCs w:val="20"/>
          <w:lang w:val="en-ZA" w:eastAsia="en-ZA"/>
        </w:rPr>
        <w:drawing>
          <wp:inline distT="0" distB="0" distL="0" distR="0" wp14:anchorId="14CE5F61" wp14:editId="036217F5">
            <wp:extent cx="5943600" cy="15468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943600" cy="1546860"/>
                    </a:xfrm>
                    <a:prstGeom prst="rect">
                      <a:avLst/>
                    </a:prstGeom>
                  </pic:spPr>
                </pic:pic>
              </a:graphicData>
            </a:graphic>
          </wp:inline>
        </w:drawing>
      </w:r>
    </w:p>
    <w:p w14:paraId="3A98A6DD" w14:textId="6F2CA343" w:rsidR="00793F43" w:rsidRPr="005F2437" w:rsidRDefault="00793F43" w:rsidP="00522A78">
      <w:pPr>
        <w:rPr>
          <w:sz w:val="20"/>
          <w:szCs w:val="20"/>
        </w:rPr>
      </w:pPr>
      <w:r w:rsidRPr="005F2437">
        <w:rPr>
          <w:b/>
          <w:bCs/>
          <w:sz w:val="20"/>
          <w:szCs w:val="20"/>
        </w:rPr>
        <w:t>Fig. S2 Structural analysis and conservation of the interaction of R48 with E161 and E162 in PRL</w:t>
      </w:r>
      <w:r w:rsidRPr="005F2437">
        <w:rPr>
          <w:sz w:val="20"/>
          <w:szCs w:val="20"/>
        </w:rPr>
        <w:t xml:space="preserve">. </w:t>
      </w:r>
      <w:r w:rsidR="006E61D8" w:rsidRPr="005F2437">
        <w:rPr>
          <w:b/>
          <w:bCs/>
          <w:sz w:val="20"/>
          <w:szCs w:val="20"/>
        </w:rPr>
        <w:t>a</w:t>
      </w:r>
      <w:r w:rsidR="006E61D8" w:rsidRPr="005F2437">
        <w:rPr>
          <w:sz w:val="20"/>
          <w:szCs w:val="20"/>
        </w:rPr>
        <w:t xml:space="preserve"> </w:t>
      </w:r>
      <w:r w:rsidRPr="005F2437">
        <w:rPr>
          <w:sz w:val="20"/>
          <w:szCs w:val="20"/>
        </w:rPr>
        <w:t xml:space="preserve">Contacts between R48 (brown translucent surface) and E161 and E162 (blue translucent surface) revealed by </w:t>
      </w:r>
      <w:r w:rsidR="006E61D8" w:rsidRPr="005F2437">
        <w:rPr>
          <w:sz w:val="20"/>
          <w:szCs w:val="20"/>
        </w:rPr>
        <w:t xml:space="preserve">the </w:t>
      </w:r>
      <w:r w:rsidRPr="005F2437">
        <w:rPr>
          <w:sz w:val="20"/>
          <w:szCs w:val="20"/>
        </w:rPr>
        <w:t xml:space="preserve">overlap of 20 minimum-energy structures of PRL (PDB 1RW5). Loops (L1-3) and </w:t>
      </w:r>
      <w:r w:rsidRPr="005F2437">
        <w:rPr>
          <w:rFonts w:ascii="Cambria Math" w:hAnsi="Cambria Math" w:cs="Cambria Math"/>
          <w:sz w:val="20"/>
          <w:szCs w:val="20"/>
        </w:rPr>
        <w:t>⍺</w:t>
      </w:r>
      <w:r w:rsidRPr="005F2437">
        <w:rPr>
          <w:sz w:val="20"/>
          <w:szCs w:val="20"/>
        </w:rPr>
        <w:t xml:space="preserve">-helixes (H1-3) are indicated. </w:t>
      </w:r>
      <w:r w:rsidR="006E61D8" w:rsidRPr="005F2437">
        <w:rPr>
          <w:b/>
          <w:bCs/>
          <w:sz w:val="20"/>
          <w:szCs w:val="20"/>
        </w:rPr>
        <w:t>b</w:t>
      </w:r>
      <w:r w:rsidRPr="005F2437">
        <w:rPr>
          <w:sz w:val="20"/>
          <w:szCs w:val="20"/>
        </w:rPr>
        <w:t xml:space="preserve"> Correlation between the </w:t>
      </w:r>
      <w:r w:rsidR="006E61D8" w:rsidRPr="005F2437">
        <w:rPr>
          <w:sz w:val="20"/>
          <w:szCs w:val="20"/>
        </w:rPr>
        <w:t xml:space="preserve">distance of the </w:t>
      </w:r>
      <w:r w:rsidRPr="005F2437">
        <w:rPr>
          <w:sz w:val="20"/>
          <w:szCs w:val="20"/>
        </w:rPr>
        <w:t xml:space="preserve">center of mass </w:t>
      </w:r>
      <w:r w:rsidR="006E61D8" w:rsidRPr="005F2437">
        <w:rPr>
          <w:sz w:val="20"/>
          <w:szCs w:val="20"/>
        </w:rPr>
        <w:t xml:space="preserve">of </w:t>
      </w:r>
      <w:r w:rsidRPr="005F2437">
        <w:rPr>
          <w:sz w:val="20"/>
          <w:szCs w:val="20"/>
        </w:rPr>
        <w:t xml:space="preserve">R48 and E161 and R48 and E162 in </w:t>
      </w:r>
      <w:r w:rsidR="006E61D8" w:rsidRPr="005F2437">
        <w:rPr>
          <w:sz w:val="20"/>
          <w:szCs w:val="20"/>
        </w:rPr>
        <w:t xml:space="preserve">the </w:t>
      </w:r>
      <w:r w:rsidRPr="005F2437">
        <w:rPr>
          <w:sz w:val="20"/>
          <w:szCs w:val="20"/>
        </w:rPr>
        <w:t xml:space="preserve">20 minimum-energy structures of PRL. </w:t>
      </w:r>
      <w:r w:rsidR="006E61D8" w:rsidRPr="005F2437">
        <w:rPr>
          <w:b/>
          <w:bCs/>
          <w:sz w:val="20"/>
          <w:szCs w:val="20"/>
        </w:rPr>
        <w:t>c</w:t>
      </w:r>
      <w:r w:rsidRPr="005F2437">
        <w:rPr>
          <w:sz w:val="20"/>
          <w:szCs w:val="20"/>
        </w:rPr>
        <w:t xml:space="preserve"> Isocontour visualization of the electrostatic potential (contour level ±1 KTe</w:t>
      </w:r>
      <w:r w:rsidRPr="005F2437">
        <w:rPr>
          <w:sz w:val="20"/>
          <w:szCs w:val="20"/>
          <w:vertAlign w:val="superscript"/>
        </w:rPr>
        <w:t>-1</w:t>
      </w:r>
      <w:r w:rsidRPr="005F2437">
        <w:rPr>
          <w:sz w:val="20"/>
          <w:szCs w:val="20"/>
        </w:rPr>
        <w:t xml:space="preserve">) and electric field lines (brown) of PRL indicating the location of R48, E161, and 162. </w:t>
      </w:r>
      <w:r w:rsidR="006E61D8" w:rsidRPr="005F2437">
        <w:rPr>
          <w:b/>
          <w:bCs/>
          <w:sz w:val="20"/>
          <w:szCs w:val="20"/>
        </w:rPr>
        <w:t>d</w:t>
      </w:r>
      <w:r w:rsidRPr="005F2437">
        <w:rPr>
          <w:sz w:val="20"/>
          <w:szCs w:val="20"/>
        </w:rPr>
        <w:t xml:space="preserve"> Alignment of PRL sequences among the five vertebrate classes. Conserved E161 and E162 are in bold, and substitution of E162 by D in green</w:t>
      </w:r>
    </w:p>
    <w:p w14:paraId="31BA31DA" w14:textId="5EB2AEFB" w:rsidR="008A6692" w:rsidRPr="005F2437" w:rsidRDefault="008A6692" w:rsidP="00522A78">
      <w:pPr>
        <w:rPr>
          <w:sz w:val="20"/>
          <w:szCs w:val="20"/>
        </w:rPr>
      </w:pPr>
    </w:p>
    <w:p w14:paraId="07EFCBD2" w14:textId="77777777" w:rsidR="008A6692" w:rsidRPr="005F2437" w:rsidRDefault="008A6692" w:rsidP="00522A78">
      <w:pPr>
        <w:rPr>
          <w:sz w:val="20"/>
          <w:szCs w:val="20"/>
        </w:rPr>
      </w:pPr>
    </w:p>
    <w:p w14:paraId="5C294046" w14:textId="33A322E9" w:rsidR="00522A78" w:rsidRPr="005F2437" w:rsidRDefault="008A6692" w:rsidP="00522A78">
      <w:pPr>
        <w:jc w:val="center"/>
        <w:rPr>
          <w:b/>
          <w:bCs/>
          <w:sz w:val="20"/>
          <w:szCs w:val="20"/>
        </w:rPr>
      </w:pPr>
      <w:r w:rsidRPr="005F2437">
        <w:rPr>
          <w:b/>
          <w:bCs/>
          <w:noProof/>
          <w:sz w:val="20"/>
          <w:szCs w:val="20"/>
          <w:lang w:val="en-ZA" w:eastAsia="en-ZA"/>
        </w:rPr>
        <w:drawing>
          <wp:inline distT="0" distB="0" distL="0" distR="0" wp14:anchorId="147F102D" wp14:editId="06BDDD4C">
            <wp:extent cx="5943600" cy="13385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5943600" cy="1338580"/>
                    </a:xfrm>
                    <a:prstGeom prst="rect">
                      <a:avLst/>
                    </a:prstGeom>
                  </pic:spPr>
                </pic:pic>
              </a:graphicData>
            </a:graphic>
          </wp:inline>
        </w:drawing>
      </w:r>
    </w:p>
    <w:p w14:paraId="35DC2856" w14:textId="77777777" w:rsidR="00522A78" w:rsidRPr="005F2437" w:rsidRDefault="00522A78" w:rsidP="00522A78">
      <w:pPr>
        <w:jc w:val="center"/>
        <w:rPr>
          <w:b/>
          <w:bCs/>
          <w:sz w:val="20"/>
          <w:szCs w:val="20"/>
        </w:rPr>
      </w:pPr>
    </w:p>
    <w:p w14:paraId="03FD339D" w14:textId="02BFA3CA" w:rsidR="003378A5" w:rsidRPr="005F2437" w:rsidRDefault="00522A78">
      <w:pPr>
        <w:rPr>
          <w:sz w:val="20"/>
          <w:szCs w:val="20"/>
        </w:rPr>
      </w:pPr>
      <w:r w:rsidRPr="005F2437">
        <w:rPr>
          <w:b/>
          <w:bCs/>
          <w:sz w:val="20"/>
          <w:szCs w:val="20"/>
        </w:rPr>
        <w:t>Fig. S</w:t>
      </w:r>
      <w:r w:rsidR="008A6692" w:rsidRPr="005F2437">
        <w:rPr>
          <w:b/>
          <w:bCs/>
          <w:sz w:val="20"/>
          <w:szCs w:val="20"/>
        </w:rPr>
        <w:t>3</w:t>
      </w:r>
      <w:r w:rsidRPr="005F2437">
        <w:rPr>
          <w:b/>
          <w:bCs/>
          <w:sz w:val="20"/>
          <w:szCs w:val="20"/>
        </w:rPr>
        <w:t xml:space="preserve"> The cyclic retro-inverse vasoinhibin heptapeptide (CRIVi45-51) reduces proliferation of HUVEC but not of B16-F10 cells.</w:t>
      </w:r>
      <w:r w:rsidRPr="005F2437">
        <w:rPr>
          <w:sz w:val="20"/>
          <w:szCs w:val="20"/>
        </w:rPr>
        <w:t xml:space="preserve"> Effect of CRIVi45-51 on HUVEC or B16-F10 cell density (cells cm</w:t>
      </w:r>
      <w:r w:rsidRPr="005F2437">
        <w:rPr>
          <w:sz w:val="20"/>
          <w:szCs w:val="20"/>
          <w:vertAlign w:val="superscript"/>
        </w:rPr>
        <w:t>-2</w:t>
      </w:r>
      <w:r w:rsidRPr="005F2437">
        <w:rPr>
          <w:sz w:val="20"/>
          <w:szCs w:val="20"/>
        </w:rPr>
        <w:t>) over time. Values are means ± SD, n = 9, *</w:t>
      </w:r>
      <w:r w:rsidRPr="005F2437">
        <w:rPr>
          <w:i/>
          <w:iCs/>
          <w:sz w:val="20"/>
          <w:szCs w:val="20"/>
        </w:rPr>
        <w:t>P</w:t>
      </w:r>
      <w:r w:rsidRPr="005F2437">
        <w:rPr>
          <w:sz w:val="20"/>
          <w:szCs w:val="20"/>
        </w:rPr>
        <w:t>&lt;0.001 (Two-way ANOVA, Bonferroni)</w:t>
      </w:r>
    </w:p>
    <w:p w14:paraId="0CFB2FDD" w14:textId="77777777" w:rsidR="003378A5" w:rsidRPr="005F2437" w:rsidRDefault="003378A5">
      <w:pPr>
        <w:rPr>
          <w:sz w:val="20"/>
          <w:szCs w:val="20"/>
        </w:rPr>
      </w:pPr>
      <w:r w:rsidRPr="005F2437">
        <w:rPr>
          <w:sz w:val="20"/>
          <w:szCs w:val="20"/>
        </w:rPr>
        <w:br w:type="page"/>
      </w:r>
    </w:p>
    <w:p w14:paraId="700B9CB6" w14:textId="77777777" w:rsidR="009F43BC" w:rsidRPr="005F2437" w:rsidRDefault="009F43BC" w:rsidP="009F43BC">
      <w:pPr>
        <w:rPr>
          <w:b/>
          <w:bCs/>
        </w:rPr>
      </w:pPr>
      <w:r w:rsidRPr="005F2437">
        <w:rPr>
          <w:b/>
          <w:bCs/>
        </w:rPr>
        <w:lastRenderedPageBreak/>
        <w:t>Supplementary Tables</w:t>
      </w:r>
    </w:p>
    <w:p w14:paraId="23B1B79F" w14:textId="77777777" w:rsidR="00522A78" w:rsidRPr="005F2437" w:rsidRDefault="00522A78" w:rsidP="008A6692">
      <w:pPr>
        <w:pStyle w:val="SMcaption"/>
        <w:spacing w:before="120" w:line="276" w:lineRule="auto"/>
        <w:rPr>
          <w:sz w:val="20"/>
        </w:rPr>
      </w:pPr>
      <w:r w:rsidRPr="005F2437">
        <w:rPr>
          <w:b/>
          <w:sz w:val="20"/>
          <w:lang w:val="en-GB"/>
        </w:rPr>
        <w:t>Table S1.</w:t>
      </w:r>
      <w:r w:rsidRPr="005F2437">
        <w:rPr>
          <w:sz w:val="20"/>
          <w:lang w:val="en-GB"/>
        </w:rPr>
        <w:t xml:space="preserve"> Non-linear best fit values of antiangiogenic drugs.</w:t>
      </w:r>
    </w:p>
    <w:tbl>
      <w:tblPr>
        <w:tblStyle w:val="GridTable2-Accent3"/>
        <w:tblpPr w:leftFromText="180" w:rightFromText="180" w:vertAnchor="text" w:horzAnchor="margin" w:tblpY="8"/>
        <w:tblW w:w="9032"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1875"/>
        <w:gridCol w:w="1428"/>
        <w:gridCol w:w="2480"/>
        <w:gridCol w:w="1689"/>
        <w:gridCol w:w="1560"/>
      </w:tblGrid>
      <w:tr w:rsidR="005F2437" w:rsidRPr="005F2437" w14:paraId="0F1199DB" w14:textId="77777777" w:rsidTr="00522A78">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5" w:type="dxa"/>
            <w:tcBorders>
              <w:top w:val="single" w:sz="4" w:space="0" w:color="auto"/>
              <w:bottom w:val="single" w:sz="4" w:space="0" w:color="auto"/>
            </w:tcBorders>
            <w:shd w:val="clear" w:color="auto" w:fill="auto"/>
            <w:noWrap/>
            <w:hideMark/>
          </w:tcPr>
          <w:p w14:paraId="73DE2154"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Compound</w:t>
            </w:r>
          </w:p>
        </w:tc>
        <w:tc>
          <w:tcPr>
            <w:tcW w:w="1428" w:type="dxa"/>
            <w:tcBorders>
              <w:top w:val="single" w:sz="4" w:space="0" w:color="auto"/>
              <w:bottom w:val="single" w:sz="4" w:space="0" w:color="auto"/>
            </w:tcBorders>
            <w:shd w:val="clear" w:color="auto" w:fill="auto"/>
            <w:noWrap/>
          </w:tcPr>
          <w:p w14:paraId="2BB19A2A" w14:textId="77777777" w:rsidR="00522A78" w:rsidRPr="005F2437" w:rsidRDefault="00522A78" w:rsidP="008A6692">
            <w:pPr>
              <w:spacing w:after="100" w:afterAutospacing="1"/>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IC</w:t>
            </w:r>
            <w:r w:rsidRPr="005F2437">
              <w:rPr>
                <w:b w:val="0"/>
                <w:bCs w:val="0"/>
                <w:sz w:val="20"/>
                <w:szCs w:val="20"/>
                <w:vertAlign w:val="subscript"/>
                <w:lang w:val="en-GB"/>
              </w:rPr>
              <w:t>50</w:t>
            </w:r>
            <w:r w:rsidRPr="005F2437">
              <w:rPr>
                <w:b w:val="0"/>
                <w:bCs w:val="0"/>
                <w:sz w:val="20"/>
                <w:szCs w:val="20"/>
                <w:lang w:val="en-GB"/>
              </w:rPr>
              <w:t xml:space="preserve"> (pM)</w:t>
            </w:r>
          </w:p>
        </w:tc>
        <w:tc>
          <w:tcPr>
            <w:tcW w:w="2480" w:type="dxa"/>
            <w:tcBorders>
              <w:top w:val="single" w:sz="4" w:space="0" w:color="auto"/>
              <w:bottom w:val="single" w:sz="4" w:space="0" w:color="auto"/>
            </w:tcBorders>
            <w:shd w:val="clear" w:color="auto" w:fill="auto"/>
            <w:noWrap/>
          </w:tcPr>
          <w:p w14:paraId="57740078" w14:textId="77777777" w:rsidR="00522A78" w:rsidRPr="005F2437" w:rsidRDefault="00522A78" w:rsidP="008A6692">
            <w:pPr>
              <w:spacing w:after="100" w:afterAutospacing="1"/>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95% CI</w:t>
            </w:r>
          </w:p>
        </w:tc>
        <w:tc>
          <w:tcPr>
            <w:tcW w:w="1689" w:type="dxa"/>
            <w:tcBorders>
              <w:top w:val="single" w:sz="4" w:space="0" w:color="auto"/>
              <w:bottom w:val="single" w:sz="4" w:space="0" w:color="auto"/>
            </w:tcBorders>
            <w:shd w:val="clear" w:color="auto" w:fill="auto"/>
            <w:noWrap/>
          </w:tcPr>
          <w:p w14:paraId="1842D2D0" w14:textId="77777777" w:rsidR="00522A78" w:rsidRPr="005F2437" w:rsidRDefault="00522A78" w:rsidP="008A6692">
            <w:pPr>
              <w:spacing w:after="100" w:afterAutospacing="1"/>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Span (%)</w:t>
            </w:r>
          </w:p>
        </w:tc>
        <w:tc>
          <w:tcPr>
            <w:tcW w:w="1560" w:type="dxa"/>
            <w:tcBorders>
              <w:top w:val="single" w:sz="4" w:space="0" w:color="auto"/>
              <w:bottom w:val="single" w:sz="4" w:space="0" w:color="auto"/>
            </w:tcBorders>
            <w:shd w:val="clear" w:color="auto" w:fill="auto"/>
          </w:tcPr>
          <w:p w14:paraId="569E3985" w14:textId="77777777" w:rsidR="00522A78" w:rsidRPr="005F2437" w:rsidRDefault="00522A78" w:rsidP="008A6692">
            <w:pPr>
              <w:spacing w:after="100" w:afterAutospacing="1"/>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r</w:t>
            </w:r>
            <w:r w:rsidRPr="005F2437">
              <w:rPr>
                <w:b w:val="0"/>
                <w:bCs w:val="0"/>
                <w:sz w:val="20"/>
                <w:szCs w:val="20"/>
                <w:vertAlign w:val="superscript"/>
                <w:lang w:val="en-GB"/>
              </w:rPr>
              <w:t>2</w:t>
            </w:r>
          </w:p>
        </w:tc>
      </w:tr>
      <w:tr w:rsidR="005F2437" w:rsidRPr="005F2437" w14:paraId="640C3C4F" w14:textId="77777777" w:rsidTr="00522A7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5" w:type="dxa"/>
            <w:tcBorders>
              <w:top w:val="single" w:sz="4" w:space="0" w:color="auto"/>
            </w:tcBorders>
            <w:shd w:val="clear" w:color="auto" w:fill="auto"/>
            <w:noWrap/>
            <w:hideMark/>
          </w:tcPr>
          <w:p w14:paraId="314827AC"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Sunitinib</w:t>
            </w:r>
          </w:p>
        </w:tc>
        <w:tc>
          <w:tcPr>
            <w:tcW w:w="1428" w:type="dxa"/>
            <w:tcBorders>
              <w:top w:val="single" w:sz="4" w:space="0" w:color="auto"/>
            </w:tcBorders>
            <w:shd w:val="clear" w:color="auto" w:fill="auto"/>
            <w:noWrap/>
          </w:tcPr>
          <w:p w14:paraId="3826C568"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25.45</w:t>
            </w:r>
          </w:p>
        </w:tc>
        <w:tc>
          <w:tcPr>
            <w:tcW w:w="2480" w:type="dxa"/>
            <w:tcBorders>
              <w:top w:val="single" w:sz="4" w:space="0" w:color="auto"/>
            </w:tcBorders>
            <w:shd w:val="clear" w:color="auto" w:fill="auto"/>
            <w:noWrap/>
          </w:tcPr>
          <w:p w14:paraId="426FEB0B"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13.97 – 48.06</w:t>
            </w:r>
          </w:p>
        </w:tc>
        <w:tc>
          <w:tcPr>
            <w:tcW w:w="1689" w:type="dxa"/>
            <w:tcBorders>
              <w:top w:val="single" w:sz="4" w:space="0" w:color="auto"/>
            </w:tcBorders>
            <w:shd w:val="clear" w:color="auto" w:fill="auto"/>
            <w:noWrap/>
          </w:tcPr>
          <w:p w14:paraId="5A98CAAE"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93.64</w:t>
            </w:r>
          </w:p>
        </w:tc>
        <w:tc>
          <w:tcPr>
            <w:tcW w:w="1560" w:type="dxa"/>
            <w:tcBorders>
              <w:top w:val="single" w:sz="4" w:space="0" w:color="auto"/>
            </w:tcBorders>
            <w:shd w:val="clear" w:color="auto" w:fill="auto"/>
          </w:tcPr>
          <w:p w14:paraId="32A44C34"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0.8860</w:t>
            </w:r>
          </w:p>
        </w:tc>
      </w:tr>
      <w:tr w:rsidR="005F2437" w:rsidRPr="005F2437" w14:paraId="1B426B4A" w14:textId="77777777" w:rsidTr="00522A78">
        <w:trPr>
          <w:trHeight w:val="333"/>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noWrap/>
            <w:hideMark/>
          </w:tcPr>
          <w:p w14:paraId="44727F3C"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Sorafenib</w:t>
            </w:r>
          </w:p>
        </w:tc>
        <w:tc>
          <w:tcPr>
            <w:tcW w:w="1428" w:type="dxa"/>
            <w:shd w:val="clear" w:color="auto" w:fill="auto"/>
            <w:noWrap/>
          </w:tcPr>
          <w:p w14:paraId="77880725"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44.64</w:t>
            </w:r>
          </w:p>
        </w:tc>
        <w:tc>
          <w:tcPr>
            <w:tcW w:w="2480" w:type="dxa"/>
            <w:shd w:val="clear" w:color="auto" w:fill="auto"/>
            <w:noWrap/>
          </w:tcPr>
          <w:p w14:paraId="38871B4A"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28.90 – 68.42</w:t>
            </w:r>
          </w:p>
        </w:tc>
        <w:tc>
          <w:tcPr>
            <w:tcW w:w="1689" w:type="dxa"/>
            <w:shd w:val="clear" w:color="auto" w:fill="auto"/>
            <w:noWrap/>
          </w:tcPr>
          <w:p w14:paraId="322EC1AC"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106.00</w:t>
            </w:r>
          </w:p>
        </w:tc>
        <w:tc>
          <w:tcPr>
            <w:tcW w:w="1560" w:type="dxa"/>
            <w:shd w:val="clear" w:color="auto" w:fill="auto"/>
          </w:tcPr>
          <w:p w14:paraId="46C8AA84"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0.9022</w:t>
            </w:r>
          </w:p>
        </w:tc>
      </w:tr>
      <w:tr w:rsidR="005F2437" w:rsidRPr="005F2437" w14:paraId="76F5C683" w14:textId="77777777" w:rsidTr="00522A7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noWrap/>
            <w:hideMark/>
          </w:tcPr>
          <w:p w14:paraId="5E1AA77C"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CRIVi45-51</w:t>
            </w:r>
          </w:p>
        </w:tc>
        <w:tc>
          <w:tcPr>
            <w:tcW w:w="1428" w:type="dxa"/>
            <w:shd w:val="clear" w:color="auto" w:fill="auto"/>
            <w:noWrap/>
          </w:tcPr>
          <w:p w14:paraId="3F982354"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145.1</w:t>
            </w:r>
          </w:p>
        </w:tc>
        <w:tc>
          <w:tcPr>
            <w:tcW w:w="2480" w:type="dxa"/>
            <w:shd w:val="clear" w:color="auto" w:fill="auto"/>
            <w:noWrap/>
          </w:tcPr>
          <w:p w14:paraId="4A901AD7" w14:textId="12C3B472" w:rsidR="00522A78" w:rsidRPr="005F2437" w:rsidRDefault="00AC1D6F"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84.77 – 289.3</w:t>
            </w:r>
          </w:p>
        </w:tc>
        <w:tc>
          <w:tcPr>
            <w:tcW w:w="1689" w:type="dxa"/>
            <w:shd w:val="clear" w:color="auto" w:fill="auto"/>
            <w:noWrap/>
          </w:tcPr>
          <w:p w14:paraId="15629555"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86.86</w:t>
            </w:r>
          </w:p>
        </w:tc>
        <w:tc>
          <w:tcPr>
            <w:tcW w:w="1560" w:type="dxa"/>
            <w:shd w:val="clear" w:color="auto" w:fill="auto"/>
          </w:tcPr>
          <w:p w14:paraId="02078E96"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0.9174</w:t>
            </w:r>
          </w:p>
        </w:tc>
      </w:tr>
      <w:tr w:rsidR="005F2437" w:rsidRPr="005F2437" w14:paraId="3B294E5E" w14:textId="77777777" w:rsidTr="00522A78">
        <w:trPr>
          <w:trHeight w:val="333"/>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noWrap/>
            <w:hideMark/>
          </w:tcPr>
          <w:p w14:paraId="4DCD8E5F"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Pazopanib</w:t>
            </w:r>
          </w:p>
        </w:tc>
        <w:tc>
          <w:tcPr>
            <w:tcW w:w="1428" w:type="dxa"/>
            <w:shd w:val="clear" w:color="auto" w:fill="auto"/>
            <w:noWrap/>
          </w:tcPr>
          <w:p w14:paraId="61DBA9F4"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206.3</w:t>
            </w:r>
          </w:p>
        </w:tc>
        <w:tc>
          <w:tcPr>
            <w:tcW w:w="2480" w:type="dxa"/>
            <w:shd w:val="clear" w:color="auto" w:fill="auto"/>
            <w:noWrap/>
          </w:tcPr>
          <w:p w14:paraId="4313CE81"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123.4 – 367.2</w:t>
            </w:r>
          </w:p>
        </w:tc>
        <w:tc>
          <w:tcPr>
            <w:tcW w:w="1689" w:type="dxa"/>
            <w:shd w:val="clear" w:color="auto" w:fill="auto"/>
            <w:noWrap/>
          </w:tcPr>
          <w:p w14:paraId="69E61509"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83.73</w:t>
            </w:r>
          </w:p>
        </w:tc>
        <w:tc>
          <w:tcPr>
            <w:tcW w:w="1560" w:type="dxa"/>
            <w:shd w:val="clear" w:color="auto" w:fill="auto"/>
          </w:tcPr>
          <w:p w14:paraId="3AC1E2DF"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0.9156</w:t>
            </w:r>
          </w:p>
        </w:tc>
      </w:tr>
      <w:tr w:rsidR="005F2437" w:rsidRPr="005F2437" w14:paraId="495B498E" w14:textId="77777777" w:rsidTr="00522A7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noWrap/>
            <w:hideMark/>
          </w:tcPr>
          <w:p w14:paraId="3AB03F52"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Angiostatin</w:t>
            </w:r>
          </w:p>
        </w:tc>
        <w:tc>
          <w:tcPr>
            <w:tcW w:w="1428" w:type="dxa"/>
            <w:shd w:val="clear" w:color="auto" w:fill="auto"/>
            <w:noWrap/>
          </w:tcPr>
          <w:p w14:paraId="1679F818"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388.0</w:t>
            </w:r>
          </w:p>
        </w:tc>
        <w:tc>
          <w:tcPr>
            <w:tcW w:w="2480" w:type="dxa"/>
            <w:shd w:val="clear" w:color="auto" w:fill="auto"/>
            <w:noWrap/>
          </w:tcPr>
          <w:p w14:paraId="602F793F"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222.5 – 665.4</w:t>
            </w:r>
          </w:p>
        </w:tc>
        <w:tc>
          <w:tcPr>
            <w:tcW w:w="1689" w:type="dxa"/>
            <w:shd w:val="clear" w:color="auto" w:fill="auto"/>
            <w:noWrap/>
          </w:tcPr>
          <w:p w14:paraId="184B5F80"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68.47</w:t>
            </w:r>
          </w:p>
        </w:tc>
        <w:tc>
          <w:tcPr>
            <w:tcW w:w="1560" w:type="dxa"/>
            <w:shd w:val="clear" w:color="auto" w:fill="auto"/>
          </w:tcPr>
          <w:p w14:paraId="1E9B5D69"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0.9024</w:t>
            </w:r>
          </w:p>
        </w:tc>
      </w:tr>
      <w:tr w:rsidR="005F2437" w:rsidRPr="005F2437" w14:paraId="17363677" w14:textId="77777777" w:rsidTr="00522A78">
        <w:trPr>
          <w:trHeight w:val="333"/>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noWrap/>
          </w:tcPr>
          <w:p w14:paraId="4E21A035"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Cilengitide</w:t>
            </w:r>
          </w:p>
        </w:tc>
        <w:tc>
          <w:tcPr>
            <w:tcW w:w="1428" w:type="dxa"/>
            <w:shd w:val="clear" w:color="auto" w:fill="auto"/>
            <w:noWrap/>
          </w:tcPr>
          <w:p w14:paraId="7B0BE000"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1,097</w:t>
            </w:r>
          </w:p>
        </w:tc>
        <w:tc>
          <w:tcPr>
            <w:tcW w:w="2480" w:type="dxa"/>
            <w:shd w:val="clear" w:color="auto" w:fill="auto"/>
            <w:noWrap/>
          </w:tcPr>
          <w:p w14:paraId="119D5C89"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655.1 – 1,805</w:t>
            </w:r>
          </w:p>
        </w:tc>
        <w:tc>
          <w:tcPr>
            <w:tcW w:w="1689" w:type="dxa"/>
            <w:shd w:val="clear" w:color="auto" w:fill="auto"/>
            <w:noWrap/>
          </w:tcPr>
          <w:p w14:paraId="5CF3A30C"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81.49</w:t>
            </w:r>
          </w:p>
        </w:tc>
        <w:tc>
          <w:tcPr>
            <w:tcW w:w="1560" w:type="dxa"/>
            <w:shd w:val="clear" w:color="auto" w:fill="auto"/>
          </w:tcPr>
          <w:p w14:paraId="09C2F4CE"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0.9176</w:t>
            </w:r>
          </w:p>
        </w:tc>
      </w:tr>
      <w:tr w:rsidR="005F2437" w:rsidRPr="005F2437" w14:paraId="69F8D65D" w14:textId="77777777" w:rsidTr="00522A78">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75" w:type="dxa"/>
            <w:shd w:val="clear" w:color="auto" w:fill="auto"/>
            <w:noWrap/>
          </w:tcPr>
          <w:p w14:paraId="15D42C7B"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Anginex</w:t>
            </w:r>
          </w:p>
        </w:tc>
        <w:tc>
          <w:tcPr>
            <w:tcW w:w="1428" w:type="dxa"/>
            <w:shd w:val="clear" w:color="auto" w:fill="auto"/>
            <w:noWrap/>
          </w:tcPr>
          <w:p w14:paraId="07BB1579"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2,560</w:t>
            </w:r>
          </w:p>
        </w:tc>
        <w:tc>
          <w:tcPr>
            <w:tcW w:w="2480" w:type="dxa"/>
            <w:shd w:val="clear" w:color="auto" w:fill="auto"/>
            <w:noWrap/>
          </w:tcPr>
          <w:p w14:paraId="2F336B92"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1,035 – 6,560</w:t>
            </w:r>
          </w:p>
        </w:tc>
        <w:tc>
          <w:tcPr>
            <w:tcW w:w="1689" w:type="dxa"/>
            <w:shd w:val="clear" w:color="auto" w:fill="auto"/>
            <w:noWrap/>
          </w:tcPr>
          <w:p w14:paraId="62B284BF"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73.13</w:t>
            </w:r>
          </w:p>
        </w:tc>
        <w:tc>
          <w:tcPr>
            <w:tcW w:w="1560" w:type="dxa"/>
            <w:shd w:val="clear" w:color="auto" w:fill="auto"/>
          </w:tcPr>
          <w:p w14:paraId="759B82E1" w14:textId="77777777" w:rsidR="00522A78" w:rsidRPr="005F2437" w:rsidRDefault="00522A78" w:rsidP="008A6692">
            <w:pPr>
              <w:spacing w:after="100" w:afterAutospacing="1"/>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0.8285</w:t>
            </w:r>
          </w:p>
        </w:tc>
      </w:tr>
      <w:tr w:rsidR="005F2437" w:rsidRPr="005F2437" w14:paraId="627D82D8" w14:textId="77777777" w:rsidTr="00522A78">
        <w:trPr>
          <w:trHeight w:val="333"/>
        </w:trPr>
        <w:tc>
          <w:tcPr>
            <w:cnfStyle w:val="001000000000" w:firstRow="0" w:lastRow="0" w:firstColumn="1" w:lastColumn="0" w:oddVBand="0" w:evenVBand="0" w:oddHBand="0" w:evenHBand="0" w:firstRowFirstColumn="0" w:firstRowLastColumn="0" w:lastRowFirstColumn="0" w:lastRowLastColumn="0"/>
            <w:tcW w:w="1875" w:type="dxa"/>
            <w:tcBorders>
              <w:bottom w:val="single" w:sz="4" w:space="0" w:color="auto"/>
            </w:tcBorders>
            <w:shd w:val="clear" w:color="auto" w:fill="auto"/>
            <w:noWrap/>
          </w:tcPr>
          <w:p w14:paraId="0A44ABE5" w14:textId="77777777" w:rsidR="00522A78" w:rsidRPr="005F2437" w:rsidRDefault="00522A78" w:rsidP="008A6692">
            <w:pPr>
              <w:spacing w:after="100" w:afterAutospacing="1"/>
              <w:rPr>
                <w:b w:val="0"/>
                <w:bCs w:val="0"/>
                <w:sz w:val="20"/>
                <w:szCs w:val="20"/>
                <w:lang w:val="en-GB"/>
              </w:rPr>
            </w:pPr>
            <w:r w:rsidRPr="005F2437">
              <w:rPr>
                <w:b w:val="0"/>
                <w:bCs w:val="0"/>
                <w:sz w:val="20"/>
                <w:szCs w:val="20"/>
                <w:lang w:val="en-GB"/>
              </w:rPr>
              <w:t>Endostatin</w:t>
            </w:r>
          </w:p>
        </w:tc>
        <w:tc>
          <w:tcPr>
            <w:tcW w:w="1428" w:type="dxa"/>
            <w:tcBorders>
              <w:bottom w:val="single" w:sz="4" w:space="0" w:color="auto"/>
            </w:tcBorders>
            <w:shd w:val="clear" w:color="auto" w:fill="auto"/>
            <w:noWrap/>
          </w:tcPr>
          <w:p w14:paraId="07831835"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31,150</w:t>
            </w:r>
          </w:p>
        </w:tc>
        <w:tc>
          <w:tcPr>
            <w:tcW w:w="2480" w:type="dxa"/>
            <w:tcBorders>
              <w:bottom w:val="single" w:sz="4" w:space="0" w:color="auto"/>
            </w:tcBorders>
            <w:shd w:val="clear" w:color="auto" w:fill="auto"/>
            <w:noWrap/>
          </w:tcPr>
          <w:p w14:paraId="4B445C94"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8,116 – 127,900</w:t>
            </w:r>
          </w:p>
        </w:tc>
        <w:tc>
          <w:tcPr>
            <w:tcW w:w="1689" w:type="dxa"/>
            <w:tcBorders>
              <w:bottom w:val="single" w:sz="4" w:space="0" w:color="auto"/>
            </w:tcBorders>
            <w:shd w:val="clear" w:color="auto" w:fill="auto"/>
            <w:noWrap/>
          </w:tcPr>
          <w:p w14:paraId="18A083DE"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49.98</w:t>
            </w:r>
          </w:p>
        </w:tc>
        <w:tc>
          <w:tcPr>
            <w:tcW w:w="1560" w:type="dxa"/>
            <w:tcBorders>
              <w:bottom w:val="single" w:sz="4" w:space="0" w:color="auto"/>
            </w:tcBorders>
            <w:shd w:val="clear" w:color="auto" w:fill="auto"/>
          </w:tcPr>
          <w:p w14:paraId="60EF96EA" w14:textId="77777777" w:rsidR="00522A78" w:rsidRPr="005F2437" w:rsidRDefault="00522A78" w:rsidP="008A6692">
            <w:pPr>
              <w:spacing w:after="100" w:afterAutospacing="1"/>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0.6875</w:t>
            </w:r>
          </w:p>
        </w:tc>
      </w:tr>
    </w:tbl>
    <w:p w14:paraId="7C943B1F" w14:textId="77777777" w:rsidR="008A6692" w:rsidRPr="005F2437" w:rsidRDefault="008A6692" w:rsidP="008A6692">
      <w:pPr>
        <w:pStyle w:val="SMcaption"/>
        <w:spacing w:before="120" w:line="276" w:lineRule="auto"/>
        <w:rPr>
          <w:b/>
          <w:sz w:val="20"/>
          <w:lang w:val="en-GB"/>
        </w:rPr>
      </w:pPr>
    </w:p>
    <w:p w14:paraId="310C9C50" w14:textId="7598A8E4" w:rsidR="00522A78" w:rsidRPr="005F2437" w:rsidRDefault="00522A78" w:rsidP="008A6692">
      <w:pPr>
        <w:pStyle w:val="SMcaption"/>
        <w:spacing w:before="120" w:line="276" w:lineRule="auto"/>
        <w:rPr>
          <w:sz w:val="20"/>
          <w:lang w:val="en-GB"/>
        </w:rPr>
      </w:pPr>
      <w:r w:rsidRPr="005F2437">
        <w:rPr>
          <w:b/>
          <w:sz w:val="20"/>
          <w:lang w:val="en-GB"/>
        </w:rPr>
        <w:t>Table S2.</w:t>
      </w:r>
      <w:r w:rsidRPr="005F2437">
        <w:rPr>
          <w:sz w:val="20"/>
          <w:lang w:val="en-GB"/>
        </w:rPr>
        <w:t xml:space="preserve"> Synthetic peptides.</w:t>
      </w:r>
    </w:p>
    <w:tbl>
      <w:tblPr>
        <w:tblStyle w:val="GridTable2-Accent3"/>
        <w:tblW w:w="9085" w:type="dxa"/>
        <w:tblBorders>
          <w:top w:val="none" w:sz="0" w:space="0" w:color="auto"/>
          <w:bottom w:val="none" w:sz="0" w:space="0" w:color="auto"/>
          <w:insideH w:val="none" w:sz="0" w:space="0" w:color="auto"/>
          <w:insideV w:val="none" w:sz="0" w:space="0" w:color="auto"/>
        </w:tblBorders>
        <w:tblLayout w:type="fixed"/>
        <w:tblLook w:val="04A0" w:firstRow="1" w:lastRow="0" w:firstColumn="1" w:lastColumn="0" w:noHBand="0" w:noVBand="1"/>
      </w:tblPr>
      <w:tblGrid>
        <w:gridCol w:w="4090"/>
        <w:gridCol w:w="1211"/>
        <w:gridCol w:w="2119"/>
        <w:gridCol w:w="1665"/>
      </w:tblGrid>
      <w:tr w:rsidR="005F2437" w:rsidRPr="005F2437" w14:paraId="0D542287" w14:textId="77777777" w:rsidTr="002C68AA">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tcBorders>
              <w:top w:val="single" w:sz="4" w:space="0" w:color="auto"/>
              <w:bottom w:val="single" w:sz="4" w:space="0" w:color="auto"/>
            </w:tcBorders>
            <w:shd w:val="clear" w:color="auto" w:fill="auto"/>
            <w:noWrap/>
            <w:hideMark/>
          </w:tcPr>
          <w:p w14:paraId="4BD58633"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IUPAC Name</w:t>
            </w:r>
          </w:p>
        </w:tc>
        <w:tc>
          <w:tcPr>
            <w:tcW w:w="1211" w:type="dxa"/>
            <w:tcBorders>
              <w:top w:val="single" w:sz="4" w:space="0" w:color="auto"/>
              <w:bottom w:val="single" w:sz="4" w:space="0" w:color="auto"/>
            </w:tcBorders>
            <w:shd w:val="clear" w:color="auto" w:fill="auto"/>
            <w:noWrap/>
            <w:hideMark/>
          </w:tcPr>
          <w:p w14:paraId="598A23E6" w14:textId="77777777" w:rsidR="00522A78" w:rsidRPr="005F2437" w:rsidRDefault="00522A78" w:rsidP="00522A78">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Alias</w:t>
            </w:r>
          </w:p>
        </w:tc>
        <w:tc>
          <w:tcPr>
            <w:tcW w:w="2119" w:type="dxa"/>
            <w:tcBorders>
              <w:top w:val="single" w:sz="4" w:space="0" w:color="auto"/>
              <w:bottom w:val="single" w:sz="4" w:space="0" w:color="auto"/>
            </w:tcBorders>
            <w:shd w:val="clear" w:color="auto" w:fill="auto"/>
            <w:noWrap/>
            <w:hideMark/>
          </w:tcPr>
          <w:p w14:paraId="23901270" w14:textId="77777777" w:rsidR="00522A78" w:rsidRPr="005F2437" w:rsidRDefault="00522A78" w:rsidP="00522A78">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Sequence</w:t>
            </w:r>
          </w:p>
        </w:tc>
        <w:tc>
          <w:tcPr>
            <w:tcW w:w="1665" w:type="dxa"/>
            <w:tcBorders>
              <w:top w:val="single" w:sz="4" w:space="0" w:color="auto"/>
              <w:bottom w:val="single" w:sz="4" w:space="0" w:color="auto"/>
            </w:tcBorders>
            <w:shd w:val="clear" w:color="auto" w:fill="auto"/>
            <w:noWrap/>
            <w:hideMark/>
          </w:tcPr>
          <w:p w14:paraId="69200B08" w14:textId="77777777" w:rsidR="00522A78" w:rsidRPr="005F2437" w:rsidRDefault="00522A78" w:rsidP="00522A78">
            <w:pPr>
              <w:spacing w:line="276" w:lineRule="auto"/>
              <w:cnfStyle w:val="100000000000" w:firstRow="1" w:lastRow="0" w:firstColumn="0" w:lastColumn="0" w:oddVBand="0" w:evenVBand="0" w:oddHBand="0" w:evenHBand="0" w:firstRowFirstColumn="0" w:firstRowLastColumn="0" w:lastRowFirstColumn="0" w:lastRowLastColumn="0"/>
              <w:rPr>
                <w:b w:val="0"/>
                <w:bCs w:val="0"/>
                <w:sz w:val="20"/>
                <w:szCs w:val="20"/>
                <w:lang w:val="en-GB"/>
              </w:rPr>
            </w:pPr>
            <w:r w:rsidRPr="005F2437">
              <w:rPr>
                <w:b w:val="0"/>
                <w:bCs w:val="0"/>
                <w:sz w:val="20"/>
                <w:szCs w:val="20"/>
                <w:lang w:val="en-GB"/>
              </w:rPr>
              <w:t>Molecular mass (Da)</w:t>
            </w:r>
          </w:p>
        </w:tc>
      </w:tr>
      <w:tr w:rsidR="005F2437" w:rsidRPr="005F2437" w14:paraId="4F52F647"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tcBorders>
              <w:top w:val="single" w:sz="4" w:space="0" w:color="auto"/>
            </w:tcBorders>
            <w:shd w:val="clear" w:color="auto" w:fill="auto"/>
            <w:noWrap/>
            <w:hideMark/>
          </w:tcPr>
          <w:p w14:paraId="6FBD48BE"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vasoinhibin-(45-51)-peptide</w:t>
            </w:r>
          </w:p>
        </w:tc>
        <w:tc>
          <w:tcPr>
            <w:tcW w:w="1211" w:type="dxa"/>
            <w:tcBorders>
              <w:top w:val="single" w:sz="4" w:space="0" w:color="auto"/>
            </w:tcBorders>
            <w:shd w:val="clear" w:color="auto" w:fill="auto"/>
            <w:noWrap/>
            <w:hideMark/>
          </w:tcPr>
          <w:p w14:paraId="4B9C879A"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Vi45-51</w:t>
            </w:r>
          </w:p>
        </w:tc>
        <w:tc>
          <w:tcPr>
            <w:tcW w:w="2119" w:type="dxa"/>
            <w:tcBorders>
              <w:top w:val="single" w:sz="4" w:space="0" w:color="auto"/>
            </w:tcBorders>
            <w:shd w:val="clear" w:color="auto" w:fill="auto"/>
            <w:noWrap/>
            <w:hideMark/>
          </w:tcPr>
          <w:p w14:paraId="4F0AEC0C"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THGRGFI</w:t>
            </w:r>
          </w:p>
        </w:tc>
        <w:tc>
          <w:tcPr>
            <w:tcW w:w="1665" w:type="dxa"/>
            <w:tcBorders>
              <w:top w:val="single" w:sz="4" w:space="0" w:color="auto"/>
            </w:tcBorders>
            <w:shd w:val="clear" w:color="auto" w:fill="auto"/>
            <w:noWrap/>
            <w:hideMark/>
          </w:tcPr>
          <w:p w14:paraId="710E5EAD"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827.93</w:t>
            </w:r>
          </w:p>
        </w:tc>
      </w:tr>
      <w:tr w:rsidR="005F2437" w:rsidRPr="005F2437" w14:paraId="7C54AAD5"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3CBEDD22"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vasoinhibin-(45-58)-peptide</w:t>
            </w:r>
          </w:p>
        </w:tc>
        <w:tc>
          <w:tcPr>
            <w:tcW w:w="1211" w:type="dxa"/>
            <w:shd w:val="clear" w:color="auto" w:fill="auto"/>
            <w:noWrap/>
            <w:hideMark/>
          </w:tcPr>
          <w:p w14:paraId="013624F1"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Vi45-58</w:t>
            </w:r>
          </w:p>
        </w:tc>
        <w:tc>
          <w:tcPr>
            <w:tcW w:w="2119" w:type="dxa"/>
            <w:shd w:val="clear" w:color="auto" w:fill="auto"/>
            <w:noWrap/>
            <w:hideMark/>
          </w:tcPr>
          <w:p w14:paraId="1533DEE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THGRGFITKAINSC</w:t>
            </w:r>
          </w:p>
        </w:tc>
        <w:tc>
          <w:tcPr>
            <w:tcW w:w="1665" w:type="dxa"/>
            <w:shd w:val="clear" w:color="auto" w:fill="auto"/>
            <w:noWrap/>
            <w:hideMark/>
          </w:tcPr>
          <w:p w14:paraId="01FA59D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1545.77</w:t>
            </w:r>
          </w:p>
        </w:tc>
      </w:tr>
      <w:tr w:rsidR="005F2437" w:rsidRPr="005F2437" w14:paraId="552180FA"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572AB842"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vasoinhibin-(47-53)-peptide</w:t>
            </w:r>
          </w:p>
        </w:tc>
        <w:tc>
          <w:tcPr>
            <w:tcW w:w="1211" w:type="dxa"/>
            <w:shd w:val="clear" w:color="auto" w:fill="auto"/>
            <w:noWrap/>
            <w:hideMark/>
          </w:tcPr>
          <w:p w14:paraId="1CEBB37D"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Vi47-53</w:t>
            </w:r>
          </w:p>
        </w:tc>
        <w:tc>
          <w:tcPr>
            <w:tcW w:w="2119" w:type="dxa"/>
            <w:shd w:val="clear" w:color="auto" w:fill="auto"/>
            <w:noWrap/>
            <w:hideMark/>
          </w:tcPr>
          <w:p w14:paraId="19519163"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GRGFITK</w:t>
            </w:r>
          </w:p>
        </w:tc>
        <w:tc>
          <w:tcPr>
            <w:tcW w:w="1665" w:type="dxa"/>
            <w:shd w:val="clear" w:color="auto" w:fill="auto"/>
            <w:noWrap/>
            <w:hideMark/>
          </w:tcPr>
          <w:p w14:paraId="694347AC"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818.97</w:t>
            </w:r>
          </w:p>
        </w:tc>
      </w:tr>
      <w:tr w:rsidR="005F2437" w:rsidRPr="005F2437" w14:paraId="7AB208F3"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015DDB74"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vasoinhibin-(49-55)-peptide</w:t>
            </w:r>
          </w:p>
        </w:tc>
        <w:tc>
          <w:tcPr>
            <w:tcW w:w="1211" w:type="dxa"/>
            <w:shd w:val="clear" w:color="auto" w:fill="auto"/>
            <w:noWrap/>
            <w:hideMark/>
          </w:tcPr>
          <w:p w14:paraId="08B8A272"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Vi49-55</w:t>
            </w:r>
          </w:p>
        </w:tc>
        <w:tc>
          <w:tcPr>
            <w:tcW w:w="2119" w:type="dxa"/>
            <w:shd w:val="clear" w:color="auto" w:fill="auto"/>
            <w:noWrap/>
            <w:hideMark/>
          </w:tcPr>
          <w:p w14:paraId="2E3CB6D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GFITKAI</w:t>
            </w:r>
          </w:p>
        </w:tc>
        <w:tc>
          <w:tcPr>
            <w:tcW w:w="1665" w:type="dxa"/>
            <w:shd w:val="clear" w:color="auto" w:fill="auto"/>
            <w:noWrap/>
            <w:hideMark/>
          </w:tcPr>
          <w:p w14:paraId="6A3E7F99"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789.97</w:t>
            </w:r>
          </w:p>
        </w:tc>
      </w:tr>
      <w:tr w:rsidR="005F2437" w:rsidRPr="005F2437" w14:paraId="1FB9370D"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1B0E5E3F"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vasoinhibin-(52-58)-peptide</w:t>
            </w:r>
          </w:p>
        </w:tc>
        <w:tc>
          <w:tcPr>
            <w:tcW w:w="1211" w:type="dxa"/>
            <w:shd w:val="clear" w:color="auto" w:fill="auto"/>
            <w:noWrap/>
            <w:hideMark/>
          </w:tcPr>
          <w:p w14:paraId="1142560E"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Vi52-58</w:t>
            </w:r>
          </w:p>
        </w:tc>
        <w:tc>
          <w:tcPr>
            <w:tcW w:w="2119" w:type="dxa"/>
            <w:shd w:val="clear" w:color="auto" w:fill="auto"/>
            <w:noWrap/>
            <w:hideMark/>
          </w:tcPr>
          <w:p w14:paraId="38EC0F48"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TKAINSC</w:t>
            </w:r>
          </w:p>
        </w:tc>
        <w:tc>
          <w:tcPr>
            <w:tcW w:w="1665" w:type="dxa"/>
            <w:shd w:val="clear" w:color="auto" w:fill="auto"/>
            <w:noWrap/>
            <w:hideMark/>
          </w:tcPr>
          <w:p w14:paraId="53131FD6"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776.91</w:t>
            </w:r>
          </w:p>
        </w:tc>
      </w:tr>
      <w:tr w:rsidR="005F2437" w:rsidRPr="005F2437" w14:paraId="2D6B0960"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1F81AD30"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vasoinhibin-(46-48)-peptide</w:t>
            </w:r>
          </w:p>
        </w:tc>
        <w:tc>
          <w:tcPr>
            <w:tcW w:w="1211" w:type="dxa"/>
            <w:shd w:val="clear" w:color="auto" w:fill="auto"/>
            <w:noWrap/>
            <w:hideMark/>
          </w:tcPr>
          <w:p w14:paraId="4CDDDE82"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Vi46-48</w:t>
            </w:r>
          </w:p>
        </w:tc>
        <w:tc>
          <w:tcPr>
            <w:tcW w:w="2119" w:type="dxa"/>
            <w:shd w:val="clear" w:color="auto" w:fill="auto"/>
            <w:noWrap/>
            <w:hideMark/>
          </w:tcPr>
          <w:p w14:paraId="76ADF36B"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HGR</w:t>
            </w:r>
          </w:p>
        </w:tc>
        <w:tc>
          <w:tcPr>
            <w:tcW w:w="1665" w:type="dxa"/>
            <w:shd w:val="clear" w:color="auto" w:fill="auto"/>
            <w:noWrap/>
            <w:hideMark/>
          </w:tcPr>
          <w:p w14:paraId="0A605A0B"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409.45</w:t>
            </w:r>
          </w:p>
        </w:tc>
      </w:tr>
      <w:tr w:rsidR="005F2437" w:rsidRPr="005F2437" w14:paraId="0E37888A"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7E53763F"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Des-G</w:t>
            </w:r>
            <w:r w:rsidRPr="005F2437">
              <w:rPr>
                <w:b w:val="0"/>
                <w:bCs w:val="0"/>
                <w:sz w:val="20"/>
                <w:szCs w:val="20"/>
                <w:vertAlign w:val="superscript"/>
                <w:lang w:val="en-GB"/>
              </w:rPr>
              <w:t>47</w:t>
            </w:r>
            <w:r w:rsidRPr="005F2437">
              <w:rPr>
                <w:b w:val="0"/>
                <w:bCs w:val="0"/>
                <w:sz w:val="20"/>
                <w:szCs w:val="20"/>
                <w:lang w:val="en-GB"/>
              </w:rPr>
              <w:t>-vasoinhibin-(45-51)-peptide</w:t>
            </w:r>
          </w:p>
        </w:tc>
        <w:tc>
          <w:tcPr>
            <w:tcW w:w="1211" w:type="dxa"/>
            <w:shd w:val="clear" w:color="auto" w:fill="auto"/>
            <w:noWrap/>
            <w:hideMark/>
          </w:tcPr>
          <w:p w14:paraId="62EC4EF0"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i/>
                <w:iCs/>
                <w:sz w:val="20"/>
                <w:szCs w:val="20"/>
                <w:lang w:val="en-GB"/>
              </w:rPr>
              <w:t>des</w:t>
            </w:r>
            <w:r w:rsidRPr="005F2437">
              <w:rPr>
                <w:sz w:val="20"/>
                <w:szCs w:val="20"/>
                <w:lang w:val="en-GB"/>
              </w:rPr>
              <w:t>-G</w:t>
            </w:r>
            <w:r w:rsidRPr="005F2437">
              <w:rPr>
                <w:sz w:val="20"/>
                <w:szCs w:val="20"/>
                <w:vertAlign w:val="superscript"/>
                <w:lang w:val="en-GB"/>
              </w:rPr>
              <w:t>47</w:t>
            </w:r>
          </w:p>
        </w:tc>
        <w:tc>
          <w:tcPr>
            <w:tcW w:w="2119" w:type="dxa"/>
            <w:shd w:val="clear" w:color="auto" w:fill="auto"/>
            <w:noWrap/>
            <w:hideMark/>
          </w:tcPr>
          <w:p w14:paraId="1E9D375D"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THRGFI</w:t>
            </w:r>
          </w:p>
        </w:tc>
        <w:tc>
          <w:tcPr>
            <w:tcW w:w="1665" w:type="dxa"/>
            <w:shd w:val="clear" w:color="auto" w:fill="auto"/>
            <w:noWrap/>
            <w:hideMark/>
          </w:tcPr>
          <w:p w14:paraId="1061AD06"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770.83</w:t>
            </w:r>
          </w:p>
        </w:tc>
      </w:tr>
      <w:tr w:rsidR="005F2437" w:rsidRPr="005F2437" w14:paraId="69B8CB37"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037DC2F2"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45</w:t>
            </w:r>
            <w:r w:rsidRPr="005F2437">
              <w:rPr>
                <w:b w:val="0"/>
                <w:bCs w:val="0"/>
                <w:sz w:val="20"/>
                <w:szCs w:val="20"/>
                <w:lang w:val="en-GB"/>
              </w:rPr>
              <w:t>]-vasoinhibin-(45-51)-peptide</w:t>
            </w:r>
          </w:p>
        </w:tc>
        <w:tc>
          <w:tcPr>
            <w:tcW w:w="1211" w:type="dxa"/>
            <w:shd w:val="clear" w:color="auto" w:fill="auto"/>
            <w:noWrap/>
            <w:hideMark/>
          </w:tcPr>
          <w:p w14:paraId="0AAC62DB"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T45A</w:t>
            </w:r>
          </w:p>
        </w:tc>
        <w:tc>
          <w:tcPr>
            <w:tcW w:w="2119" w:type="dxa"/>
            <w:shd w:val="clear" w:color="auto" w:fill="auto"/>
            <w:noWrap/>
            <w:hideMark/>
          </w:tcPr>
          <w:p w14:paraId="12593418"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AHGRGFI</w:t>
            </w:r>
          </w:p>
        </w:tc>
        <w:tc>
          <w:tcPr>
            <w:tcW w:w="1665" w:type="dxa"/>
            <w:shd w:val="clear" w:color="auto" w:fill="auto"/>
            <w:noWrap/>
            <w:hideMark/>
          </w:tcPr>
          <w:p w14:paraId="0330299B"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797.91</w:t>
            </w:r>
          </w:p>
        </w:tc>
      </w:tr>
      <w:tr w:rsidR="005F2437" w:rsidRPr="005F2437" w14:paraId="1855C78D"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7158E7C1"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46</w:t>
            </w:r>
            <w:r w:rsidRPr="005F2437">
              <w:rPr>
                <w:b w:val="0"/>
                <w:bCs w:val="0"/>
                <w:sz w:val="20"/>
                <w:szCs w:val="20"/>
                <w:lang w:val="en-GB"/>
              </w:rPr>
              <w:t>]-vasoinhibin-(45-51)-peptide</w:t>
            </w:r>
          </w:p>
        </w:tc>
        <w:tc>
          <w:tcPr>
            <w:tcW w:w="1211" w:type="dxa"/>
            <w:shd w:val="clear" w:color="auto" w:fill="auto"/>
            <w:noWrap/>
            <w:hideMark/>
          </w:tcPr>
          <w:p w14:paraId="7ABFC1BC"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H46A</w:t>
            </w:r>
          </w:p>
        </w:tc>
        <w:tc>
          <w:tcPr>
            <w:tcW w:w="2119" w:type="dxa"/>
            <w:shd w:val="clear" w:color="auto" w:fill="auto"/>
            <w:noWrap/>
            <w:hideMark/>
          </w:tcPr>
          <w:p w14:paraId="2978356C"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TAGRGFI</w:t>
            </w:r>
          </w:p>
        </w:tc>
        <w:tc>
          <w:tcPr>
            <w:tcW w:w="1665" w:type="dxa"/>
            <w:shd w:val="clear" w:color="auto" w:fill="auto"/>
            <w:noWrap/>
            <w:hideMark/>
          </w:tcPr>
          <w:p w14:paraId="03A627E9"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761.87</w:t>
            </w:r>
          </w:p>
        </w:tc>
      </w:tr>
      <w:tr w:rsidR="005F2437" w:rsidRPr="005F2437" w14:paraId="06286DAC"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2DD51EA7"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47</w:t>
            </w:r>
            <w:r w:rsidRPr="005F2437">
              <w:rPr>
                <w:b w:val="0"/>
                <w:bCs w:val="0"/>
                <w:sz w:val="20"/>
                <w:szCs w:val="20"/>
                <w:lang w:val="en-GB"/>
              </w:rPr>
              <w:t>]-vasoinhibin-(45-51)-peptide</w:t>
            </w:r>
          </w:p>
        </w:tc>
        <w:tc>
          <w:tcPr>
            <w:tcW w:w="1211" w:type="dxa"/>
            <w:shd w:val="clear" w:color="auto" w:fill="auto"/>
            <w:noWrap/>
            <w:hideMark/>
          </w:tcPr>
          <w:p w14:paraId="6405A982"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G47A</w:t>
            </w:r>
          </w:p>
        </w:tc>
        <w:tc>
          <w:tcPr>
            <w:tcW w:w="2119" w:type="dxa"/>
            <w:shd w:val="clear" w:color="auto" w:fill="auto"/>
            <w:noWrap/>
            <w:hideMark/>
          </w:tcPr>
          <w:p w14:paraId="4844CCF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THARGFI</w:t>
            </w:r>
          </w:p>
        </w:tc>
        <w:tc>
          <w:tcPr>
            <w:tcW w:w="1665" w:type="dxa"/>
            <w:shd w:val="clear" w:color="auto" w:fill="auto"/>
            <w:noWrap/>
            <w:hideMark/>
          </w:tcPr>
          <w:p w14:paraId="12774F4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841.96</w:t>
            </w:r>
          </w:p>
        </w:tc>
      </w:tr>
      <w:tr w:rsidR="005F2437" w:rsidRPr="005F2437" w14:paraId="21ECE86D"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58041907"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48</w:t>
            </w:r>
            <w:r w:rsidRPr="005F2437">
              <w:rPr>
                <w:b w:val="0"/>
                <w:bCs w:val="0"/>
                <w:sz w:val="20"/>
                <w:szCs w:val="20"/>
                <w:lang w:val="en-GB"/>
              </w:rPr>
              <w:t>]-vasoinhibin-(45-51)-peptide</w:t>
            </w:r>
          </w:p>
        </w:tc>
        <w:tc>
          <w:tcPr>
            <w:tcW w:w="1211" w:type="dxa"/>
            <w:shd w:val="clear" w:color="auto" w:fill="auto"/>
            <w:noWrap/>
            <w:hideMark/>
          </w:tcPr>
          <w:p w14:paraId="30410E91"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R48A</w:t>
            </w:r>
          </w:p>
        </w:tc>
        <w:tc>
          <w:tcPr>
            <w:tcW w:w="2119" w:type="dxa"/>
            <w:shd w:val="clear" w:color="auto" w:fill="auto"/>
            <w:noWrap/>
            <w:hideMark/>
          </w:tcPr>
          <w:p w14:paraId="4AD88F2A"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THGAGFI</w:t>
            </w:r>
          </w:p>
        </w:tc>
        <w:tc>
          <w:tcPr>
            <w:tcW w:w="1665" w:type="dxa"/>
            <w:shd w:val="clear" w:color="auto" w:fill="auto"/>
            <w:noWrap/>
            <w:hideMark/>
          </w:tcPr>
          <w:p w14:paraId="70F92AD4"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742.83</w:t>
            </w:r>
          </w:p>
        </w:tc>
      </w:tr>
      <w:tr w:rsidR="005F2437" w:rsidRPr="005F2437" w14:paraId="3AFB594D"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189D562C"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49</w:t>
            </w:r>
            <w:r w:rsidRPr="005F2437">
              <w:rPr>
                <w:b w:val="0"/>
                <w:bCs w:val="0"/>
                <w:sz w:val="20"/>
                <w:szCs w:val="20"/>
                <w:lang w:val="en-GB"/>
              </w:rPr>
              <w:t>]-vasoinhibin-(45-51)-peptide</w:t>
            </w:r>
          </w:p>
        </w:tc>
        <w:tc>
          <w:tcPr>
            <w:tcW w:w="1211" w:type="dxa"/>
            <w:shd w:val="clear" w:color="auto" w:fill="auto"/>
            <w:noWrap/>
            <w:hideMark/>
          </w:tcPr>
          <w:p w14:paraId="66FF8EC7"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G49A</w:t>
            </w:r>
          </w:p>
        </w:tc>
        <w:tc>
          <w:tcPr>
            <w:tcW w:w="2119" w:type="dxa"/>
            <w:shd w:val="clear" w:color="auto" w:fill="auto"/>
            <w:noWrap/>
            <w:hideMark/>
          </w:tcPr>
          <w:p w14:paraId="75155C5B"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THGRAFI</w:t>
            </w:r>
          </w:p>
        </w:tc>
        <w:tc>
          <w:tcPr>
            <w:tcW w:w="1665" w:type="dxa"/>
            <w:shd w:val="clear" w:color="auto" w:fill="auto"/>
            <w:noWrap/>
            <w:hideMark/>
          </w:tcPr>
          <w:p w14:paraId="4F84F6C2"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841.96</w:t>
            </w:r>
          </w:p>
        </w:tc>
      </w:tr>
      <w:tr w:rsidR="005F2437" w:rsidRPr="005F2437" w14:paraId="2685835C"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579DBD3B"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50</w:t>
            </w:r>
            <w:r w:rsidRPr="005F2437">
              <w:rPr>
                <w:b w:val="0"/>
                <w:bCs w:val="0"/>
                <w:sz w:val="20"/>
                <w:szCs w:val="20"/>
                <w:lang w:val="en-GB"/>
              </w:rPr>
              <w:t>]-vasoinhibin-(45-51)-peptide</w:t>
            </w:r>
          </w:p>
        </w:tc>
        <w:tc>
          <w:tcPr>
            <w:tcW w:w="1211" w:type="dxa"/>
            <w:shd w:val="clear" w:color="auto" w:fill="auto"/>
            <w:noWrap/>
            <w:hideMark/>
          </w:tcPr>
          <w:p w14:paraId="59716D9A"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F50A</w:t>
            </w:r>
          </w:p>
        </w:tc>
        <w:tc>
          <w:tcPr>
            <w:tcW w:w="2119" w:type="dxa"/>
            <w:shd w:val="clear" w:color="auto" w:fill="auto"/>
            <w:noWrap/>
            <w:hideMark/>
          </w:tcPr>
          <w:p w14:paraId="6F869FBC"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THGRGAI</w:t>
            </w:r>
          </w:p>
        </w:tc>
        <w:tc>
          <w:tcPr>
            <w:tcW w:w="1665" w:type="dxa"/>
            <w:shd w:val="clear" w:color="auto" w:fill="auto"/>
            <w:noWrap/>
            <w:hideMark/>
          </w:tcPr>
          <w:p w14:paraId="1AAAD3A1"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751.84</w:t>
            </w:r>
          </w:p>
        </w:tc>
      </w:tr>
      <w:tr w:rsidR="005F2437" w:rsidRPr="005F2437" w14:paraId="7324BEF4"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6B0D18EA"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[Ala</w:t>
            </w:r>
            <w:r w:rsidRPr="005F2437">
              <w:rPr>
                <w:b w:val="0"/>
                <w:bCs w:val="0"/>
                <w:sz w:val="20"/>
                <w:szCs w:val="20"/>
                <w:vertAlign w:val="superscript"/>
                <w:lang w:val="en-GB"/>
              </w:rPr>
              <w:t>51</w:t>
            </w:r>
            <w:r w:rsidRPr="005F2437">
              <w:rPr>
                <w:b w:val="0"/>
                <w:bCs w:val="0"/>
                <w:sz w:val="20"/>
                <w:szCs w:val="20"/>
                <w:lang w:val="en-GB"/>
              </w:rPr>
              <w:t>]-vasoinhibin-(45-51)-peptide</w:t>
            </w:r>
          </w:p>
        </w:tc>
        <w:tc>
          <w:tcPr>
            <w:tcW w:w="1211" w:type="dxa"/>
            <w:shd w:val="clear" w:color="auto" w:fill="auto"/>
            <w:noWrap/>
            <w:hideMark/>
          </w:tcPr>
          <w:p w14:paraId="7081C78F"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I51A</w:t>
            </w:r>
          </w:p>
        </w:tc>
        <w:tc>
          <w:tcPr>
            <w:tcW w:w="2119" w:type="dxa"/>
            <w:shd w:val="clear" w:color="auto" w:fill="auto"/>
            <w:noWrap/>
            <w:hideMark/>
          </w:tcPr>
          <w:p w14:paraId="3DD1B136"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THGRGFA</w:t>
            </w:r>
          </w:p>
        </w:tc>
        <w:tc>
          <w:tcPr>
            <w:tcW w:w="1665" w:type="dxa"/>
            <w:shd w:val="clear" w:color="auto" w:fill="auto"/>
            <w:noWrap/>
            <w:hideMark/>
          </w:tcPr>
          <w:p w14:paraId="30882CA0"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785.85</w:t>
            </w:r>
          </w:p>
        </w:tc>
      </w:tr>
      <w:tr w:rsidR="005F2437" w:rsidRPr="005F2437" w14:paraId="60AADD1D"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63BE85C2"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Scramble 1</w:t>
            </w:r>
          </w:p>
        </w:tc>
        <w:tc>
          <w:tcPr>
            <w:tcW w:w="1211" w:type="dxa"/>
            <w:shd w:val="clear" w:color="auto" w:fill="auto"/>
            <w:noWrap/>
            <w:hideMark/>
          </w:tcPr>
          <w:p w14:paraId="1F1E4BB4"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Scr1</w:t>
            </w:r>
          </w:p>
        </w:tc>
        <w:tc>
          <w:tcPr>
            <w:tcW w:w="2119" w:type="dxa"/>
            <w:shd w:val="clear" w:color="auto" w:fill="auto"/>
            <w:noWrap/>
            <w:hideMark/>
          </w:tcPr>
          <w:p w14:paraId="684B0544"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GIGHFRT</w:t>
            </w:r>
          </w:p>
        </w:tc>
        <w:tc>
          <w:tcPr>
            <w:tcW w:w="1665" w:type="dxa"/>
            <w:shd w:val="clear" w:color="auto" w:fill="auto"/>
            <w:noWrap/>
            <w:hideMark/>
          </w:tcPr>
          <w:p w14:paraId="2115E97B"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827.93</w:t>
            </w:r>
          </w:p>
        </w:tc>
      </w:tr>
      <w:tr w:rsidR="005F2437" w:rsidRPr="005F2437" w14:paraId="69A3E57E"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15F17BAD"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Scramble 2</w:t>
            </w:r>
          </w:p>
        </w:tc>
        <w:tc>
          <w:tcPr>
            <w:tcW w:w="1211" w:type="dxa"/>
            <w:shd w:val="clear" w:color="auto" w:fill="auto"/>
            <w:noWrap/>
            <w:hideMark/>
          </w:tcPr>
          <w:p w14:paraId="6C226307"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Scr2</w:t>
            </w:r>
          </w:p>
        </w:tc>
        <w:tc>
          <w:tcPr>
            <w:tcW w:w="2119" w:type="dxa"/>
            <w:shd w:val="clear" w:color="auto" w:fill="auto"/>
            <w:noWrap/>
            <w:hideMark/>
          </w:tcPr>
          <w:p w14:paraId="7E3DF2CF"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THIRGGF</w:t>
            </w:r>
          </w:p>
        </w:tc>
        <w:tc>
          <w:tcPr>
            <w:tcW w:w="1665" w:type="dxa"/>
            <w:shd w:val="clear" w:color="auto" w:fill="auto"/>
            <w:noWrap/>
            <w:hideMark/>
          </w:tcPr>
          <w:p w14:paraId="2998E55D"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827.93</w:t>
            </w:r>
          </w:p>
        </w:tc>
      </w:tr>
      <w:tr w:rsidR="005F2437" w:rsidRPr="005F2437" w14:paraId="4E588754"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hideMark/>
          </w:tcPr>
          <w:p w14:paraId="4FA80244"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Scramble 3</w:t>
            </w:r>
          </w:p>
        </w:tc>
        <w:tc>
          <w:tcPr>
            <w:tcW w:w="1211" w:type="dxa"/>
            <w:shd w:val="clear" w:color="auto" w:fill="auto"/>
            <w:noWrap/>
            <w:hideMark/>
          </w:tcPr>
          <w:p w14:paraId="7B6BCF54"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Scr3</w:t>
            </w:r>
          </w:p>
        </w:tc>
        <w:tc>
          <w:tcPr>
            <w:tcW w:w="2119" w:type="dxa"/>
            <w:shd w:val="clear" w:color="auto" w:fill="auto"/>
            <w:noWrap/>
            <w:hideMark/>
          </w:tcPr>
          <w:p w14:paraId="71FDC78B"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GTRIHFG</w:t>
            </w:r>
          </w:p>
        </w:tc>
        <w:tc>
          <w:tcPr>
            <w:tcW w:w="1665" w:type="dxa"/>
            <w:shd w:val="clear" w:color="auto" w:fill="auto"/>
            <w:noWrap/>
            <w:hideMark/>
          </w:tcPr>
          <w:p w14:paraId="2FDD0D6B"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827.93</w:t>
            </w:r>
          </w:p>
        </w:tc>
      </w:tr>
      <w:tr w:rsidR="005F2437" w:rsidRPr="005F2437" w14:paraId="16CAAE06"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tcPr>
          <w:p w14:paraId="354C89F7"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Conserved vasoinhibin-(45-51)-peptide</w:t>
            </w:r>
          </w:p>
        </w:tc>
        <w:tc>
          <w:tcPr>
            <w:tcW w:w="1211" w:type="dxa"/>
            <w:shd w:val="clear" w:color="auto" w:fill="auto"/>
            <w:noWrap/>
          </w:tcPr>
          <w:p w14:paraId="5455AA8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cVi45-51</w:t>
            </w:r>
          </w:p>
        </w:tc>
        <w:tc>
          <w:tcPr>
            <w:tcW w:w="2119" w:type="dxa"/>
            <w:shd w:val="clear" w:color="auto" w:fill="auto"/>
            <w:noWrap/>
          </w:tcPr>
          <w:p w14:paraId="757B3F00"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AQGRGFI</w:t>
            </w:r>
          </w:p>
        </w:tc>
        <w:tc>
          <w:tcPr>
            <w:tcW w:w="1665" w:type="dxa"/>
            <w:shd w:val="clear" w:color="auto" w:fill="auto"/>
            <w:noWrap/>
          </w:tcPr>
          <w:p w14:paraId="142CD3EC"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788.89</w:t>
            </w:r>
          </w:p>
        </w:tc>
      </w:tr>
      <w:tr w:rsidR="005F2437" w:rsidRPr="005F2437" w14:paraId="38F7059D"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tcPr>
          <w:p w14:paraId="7882D2E0"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Conserved vasoinhibin-(46-48)-peptide</w:t>
            </w:r>
          </w:p>
        </w:tc>
        <w:tc>
          <w:tcPr>
            <w:tcW w:w="1211" w:type="dxa"/>
            <w:shd w:val="clear" w:color="auto" w:fill="auto"/>
            <w:noWrap/>
          </w:tcPr>
          <w:p w14:paraId="4DE0CC24"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cVi46-48</w:t>
            </w:r>
          </w:p>
        </w:tc>
        <w:tc>
          <w:tcPr>
            <w:tcW w:w="2119" w:type="dxa"/>
            <w:shd w:val="clear" w:color="auto" w:fill="auto"/>
            <w:noWrap/>
          </w:tcPr>
          <w:p w14:paraId="44046927"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QGR</w:t>
            </w:r>
          </w:p>
        </w:tc>
        <w:tc>
          <w:tcPr>
            <w:tcW w:w="1665" w:type="dxa"/>
            <w:shd w:val="clear" w:color="auto" w:fill="auto"/>
            <w:noWrap/>
          </w:tcPr>
          <w:p w14:paraId="7842E278"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400.43</w:t>
            </w:r>
          </w:p>
        </w:tc>
      </w:tr>
      <w:tr w:rsidR="005F2437" w:rsidRPr="005F2437" w14:paraId="77AA2A38"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tcPr>
          <w:p w14:paraId="779F20CA"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GH-vasoinhibin-(39-45)-peptide</w:t>
            </w:r>
          </w:p>
        </w:tc>
        <w:tc>
          <w:tcPr>
            <w:tcW w:w="1211" w:type="dxa"/>
            <w:shd w:val="clear" w:color="auto" w:fill="auto"/>
            <w:noWrap/>
          </w:tcPr>
          <w:p w14:paraId="2EB9CD89"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GH39-45</w:t>
            </w:r>
          </w:p>
        </w:tc>
        <w:tc>
          <w:tcPr>
            <w:tcW w:w="2119" w:type="dxa"/>
            <w:shd w:val="clear" w:color="auto" w:fill="auto"/>
            <w:noWrap/>
          </w:tcPr>
          <w:p w14:paraId="290EC6D4"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EQKISFL</w:t>
            </w:r>
          </w:p>
        </w:tc>
        <w:tc>
          <w:tcPr>
            <w:tcW w:w="1665" w:type="dxa"/>
            <w:shd w:val="clear" w:color="auto" w:fill="auto"/>
            <w:noWrap/>
          </w:tcPr>
          <w:p w14:paraId="36EE867D"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955.07</w:t>
            </w:r>
          </w:p>
        </w:tc>
      </w:tr>
      <w:tr w:rsidR="005F2437" w:rsidRPr="005F2437" w14:paraId="2F73EC81"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tcPr>
          <w:p w14:paraId="5622AB1E"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PL-vasoinhibin-(39-45)-peptide</w:t>
            </w:r>
          </w:p>
        </w:tc>
        <w:tc>
          <w:tcPr>
            <w:tcW w:w="1211" w:type="dxa"/>
            <w:shd w:val="clear" w:color="auto" w:fill="auto"/>
            <w:noWrap/>
          </w:tcPr>
          <w:p w14:paraId="0B0B72A5"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PL39-45</w:t>
            </w:r>
          </w:p>
        </w:tc>
        <w:tc>
          <w:tcPr>
            <w:tcW w:w="2119" w:type="dxa"/>
            <w:shd w:val="clear" w:color="auto" w:fill="auto"/>
            <w:noWrap/>
          </w:tcPr>
          <w:p w14:paraId="5139E820"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DQKISFL</w:t>
            </w:r>
          </w:p>
        </w:tc>
        <w:tc>
          <w:tcPr>
            <w:tcW w:w="1665" w:type="dxa"/>
            <w:shd w:val="clear" w:color="auto" w:fill="auto"/>
            <w:noWrap/>
          </w:tcPr>
          <w:p w14:paraId="358AF8B4"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941.04</w:t>
            </w:r>
          </w:p>
        </w:tc>
      </w:tr>
      <w:tr w:rsidR="005F2437" w:rsidRPr="005F2437" w14:paraId="1850800A"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tcPr>
          <w:p w14:paraId="0D44E5E9"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GH-vasoinhibin-(39-41)-peptide</w:t>
            </w:r>
          </w:p>
        </w:tc>
        <w:tc>
          <w:tcPr>
            <w:tcW w:w="1211" w:type="dxa"/>
            <w:shd w:val="clear" w:color="auto" w:fill="auto"/>
            <w:noWrap/>
          </w:tcPr>
          <w:p w14:paraId="2734D557"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GH39-41</w:t>
            </w:r>
          </w:p>
        </w:tc>
        <w:tc>
          <w:tcPr>
            <w:tcW w:w="2119" w:type="dxa"/>
            <w:shd w:val="clear" w:color="auto" w:fill="auto"/>
            <w:noWrap/>
          </w:tcPr>
          <w:p w14:paraId="30E93F3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EQK</w:t>
            </w:r>
          </w:p>
        </w:tc>
        <w:tc>
          <w:tcPr>
            <w:tcW w:w="1665" w:type="dxa"/>
            <w:shd w:val="clear" w:color="auto" w:fill="auto"/>
            <w:noWrap/>
          </w:tcPr>
          <w:p w14:paraId="7F2A6423"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444.48</w:t>
            </w:r>
          </w:p>
        </w:tc>
      </w:tr>
      <w:tr w:rsidR="005F2437" w:rsidRPr="005F2437" w14:paraId="54898782" w14:textId="77777777" w:rsidTr="002C68A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4090" w:type="dxa"/>
            <w:shd w:val="clear" w:color="auto" w:fill="auto"/>
            <w:noWrap/>
          </w:tcPr>
          <w:p w14:paraId="634CB3B5"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GH-vasoinhibin-(40-42)-peptide</w:t>
            </w:r>
          </w:p>
        </w:tc>
        <w:tc>
          <w:tcPr>
            <w:tcW w:w="1211" w:type="dxa"/>
            <w:shd w:val="clear" w:color="auto" w:fill="auto"/>
            <w:noWrap/>
          </w:tcPr>
          <w:p w14:paraId="109709D0"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GH40-42</w:t>
            </w:r>
          </w:p>
        </w:tc>
        <w:tc>
          <w:tcPr>
            <w:tcW w:w="2119" w:type="dxa"/>
            <w:shd w:val="clear" w:color="auto" w:fill="auto"/>
            <w:noWrap/>
          </w:tcPr>
          <w:p w14:paraId="0D6028FD"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QKY</w:t>
            </w:r>
          </w:p>
        </w:tc>
        <w:tc>
          <w:tcPr>
            <w:tcW w:w="1665" w:type="dxa"/>
            <w:shd w:val="clear" w:color="auto" w:fill="auto"/>
            <w:noWrap/>
          </w:tcPr>
          <w:p w14:paraId="3D111CC5" w14:textId="77777777" w:rsidR="00522A78" w:rsidRPr="005F2437" w:rsidRDefault="00522A78" w:rsidP="00522A78">
            <w:pPr>
              <w:spacing w:line="276" w:lineRule="auto"/>
              <w:cnfStyle w:val="000000100000" w:firstRow="0" w:lastRow="0" w:firstColumn="0" w:lastColumn="0" w:oddVBand="0" w:evenVBand="0" w:oddHBand="1" w:evenHBand="0" w:firstRowFirstColumn="0" w:firstRowLastColumn="0" w:lastRowFirstColumn="0" w:lastRowLastColumn="0"/>
              <w:rPr>
                <w:sz w:val="20"/>
                <w:szCs w:val="20"/>
                <w:lang w:val="en-GB"/>
              </w:rPr>
            </w:pPr>
            <w:r w:rsidRPr="005F2437">
              <w:rPr>
                <w:sz w:val="20"/>
                <w:szCs w:val="20"/>
                <w:lang w:val="en-GB"/>
              </w:rPr>
              <w:t>478.54</w:t>
            </w:r>
          </w:p>
        </w:tc>
      </w:tr>
      <w:tr w:rsidR="005F2437" w:rsidRPr="005F2437" w14:paraId="16FCCD27" w14:textId="77777777" w:rsidTr="002C68AA">
        <w:trPr>
          <w:trHeight w:val="324"/>
        </w:trPr>
        <w:tc>
          <w:tcPr>
            <w:cnfStyle w:val="001000000000" w:firstRow="0" w:lastRow="0" w:firstColumn="1" w:lastColumn="0" w:oddVBand="0" w:evenVBand="0" w:oddHBand="0" w:evenHBand="0" w:firstRowFirstColumn="0" w:firstRowLastColumn="0" w:lastRowFirstColumn="0" w:lastRowLastColumn="0"/>
            <w:tcW w:w="4090" w:type="dxa"/>
            <w:tcBorders>
              <w:bottom w:val="single" w:sz="4" w:space="0" w:color="auto"/>
            </w:tcBorders>
            <w:shd w:val="clear" w:color="auto" w:fill="auto"/>
            <w:noWrap/>
          </w:tcPr>
          <w:p w14:paraId="3B206D2E" w14:textId="77777777" w:rsidR="00522A78" w:rsidRPr="005F2437" w:rsidRDefault="00522A78" w:rsidP="00522A78">
            <w:pPr>
              <w:spacing w:line="276" w:lineRule="auto"/>
              <w:rPr>
                <w:b w:val="0"/>
                <w:bCs w:val="0"/>
                <w:sz w:val="20"/>
                <w:szCs w:val="20"/>
                <w:lang w:val="en-GB"/>
              </w:rPr>
            </w:pPr>
            <w:r w:rsidRPr="005F2437">
              <w:rPr>
                <w:b w:val="0"/>
                <w:bCs w:val="0"/>
                <w:sz w:val="20"/>
                <w:szCs w:val="20"/>
                <w:lang w:val="en-GB"/>
              </w:rPr>
              <w:t>GH-vasoinhibin-(40-41)-peptide</w:t>
            </w:r>
          </w:p>
        </w:tc>
        <w:tc>
          <w:tcPr>
            <w:tcW w:w="1211" w:type="dxa"/>
            <w:tcBorders>
              <w:bottom w:val="single" w:sz="4" w:space="0" w:color="auto"/>
            </w:tcBorders>
            <w:shd w:val="clear" w:color="auto" w:fill="auto"/>
            <w:noWrap/>
          </w:tcPr>
          <w:p w14:paraId="66094737"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GH40-41</w:t>
            </w:r>
          </w:p>
        </w:tc>
        <w:tc>
          <w:tcPr>
            <w:tcW w:w="2119" w:type="dxa"/>
            <w:tcBorders>
              <w:bottom w:val="single" w:sz="4" w:space="0" w:color="auto"/>
            </w:tcBorders>
            <w:shd w:val="clear" w:color="auto" w:fill="auto"/>
            <w:noWrap/>
          </w:tcPr>
          <w:p w14:paraId="0CFDEA17"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QK</w:t>
            </w:r>
          </w:p>
        </w:tc>
        <w:tc>
          <w:tcPr>
            <w:tcW w:w="1665" w:type="dxa"/>
            <w:tcBorders>
              <w:bottom w:val="single" w:sz="4" w:space="0" w:color="auto"/>
            </w:tcBorders>
            <w:shd w:val="clear" w:color="auto" w:fill="auto"/>
            <w:noWrap/>
          </w:tcPr>
          <w:p w14:paraId="040A376C" w14:textId="77777777" w:rsidR="00522A78" w:rsidRPr="005F2437" w:rsidRDefault="00522A78" w:rsidP="00522A78">
            <w:pPr>
              <w:spacing w:line="276" w:lineRule="auto"/>
              <w:cnfStyle w:val="000000000000" w:firstRow="0" w:lastRow="0" w:firstColumn="0" w:lastColumn="0" w:oddVBand="0" w:evenVBand="0" w:oddHBand="0" w:evenHBand="0" w:firstRowFirstColumn="0" w:firstRowLastColumn="0" w:lastRowFirstColumn="0" w:lastRowLastColumn="0"/>
              <w:rPr>
                <w:sz w:val="20"/>
                <w:szCs w:val="20"/>
                <w:lang w:val="en-GB"/>
              </w:rPr>
            </w:pPr>
            <w:r w:rsidRPr="005F2437">
              <w:rPr>
                <w:sz w:val="20"/>
                <w:szCs w:val="20"/>
                <w:lang w:val="en-GB"/>
              </w:rPr>
              <w:t>315.37</w:t>
            </w:r>
          </w:p>
        </w:tc>
      </w:tr>
    </w:tbl>
    <w:p w14:paraId="45692FAA" w14:textId="51B27AF2" w:rsidR="00665129" w:rsidRPr="005F2437" w:rsidRDefault="00665129" w:rsidP="00665129">
      <w:pPr>
        <w:rPr>
          <w:b/>
          <w:bCs/>
        </w:rPr>
      </w:pPr>
      <w:r w:rsidRPr="005F2437">
        <w:rPr>
          <w:b/>
        </w:rPr>
        <w:lastRenderedPageBreak/>
        <w:t xml:space="preserve">Supplementary </w:t>
      </w:r>
      <w:r w:rsidR="00CE3265" w:rsidRPr="005F2437">
        <w:rPr>
          <w:b/>
        </w:rPr>
        <w:t>Methods</w:t>
      </w:r>
    </w:p>
    <w:p w14:paraId="60D5EB50" w14:textId="5DD5BB44"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Alignment analysis. </w:t>
      </w:r>
      <w:r w:rsidRPr="005F2437">
        <w:rPr>
          <w:sz w:val="20"/>
          <w:szCs w:val="20"/>
        </w:rPr>
        <w:t>PRL sequences of the five vertebrate classes obtained from the NCBI Reference Sequence (RefSeq) database and the complete amino acid sequences of human PRL (NP_001157030.1), PL (NP_001308.1), and GH (NP_002050.1) were aligned by maximum similarity using MUSCLE 3.8</w:t>
      </w:r>
      <w:r w:rsidR="00752B51" w:rsidRPr="005F2437">
        <w:rPr>
          <w:sz w:val="20"/>
          <w:szCs w:val="20"/>
        </w:rPr>
        <w:t xml:space="preserve"> </w:t>
      </w:r>
      <w:r w:rsidR="00752B51" w:rsidRPr="005F2437">
        <w:rPr>
          <w:sz w:val="20"/>
          <w:szCs w:val="20"/>
        </w:rPr>
        <w:fldChar w:fldCharType="begin"/>
      </w:r>
      <w:r w:rsidR="00752B51" w:rsidRPr="005F2437">
        <w:rPr>
          <w:sz w:val="20"/>
          <w:szCs w:val="20"/>
        </w:rPr>
        <w:instrText xml:space="preserve"> ADDIN ZOTERO_ITEM CSL_CITATION {"citationID":"8WtwrPQB","properties":{"formattedCitation":"[1]","plainCitation":"[1]","noteIndex":0},"citationItems":[{"id":2879,"uris":["http://zotero.org/users/local/t2kjOUhj/items/DVG9STHM"],"uri":["http://zotero.org/users/local/t2kjOUhj/items/DVG9STHM"],"itemData":{"id":2879,"type":"article-journal","abstract":"We describe MUSCLE, a new computer program for creating multiple alignments of protein sequences. Elements of the algorithm include fast distance estimation using kmer counting, progressive alignment using a new profile function we call the log-expectation score, and refinement using tree-dependent restricted partitioning. The speed and accuracy of MUSCLE are compared with T-Coffee, MAFFT and CLUSTALW on four test sets of reference alignments: BAliBASE, SABmark, SMART and a new benchmark, PREFAB. MUSCLE achieves the highest, or joint highest, rank in accuracy on each of these sets. Without refinement, MUSCLE achieves average accuracy statistically indistinguishable from T-Coffee and MAFFT, and is the fastest of the tested methods for large numbers of sequences, aligning 5000 sequences of average length 350 in 7 min on a current desktop computer. The MUSCLE program, source code and PREFAB test data are freely available at http://www.drive5. com/muscle.","archive":"PubMed","archive_location":"15034147","container-title":"Nucleic acids research","DOI":"10.1093/nar/gkh340","ISSN":"1362-4962","issue":"5","journalAbbreviation":"Nucleic Acids Res","language":"eng","note":"publisher: Oxford University Press","page":"1792-1797","title":"MUSCLE: multiple sequence alignment with high accuracy and high throughput","URL":"https://pubmed.ncbi.nlm.nih.gov/15034147","volume":"32","author":[{"family":"Edgar","given":"Robert C"}],"issued":{"date-parts":[["2004",3,19]]}}}],"schema":"https://github.com/citation-style-language/schema/raw/master/csl-citation.json"} </w:instrText>
      </w:r>
      <w:r w:rsidR="00752B51" w:rsidRPr="005F2437">
        <w:rPr>
          <w:sz w:val="20"/>
          <w:szCs w:val="20"/>
        </w:rPr>
        <w:fldChar w:fldCharType="separate"/>
      </w:r>
      <w:r w:rsidR="00752B51" w:rsidRPr="005F2437">
        <w:rPr>
          <w:noProof/>
          <w:sz w:val="20"/>
          <w:szCs w:val="20"/>
        </w:rPr>
        <w:t>[1]</w:t>
      </w:r>
      <w:r w:rsidR="00752B51" w:rsidRPr="005F2437">
        <w:rPr>
          <w:sz w:val="20"/>
          <w:szCs w:val="20"/>
        </w:rPr>
        <w:fldChar w:fldCharType="end"/>
      </w:r>
      <w:r w:rsidRPr="005F2437">
        <w:rPr>
          <w:sz w:val="20"/>
          <w:szCs w:val="20"/>
        </w:rPr>
        <w:t xml:space="preserve">. </w:t>
      </w:r>
    </w:p>
    <w:p w14:paraId="09B14471" w14:textId="5FE60B45"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Point mutations to alanine in vasoinhibin and PRL. </w:t>
      </w:r>
      <w:r w:rsidRPr="005F2437">
        <w:rPr>
          <w:sz w:val="20"/>
          <w:szCs w:val="20"/>
        </w:rPr>
        <w:t xml:space="preserve">The human PRL cDNA, including the signal peptide, was cloned into the BamH1 and NotI sites of pcDNA3 downstream of the cytomegalovirus (CMV) promoter (pcDNA3::hPRL). Generation of vasoinhibin with point mutations was performed by two steps as follows. First, PCR fragments were generated from pcDNA3::hPRL using pCMV forward primer (5’-cccacttggcagtacatca-3’) and H46A reverse primer (5’-cccggccagcggtataccgt-3’), R48A reverse primer (5’-gtaatgaaccccgcgccatgggtata-3’), or H46A/R48A reverse primer (5’-tgaaccccgcgccagcggtataccgtttatcg-3’). Second, PCR fragments were generated using H46A forward primer (5’-tataccgctggccgggggttc-3’), R48A forward primer (5’-tatacccatggcgcggggttcattac-3’), or H46A/R48A forward primer (5’-taccgctggcgcggggttcattaccaa-3’) and 123-7His-NotI reverse primer (5’-aaaaaagcggccgcttaatgatgatgatgatgatgatgggtttgctcctcaatctctacagc-3’), which introduces a stop codon in 124 position. The two corresponding fragments of each of the three vasoinhibin constructions were PCR amplified together without primers and cloned into the BamH1 and NotI sites of pcDNA3. Point mutations to alanine in PRL were obtained using a similar procedure as follows. PCR fragments were amplified from pcDNA3::hPRL with pCMV forward primer (5’-cccacttggcagtacatca-3’) and E161A reverse primer (5’-aggcgagactctgcatcagccatc-3’), E162A reverse primer (5’-aaaggcgagacgcttcatcagccatctgc-3’), or E161A/E162A reverse primer (5’-aaaggcgagacgctgcatcagccatctg-3’). Subsequently, PCR fragments were generated using E161A forward primer (5’-gatggctgatgcagagtctcgcct-3’), E162A forward primer (5’-gatggctgatgaagcgtctcgccttt-3’), or E161A/E161A forward primer (5’-gatggctgatgcagcgtctcgccttt-3’) and the PolyA reverse primer (5’-gaatagaatgacacctactcagac). </w:t>
      </w:r>
      <w:r w:rsidR="009B2CBA" w:rsidRPr="005F2437">
        <w:rPr>
          <w:sz w:val="20"/>
          <w:szCs w:val="20"/>
        </w:rPr>
        <w:t xml:space="preserve">The sequence of the expression plasmids was verified by the Sanger method. </w:t>
      </w:r>
      <w:r w:rsidRPr="005F2437">
        <w:rPr>
          <w:sz w:val="20"/>
          <w:szCs w:val="20"/>
        </w:rPr>
        <w:t>The plasmids with mutated cDNAs for vasoinhibin and PRL and the non-mutated PRL plasmid (pcDNA3::hPRL) were transfected into HEK293T/17 (ATCC, Manassas, VA) cultured in DMEM medium supplemented with 10% FBS and antibiotics. The transfection mixture contained the plasmid (40 μg) and 125 mM CaCl</w:t>
      </w:r>
      <w:r w:rsidRPr="005F2437">
        <w:rPr>
          <w:sz w:val="20"/>
          <w:szCs w:val="20"/>
          <w:vertAlign w:val="subscript"/>
        </w:rPr>
        <w:t>2</w:t>
      </w:r>
      <w:r w:rsidRPr="005F2437">
        <w:rPr>
          <w:sz w:val="20"/>
          <w:szCs w:val="20"/>
        </w:rPr>
        <w:t xml:space="preserve"> in HBSS buffer. After 24 h the medium was refreshed with 50% of the volume and, after 48 h, conditioned media were harvested, aliquoted, and stored (-70°C). The conditioned medium from cells transfected with no plasmid served as negative control. The presence of recombinant PRL and vasoinhibin isoforms in conditioned media from transfected HEK293T/17 cells was evaluated by tricine SDS-PAGE on a 16% acrylamide gel followed by immunoblotting with polyclonal anti-human PRL antiserum (CL-1) </w:t>
      </w:r>
      <w:r w:rsidR="00752B51" w:rsidRPr="005F2437">
        <w:rPr>
          <w:sz w:val="20"/>
          <w:szCs w:val="20"/>
        </w:rPr>
        <w:fldChar w:fldCharType="begin"/>
      </w:r>
      <w:r w:rsidR="00752B51" w:rsidRPr="005F2437">
        <w:rPr>
          <w:sz w:val="20"/>
          <w:szCs w:val="20"/>
        </w:rPr>
        <w:instrText xml:space="preserve"> ADDIN ZOTERO_ITEM CSL_CITATION {"citationID":"SpMb1FTd","properties":{"formattedCitation":"[2]","plainCitation":"[2]","noteIndex":0},"citationItems":[{"id":203,"uris":["http://zotero.org/users/local/t2kjOUhj/items/NPX3DTE8"],"uri":["http://zotero.org/users/local/t2kjOUhj/items/NPX3DTE8"],"itemData":{"id":203,"type":"article-journal","abstract":"Members of the prolactin (PRL) hormonal family have direct effects on endothelial cell proliferation, migration and tube formation. Moreover, isoforms of PRL may function as autocrine regulators of endothelial cells. Bovine brain capillary endothelial cells (BBCEC) express the PRL gene, while anti-PRL antibodies inhibit BBCEC proliferation. Here, we show the expression of the PRL gene into various PRL isoforms in endothelial cells from the human umbilical vein. Reverse transcription-polymerase chain reaction of total RNA from human umbilical vein endothelial cells (HUVEC) detected the full-length PRL mRNA as well as a 100 bp smaller PRL transcript similar to the one previously reported in BBCEC. HUVEC were positive to PRL immunocytochemistry. In addition, various PRL immunoreactive proteins were detected in HUVEC extracts and HUVEC conditioned media by metabolic labelling immunoprecipitation analysis. These PRL immunorelated proteins had apparent molecular masses of 60, 23, 21, 16 and 14 kDa. In contrast to previous findings in BBCEC, HUVEC conditioned media contained very little PRL bioactivity as determined by the selective bioassay of Nb2 cell proliferation. Moreover, some polyclonal or monoclonal antibodies directed against PRL stimulated HUVEC proliferation, in contrast to the inhibitory effect seen in BBCEC. The present findings extend the previous observations about the expression of PRL gene in endothelial cells from bovine brain capillaries to human cells of the umbilical vein, implicating that endothelium from different types of vessels and species share the expression of PRL gene but may differ in the putative autocrine role of the PRL isoforms expressed.","archive_location":"10856883","container-title":"The Journal of endocrinology","ISSN":"0022-0795 (PRINT) 0022-0795 (LINKING)","issue":"1","journalAbbreviation":"J Endocrinol","page":"53-62","title":"Human umbilical vein endothelial cells express multiple prolactin isoforms","URL":"http://www.ncbi.nlm.nih.gov/pubmed/10856883 http://joe.endocrinology-journals.org/content/166/1/53.full.pdf","volume":"166","author":[{"family":"Corbacho","given":"A. M."},{"family":"Macotela","given":"Y."},{"family":"Nava","given":"G."},{"family":"Torner","given":"L."},{"family":"Duenas","given":"Z."},{"family":"Noris","given":"G."},{"family":"Morales","given":"M. A."},{"family":"Martinez De La Escalera","given":"G."},{"family":"Clapp","given":"C."}],"issued":{"date-parts":[["2000",7]]}}}],"schema":"https://github.com/citation-style-language/schema/raw/master/csl-citation.json"} </w:instrText>
      </w:r>
      <w:r w:rsidR="00752B51" w:rsidRPr="005F2437">
        <w:rPr>
          <w:sz w:val="20"/>
          <w:szCs w:val="20"/>
        </w:rPr>
        <w:fldChar w:fldCharType="separate"/>
      </w:r>
      <w:r w:rsidR="00752B51" w:rsidRPr="005F2437">
        <w:rPr>
          <w:noProof/>
          <w:sz w:val="20"/>
          <w:szCs w:val="20"/>
        </w:rPr>
        <w:t>[2]</w:t>
      </w:r>
      <w:r w:rsidR="00752B51" w:rsidRPr="005F2437">
        <w:rPr>
          <w:sz w:val="20"/>
          <w:szCs w:val="20"/>
        </w:rPr>
        <w:fldChar w:fldCharType="end"/>
      </w:r>
      <w:r w:rsidRPr="005F2437">
        <w:rPr>
          <w:sz w:val="20"/>
          <w:szCs w:val="20"/>
        </w:rPr>
        <w:t xml:space="preserve"> carried out as reported</w:t>
      </w:r>
      <w:r w:rsidR="00752B51" w:rsidRPr="005F2437">
        <w:rPr>
          <w:sz w:val="20"/>
          <w:szCs w:val="20"/>
        </w:rPr>
        <w:t xml:space="preserve"> </w:t>
      </w:r>
      <w:r w:rsidR="00752B51" w:rsidRPr="005F2437">
        <w:rPr>
          <w:sz w:val="20"/>
          <w:szCs w:val="20"/>
          <w:lang w:val="es-ES"/>
        </w:rPr>
        <w:fldChar w:fldCharType="begin"/>
      </w:r>
      <w:r w:rsidR="00156B68" w:rsidRPr="005F2437">
        <w:rPr>
          <w:sz w:val="20"/>
          <w:szCs w:val="20"/>
        </w:rPr>
        <w:instrText xml:space="preserve"> ADDIN ZOTERO_ITEM CSL_CITATION {"citationID":"g11p1m6l","properties":{"formattedCitation":"[3]","plainCitation":"[3]","noteIndex":0},"citationItems":[{"id":20,"uris":["http://zotero.org/users/local/t2kjOUhj/items/9J7DU8U2"],"uri":["http://zotero.org/users/local/t2kjOUhj/items/9J7DU8U2"],"itemData":{"id":20,"type":"article-journal","container-title":"Scientific Reports","DOI":"10.1038/s41598-018-35383-7","ISSN":"2045-2322","issue":"1","journalAbbreviation":"Sci Rep","language":"en","page":"17111","source":"Crossref","title":"Vasoinhibin comprises a three-helix bundle and its antiangiogenic domain is located within the first 79 residues","URL":"http://www.nature.com/articles/s41598-018-35383-7","volume":"8","author":[{"family":"Robles","given":"Juan Pablo"},{"family":"Zamora","given":"Magdalena"},{"family":"Velasco-Bolom","given":"José Luis"},{"family":"Tovar","given":"Miriam"},{"family":"Garduño-Juárez","given":"Ramón"},{"family":"Bertsch","given":"Thomas"},{"family":"Martínez de la Escalera","given":"Gonzalo"},{"family":"Triebel","given":"Jakob"},{"family":"Clapp","given":"Carmen"}],"accessed":{"date-parts":[["2018",12,19]]},"issued":{"date-parts":[["2018",12]]}}}],"schema":"https://github.com/citation-style-language/schema/raw/master/csl-citation.json"} </w:instrText>
      </w:r>
      <w:r w:rsidR="00752B51" w:rsidRPr="005F2437">
        <w:rPr>
          <w:sz w:val="20"/>
          <w:szCs w:val="20"/>
          <w:lang w:val="es-ES"/>
        </w:rPr>
        <w:fldChar w:fldCharType="separate"/>
      </w:r>
      <w:r w:rsidR="00156B68" w:rsidRPr="005F2437">
        <w:rPr>
          <w:noProof/>
          <w:sz w:val="20"/>
          <w:szCs w:val="20"/>
        </w:rPr>
        <w:t>[3]</w:t>
      </w:r>
      <w:r w:rsidR="00752B51" w:rsidRPr="005F2437">
        <w:rPr>
          <w:sz w:val="20"/>
          <w:szCs w:val="20"/>
          <w:lang w:val="es-ES"/>
        </w:rPr>
        <w:fldChar w:fldCharType="end"/>
      </w:r>
      <w:r w:rsidRPr="005F2437">
        <w:rPr>
          <w:sz w:val="20"/>
          <w:szCs w:val="20"/>
        </w:rPr>
        <w:t>. Detection was by chemiluminescence using the peroxidase AffiniPure donkey anti-rabbit IgG (Jackson ImmunoResearch, West Grove, PA), the SuperSignal West Pico PLUS Substrate kit (Thermo Scientific, Whaltham, MA), and the Protein simple fluorchem imager and gel documenter system (ProteinSimple, San Jose, CA). Quantity One 1-D software (BioRad, Hercules, CA) determined optical density values that were interpolated into a PRL standard curve (run within the same blot) to quantify protein concentration.</w:t>
      </w:r>
    </w:p>
    <w:p w14:paraId="709B577F" w14:textId="5062CC62"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Cell culture. </w:t>
      </w:r>
      <w:r w:rsidRPr="005F2437">
        <w:rPr>
          <w:sz w:val="20"/>
          <w:szCs w:val="20"/>
        </w:rPr>
        <w:t xml:space="preserve">The bovine umbilical vein endothelial cell line BUVEC-E6E7 generated as reported </w:t>
      </w:r>
      <w:r w:rsidR="00752B51" w:rsidRPr="005F2437">
        <w:rPr>
          <w:sz w:val="20"/>
          <w:szCs w:val="20"/>
        </w:rPr>
        <w:fldChar w:fldCharType="begin"/>
      </w:r>
      <w:r w:rsidR="00752B51" w:rsidRPr="005F2437">
        <w:rPr>
          <w:sz w:val="20"/>
          <w:szCs w:val="20"/>
        </w:rPr>
        <w:instrText xml:space="preserve"> ADDIN ZOTERO_ITEM CSL_CITATION {"citationID":"RiLzu6lE","properties":{"formattedCitation":"[4]","plainCitation":"[4]","noteIndex":0},"citationItems":[{"id":118,"uris":["http://zotero.org/users/local/t2kjOUhj/items/5MYD8CAC"],"uri":["http://zotero.org/users/local/t2kjOUhj/items/5MYD8CAC"],"itemData":{"id":118,"type":"article-journal","abstract":"Endothelial cells perform a large array of physiological functions that are influenced by their cellular heterogeneity in the different vascular beds. Vein endothelial cells isolated from the umbilical cords are commonly used to study vascular endothelium. Primary cultures of these cells, however, have low proliferative capacity and a limited life span. We have immortalized bovine umbilical vein endothelial cells (BUVEC) by transfection with an expression vector containing the human papillomavirus type 16 E6E7 oncogenes. Expression of E6E7 extended the life span of BUVEC from 40 to more than 1-20 cell replication cycles with no signs of senescence. Four immortalized clones were isolated and found to maintain endothelial cell properties, such as the uptake of acetylated low density lipoprotein, the expression of the von Willebrand protein, the binding of endothelial cell-specific lectins and proliferative responses to the specific endothelial cell mitogen, vascular endothelial growth factor. Moreover, clone BVE-E6E7-1, like its wild-type counterparts, expressed prolactin mRNA and decreased its proliferation in response to the anti-angiogenic 16-kDa fragment of prolactin. This clone showed little signs of genetic instability as revealed by centrosome and chromosome number analysis. Thus, immortalized E6E7 BUVEC cell lines retain endothelial cell characteristics and could facilitate studies to investigate the action of regulatory factors of vascular endothelium. Moreover, being the first non-human umbilical vein endothelial cell lines, their use should provide insights into the mechanisms governing species-related heterogeneity of endothelial cells.","archive_location":"11893074","container-title":"European journal of cell biology","DOI":"10.1078/0171-9335-00213","ISSN":"0171-9335 (PRINT) 0171-9335 (LINKING)","issue":"1","journalAbbreviation":"Eur J Cell Biol","page":"1-8","title":"Immortalization of bovine umbilical vein endothelial cells: a model for the study of vascular endothelium","URL":"http://www.ncbi.nlm.nih.gov/pubmed/11893074","volume":"81","author":[{"family":"Cajero-Juarez","given":"M."},{"family":"Avila","given":"B."},{"family":"Ochoa","given":"A."},{"family":"Garrido-Guerrero","given":"E."},{"family":"Varela-Echavarria","given":"A."},{"family":"Martinez de la Escalera","given":"G."},{"family":"Clapp","given":"C."}],"issued":{"date-parts":[["2002",1]]}}}],"schema":"https://github.com/citation-style-language/schema/raw/master/csl-citation.json"} </w:instrText>
      </w:r>
      <w:r w:rsidR="00752B51" w:rsidRPr="005F2437">
        <w:rPr>
          <w:sz w:val="20"/>
          <w:szCs w:val="20"/>
        </w:rPr>
        <w:fldChar w:fldCharType="separate"/>
      </w:r>
      <w:r w:rsidR="00752B51" w:rsidRPr="005F2437">
        <w:rPr>
          <w:noProof/>
          <w:sz w:val="20"/>
          <w:szCs w:val="20"/>
        </w:rPr>
        <w:t>[4]</w:t>
      </w:r>
      <w:r w:rsidR="00752B51" w:rsidRPr="005F2437">
        <w:rPr>
          <w:sz w:val="20"/>
          <w:szCs w:val="20"/>
        </w:rPr>
        <w:fldChar w:fldCharType="end"/>
      </w:r>
      <w:r w:rsidRPr="005F2437">
        <w:rPr>
          <w:sz w:val="20"/>
          <w:szCs w:val="20"/>
        </w:rPr>
        <w:t xml:space="preserve"> was cultured in F12K medium with 10% FBS and 100 U mL</w:t>
      </w:r>
      <w:r w:rsidRPr="005F2437">
        <w:rPr>
          <w:sz w:val="20"/>
          <w:szCs w:val="20"/>
          <w:vertAlign w:val="superscript"/>
        </w:rPr>
        <w:t>-1</w:t>
      </w:r>
      <w:r w:rsidRPr="005F2437">
        <w:rPr>
          <w:sz w:val="20"/>
          <w:szCs w:val="20"/>
        </w:rPr>
        <w:t xml:space="preserve"> penicillin-streptomycin. </w:t>
      </w:r>
    </w:p>
    <w:p w14:paraId="1278A909" w14:textId="453C8755"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Endothelial cell proliferation. </w:t>
      </w:r>
      <w:r w:rsidRPr="005F2437">
        <w:rPr>
          <w:sz w:val="20"/>
          <w:szCs w:val="20"/>
        </w:rPr>
        <w:t>BUVEC-E6E7 cells seeded at 14,000 cells cm</w:t>
      </w:r>
      <w:r w:rsidRPr="005F2437">
        <w:rPr>
          <w:sz w:val="20"/>
          <w:szCs w:val="20"/>
          <w:vertAlign w:val="superscript"/>
        </w:rPr>
        <w:t>-2</w:t>
      </w:r>
      <w:r w:rsidRPr="005F2437">
        <w:rPr>
          <w:sz w:val="20"/>
          <w:szCs w:val="20"/>
        </w:rPr>
        <w:t xml:space="preserve"> in a 96-well plate were starved with 0.1% FBS for 24 h and treated or not with VEGF (50 ng mL</w:t>
      </w:r>
      <w:r w:rsidRPr="005F2437">
        <w:rPr>
          <w:sz w:val="20"/>
          <w:szCs w:val="20"/>
          <w:vertAlign w:val="superscript"/>
        </w:rPr>
        <w:t>-1</w:t>
      </w:r>
      <w:r w:rsidRPr="005F2437">
        <w:rPr>
          <w:sz w:val="20"/>
          <w:szCs w:val="20"/>
        </w:rPr>
        <w:t>) in starvation medium with or without different concentrations of five peptides synthesized along the 45 to 58 residue sequence of human PRL or with recombinant vasoinhibin of 123 amino acids (positive control). HUVEC cells were seeded at 14,000 cells cm</w:t>
      </w:r>
      <w:r w:rsidRPr="005F2437">
        <w:rPr>
          <w:sz w:val="20"/>
          <w:szCs w:val="20"/>
          <w:vertAlign w:val="superscript"/>
        </w:rPr>
        <w:t>-2</w:t>
      </w:r>
      <w:r w:rsidRPr="005F2437">
        <w:rPr>
          <w:sz w:val="20"/>
          <w:szCs w:val="20"/>
        </w:rPr>
        <w:t xml:space="preserve"> in a 96-well plate for 24 h and starved with 0.5% FBS for 12 h. Medium was then replaced by 20% FBS-F12K and 100 μg mL</w:t>
      </w:r>
      <w:r w:rsidRPr="005F2437">
        <w:rPr>
          <w:sz w:val="20"/>
          <w:szCs w:val="20"/>
          <w:vertAlign w:val="superscript"/>
        </w:rPr>
        <w:t>-1</w:t>
      </w:r>
      <w:r w:rsidRPr="005F2437">
        <w:rPr>
          <w:sz w:val="20"/>
          <w:szCs w:val="20"/>
        </w:rPr>
        <w:t xml:space="preserve"> heparin containing or not VEGF (25 ng mL</w:t>
      </w:r>
      <w:r w:rsidRPr="005F2437">
        <w:rPr>
          <w:sz w:val="20"/>
          <w:szCs w:val="20"/>
          <w:vertAlign w:val="superscript"/>
        </w:rPr>
        <w:t>-1</w:t>
      </w:r>
      <w:r w:rsidRPr="005F2437">
        <w:rPr>
          <w:sz w:val="20"/>
          <w:szCs w:val="20"/>
        </w:rPr>
        <w:t>), bFGF (20 ng mL</w:t>
      </w:r>
      <w:r w:rsidRPr="005F2437">
        <w:rPr>
          <w:sz w:val="20"/>
          <w:szCs w:val="20"/>
          <w:vertAlign w:val="superscript"/>
        </w:rPr>
        <w:t>-1</w:t>
      </w:r>
      <w:r w:rsidRPr="005F2437">
        <w:rPr>
          <w:sz w:val="20"/>
          <w:szCs w:val="20"/>
        </w:rPr>
        <w:t>), IL-1b (10 ng mL</w:t>
      </w:r>
      <w:r w:rsidRPr="005F2437">
        <w:rPr>
          <w:sz w:val="20"/>
          <w:szCs w:val="20"/>
          <w:vertAlign w:val="superscript"/>
        </w:rPr>
        <w:t>-1</w:t>
      </w:r>
      <w:r w:rsidRPr="005F2437">
        <w:rPr>
          <w:sz w:val="20"/>
          <w:szCs w:val="20"/>
        </w:rPr>
        <w:t>), or BK (10 μM) or a combination of 25 ng mL</w:t>
      </w:r>
      <w:r w:rsidRPr="005F2437">
        <w:rPr>
          <w:sz w:val="20"/>
          <w:szCs w:val="20"/>
          <w:vertAlign w:val="superscript"/>
        </w:rPr>
        <w:t>-1</w:t>
      </w:r>
      <w:r w:rsidRPr="005F2437">
        <w:rPr>
          <w:sz w:val="20"/>
          <w:szCs w:val="20"/>
        </w:rPr>
        <w:t xml:space="preserve"> of VEGF and 20 ng mL</w:t>
      </w:r>
      <w:r w:rsidRPr="005F2437">
        <w:rPr>
          <w:sz w:val="20"/>
          <w:szCs w:val="20"/>
          <w:vertAlign w:val="superscript"/>
        </w:rPr>
        <w:t>-1</w:t>
      </w:r>
      <w:r w:rsidRPr="005F2437">
        <w:rPr>
          <w:sz w:val="20"/>
          <w:szCs w:val="20"/>
        </w:rPr>
        <w:t xml:space="preserve"> of bFGF for 24 h in the presence or absence of a single dose (100 nM) or different doses of PRL (negative control), recombinant vasoinhibin, Vi45-51, synthetic peptides having the same residue composition as the 45-51 segment but in scrambled order (negative control), Vi45-51 subjected to alanine scanning mutagenesis, a tripeptide comprising residues 46 to 48 of vasoinhibin (Vi46-48), a Vi45-51 where G47 was deleted (</w:t>
      </w:r>
      <w:r w:rsidRPr="005F2437">
        <w:rPr>
          <w:i/>
          <w:iCs/>
          <w:sz w:val="20"/>
          <w:szCs w:val="20"/>
        </w:rPr>
        <w:t>des</w:t>
      </w:r>
      <w:r w:rsidRPr="005F2437">
        <w:rPr>
          <w:sz w:val="20"/>
          <w:szCs w:val="20"/>
        </w:rPr>
        <w:t>-G</w:t>
      </w:r>
      <w:r w:rsidRPr="005F2437">
        <w:rPr>
          <w:sz w:val="20"/>
          <w:szCs w:val="20"/>
          <w:vertAlign w:val="superscript"/>
        </w:rPr>
        <w:t>47</w:t>
      </w:r>
      <w:r w:rsidRPr="005F2437">
        <w:rPr>
          <w:sz w:val="20"/>
          <w:szCs w:val="20"/>
        </w:rPr>
        <w:t xml:space="preserve">), a conserved version of the Vi45-51 (cVi45-51) and the QGR tripeptide, heptapeptides comprising residues 39 to 45 of growth hormone (GH39-45) or placental lactogen (PL39-45), tripeptides EQK and QKY, the dipeptide QK (Table S2), alanine mutants of the vasoinhibin with 123 residues (Vi-H46A, Vi-R48A, Vi-H46A/R48A), alanine mutants of PRL (PRL-E161A, PRL-E162A, PRL-E161A/E162A), CRIVi45-51, antiangiogenic proteins (endostatin, angiostatin), antiangiogenic oligopeptides (anginex, cilengitide), or antiangiogenic tyrosine-kinase inhibitors (pazopanib, sunitinib, sorafenib). DNA synthesis was quantified by the DNA incorporation of the thymidine analogue 5-ethynyl-2’-deoxyuridine (EdU, Sigma) added at the time of treatments and labelled by the click reaction with fluorescent Azide Fluor 545 (Sigma-Aldrich) as reported </w:t>
      </w:r>
      <w:r w:rsidR="00156B68" w:rsidRPr="005F2437">
        <w:rPr>
          <w:sz w:val="20"/>
          <w:szCs w:val="20"/>
        </w:rPr>
        <w:fldChar w:fldCharType="begin"/>
      </w:r>
      <w:r w:rsidR="00156B68" w:rsidRPr="005F2437">
        <w:rPr>
          <w:sz w:val="20"/>
          <w:szCs w:val="20"/>
        </w:rPr>
        <w:instrText xml:space="preserve"> ADDIN ZOTERO_ITEM CSL_CITATION {"citationID":"xHfjd3yU","properties":{"formattedCitation":"[3, 5]","plainCitation":"[3, 5]","noteIndex":0},"citationItems":[{"id":20,"uris":["http://zotero.org/users/local/t2kjOUhj/items/9J7DU8U2"],"uri":["http://zotero.org/users/local/t2kjOUhj/items/9J7DU8U2"],"itemData":{"id":20,"type":"article-journal","container-title":"Scientific Reports","DOI":"10.1038/s41598-018-35383-7","ISSN":"2045-2322","issue":"1","journalAbbreviation":"Sci Rep","language":"en","page":"17111","source":"Crossref","title":"Vasoinhibin comprises a three-helix bundle and its antiangiogenic domain is located within the first 79 residues","URL":"http://www.nature.com/articles/s41598-018-35383-7","volume":"8","author":[{"family":"Robles","given":"Juan Pablo"},{"family":"Zamora","given":"Magdalena"},{"family":"Velasco-Bolom","given":"José Luis"},{"family":"Tovar","given":"Miriam"},{"family":"Garduño-Juárez","given":"Ramón"},{"family":"Bertsch","given":"Thomas"},{"family":"Martínez de la Escalera","given":"Gonzalo"},{"family":"Triebel","given":"Jakob"},{"family":"Clapp","given":"Carmen"}],"accessed":{"date-parts":[["2018",12,19]]},"issued":{"date-parts":[["2018",12]]}}},{"id":934,"uris":["http://zotero.org/users/local/t2kjOUhj/items/MZ2SZBGC"],"uri":["http://zotero.org/users/local/t2kjOUhj/items/MZ2SZBGC"],"itemData":{"id":934,"type":"article-journal","abstract":"We have developed a method to detect DNA synthesis in proliferating cells, based on the incorporation of 5-ethynyl-2'-deoxyuridine (EdU) and its subsequent detection by a fluorescent azide through a Cu(I)-catalyzed [3 + 2] cycloaddition reaction (\"click\" chemistry). Detection of the EdU label is highly sensitive and can be accomplished in minutes. The small size of the fluorescent azides used for detection results in a high degree of specimen penetration, allowing the staining of whole-mount preparations of large tissue and organ explants. In contrast to BrdU, the method does not require sample fixation or DNA denaturation and permits good structural preservation. We demonstrate the use of the method in cultured cells and in the intestine and brain of whole animals.","container-title":"Proceedings of the National Academy of Sciences of the United States of America","DOI":"10.1073/pnas.0712168105","ISSN":"1091-6490","issue":"7","journalAbbreviation":"Proc Natl Acad Sci U S A","language":"eng","note":"PMID: 18272492\nPMCID: PMC2268151","page":"2415-2420","source":"PubMed","title":"A chemical method for fast and sensitive detection of DNA synthesis in vivo","volume":"105","author":[{"family":"Salic","given":"Adrian"},{"family":"Mitchison","given":"Timothy J."}],"issued":{"date-parts":[["2008",2,19]]}}}],"schema":"https://github.com/citation-style-language/schema/raw/master/csl-citation.json"} </w:instrText>
      </w:r>
      <w:r w:rsidR="00156B68" w:rsidRPr="005F2437">
        <w:rPr>
          <w:sz w:val="20"/>
          <w:szCs w:val="20"/>
        </w:rPr>
        <w:fldChar w:fldCharType="separate"/>
      </w:r>
      <w:r w:rsidR="00156B68" w:rsidRPr="005F2437">
        <w:rPr>
          <w:noProof/>
          <w:sz w:val="20"/>
          <w:szCs w:val="20"/>
        </w:rPr>
        <w:t>[3, 5]</w:t>
      </w:r>
      <w:r w:rsidR="00156B68" w:rsidRPr="005F2437">
        <w:rPr>
          <w:sz w:val="20"/>
          <w:szCs w:val="20"/>
        </w:rPr>
        <w:fldChar w:fldCharType="end"/>
      </w:r>
      <w:r w:rsidRPr="005F2437">
        <w:rPr>
          <w:sz w:val="20"/>
          <w:szCs w:val="20"/>
        </w:rPr>
        <w:t xml:space="preserve">. </w:t>
      </w:r>
      <w:r w:rsidRPr="005F2437">
        <w:rPr>
          <w:sz w:val="20"/>
          <w:szCs w:val="20"/>
        </w:rPr>
        <w:lastRenderedPageBreak/>
        <w:t>Images were obtained in a fluorescent inverted microscope (Olympus IX51, Japan) and quantified using the CellProfiler software</w:t>
      </w:r>
      <w:r w:rsidR="00752B51" w:rsidRPr="005F2437">
        <w:rPr>
          <w:sz w:val="20"/>
          <w:szCs w:val="20"/>
        </w:rPr>
        <w:t xml:space="preserve"> </w:t>
      </w:r>
      <w:r w:rsidR="00752B51" w:rsidRPr="005F2437">
        <w:rPr>
          <w:sz w:val="20"/>
          <w:szCs w:val="20"/>
        </w:rPr>
        <w:fldChar w:fldCharType="begin"/>
      </w:r>
      <w:r w:rsidR="00156B68" w:rsidRPr="005F2437">
        <w:rPr>
          <w:sz w:val="20"/>
          <w:szCs w:val="20"/>
        </w:rPr>
        <w:instrText xml:space="preserve"> ADDIN ZOTERO_ITEM CSL_CITATION {"citationID":"hcgPCejl","properties":{"formattedCitation":"[6]","plainCitation":"[6]","noteIndex":0},"citationItems":[{"id":940,"uris":["http://zotero.org/users/local/t2kjOUhj/items/WI42RVGS"],"uri":["http://zotero.org/users/local/t2kjOUhj/items/WI42RVGS"],"itemData":{"id":940,"type":"article-journal","abstract":"Biologists can now prepare and image thousands of samples per day using automation, enabling chemical screens and functional genomics (for example, using RNA interference). Here we describe the first free, open-source system designed for flexible, high-throughput cell image analysis, CellProfiler. CellProfiler can address a variety of biological questions quantitatively, including standard assays (for example, cell count, size, per-cell protein levels) and complex morphological assays (for example, cell/organelle shape or subcellular patterns of DNA or protein staining).","container-title":"Genome Biology","DOI":"10.1186/gb-2006-7-10-r100","ISSN":"1474-760X","issue":"10","journalAbbreviation":"Genome Biol","page":"R100","source":"BioMed Central","title":"CellProfiler: image analysis software for identifying and quantifying cell phenotypes","title-short":"CellProfiler","URL":"https://doi.org/10.1186/gb-2006-7-10-r100","volume":"7","author":[{"family":"Carpenter","given":"Anne E."},{"family":"Jones","given":"Thouis R."},{"family":"Lamprecht","given":"Michael R."},{"family":"Clarke","given":"Colin"},{"family":"Kang","given":"In Han"},{"family":"Friman","given":"Ola"},{"family":"Guertin","given":"David A."},{"family":"Chang","given":"Joo Han"},{"family":"Lindquist","given":"Robert A."},{"family":"Moffat","given":"Jason"},{"family":"Golland","given":"Polina"},{"family":"Sabatini","given":"David M."}],"accessed":{"date-parts":[["2019",2,18]]},"issued":{"date-parts":[["2006",10,31]]}}}],"schema":"https://github.com/citation-style-language/schema/raw/master/csl-citation.json"} </w:instrText>
      </w:r>
      <w:r w:rsidR="00752B51" w:rsidRPr="005F2437">
        <w:rPr>
          <w:sz w:val="20"/>
          <w:szCs w:val="20"/>
        </w:rPr>
        <w:fldChar w:fldCharType="separate"/>
      </w:r>
      <w:r w:rsidR="00156B68" w:rsidRPr="005F2437">
        <w:rPr>
          <w:noProof/>
          <w:sz w:val="20"/>
          <w:szCs w:val="20"/>
        </w:rPr>
        <w:t>[6]</w:t>
      </w:r>
      <w:r w:rsidR="00752B51" w:rsidRPr="005F2437">
        <w:rPr>
          <w:sz w:val="20"/>
          <w:szCs w:val="20"/>
        </w:rPr>
        <w:fldChar w:fldCharType="end"/>
      </w:r>
      <w:r w:rsidRPr="005F2437">
        <w:rPr>
          <w:sz w:val="20"/>
          <w:szCs w:val="20"/>
        </w:rPr>
        <w:t>. The number of EdU-positive cells over total DNA (Hoechst)-stained cells was expressed as percentage proliferation. B16-F10 cells and HUVEC were seeded at 12,600 cells cm</w:t>
      </w:r>
      <w:r w:rsidRPr="005F2437">
        <w:rPr>
          <w:sz w:val="20"/>
          <w:szCs w:val="20"/>
          <w:vertAlign w:val="superscript"/>
        </w:rPr>
        <w:t>-2</w:t>
      </w:r>
      <w:r w:rsidRPr="005F2437">
        <w:rPr>
          <w:sz w:val="20"/>
          <w:szCs w:val="20"/>
        </w:rPr>
        <w:t xml:space="preserve"> and 7,400 cells cm</w:t>
      </w:r>
      <w:r w:rsidRPr="005F2437">
        <w:rPr>
          <w:sz w:val="20"/>
          <w:szCs w:val="20"/>
          <w:vertAlign w:val="superscript"/>
        </w:rPr>
        <w:t>-2</w:t>
      </w:r>
      <w:r w:rsidRPr="005F2437">
        <w:rPr>
          <w:sz w:val="20"/>
          <w:szCs w:val="20"/>
        </w:rPr>
        <w:t>, respectively, in a 24-well plate and incubated for different times in complete medium in the absence or presence of 100 nM CRIVi45-51 added every 24 h. Cells were trypsinized and counted.</w:t>
      </w:r>
    </w:p>
    <w:p w14:paraId="34F756BF" w14:textId="0D2A1ABA"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ERK1/2, Akt, and eNOS phosphorylation. </w:t>
      </w:r>
      <w:r w:rsidRPr="005F2437">
        <w:rPr>
          <w:sz w:val="20"/>
          <w:szCs w:val="20"/>
        </w:rPr>
        <w:t>HUVEC cells were cultured until 80% confluence in 100 mm culture dishes, starved (0.5% FBS without ECGS and heparin) for 3 h, and treated or not for another h with 100 nM recombinant vasoinhibin or Vi45-51 followed by the addition or not of 100 ng mL</w:t>
      </w:r>
      <w:r w:rsidRPr="005F2437">
        <w:rPr>
          <w:sz w:val="20"/>
          <w:szCs w:val="20"/>
          <w:vertAlign w:val="superscript"/>
        </w:rPr>
        <w:t>-1</w:t>
      </w:r>
      <w:r w:rsidRPr="005F2437">
        <w:rPr>
          <w:sz w:val="20"/>
          <w:szCs w:val="20"/>
        </w:rPr>
        <w:t xml:space="preserve"> VEGF. After 10 min, cells were washed twice with cold TBS, scraped with 200 μL RIPA buffer supplemented with 1:100 Halt Protease-Phosphatase Inhibitor cocktail and 5 mM of EDTA (both from Thermo Scientific), centrifuged (10,000 x g, 4°C for 10 min), and supernatants aliquoted and stored (-70°C) until western blot analysis. Supernatants (80 μg of protein) were blotted with antibodies against phospho</w:t>
      </w:r>
      <w:r w:rsidR="002434DA" w:rsidRPr="005F2437">
        <w:rPr>
          <w:sz w:val="20"/>
          <w:szCs w:val="20"/>
        </w:rPr>
        <w:t xml:space="preserve">rylated proteins </w:t>
      </w:r>
      <w:r w:rsidRPr="005F2437">
        <w:rPr>
          <w:sz w:val="20"/>
          <w:szCs w:val="20"/>
        </w:rPr>
        <w:t>and goat anti-rabbit horseradish peroxidase secondary antibodies (111-035-144, 1:5000, Jackson ImmunoResearch, Philadelphia, PA). Immunoblots were developed using the SuperSignal West Pico PLUS Chemiluminescent Substrate kit (Thermo Fisher Scientific) in the FluorChem E imager and gel documenter system (ProteinSimple). Membranes were then reblotted using antibodies against total proteins, goat anti-rabbit alkaline phosphatase secondary antibodies (Jackson ImmunoResearch), and a colorimetric detection kit (BioRad, cat. 1706432). Quantity One 1-D analysis software (BioRad) evaluated optical densities.</w:t>
      </w:r>
    </w:p>
    <w:p w14:paraId="0FC79D9B" w14:textId="4E2A27E0"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Matrigel plug angiogenesis assay. </w:t>
      </w:r>
      <w:r w:rsidRPr="005F2437">
        <w:rPr>
          <w:sz w:val="20"/>
          <w:szCs w:val="20"/>
        </w:rPr>
        <w:t>Matrigel plug (0.5 mL, BD Biosciences) was implanted into right and left ventral areas of male C57BL6 mice (6 weeks old). After 6 days, animals were euthanized by cervical dislocation and the Matrigel was dissected, photographed, weighed, snap-frozen in liquid nitrogen, and stored at -70°C. HEK293T cells (10</w:t>
      </w:r>
      <w:r w:rsidRPr="005F2437">
        <w:rPr>
          <w:sz w:val="20"/>
          <w:szCs w:val="20"/>
          <w:vertAlign w:val="superscript"/>
        </w:rPr>
        <w:t>4</w:t>
      </w:r>
      <w:r w:rsidRPr="005F2437">
        <w:rPr>
          <w:sz w:val="20"/>
          <w:szCs w:val="20"/>
        </w:rPr>
        <w:t>) were added per mg of harvested plug as an external cell tracer. mRNA levels of endothelial cell markers (CD-31 and vascular endothelial-cadherin, VE-Cad) and pericyte marker (NG2) were measured by mouse-specific RT-qPCR and data were normalized for human GAPDH mRNA levels as follows. Total RNA from the Matrigel and HEK293T cell-mix was isolated using TRIzol reagent (Invitrogen, Carlsbad, CA), retrotranscribed with the High-Capacity cDNA Reverse Transcription kit (Applied Biosystems, Foster City, CA) and quantified using Maxima SYBR Green qPCR Master Mix (Thermo Fisher Scientific) in a final reaction of 10 μL containing 20 ng of cDNA, and 0.5 μM of each of the following mouse primers: CD31 forward (5’-cggttatgatgatgtttctgga-3’) and reverse (5’-aagggaggacacttccacttct-3’); VE-Cad forward (5’-ttgggctttctgactgttgt-3’) and reverse (5’-cagggacttcgtgggttt-3’); and NG2 forward (5’-gaggtcttggtgaacttcaccc-3’) and reverse (5’-gacagtaggagaccgatggtgt-3’). The primers for human GAPDH were forward (5’-gaaggtcggagtcaacggatt-3’) and reverse (5’-tgacggtgccatggaatttg-3’). The amplification conditions were 10 s at 95°C, 30 s at each primer pair-specific annealing temperature, and 30 s at 72°C for 35 cycles. The mRNA expression levels were calculated by the 2</w:t>
      </w:r>
      <w:r w:rsidRPr="005F2437">
        <w:rPr>
          <w:sz w:val="20"/>
          <w:szCs w:val="20"/>
          <w:vertAlign w:val="superscript"/>
        </w:rPr>
        <w:t>-ΔΔCT</w:t>
      </w:r>
      <w:r w:rsidRPr="005F2437">
        <w:rPr>
          <w:sz w:val="20"/>
          <w:szCs w:val="20"/>
        </w:rPr>
        <w:t xml:space="preserve"> method normalized to the human GAPDH transcript. </w:t>
      </w:r>
    </w:p>
    <w:p w14:paraId="77F5E9F8" w14:textId="77777777" w:rsidR="00665129" w:rsidRPr="005F2437" w:rsidRDefault="00665129" w:rsidP="00665129">
      <w:pPr>
        <w:pBdr>
          <w:top w:val="nil"/>
          <w:left w:val="nil"/>
          <w:bottom w:val="nil"/>
          <w:right w:val="nil"/>
          <w:between w:val="nil"/>
        </w:pBdr>
        <w:spacing w:before="120"/>
        <w:rPr>
          <w:b/>
          <w:sz w:val="20"/>
        </w:rPr>
      </w:pPr>
      <w:r w:rsidRPr="005F2437">
        <w:rPr>
          <w:b/>
          <w:bCs/>
          <w:sz w:val="20"/>
          <w:szCs w:val="20"/>
        </w:rPr>
        <w:t xml:space="preserve">Retinal angiogenesis assay. </w:t>
      </w:r>
      <w:r w:rsidRPr="005F2437">
        <w:rPr>
          <w:sz w:val="20"/>
          <w:szCs w:val="20"/>
        </w:rPr>
        <w:t>CD1 pups of either sex from postnatal day (P) 3 to 8 were intraperitoneally injected every 12 h with vehicle (PBS) or 300 μg kg</w:t>
      </w:r>
      <w:r w:rsidRPr="005F2437">
        <w:rPr>
          <w:sz w:val="20"/>
          <w:szCs w:val="20"/>
          <w:vertAlign w:val="superscript"/>
        </w:rPr>
        <w:t>-1</w:t>
      </w:r>
      <w:r w:rsidRPr="005F2437">
        <w:rPr>
          <w:sz w:val="20"/>
          <w:szCs w:val="20"/>
        </w:rPr>
        <w:t xml:space="preserve"> of Vi45-51. At P8 pups were euthanized by carbon dioxide inhalation and decapitation, and retinas were either processed or frozen to evaluate blood vessels by immunofluorescence or RT-qPCR, respectively. For immunofluorescence, the eyes were fixed in 4% paraformaldehyde for 10 min and the retinas were dissected, maintained in cold-methanol for at least 20 min, washed, and permeabilized and blocked with PBS containing 1% Triton X-100, 0.4% BSA, and 10% normal goat serum for 48 h at 4°C. Retinas were then immunostained for 48 h at 4oC with a 1:100 dilution of the anti-CD31 polyclonal antibody (ab28364; Abcam, Cambridge, MA), washed, and labelled overnight with a 1:500 dilution of Alexa Fluor 555 goat anti-rabbit secondary antibody (A32732; Invitrogen). Finally, retinas were washed, flat-mounted, cover-slipped using Vectashield H-1000 (Vector Laboratories, Inc., Burlingame, CA), observed and digitized under a confocal microscope (LSM 780 DUO; Carl Zeiss, Oberkochen, Germany). The vascular radius (VR, from the optic nerve to the vascular front) over the retinal radius (RR, from the optic nerve to retinal edge) was determined as index of retinal vascular expansion. Total RNA was extracted using the Qiagen RNeasy Mini Kit (Qiagen, Valencia, CA) and retrotranscribed to cDNA with the High-Capacity cDNA Reverse Transcription Kit (Applied Biosystems). CD-31 mRNA levels were quantified by RT-qPCR using Maxima SYBR Green qPCR Master Mix (Thermo Scientific) in a final reaction of 10 μL containing 20 ng of cDNA, 0.5 μM CD31 primers [forward (5’-cggttatgatgatgtttctgga-3’) and reverse (5’-aagggaggacacttccacttct-3’)], and GAPDH primers [forward (5’-gaaggtcggtgtgaacggatt-3’) and reverse (5’-tgactgtgccgttgaatttg-3’)]. The amplification conditions were 10 s at 95°C, 30 s at each primer pair-specific annealing temperature, and 30 s at 72°C for 40 cycles. The data were analyzed by the 2</w:t>
      </w:r>
      <w:r w:rsidRPr="005F2437">
        <w:rPr>
          <w:sz w:val="20"/>
          <w:szCs w:val="20"/>
          <w:vertAlign w:val="superscript"/>
        </w:rPr>
        <w:t xml:space="preserve">-ΔΔCT </w:t>
      </w:r>
      <w:r w:rsidRPr="005F2437">
        <w:rPr>
          <w:sz w:val="20"/>
          <w:szCs w:val="20"/>
        </w:rPr>
        <w:t>method, and Ct values were normalized to GAPDH.</w:t>
      </w:r>
    </w:p>
    <w:p w14:paraId="301DC4CF" w14:textId="45E432B3"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lastRenderedPageBreak/>
        <w:t xml:space="preserve">Retinal vasopermeability assay. </w:t>
      </w:r>
      <w:r w:rsidRPr="005F2437">
        <w:rPr>
          <w:sz w:val="20"/>
          <w:szCs w:val="20"/>
        </w:rPr>
        <w:t>Male Wistar rats (300 g) anesthetized with 70% ketamine and 30% xylazine (1 μL g</w:t>
      </w:r>
      <w:r w:rsidRPr="005F2437">
        <w:rPr>
          <w:sz w:val="20"/>
          <w:szCs w:val="20"/>
          <w:vertAlign w:val="superscript"/>
        </w:rPr>
        <w:t>-1</w:t>
      </w:r>
      <w:r w:rsidRPr="005F2437">
        <w:rPr>
          <w:sz w:val="20"/>
          <w:szCs w:val="20"/>
        </w:rPr>
        <w:t>) were injected intravitreally with 3 μL of vehicle (PBS) containing or not 200 ng of VEGF with or without 20 μM recombinant vasoinhibin or Vi45-51, and retinal vasopermeability was evaluated after 24 h by fluorescein angiography or the Evans blue method. Anesthetized rats were injected intrajugularly with 100 mg kg</w:t>
      </w:r>
      <w:r w:rsidRPr="005F2437">
        <w:rPr>
          <w:sz w:val="20"/>
          <w:szCs w:val="20"/>
          <w:vertAlign w:val="superscript"/>
        </w:rPr>
        <w:t>-1</w:t>
      </w:r>
      <w:r w:rsidRPr="005F2437">
        <w:rPr>
          <w:sz w:val="20"/>
          <w:szCs w:val="20"/>
        </w:rPr>
        <w:t xml:space="preserve"> fluorescein isothiocyanate-labelled dextran (50 mg mL</w:t>
      </w:r>
      <w:r w:rsidRPr="005F2437">
        <w:rPr>
          <w:sz w:val="20"/>
          <w:szCs w:val="20"/>
          <w:vertAlign w:val="superscript"/>
        </w:rPr>
        <w:t>-1</w:t>
      </w:r>
      <w:r w:rsidRPr="005F2437">
        <w:rPr>
          <w:sz w:val="20"/>
          <w:szCs w:val="20"/>
        </w:rPr>
        <w:t>, FITC-dextran, MW 2·10</w:t>
      </w:r>
      <w:r w:rsidRPr="005F2437">
        <w:rPr>
          <w:sz w:val="20"/>
          <w:szCs w:val="20"/>
          <w:vertAlign w:val="superscript"/>
        </w:rPr>
        <w:t>6</w:t>
      </w:r>
      <w:r w:rsidRPr="005F2437">
        <w:rPr>
          <w:sz w:val="20"/>
          <w:szCs w:val="20"/>
        </w:rPr>
        <w:t xml:space="preserve"> Da), and euthanized 1 h later. Their retinas were flat-mounted, fixed for 4 h in 4% paraformaldehyde at room temperature, washed, mounted on glass slides with Vectashield (Vector Laboratories, Burlingame, CA), and observed under a fluorescence microscope. The Evans blue tracer (45 mg kg</w:t>
      </w:r>
      <w:r w:rsidRPr="005F2437">
        <w:rPr>
          <w:sz w:val="20"/>
          <w:szCs w:val="20"/>
          <w:vertAlign w:val="superscript"/>
        </w:rPr>
        <w:t>-1</w:t>
      </w:r>
      <w:r w:rsidRPr="005F2437">
        <w:rPr>
          <w:sz w:val="20"/>
          <w:szCs w:val="20"/>
        </w:rPr>
        <w:t>, Sigma-Aldrich) was injected intrajugularly into anesthetized rats. Two h later, 1 mL of blood was obtained from the heart to quantify Evans blue concentration in plasma and rats were perfused via the left ventricle with 100 mL PBS (pH 3.5 at 37°C) at 50 mL min</w:t>
      </w:r>
      <w:r w:rsidRPr="005F2437">
        <w:rPr>
          <w:sz w:val="20"/>
          <w:szCs w:val="20"/>
          <w:vertAlign w:val="superscript"/>
        </w:rPr>
        <w:t>-1</w:t>
      </w:r>
      <w:r w:rsidRPr="005F2437">
        <w:rPr>
          <w:sz w:val="20"/>
          <w:szCs w:val="20"/>
        </w:rPr>
        <w:t>. The retinas were dissected, vacuum-dried for 4 h, weighed, incubated in 200 μL of formamide (Mallinckrodt Baker, Phillipsburg, NJ) at 72°C for 18 h, and centrifuged at 300,000 x g for 60 min at 4°C. The absorbance of supernatants was evaluated at 620 nm, and the values were interpolated using a standard curve of Evans blue in formamide normalized to the retina and body weight and to the Evans blue concentration in plasma.</w:t>
      </w:r>
    </w:p>
    <w:p w14:paraId="0113FA77" w14:textId="21487BE6" w:rsidR="00665129" w:rsidRPr="005F2437" w:rsidRDefault="00665129" w:rsidP="00665129">
      <w:pPr>
        <w:pBdr>
          <w:top w:val="nil"/>
          <w:left w:val="nil"/>
          <w:bottom w:val="nil"/>
          <w:right w:val="nil"/>
          <w:between w:val="nil"/>
        </w:pBdr>
        <w:spacing w:before="120"/>
        <w:rPr>
          <w:sz w:val="20"/>
          <w:szCs w:val="20"/>
        </w:rPr>
      </w:pPr>
      <w:r w:rsidRPr="005F2437">
        <w:rPr>
          <w:b/>
          <w:bCs/>
          <w:sz w:val="20"/>
          <w:szCs w:val="20"/>
        </w:rPr>
        <w:t xml:space="preserve">Tumor model. </w:t>
      </w:r>
      <w:r w:rsidRPr="005F2437">
        <w:rPr>
          <w:sz w:val="20"/>
          <w:szCs w:val="20"/>
        </w:rPr>
        <w:t>Female C57BL6 mice (8-12 weeks-old) under 2.5% isoflurane anesthesia (SomnoSuite system, Kent Scientific, Torrington, CT) were inoculated into their right flank with 10</w:t>
      </w:r>
      <w:r w:rsidRPr="005F2437">
        <w:rPr>
          <w:sz w:val="20"/>
          <w:szCs w:val="20"/>
          <w:vertAlign w:val="superscript"/>
        </w:rPr>
        <w:t>5</w:t>
      </w:r>
      <w:r w:rsidRPr="005F2437">
        <w:rPr>
          <w:sz w:val="20"/>
          <w:szCs w:val="20"/>
        </w:rPr>
        <w:t xml:space="preserve"> B16-F10 cells in 50 μL PBS. Tumor length and width were measured daily, and volume was estimated by the formula: Volume = (length x width</w:t>
      </w:r>
      <w:r w:rsidRPr="005F2437">
        <w:rPr>
          <w:sz w:val="20"/>
          <w:szCs w:val="20"/>
          <w:vertAlign w:val="superscript"/>
        </w:rPr>
        <w:t>2</w:t>
      </w:r>
      <w:r w:rsidRPr="005F2437">
        <w:rPr>
          <w:sz w:val="20"/>
          <w:szCs w:val="20"/>
        </w:rPr>
        <w:t>) x 0.5. Five days after tumor cell inoculation, mice were injected daily into the lateral tail vein with vehicle (</w:t>
      </w:r>
      <w:r w:rsidR="00D23783" w:rsidRPr="005F2437">
        <w:rPr>
          <w:sz w:val="20"/>
          <w:szCs w:val="20"/>
        </w:rPr>
        <w:t>normal saline</w:t>
      </w:r>
      <w:r w:rsidRPr="005F2437">
        <w:rPr>
          <w:sz w:val="20"/>
          <w:szCs w:val="20"/>
        </w:rPr>
        <w:t>) or 0.1 or 1.0 mg kg</w:t>
      </w:r>
      <w:r w:rsidRPr="005F2437">
        <w:rPr>
          <w:sz w:val="20"/>
          <w:szCs w:val="20"/>
          <w:vertAlign w:val="superscript"/>
        </w:rPr>
        <w:t>-1</w:t>
      </w:r>
      <w:r w:rsidRPr="005F2437">
        <w:rPr>
          <w:sz w:val="20"/>
          <w:szCs w:val="20"/>
        </w:rPr>
        <w:t xml:space="preserve"> CRIVi45-51, and tumor volumes were assessed daily for the following 8 d. In other experiments, 1.0 mg kg</w:t>
      </w:r>
      <w:r w:rsidRPr="005F2437">
        <w:rPr>
          <w:sz w:val="20"/>
          <w:szCs w:val="20"/>
          <w:vertAlign w:val="superscript"/>
        </w:rPr>
        <w:t>-1</w:t>
      </w:r>
      <w:r w:rsidRPr="005F2437">
        <w:rPr>
          <w:sz w:val="20"/>
          <w:szCs w:val="20"/>
        </w:rPr>
        <w:t xml:space="preserve"> CRIVi45-51 or vehicle was delivered daily intragastrically through a 20G x 1.5’’ curved metal gavage canula (Cadence Science, Staunton, VA) for the 8 d following tumor cell injection. Animals were then euthanized by cervical dislocation and the tumors processed or frozen to evaluate blood vessels by immunofluorescence or RT-qPCR, respectively. For immunofluorescence, tumors were dissected, fixed in 4% paraformaldehyde for 48 h, cryoprotected for 24 h in 10, 20, and 30% sucrose, frozen in Tissue Freezing Medium (Leica Biosystems), cut into 5 μm cryostat sections, and mounted on SuperFrost/Plus slides (Microm, Francheville, France). Sections were permeabilized with 1% Triton X-100, blocked with 1% BSA and 0.1% Tween20 in PBS for 1 h, and immunostained overnight at 4°C with a 1:200 dilution of anti-CD31 polyclonal antibody (ab28364, Abcam) followed by detection with a 1:500 dilution of Alexa Fluor 555 goat anti-rabbit secondary antibody (A32732, Invitrogen). Tumor sections were cover-slipped with Vectashield H-1000 (Vector Laboratories) and digitalized at 20X and 40X magnification under a fluorescence microscope (Olympus BX60). The number of vessels per tumor area measured vascular density. CD-31 and VE-Cad mRNA levels were quantified by RT-qPCR following the method already described in the retinal angiogenesis assay section.</w:t>
      </w:r>
    </w:p>
    <w:p w14:paraId="1CE43597" w14:textId="77777777" w:rsidR="00665129" w:rsidRPr="005F2437" w:rsidRDefault="00665129" w:rsidP="00665129">
      <w:pPr>
        <w:spacing w:before="120"/>
        <w:rPr>
          <w:b/>
          <w:bCs/>
          <w:sz w:val="28"/>
          <w:szCs w:val="28"/>
        </w:rPr>
      </w:pPr>
      <w:r w:rsidRPr="005F2437">
        <w:rPr>
          <w:b/>
          <w:sz w:val="28"/>
        </w:rPr>
        <w:t>SI References</w:t>
      </w:r>
    </w:p>
    <w:p w14:paraId="73BF6923" w14:textId="77777777" w:rsidR="00156B68" w:rsidRPr="005F2437" w:rsidRDefault="00156B68" w:rsidP="00156B68">
      <w:pPr>
        <w:pStyle w:val="Bibliography"/>
        <w:spacing w:after="0"/>
        <w:rPr>
          <w:rFonts w:ascii="Times New Roman" w:hAnsi="Times New Roman" w:cs="Times New Roman"/>
          <w:sz w:val="20"/>
          <w:szCs w:val="20"/>
        </w:rPr>
      </w:pPr>
      <w:r w:rsidRPr="005F2437">
        <w:rPr>
          <w:rFonts w:ascii="Times New Roman" w:hAnsi="Times New Roman" w:cs="Times New Roman"/>
          <w:sz w:val="20"/>
          <w:szCs w:val="20"/>
        </w:rPr>
        <w:fldChar w:fldCharType="begin"/>
      </w:r>
      <w:r w:rsidRPr="005F2437">
        <w:rPr>
          <w:rFonts w:ascii="Times New Roman" w:hAnsi="Times New Roman" w:cs="Times New Roman"/>
          <w:sz w:val="20"/>
          <w:szCs w:val="20"/>
        </w:rPr>
        <w:instrText xml:space="preserve"> ADDIN ZOTERO_BIBL {"uncited":[],"omitted":[],"custom":[]} CSL_BIBLIOGRAPHY </w:instrText>
      </w:r>
      <w:r w:rsidRPr="005F2437">
        <w:rPr>
          <w:rFonts w:ascii="Times New Roman" w:hAnsi="Times New Roman" w:cs="Times New Roman"/>
          <w:sz w:val="20"/>
          <w:szCs w:val="20"/>
        </w:rPr>
        <w:fldChar w:fldCharType="separate"/>
      </w:r>
      <w:r w:rsidRPr="005F2437">
        <w:rPr>
          <w:rFonts w:ascii="Times New Roman" w:hAnsi="Times New Roman" w:cs="Times New Roman"/>
          <w:sz w:val="20"/>
          <w:szCs w:val="20"/>
        </w:rPr>
        <w:t xml:space="preserve">1. </w:t>
      </w:r>
      <w:r w:rsidRPr="005F2437">
        <w:rPr>
          <w:rFonts w:ascii="Times New Roman" w:hAnsi="Times New Roman" w:cs="Times New Roman"/>
          <w:sz w:val="20"/>
          <w:szCs w:val="20"/>
        </w:rPr>
        <w:tab/>
        <w:t>Edgar RC (2004) MUSCLE: multiple sequence alignment with high accuracy and high throughput. Nucleic Acids Res 32:1792–1797. https://doi.org/10.1093/nar/gkh340</w:t>
      </w:r>
    </w:p>
    <w:p w14:paraId="113161E6" w14:textId="77777777" w:rsidR="00156B68" w:rsidRPr="005F2437" w:rsidRDefault="00156B68" w:rsidP="00156B68">
      <w:pPr>
        <w:pStyle w:val="Bibliography"/>
        <w:spacing w:after="0"/>
        <w:rPr>
          <w:rFonts w:ascii="Times New Roman" w:hAnsi="Times New Roman" w:cs="Times New Roman"/>
          <w:sz w:val="20"/>
          <w:szCs w:val="20"/>
        </w:rPr>
      </w:pPr>
      <w:r w:rsidRPr="005F2437">
        <w:rPr>
          <w:rFonts w:ascii="Times New Roman" w:hAnsi="Times New Roman" w:cs="Times New Roman"/>
          <w:sz w:val="20"/>
          <w:szCs w:val="20"/>
        </w:rPr>
        <w:t xml:space="preserve">2. </w:t>
      </w:r>
      <w:r w:rsidRPr="005F2437">
        <w:rPr>
          <w:rFonts w:ascii="Times New Roman" w:hAnsi="Times New Roman" w:cs="Times New Roman"/>
          <w:sz w:val="20"/>
          <w:szCs w:val="20"/>
        </w:rPr>
        <w:tab/>
        <w:t>Corbacho AM, Macotela Y, Nava G, et al (2000) Human umbilical vein endothelial cells express multiple prolactin isoforms. J Endocrinol 166:53–62</w:t>
      </w:r>
    </w:p>
    <w:p w14:paraId="2E856389" w14:textId="77777777" w:rsidR="00156B68" w:rsidRPr="005F2437" w:rsidRDefault="00156B68" w:rsidP="00156B68">
      <w:pPr>
        <w:pStyle w:val="Bibliography"/>
        <w:spacing w:after="0"/>
        <w:rPr>
          <w:rFonts w:ascii="Times New Roman" w:hAnsi="Times New Roman" w:cs="Times New Roman"/>
          <w:sz w:val="20"/>
          <w:szCs w:val="20"/>
        </w:rPr>
      </w:pPr>
      <w:r w:rsidRPr="005F2437">
        <w:rPr>
          <w:rFonts w:ascii="Times New Roman" w:hAnsi="Times New Roman" w:cs="Times New Roman"/>
          <w:sz w:val="20"/>
          <w:szCs w:val="20"/>
        </w:rPr>
        <w:t xml:space="preserve">3. </w:t>
      </w:r>
      <w:r w:rsidRPr="005F2437">
        <w:rPr>
          <w:rFonts w:ascii="Times New Roman" w:hAnsi="Times New Roman" w:cs="Times New Roman"/>
          <w:sz w:val="20"/>
          <w:szCs w:val="20"/>
        </w:rPr>
        <w:tab/>
        <w:t>Robles JP, Zamora M, Velasco-Bolom JL, et al (2018) Vasoinhibin comprises a three-helix bundle and its antiangiogenic domain is located within the first 79 residues. Sci Rep 8:17111. https://doi.org/10.1038/s41598-018-35383-7</w:t>
      </w:r>
    </w:p>
    <w:p w14:paraId="4E485456" w14:textId="77777777" w:rsidR="00156B68" w:rsidRPr="005F2437" w:rsidRDefault="00156B68" w:rsidP="00156B68">
      <w:pPr>
        <w:pStyle w:val="Bibliography"/>
        <w:spacing w:after="0"/>
        <w:rPr>
          <w:rFonts w:ascii="Times New Roman" w:hAnsi="Times New Roman" w:cs="Times New Roman"/>
          <w:sz w:val="20"/>
          <w:szCs w:val="20"/>
        </w:rPr>
      </w:pPr>
      <w:r w:rsidRPr="005F2437">
        <w:rPr>
          <w:rFonts w:ascii="Times New Roman" w:hAnsi="Times New Roman" w:cs="Times New Roman"/>
          <w:sz w:val="20"/>
          <w:szCs w:val="20"/>
        </w:rPr>
        <w:t xml:space="preserve">4. </w:t>
      </w:r>
      <w:r w:rsidRPr="005F2437">
        <w:rPr>
          <w:rFonts w:ascii="Times New Roman" w:hAnsi="Times New Roman" w:cs="Times New Roman"/>
          <w:sz w:val="20"/>
          <w:szCs w:val="20"/>
        </w:rPr>
        <w:tab/>
        <w:t>Cajero-Juarez M, Avila B, Ochoa A, et al (2002) Immortalization of bovine umbilical vein endothelial cells: a model for the study of vascular endothelium. Eur J Cell Biol 81:1–8. https://doi.org/10.1078/0171-9335-00213</w:t>
      </w:r>
    </w:p>
    <w:p w14:paraId="47D851B7" w14:textId="77777777" w:rsidR="00156B68" w:rsidRPr="005F2437" w:rsidRDefault="00156B68" w:rsidP="00156B68">
      <w:pPr>
        <w:pStyle w:val="Bibliography"/>
        <w:spacing w:after="0"/>
        <w:rPr>
          <w:rFonts w:ascii="Times New Roman" w:hAnsi="Times New Roman" w:cs="Times New Roman"/>
          <w:sz w:val="20"/>
          <w:szCs w:val="20"/>
        </w:rPr>
      </w:pPr>
      <w:r w:rsidRPr="005F2437">
        <w:rPr>
          <w:rFonts w:ascii="Times New Roman" w:hAnsi="Times New Roman" w:cs="Times New Roman"/>
          <w:sz w:val="20"/>
          <w:szCs w:val="20"/>
        </w:rPr>
        <w:t xml:space="preserve">5. </w:t>
      </w:r>
      <w:r w:rsidRPr="005F2437">
        <w:rPr>
          <w:rFonts w:ascii="Times New Roman" w:hAnsi="Times New Roman" w:cs="Times New Roman"/>
          <w:sz w:val="20"/>
          <w:szCs w:val="20"/>
        </w:rPr>
        <w:tab/>
        <w:t>Salic A, Mitchison TJ (2008) A chemical method for fast and sensitive detection of DNA synthesis in vivo. Proc Natl Acad Sci U S A 105:2415–2420. https://doi.org/10.1073/pnas.0712168105</w:t>
      </w:r>
    </w:p>
    <w:p w14:paraId="50C3B797" w14:textId="77777777" w:rsidR="00156B68" w:rsidRPr="005F2437" w:rsidRDefault="00156B68" w:rsidP="00156B68">
      <w:pPr>
        <w:pStyle w:val="Bibliography"/>
        <w:spacing w:after="0"/>
        <w:rPr>
          <w:rFonts w:ascii="Times New Roman" w:hAnsi="Times New Roman" w:cs="Times New Roman"/>
          <w:sz w:val="20"/>
          <w:szCs w:val="20"/>
        </w:rPr>
      </w:pPr>
      <w:r w:rsidRPr="005F2437">
        <w:rPr>
          <w:rFonts w:ascii="Times New Roman" w:hAnsi="Times New Roman" w:cs="Times New Roman"/>
          <w:sz w:val="20"/>
          <w:szCs w:val="20"/>
        </w:rPr>
        <w:t xml:space="preserve">6. </w:t>
      </w:r>
      <w:r w:rsidRPr="005F2437">
        <w:rPr>
          <w:rFonts w:ascii="Times New Roman" w:hAnsi="Times New Roman" w:cs="Times New Roman"/>
          <w:sz w:val="20"/>
          <w:szCs w:val="20"/>
        </w:rPr>
        <w:tab/>
        <w:t>Carpenter AE, Jones TR, Lamprecht MR, et al (2006) CellProfiler: image analysis software for identifying and quantifying cell phenotypes. Genome Biol 7:R100. https://doi.org/10.1186/gb-2006-7-10-r100</w:t>
      </w:r>
    </w:p>
    <w:p w14:paraId="16542925" w14:textId="064C8E0C" w:rsidR="00156B68" w:rsidRPr="005F2437" w:rsidRDefault="00156B68" w:rsidP="00156B68">
      <w:r w:rsidRPr="005F2437">
        <w:rPr>
          <w:sz w:val="20"/>
          <w:szCs w:val="20"/>
        </w:rPr>
        <w:fldChar w:fldCharType="end"/>
      </w:r>
    </w:p>
    <w:sectPr w:rsidR="00156B68" w:rsidRPr="005F2437" w:rsidSect="005F2437">
      <w:footerReference w:type="even" r:id="rId12"/>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AB97A" w14:textId="77777777" w:rsidR="00BE6F4C" w:rsidRDefault="00BE6F4C" w:rsidP="007C7DB2">
      <w:r>
        <w:separator/>
      </w:r>
    </w:p>
  </w:endnote>
  <w:endnote w:type="continuationSeparator" w:id="0">
    <w:p w14:paraId="3E095275" w14:textId="77777777" w:rsidR="00BE6F4C" w:rsidRDefault="00BE6F4C" w:rsidP="007C7DB2">
      <w:r>
        <w:continuationSeparator/>
      </w:r>
    </w:p>
  </w:endnote>
  <w:endnote w:type="continuationNotice" w:id="1">
    <w:p w14:paraId="3A0CDA5A" w14:textId="77777777" w:rsidR="00BE6F4C" w:rsidRDefault="00BE6F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7DB1A" w14:textId="2D9B0FE8" w:rsidR="00FB0359" w:rsidRDefault="00FB0359" w:rsidP="00A505AB">
    <w:pPr>
      <w:pStyle w:val="Footer"/>
      <w:framePr w:wrap="none" w:vAnchor="text" w:hAnchor="margin" w:xAlign="right" w:y="1"/>
      <w:rPr>
        <w:rStyle w:val="PageNumber"/>
      </w:rPr>
    </w:pPr>
  </w:p>
  <w:p w14:paraId="4A754C60" w14:textId="77777777" w:rsidR="00FB0359" w:rsidRDefault="00FB0359" w:rsidP="007C7D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imes New Roman" w:hAnsi="Times New Roman" w:cs="Times New Roman"/>
        <w:sz w:val="20"/>
        <w:szCs w:val="20"/>
      </w:rPr>
      <w:id w:val="1753702687"/>
      <w:docPartObj>
        <w:docPartGallery w:val="Page Numbers (Bottom of Page)"/>
        <w:docPartUnique/>
      </w:docPartObj>
    </w:sdtPr>
    <w:sdtEndPr>
      <w:rPr>
        <w:rStyle w:val="PageNumber"/>
      </w:rPr>
    </w:sdtEndPr>
    <w:sdtContent>
      <w:p w14:paraId="44D67EDE" w14:textId="387B1F91" w:rsidR="00FB0359" w:rsidRPr="00435A68" w:rsidRDefault="00FB0359" w:rsidP="00A505AB">
        <w:pPr>
          <w:pStyle w:val="Footer"/>
          <w:framePr w:wrap="none" w:vAnchor="text" w:hAnchor="margin" w:xAlign="right" w:y="1"/>
          <w:rPr>
            <w:rStyle w:val="PageNumber"/>
            <w:rFonts w:ascii="Times New Roman" w:hAnsi="Times New Roman" w:cs="Times New Roman"/>
            <w:sz w:val="20"/>
            <w:szCs w:val="20"/>
          </w:rPr>
        </w:pPr>
        <w:r w:rsidRPr="00435A68">
          <w:rPr>
            <w:rStyle w:val="PageNumber"/>
            <w:rFonts w:ascii="Times New Roman" w:hAnsi="Times New Roman" w:cs="Times New Roman"/>
            <w:sz w:val="20"/>
            <w:szCs w:val="20"/>
          </w:rPr>
          <w:fldChar w:fldCharType="begin"/>
        </w:r>
        <w:r w:rsidRPr="00435A68">
          <w:rPr>
            <w:rStyle w:val="PageNumber"/>
            <w:rFonts w:ascii="Times New Roman" w:hAnsi="Times New Roman" w:cs="Times New Roman"/>
            <w:sz w:val="20"/>
            <w:szCs w:val="20"/>
          </w:rPr>
          <w:instrText xml:space="preserve"> PAGE </w:instrText>
        </w:r>
        <w:r w:rsidRPr="00435A68">
          <w:rPr>
            <w:rStyle w:val="PageNumber"/>
            <w:rFonts w:ascii="Times New Roman" w:hAnsi="Times New Roman" w:cs="Times New Roman"/>
            <w:sz w:val="20"/>
            <w:szCs w:val="20"/>
          </w:rPr>
          <w:fldChar w:fldCharType="separate"/>
        </w:r>
        <w:r w:rsidR="00E8494E">
          <w:rPr>
            <w:rStyle w:val="PageNumber"/>
            <w:rFonts w:ascii="Times New Roman" w:hAnsi="Times New Roman" w:cs="Times New Roman"/>
            <w:noProof/>
            <w:sz w:val="20"/>
            <w:szCs w:val="20"/>
          </w:rPr>
          <w:t>1</w:t>
        </w:r>
        <w:r w:rsidRPr="00435A68">
          <w:rPr>
            <w:rStyle w:val="PageNumber"/>
            <w:rFonts w:ascii="Times New Roman" w:hAnsi="Times New Roman" w:cs="Times New Roman"/>
            <w:sz w:val="20"/>
            <w:szCs w:val="20"/>
          </w:rPr>
          <w:fldChar w:fldCharType="end"/>
        </w:r>
      </w:p>
    </w:sdtContent>
  </w:sdt>
  <w:p w14:paraId="4448FDB6" w14:textId="77777777" w:rsidR="00FB0359" w:rsidRPr="00435A68" w:rsidRDefault="00FB0359" w:rsidP="007C7DB2">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69ED7A" w14:textId="77777777" w:rsidR="00BE6F4C" w:rsidRDefault="00BE6F4C" w:rsidP="007C7DB2">
      <w:r>
        <w:separator/>
      </w:r>
    </w:p>
  </w:footnote>
  <w:footnote w:type="continuationSeparator" w:id="0">
    <w:p w14:paraId="0DFD4351" w14:textId="77777777" w:rsidR="00BE6F4C" w:rsidRDefault="00BE6F4C" w:rsidP="007C7DB2">
      <w:r>
        <w:continuationSeparator/>
      </w:r>
    </w:p>
  </w:footnote>
  <w:footnote w:type="continuationNotice" w:id="1">
    <w:p w14:paraId="14895CC5" w14:textId="77777777" w:rsidR="00BE6F4C" w:rsidRDefault="00BE6F4C"/>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01C96"/>
    <w:multiLevelType w:val="hybridMultilevel"/>
    <w:tmpl w:val="DA103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4E5"/>
    <w:rsid w:val="0002269F"/>
    <w:rsid w:val="0005511A"/>
    <w:rsid w:val="00080347"/>
    <w:rsid w:val="00093AD0"/>
    <w:rsid w:val="00095271"/>
    <w:rsid w:val="000A383A"/>
    <w:rsid w:val="000B2995"/>
    <w:rsid w:val="000B66DB"/>
    <w:rsid w:val="000C4781"/>
    <w:rsid w:val="000C69FB"/>
    <w:rsid w:val="000D02B0"/>
    <w:rsid w:val="000D0B95"/>
    <w:rsid w:val="000D10A9"/>
    <w:rsid w:val="000E25D6"/>
    <w:rsid w:val="000E5A22"/>
    <w:rsid w:val="000F596F"/>
    <w:rsid w:val="000F788B"/>
    <w:rsid w:val="00100A89"/>
    <w:rsid w:val="00133BD1"/>
    <w:rsid w:val="00145808"/>
    <w:rsid w:val="00156B68"/>
    <w:rsid w:val="00171608"/>
    <w:rsid w:val="00174B79"/>
    <w:rsid w:val="001813EF"/>
    <w:rsid w:val="001B20B6"/>
    <w:rsid w:val="001B5B41"/>
    <w:rsid w:val="001B7F3B"/>
    <w:rsid w:val="001D68D2"/>
    <w:rsid w:val="00206FC9"/>
    <w:rsid w:val="002175DD"/>
    <w:rsid w:val="0022500A"/>
    <w:rsid w:val="002361AF"/>
    <w:rsid w:val="0023654D"/>
    <w:rsid w:val="00236B76"/>
    <w:rsid w:val="002434DA"/>
    <w:rsid w:val="00282AFF"/>
    <w:rsid w:val="00285409"/>
    <w:rsid w:val="00290493"/>
    <w:rsid w:val="0029310C"/>
    <w:rsid w:val="00297A08"/>
    <w:rsid w:val="002A6B30"/>
    <w:rsid w:val="002A7300"/>
    <w:rsid w:val="002A7422"/>
    <w:rsid w:val="002C6697"/>
    <w:rsid w:val="002C68AA"/>
    <w:rsid w:val="002C7CE9"/>
    <w:rsid w:val="002D1046"/>
    <w:rsid w:val="002D2EE4"/>
    <w:rsid w:val="002D5018"/>
    <w:rsid w:val="002F2F6F"/>
    <w:rsid w:val="003023FB"/>
    <w:rsid w:val="00320A27"/>
    <w:rsid w:val="0032116B"/>
    <w:rsid w:val="003214E3"/>
    <w:rsid w:val="00325177"/>
    <w:rsid w:val="00330BFE"/>
    <w:rsid w:val="003378A5"/>
    <w:rsid w:val="003519E5"/>
    <w:rsid w:val="0036256E"/>
    <w:rsid w:val="00367E9C"/>
    <w:rsid w:val="00373C97"/>
    <w:rsid w:val="00382260"/>
    <w:rsid w:val="003A4EF7"/>
    <w:rsid w:val="003B258E"/>
    <w:rsid w:val="003D3D0F"/>
    <w:rsid w:val="003D7645"/>
    <w:rsid w:val="003F702E"/>
    <w:rsid w:val="00404018"/>
    <w:rsid w:val="00407CDB"/>
    <w:rsid w:val="00414493"/>
    <w:rsid w:val="00414A66"/>
    <w:rsid w:val="00414EC4"/>
    <w:rsid w:val="004260BC"/>
    <w:rsid w:val="00435A68"/>
    <w:rsid w:val="004446B1"/>
    <w:rsid w:val="0045144A"/>
    <w:rsid w:val="004712E9"/>
    <w:rsid w:val="0047153B"/>
    <w:rsid w:val="00471C12"/>
    <w:rsid w:val="004B7062"/>
    <w:rsid w:val="004C6917"/>
    <w:rsid w:val="004F009A"/>
    <w:rsid w:val="00506701"/>
    <w:rsid w:val="00522A78"/>
    <w:rsid w:val="00526ACD"/>
    <w:rsid w:val="005408C5"/>
    <w:rsid w:val="00552904"/>
    <w:rsid w:val="00556199"/>
    <w:rsid w:val="00571BFB"/>
    <w:rsid w:val="005737A0"/>
    <w:rsid w:val="00597AA4"/>
    <w:rsid w:val="005C1BCD"/>
    <w:rsid w:val="005E62BB"/>
    <w:rsid w:val="005F2437"/>
    <w:rsid w:val="006002EA"/>
    <w:rsid w:val="00600E92"/>
    <w:rsid w:val="006223B3"/>
    <w:rsid w:val="00624E02"/>
    <w:rsid w:val="006272EE"/>
    <w:rsid w:val="00631B5E"/>
    <w:rsid w:val="00642A58"/>
    <w:rsid w:val="00665129"/>
    <w:rsid w:val="006851C3"/>
    <w:rsid w:val="006916C0"/>
    <w:rsid w:val="00692280"/>
    <w:rsid w:val="006958BF"/>
    <w:rsid w:val="006B702A"/>
    <w:rsid w:val="006C03C3"/>
    <w:rsid w:val="006C1FB1"/>
    <w:rsid w:val="006C6401"/>
    <w:rsid w:val="006C71F5"/>
    <w:rsid w:val="006C7B56"/>
    <w:rsid w:val="006D625A"/>
    <w:rsid w:val="006E482B"/>
    <w:rsid w:val="006E61D8"/>
    <w:rsid w:val="006E6CCE"/>
    <w:rsid w:val="006F48AB"/>
    <w:rsid w:val="006F5D45"/>
    <w:rsid w:val="00711EC8"/>
    <w:rsid w:val="007201DB"/>
    <w:rsid w:val="00720452"/>
    <w:rsid w:val="00752B51"/>
    <w:rsid w:val="007539DB"/>
    <w:rsid w:val="00760CDC"/>
    <w:rsid w:val="0078496D"/>
    <w:rsid w:val="00790C74"/>
    <w:rsid w:val="00793F43"/>
    <w:rsid w:val="007B3C18"/>
    <w:rsid w:val="007B7E76"/>
    <w:rsid w:val="007C7DB2"/>
    <w:rsid w:val="007D52C0"/>
    <w:rsid w:val="007D6AD9"/>
    <w:rsid w:val="007E1614"/>
    <w:rsid w:val="00813375"/>
    <w:rsid w:val="00813725"/>
    <w:rsid w:val="00827133"/>
    <w:rsid w:val="008437F3"/>
    <w:rsid w:val="008443C0"/>
    <w:rsid w:val="00847A74"/>
    <w:rsid w:val="008725F5"/>
    <w:rsid w:val="00880845"/>
    <w:rsid w:val="008813A2"/>
    <w:rsid w:val="008877C2"/>
    <w:rsid w:val="0089274E"/>
    <w:rsid w:val="008A06EF"/>
    <w:rsid w:val="008A0F45"/>
    <w:rsid w:val="008A382C"/>
    <w:rsid w:val="008A6692"/>
    <w:rsid w:val="008A7BC8"/>
    <w:rsid w:val="008B3703"/>
    <w:rsid w:val="008B4C5D"/>
    <w:rsid w:val="008E3F69"/>
    <w:rsid w:val="00926449"/>
    <w:rsid w:val="00927CEE"/>
    <w:rsid w:val="00937AA2"/>
    <w:rsid w:val="009413CA"/>
    <w:rsid w:val="00941469"/>
    <w:rsid w:val="009466E8"/>
    <w:rsid w:val="00953AD8"/>
    <w:rsid w:val="00956732"/>
    <w:rsid w:val="00960B13"/>
    <w:rsid w:val="00964730"/>
    <w:rsid w:val="00971BC6"/>
    <w:rsid w:val="009905F8"/>
    <w:rsid w:val="00992C34"/>
    <w:rsid w:val="009964DE"/>
    <w:rsid w:val="009A01CA"/>
    <w:rsid w:val="009A09BC"/>
    <w:rsid w:val="009B2CBA"/>
    <w:rsid w:val="009B4EDF"/>
    <w:rsid w:val="009B67C2"/>
    <w:rsid w:val="009B7586"/>
    <w:rsid w:val="009C0333"/>
    <w:rsid w:val="009C5FE8"/>
    <w:rsid w:val="009C6B5F"/>
    <w:rsid w:val="009C6E8B"/>
    <w:rsid w:val="009D0CBC"/>
    <w:rsid w:val="009D1E01"/>
    <w:rsid w:val="009D22C6"/>
    <w:rsid w:val="009F43BC"/>
    <w:rsid w:val="00A11AE8"/>
    <w:rsid w:val="00A32EE1"/>
    <w:rsid w:val="00A34081"/>
    <w:rsid w:val="00A34104"/>
    <w:rsid w:val="00A349F3"/>
    <w:rsid w:val="00A44824"/>
    <w:rsid w:val="00A45065"/>
    <w:rsid w:val="00A505AB"/>
    <w:rsid w:val="00A53B0D"/>
    <w:rsid w:val="00A55124"/>
    <w:rsid w:val="00A74280"/>
    <w:rsid w:val="00AC1D53"/>
    <w:rsid w:val="00AC1D6F"/>
    <w:rsid w:val="00B136BF"/>
    <w:rsid w:val="00B15E6D"/>
    <w:rsid w:val="00B215C6"/>
    <w:rsid w:val="00B24328"/>
    <w:rsid w:val="00B66C5A"/>
    <w:rsid w:val="00B81DA8"/>
    <w:rsid w:val="00BB3C62"/>
    <w:rsid w:val="00BC20E3"/>
    <w:rsid w:val="00BC24E9"/>
    <w:rsid w:val="00BD1240"/>
    <w:rsid w:val="00BD1A99"/>
    <w:rsid w:val="00BE0AF5"/>
    <w:rsid w:val="00BE119C"/>
    <w:rsid w:val="00BE2B41"/>
    <w:rsid w:val="00BE6F4C"/>
    <w:rsid w:val="00BE7AEC"/>
    <w:rsid w:val="00BF30E3"/>
    <w:rsid w:val="00C02856"/>
    <w:rsid w:val="00C30EB3"/>
    <w:rsid w:val="00C34DB0"/>
    <w:rsid w:val="00C436C9"/>
    <w:rsid w:val="00C504D3"/>
    <w:rsid w:val="00C54017"/>
    <w:rsid w:val="00C55E85"/>
    <w:rsid w:val="00C62234"/>
    <w:rsid w:val="00C703B9"/>
    <w:rsid w:val="00C77363"/>
    <w:rsid w:val="00C80005"/>
    <w:rsid w:val="00C82D95"/>
    <w:rsid w:val="00C83779"/>
    <w:rsid w:val="00C853C4"/>
    <w:rsid w:val="00C90068"/>
    <w:rsid w:val="00C931B1"/>
    <w:rsid w:val="00CB14E2"/>
    <w:rsid w:val="00CC1CF3"/>
    <w:rsid w:val="00CC2609"/>
    <w:rsid w:val="00CC5E4B"/>
    <w:rsid w:val="00CC6897"/>
    <w:rsid w:val="00CD0149"/>
    <w:rsid w:val="00CD4ECE"/>
    <w:rsid w:val="00CD5183"/>
    <w:rsid w:val="00CD5BCD"/>
    <w:rsid w:val="00CD7DC7"/>
    <w:rsid w:val="00CE3265"/>
    <w:rsid w:val="00CF09D7"/>
    <w:rsid w:val="00D02694"/>
    <w:rsid w:val="00D04911"/>
    <w:rsid w:val="00D149A7"/>
    <w:rsid w:val="00D23783"/>
    <w:rsid w:val="00D24358"/>
    <w:rsid w:val="00D33B1D"/>
    <w:rsid w:val="00D50A00"/>
    <w:rsid w:val="00D679A5"/>
    <w:rsid w:val="00D74875"/>
    <w:rsid w:val="00D86F1A"/>
    <w:rsid w:val="00DE62B8"/>
    <w:rsid w:val="00DF34DC"/>
    <w:rsid w:val="00E00C2A"/>
    <w:rsid w:val="00E065E5"/>
    <w:rsid w:val="00E10C36"/>
    <w:rsid w:val="00E17EED"/>
    <w:rsid w:val="00E2415C"/>
    <w:rsid w:val="00E35493"/>
    <w:rsid w:val="00E35948"/>
    <w:rsid w:val="00E43522"/>
    <w:rsid w:val="00E44A73"/>
    <w:rsid w:val="00E52AD4"/>
    <w:rsid w:val="00E550D6"/>
    <w:rsid w:val="00E57C6E"/>
    <w:rsid w:val="00E67359"/>
    <w:rsid w:val="00E800A7"/>
    <w:rsid w:val="00E8494E"/>
    <w:rsid w:val="00E86FF7"/>
    <w:rsid w:val="00E90A50"/>
    <w:rsid w:val="00E90B49"/>
    <w:rsid w:val="00E918B7"/>
    <w:rsid w:val="00E947EB"/>
    <w:rsid w:val="00EA0CA8"/>
    <w:rsid w:val="00EA4FF1"/>
    <w:rsid w:val="00EB1098"/>
    <w:rsid w:val="00EB1650"/>
    <w:rsid w:val="00EC0674"/>
    <w:rsid w:val="00ED315C"/>
    <w:rsid w:val="00EE11EE"/>
    <w:rsid w:val="00EE579F"/>
    <w:rsid w:val="00EF2B06"/>
    <w:rsid w:val="00EF4024"/>
    <w:rsid w:val="00F01594"/>
    <w:rsid w:val="00F20564"/>
    <w:rsid w:val="00F62BCF"/>
    <w:rsid w:val="00F646C8"/>
    <w:rsid w:val="00F65634"/>
    <w:rsid w:val="00F8079A"/>
    <w:rsid w:val="00F903D4"/>
    <w:rsid w:val="00FA74E5"/>
    <w:rsid w:val="00FB0359"/>
    <w:rsid w:val="00FC0114"/>
    <w:rsid w:val="00FD3CDB"/>
    <w:rsid w:val="00FF50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97EED"/>
  <w15:chartTrackingRefBased/>
  <w15:docId w15:val="{3AC660DB-DE17-7B44-AC94-2BA72A7863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0359"/>
    <w:rPr>
      <w:rFonts w:ascii="Times New Roman" w:eastAsia="Times New Roman" w:hAnsi="Times New Roman" w:cs="Times New Roman"/>
    </w:rPr>
  </w:style>
  <w:style w:type="paragraph" w:styleId="Heading1">
    <w:name w:val="heading 1"/>
    <w:basedOn w:val="Normal"/>
    <w:next w:val="Normal"/>
    <w:link w:val="Heading1Char"/>
    <w:uiPriority w:val="9"/>
    <w:qFormat/>
    <w:rsid w:val="00793F4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4328"/>
    <w:rPr>
      <w:color w:val="0563C1" w:themeColor="hyperlink"/>
      <w:u w:val="single"/>
    </w:rPr>
  </w:style>
  <w:style w:type="paragraph" w:styleId="Header">
    <w:name w:val="header"/>
    <w:basedOn w:val="Normal"/>
    <w:link w:val="HeaderChar"/>
    <w:uiPriority w:val="99"/>
    <w:unhideWhenUsed/>
    <w:rsid w:val="007C7DB2"/>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7C7DB2"/>
  </w:style>
  <w:style w:type="paragraph" w:styleId="Footer">
    <w:name w:val="footer"/>
    <w:basedOn w:val="Normal"/>
    <w:link w:val="FooterChar"/>
    <w:uiPriority w:val="99"/>
    <w:unhideWhenUsed/>
    <w:rsid w:val="007C7DB2"/>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7C7DB2"/>
  </w:style>
  <w:style w:type="character" w:styleId="PageNumber">
    <w:name w:val="page number"/>
    <w:basedOn w:val="DefaultParagraphFont"/>
    <w:uiPriority w:val="99"/>
    <w:semiHidden/>
    <w:unhideWhenUsed/>
    <w:rsid w:val="007C7DB2"/>
  </w:style>
  <w:style w:type="paragraph" w:styleId="Revision">
    <w:name w:val="Revision"/>
    <w:hidden/>
    <w:uiPriority w:val="99"/>
    <w:semiHidden/>
    <w:rsid w:val="00A505AB"/>
  </w:style>
  <w:style w:type="paragraph" w:styleId="Bibliography">
    <w:name w:val="Bibliography"/>
    <w:basedOn w:val="Normal"/>
    <w:next w:val="Normal"/>
    <w:uiPriority w:val="37"/>
    <w:unhideWhenUsed/>
    <w:rsid w:val="00BC24E9"/>
    <w:pPr>
      <w:tabs>
        <w:tab w:val="left" w:pos="500"/>
      </w:tabs>
      <w:spacing w:after="240"/>
      <w:ind w:left="504" w:hanging="504"/>
    </w:pPr>
    <w:rPr>
      <w:rFonts w:asciiTheme="minorHAnsi" w:eastAsiaTheme="minorHAnsi" w:hAnsiTheme="minorHAnsi" w:cstheme="minorBidi"/>
    </w:rPr>
  </w:style>
  <w:style w:type="character" w:styleId="CommentReference">
    <w:name w:val="annotation reference"/>
    <w:basedOn w:val="DefaultParagraphFont"/>
    <w:uiPriority w:val="99"/>
    <w:semiHidden/>
    <w:unhideWhenUsed/>
    <w:rsid w:val="00D02694"/>
    <w:rPr>
      <w:sz w:val="16"/>
      <w:szCs w:val="16"/>
    </w:rPr>
  </w:style>
  <w:style w:type="paragraph" w:styleId="CommentText">
    <w:name w:val="annotation text"/>
    <w:basedOn w:val="Normal"/>
    <w:link w:val="CommentTextChar"/>
    <w:uiPriority w:val="99"/>
    <w:semiHidden/>
    <w:unhideWhenUsed/>
    <w:rsid w:val="00D02694"/>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02694"/>
    <w:rPr>
      <w:sz w:val="20"/>
      <w:szCs w:val="20"/>
    </w:rPr>
  </w:style>
  <w:style w:type="paragraph" w:styleId="CommentSubject">
    <w:name w:val="annotation subject"/>
    <w:basedOn w:val="CommentText"/>
    <w:next w:val="CommentText"/>
    <w:link w:val="CommentSubjectChar"/>
    <w:uiPriority w:val="99"/>
    <w:semiHidden/>
    <w:unhideWhenUsed/>
    <w:rsid w:val="00D02694"/>
    <w:rPr>
      <w:b/>
      <w:bCs/>
    </w:rPr>
  </w:style>
  <w:style w:type="character" w:customStyle="1" w:styleId="CommentSubjectChar">
    <w:name w:val="Comment Subject Char"/>
    <w:basedOn w:val="CommentTextChar"/>
    <w:link w:val="CommentSubject"/>
    <w:uiPriority w:val="99"/>
    <w:semiHidden/>
    <w:rsid w:val="00D02694"/>
    <w:rPr>
      <w:b/>
      <w:bCs/>
      <w:sz w:val="20"/>
      <w:szCs w:val="20"/>
    </w:rPr>
  </w:style>
  <w:style w:type="paragraph" w:customStyle="1" w:styleId="Teaser">
    <w:name w:val="Teaser"/>
    <w:basedOn w:val="Normal"/>
    <w:rsid w:val="00297A08"/>
    <w:pPr>
      <w:spacing w:before="120"/>
    </w:pPr>
  </w:style>
  <w:style w:type="paragraph" w:customStyle="1" w:styleId="SMHeading">
    <w:name w:val="SM Heading"/>
    <w:basedOn w:val="Heading1"/>
    <w:qFormat/>
    <w:rsid w:val="00793F43"/>
    <w:pPr>
      <w:keepLines w:val="0"/>
      <w:spacing w:after="60"/>
    </w:pPr>
    <w:rPr>
      <w:rFonts w:ascii="Times New Roman" w:eastAsia="Times New Roman" w:hAnsi="Times New Roman" w:cs="Times New Roman"/>
      <w:b/>
      <w:bCs/>
      <w:color w:val="auto"/>
      <w:kern w:val="32"/>
      <w:sz w:val="24"/>
      <w:szCs w:val="24"/>
    </w:rPr>
  </w:style>
  <w:style w:type="character" w:customStyle="1" w:styleId="Heading1Char">
    <w:name w:val="Heading 1 Char"/>
    <w:basedOn w:val="DefaultParagraphFont"/>
    <w:link w:val="Heading1"/>
    <w:uiPriority w:val="9"/>
    <w:rsid w:val="00793F43"/>
    <w:rPr>
      <w:rFonts w:asciiTheme="majorHAnsi" w:eastAsiaTheme="majorEastAsia" w:hAnsiTheme="majorHAnsi" w:cstheme="majorBidi"/>
      <w:color w:val="2F5496" w:themeColor="accent1" w:themeShade="BF"/>
      <w:sz w:val="32"/>
      <w:szCs w:val="32"/>
    </w:rPr>
  </w:style>
  <w:style w:type="paragraph" w:customStyle="1" w:styleId="SMcaption">
    <w:name w:val="SM caption"/>
    <w:basedOn w:val="Normal"/>
    <w:qFormat/>
    <w:rsid w:val="00522A78"/>
    <w:rPr>
      <w:szCs w:val="20"/>
    </w:rPr>
  </w:style>
  <w:style w:type="paragraph" w:styleId="NormalWeb">
    <w:name w:val="Normal (Web)"/>
    <w:basedOn w:val="Normal"/>
    <w:uiPriority w:val="99"/>
    <w:semiHidden/>
    <w:rsid w:val="00522A78"/>
  </w:style>
  <w:style w:type="table" w:styleId="GridTable2-Accent3">
    <w:name w:val="Grid Table 2 Accent 3"/>
    <w:basedOn w:val="TableNormal"/>
    <w:uiPriority w:val="47"/>
    <w:rsid w:val="00522A7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orcid-id-https">
    <w:name w:val="orcid-id-https"/>
    <w:basedOn w:val="DefaultParagraphFont"/>
    <w:rsid w:val="00FB0359"/>
  </w:style>
  <w:style w:type="paragraph" w:styleId="ListParagraph">
    <w:name w:val="List Paragraph"/>
    <w:basedOn w:val="Normal"/>
    <w:uiPriority w:val="34"/>
    <w:qFormat/>
    <w:rsid w:val="00FB0359"/>
    <w:pPr>
      <w:ind w:left="720"/>
      <w:contextualSpacing/>
    </w:pPr>
  </w:style>
  <w:style w:type="character" w:customStyle="1" w:styleId="UnresolvedMention">
    <w:name w:val="Unresolved Mention"/>
    <w:basedOn w:val="DefaultParagraphFont"/>
    <w:uiPriority w:val="99"/>
    <w:semiHidden/>
    <w:unhideWhenUsed/>
    <w:rsid w:val="00FB03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9880">
      <w:bodyDiv w:val="1"/>
      <w:marLeft w:val="0"/>
      <w:marRight w:val="0"/>
      <w:marTop w:val="0"/>
      <w:marBottom w:val="0"/>
      <w:divBdr>
        <w:top w:val="none" w:sz="0" w:space="0" w:color="auto"/>
        <w:left w:val="none" w:sz="0" w:space="0" w:color="auto"/>
        <w:bottom w:val="none" w:sz="0" w:space="0" w:color="auto"/>
        <w:right w:val="none" w:sz="0" w:space="0" w:color="auto"/>
      </w:divBdr>
    </w:div>
    <w:div w:id="496727858">
      <w:bodyDiv w:val="1"/>
      <w:marLeft w:val="0"/>
      <w:marRight w:val="0"/>
      <w:marTop w:val="0"/>
      <w:marBottom w:val="0"/>
      <w:divBdr>
        <w:top w:val="none" w:sz="0" w:space="0" w:color="auto"/>
        <w:left w:val="none" w:sz="0" w:space="0" w:color="auto"/>
        <w:bottom w:val="none" w:sz="0" w:space="0" w:color="auto"/>
        <w:right w:val="none" w:sz="0" w:space="0" w:color="auto"/>
      </w:divBdr>
    </w:div>
    <w:div w:id="794955889">
      <w:bodyDiv w:val="1"/>
      <w:marLeft w:val="0"/>
      <w:marRight w:val="0"/>
      <w:marTop w:val="0"/>
      <w:marBottom w:val="0"/>
      <w:divBdr>
        <w:top w:val="none" w:sz="0" w:space="0" w:color="auto"/>
        <w:left w:val="none" w:sz="0" w:space="0" w:color="auto"/>
        <w:bottom w:val="none" w:sz="0" w:space="0" w:color="auto"/>
        <w:right w:val="none" w:sz="0" w:space="0" w:color="auto"/>
      </w:divBdr>
      <w:divsChild>
        <w:div w:id="510024635">
          <w:marLeft w:val="0"/>
          <w:marRight w:val="0"/>
          <w:marTop w:val="0"/>
          <w:marBottom w:val="0"/>
          <w:divBdr>
            <w:top w:val="none" w:sz="0" w:space="0" w:color="auto"/>
            <w:left w:val="none" w:sz="0" w:space="0" w:color="auto"/>
            <w:bottom w:val="none" w:sz="0" w:space="0" w:color="auto"/>
            <w:right w:val="none" w:sz="0" w:space="0" w:color="auto"/>
          </w:divBdr>
          <w:divsChild>
            <w:div w:id="2031907767">
              <w:marLeft w:val="0"/>
              <w:marRight w:val="0"/>
              <w:marTop w:val="0"/>
              <w:marBottom w:val="0"/>
              <w:divBdr>
                <w:top w:val="none" w:sz="0" w:space="0" w:color="auto"/>
                <w:left w:val="none" w:sz="0" w:space="0" w:color="auto"/>
                <w:bottom w:val="none" w:sz="0" w:space="0" w:color="auto"/>
                <w:right w:val="none" w:sz="0" w:space="0" w:color="auto"/>
              </w:divBdr>
            </w:div>
            <w:div w:id="1639191627">
              <w:marLeft w:val="0"/>
              <w:marRight w:val="0"/>
              <w:marTop w:val="0"/>
              <w:marBottom w:val="0"/>
              <w:divBdr>
                <w:top w:val="none" w:sz="0" w:space="0" w:color="auto"/>
                <w:left w:val="none" w:sz="0" w:space="0" w:color="auto"/>
                <w:bottom w:val="none" w:sz="0" w:space="0" w:color="auto"/>
                <w:right w:val="none" w:sz="0" w:space="0" w:color="auto"/>
              </w:divBdr>
              <w:divsChild>
                <w:div w:id="1869290884">
                  <w:marLeft w:val="0"/>
                  <w:marRight w:val="0"/>
                  <w:marTop w:val="0"/>
                  <w:marBottom w:val="0"/>
                  <w:divBdr>
                    <w:top w:val="none" w:sz="0" w:space="0" w:color="auto"/>
                    <w:left w:val="none" w:sz="0" w:space="0" w:color="auto"/>
                    <w:bottom w:val="none" w:sz="0" w:space="0" w:color="auto"/>
                    <w:right w:val="none" w:sz="0" w:space="0" w:color="auto"/>
                  </w:divBdr>
                  <w:divsChild>
                    <w:div w:id="662316499">
                      <w:marLeft w:val="336"/>
                      <w:marRight w:val="0"/>
                      <w:marTop w:val="120"/>
                      <w:marBottom w:val="312"/>
                      <w:divBdr>
                        <w:top w:val="none" w:sz="0" w:space="0" w:color="auto"/>
                        <w:left w:val="none" w:sz="0" w:space="0" w:color="auto"/>
                        <w:bottom w:val="none" w:sz="0" w:space="0" w:color="auto"/>
                        <w:right w:val="none" w:sz="0" w:space="0" w:color="auto"/>
                      </w:divBdr>
                      <w:divsChild>
                        <w:div w:id="17389354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63023647">
                      <w:blockQuote w:val="1"/>
                      <w:marLeft w:val="0"/>
                      <w:marRight w:val="0"/>
                      <w:marTop w:val="240"/>
                      <w:marBottom w:val="240"/>
                      <w:divBdr>
                        <w:top w:val="none" w:sz="0" w:space="0" w:color="auto"/>
                        <w:left w:val="none" w:sz="0" w:space="0" w:color="auto"/>
                        <w:bottom w:val="none" w:sz="0" w:space="0" w:color="auto"/>
                        <w:right w:val="none" w:sz="0" w:space="0" w:color="auto"/>
                      </w:divBdr>
                    </w:div>
                    <w:div w:id="693653685">
                      <w:marLeft w:val="0"/>
                      <w:marRight w:val="0"/>
                      <w:marTop w:val="0"/>
                      <w:marBottom w:val="0"/>
                      <w:divBdr>
                        <w:top w:val="single" w:sz="6" w:space="5" w:color="A2A9B1"/>
                        <w:left w:val="single" w:sz="6" w:space="5" w:color="A2A9B1"/>
                        <w:bottom w:val="single" w:sz="6" w:space="5" w:color="A2A9B1"/>
                        <w:right w:val="single" w:sz="6" w:space="5" w:color="A2A9B1"/>
                      </w:divBdr>
                    </w:div>
                    <w:div w:id="640966624">
                      <w:marLeft w:val="336"/>
                      <w:marRight w:val="0"/>
                      <w:marTop w:val="120"/>
                      <w:marBottom w:val="312"/>
                      <w:divBdr>
                        <w:top w:val="none" w:sz="0" w:space="0" w:color="auto"/>
                        <w:left w:val="none" w:sz="0" w:space="0" w:color="auto"/>
                        <w:bottom w:val="none" w:sz="0" w:space="0" w:color="auto"/>
                        <w:right w:val="none" w:sz="0" w:space="0" w:color="auto"/>
                      </w:divBdr>
                      <w:divsChild>
                        <w:div w:id="18514119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479109485">
                      <w:marLeft w:val="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sChild>
    </w:div>
    <w:div w:id="1166630015">
      <w:bodyDiv w:val="1"/>
      <w:marLeft w:val="0"/>
      <w:marRight w:val="0"/>
      <w:marTop w:val="0"/>
      <w:marBottom w:val="0"/>
      <w:divBdr>
        <w:top w:val="none" w:sz="0" w:space="0" w:color="auto"/>
        <w:left w:val="none" w:sz="0" w:space="0" w:color="auto"/>
        <w:bottom w:val="none" w:sz="0" w:space="0" w:color="auto"/>
        <w:right w:val="none" w:sz="0" w:space="0" w:color="auto"/>
      </w:divBdr>
      <w:divsChild>
        <w:div w:id="384643364">
          <w:marLeft w:val="0"/>
          <w:marRight w:val="0"/>
          <w:marTop w:val="0"/>
          <w:marBottom w:val="0"/>
          <w:divBdr>
            <w:top w:val="none" w:sz="0" w:space="0" w:color="auto"/>
            <w:left w:val="none" w:sz="0" w:space="0" w:color="auto"/>
            <w:bottom w:val="none" w:sz="0" w:space="0" w:color="auto"/>
            <w:right w:val="none" w:sz="0" w:space="0" w:color="auto"/>
          </w:divBdr>
          <w:divsChild>
            <w:div w:id="1061177576">
              <w:marLeft w:val="0"/>
              <w:marRight w:val="0"/>
              <w:marTop w:val="0"/>
              <w:marBottom w:val="0"/>
              <w:divBdr>
                <w:top w:val="none" w:sz="0" w:space="0" w:color="auto"/>
                <w:left w:val="none" w:sz="0" w:space="0" w:color="auto"/>
                <w:bottom w:val="none" w:sz="0" w:space="0" w:color="auto"/>
                <w:right w:val="none" w:sz="0" w:space="0" w:color="auto"/>
              </w:divBdr>
            </w:div>
            <w:div w:id="2056159005">
              <w:marLeft w:val="0"/>
              <w:marRight w:val="0"/>
              <w:marTop w:val="0"/>
              <w:marBottom w:val="0"/>
              <w:divBdr>
                <w:top w:val="none" w:sz="0" w:space="0" w:color="auto"/>
                <w:left w:val="none" w:sz="0" w:space="0" w:color="auto"/>
                <w:bottom w:val="none" w:sz="0" w:space="0" w:color="auto"/>
                <w:right w:val="none" w:sz="0" w:space="0" w:color="auto"/>
              </w:divBdr>
              <w:divsChild>
                <w:div w:id="310795387">
                  <w:marLeft w:val="0"/>
                  <w:marRight w:val="0"/>
                  <w:marTop w:val="0"/>
                  <w:marBottom w:val="0"/>
                  <w:divBdr>
                    <w:top w:val="none" w:sz="0" w:space="0" w:color="auto"/>
                    <w:left w:val="none" w:sz="0" w:space="0" w:color="auto"/>
                    <w:bottom w:val="none" w:sz="0" w:space="0" w:color="auto"/>
                    <w:right w:val="none" w:sz="0" w:space="0" w:color="auto"/>
                  </w:divBdr>
                  <w:divsChild>
                    <w:div w:id="947542063">
                      <w:marLeft w:val="336"/>
                      <w:marRight w:val="0"/>
                      <w:marTop w:val="120"/>
                      <w:marBottom w:val="312"/>
                      <w:divBdr>
                        <w:top w:val="none" w:sz="0" w:space="0" w:color="auto"/>
                        <w:left w:val="none" w:sz="0" w:space="0" w:color="auto"/>
                        <w:bottom w:val="none" w:sz="0" w:space="0" w:color="auto"/>
                        <w:right w:val="none" w:sz="0" w:space="0" w:color="auto"/>
                      </w:divBdr>
                      <w:divsChild>
                        <w:div w:id="43857458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13753393">
                      <w:blockQuote w:val="1"/>
                      <w:marLeft w:val="0"/>
                      <w:marRight w:val="0"/>
                      <w:marTop w:val="240"/>
                      <w:marBottom w:val="240"/>
                      <w:divBdr>
                        <w:top w:val="none" w:sz="0" w:space="0" w:color="auto"/>
                        <w:left w:val="none" w:sz="0" w:space="0" w:color="auto"/>
                        <w:bottom w:val="none" w:sz="0" w:space="0" w:color="auto"/>
                        <w:right w:val="none" w:sz="0" w:space="0" w:color="auto"/>
                      </w:divBdr>
                    </w:div>
                    <w:div w:id="1814638432">
                      <w:marLeft w:val="0"/>
                      <w:marRight w:val="0"/>
                      <w:marTop w:val="0"/>
                      <w:marBottom w:val="0"/>
                      <w:divBdr>
                        <w:top w:val="single" w:sz="6" w:space="5" w:color="A2A9B1"/>
                        <w:left w:val="single" w:sz="6" w:space="5" w:color="A2A9B1"/>
                        <w:bottom w:val="single" w:sz="6" w:space="5" w:color="A2A9B1"/>
                        <w:right w:val="single" w:sz="6" w:space="5" w:color="A2A9B1"/>
                      </w:divBdr>
                    </w:div>
                    <w:div w:id="519701885">
                      <w:marLeft w:val="336"/>
                      <w:marRight w:val="0"/>
                      <w:marTop w:val="120"/>
                      <w:marBottom w:val="312"/>
                      <w:divBdr>
                        <w:top w:val="none" w:sz="0" w:space="0" w:color="auto"/>
                        <w:left w:val="none" w:sz="0" w:space="0" w:color="auto"/>
                        <w:bottom w:val="none" w:sz="0" w:space="0" w:color="auto"/>
                        <w:right w:val="none" w:sz="0" w:space="0" w:color="auto"/>
                      </w:divBdr>
                      <w:divsChild>
                        <w:div w:id="1699162786">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76075023">
                      <w:marLeft w:val="0"/>
                      <w:marRight w:val="0"/>
                      <w:marTop w:val="72"/>
                      <w:marBottom w:val="120"/>
                      <w:divBdr>
                        <w:top w:val="none" w:sz="0" w:space="0" w:color="auto"/>
                        <w:left w:val="none" w:sz="0" w:space="0" w:color="auto"/>
                        <w:bottom w:val="none" w:sz="0" w:space="0" w:color="auto"/>
                        <w:right w:val="none" w:sz="0" w:space="0" w:color="auto"/>
                      </w:divBdr>
                    </w:div>
                  </w:divsChild>
                </w:div>
              </w:divsChild>
            </w:div>
          </w:divsChild>
        </w:div>
      </w:divsChild>
    </w:div>
    <w:div w:id="1732457558">
      <w:bodyDiv w:val="1"/>
      <w:marLeft w:val="0"/>
      <w:marRight w:val="0"/>
      <w:marTop w:val="0"/>
      <w:marBottom w:val="0"/>
      <w:divBdr>
        <w:top w:val="none" w:sz="0" w:space="0" w:color="auto"/>
        <w:left w:val="none" w:sz="0" w:space="0" w:color="auto"/>
        <w:bottom w:val="none" w:sz="0" w:space="0" w:color="auto"/>
        <w:right w:val="none" w:sz="0" w:space="0" w:color="auto"/>
      </w:divBdr>
    </w:div>
    <w:div w:id="1908222658">
      <w:bodyDiv w:val="1"/>
      <w:marLeft w:val="0"/>
      <w:marRight w:val="0"/>
      <w:marTop w:val="0"/>
      <w:marBottom w:val="0"/>
      <w:divBdr>
        <w:top w:val="none" w:sz="0" w:space="0" w:color="auto"/>
        <w:left w:val="none" w:sz="0" w:space="0" w:color="auto"/>
        <w:bottom w:val="none" w:sz="0" w:space="0" w:color="auto"/>
        <w:right w:val="none" w:sz="0" w:space="0" w:color="auto"/>
      </w:divBdr>
    </w:div>
    <w:div w:id="2064256584">
      <w:bodyDiv w:val="1"/>
      <w:marLeft w:val="0"/>
      <w:marRight w:val="0"/>
      <w:marTop w:val="0"/>
      <w:marBottom w:val="0"/>
      <w:divBdr>
        <w:top w:val="none" w:sz="0" w:space="0" w:color="auto"/>
        <w:left w:val="none" w:sz="0" w:space="0" w:color="auto"/>
        <w:bottom w:val="none" w:sz="0" w:space="0" w:color="auto"/>
        <w:right w:val="none" w:sz="0" w:space="0" w:color="auto"/>
      </w:divBdr>
    </w:div>
    <w:div w:id="2129162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pp@unam.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310E3-9699-403F-9653-7EE04DB70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5074</Words>
  <Characters>28923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Robles</dc:creator>
  <cp:keywords/>
  <dc:description/>
  <cp:lastModifiedBy>User</cp:lastModifiedBy>
  <cp:revision>2</cp:revision>
  <cp:lastPrinted>2021-02-15T15:56:00Z</cp:lastPrinted>
  <dcterms:created xsi:type="dcterms:W3CDTF">2022-07-13T07:47:00Z</dcterms:created>
  <dcterms:modified xsi:type="dcterms:W3CDTF">2022-07-13T07:47:00Z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zotero-version="5.0.96.1"&gt;&lt;session id="6WMNwrgi"/&gt;&lt;style id="http://www.zotero.org/styles/angiogenesis" hasBibliography="1" bibliographyStyleHasBeenSet="1"/&gt;&lt;prefs&gt;&lt;pref name="fieldType" value="Field"/&gt;&lt;pref name="dontAskDelayCitati</vt:lpwstr>
  </property>
  <property fmtid="{D5CDD505-2E9C-101B-9397-08002B2CF9AE}" pid="3" name="ZOTERO_PREF_2">
    <vt:lpwstr>onUpdates" value="true"/&gt;&lt;/prefs&gt;&lt;/data&gt;</vt:lpwstr>
  </property>
</Properties>
</file>