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media/image9.png" ContentType="image/png"/>
  <Override PartName="/word/media/image13.png" ContentType="image/png"/>
  <Override PartName="/word/media/image15.png" ContentType="image/png"/>
  <Override PartName="/word/media/image14.png" ContentType="image/png"/>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10.png" ContentType="image/png"/>
  <Override PartName="/word/media/image6.png" ContentType="image/png"/>
  <Override PartName="/word/media/image11.png" ContentType="image/png"/>
  <Override PartName="/word/media/image7.png" ContentType="image/png"/>
  <Override PartName="/word/media/image12.png" ContentType="image/png"/>
  <Override PartName="/word/media/image8.png" ContentType="image/png"/>
  <Override PartName="/word/styles.xml" ContentType="application/vnd.openxmlformats-officedocument.wordprocessingml.styles+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480"/>
        <w:jc w:val="center"/>
        <w:rPr>
          <w:color w:val="000000"/>
          <w:highlight w:val="none"/>
          <w:shd w:fill="auto" w:val="clear"/>
        </w:rPr>
      </w:pPr>
      <w:r>
        <w:rPr>
          <w:rFonts w:cs="Arial" w:ascii="Arial" w:hAnsi="Arial"/>
          <w:b/>
          <w:bCs/>
          <w:color w:val="000000"/>
          <w:sz w:val="20"/>
          <w:szCs w:val="20"/>
          <w:shd w:fill="auto" w:val="clear"/>
        </w:rPr>
        <w:t>Ecological success of extreme halophiles subjected to recurrent osmotic disturbances is primarily driven by congeneric sp</w:t>
      </w:r>
      <w:r>
        <w:rPr>
          <w:rFonts w:cs="Arial" w:ascii="Arial" w:hAnsi="Arial"/>
          <w:b/>
          <w:bCs/>
          <w:color w:val="000000"/>
          <w:sz w:val="20"/>
          <w:szCs w:val="20"/>
          <w:shd w:fill="auto" w:val="clear"/>
        </w:rPr>
        <w:t>ecies replacement</w:t>
      </w:r>
    </w:p>
    <w:p>
      <w:pPr>
        <w:pStyle w:val="Normal"/>
        <w:spacing w:lineRule="auto" w:line="360"/>
        <w:jc w:val="center"/>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480" w:before="0" w:after="200"/>
        <w:jc w:val="both"/>
        <w:rPr>
          <w:color w:val="000000"/>
          <w:highlight w:val="none"/>
          <w:shd w:fill="auto" w:val="clear"/>
        </w:rPr>
      </w:pPr>
      <w:r>
        <w:rPr>
          <w:rFonts w:eastAsia="Calibri" w:cs="Arial" w:ascii="Arial" w:hAnsi="Arial"/>
          <w:color w:val="000000"/>
          <w:kern w:val="0"/>
          <w:sz w:val="22"/>
          <w:szCs w:val="22"/>
          <w:shd w:fill="auto" w:val="clear"/>
          <w:lang w:eastAsia="en-US" w:bidi="ar-SA"/>
        </w:rPr>
        <w:t>Esteban Bustos-Caparros</w:t>
      </w:r>
      <w:r>
        <w:rPr>
          <w:rFonts w:eastAsia="Calibri" w:cs="Arial" w:ascii="Arial" w:hAnsi="Arial"/>
          <w:color w:val="000000"/>
          <w:kern w:val="0"/>
          <w:sz w:val="22"/>
          <w:szCs w:val="22"/>
          <w:shd w:fill="auto" w:val="clear"/>
          <w:vertAlign w:val="superscript"/>
          <w:lang w:eastAsia="en-US" w:bidi="ar-SA"/>
        </w:rPr>
        <w:t>1</w:t>
      </w:r>
      <w:r>
        <w:rPr>
          <w:rFonts w:eastAsia="Calibri" w:cs="Arial" w:ascii="Arial" w:hAnsi="Arial"/>
          <w:color w:val="000000"/>
          <w:kern w:val="0"/>
          <w:sz w:val="22"/>
          <w:szCs w:val="22"/>
          <w:shd w:fill="auto" w:val="clear"/>
          <w:lang w:eastAsia="en-US" w:bidi="ar-SA"/>
        </w:rPr>
        <w:t>*, Tomeu Viver</w:t>
      </w:r>
      <w:r>
        <w:rPr>
          <w:rFonts w:eastAsia="Calibri" w:cs="Arial" w:ascii="Arial" w:hAnsi="Arial"/>
          <w:color w:val="000000"/>
          <w:kern w:val="0"/>
          <w:sz w:val="22"/>
          <w:szCs w:val="22"/>
          <w:shd w:fill="auto" w:val="clear"/>
          <w:vertAlign w:val="superscript"/>
          <w:lang w:eastAsia="en-US" w:bidi="ar-SA"/>
        </w:rPr>
        <w:t>1,2</w:t>
      </w:r>
      <w:r>
        <w:rPr>
          <w:rFonts w:eastAsia="Calibri" w:cs="Arial" w:ascii="Arial" w:hAnsi="Arial"/>
          <w:color w:val="000000"/>
          <w:kern w:val="0"/>
          <w:sz w:val="22"/>
          <w:szCs w:val="22"/>
          <w:shd w:fill="auto" w:val="clear"/>
          <w:lang w:eastAsia="en-US" w:bidi="ar-SA"/>
        </w:rPr>
        <w:t>, Juan F. Gago</w:t>
      </w:r>
      <w:r>
        <w:rPr>
          <w:rFonts w:eastAsia="Calibri" w:cs="Arial" w:ascii="Arial" w:hAnsi="Arial"/>
          <w:color w:val="000000"/>
          <w:kern w:val="0"/>
          <w:sz w:val="22"/>
          <w:szCs w:val="22"/>
          <w:shd w:fill="auto" w:val="clear"/>
          <w:vertAlign w:val="superscript"/>
          <w:lang w:eastAsia="en-US" w:bidi="ar-SA"/>
        </w:rPr>
        <w:t>1</w:t>
      </w:r>
      <w:r>
        <w:rPr>
          <w:rFonts w:eastAsia="Calibri" w:cs="Arial" w:ascii="Arial" w:hAnsi="Arial"/>
          <w:color w:val="000000"/>
          <w:kern w:val="0"/>
          <w:sz w:val="22"/>
          <w:szCs w:val="22"/>
          <w:shd w:fill="auto" w:val="clear"/>
          <w:lang w:eastAsia="en-US" w:bidi="ar-SA"/>
        </w:rPr>
        <w:t>, Luis Miguel Rodriguez-Rojas</w:t>
      </w:r>
      <w:r>
        <w:rPr>
          <w:rFonts w:eastAsia="Calibri" w:cs="Arial" w:ascii="Arial" w:hAnsi="Arial"/>
          <w:color w:val="000000"/>
          <w:kern w:val="0"/>
          <w:sz w:val="22"/>
          <w:szCs w:val="22"/>
          <w:shd w:fill="auto" w:val="clear"/>
          <w:vertAlign w:val="superscript"/>
          <w:lang w:eastAsia="en-US" w:bidi="ar-SA"/>
        </w:rPr>
        <w:t>3,4</w:t>
      </w:r>
      <w:r>
        <w:rPr>
          <w:rFonts w:eastAsia="Calibri" w:cs="Arial" w:ascii="Arial" w:hAnsi="Arial"/>
          <w:color w:val="000000"/>
          <w:kern w:val="0"/>
          <w:sz w:val="22"/>
          <w:szCs w:val="22"/>
          <w:shd w:fill="auto" w:val="clear"/>
          <w:lang w:eastAsia="en-US" w:bidi="ar-SA"/>
        </w:rPr>
        <w:t>, Janet K. Hatt</w:t>
      </w:r>
      <w:r>
        <w:rPr>
          <w:rFonts w:eastAsia="Calibri" w:cs="Arial" w:ascii="Arial" w:hAnsi="Arial"/>
          <w:color w:val="000000"/>
          <w:kern w:val="0"/>
          <w:sz w:val="22"/>
          <w:szCs w:val="22"/>
          <w:shd w:fill="auto" w:val="clear"/>
          <w:vertAlign w:val="superscript"/>
          <w:lang w:eastAsia="en-US" w:bidi="ar-SA"/>
        </w:rPr>
        <w:t>5</w:t>
      </w:r>
      <w:r>
        <w:rPr>
          <w:rFonts w:eastAsia="Calibri" w:cs="Arial" w:ascii="Arial" w:hAnsi="Arial"/>
          <w:color w:val="000000"/>
          <w:kern w:val="0"/>
          <w:sz w:val="22"/>
          <w:szCs w:val="22"/>
          <w:shd w:fill="auto" w:val="clear"/>
          <w:lang w:eastAsia="en-US" w:bidi="ar-SA"/>
        </w:rPr>
        <w:t>, Stephanus N. Venter</w:t>
      </w:r>
      <w:r>
        <w:rPr>
          <w:rFonts w:eastAsia="Calibri" w:cs="Arial" w:ascii="Arial" w:hAnsi="Arial"/>
          <w:color w:val="000000"/>
          <w:kern w:val="0"/>
          <w:sz w:val="22"/>
          <w:szCs w:val="22"/>
          <w:shd w:fill="auto" w:val="clear"/>
          <w:vertAlign w:val="superscript"/>
          <w:lang w:eastAsia="en-US" w:bidi="ar-SA"/>
        </w:rPr>
        <w:t>6</w:t>
      </w:r>
      <w:r>
        <w:rPr>
          <w:rFonts w:eastAsia="Calibri" w:cs="Arial" w:ascii="Arial" w:hAnsi="Arial"/>
          <w:color w:val="000000"/>
          <w:kern w:val="0"/>
          <w:sz w:val="22"/>
          <w:szCs w:val="22"/>
          <w:shd w:fill="auto" w:val="clear"/>
          <w:lang w:eastAsia="en-US" w:bidi="ar-SA"/>
        </w:rPr>
        <w:t>, Bernhard M. Fuchs</w:t>
      </w:r>
      <w:r>
        <w:rPr>
          <w:rFonts w:eastAsia="Calibri" w:cs="Arial" w:ascii="Arial" w:hAnsi="Arial"/>
          <w:color w:val="000000"/>
          <w:kern w:val="0"/>
          <w:sz w:val="22"/>
          <w:szCs w:val="22"/>
          <w:shd w:fill="auto" w:val="clear"/>
          <w:vertAlign w:val="superscript"/>
          <w:lang w:eastAsia="en-US" w:bidi="ar-SA"/>
        </w:rPr>
        <w:t>2</w:t>
      </w:r>
      <w:r>
        <w:rPr>
          <w:rFonts w:eastAsia="Calibri" w:cs="Arial" w:ascii="Arial" w:hAnsi="Arial"/>
          <w:color w:val="000000"/>
          <w:kern w:val="0"/>
          <w:sz w:val="22"/>
          <w:szCs w:val="22"/>
          <w:shd w:fill="auto" w:val="clear"/>
          <w:lang w:eastAsia="en-US" w:bidi="ar-SA"/>
        </w:rPr>
        <w:t>, Rudolf Amann</w:t>
      </w:r>
      <w:r>
        <w:rPr>
          <w:rFonts w:eastAsia="Calibri" w:cs="Arial" w:ascii="Arial" w:hAnsi="Arial"/>
          <w:color w:val="000000"/>
          <w:kern w:val="0"/>
          <w:sz w:val="22"/>
          <w:szCs w:val="22"/>
          <w:shd w:fill="auto" w:val="clear"/>
          <w:vertAlign w:val="superscript"/>
          <w:lang w:eastAsia="en-US" w:bidi="ar-SA"/>
        </w:rPr>
        <w:t>2</w:t>
      </w:r>
      <w:r>
        <w:rPr>
          <w:rFonts w:eastAsia="Calibri" w:cs="Arial" w:ascii="Arial" w:hAnsi="Arial"/>
          <w:color w:val="000000"/>
          <w:kern w:val="0"/>
          <w:sz w:val="22"/>
          <w:szCs w:val="22"/>
          <w:shd w:fill="auto" w:val="clear"/>
          <w:lang w:eastAsia="en-US" w:bidi="ar-SA"/>
        </w:rPr>
        <w:t>, Rafael Bosch</w:t>
      </w:r>
      <w:r>
        <w:rPr>
          <w:rFonts w:eastAsia="Calibri" w:cs="Arial" w:ascii="Arial" w:hAnsi="Arial"/>
          <w:color w:val="000000"/>
          <w:kern w:val="0"/>
          <w:sz w:val="22"/>
          <w:szCs w:val="22"/>
          <w:shd w:fill="auto" w:val="clear"/>
          <w:vertAlign w:val="superscript"/>
          <w:lang w:eastAsia="en-US" w:bidi="ar-SA"/>
        </w:rPr>
        <w:t>1, 7</w:t>
      </w:r>
      <w:r>
        <w:rPr>
          <w:rFonts w:eastAsia="Calibri" w:cs="Arial" w:ascii="Arial" w:hAnsi="Arial"/>
          <w:color w:val="000000"/>
          <w:kern w:val="0"/>
          <w:sz w:val="22"/>
          <w:szCs w:val="22"/>
          <w:shd w:fill="auto" w:val="clear"/>
          <w:lang w:eastAsia="en-US" w:bidi="ar-SA"/>
        </w:rPr>
        <w:t>, Konstantinos T. Konstantinidis</w:t>
      </w:r>
      <w:r>
        <w:rPr>
          <w:rFonts w:eastAsia="Calibri" w:cs="Arial" w:ascii="Arial" w:hAnsi="Arial"/>
          <w:color w:val="000000"/>
          <w:kern w:val="0"/>
          <w:sz w:val="22"/>
          <w:szCs w:val="22"/>
          <w:shd w:fill="auto" w:val="clear"/>
          <w:vertAlign w:val="superscript"/>
          <w:lang w:eastAsia="en-US" w:bidi="ar-SA"/>
        </w:rPr>
        <w:t>5</w:t>
      </w:r>
      <w:r>
        <w:rPr>
          <w:rFonts w:eastAsia="Calibri" w:cs="Arial" w:ascii="Arial" w:hAnsi="Arial"/>
          <w:color w:val="000000"/>
          <w:kern w:val="0"/>
          <w:sz w:val="22"/>
          <w:szCs w:val="22"/>
          <w:shd w:fill="auto" w:val="clear"/>
          <w:lang w:eastAsia="en-US" w:bidi="ar-SA"/>
        </w:rPr>
        <w:t>, Ramon Rossello-Mora</w:t>
      </w:r>
      <w:r>
        <w:rPr>
          <w:rFonts w:eastAsia="Calibri" w:cs="Arial" w:ascii="Arial" w:hAnsi="Arial"/>
          <w:color w:val="000000"/>
          <w:kern w:val="0"/>
          <w:sz w:val="22"/>
          <w:szCs w:val="22"/>
          <w:shd w:fill="auto" w:val="clear"/>
          <w:vertAlign w:val="superscript"/>
          <w:lang w:eastAsia="en-US" w:bidi="ar-SA"/>
        </w:rPr>
        <w:t>1</w:t>
      </w:r>
      <w:r>
        <w:rPr>
          <w:rFonts w:eastAsia="Calibri" w:cs="Arial" w:ascii="Arial" w:hAnsi="Arial"/>
          <w:color w:val="000000"/>
          <w:kern w:val="0"/>
          <w:sz w:val="22"/>
          <w:szCs w:val="22"/>
          <w:shd w:fill="auto" w:val="clear"/>
          <w:lang w:eastAsia="en-US" w:bidi="ar-SA"/>
        </w:rPr>
        <w:t>*.</w:t>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480"/>
        <w:jc w:val="both"/>
        <w:rPr>
          <w:color w:val="000000"/>
          <w:highlight w:val="none"/>
          <w:shd w:fill="auto" w:val="clear"/>
        </w:rPr>
      </w:pPr>
      <w:r>
        <w:rPr>
          <w:rFonts w:cs="Arial" w:ascii="Arial" w:hAnsi="Arial"/>
          <w:color w:val="000000"/>
          <w:sz w:val="20"/>
          <w:szCs w:val="20"/>
          <w:shd w:fill="auto" w:val="clear"/>
          <w:vertAlign w:val="superscript"/>
        </w:rPr>
        <w:t>1</w:t>
      </w:r>
      <w:r>
        <w:rPr>
          <w:rFonts w:cs="Arial" w:ascii="Arial" w:hAnsi="Arial"/>
          <w:color w:val="000000"/>
          <w:sz w:val="20"/>
          <w:szCs w:val="20"/>
          <w:shd w:fill="auto" w:val="clear"/>
        </w:rPr>
        <w:t xml:space="preserve"> Marine Microbiology Group (MMG), Department of Animal and Microbial Biodiversity, Mediterranean Institute for Advanced Studies (IMEDEA, CSIC-UIB), Esporles, Spain.</w:t>
      </w:r>
    </w:p>
    <w:p>
      <w:pPr>
        <w:pStyle w:val="Normal"/>
        <w:spacing w:lineRule="auto" w:line="480"/>
        <w:jc w:val="both"/>
        <w:rPr>
          <w:color w:val="000000"/>
          <w:highlight w:val="none"/>
          <w:shd w:fill="auto" w:val="clear"/>
        </w:rPr>
      </w:pPr>
      <w:r>
        <w:rPr>
          <w:rFonts w:cs="Arial" w:ascii="Arial" w:hAnsi="Arial"/>
          <w:color w:val="000000"/>
          <w:sz w:val="20"/>
          <w:szCs w:val="20"/>
          <w:shd w:fill="auto" w:val="clear"/>
          <w:vertAlign w:val="superscript"/>
        </w:rPr>
        <w:t>2</w:t>
      </w:r>
      <w:r>
        <w:rPr>
          <w:rFonts w:cs="Arial" w:ascii="Arial" w:hAnsi="Arial"/>
          <w:color w:val="000000"/>
          <w:sz w:val="20"/>
          <w:szCs w:val="20"/>
          <w:shd w:fill="auto" w:val="clear"/>
        </w:rPr>
        <w:t xml:space="preserve"> Department of Molecular Ecology, Max Planck Institute for Marine Microbiology, Bremen, Germany.</w:t>
      </w:r>
    </w:p>
    <w:p>
      <w:pPr>
        <w:pStyle w:val="Normal"/>
        <w:spacing w:lineRule="auto" w:line="480"/>
        <w:jc w:val="both"/>
        <w:rPr>
          <w:color w:val="000000"/>
          <w:highlight w:val="none"/>
          <w:shd w:fill="auto" w:val="clear"/>
        </w:rPr>
      </w:pPr>
      <w:r>
        <w:rPr>
          <w:rFonts w:cs="Arial" w:ascii="Arial" w:hAnsi="Arial"/>
          <w:color w:val="000000"/>
          <w:sz w:val="20"/>
          <w:szCs w:val="20"/>
          <w:shd w:fill="auto" w:val="clear"/>
          <w:vertAlign w:val="superscript"/>
        </w:rPr>
        <w:t>3</w:t>
      </w:r>
      <w:r>
        <w:rPr>
          <w:rFonts w:cs="Arial" w:ascii="Arial" w:hAnsi="Arial"/>
          <w:color w:val="000000"/>
          <w:sz w:val="20"/>
          <w:szCs w:val="20"/>
          <w:shd w:fill="auto" w:val="clear"/>
        </w:rPr>
        <w:t xml:space="preserve"> Department of Microbiology, University of Innsbruck, Innsbruck, Austria.</w:t>
      </w:r>
    </w:p>
    <w:p>
      <w:pPr>
        <w:pStyle w:val="Normal"/>
        <w:spacing w:lineRule="auto" w:line="480"/>
        <w:jc w:val="both"/>
        <w:rPr>
          <w:color w:val="000000"/>
          <w:highlight w:val="none"/>
          <w:shd w:fill="auto" w:val="clear"/>
        </w:rPr>
      </w:pPr>
      <w:r>
        <w:rPr>
          <w:rFonts w:cs="Arial" w:ascii="Arial" w:hAnsi="Arial"/>
          <w:color w:val="000000"/>
          <w:sz w:val="20"/>
          <w:szCs w:val="20"/>
          <w:shd w:fill="auto" w:val="clear"/>
          <w:vertAlign w:val="superscript"/>
        </w:rPr>
        <w:t>4</w:t>
      </w:r>
      <w:r>
        <w:rPr>
          <w:rFonts w:cs="Arial" w:ascii="Arial" w:hAnsi="Arial"/>
          <w:color w:val="000000"/>
          <w:sz w:val="20"/>
          <w:szCs w:val="20"/>
          <w:shd w:fill="auto" w:val="clear"/>
        </w:rPr>
        <w:t xml:space="preserve"> Digital Science Center (DiSC), University of Innsbruck, Innsbruck, Austria.</w:t>
      </w:r>
    </w:p>
    <w:p>
      <w:pPr>
        <w:pStyle w:val="Normal"/>
        <w:spacing w:lineRule="auto" w:line="480"/>
        <w:jc w:val="both"/>
        <w:rPr>
          <w:color w:val="000000"/>
          <w:highlight w:val="none"/>
          <w:shd w:fill="auto" w:val="clear"/>
        </w:rPr>
      </w:pPr>
      <w:r>
        <w:rPr>
          <w:rFonts w:cs="Arial" w:ascii="Arial" w:hAnsi="Arial"/>
          <w:color w:val="000000"/>
          <w:sz w:val="20"/>
          <w:szCs w:val="20"/>
          <w:shd w:fill="auto" w:val="clear"/>
          <w:vertAlign w:val="superscript"/>
        </w:rPr>
        <w:t>5</w:t>
      </w:r>
      <w:r>
        <w:rPr>
          <w:rFonts w:cs="Arial" w:ascii="Arial" w:hAnsi="Arial"/>
          <w:color w:val="000000"/>
          <w:sz w:val="20"/>
          <w:szCs w:val="20"/>
          <w:shd w:fill="auto" w:val="clear"/>
        </w:rPr>
        <w:t xml:space="preserve"> School of Civil and Environmental Engineering, Georgia Institute of Technology, Atlanta, GA, USA.</w:t>
      </w:r>
    </w:p>
    <w:p>
      <w:pPr>
        <w:pStyle w:val="Normal"/>
        <w:spacing w:lineRule="auto" w:line="480"/>
        <w:jc w:val="both"/>
        <w:rPr>
          <w:color w:val="000000"/>
          <w:highlight w:val="none"/>
          <w:shd w:fill="auto" w:val="clear"/>
        </w:rPr>
      </w:pPr>
      <w:r>
        <w:rPr>
          <w:rFonts w:cs="Arial" w:ascii="Arial" w:hAnsi="Arial"/>
          <w:color w:val="000000"/>
          <w:sz w:val="20"/>
          <w:szCs w:val="20"/>
          <w:shd w:fill="auto" w:val="clear"/>
          <w:vertAlign w:val="superscript"/>
        </w:rPr>
        <w:t>6</w:t>
      </w:r>
      <w:r>
        <w:rPr>
          <w:rFonts w:cs="Arial" w:ascii="Arial" w:hAnsi="Arial"/>
          <w:color w:val="000000"/>
          <w:sz w:val="20"/>
          <w:szCs w:val="20"/>
          <w:shd w:fill="auto" w:val="clear"/>
        </w:rPr>
        <w:t xml:space="preserve"> Department of Biochemistry, Genetics and Microbiology, and Forestry and Agricultural Biotechnology Institute (FABI), University of Pretoria, Pretoria, South Africa. </w:t>
      </w:r>
    </w:p>
    <w:p>
      <w:pPr>
        <w:pStyle w:val="Normal"/>
        <w:spacing w:lineRule="auto" w:line="480"/>
        <w:jc w:val="both"/>
        <w:rPr>
          <w:color w:val="000000"/>
          <w:highlight w:val="none"/>
          <w:shd w:fill="auto" w:val="clear"/>
        </w:rPr>
      </w:pPr>
      <w:r>
        <w:rPr>
          <w:rFonts w:cs="Arial" w:ascii="Arial" w:hAnsi="Arial"/>
          <w:color w:val="000000"/>
          <w:sz w:val="20"/>
          <w:szCs w:val="20"/>
          <w:shd w:fill="auto" w:val="clear"/>
          <w:vertAlign w:val="superscript"/>
          <w:lang w:val="es-ES"/>
        </w:rPr>
        <w:t>7</w:t>
      </w:r>
      <w:r>
        <w:rPr>
          <w:rFonts w:cs="Arial" w:ascii="Arial" w:hAnsi="Arial"/>
          <w:color w:val="000000"/>
          <w:sz w:val="20"/>
          <w:szCs w:val="20"/>
          <w:shd w:fill="auto" w:val="clear"/>
          <w:lang w:val="es-ES"/>
        </w:rPr>
        <w:t xml:space="preserve"> Microbiologia, Departament de Biologia, Edifici Guillem Colom, Universitat de les Illes Balears, Campus UIB, 07122 Palma de Mallorca, Spain.</w:t>
      </w:r>
    </w:p>
    <w:p>
      <w:pPr>
        <w:pStyle w:val="Normal"/>
        <w:spacing w:lineRule="auto" w:line="360"/>
        <w:jc w:val="both"/>
        <w:rPr>
          <w:rFonts w:ascii="Arial" w:hAnsi="Arial" w:cs="Arial"/>
          <w:color w:val="000000"/>
          <w:sz w:val="20"/>
          <w:szCs w:val="20"/>
          <w:highlight w:val="none"/>
          <w:shd w:fill="auto" w:val="clear"/>
          <w:lang w:val="es-ES"/>
        </w:rPr>
      </w:pPr>
      <w:r>
        <w:rPr>
          <w:rFonts w:cs="Arial" w:ascii="Arial" w:hAnsi="Arial"/>
          <w:color w:val="000000"/>
          <w:sz w:val="20"/>
          <w:szCs w:val="20"/>
          <w:shd w:fill="auto" w:val="clear"/>
          <w:lang w:val="es-ES"/>
        </w:rPr>
      </w:r>
    </w:p>
    <w:p>
      <w:pPr>
        <w:pStyle w:val="Normal"/>
        <w:spacing w:lineRule="auto" w:line="360"/>
        <w:jc w:val="both"/>
        <w:rPr>
          <w:rFonts w:ascii="Arial" w:hAnsi="Arial" w:cs="Arial"/>
          <w:color w:val="000000"/>
          <w:sz w:val="20"/>
          <w:szCs w:val="20"/>
          <w:highlight w:val="none"/>
          <w:shd w:fill="auto" w:val="clear"/>
          <w:lang w:val="es-ES"/>
        </w:rPr>
      </w:pPr>
      <w:r>
        <w:rPr>
          <w:rFonts w:cs="Arial" w:ascii="Arial" w:hAnsi="Arial"/>
          <w:color w:val="000000"/>
          <w:sz w:val="20"/>
          <w:szCs w:val="20"/>
          <w:shd w:fill="auto" w:val="clear"/>
          <w:lang w:val="es-ES"/>
        </w:rPr>
      </w:r>
    </w:p>
    <w:p>
      <w:pPr>
        <w:pStyle w:val="Normal"/>
        <w:spacing w:lineRule="auto" w:line="360"/>
        <w:jc w:val="both"/>
        <w:rPr>
          <w:rFonts w:ascii="Arial" w:hAnsi="Arial" w:cs="Arial"/>
          <w:color w:val="000000"/>
          <w:sz w:val="20"/>
          <w:szCs w:val="20"/>
          <w:highlight w:val="none"/>
          <w:shd w:fill="auto" w:val="clear"/>
          <w:lang w:val="es-ES"/>
        </w:rPr>
      </w:pPr>
      <w:r>
        <w:rPr>
          <w:rFonts w:cs="Arial" w:ascii="Arial" w:hAnsi="Arial"/>
          <w:color w:val="000000"/>
          <w:sz w:val="20"/>
          <w:szCs w:val="20"/>
          <w:shd w:fill="auto" w:val="clear"/>
          <w:lang w:val="es-ES"/>
        </w:rPr>
      </w:r>
    </w:p>
    <w:p>
      <w:pPr>
        <w:pStyle w:val="Normal"/>
        <w:spacing w:lineRule="auto" w:line="480" w:before="0" w:after="0"/>
        <w:jc w:val="both"/>
        <w:rPr/>
      </w:pPr>
      <w:r>
        <w:rPr>
          <w:rStyle w:val="InternetLink"/>
          <w:rFonts w:cs="Arial" w:ascii="Arial" w:hAnsi="Arial"/>
          <w:color w:val="000000" w:themeColor="text1"/>
          <w:sz w:val="20"/>
          <w:szCs w:val="20"/>
          <w:u w:val="none"/>
          <w:shd w:fill="auto" w:val="clear"/>
          <w:lang w:val="en-US"/>
        </w:rPr>
        <w:t>*Correspond</w:t>
      </w:r>
      <w:r>
        <w:rPr>
          <w:rStyle w:val="InternetLink"/>
          <w:rFonts w:cs="Arial" w:ascii="Arial" w:hAnsi="Arial"/>
          <w:color w:val="000000" w:themeColor="text1"/>
          <w:sz w:val="20"/>
          <w:szCs w:val="20"/>
          <w:u w:val="none"/>
          <w:shd w:fill="auto" w:val="clear"/>
          <w:lang w:val="en-US"/>
        </w:rPr>
        <w:t>ing authors</w:t>
      </w:r>
      <w:r>
        <w:rPr>
          <w:rStyle w:val="InternetLink"/>
          <w:rFonts w:cs="Arial" w:ascii="Arial" w:hAnsi="Arial"/>
          <w:color w:val="000000" w:themeColor="text1"/>
          <w:sz w:val="20"/>
          <w:szCs w:val="20"/>
          <w:u w:val="none"/>
          <w:shd w:fill="auto" w:val="clear"/>
          <w:lang w:val="en-US"/>
        </w:rPr>
        <w:t xml:space="preserve">: </w:t>
      </w:r>
      <w:r>
        <w:rPr>
          <w:rStyle w:val="InternetLink"/>
          <w:rFonts w:cs="Arial" w:ascii="Arial" w:hAnsi="Arial"/>
          <w:color w:val="000000" w:themeColor="text1"/>
          <w:sz w:val="20"/>
          <w:szCs w:val="20"/>
          <w:u w:val="none"/>
          <w:shd w:fill="auto" w:val="clear"/>
          <w:lang w:val="en-US"/>
        </w:rPr>
        <w:t>Esteban Bustos-Caparros, Marine Microbiology Group (MMG), Department of Animal and Microbial Biodiversity, Mediterranean Institute for Advanced Studies (IMEDEA, CSIC-UIB), Carrer Miquel Marqu</w:t>
      </w:r>
      <w:r>
        <w:rPr>
          <w:rStyle w:val="InternetLink"/>
          <w:rFonts w:eastAsia="Calibri" w:cs="Arial" w:ascii="Arial" w:hAnsi="Arial"/>
          <w:color w:val="000000" w:themeColor="text1"/>
          <w:kern w:val="0"/>
          <w:sz w:val="22"/>
          <w:szCs w:val="22"/>
          <w:u w:val="none"/>
          <w:shd w:fill="auto" w:val="clear"/>
          <w:lang w:val="en-US" w:eastAsia="en-US" w:bidi="ar-SA"/>
        </w:rPr>
        <w:t xml:space="preserve">ès 21, </w:t>
      </w:r>
      <w:r>
        <w:rPr>
          <w:rStyle w:val="InternetLink"/>
          <w:rFonts w:cs="Arial" w:ascii="Arial" w:hAnsi="Arial"/>
          <w:color w:val="000000" w:themeColor="text1"/>
          <w:sz w:val="20"/>
          <w:szCs w:val="20"/>
          <w:u w:val="none"/>
          <w:shd w:fill="auto" w:val="clear"/>
          <w:lang w:val="en-US"/>
        </w:rPr>
        <w:t xml:space="preserve">Esporles, Illes Balears, 07190, Spain. Email: </w:t>
      </w:r>
      <w:hyperlink r:id="rId2">
        <w:r>
          <w:rPr>
            <w:rStyle w:val="InternetLink"/>
            <w:rFonts w:cs="Arial" w:ascii="Arial" w:hAnsi="Arial"/>
            <w:color w:val="000000" w:themeColor="text1"/>
            <w:sz w:val="20"/>
            <w:szCs w:val="20"/>
            <w:u w:val="none"/>
            <w:shd w:fill="auto" w:val="clear"/>
            <w:lang w:val="en-US"/>
          </w:rPr>
          <w:t>ebustos@imedea.uib-csic.es</w:t>
        </w:r>
      </w:hyperlink>
      <w:r>
        <w:rPr>
          <w:rStyle w:val="InternetLink"/>
          <w:rFonts w:cs="Arial" w:ascii="Arial" w:hAnsi="Arial"/>
          <w:color w:val="000000" w:themeColor="text1"/>
          <w:sz w:val="20"/>
          <w:szCs w:val="20"/>
          <w:u w:val="none"/>
          <w:shd w:fill="auto" w:val="clear"/>
          <w:lang w:val="en-US"/>
        </w:rPr>
        <w:t xml:space="preserve">, </w:t>
      </w:r>
      <w:r>
        <w:rPr>
          <w:rStyle w:val="InternetLink"/>
          <w:rFonts w:cs="Arial" w:ascii="Arial" w:hAnsi="Arial"/>
          <w:color w:val="000000" w:themeColor="text1"/>
          <w:sz w:val="20"/>
          <w:szCs w:val="20"/>
          <w:u w:val="none"/>
          <w:shd w:fill="auto" w:val="clear"/>
          <w:lang w:val="en-US"/>
        </w:rPr>
        <w:t>Ramon Rossello-Mora, Marine Microbiology Group (MMG), Department of Animal and Microbial Biodiversity, Mediterranean Institute for Advanced Studies (IMEDEA, CSIC-UIB), Carrer Miquel Marqu</w:t>
      </w:r>
      <w:r>
        <w:rPr>
          <w:rStyle w:val="InternetLink"/>
          <w:rFonts w:eastAsia="Calibri" w:cs="Arial" w:ascii="Arial" w:hAnsi="Arial"/>
          <w:color w:val="000000" w:themeColor="text1"/>
          <w:kern w:val="0"/>
          <w:sz w:val="22"/>
          <w:szCs w:val="22"/>
          <w:u w:val="none"/>
          <w:shd w:fill="auto" w:val="clear"/>
          <w:lang w:val="en-US" w:eastAsia="en-US" w:bidi="ar-SA"/>
        </w:rPr>
        <w:t xml:space="preserve">ès 21, </w:t>
      </w:r>
      <w:r>
        <w:rPr>
          <w:rStyle w:val="InternetLink"/>
          <w:rFonts w:cs="Arial" w:ascii="Arial" w:hAnsi="Arial"/>
          <w:color w:val="000000" w:themeColor="text1"/>
          <w:sz w:val="20"/>
          <w:szCs w:val="20"/>
          <w:u w:val="none"/>
          <w:shd w:fill="auto" w:val="clear"/>
          <w:lang w:val="en-US"/>
        </w:rPr>
        <w:t xml:space="preserve">Esporles, Illes Balears, 07190, Spain. Email: </w:t>
      </w:r>
      <w:r>
        <w:rPr>
          <w:rStyle w:val="InternetLink"/>
          <w:rFonts w:cs="Arial" w:ascii="Arial" w:hAnsi="Arial"/>
          <w:color w:val="000000" w:themeColor="text1"/>
          <w:sz w:val="20"/>
          <w:szCs w:val="20"/>
          <w:u w:val="none"/>
          <w:shd w:fill="auto" w:val="clear"/>
          <w:lang w:val="en-US"/>
        </w:rPr>
        <w:t xml:space="preserve"> </w:t>
      </w:r>
      <w:hyperlink r:id="rId3">
        <w:r>
          <w:rPr>
            <w:rStyle w:val="InternetLink"/>
            <w:rFonts w:cs="Arial" w:ascii="Arial" w:hAnsi="Arial"/>
            <w:color w:val="000000" w:themeColor="text1"/>
            <w:sz w:val="20"/>
            <w:szCs w:val="20"/>
            <w:u w:val="none"/>
            <w:shd w:fill="auto" w:val="clear"/>
            <w:lang w:val="en-US"/>
          </w:rPr>
          <w:t>ramon@imedea.uib-csic.es</w:t>
        </w:r>
      </w:hyperlink>
    </w:p>
    <w:p>
      <w:pPr>
        <w:pStyle w:val="Normal"/>
        <w:spacing w:lineRule="auto" w:line="360"/>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r>
        <w:br w:type="page"/>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rPr>
        <w:t xml:space="preserve">Supplementary Figure S1: </w:t>
      </w:r>
      <w:r>
        <w:rPr>
          <w:rFonts w:cs="Arial" w:ascii="Arial" w:hAnsi="Arial"/>
          <w:color w:val="000000"/>
          <w:sz w:val="20"/>
          <w:szCs w:val="20"/>
          <w:shd w:fill="auto" w:val="clear"/>
        </w:rPr>
        <w:t xml:space="preserve">Experimental mesocosms D13 and D20. </w:t>
      </w:r>
      <w:r>
        <w:rPr>
          <w:rFonts w:cs="Arial" w:ascii="Arial" w:hAnsi="Arial"/>
          <w:b w:val="false"/>
          <w:bCs w:val="false"/>
          <w:color w:val="000000"/>
          <w:sz w:val="20"/>
          <w:szCs w:val="20"/>
          <w:shd w:fill="auto" w:val="clear"/>
        </w:rPr>
        <w:t>A) saturated brines just before the first dilution event (22</w:t>
      </w:r>
      <w:r>
        <w:rPr>
          <w:rFonts w:cs="Arial" w:ascii="Arial" w:hAnsi="Arial"/>
          <w:b w:val="false"/>
          <w:bCs w:val="false"/>
          <w:color w:val="000000"/>
          <w:sz w:val="20"/>
          <w:szCs w:val="20"/>
          <w:shd w:fill="auto" w:val="clear"/>
          <w:vertAlign w:val="superscript"/>
        </w:rPr>
        <w:t>th</w:t>
      </w:r>
      <w:r>
        <w:rPr>
          <w:rFonts w:cs="Arial" w:ascii="Arial" w:hAnsi="Arial"/>
          <w:b w:val="false"/>
          <w:bCs w:val="false"/>
          <w:color w:val="000000"/>
          <w:sz w:val="20"/>
          <w:szCs w:val="20"/>
          <w:shd w:fill="auto" w:val="clear"/>
        </w:rPr>
        <w:t xml:space="preserve"> June 2020; 36% salts), B) after the first dilution event (23</w:t>
      </w:r>
      <w:r>
        <w:rPr>
          <w:rFonts w:cs="Arial" w:ascii="Arial" w:hAnsi="Arial"/>
          <w:b w:val="false"/>
          <w:bCs w:val="false"/>
          <w:color w:val="000000"/>
          <w:sz w:val="20"/>
          <w:szCs w:val="20"/>
          <w:shd w:fill="auto" w:val="clear"/>
          <w:vertAlign w:val="superscript"/>
        </w:rPr>
        <w:t>th</w:t>
      </w:r>
      <w:r>
        <w:rPr>
          <w:rFonts w:cs="Arial" w:ascii="Arial" w:hAnsi="Arial"/>
          <w:b w:val="false"/>
          <w:bCs w:val="false"/>
          <w:color w:val="000000"/>
          <w:sz w:val="20"/>
          <w:szCs w:val="20"/>
          <w:shd w:fill="auto" w:val="clear"/>
        </w:rPr>
        <w:t xml:space="preserve"> June 2020; 13% and 20% salts), and C) time-813 days (1</w:t>
      </w:r>
      <w:r>
        <w:rPr>
          <w:rFonts w:cs="Arial" w:ascii="Arial" w:hAnsi="Arial"/>
          <w:b w:val="false"/>
          <w:bCs w:val="false"/>
          <w:color w:val="000000"/>
          <w:sz w:val="20"/>
          <w:szCs w:val="20"/>
          <w:shd w:fill="auto" w:val="clear"/>
          <w:vertAlign w:val="superscript"/>
        </w:rPr>
        <w:t>th</w:t>
      </w:r>
      <w:r>
        <w:rPr>
          <w:rFonts w:cs="Arial" w:ascii="Arial" w:hAnsi="Arial"/>
          <w:b w:val="false"/>
          <w:bCs w:val="false"/>
          <w:color w:val="000000"/>
          <w:sz w:val="20"/>
          <w:szCs w:val="20"/>
          <w:shd w:fill="auto" w:val="clear"/>
        </w:rPr>
        <w:t xml:space="preserve"> September 2022; 36% salts).</w:t>
      </w:r>
      <w:r>
        <w:rPr>
          <w:rFonts w:cs="Arial" w:ascii="Arial" w:hAnsi="Arial"/>
          <w:b w:val="false"/>
          <w:bCs w:val="false"/>
          <w:color w:val="000000"/>
          <w:sz w:val="20"/>
          <w:szCs w:val="20"/>
          <w:shd w:fill="auto" w:val="clear"/>
        </w:rPr>
        <w:t xml:space="preserve"> D) Cellular biomass collected from time-813 days. Brownish (left) and reddish (right) cells corresponded to D13 and D20 mesocosms, respectively. E) </w:t>
      </w:r>
      <w:r>
        <w:rPr>
          <w:rFonts w:cs="Arial" w:ascii="Arial" w:hAnsi="Arial"/>
          <w:color w:val="000000"/>
          <w:sz w:val="20"/>
          <w:szCs w:val="20"/>
          <w:shd w:fill="auto" w:val="clear"/>
        </w:rPr>
        <w:t>Sampling schema of D13 and D20 mesocosms and the number of osmotic cycles.</w:t>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rPr>
          <w:rFonts w:ascii="Arial" w:hAnsi="Arial" w:cs="Arial"/>
          <w:color w:val="000000"/>
          <w:sz w:val="20"/>
          <w:szCs w:val="20"/>
          <w:highlight w:val="none"/>
          <w:shd w:fill="auto" w:val="clear"/>
        </w:rPr>
      </w:pPr>
      <w:r>
        <w:rPr>
          <w:rFonts w:cs="Arial" w:ascii="Arial" w:hAnsi="Arial"/>
          <w:color w:val="000000"/>
          <w:sz w:val="20"/>
          <w:szCs w:val="20"/>
          <w:shd w:fill="auto" w:val="clear"/>
        </w:rPr>
        <w:drawing>
          <wp:anchor behindDoc="0" distT="0" distB="0" distL="0" distR="0" simplePos="0" locked="0" layoutInCell="0" allowOverlap="1" relativeHeight="4">
            <wp:simplePos x="0" y="0"/>
            <wp:positionH relativeFrom="column">
              <wp:align>center</wp:align>
            </wp:positionH>
            <wp:positionV relativeFrom="paragraph">
              <wp:posOffset>635</wp:posOffset>
            </wp:positionV>
            <wp:extent cx="6332220" cy="4474845"/>
            <wp:effectExtent l="0" t="0" r="0" b="0"/>
            <wp:wrapSquare wrapText="largest"/>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4"/>
                    <a:stretch>
                      <a:fillRect/>
                    </a:stretch>
                  </pic:blipFill>
                  <pic:spPr bwMode="auto">
                    <a:xfrm>
                      <a:off x="0" y="0"/>
                      <a:ext cx="6332220" cy="4474845"/>
                    </a:xfrm>
                    <a:prstGeom prst="rect">
                      <a:avLst/>
                    </a:prstGeom>
                  </pic:spPr>
                </pic:pic>
              </a:graphicData>
            </a:graphic>
          </wp:anchor>
        </w:drawing>
      </w:r>
      <w:r>
        <w:br w:type="page"/>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rPr>
        <w:t xml:space="preserve">Supplementary Figure S2: </w:t>
      </w:r>
      <w:r>
        <w:rPr>
          <w:rFonts w:cs="Arial" w:ascii="Arial" w:hAnsi="Arial"/>
          <w:b w:val="false"/>
          <w:bCs w:val="false"/>
          <w:color w:val="000000"/>
          <w:sz w:val="20"/>
          <w:szCs w:val="20"/>
          <w:shd w:fill="auto" w:val="clear"/>
        </w:rPr>
        <w:t xml:space="preserve">A) Google Earth satellite image of D13 and D20 mesocosms located outside the Institute exposed to natural environmental conditions </w:t>
      </w:r>
      <w:r>
        <w:rPr>
          <w:rFonts w:cs="Arial" w:ascii="Arial" w:hAnsi="Arial"/>
          <w:b w:val="false"/>
          <w:bCs w:val="false"/>
          <w:color w:val="000000"/>
          <w:sz w:val="20"/>
          <w:szCs w:val="20"/>
          <w:shd w:fill="auto" w:val="clear"/>
        </w:rPr>
        <w:t>with little shading from surrounding mountains, buildings or trees. B) D13 and D20 mesocosms covered with transparent polycarbonate corrugated sheets used for roofing to prevent dilution of brine concentration by rain</w:t>
      </w:r>
      <w:r>
        <w:rPr>
          <w:rFonts w:cs="Arial" w:ascii="Arial" w:hAnsi="Arial"/>
          <w:color w:val="000000"/>
          <w:sz w:val="20"/>
          <w:szCs w:val="20"/>
          <w:shd w:fill="auto" w:val="clear"/>
        </w:rPr>
        <w:t>.</w:t>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color w:val="000000"/>
          <w:highlight w:val="none"/>
          <w:shd w:fill="auto" w:val="clear"/>
        </w:rPr>
      </w:pPr>
      <w:r>
        <w:rPr>
          <w:color w:val="000000"/>
          <w:shd w:fill="auto" w:val="clear"/>
        </w:rPr>
        <w:drawing>
          <wp:inline distT="0" distB="0" distL="0" distR="0">
            <wp:extent cx="5426075" cy="5304155"/>
            <wp:effectExtent l="0" t="0" r="0" b="0"/>
            <wp:docPr id="2"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1" descr=""/>
                    <pic:cNvPicPr>
                      <a:picLocks noChangeAspect="1" noChangeArrowheads="1"/>
                    </pic:cNvPicPr>
                  </pic:nvPicPr>
                  <pic:blipFill>
                    <a:blip r:embed="rId5"/>
                    <a:stretch>
                      <a:fillRect/>
                    </a:stretch>
                  </pic:blipFill>
                  <pic:spPr bwMode="auto">
                    <a:xfrm>
                      <a:off x="0" y="0"/>
                      <a:ext cx="5426075" cy="5304155"/>
                    </a:xfrm>
                    <a:prstGeom prst="rect">
                      <a:avLst/>
                    </a:prstGeom>
                  </pic:spPr>
                </pic:pic>
              </a:graphicData>
            </a:graphic>
          </wp:inline>
        </w:drawing>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r>
        <w:br w:type="page"/>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rPr>
        <w:t>Supplementary Text T1: Experimental setup</w:t>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ind w:firstLine="408"/>
        <w:jc w:val="both"/>
        <w:rPr>
          <w:color w:val="000000"/>
          <w:highlight w:val="none"/>
          <w:shd w:fill="auto" w:val="clear"/>
        </w:rPr>
      </w:pPr>
      <w:r>
        <w:rPr>
          <w:rFonts w:cs="Arial" w:ascii="Arial" w:hAnsi="Arial"/>
          <w:color w:val="000000"/>
          <w:sz w:val="20"/>
          <w:szCs w:val="20"/>
          <w:shd w:fill="auto" w:val="clear"/>
        </w:rPr>
        <w:t>A total of 640L of brines were collected from S’Avall solar saltern located in the south of the island of Mallorca (39°19′28″N – 2°59′21′′E), Spain (10</w:t>
      </w:r>
      <w:r>
        <w:rPr>
          <w:rFonts w:cs="Arial" w:ascii="Arial" w:hAnsi="Arial"/>
          <w:color w:val="000000"/>
          <w:sz w:val="20"/>
          <w:szCs w:val="20"/>
          <w:shd w:fill="auto" w:val="clear"/>
          <w:vertAlign w:val="superscript"/>
        </w:rPr>
        <w:t>th</w:t>
      </w:r>
      <w:r>
        <w:rPr>
          <w:rFonts w:cs="Arial" w:ascii="Arial" w:hAnsi="Arial"/>
          <w:color w:val="000000"/>
          <w:sz w:val="20"/>
          <w:szCs w:val="20"/>
          <w:shd w:fill="auto" w:val="clear"/>
        </w:rPr>
        <w:t xml:space="preserve"> June 2020). Brines were transported to the IMEDEA facilities (Esporles, Spain) using 50L plastic cans previously sterilized with 70% ethanol. At IMEDEA, brines were homogenized and subsequently divided in two equal volumes of 320L and stored in two contiguous rigid plastic ponds (typically employed in gardening), each with a capacity of 1000L and with an irregular shape (Supp. Figure S1). The ponds were located one next to the other, left outside the institute, exposed to the sunlight with little shading from surrounding mountains, buildings or trees, and left exposed to the natural environmental conditions except for rainfall (Supp. Figure S2A). To prevent dilution from rainfall, both mesocosms were covered with transparent polycarbonate corrugated sheets used for roofing, but only when the weather forecast indicated rain (Supp. Figure S2B). Brines with an initial salinity of 25.5% were left evaporating, and when NaCl saturation was reached (&gt;36% NaCl at 25ºC; </w:t>
      </w:r>
      <w:r>
        <w:rPr>
          <w:rFonts w:cs="Arial" w:ascii="Arial" w:hAnsi="Arial"/>
          <w:color w:val="000000"/>
          <w:sz w:val="20"/>
          <w:szCs w:val="20"/>
          <w:shd w:fill="auto" w:val="clear"/>
        </w:rPr>
        <w:t>[1]</w:t>
      </w:r>
      <w:r>
        <w:rPr>
          <w:rFonts w:cs="Arial" w:ascii="Arial" w:hAnsi="Arial"/>
          <w:color w:val="000000"/>
          <w:sz w:val="20"/>
          <w:szCs w:val="20"/>
          <w:shd w:fill="auto" w:val="clear"/>
        </w:rPr>
        <w:t>), each pond was subjected to one of two distinct treatments: one was cyclically diluted from saturation to 13% salinity (D13 mesocosm) and the other to 20% salts (D20 mesocosm). To dilute the brines, we used tap water (TW) with a flow rate of 25</w:t>
      </w:r>
      <w:r>
        <w:rPr>
          <w:rFonts w:cs="Arial" w:ascii="Arial" w:hAnsi="Arial"/>
          <w:color w:val="000000"/>
          <w:sz w:val="20"/>
          <w:szCs w:val="20"/>
          <w:shd w:fill="auto" w:val="clear"/>
        </w:rPr>
        <w:t xml:space="preserve"> L</w:t>
      </w:r>
      <w:r>
        <w:rPr>
          <w:rFonts w:cs="Arial" w:ascii="Arial" w:hAnsi="Arial"/>
          <w:color w:val="000000"/>
          <w:sz w:val="20"/>
          <w:szCs w:val="20"/>
          <w:shd w:fill="auto" w:val="clear"/>
        </w:rPr>
        <w:t xml:space="preserve">/minute and continuous mixing with a plastic, disinfected oar. Salinity and temperatures were regularly monitored using a Sper Scientific Salt Refractometer and a </w:t>
      </w:r>
      <w:r>
        <w:rPr>
          <w:rFonts w:cs="Arial" w:ascii="Arial" w:hAnsi="Arial"/>
          <w:color w:val="000000"/>
          <w:sz w:val="20"/>
          <w:szCs w:val="20"/>
          <w:shd w:fill="auto" w:val="clear"/>
        </w:rPr>
        <w:t>HOBO Water Temp Pro v2</w:t>
      </w:r>
      <w:r>
        <w:rPr>
          <w:rFonts w:cs="Arial" w:ascii="Arial" w:hAnsi="Arial"/>
          <w:color w:val="000000"/>
          <w:sz w:val="20"/>
          <w:szCs w:val="20"/>
          <w:shd w:fill="auto" w:val="clear"/>
        </w:rPr>
        <w:t xml:space="preserve"> devices, respectively. Samples were collected 24 hours after each dilution event and also when salinity reached 15%, 20%, 25%, 30% salts, and upon salt saturation. The nomenclature of the samples is </w:t>
      </w:r>
      <w:r>
        <w:rPr>
          <w:rFonts w:cs="Arial" w:ascii="Arial" w:hAnsi="Arial"/>
          <w:i/>
          <w:iCs/>
          <w:color w:val="000000"/>
          <w:sz w:val="20"/>
          <w:szCs w:val="20"/>
          <w:shd w:fill="auto" w:val="clear"/>
        </w:rPr>
        <w:t xml:space="preserve">Mesocosm </w:t>
      </w:r>
      <w:r>
        <w:rPr>
          <w:rFonts w:cs="Arial" w:ascii="Arial" w:hAnsi="Arial"/>
          <w:color w:val="000000"/>
          <w:sz w:val="20"/>
          <w:szCs w:val="20"/>
          <w:shd w:fill="auto" w:val="clear"/>
        </w:rPr>
        <w:t>(D13 or D20)</w:t>
      </w:r>
      <w:r>
        <w:rPr>
          <w:rFonts w:cs="Arial" w:ascii="Arial" w:hAnsi="Arial"/>
          <w:i/>
          <w:iCs/>
          <w:color w:val="000000"/>
          <w:sz w:val="20"/>
          <w:szCs w:val="20"/>
          <w:shd w:fill="auto" w:val="clear"/>
        </w:rPr>
        <w:t>_Sampling Julian day_Salinity</w:t>
      </w:r>
      <w:r>
        <w:rPr>
          <w:rFonts w:cs="Arial" w:ascii="Arial" w:hAnsi="Arial"/>
          <w:color w:val="000000"/>
          <w:sz w:val="20"/>
          <w:szCs w:val="20"/>
          <w:shd w:fill="auto" w:val="clear"/>
        </w:rPr>
        <w:t xml:space="preserve"> (e.g. D13_12_36 is pond D13, at day 12</w:t>
      </w:r>
      <w:r>
        <w:rPr>
          <w:rFonts w:cs="Arial" w:ascii="Arial" w:hAnsi="Arial"/>
          <w:color w:val="000000"/>
          <w:sz w:val="20"/>
          <w:szCs w:val="20"/>
          <w:shd w:fill="auto" w:val="clear"/>
          <w:vertAlign w:val="superscript"/>
        </w:rPr>
        <w:t>th</w:t>
      </w:r>
      <w:r>
        <w:rPr>
          <w:rFonts w:cs="Arial" w:ascii="Arial" w:hAnsi="Arial"/>
          <w:color w:val="000000"/>
          <w:sz w:val="20"/>
          <w:szCs w:val="20"/>
          <w:shd w:fill="auto" w:val="clear"/>
        </w:rPr>
        <w:t xml:space="preserve"> with a salinity of 36%; Supp. Table S1). This experiment was conducted over two years and almost three months, precisely, 813 days. Finally, the ponds were left at saturation for a long-term response over an additional period of one year with no other pressures than those occurring naturally. The metagenomes of the additional 5 samples covering the period of days 1055 to 1178 were only used to evaluate the metagenome differences using MASH distance in Figure S6, but not further investigated in this disturbance study.</w:t>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lang w:val="es-ES"/>
        </w:rPr>
        <w:t>REFERENCES</w:t>
      </w:r>
    </w:p>
    <w:p>
      <w:pPr>
        <w:pStyle w:val="Normal"/>
        <w:spacing w:lineRule="auto" w:line="360"/>
        <w:ind w:firstLine="408"/>
        <w:jc w:val="both"/>
        <w:rPr>
          <w:rFonts w:ascii="Arial" w:hAnsi="Arial" w:cs="Arial"/>
          <w:color w:val="000000"/>
          <w:sz w:val="20"/>
          <w:szCs w:val="20"/>
          <w:highlight w:val="none"/>
          <w:shd w:fill="auto" w:val="clear"/>
          <w:lang w:val="es-ES"/>
        </w:rPr>
      </w:pPr>
      <w:r>
        <w:rPr>
          <w:rFonts w:cs="Arial" w:ascii="Arial" w:hAnsi="Arial"/>
          <w:color w:val="000000"/>
          <w:sz w:val="20"/>
          <w:szCs w:val="20"/>
          <w:shd w:fill="auto" w:val="clear"/>
          <w:lang w:val="es-ES"/>
        </w:rPr>
      </w:r>
    </w:p>
    <w:p>
      <w:pPr>
        <w:pStyle w:val="Normal"/>
        <w:spacing w:lineRule="auto" w:line="360"/>
        <w:ind w:firstLine="408"/>
        <w:jc w:val="both"/>
        <w:rPr/>
      </w:pPr>
      <w:r>
        <w:rPr>
          <w:rFonts w:cs="Arial" w:ascii="Arial" w:hAnsi="Arial"/>
          <w:color w:val="000000"/>
          <w:sz w:val="20"/>
          <w:szCs w:val="20"/>
          <w:shd w:fill="auto" w:val="clear"/>
          <w:lang w:val="es-ES"/>
        </w:rPr>
        <w:t>[1].</w:t>
        <w:tab/>
        <w:t xml:space="preserve">Haynes WM, Lide DR, Bruno TJ. </w:t>
      </w:r>
      <w:r>
        <w:rPr>
          <w:rFonts w:cs="Arial" w:ascii="Arial" w:hAnsi="Arial"/>
          <w:i/>
          <w:iCs/>
          <w:color w:val="000000"/>
          <w:sz w:val="20"/>
          <w:szCs w:val="20"/>
          <w:shd w:fill="auto" w:val="clear"/>
        </w:rPr>
        <w:t>CRC handbook of chemistry and physics</w:t>
      </w:r>
      <w:r>
        <w:rPr>
          <w:rFonts w:cs="Arial" w:ascii="Arial" w:hAnsi="Arial"/>
          <w:color w:val="000000"/>
          <w:sz w:val="20"/>
          <w:szCs w:val="20"/>
          <w:shd w:fill="auto" w:val="clear"/>
        </w:rPr>
        <w:t xml:space="preserve">. Boca Raton, USA, 2016. </w:t>
      </w:r>
      <w:hyperlink r:id="rId6">
        <w:r>
          <w:rPr>
            <w:rStyle w:val="InternetLink"/>
            <w:rFonts w:cs="Arial" w:ascii="Arial" w:hAnsi="Arial"/>
            <w:color w:val="000000"/>
            <w:sz w:val="20"/>
            <w:szCs w:val="20"/>
            <w:shd w:fill="auto" w:val="clear"/>
          </w:rPr>
          <w:t>https://doi.org/10.1201/9781315380476</w:t>
        </w:r>
      </w:hyperlink>
      <w:r>
        <w:rPr>
          <w:rFonts w:cs="Arial" w:ascii="Arial" w:hAnsi="Arial"/>
          <w:color w:val="000000"/>
          <w:sz w:val="20"/>
          <w:szCs w:val="20"/>
          <w:shd w:fill="auto" w:val="clear"/>
        </w:rPr>
        <w:t>.</w:t>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480"/>
        <w:ind w:firstLine="408"/>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r>
        <w:br w:type="page"/>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rPr>
        <w:t>Supplementary Text T2: Phylogenetic 16S rRNA analysis based on OPUs</w:t>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ind w:firstLine="408"/>
        <w:jc w:val="both"/>
        <w:rPr>
          <w:color w:val="000000"/>
          <w:highlight w:val="none"/>
          <w:shd w:fill="auto" w:val="clear"/>
        </w:rPr>
      </w:pPr>
      <w:r>
        <w:rPr>
          <w:rFonts w:cs="Arial" w:ascii="Arial" w:hAnsi="Arial"/>
          <w:color w:val="000000"/>
          <w:sz w:val="20"/>
          <w:szCs w:val="20"/>
          <w:shd w:fill="auto" w:val="clear"/>
        </w:rPr>
        <w:t xml:space="preserve">Reads associated with 16S rRNA genes were extracted using Parallel-META v.2.4 [1] and clustered into Operational Taxonomic Units (OTUs) at ≥ 98.7% identity using the </w:t>
      </w:r>
      <w:r>
        <w:rPr>
          <w:rFonts w:cs="Arial" w:ascii="Arial" w:hAnsi="Arial"/>
          <w:i/>
          <w:iCs/>
          <w:color w:val="000000"/>
          <w:sz w:val="20"/>
          <w:szCs w:val="20"/>
          <w:shd w:fill="auto" w:val="clear"/>
        </w:rPr>
        <w:t>pick_closed_reference_otus.py</w:t>
      </w:r>
      <w:r>
        <w:rPr>
          <w:rFonts w:cs="Arial" w:ascii="Arial" w:hAnsi="Arial"/>
          <w:color w:val="000000"/>
          <w:sz w:val="20"/>
          <w:szCs w:val="20"/>
          <w:shd w:fill="auto" w:val="clear"/>
        </w:rPr>
        <w:t xml:space="preserve"> script from QIIME tool [2]. The representative sequence (longest) of each OTU was aligned with SINA tool [3] and added by parsimony, both implemented in the ARB tool [4], to the pre-built reference database SILVA REF138 [5]. OTUs were checked and grouped manually into Operational Phylogenetic Units (OPUs) as previously detailed [6].</w:t>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lang w:val="es-ES"/>
        </w:rPr>
        <w:t>REFERENCES</w:t>
      </w:r>
    </w:p>
    <w:p>
      <w:pPr>
        <w:pStyle w:val="Normal"/>
        <w:spacing w:lineRule="auto" w:line="360"/>
        <w:jc w:val="both"/>
        <w:rPr>
          <w:rFonts w:ascii="Arial" w:hAnsi="Arial" w:cs="Arial"/>
          <w:color w:val="000000"/>
          <w:sz w:val="20"/>
          <w:szCs w:val="20"/>
          <w:highlight w:val="none"/>
          <w:shd w:fill="auto" w:val="clear"/>
          <w:lang w:val="es-ES"/>
        </w:rPr>
      </w:pPr>
      <w:r>
        <w:rPr>
          <w:rFonts w:cs="Arial" w:ascii="Arial" w:hAnsi="Arial"/>
          <w:color w:val="000000"/>
          <w:sz w:val="20"/>
          <w:szCs w:val="20"/>
          <w:shd w:fill="auto" w:val="clear"/>
          <w:lang w:val="es-ES"/>
        </w:rPr>
      </w:r>
    </w:p>
    <w:p>
      <w:pPr>
        <w:pStyle w:val="Normal"/>
        <w:spacing w:lineRule="auto" w:line="360"/>
        <w:jc w:val="both"/>
        <w:rPr>
          <w:color w:val="000000"/>
          <w:highlight w:val="none"/>
          <w:shd w:fill="auto" w:val="clear"/>
        </w:rPr>
      </w:pPr>
      <w:r>
        <w:rPr>
          <w:rFonts w:cs="Arial" w:ascii="Arial" w:hAnsi="Arial"/>
          <w:color w:val="000000"/>
          <w:sz w:val="20"/>
          <w:szCs w:val="20"/>
          <w:shd w:fill="auto" w:val="clear"/>
          <w:lang w:val="es-ES"/>
        </w:rPr>
        <w:tab/>
        <w:t>[1].</w:t>
        <w:tab/>
        <w:t xml:space="preserve">Su X, et al. </w:t>
      </w:r>
      <w:r>
        <w:rPr>
          <w:rFonts w:cs="Arial" w:ascii="Arial" w:hAnsi="Arial"/>
          <w:color w:val="000000"/>
          <w:sz w:val="20"/>
          <w:szCs w:val="20"/>
          <w:shd w:fill="auto" w:val="clear"/>
        </w:rPr>
        <w:t xml:space="preserve">Parallel-META 2.0: enhanced metagenomic data analysis with functional annotation, high performance computing and advanced visualization. </w:t>
      </w:r>
      <w:r>
        <w:rPr>
          <w:rFonts w:cs="Arial" w:ascii="Arial" w:hAnsi="Arial"/>
          <w:i/>
          <w:iCs/>
          <w:color w:val="000000"/>
          <w:sz w:val="20"/>
          <w:szCs w:val="20"/>
          <w:shd w:fill="auto" w:val="clear"/>
        </w:rPr>
        <w:t>PloS One</w:t>
      </w:r>
      <w:r>
        <w:rPr>
          <w:rFonts w:cs="Arial" w:ascii="Arial" w:hAnsi="Arial"/>
          <w:color w:val="000000"/>
          <w:sz w:val="20"/>
          <w:szCs w:val="20"/>
          <w:shd w:fill="auto" w:val="clear"/>
        </w:rPr>
        <w:t xml:space="preserve"> 2014; </w:t>
      </w:r>
      <w:r>
        <w:rPr>
          <w:rFonts w:cs="Arial" w:ascii="Arial" w:hAnsi="Arial"/>
          <w:b/>
          <w:bCs/>
          <w:color w:val="000000"/>
          <w:sz w:val="20"/>
          <w:szCs w:val="20"/>
          <w:shd w:fill="auto" w:val="clear"/>
        </w:rPr>
        <w:t>9</w:t>
      </w:r>
      <w:r>
        <w:rPr>
          <w:rFonts w:cs="Arial" w:ascii="Arial" w:hAnsi="Arial"/>
          <w:color w:val="000000"/>
          <w:sz w:val="20"/>
          <w:szCs w:val="20"/>
          <w:shd w:fill="auto" w:val="clear"/>
        </w:rPr>
        <w:t>: e89323.</w:t>
      </w:r>
    </w:p>
    <w:p>
      <w:pPr>
        <w:pStyle w:val="Normal"/>
        <w:spacing w:lineRule="auto" w:line="360"/>
        <w:jc w:val="both"/>
        <w:rPr>
          <w:color w:val="000000"/>
          <w:highlight w:val="none"/>
          <w:shd w:fill="auto" w:val="clear"/>
        </w:rPr>
      </w:pPr>
      <w:r>
        <w:rPr>
          <w:rFonts w:cs="Arial" w:ascii="Arial" w:hAnsi="Arial"/>
          <w:color w:val="000000"/>
          <w:sz w:val="20"/>
          <w:szCs w:val="20"/>
          <w:shd w:fill="auto" w:val="clear"/>
        </w:rPr>
        <w:tab/>
        <w:t>[2].</w:t>
        <w:tab/>
        <w:t xml:space="preserve">Caporaso JG, et al. QIIME allows analysis of high-throughput community sequencing data. </w:t>
      </w:r>
      <w:r>
        <w:rPr>
          <w:rFonts w:cs="Arial" w:ascii="Arial" w:hAnsi="Arial"/>
          <w:i/>
          <w:iCs/>
          <w:color w:val="000000" w:themeColor="text1"/>
          <w:sz w:val="20"/>
          <w:szCs w:val="20"/>
          <w:shd w:fill="auto" w:val="clear"/>
          <w:lang w:val="en-US"/>
        </w:rPr>
        <w:t>Nat Methods</w:t>
      </w:r>
      <w:r>
        <w:rPr>
          <w:rFonts w:cs="Arial" w:ascii="Arial" w:hAnsi="Arial"/>
          <w:color w:val="000000"/>
          <w:sz w:val="20"/>
          <w:szCs w:val="20"/>
          <w:shd w:fill="auto" w:val="clear"/>
        </w:rPr>
        <w:t xml:space="preserve"> 2010; </w:t>
      </w:r>
      <w:r>
        <w:rPr>
          <w:rFonts w:cs="Arial" w:ascii="Arial" w:hAnsi="Arial"/>
          <w:b/>
          <w:bCs/>
          <w:color w:val="000000"/>
          <w:sz w:val="20"/>
          <w:szCs w:val="20"/>
          <w:shd w:fill="auto" w:val="clear"/>
        </w:rPr>
        <w:t>7</w:t>
      </w:r>
      <w:r>
        <w:rPr>
          <w:rFonts w:cs="Arial" w:ascii="Arial" w:hAnsi="Arial"/>
          <w:color w:val="000000"/>
          <w:sz w:val="20"/>
          <w:szCs w:val="20"/>
          <w:shd w:fill="auto" w:val="clear"/>
        </w:rPr>
        <w:t>: 335-336.</w:t>
      </w:r>
    </w:p>
    <w:p>
      <w:pPr>
        <w:pStyle w:val="Normal"/>
        <w:spacing w:lineRule="auto" w:line="360"/>
        <w:jc w:val="both"/>
        <w:rPr>
          <w:color w:val="000000"/>
          <w:highlight w:val="none"/>
          <w:shd w:fill="auto" w:val="clear"/>
        </w:rPr>
      </w:pPr>
      <w:r>
        <w:rPr>
          <w:rFonts w:cs="Arial" w:ascii="Arial" w:hAnsi="Arial"/>
          <w:color w:val="000000"/>
          <w:sz w:val="20"/>
          <w:szCs w:val="20"/>
          <w:shd w:fill="auto" w:val="clear"/>
        </w:rPr>
        <w:tab/>
        <w:t>[3].</w:t>
        <w:tab/>
        <w:t xml:space="preserve">Pruesse E, et al. SILVA: a comprehensive online resource for quality checked and aligned ribosomal RNA sequence data compatible with ARB. </w:t>
      </w:r>
      <w:r>
        <w:rPr>
          <w:rFonts w:cs="Arial" w:ascii="Arial" w:hAnsi="Arial"/>
          <w:i/>
          <w:iCs/>
          <w:color w:val="000000"/>
          <w:sz w:val="20"/>
          <w:szCs w:val="20"/>
          <w:shd w:fill="auto" w:val="clear"/>
        </w:rPr>
        <w:t>Nucleic Acids Res</w:t>
      </w:r>
      <w:r>
        <w:rPr>
          <w:rFonts w:cs="Arial" w:ascii="Arial" w:hAnsi="Arial"/>
          <w:color w:val="000000"/>
          <w:sz w:val="20"/>
          <w:szCs w:val="20"/>
          <w:shd w:fill="auto" w:val="clear"/>
        </w:rPr>
        <w:t xml:space="preserve"> 2007; </w:t>
      </w:r>
      <w:r>
        <w:rPr>
          <w:rFonts w:cs="Arial" w:ascii="Arial" w:hAnsi="Arial"/>
          <w:b/>
          <w:bCs/>
          <w:color w:val="000000"/>
          <w:sz w:val="20"/>
          <w:szCs w:val="20"/>
          <w:shd w:fill="auto" w:val="clear"/>
        </w:rPr>
        <w:t>35</w:t>
      </w:r>
      <w:r>
        <w:rPr>
          <w:rFonts w:cs="Arial" w:ascii="Arial" w:hAnsi="Arial"/>
          <w:color w:val="000000"/>
          <w:sz w:val="20"/>
          <w:szCs w:val="20"/>
          <w:shd w:fill="auto" w:val="clear"/>
        </w:rPr>
        <w:t>: 7188-7196.</w:t>
      </w:r>
    </w:p>
    <w:p>
      <w:pPr>
        <w:pStyle w:val="Normal"/>
        <w:spacing w:lineRule="auto" w:line="360"/>
        <w:jc w:val="both"/>
        <w:rPr>
          <w:color w:val="000000"/>
          <w:highlight w:val="none"/>
          <w:shd w:fill="auto" w:val="clear"/>
        </w:rPr>
      </w:pPr>
      <w:r>
        <w:rPr>
          <w:rFonts w:cs="Arial" w:ascii="Arial" w:hAnsi="Arial"/>
          <w:color w:val="000000"/>
          <w:sz w:val="20"/>
          <w:szCs w:val="20"/>
          <w:shd w:fill="auto" w:val="clear"/>
        </w:rPr>
        <w:tab/>
        <w:t>[4].</w:t>
        <w:tab/>
        <w:t xml:space="preserve">Ludwig W, et al. ARB: a software environment for sequence data. </w:t>
      </w:r>
      <w:r>
        <w:rPr>
          <w:rFonts w:cs="Arial" w:ascii="Arial" w:hAnsi="Arial"/>
          <w:i/>
          <w:iCs/>
          <w:color w:val="000000"/>
          <w:sz w:val="20"/>
          <w:szCs w:val="20"/>
          <w:shd w:fill="auto" w:val="clear"/>
        </w:rPr>
        <w:t>Nucleic Acids Res</w:t>
      </w:r>
      <w:r>
        <w:rPr>
          <w:rFonts w:cs="Arial" w:ascii="Arial" w:hAnsi="Arial"/>
          <w:color w:val="000000"/>
          <w:sz w:val="20"/>
          <w:szCs w:val="20"/>
          <w:shd w:fill="auto" w:val="clear"/>
        </w:rPr>
        <w:t xml:space="preserve"> 2004; </w:t>
      </w:r>
      <w:r>
        <w:rPr>
          <w:rFonts w:cs="Arial" w:ascii="Arial" w:hAnsi="Arial"/>
          <w:b/>
          <w:bCs/>
          <w:color w:val="000000"/>
          <w:sz w:val="20"/>
          <w:szCs w:val="20"/>
          <w:shd w:fill="auto" w:val="clear"/>
        </w:rPr>
        <w:t>32</w:t>
      </w:r>
      <w:r>
        <w:rPr>
          <w:rFonts w:cs="Arial" w:ascii="Arial" w:hAnsi="Arial"/>
          <w:color w:val="000000"/>
          <w:sz w:val="20"/>
          <w:szCs w:val="20"/>
          <w:shd w:fill="auto" w:val="clear"/>
        </w:rPr>
        <w:t>: 1363-1371.</w:t>
      </w:r>
    </w:p>
    <w:p>
      <w:pPr>
        <w:pStyle w:val="Normal"/>
        <w:spacing w:lineRule="auto" w:line="360"/>
        <w:jc w:val="both"/>
        <w:rPr>
          <w:color w:val="000000"/>
          <w:highlight w:val="none"/>
          <w:shd w:fill="auto" w:val="clear"/>
        </w:rPr>
      </w:pPr>
      <w:r>
        <w:rPr>
          <w:rFonts w:cs="Arial" w:ascii="Arial" w:hAnsi="Arial"/>
          <w:color w:val="000000"/>
          <w:sz w:val="20"/>
          <w:szCs w:val="20"/>
          <w:shd w:fill="auto" w:val="clear"/>
        </w:rPr>
        <w:tab/>
        <w:t>[5].</w:t>
        <w:tab/>
        <w:t xml:space="preserve">Quast C, et al. The SILVA ribosomal RNA gene database project: improved data processing and web-based tools. </w:t>
      </w:r>
      <w:r>
        <w:rPr>
          <w:rFonts w:cs="Arial" w:ascii="Arial" w:hAnsi="Arial"/>
          <w:i/>
          <w:iCs/>
          <w:color w:val="000000"/>
          <w:sz w:val="20"/>
          <w:szCs w:val="20"/>
          <w:shd w:fill="auto" w:val="clear"/>
        </w:rPr>
        <w:t>Nucleic Acids Res</w:t>
      </w:r>
      <w:r>
        <w:rPr>
          <w:rFonts w:cs="Arial" w:ascii="Arial" w:hAnsi="Arial"/>
          <w:color w:val="000000"/>
          <w:sz w:val="20"/>
          <w:szCs w:val="20"/>
          <w:shd w:fill="auto" w:val="clear"/>
        </w:rPr>
        <w:t xml:space="preserve"> 2013; </w:t>
      </w:r>
      <w:r>
        <w:rPr>
          <w:rFonts w:cs="Arial" w:ascii="Arial" w:hAnsi="Arial"/>
          <w:b/>
          <w:bCs/>
          <w:color w:val="000000"/>
          <w:sz w:val="20"/>
          <w:szCs w:val="20"/>
          <w:shd w:fill="auto" w:val="clear"/>
        </w:rPr>
        <w:t>41</w:t>
      </w:r>
      <w:r>
        <w:rPr>
          <w:rFonts w:cs="Arial" w:ascii="Arial" w:hAnsi="Arial"/>
          <w:color w:val="000000"/>
          <w:sz w:val="20"/>
          <w:szCs w:val="20"/>
          <w:shd w:fill="auto" w:val="clear"/>
        </w:rPr>
        <w:t>: D590–D596.</w:t>
      </w:r>
    </w:p>
    <w:p>
      <w:pPr>
        <w:pStyle w:val="Normal"/>
        <w:spacing w:lineRule="auto" w:line="360"/>
        <w:jc w:val="both"/>
        <w:rPr>
          <w:color w:val="000000"/>
          <w:highlight w:val="none"/>
          <w:shd w:fill="auto" w:val="clear"/>
        </w:rPr>
      </w:pPr>
      <w:r>
        <w:rPr>
          <w:rFonts w:cs="Arial" w:ascii="Arial" w:hAnsi="Arial"/>
          <w:color w:val="000000"/>
          <w:sz w:val="20"/>
          <w:szCs w:val="20"/>
          <w:shd w:fill="auto" w:val="clear"/>
        </w:rPr>
        <w:tab/>
        <w:t>[6].</w:t>
        <w:tab/>
        <w:t xml:space="preserve">Mora-Ruiz MDR, et al. Moderate halophilic bacteria colonizing the phylloplane of halophytes of the subfamily </w:t>
      </w:r>
      <w:r>
        <w:rPr>
          <w:rFonts w:cs="Arial" w:ascii="Arial" w:hAnsi="Arial"/>
          <w:i/>
          <w:iCs/>
          <w:color w:val="000000"/>
          <w:sz w:val="20"/>
          <w:szCs w:val="20"/>
          <w:shd w:fill="auto" w:val="clear"/>
        </w:rPr>
        <w:t>Salicornioideae</w:t>
      </w:r>
      <w:r>
        <w:rPr>
          <w:rFonts w:cs="Arial" w:ascii="Arial" w:hAnsi="Arial"/>
          <w:color w:val="000000"/>
          <w:sz w:val="20"/>
          <w:szCs w:val="20"/>
          <w:shd w:fill="auto" w:val="clear"/>
        </w:rPr>
        <w:t xml:space="preserve"> (</w:t>
      </w:r>
      <w:r>
        <w:rPr>
          <w:rFonts w:cs="Arial" w:ascii="Arial" w:hAnsi="Arial"/>
          <w:i/>
          <w:iCs/>
          <w:color w:val="000000"/>
          <w:sz w:val="20"/>
          <w:szCs w:val="20"/>
          <w:shd w:fill="auto" w:val="clear"/>
        </w:rPr>
        <w:t>Amaranthaceae</w:t>
      </w:r>
      <w:r>
        <w:rPr>
          <w:rFonts w:cs="Arial" w:ascii="Arial" w:hAnsi="Arial"/>
          <w:color w:val="000000"/>
          <w:sz w:val="20"/>
          <w:szCs w:val="20"/>
          <w:shd w:fill="auto" w:val="clear"/>
        </w:rPr>
        <w:t xml:space="preserve">). </w:t>
      </w:r>
      <w:r>
        <w:rPr>
          <w:rFonts w:cs="Arial" w:ascii="Arial" w:hAnsi="Arial"/>
          <w:b w:val="false"/>
          <w:bCs w:val="false"/>
          <w:i/>
          <w:iCs/>
          <w:color w:val="000000" w:themeColor="text1"/>
          <w:sz w:val="20"/>
          <w:szCs w:val="20"/>
          <w:shd w:fill="auto" w:val="clear"/>
          <w:lang w:val="en-US"/>
        </w:rPr>
        <w:t>Syst Appl Microbiol</w:t>
      </w:r>
      <w:r>
        <w:rPr>
          <w:rFonts w:cs="Arial" w:ascii="Arial" w:hAnsi="Arial"/>
          <w:color w:val="000000"/>
          <w:sz w:val="20"/>
          <w:szCs w:val="20"/>
          <w:shd w:fill="auto" w:val="clear"/>
        </w:rPr>
        <w:t xml:space="preserve"> 2015; </w:t>
      </w:r>
      <w:r>
        <w:rPr>
          <w:rFonts w:cs="Arial" w:ascii="Arial" w:hAnsi="Arial"/>
          <w:b/>
          <w:bCs/>
          <w:color w:val="000000"/>
          <w:sz w:val="20"/>
          <w:szCs w:val="20"/>
          <w:shd w:fill="auto" w:val="clear"/>
        </w:rPr>
        <w:t>38</w:t>
      </w:r>
      <w:r>
        <w:rPr>
          <w:rFonts w:cs="Arial" w:ascii="Arial" w:hAnsi="Arial"/>
          <w:color w:val="000000"/>
          <w:sz w:val="20"/>
          <w:szCs w:val="20"/>
          <w:shd w:fill="auto" w:val="clear"/>
        </w:rPr>
        <w:t>: 406-416.</w:t>
      </w:r>
    </w:p>
    <w:p>
      <w:pPr>
        <w:pStyle w:val="Normal"/>
        <w:spacing w:lineRule="auto" w:line="360"/>
        <w:jc w:val="both"/>
        <w:rPr>
          <w:color w:val="000000"/>
          <w:highlight w:val="none"/>
          <w:shd w:fill="auto" w:val="clear"/>
        </w:rPr>
      </w:pPr>
      <w:r>
        <w:rPr>
          <w:color w:val="000000"/>
          <w:shd w:fill="auto" w:val="clear"/>
        </w:rPr>
      </w:r>
    </w:p>
    <w:p>
      <w:pPr>
        <w:pStyle w:val="Normal"/>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rPr>
          <w:color w:val="000000"/>
          <w:highlight w:val="none"/>
          <w:shd w:fill="auto" w:val="clear"/>
        </w:rPr>
      </w:pPr>
      <w:r>
        <w:rPr>
          <w:rFonts w:cs="Arial" w:ascii="Arial" w:hAnsi="Arial"/>
          <w:b/>
          <w:bCs/>
          <w:color w:val="000000"/>
          <w:sz w:val="20"/>
          <w:szCs w:val="20"/>
          <w:shd w:fill="auto" w:val="clear"/>
        </w:rPr>
        <w:t>Supplementary Text T3 mesocosm preparation and initial features:</w:t>
      </w:r>
    </w:p>
    <w:p>
      <w:pPr>
        <w:pStyle w:val="Normal"/>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ind w:firstLine="408"/>
        <w:jc w:val="both"/>
        <w:rPr>
          <w:color w:val="000000"/>
          <w:highlight w:val="none"/>
          <w:shd w:fill="auto" w:val="clear"/>
        </w:rPr>
      </w:pPr>
      <w:r>
        <w:rPr>
          <w:rFonts w:cs="Arial" w:ascii="Arial" w:hAnsi="Arial"/>
          <w:color w:val="000000"/>
          <w:sz w:val="20"/>
          <w:szCs w:val="20"/>
          <w:shd w:fill="auto" w:val="clear"/>
        </w:rPr>
        <w:t>Brines from S’Avall were collected at a salinity of 25.5% (Figure 1C; Supp. Table S1) and contained Cl</w:t>
      </w:r>
      <w:r>
        <w:rPr>
          <w:rFonts w:cs="Arial" w:ascii="Arial" w:hAnsi="Arial"/>
          <w:color w:val="000000"/>
          <w:sz w:val="20"/>
          <w:szCs w:val="20"/>
          <w:shd w:fill="auto" w:val="clear"/>
          <w:vertAlign w:val="superscript"/>
        </w:rPr>
        <w:t>-</w:t>
      </w:r>
      <w:r>
        <w:rPr>
          <w:rFonts w:cs="Arial" w:ascii="Arial" w:hAnsi="Arial"/>
          <w:color w:val="000000"/>
          <w:sz w:val="20"/>
          <w:szCs w:val="20"/>
          <w:shd w:fill="auto" w:val="clear"/>
        </w:rPr>
        <w:t>, Na</w:t>
      </w:r>
      <w:r>
        <w:rPr>
          <w:rFonts w:cs="Arial" w:ascii="Arial" w:hAnsi="Arial"/>
          <w:color w:val="000000"/>
          <w:sz w:val="20"/>
          <w:szCs w:val="20"/>
          <w:shd w:fill="auto" w:val="clear"/>
          <w:vertAlign w:val="superscript"/>
        </w:rPr>
        <w:t>+</w:t>
      </w:r>
      <w:r>
        <w:rPr>
          <w:rFonts w:cs="Arial" w:ascii="Arial" w:hAnsi="Arial"/>
          <w:color w:val="000000"/>
          <w:sz w:val="20"/>
          <w:szCs w:val="20"/>
          <w:shd w:fill="auto" w:val="clear"/>
        </w:rPr>
        <w:t>, Mg</w:t>
      </w:r>
      <w:r>
        <w:rPr>
          <w:rFonts w:cs="Arial" w:ascii="Arial" w:hAnsi="Arial"/>
          <w:color w:val="000000"/>
          <w:sz w:val="20"/>
          <w:szCs w:val="20"/>
          <w:shd w:fill="auto" w:val="clear"/>
          <w:vertAlign w:val="superscript"/>
        </w:rPr>
        <w:t>2+</w:t>
      </w:r>
      <w:r>
        <w:rPr>
          <w:rFonts w:cs="Arial" w:ascii="Arial" w:hAnsi="Arial"/>
          <w:color w:val="000000"/>
          <w:sz w:val="20"/>
          <w:szCs w:val="20"/>
          <w:shd w:fill="auto" w:val="clear"/>
        </w:rPr>
        <w:t xml:space="preserve"> and SO</w:t>
      </w:r>
      <w:r>
        <w:rPr>
          <w:rFonts w:cs="Arial" w:ascii="Arial" w:hAnsi="Arial"/>
          <w:color w:val="000000"/>
          <w:sz w:val="20"/>
          <w:szCs w:val="20"/>
          <w:shd w:fill="auto" w:val="clear"/>
          <w:vertAlign w:val="subscript"/>
        </w:rPr>
        <w:t>4</w:t>
      </w:r>
      <w:r>
        <w:rPr>
          <w:rFonts w:cs="Arial" w:ascii="Arial" w:hAnsi="Arial"/>
          <w:color w:val="000000"/>
          <w:sz w:val="20"/>
          <w:szCs w:val="20"/>
          <w:shd w:fill="auto" w:val="clear"/>
          <w:vertAlign w:val="superscript"/>
        </w:rPr>
        <w:t>2-</w:t>
      </w:r>
      <w:r>
        <w:rPr>
          <w:rFonts w:cs="Arial" w:ascii="Arial" w:hAnsi="Arial"/>
          <w:color w:val="000000"/>
          <w:sz w:val="20"/>
          <w:szCs w:val="20"/>
          <w:shd w:fill="auto" w:val="clear"/>
        </w:rPr>
        <w:t xml:space="preserve"> as the main ions measured (Supp. Table S1; Supp. Figure S3). Brines contained 1.6x10</w:t>
      </w:r>
      <w:r>
        <w:rPr>
          <w:rFonts w:cs="Arial" w:ascii="Arial" w:hAnsi="Arial"/>
          <w:color w:val="000000"/>
          <w:sz w:val="20"/>
          <w:szCs w:val="20"/>
          <w:shd w:fill="auto" w:val="clear"/>
          <w:vertAlign w:val="superscript"/>
        </w:rPr>
        <w:t>8</w:t>
      </w:r>
      <w:r>
        <w:rPr>
          <w:rFonts w:cs="Arial" w:ascii="Arial" w:hAnsi="Arial"/>
          <w:color w:val="000000"/>
          <w:sz w:val="20"/>
          <w:szCs w:val="20"/>
          <w:shd w:fill="auto" w:val="clear"/>
        </w:rPr>
        <w:t xml:space="preserve"> ± 5.3.10</w:t>
      </w:r>
      <w:r>
        <w:rPr>
          <w:rFonts w:cs="Arial" w:ascii="Arial" w:hAnsi="Arial"/>
          <w:color w:val="000000"/>
          <w:sz w:val="20"/>
          <w:szCs w:val="20"/>
          <w:shd w:fill="auto" w:val="clear"/>
          <w:vertAlign w:val="superscript"/>
        </w:rPr>
        <w:t>6</w:t>
      </w:r>
      <w:r>
        <w:rPr>
          <w:rFonts w:cs="Arial" w:ascii="Arial" w:hAnsi="Arial"/>
          <w:color w:val="000000"/>
          <w:sz w:val="20"/>
          <w:szCs w:val="20"/>
          <w:shd w:fill="auto" w:val="clear"/>
        </w:rPr>
        <w:t xml:space="preserve"> cells/ml with a strong dominance of Archaea (1.1x10</w:t>
      </w:r>
      <w:r>
        <w:rPr>
          <w:rFonts w:cs="Arial" w:ascii="Arial" w:hAnsi="Arial"/>
          <w:color w:val="000000"/>
          <w:sz w:val="20"/>
          <w:szCs w:val="20"/>
          <w:shd w:fill="auto" w:val="clear"/>
          <w:vertAlign w:val="superscript"/>
        </w:rPr>
        <w:t>8</w:t>
      </w:r>
      <w:r>
        <w:rPr>
          <w:rFonts w:cs="Arial" w:ascii="Arial" w:hAnsi="Arial"/>
          <w:color w:val="000000"/>
          <w:sz w:val="20"/>
          <w:szCs w:val="20"/>
          <w:shd w:fill="auto" w:val="clear"/>
        </w:rPr>
        <w:t xml:space="preserve"> ± 3.2x10</w:t>
      </w:r>
      <w:r>
        <w:rPr>
          <w:rFonts w:cs="Arial" w:ascii="Arial" w:hAnsi="Arial"/>
          <w:color w:val="000000"/>
          <w:sz w:val="20"/>
          <w:szCs w:val="20"/>
          <w:shd w:fill="auto" w:val="clear"/>
          <w:vertAlign w:val="superscript"/>
        </w:rPr>
        <w:t>6</w:t>
      </w:r>
      <w:r>
        <w:rPr>
          <w:rFonts w:cs="Arial" w:ascii="Arial" w:hAnsi="Arial"/>
          <w:color w:val="000000"/>
          <w:sz w:val="20"/>
          <w:szCs w:val="20"/>
          <w:shd w:fill="auto" w:val="clear"/>
        </w:rPr>
        <w:t xml:space="preserve"> cells/ml; 71.42% of the total cell counts) over Bacteria (4.5x10</w:t>
      </w:r>
      <w:r>
        <w:rPr>
          <w:rFonts w:cs="Arial" w:ascii="Arial" w:hAnsi="Arial"/>
          <w:color w:val="000000"/>
          <w:sz w:val="20"/>
          <w:szCs w:val="20"/>
          <w:shd w:fill="auto" w:val="clear"/>
          <w:vertAlign w:val="superscript"/>
        </w:rPr>
        <w:t>7</w:t>
      </w:r>
      <w:r>
        <w:rPr>
          <w:rFonts w:cs="Arial" w:ascii="Arial" w:hAnsi="Arial"/>
          <w:color w:val="000000"/>
          <w:sz w:val="20"/>
          <w:szCs w:val="20"/>
          <w:shd w:fill="auto" w:val="clear"/>
        </w:rPr>
        <w:t xml:space="preserve"> ± 3.2x10</w:t>
      </w:r>
      <w:r>
        <w:rPr>
          <w:rFonts w:cs="Arial" w:ascii="Arial" w:hAnsi="Arial"/>
          <w:color w:val="000000"/>
          <w:sz w:val="20"/>
          <w:szCs w:val="20"/>
          <w:shd w:fill="auto" w:val="clear"/>
          <w:vertAlign w:val="superscript"/>
        </w:rPr>
        <w:t>6</w:t>
      </w:r>
      <w:r>
        <w:rPr>
          <w:rFonts w:cs="Arial" w:ascii="Arial" w:hAnsi="Arial"/>
          <w:color w:val="000000"/>
          <w:sz w:val="20"/>
          <w:szCs w:val="20"/>
          <w:shd w:fill="auto" w:val="clear"/>
        </w:rPr>
        <w:t xml:space="preserve"> cells/ml; 28.58% of the total cell counts) (Figure 1D and E; Supp. Table S1). After 12 days evaporation (22</w:t>
      </w:r>
      <w:r>
        <w:rPr>
          <w:rFonts w:cs="Arial" w:ascii="Arial" w:hAnsi="Arial"/>
          <w:color w:val="000000"/>
          <w:sz w:val="20"/>
          <w:szCs w:val="20"/>
          <w:shd w:fill="auto" w:val="clear"/>
          <w:vertAlign w:val="superscript"/>
        </w:rPr>
        <w:t>th</w:t>
      </w:r>
      <w:r>
        <w:rPr>
          <w:rFonts w:cs="Arial" w:ascii="Arial" w:hAnsi="Arial"/>
          <w:color w:val="000000"/>
          <w:sz w:val="20"/>
          <w:szCs w:val="20"/>
          <w:shd w:fill="auto" w:val="clear"/>
        </w:rPr>
        <w:t xml:space="preserve"> June 2020), both mesocosms reached salt-saturation (&gt;36% salts), and the cell counts increased to ~2.52x10</w:t>
      </w:r>
      <w:r>
        <w:rPr>
          <w:rFonts w:cs="Arial" w:ascii="Arial" w:hAnsi="Arial"/>
          <w:color w:val="000000"/>
          <w:sz w:val="20"/>
          <w:szCs w:val="20"/>
          <w:shd w:fill="auto" w:val="clear"/>
          <w:vertAlign w:val="superscript"/>
        </w:rPr>
        <w:t>8</w:t>
      </w:r>
      <w:r>
        <w:rPr>
          <w:rFonts w:cs="Arial" w:ascii="Arial" w:hAnsi="Arial"/>
          <w:color w:val="000000"/>
          <w:sz w:val="20"/>
          <w:szCs w:val="20"/>
          <w:shd w:fill="auto" w:val="clear"/>
        </w:rPr>
        <w:t xml:space="preserve"> ± 8.5x10</w:t>
      </w:r>
      <w:r>
        <w:rPr>
          <w:rFonts w:cs="Arial" w:ascii="Arial" w:hAnsi="Arial"/>
          <w:color w:val="000000"/>
          <w:sz w:val="20"/>
          <w:szCs w:val="20"/>
          <w:shd w:fill="auto" w:val="clear"/>
          <w:vertAlign w:val="superscript"/>
        </w:rPr>
        <w:t>6</w:t>
      </w:r>
      <w:r>
        <w:rPr>
          <w:rFonts w:cs="Arial" w:ascii="Arial" w:hAnsi="Arial"/>
          <w:color w:val="000000"/>
          <w:sz w:val="20"/>
          <w:szCs w:val="20"/>
          <w:shd w:fill="auto" w:val="clear"/>
        </w:rPr>
        <w:t xml:space="preserve"> cells/ml (Figure 1D; Supp. Table S1), and the relative archaeal and bacterial proportions remained similar (~66% and ~34%, respectively; Figure 1E; Supp. Table S1)</w:t>
      </w:r>
      <w:r>
        <w:rPr>
          <w:rFonts w:cs="Arial" w:ascii="Arial" w:hAnsi="Arial"/>
          <w:color w:val="000000"/>
          <w:sz w:val="20"/>
          <w:szCs w:val="20"/>
          <w:shd w:fill="auto" w:val="clear"/>
        </w:rPr>
        <w:t>.</w:t>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ind w:firstLine="408"/>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r>
        <w:br w:type="page"/>
      </w:r>
    </w:p>
    <w:p>
      <w:pPr>
        <w:pStyle w:val="Normal"/>
        <w:rPr>
          <w:color w:val="000000"/>
          <w:highlight w:val="none"/>
          <w:shd w:fill="auto" w:val="clear"/>
        </w:rPr>
      </w:pPr>
      <w:r>
        <w:rPr>
          <w:rFonts w:cs="Arial" w:ascii="Arial" w:hAnsi="Arial"/>
          <w:b/>
          <w:bCs/>
          <w:color w:val="000000"/>
          <w:sz w:val="20"/>
          <w:szCs w:val="20"/>
          <w:shd w:fill="auto" w:val="clear"/>
        </w:rPr>
        <w:t>Supplementary Text T4: testing the influence of tap water microbiology in the experiment</w:t>
      </w:r>
    </w:p>
    <w:p>
      <w:pPr>
        <w:pStyle w:val="Normal"/>
        <w:spacing w:lineRule="auto" w:line="48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ind w:firstLine="408"/>
        <w:jc w:val="both"/>
        <w:rPr>
          <w:color w:val="000000"/>
          <w:highlight w:val="none"/>
          <w:shd w:fill="auto" w:val="clear"/>
        </w:rPr>
      </w:pPr>
      <w:r>
        <w:rPr>
          <w:rFonts w:cs="Arial" w:ascii="Arial" w:hAnsi="Arial"/>
          <w:color w:val="000000"/>
          <w:sz w:val="20"/>
          <w:szCs w:val="20"/>
          <w:shd w:fill="auto" w:val="clear"/>
        </w:rPr>
        <w:t>The ionic concentration of the inflow tap water (TW) was 1200 times lower than the saturation brines, mainly dominated by sodium chloride and sulfate. Proportions of these ions were maintained in the mesocosms after dilution (Supp. Table S1). Altogether we could not see any significant variation in the ionic composition (Supp. Figure S3; Supp. Table S1) throughout the experiment. To ensure that</w:t>
      </w:r>
      <w:r>
        <w:rPr>
          <w:rFonts w:cs="Arial" w:ascii="Arial" w:hAnsi="Arial"/>
          <w:b/>
          <w:bCs/>
          <w:color w:val="000000"/>
          <w:sz w:val="20"/>
          <w:szCs w:val="20"/>
          <w:shd w:fill="auto" w:val="clear"/>
        </w:rPr>
        <w:t xml:space="preserve"> </w:t>
      </w:r>
      <w:r>
        <w:rPr>
          <w:rFonts w:cs="Arial" w:ascii="Arial" w:hAnsi="Arial"/>
          <w:color w:val="000000"/>
          <w:sz w:val="20"/>
          <w:szCs w:val="20"/>
          <w:shd w:fill="auto" w:val="clear"/>
        </w:rPr>
        <w:t xml:space="preserve">the addition of tap water (TW) did not strongly influence the brine microbial composition beyond a dilution effect, we first calculated that its microbial cell abundance </w:t>
      </w:r>
      <w:r>
        <w:rPr>
          <w:rFonts w:cs="Arial" w:ascii="Arial" w:hAnsi="Arial"/>
          <w:color w:val="000000"/>
          <w:sz w:val="20"/>
          <w:szCs w:val="20"/>
          <w:shd w:fill="auto" w:val="clear"/>
        </w:rPr>
        <w:t xml:space="preserve">(DAPI) </w:t>
      </w:r>
      <w:r>
        <w:rPr>
          <w:rFonts w:cs="Arial" w:ascii="Arial" w:hAnsi="Arial"/>
          <w:color w:val="000000"/>
          <w:sz w:val="20"/>
          <w:szCs w:val="20"/>
          <w:shd w:fill="auto" w:val="clear"/>
        </w:rPr>
        <w:t>was ~2.71x10</w:t>
      </w:r>
      <w:r>
        <w:rPr>
          <w:rFonts w:cs="Arial" w:ascii="Arial" w:hAnsi="Arial"/>
          <w:color w:val="000000"/>
          <w:sz w:val="20"/>
          <w:szCs w:val="20"/>
          <w:shd w:fill="auto" w:val="clear"/>
          <w:vertAlign w:val="superscript"/>
        </w:rPr>
        <w:t>5</w:t>
      </w:r>
      <w:r>
        <w:rPr>
          <w:rFonts w:cs="Arial" w:ascii="Arial" w:hAnsi="Arial"/>
          <w:color w:val="000000"/>
          <w:sz w:val="20"/>
          <w:szCs w:val="20"/>
          <w:shd w:fill="auto" w:val="clear"/>
        </w:rPr>
        <w:t xml:space="preserve"> ± 1.86x10</w:t>
      </w:r>
      <w:r>
        <w:rPr>
          <w:rFonts w:cs="Arial" w:ascii="Arial" w:hAnsi="Arial"/>
          <w:color w:val="000000"/>
          <w:sz w:val="20"/>
          <w:szCs w:val="20"/>
          <w:shd w:fill="auto" w:val="clear"/>
          <w:vertAlign w:val="superscript"/>
        </w:rPr>
        <w:t>4</w:t>
      </w:r>
      <w:r>
        <w:rPr>
          <w:rFonts w:cs="Arial" w:ascii="Arial" w:hAnsi="Arial"/>
          <w:color w:val="000000"/>
          <w:sz w:val="20"/>
          <w:szCs w:val="20"/>
          <w:shd w:fill="auto" w:val="clear"/>
        </w:rPr>
        <w:t xml:space="preserve"> cells/ml (Supp. Table S1). Then, we added ~3.8x10</w:t>
      </w:r>
      <w:r>
        <w:rPr>
          <w:rFonts w:cs="Arial" w:ascii="Arial" w:hAnsi="Arial"/>
          <w:color w:val="000000"/>
          <w:sz w:val="20"/>
          <w:szCs w:val="20"/>
          <w:shd w:fill="auto" w:val="clear"/>
          <w:vertAlign w:val="superscript"/>
        </w:rPr>
        <w:t>7</w:t>
      </w:r>
      <w:r>
        <w:rPr>
          <w:rFonts w:cs="Arial" w:ascii="Arial" w:hAnsi="Arial"/>
          <w:color w:val="000000"/>
          <w:sz w:val="20"/>
          <w:szCs w:val="20"/>
          <w:shd w:fill="auto" w:val="clear"/>
        </w:rPr>
        <w:t xml:space="preserve"> and ~8.6x10</w:t>
      </w:r>
      <w:r>
        <w:rPr>
          <w:rFonts w:cs="Arial" w:ascii="Arial" w:hAnsi="Arial"/>
          <w:color w:val="000000"/>
          <w:sz w:val="20"/>
          <w:szCs w:val="20"/>
          <w:shd w:fill="auto" w:val="clear"/>
          <w:vertAlign w:val="superscript"/>
        </w:rPr>
        <w:t>7</w:t>
      </w:r>
      <w:r>
        <w:rPr>
          <w:rFonts w:cs="Arial" w:ascii="Arial" w:hAnsi="Arial"/>
          <w:color w:val="000000"/>
          <w:sz w:val="20"/>
          <w:szCs w:val="20"/>
          <w:shd w:fill="auto" w:val="clear"/>
        </w:rPr>
        <w:t xml:space="preserve"> cells in each dilution event in D13 and D20 respectively. These values were six orders of magnitude below the total cells present in the total volume of original brines calculated to be </w:t>
      </w:r>
      <w:r>
        <w:rPr>
          <w:rFonts w:cs="Arial" w:ascii="Arial" w:hAnsi="Arial"/>
          <w:color w:val="000000"/>
          <w:sz w:val="20"/>
          <w:szCs w:val="20"/>
          <w:shd w:fill="auto" w:val="clear"/>
        </w:rPr>
        <w:t>2.4x10</w:t>
      </w:r>
      <w:r>
        <w:rPr>
          <w:rFonts w:cs="Arial" w:ascii="Arial" w:hAnsi="Arial"/>
          <w:color w:val="000000"/>
          <w:sz w:val="20"/>
          <w:szCs w:val="20"/>
          <w:shd w:fill="auto" w:val="clear"/>
          <w:vertAlign w:val="superscript"/>
        </w:rPr>
        <w:t xml:space="preserve">13 </w:t>
      </w:r>
      <w:r>
        <w:rPr>
          <w:rFonts w:cs="Arial" w:ascii="Arial" w:hAnsi="Arial"/>
          <w:color w:val="000000"/>
          <w:sz w:val="20"/>
          <w:szCs w:val="20"/>
          <w:shd w:fill="auto" w:val="clear"/>
        </w:rPr>
        <w:t>± 4.8x10</w:t>
      </w:r>
      <w:r>
        <w:rPr>
          <w:rFonts w:cs="Arial" w:ascii="Arial" w:hAnsi="Arial"/>
          <w:color w:val="000000"/>
          <w:sz w:val="20"/>
          <w:szCs w:val="20"/>
          <w:shd w:fill="auto" w:val="clear"/>
          <w:vertAlign w:val="superscript"/>
        </w:rPr>
        <w:t>10</w:t>
      </w:r>
      <w:r>
        <w:rPr>
          <w:rFonts w:cs="Arial" w:ascii="Arial" w:hAnsi="Arial"/>
          <w:color w:val="000000"/>
          <w:sz w:val="20"/>
          <w:szCs w:val="20"/>
          <w:shd w:fill="auto" w:val="clear"/>
        </w:rPr>
        <w:t xml:space="preserve"> cells in each pond. In addition, MASH distances among the 131 sequenced metagenomes (TW, time-zero, 59 from D13, and 70 from D20) using Non-metric Multidimensional Scaling (NMDS) showed strong metagenome dissimilarity of TW compared to D13 and D20 metagenomes (Supp. Figure S4). The recruitment of the assembled TW contigs of D13 and D20 reads was lower than 0.001%, again indicating a lack of potential influence of the tap water on the microbial composition of the mesocosm. We cannot disregard a potential, but undetected, influence of the added water on the chemical and microbial composition, but given the very low cell numbers and proportion of ions added, we believe that any effect is likely to be minimal.</w:t>
      </w:r>
    </w:p>
    <w:p>
      <w:pPr>
        <w:pStyle w:val="Normal"/>
        <w:spacing w:lineRule="auto" w:line="480"/>
        <w:jc w:val="both"/>
        <w:rPr>
          <w:color w:val="000000"/>
          <w:highlight w:val="none"/>
          <w:shd w:fill="auto" w:val="clear"/>
        </w:rPr>
      </w:pPr>
      <w:r>
        <w:rPr>
          <w:color w:val="000000"/>
          <w:shd w:fill="auto" w:val="clear"/>
        </w:rPr>
      </w:r>
      <w:r>
        <w:br w:type="page"/>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rPr>
        <w:t xml:space="preserve">Supplementary Figure S3: </w:t>
      </w:r>
      <w:r>
        <w:rPr>
          <w:rFonts w:cs="Arial" w:ascii="Arial" w:hAnsi="Arial"/>
          <w:color w:val="000000"/>
          <w:sz w:val="20"/>
          <w:szCs w:val="20"/>
          <w:shd w:fill="auto" w:val="clear"/>
        </w:rPr>
        <w:t>Temperature (ºC), salinity (%), and ionic composition (g/L) over 813 days in D13 and D20 mesocosms.</w:t>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drawing>
          <wp:anchor behindDoc="0" distT="0" distB="0" distL="0" distR="0" simplePos="0" locked="0" layoutInCell="0" allowOverlap="1" relativeHeight="5">
            <wp:simplePos x="0" y="0"/>
            <wp:positionH relativeFrom="column">
              <wp:align>center</wp:align>
            </wp:positionH>
            <wp:positionV relativeFrom="paragraph">
              <wp:posOffset>635</wp:posOffset>
            </wp:positionV>
            <wp:extent cx="6332220" cy="4479290"/>
            <wp:effectExtent l="0" t="0" r="0" b="0"/>
            <wp:wrapSquare wrapText="largest"/>
            <wp:docPr id="3"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5" descr=""/>
                    <pic:cNvPicPr>
                      <a:picLocks noChangeAspect="1" noChangeArrowheads="1"/>
                    </pic:cNvPicPr>
                  </pic:nvPicPr>
                  <pic:blipFill>
                    <a:blip r:embed="rId7"/>
                    <a:stretch>
                      <a:fillRect/>
                    </a:stretch>
                  </pic:blipFill>
                  <pic:spPr bwMode="auto">
                    <a:xfrm>
                      <a:off x="0" y="0"/>
                      <a:ext cx="6332220" cy="4479290"/>
                    </a:xfrm>
                    <a:prstGeom prst="rect">
                      <a:avLst/>
                    </a:prstGeom>
                  </pic:spPr>
                </pic:pic>
              </a:graphicData>
            </a:graphic>
          </wp:anchor>
        </w:drawing>
      </w:r>
    </w:p>
    <w:p>
      <w:pPr>
        <w:pStyle w:val="Normal"/>
        <w:spacing w:lineRule="auto" w:line="360"/>
        <w:rPr>
          <w:color w:val="000000"/>
          <w:highlight w:val="none"/>
          <w:shd w:fill="auto" w:val="clear"/>
        </w:rPr>
      </w:pPr>
      <w:r>
        <w:rPr>
          <w:rFonts w:cs="Arial" w:ascii="Arial" w:hAnsi="Arial"/>
          <w:b/>
          <w:bCs/>
          <w:color w:val="000000"/>
          <w:sz w:val="20"/>
          <w:szCs w:val="20"/>
          <w:shd w:fill="auto" w:val="clear"/>
        </w:rPr>
        <w:t xml:space="preserve">Supplementary Figure S4: </w:t>
      </w:r>
      <w:r>
        <w:rPr>
          <w:rFonts w:cs="Arial" w:ascii="Arial" w:hAnsi="Arial"/>
          <w:color w:val="000000"/>
          <w:sz w:val="20"/>
          <w:szCs w:val="20"/>
          <w:shd w:fill="auto" w:val="clear"/>
        </w:rPr>
        <w:t>NMDS plot based on MASH distances using all D13, D20, and TW metagenomes.</w:t>
      </w:r>
    </w:p>
    <w:p>
      <w:pPr>
        <w:pStyle w:val="Normal"/>
        <w:spacing w:lineRule="auto" w:line="360"/>
        <w:jc w:val="both"/>
        <w:rPr>
          <w:color w:val="000000"/>
          <w:highlight w:val="none"/>
          <w:shd w:fill="auto" w:val="clear"/>
        </w:rPr>
      </w:pPr>
      <w:r>
        <w:rPr>
          <w:color w:val="000000"/>
          <w:shd w:fill="auto" w:val="clear"/>
        </w:rPr>
        <w:drawing>
          <wp:inline distT="0" distB="0" distL="0" distR="0">
            <wp:extent cx="3184525" cy="3042920"/>
            <wp:effectExtent l="0" t="0" r="0" b="0"/>
            <wp:docPr id="4"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 descr=""/>
                    <pic:cNvPicPr>
                      <a:picLocks noChangeAspect="1" noChangeArrowheads="1"/>
                    </pic:cNvPicPr>
                  </pic:nvPicPr>
                  <pic:blipFill>
                    <a:blip r:embed="rId8"/>
                    <a:stretch>
                      <a:fillRect/>
                    </a:stretch>
                  </pic:blipFill>
                  <pic:spPr bwMode="auto">
                    <a:xfrm>
                      <a:off x="0" y="0"/>
                      <a:ext cx="3184525" cy="3042920"/>
                    </a:xfrm>
                    <a:prstGeom prst="rect">
                      <a:avLst/>
                    </a:prstGeom>
                  </pic:spPr>
                </pic:pic>
              </a:graphicData>
            </a:graphic>
          </wp:inline>
        </w:drawing>
      </w:r>
      <w:r>
        <w:br w:type="page"/>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rPr>
        <w:t xml:space="preserve">Supplementary Figure S5: (A) </w:t>
      </w:r>
      <w:r>
        <w:rPr>
          <w:rFonts w:cs="Arial" w:ascii="Arial" w:hAnsi="Arial"/>
          <w:color w:val="000000"/>
          <w:sz w:val="20"/>
          <w:szCs w:val="20"/>
          <w:shd w:fill="auto" w:val="clear"/>
        </w:rPr>
        <w:t>Temperature (ºC), (</w:t>
      </w:r>
      <w:r>
        <w:rPr>
          <w:rFonts w:cs="Arial" w:ascii="Arial" w:hAnsi="Arial"/>
          <w:b/>
          <w:bCs/>
          <w:color w:val="000000"/>
          <w:sz w:val="20"/>
          <w:szCs w:val="20"/>
          <w:shd w:fill="auto" w:val="clear"/>
        </w:rPr>
        <w:t xml:space="preserve">B) </w:t>
      </w:r>
      <w:r>
        <w:rPr>
          <w:rFonts w:cs="Arial" w:ascii="Arial" w:hAnsi="Arial"/>
          <w:b w:val="false"/>
          <w:bCs w:val="false"/>
          <w:color w:val="000000"/>
          <w:sz w:val="20"/>
          <w:szCs w:val="20"/>
          <w:shd w:fill="auto" w:val="clear"/>
        </w:rPr>
        <w:t>s</w:t>
      </w:r>
      <w:r>
        <w:rPr>
          <w:rFonts w:cs="Arial" w:ascii="Arial" w:hAnsi="Arial"/>
          <w:color w:val="000000"/>
          <w:sz w:val="20"/>
          <w:szCs w:val="20"/>
          <w:shd w:fill="auto" w:val="clear"/>
        </w:rPr>
        <w:t>alinity (%), and (</w:t>
      </w:r>
      <w:r>
        <w:rPr>
          <w:rFonts w:cs="Arial" w:ascii="Arial" w:hAnsi="Arial"/>
          <w:b/>
          <w:bCs/>
          <w:color w:val="000000"/>
          <w:sz w:val="20"/>
          <w:szCs w:val="20"/>
          <w:shd w:fill="auto" w:val="clear"/>
        </w:rPr>
        <w:t xml:space="preserve">C) </w:t>
      </w:r>
      <w:r>
        <w:rPr>
          <w:rFonts w:cs="Arial" w:ascii="Arial" w:hAnsi="Arial"/>
          <w:b w:val="false"/>
          <w:bCs w:val="false"/>
          <w:color w:val="000000"/>
          <w:sz w:val="20"/>
          <w:szCs w:val="20"/>
          <w:shd w:fill="auto" w:val="clear"/>
        </w:rPr>
        <w:t>p</w:t>
      </w:r>
      <w:r>
        <w:rPr>
          <w:rFonts w:cs="Arial" w:ascii="Arial" w:hAnsi="Arial"/>
          <w:color w:val="000000"/>
          <w:sz w:val="20"/>
          <w:szCs w:val="20"/>
          <w:shd w:fill="auto" w:val="clear"/>
        </w:rPr>
        <w:t>ercentage of resistant bacterial (green) and archaeal (red) cells after every dilution event in D13 and D20 mesocosms across 813 days.</w:t>
      </w:r>
    </w:p>
    <w:p>
      <w:pPr>
        <w:pStyle w:val="Normal"/>
        <w:spacing w:lineRule="auto" w:line="360"/>
        <w:jc w:val="both"/>
        <w:rPr>
          <w:color w:val="000000"/>
          <w:highlight w:val="none"/>
          <w:shd w:fill="auto" w:val="clear"/>
        </w:rPr>
      </w:pPr>
      <w:r>
        <w:rPr>
          <w:rFonts w:cs="Arial" w:ascii="Arial" w:hAnsi="Arial"/>
          <w:color w:val="000000"/>
          <w:sz w:val="20"/>
          <w:szCs w:val="20"/>
          <w:shd w:fill="auto" w:val="clear"/>
        </w:rPr>
        <w:t>​</w:t>
      </w:r>
      <w:r>
        <w:drawing>
          <wp:anchor behindDoc="0" distT="0" distB="0" distL="0" distR="0" simplePos="0" locked="0" layoutInCell="0" allowOverlap="1" relativeHeight="6">
            <wp:simplePos x="0" y="0"/>
            <wp:positionH relativeFrom="column">
              <wp:align>center</wp:align>
            </wp:positionH>
            <wp:positionV relativeFrom="paragraph">
              <wp:posOffset>635</wp:posOffset>
            </wp:positionV>
            <wp:extent cx="6332220" cy="4479290"/>
            <wp:effectExtent l="0" t="0" r="0" b="0"/>
            <wp:wrapSquare wrapText="largest"/>
            <wp:docPr id="5"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9" descr=""/>
                    <pic:cNvPicPr>
                      <a:picLocks noChangeAspect="1" noChangeArrowheads="1"/>
                    </pic:cNvPicPr>
                  </pic:nvPicPr>
                  <pic:blipFill>
                    <a:blip r:embed="rId9"/>
                    <a:stretch>
                      <a:fillRect/>
                    </a:stretch>
                  </pic:blipFill>
                  <pic:spPr bwMode="auto">
                    <a:xfrm>
                      <a:off x="0" y="0"/>
                      <a:ext cx="6332220" cy="4479290"/>
                    </a:xfrm>
                    <a:prstGeom prst="rect">
                      <a:avLst/>
                    </a:prstGeom>
                  </pic:spPr>
                </pic:pic>
              </a:graphicData>
            </a:graphic>
          </wp:anchor>
        </w:drawing>
      </w:r>
      <w:r>
        <w:rPr>
          <w:rFonts w:cs="Arial" w:ascii="Arial" w:hAnsi="Arial"/>
          <w:color w:val="000000"/>
          <w:sz w:val="20"/>
          <w:szCs w:val="20"/>
          <w:shd w:fill="auto" w:val="clear"/>
        </w:rPr>
        <w:t>​​​</w:t>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r>
        <w:br w:type="page"/>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rPr>
        <w:t>Supplementary Text T5: Microbial and viral diversity of D13 and D20 mesocosms over the 813 days of the disturbance experiment.</w:t>
      </w:r>
    </w:p>
    <w:p>
      <w:pPr>
        <w:pStyle w:val="Normal"/>
        <w:spacing w:lineRule="auto" w:line="360" w:before="0" w:after="200"/>
        <w:jc w:val="both"/>
        <w:rPr>
          <w:color w:val="000000"/>
          <w:highlight w:val="none"/>
          <w:shd w:fill="auto" w:val="clear"/>
        </w:rPr>
      </w:pPr>
      <w:r>
        <w:rPr>
          <w:rFonts w:cs="Arial" w:ascii="Arial" w:hAnsi="Arial"/>
          <w:color w:val="000000"/>
          <w:sz w:val="20"/>
          <w:szCs w:val="20"/>
          <w:shd w:fill="auto" w:val="clear"/>
        </w:rPr>
        <w:tab/>
        <w:t>From the 130 sequenced metagenomes (excluding the TW metagenome from the analysis), we rec</w:t>
      </w:r>
      <w:r>
        <w:rPr>
          <w:rFonts w:cs="Arial" w:ascii="Arial" w:hAnsi="Arial"/>
          <w:color w:val="000000"/>
          <w:sz w:val="20"/>
          <w:szCs w:val="20"/>
          <w:shd w:fill="auto" w:val="clear"/>
        </w:rPr>
        <w:t xml:space="preserve">overed a total of 2,745 MAGs from time-zero (34 MAGs), D13 (1,293 MAGs) and D20 (1,418 MAGs), rendering 128 species groupings of MAGs at an ANI threshold ≥95% (Table S4). Additionally, we identified 535 OPUs, for which 208 and 327 affiliated with Bacteria and Archaea, respectively (Table S5). Based on MIMAG standards [1], 35.94% of the species were classified as high-quality and 64.06% as medium-quality MAGs. Taxonomic affiliations indicated that members of the Archaea were classified as 3, 10 and 70 distinct species of </w:t>
      </w:r>
      <w:r>
        <w:rPr>
          <w:rFonts w:cs="Arial" w:ascii="Arial" w:hAnsi="Arial"/>
          <w:i/>
          <w:iCs/>
          <w:color w:val="000000"/>
          <w:sz w:val="20"/>
          <w:szCs w:val="20"/>
          <w:shd w:fill="auto" w:val="clear"/>
        </w:rPr>
        <w:t>Nanoarchaeota</w:t>
      </w:r>
      <w:r>
        <w:rPr>
          <w:rFonts w:cs="Arial" w:ascii="Arial" w:hAnsi="Arial"/>
          <w:color w:val="000000"/>
          <w:sz w:val="20"/>
          <w:szCs w:val="20"/>
          <w:shd w:fill="auto" w:val="clear"/>
        </w:rPr>
        <w:t xml:space="preserve">, </w:t>
      </w:r>
      <w:r>
        <w:rPr>
          <w:rFonts w:cs="Arial" w:ascii="Arial" w:hAnsi="Arial"/>
          <w:i/>
          <w:iCs/>
          <w:color w:val="000000"/>
          <w:sz w:val="20"/>
          <w:szCs w:val="20"/>
          <w:shd w:fill="auto" w:val="clear"/>
        </w:rPr>
        <w:t xml:space="preserve">Nanohaloarchaeota, </w:t>
      </w:r>
      <w:r>
        <w:rPr>
          <w:rFonts w:cs="Arial" w:ascii="Arial" w:hAnsi="Arial"/>
          <w:color w:val="000000"/>
          <w:sz w:val="20"/>
          <w:szCs w:val="20"/>
          <w:shd w:fill="auto" w:val="clear"/>
        </w:rPr>
        <w:t xml:space="preserve">and </w:t>
      </w:r>
      <w:r>
        <w:rPr>
          <w:rFonts w:cs="Arial" w:ascii="Arial" w:hAnsi="Arial"/>
          <w:i/>
          <w:iCs/>
          <w:color w:val="000000"/>
          <w:sz w:val="20"/>
          <w:szCs w:val="20"/>
          <w:shd w:fill="auto" w:val="clear"/>
        </w:rPr>
        <w:t>Halobacteriota</w:t>
      </w:r>
      <w:r>
        <w:rPr>
          <w:rFonts w:cs="Arial" w:ascii="Arial" w:hAnsi="Arial"/>
          <w:color w:val="000000"/>
          <w:sz w:val="20"/>
          <w:szCs w:val="20"/>
          <w:shd w:fill="auto" w:val="clear"/>
        </w:rPr>
        <w:t xml:space="preserve">, respectively (Table S4). Among the </w:t>
      </w:r>
      <w:r>
        <w:rPr>
          <w:rFonts w:cs="Arial" w:ascii="Arial" w:hAnsi="Arial"/>
          <w:i/>
          <w:iCs/>
          <w:color w:val="000000"/>
          <w:sz w:val="20"/>
          <w:szCs w:val="20"/>
          <w:shd w:fill="auto" w:val="clear"/>
        </w:rPr>
        <w:t xml:space="preserve">Halobacteriota </w:t>
      </w:r>
      <w:r>
        <w:rPr>
          <w:rFonts w:cs="Arial" w:ascii="Arial" w:hAnsi="Arial"/>
          <w:color w:val="000000"/>
          <w:sz w:val="20"/>
          <w:szCs w:val="20"/>
          <w:shd w:fill="auto" w:val="clear"/>
        </w:rPr>
        <w:t xml:space="preserve">species the most representative order was </w:t>
      </w:r>
      <w:r>
        <w:rPr>
          <w:rFonts w:cs="Arial" w:ascii="Arial" w:hAnsi="Arial"/>
          <w:i/>
          <w:iCs/>
          <w:color w:val="000000"/>
          <w:sz w:val="20"/>
          <w:szCs w:val="20"/>
          <w:shd w:fill="auto" w:val="clear"/>
        </w:rPr>
        <w:t xml:space="preserve">Halobacteriales </w:t>
      </w:r>
      <w:r>
        <w:rPr>
          <w:rFonts w:cs="Arial" w:ascii="Arial" w:hAnsi="Arial"/>
          <w:color w:val="000000"/>
          <w:sz w:val="20"/>
          <w:szCs w:val="20"/>
          <w:shd w:fill="auto" w:val="clear"/>
        </w:rPr>
        <w:t xml:space="preserve">that comprised four distinct families: </w:t>
      </w:r>
      <w:r>
        <w:rPr>
          <w:rFonts w:cs="Arial" w:ascii="Arial" w:hAnsi="Arial"/>
          <w:i/>
          <w:iCs/>
          <w:color w:val="000000"/>
          <w:sz w:val="20"/>
          <w:szCs w:val="20"/>
          <w:shd w:fill="auto" w:val="clear"/>
        </w:rPr>
        <w:t>Halococcaceae</w:t>
      </w:r>
      <w:r>
        <w:rPr>
          <w:rFonts w:cs="Arial" w:ascii="Arial" w:hAnsi="Arial"/>
          <w:color w:val="000000"/>
          <w:sz w:val="20"/>
          <w:szCs w:val="20"/>
          <w:shd w:fill="auto" w:val="clear"/>
        </w:rPr>
        <w:t xml:space="preserve"> (n=1), </w:t>
      </w:r>
      <w:r>
        <w:rPr>
          <w:rFonts w:cs="Arial" w:ascii="Arial" w:hAnsi="Arial"/>
          <w:i/>
          <w:iCs/>
          <w:color w:val="000000"/>
          <w:sz w:val="20"/>
          <w:szCs w:val="20"/>
          <w:shd w:fill="auto" w:val="clear"/>
        </w:rPr>
        <w:t>Saliniarchaeaceae</w:t>
      </w:r>
      <w:r>
        <w:rPr>
          <w:rFonts w:cs="Arial" w:ascii="Arial" w:hAnsi="Arial"/>
          <w:color w:val="000000"/>
          <w:sz w:val="20"/>
          <w:szCs w:val="20"/>
          <w:shd w:fill="auto" w:val="clear"/>
        </w:rPr>
        <w:t xml:space="preserve"> (n=1), </w:t>
      </w:r>
      <w:r>
        <w:rPr>
          <w:rFonts w:cs="Arial" w:ascii="Arial" w:hAnsi="Arial"/>
          <w:i/>
          <w:iCs/>
          <w:color w:val="000000"/>
          <w:sz w:val="20"/>
          <w:szCs w:val="20"/>
          <w:shd w:fill="auto" w:val="clear"/>
        </w:rPr>
        <w:t>Haloarculacea</w:t>
      </w:r>
      <w:r>
        <w:rPr>
          <w:rFonts w:cs="Arial" w:ascii="Arial" w:hAnsi="Arial"/>
          <w:color w:val="000000"/>
          <w:sz w:val="20"/>
          <w:szCs w:val="20"/>
          <w:shd w:fill="auto" w:val="clear"/>
        </w:rPr>
        <w:t xml:space="preserve"> (n=29), and </w:t>
      </w:r>
      <w:r>
        <w:rPr>
          <w:rFonts w:cs="Arial" w:ascii="Arial" w:hAnsi="Arial"/>
          <w:i/>
          <w:iCs/>
          <w:color w:val="000000"/>
          <w:sz w:val="20"/>
          <w:szCs w:val="20"/>
          <w:shd w:fill="auto" w:val="clear"/>
        </w:rPr>
        <w:t>Haloferacaceae</w:t>
      </w:r>
      <w:r>
        <w:rPr>
          <w:rFonts w:cs="Arial" w:ascii="Arial" w:hAnsi="Arial"/>
          <w:color w:val="000000"/>
          <w:sz w:val="20"/>
          <w:szCs w:val="20"/>
          <w:shd w:fill="auto" w:val="clear"/>
        </w:rPr>
        <w:t xml:space="preserve"> (n=37), with </w:t>
      </w:r>
      <w:r>
        <w:rPr>
          <w:rFonts w:cs="Arial" w:ascii="Arial" w:hAnsi="Arial"/>
          <w:i/>
          <w:iCs/>
          <w:color w:val="000000"/>
          <w:sz w:val="20"/>
          <w:szCs w:val="20"/>
          <w:shd w:fill="auto" w:val="clear"/>
        </w:rPr>
        <w:t>Halobellus</w:t>
      </w:r>
      <w:r>
        <w:rPr>
          <w:rFonts w:cs="Arial" w:ascii="Arial" w:hAnsi="Arial"/>
          <w:color w:val="000000"/>
          <w:sz w:val="20"/>
          <w:szCs w:val="20"/>
          <w:shd w:fill="auto" w:val="clear"/>
        </w:rPr>
        <w:t xml:space="preserve">, </w:t>
      </w:r>
      <w:r>
        <w:rPr>
          <w:rFonts w:cs="Arial" w:ascii="Arial" w:hAnsi="Arial"/>
          <w:i/>
          <w:iCs/>
          <w:color w:val="000000"/>
          <w:sz w:val="20"/>
          <w:szCs w:val="20"/>
          <w:shd w:fill="auto" w:val="clear"/>
        </w:rPr>
        <w:t>Natronomonas,</w:t>
      </w:r>
      <w:r>
        <w:rPr>
          <w:rFonts w:cs="Arial" w:ascii="Arial" w:hAnsi="Arial"/>
          <w:color w:val="000000"/>
          <w:sz w:val="20"/>
          <w:szCs w:val="20"/>
          <w:shd w:fill="auto" w:val="clear"/>
        </w:rPr>
        <w:t xml:space="preserve"> and </w:t>
      </w:r>
      <w:r>
        <w:rPr>
          <w:rFonts w:cs="Arial" w:ascii="Arial" w:hAnsi="Arial"/>
          <w:i/>
          <w:iCs/>
          <w:color w:val="000000"/>
          <w:sz w:val="20"/>
          <w:szCs w:val="20"/>
          <w:shd w:fill="auto" w:val="clear"/>
        </w:rPr>
        <w:t>Halorubrum</w:t>
      </w:r>
      <w:r>
        <w:rPr>
          <w:rFonts w:cs="Arial" w:ascii="Arial" w:hAnsi="Arial"/>
          <w:color w:val="000000"/>
          <w:sz w:val="20"/>
          <w:szCs w:val="20"/>
          <w:shd w:fill="auto" w:val="clear"/>
        </w:rPr>
        <w:t xml:space="preserve"> genera with the highest number of distinct species (Table S4). On the other hand, for Bacteria we detected 7 distinct phyla, with </w:t>
      </w:r>
      <w:r>
        <w:rPr>
          <w:rFonts w:cs="Arial" w:ascii="Arial" w:hAnsi="Arial"/>
          <w:i/>
          <w:iCs/>
          <w:color w:val="000000"/>
          <w:sz w:val="20"/>
          <w:szCs w:val="20"/>
          <w:shd w:fill="auto" w:val="clear"/>
        </w:rPr>
        <w:t>Cyanobacteria</w:t>
      </w:r>
      <w:r>
        <w:rPr>
          <w:rFonts w:cs="Arial" w:ascii="Arial" w:hAnsi="Arial"/>
          <w:color w:val="000000"/>
          <w:sz w:val="20"/>
          <w:szCs w:val="20"/>
          <w:shd w:fill="auto" w:val="clear"/>
        </w:rPr>
        <w:t xml:space="preserve"> (n=4), </w:t>
      </w:r>
      <w:r>
        <w:rPr>
          <w:rFonts w:cs="Arial" w:ascii="Arial" w:hAnsi="Arial"/>
          <w:i/>
          <w:iCs/>
          <w:color w:val="000000"/>
          <w:sz w:val="20"/>
          <w:szCs w:val="20"/>
          <w:shd w:fill="auto" w:val="clear"/>
        </w:rPr>
        <w:t>Proteobacteria</w:t>
      </w:r>
      <w:r>
        <w:rPr>
          <w:rFonts w:cs="Arial" w:ascii="Arial" w:hAnsi="Arial"/>
          <w:color w:val="000000"/>
          <w:sz w:val="20"/>
          <w:szCs w:val="20"/>
          <w:shd w:fill="auto" w:val="clear"/>
        </w:rPr>
        <w:t xml:space="preserve"> (n=11), and </w:t>
      </w:r>
      <w:r>
        <w:rPr>
          <w:rFonts w:cs="Arial" w:ascii="Arial" w:hAnsi="Arial"/>
          <w:i/>
          <w:iCs/>
          <w:color w:val="000000"/>
          <w:sz w:val="20"/>
          <w:szCs w:val="20"/>
          <w:shd w:fill="auto" w:val="clear"/>
        </w:rPr>
        <w:t>Bacteroidota</w:t>
      </w:r>
      <w:r>
        <w:rPr>
          <w:rFonts w:cs="Arial" w:ascii="Arial" w:hAnsi="Arial"/>
          <w:color w:val="000000"/>
          <w:sz w:val="20"/>
          <w:szCs w:val="20"/>
          <w:shd w:fill="auto" w:val="clear"/>
        </w:rPr>
        <w:t xml:space="preserve"> (n=22) having the most representatives (Table S4). We detected a great number of species within the </w:t>
      </w:r>
      <w:r>
        <w:rPr>
          <w:rFonts w:cs="Arial" w:ascii="Arial" w:hAnsi="Arial"/>
          <w:i/>
          <w:iCs/>
          <w:color w:val="000000"/>
          <w:sz w:val="20"/>
          <w:szCs w:val="20"/>
          <w:shd w:fill="auto" w:val="clear"/>
        </w:rPr>
        <w:t xml:space="preserve">Salinibacteraceae </w:t>
      </w:r>
      <w:r>
        <w:rPr>
          <w:rFonts w:cs="Arial" w:ascii="Arial" w:hAnsi="Arial"/>
          <w:color w:val="000000"/>
          <w:sz w:val="20"/>
          <w:szCs w:val="20"/>
          <w:shd w:fill="auto" w:val="clear"/>
        </w:rPr>
        <w:t>family</w:t>
      </w:r>
      <w:r>
        <w:rPr>
          <w:rFonts w:cs="Arial" w:ascii="Arial" w:hAnsi="Arial"/>
          <w:i/>
          <w:iCs/>
          <w:color w:val="000000"/>
          <w:sz w:val="20"/>
          <w:szCs w:val="20"/>
          <w:shd w:fill="auto" w:val="clear"/>
        </w:rPr>
        <w:t xml:space="preserve"> </w:t>
      </w:r>
      <w:r>
        <w:rPr>
          <w:rFonts w:cs="Arial" w:ascii="Arial" w:hAnsi="Arial"/>
          <w:color w:val="000000"/>
          <w:sz w:val="20"/>
          <w:szCs w:val="20"/>
          <w:shd w:fill="auto" w:val="clear"/>
        </w:rPr>
        <w:t xml:space="preserve">(n=17) with 9 species assigned to the </w:t>
      </w:r>
      <w:r>
        <w:rPr>
          <w:rFonts w:cs="Arial" w:ascii="Arial" w:hAnsi="Arial"/>
          <w:i/>
          <w:iCs/>
          <w:color w:val="000000"/>
          <w:sz w:val="20"/>
          <w:szCs w:val="20"/>
          <w:shd w:fill="auto" w:val="clear"/>
        </w:rPr>
        <w:t xml:space="preserve">Salinibacter </w:t>
      </w:r>
      <w:r>
        <w:rPr>
          <w:rFonts w:cs="Arial" w:ascii="Arial" w:hAnsi="Arial"/>
          <w:color w:val="000000"/>
          <w:sz w:val="20"/>
          <w:szCs w:val="20"/>
          <w:shd w:fill="auto" w:val="clear"/>
        </w:rPr>
        <w:t>genus (Table S4). Only 10 species (7.75%) were identified as members of known cultured species (Table S4), and 60% of the bacterial and 71.1% of the archaeal species were identified as members of known cultivated genera, but yet unclassified species (Table S4).</w:t>
      </w:r>
    </w:p>
    <w:p>
      <w:pPr>
        <w:pStyle w:val="Normal"/>
        <w:spacing w:lineRule="auto" w:line="360"/>
        <w:ind w:firstLine="408"/>
        <w:jc w:val="both"/>
        <w:rPr>
          <w:color w:val="000000"/>
          <w:highlight w:val="none"/>
          <w:shd w:fill="auto" w:val="clear"/>
        </w:rPr>
      </w:pPr>
      <w:r>
        <w:rPr>
          <w:rFonts w:cs="Arial" w:ascii="Arial" w:hAnsi="Arial"/>
          <w:color w:val="000000"/>
          <w:sz w:val="20"/>
          <w:szCs w:val="20"/>
          <w:shd w:fill="auto" w:val="clear"/>
        </w:rPr>
        <w:t xml:space="preserve">We identified 38,056 putative viral contigs that ranged between 5 – 206 kb (Table S6) for which 79.28% could be taxonomically classified to </w:t>
      </w:r>
      <w:r>
        <w:rPr>
          <w:rFonts w:cs="Arial" w:ascii="Arial" w:hAnsi="Arial"/>
          <w:i/>
          <w:iCs/>
          <w:color w:val="000000"/>
          <w:sz w:val="20"/>
          <w:szCs w:val="20"/>
          <w:shd w:fill="auto" w:val="clear"/>
        </w:rPr>
        <w:t xml:space="preserve">Caudoviricetes </w:t>
      </w:r>
      <w:r>
        <w:rPr>
          <w:rFonts w:cs="Arial" w:ascii="Arial" w:hAnsi="Arial"/>
          <w:color w:val="000000"/>
          <w:sz w:val="20"/>
          <w:szCs w:val="20"/>
          <w:shd w:fill="auto" w:val="clear"/>
        </w:rPr>
        <w:t xml:space="preserve">(Table S6). Based on an ANI thresholds ≥95% and alignments ≥85%, we identified 7,451 distinct vOTUs for which 67.25% was assigned to our MAGs and/or available genomes (Table S7), and 47.82% of them could be assigned to 97 species extracted from our metagenomic dataset (Table S7). Consistent with the host taxonomy, the majority of vOTUs were assigned to </w:t>
      </w:r>
      <w:r>
        <w:rPr>
          <w:rFonts w:cs="Arial" w:ascii="Arial" w:hAnsi="Arial"/>
          <w:i/>
          <w:iCs/>
          <w:color w:val="000000"/>
          <w:sz w:val="20"/>
          <w:szCs w:val="20"/>
          <w:shd w:fill="auto" w:val="clear"/>
        </w:rPr>
        <w:t>Proteobacteria</w:t>
      </w:r>
      <w:r>
        <w:rPr>
          <w:rFonts w:cs="Arial" w:ascii="Arial" w:hAnsi="Arial"/>
          <w:color w:val="000000"/>
          <w:sz w:val="20"/>
          <w:szCs w:val="20"/>
          <w:shd w:fill="auto" w:val="clear"/>
        </w:rPr>
        <w:t xml:space="preserve"> (n=249), </w:t>
      </w:r>
      <w:r>
        <w:rPr>
          <w:rFonts w:cs="Arial" w:ascii="Arial" w:hAnsi="Arial"/>
          <w:i/>
          <w:iCs/>
          <w:color w:val="000000"/>
          <w:sz w:val="20"/>
          <w:szCs w:val="20"/>
          <w:shd w:fill="auto" w:val="clear"/>
        </w:rPr>
        <w:t>Bacteroidota</w:t>
      </w:r>
      <w:r>
        <w:rPr>
          <w:rFonts w:cs="Arial" w:ascii="Arial" w:hAnsi="Arial"/>
          <w:color w:val="000000"/>
          <w:sz w:val="20"/>
          <w:szCs w:val="20"/>
          <w:shd w:fill="auto" w:val="clear"/>
        </w:rPr>
        <w:t xml:space="preserve"> (n=1,036), and </w:t>
      </w:r>
      <w:r>
        <w:rPr>
          <w:rFonts w:cs="Arial" w:ascii="Arial" w:hAnsi="Arial"/>
          <w:i/>
          <w:iCs/>
          <w:color w:val="000000"/>
          <w:sz w:val="20"/>
          <w:szCs w:val="20"/>
          <w:shd w:fill="auto" w:val="clear"/>
        </w:rPr>
        <w:t>Halobacteriota</w:t>
      </w:r>
      <w:r>
        <w:rPr>
          <w:rFonts w:cs="Arial" w:ascii="Arial" w:hAnsi="Arial"/>
          <w:color w:val="000000"/>
          <w:sz w:val="20"/>
          <w:szCs w:val="20"/>
          <w:shd w:fill="auto" w:val="clear"/>
        </w:rPr>
        <w:t xml:space="preserve"> (n=3.214), with </w:t>
      </w:r>
      <w:r>
        <w:rPr>
          <w:rFonts w:cs="Arial" w:ascii="Arial" w:hAnsi="Arial"/>
          <w:i/>
          <w:iCs/>
          <w:color w:val="000000"/>
          <w:sz w:val="20"/>
          <w:szCs w:val="20"/>
          <w:shd w:fill="auto" w:val="clear"/>
        </w:rPr>
        <w:t>Halorubrum</w:t>
      </w:r>
      <w:r>
        <w:rPr>
          <w:rFonts w:cs="Arial" w:ascii="Arial" w:hAnsi="Arial"/>
          <w:color w:val="000000"/>
          <w:sz w:val="20"/>
          <w:szCs w:val="20"/>
          <w:shd w:fill="auto" w:val="clear"/>
        </w:rPr>
        <w:t xml:space="preserve"> (n=371), </w:t>
      </w:r>
      <w:r>
        <w:rPr>
          <w:rFonts w:cs="Arial" w:ascii="Arial" w:hAnsi="Arial"/>
          <w:i/>
          <w:iCs/>
          <w:color w:val="000000"/>
          <w:sz w:val="20"/>
          <w:szCs w:val="20"/>
          <w:shd w:fill="auto" w:val="clear"/>
        </w:rPr>
        <w:t>Halonotius</w:t>
      </w:r>
      <w:r>
        <w:rPr>
          <w:rFonts w:cs="Arial" w:ascii="Arial" w:hAnsi="Arial"/>
          <w:color w:val="000000"/>
          <w:sz w:val="20"/>
          <w:szCs w:val="20"/>
          <w:shd w:fill="auto" w:val="clear"/>
        </w:rPr>
        <w:t xml:space="preserve"> (n=416), </w:t>
      </w:r>
      <w:r>
        <w:rPr>
          <w:rFonts w:cs="Arial" w:ascii="Arial" w:hAnsi="Arial"/>
          <w:i/>
          <w:iCs/>
          <w:color w:val="000000"/>
          <w:sz w:val="20"/>
          <w:szCs w:val="20"/>
          <w:shd w:fill="auto" w:val="clear"/>
        </w:rPr>
        <w:t>Salinibacter</w:t>
      </w:r>
      <w:r>
        <w:rPr>
          <w:rFonts w:cs="Arial" w:ascii="Arial" w:hAnsi="Arial"/>
          <w:color w:val="000000"/>
          <w:sz w:val="20"/>
          <w:szCs w:val="20"/>
          <w:shd w:fill="auto" w:val="clear"/>
        </w:rPr>
        <w:t xml:space="preserve"> (n=584), and </w:t>
      </w:r>
      <w:r>
        <w:rPr>
          <w:rFonts w:cs="Arial" w:ascii="Arial" w:hAnsi="Arial"/>
          <w:i/>
          <w:iCs/>
          <w:color w:val="000000"/>
          <w:sz w:val="20"/>
          <w:szCs w:val="20"/>
          <w:shd w:fill="auto" w:val="clear"/>
        </w:rPr>
        <w:t>Haloquadratum</w:t>
      </w:r>
      <w:r>
        <w:rPr>
          <w:rFonts w:cs="Arial" w:ascii="Arial" w:hAnsi="Arial"/>
          <w:color w:val="000000"/>
          <w:sz w:val="20"/>
          <w:szCs w:val="20"/>
          <w:shd w:fill="auto" w:val="clear"/>
        </w:rPr>
        <w:t xml:space="preserve"> (n=1,260) the microbial hosts with the most assigned vOTUs (Table S7).</w:t>
      </w:r>
    </w:p>
    <w:p>
      <w:pPr>
        <w:pStyle w:val="Normal"/>
        <w:spacing w:lineRule="auto" w:line="360"/>
        <w:jc w:val="both"/>
        <w:rPr>
          <w:rFonts w:ascii="Arial" w:hAnsi="Arial" w:cs="Arial"/>
          <w:b/>
          <w:b/>
          <w:bCs/>
          <w:color w:val="000000"/>
          <w:sz w:val="20"/>
          <w:szCs w:val="20"/>
          <w:highlight w:val="none"/>
          <w:shd w:fill="auto" w:val="clear"/>
        </w:rPr>
      </w:pPr>
      <w:r>
        <w:rPr>
          <w:rFonts w:cs="Arial" w:ascii="Arial" w:hAnsi="Arial"/>
          <w:b/>
          <w:bCs/>
          <w:color w:val="000000"/>
          <w:sz w:val="20"/>
          <w:szCs w:val="20"/>
          <w:shd w:fill="auto" w:val="clear"/>
        </w:rPr>
      </w:r>
    </w:p>
    <w:p>
      <w:pPr>
        <w:pStyle w:val="Normal"/>
        <w:spacing w:lineRule="auto" w:line="360"/>
        <w:jc w:val="both"/>
        <w:rPr>
          <w:color w:val="000000"/>
          <w:highlight w:val="none"/>
          <w:shd w:fill="auto" w:val="clear"/>
        </w:rPr>
      </w:pPr>
      <w:r>
        <w:rPr>
          <w:rFonts w:cs="Arial" w:ascii="Arial" w:hAnsi="Arial"/>
          <w:b/>
          <w:bCs/>
          <w:color w:val="000000"/>
          <w:sz w:val="20"/>
          <w:szCs w:val="20"/>
          <w:shd w:fill="auto" w:val="clear"/>
        </w:rPr>
        <w:t>REFERENCES</w:t>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color w:val="000000"/>
          <w:highlight w:val="none"/>
          <w:shd w:fill="auto" w:val="clear"/>
        </w:rPr>
      </w:pPr>
      <w:r>
        <w:rPr>
          <w:rFonts w:cs="Arial" w:ascii="Arial" w:hAnsi="Arial"/>
          <w:color w:val="000000"/>
          <w:sz w:val="20"/>
          <w:szCs w:val="20"/>
          <w:shd w:fill="auto" w:val="clear"/>
        </w:rPr>
        <w:tab/>
        <w:t>[1].</w:t>
        <w:tab/>
        <w:t xml:space="preserve">Bowers RM, et al. Minimum information about a single amplified genome (MISAG) and a metagenome-assembled genome (MIMAG) of bacteria and archaea. </w:t>
      </w:r>
      <w:r>
        <w:rPr>
          <w:rFonts w:cs="Arial" w:ascii="Arial" w:hAnsi="Arial"/>
          <w:i/>
          <w:iCs/>
          <w:color w:val="000000"/>
          <w:sz w:val="20"/>
          <w:szCs w:val="20"/>
          <w:shd w:fill="auto" w:val="clear"/>
        </w:rPr>
        <w:t>Nature biotechnology</w:t>
      </w:r>
      <w:r>
        <w:rPr>
          <w:rFonts w:cs="Arial" w:ascii="Arial" w:hAnsi="Arial"/>
          <w:color w:val="000000"/>
          <w:sz w:val="20"/>
          <w:szCs w:val="20"/>
          <w:shd w:fill="auto" w:val="clear"/>
        </w:rPr>
        <w:t xml:space="preserve">, 2017; </w:t>
      </w:r>
      <w:r>
        <w:rPr>
          <w:rFonts w:cs="Arial" w:ascii="Arial" w:hAnsi="Arial"/>
          <w:b/>
          <w:bCs/>
          <w:color w:val="000000"/>
          <w:sz w:val="20"/>
          <w:szCs w:val="20"/>
          <w:shd w:fill="auto" w:val="clear"/>
        </w:rPr>
        <w:t>35</w:t>
      </w:r>
      <w:r>
        <w:rPr>
          <w:rFonts w:cs="Arial" w:ascii="Arial" w:hAnsi="Arial"/>
          <w:color w:val="000000"/>
          <w:sz w:val="20"/>
          <w:szCs w:val="20"/>
          <w:shd w:fill="auto" w:val="clear"/>
        </w:rPr>
        <w:t>, 725-731.</w:t>
      </w:r>
    </w:p>
    <w:p>
      <w:pPr>
        <w:pStyle w:val="Normal"/>
        <w:spacing w:lineRule="auto" w:line="360"/>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 xml:space="preserve">Supplementary Figure S6: </w:t>
      </w:r>
      <w:r>
        <w:rPr>
          <w:rFonts w:eastAsia="Calibri" w:cs="Arial" w:ascii="Arial" w:hAnsi="Arial"/>
          <w:color w:val="000000"/>
          <w:kern w:val="0"/>
          <w:sz w:val="20"/>
          <w:szCs w:val="20"/>
          <w:shd w:fill="auto" w:val="clear"/>
          <w:lang w:eastAsia="en-US" w:bidi="ar-SA"/>
        </w:rPr>
        <w:t>Bubble plot showing the relative abundances (%) of microbial species over time in the D13 and D20 mesocosms.</w:t>
      </w:r>
    </w:p>
    <w:p>
      <w:pPr>
        <w:pStyle w:val="Normal"/>
        <w:spacing w:lineRule="auto" w:line="360"/>
        <w:jc w:val="both"/>
        <w:rPr>
          <w:color w:val="000000"/>
          <w:highlight w:val="none"/>
          <w:shd w:fill="auto" w:val="clear"/>
        </w:rPr>
      </w:pPr>
      <w:r>
        <w:rPr>
          <w:color w:val="000000"/>
          <w:shd w:fill="auto" w:val="clear"/>
        </w:rPr>
        <w:drawing>
          <wp:anchor behindDoc="0" distT="0" distB="0" distL="0" distR="0" simplePos="0" locked="0" layoutInCell="0" allowOverlap="1" relativeHeight="7">
            <wp:simplePos x="0" y="0"/>
            <wp:positionH relativeFrom="column">
              <wp:align>center</wp:align>
            </wp:positionH>
            <wp:positionV relativeFrom="paragraph">
              <wp:posOffset>635</wp:posOffset>
            </wp:positionV>
            <wp:extent cx="5719445" cy="8084820"/>
            <wp:effectExtent l="0" t="0" r="0" b="0"/>
            <wp:wrapSquare wrapText="largest"/>
            <wp:docPr id="6"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 descr=""/>
                    <pic:cNvPicPr>
                      <a:picLocks noChangeAspect="1" noChangeArrowheads="1"/>
                    </pic:cNvPicPr>
                  </pic:nvPicPr>
                  <pic:blipFill>
                    <a:blip r:embed="rId10"/>
                    <a:stretch>
                      <a:fillRect/>
                    </a:stretch>
                  </pic:blipFill>
                  <pic:spPr bwMode="auto">
                    <a:xfrm>
                      <a:off x="0" y="0"/>
                      <a:ext cx="5719445" cy="8084820"/>
                    </a:xfrm>
                    <a:prstGeom prst="rect">
                      <a:avLst/>
                    </a:prstGeom>
                  </pic:spPr>
                </pic:pic>
              </a:graphicData>
            </a:graphic>
          </wp:anchor>
        </w:drawing>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 xml:space="preserve">Supplementary Figure S7: </w:t>
      </w:r>
      <w:r>
        <w:rPr>
          <w:rFonts w:eastAsia="Calibri" w:cs="Arial" w:ascii="Arial" w:hAnsi="Arial"/>
          <w:color w:val="000000"/>
          <w:kern w:val="0"/>
          <w:sz w:val="20"/>
          <w:szCs w:val="20"/>
          <w:shd w:fill="auto" w:val="clear"/>
          <w:lang w:eastAsia="en-US" w:bidi="ar-SA"/>
        </w:rPr>
        <w:t xml:space="preserve">Barplot of the </w:t>
      </w:r>
      <w:r>
        <w:rPr>
          <w:rFonts w:eastAsia="Calibri" w:cs="Arial" w:ascii="Arial" w:hAnsi="Arial"/>
          <w:color w:val="000000"/>
          <w:kern w:val="0"/>
          <w:sz w:val="20"/>
          <w:szCs w:val="20"/>
          <w:shd w:fill="auto" w:val="clear"/>
          <w:lang w:eastAsia="en-US" w:bidi="ar-SA"/>
        </w:rPr>
        <w:t>Linear Discriminant Analysis (LDA) scores showing the statistically differential preferences of microbial (MAGs) and viral (vOTUs) species at genus level between both mesocosms using non-parametric Kruskal-Wallis (KW) sum-rank test. Black-dashed lines indicated scores &gt; 2.</w:t>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drawing>
          <wp:anchor behindDoc="0" distT="0" distB="0" distL="0" distR="0" simplePos="0" locked="0" layoutInCell="0" allowOverlap="1" relativeHeight="8">
            <wp:simplePos x="0" y="0"/>
            <wp:positionH relativeFrom="column">
              <wp:align>center</wp:align>
            </wp:positionH>
            <wp:positionV relativeFrom="paragraph">
              <wp:posOffset>635</wp:posOffset>
            </wp:positionV>
            <wp:extent cx="6332220" cy="4479290"/>
            <wp:effectExtent l="0" t="0" r="0" b="0"/>
            <wp:wrapSquare wrapText="largest"/>
            <wp:docPr id="7"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0" descr=""/>
                    <pic:cNvPicPr>
                      <a:picLocks noChangeAspect="1" noChangeArrowheads="1"/>
                    </pic:cNvPicPr>
                  </pic:nvPicPr>
                  <pic:blipFill>
                    <a:blip r:embed="rId11"/>
                    <a:stretch>
                      <a:fillRect/>
                    </a:stretch>
                  </pic:blipFill>
                  <pic:spPr bwMode="auto">
                    <a:xfrm>
                      <a:off x="0" y="0"/>
                      <a:ext cx="6332220" cy="4479290"/>
                    </a:xfrm>
                    <a:prstGeom prst="rect">
                      <a:avLst/>
                    </a:prstGeom>
                  </pic:spPr>
                </pic:pic>
              </a:graphicData>
            </a:graphic>
          </wp:anchor>
        </w:drawing>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p>
    <w:p>
      <w:pPr>
        <w:pStyle w:val="Normal"/>
        <w:spacing w:lineRule="auto" w:line="360"/>
        <w:jc w:val="both"/>
        <w:rPr>
          <w:rFonts w:ascii="Arial" w:hAnsi="Arial" w:cs="Arial"/>
          <w:color w:val="000000"/>
          <w:sz w:val="20"/>
          <w:szCs w:val="20"/>
          <w:highlight w:val="none"/>
          <w:shd w:fill="auto" w:val="clear"/>
        </w:rPr>
      </w:pPr>
      <w:r>
        <w:rPr>
          <w:rFonts w:cs="Arial" w:ascii="Arial" w:hAnsi="Arial"/>
          <w:color w:val="000000"/>
          <w:sz w:val="20"/>
          <w:szCs w:val="20"/>
          <w:shd w:fill="auto" w:val="clear"/>
        </w:rPr>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 xml:space="preserve">Supplementary Figure S8: </w:t>
      </w:r>
      <w:r>
        <w:rPr>
          <w:rFonts w:eastAsia="Calibri" w:cs="Arial" w:ascii="Arial" w:hAnsi="Arial"/>
          <w:color w:val="000000"/>
          <w:kern w:val="0"/>
          <w:sz w:val="20"/>
          <w:szCs w:val="20"/>
          <w:shd w:fill="auto" w:val="clear"/>
          <w:lang w:eastAsia="en-US" w:bidi="ar-SA"/>
        </w:rPr>
        <w:t>Boxplots representing the species diversity (Shannon H’) comparison between D13 and D20 mesocosms for archaeal, bacterial, and viral fractions.</w:t>
      </w:r>
    </w:p>
    <w:p>
      <w:pPr>
        <w:pStyle w:val="Normal"/>
        <w:spacing w:lineRule="auto" w:line="360"/>
        <w:jc w:val="both"/>
        <w:rPr>
          <w:color w:val="000000"/>
          <w:highlight w:val="none"/>
          <w:shd w:fill="auto" w:val="clear"/>
        </w:rPr>
      </w:pPr>
      <w:r>
        <w:rPr>
          <w:rFonts w:cs="Arial" w:ascii="Arial" w:hAnsi="Arial"/>
          <w:color w:val="000000"/>
          <w:sz w:val="20"/>
          <w:szCs w:val="20"/>
          <w:shd w:fill="auto" w:val="clear"/>
        </w:rPr>
        <w:t xml:space="preserve"> </w:t>
      </w:r>
    </w:p>
    <w:p>
      <w:pPr>
        <w:pStyle w:val="Normal"/>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drawing>
          <wp:anchor behindDoc="0" distT="0" distB="0" distL="0" distR="0" simplePos="0" locked="0" layoutInCell="0" allowOverlap="1" relativeHeight="9">
            <wp:simplePos x="0" y="0"/>
            <wp:positionH relativeFrom="column">
              <wp:align>center</wp:align>
            </wp:positionH>
            <wp:positionV relativeFrom="paragraph">
              <wp:posOffset>635</wp:posOffset>
            </wp:positionV>
            <wp:extent cx="6332220" cy="4479290"/>
            <wp:effectExtent l="0" t="0" r="0" b="0"/>
            <wp:wrapSquare wrapText="largest"/>
            <wp:docPr id="8"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 descr=""/>
                    <pic:cNvPicPr>
                      <a:picLocks noChangeAspect="1" noChangeArrowheads="1"/>
                    </pic:cNvPicPr>
                  </pic:nvPicPr>
                  <pic:blipFill>
                    <a:blip r:embed="rId12"/>
                    <a:stretch>
                      <a:fillRect/>
                    </a:stretch>
                  </pic:blipFill>
                  <pic:spPr bwMode="auto">
                    <a:xfrm>
                      <a:off x="0" y="0"/>
                      <a:ext cx="6332220" cy="4479290"/>
                    </a:xfrm>
                    <a:prstGeom prst="rect">
                      <a:avLst/>
                    </a:prstGeom>
                  </pic:spPr>
                </pic:pic>
              </a:graphicData>
            </a:graphic>
          </wp:anchor>
        </w:drawing>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Supplementary Figure S9: (A)</w:t>
      </w:r>
      <w:r>
        <w:rPr>
          <w:rFonts w:eastAsia="Calibri" w:cs="Arial" w:ascii="Arial" w:hAnsi="Arial"/>
          <w:color w:val="000000"/>
          <w:kern w:val="0"/>
          <w:sz w:val="20"/>
          <w:szCs w:val="20"/>
          <w:shd w:fill="auto" w:val="clear"/>
          <w:lang w:eastAsia="en-US" w:bidi="ar-SA"/>
        </w:rPr>
        <w:t xml:space="preserve"> Temperature (ºC), and </w:t>
      </w:r>
      <w:r>
        <w:rPr>
          <w:rFonts w:eastAsia="Calibri" w:cs="Arial" w:ascii="Arial" w:hAnsi="Arial"/>
          <w:b/>
          <w:bCs/>
          <w:color w:val="000000"/>
          <w:kern w:val="0"/>
          <w:sz w:val="20"/>
          <w:szCs w:val="20"/>
          <w:shd w:fill="auto" w:val="clear"/>
          <w:lang w:eastAsia="en-US" w:bidi="ar-SA"/>
        </w:rPr>
        <w:t xml:space="preserve">(B) </w:t>
      </w:r>
      <w:r>
        <w:rPr>
          <w:rFonts w:eastAsia="Calibri" w:cs="Arial" w:ascii="Arial" w:hAnsi="Arial"/>
          <w:color w:val="000000"/>
          <w:kern w:val="0"/>
          <w:sz w:val="20"/>
          <w:szCs w:val="20"/>
          <w:shd w:fill="auto" w:val="clear"/>
          <w:lang w:eastAsia="en-US" w:bidi="ar-SA"/>
        </w:rPr>
        <w:t xml:space="preserve">Functional diversity in D13 and D20 mesocosms over 813 days. </w:t>
      </w:r>
      <w:r>
        <w:rPr>
          <w:rFonts w:eastAsia="Calibri" w:cs="Arial" w:ascii="Arial" w:hAnsi="Arial"/>
          <w:b/>
          <w:bCs/>
          <w:color w:val="000000"/>
          <w:kern w:val="0"/>
          <w:sz w:val="20"/>
          <w:szCs w:val="20"/>
          <w:shd w:fill="auto" w:val="clear"/>
          <w:lang w:eastAsia="en-US" w:bidi="ar-SA"/>
        </w:rPr>
        <w:t>(C)</w:t>
      </w:r>
      <w:r>
        <w:rPr>
          <w:rFonts w:eastAsia="Calibri" w:cs="Arial" w:ascii="Arial" w:hAnsi="Arial"/>
          <w:color w:val="000000"/>
          <w:kern w:val="0"/>
          <w:sz w:val="20"/>
          <w:szCs w:val="20"/>
          <w:shd w:fill="auto" w:val="clear"/>
          <w:lang w:eastAsia="en-US" w:bidi="ar-SA"/>
        </w:rPr>
        <w:t xml:space="preserve"> Boxplot based on functional diversity (H’) between D13 and D20 mesocosms using KOs abundances.</w:t>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drawing>
          <wp:anchor behindDoc="0" distT="0" distB="0" distL="0" distR="0" simplePos="0" locked="0" layoutInCell="0" allowOverlap="1" relativeHeight="10">
            <wp:simplePos x="0" y="0"/>
            <wp:positionH relativeFrom="column">
              <wp:align>center</wp:align>
            </wp:positionH>
            <wp:positionV relativeFrom="paragraph">
              <wp:posOffset>635</wp:posOffset>
            </wp:positionV>
            <wp:extent cx="6332220" cy="4479290"/>
            <wp:effectExtent l="0" t="0" r="0" b="0"/>
            <wp:wrapSquare wrapText="largest"/>
            <wp:docPr id="9"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8" descr=""/>
                    <pic:cNvPicPr>
                      <a:picLocks noChangeAspect="1" noChangeArrowheads="1"/>
                    </pic:cNvPicPr>
                  </pic:nvPicPr>
                  <pic:blipFill>
                    <a:blip r:embed="rId13"/>
                    <a:stretch>
                      <a:fillRect/>
                    </a:stretch>
                  </pic:blipFill>
                  <pic:spPr bwMode="auto">
                    <a:xfrm>
                      <a:off x="0" y="0"/>
                      <a:ext cx="6332220" cy="4479290"/>
                    </a:xfrm>
                    <a:prstGeom prst="rect">
                      <a:avLst/>
                    </a:prstGeom>
                  </pic:spPr>
                </pic:pic>
              </a:graphicData>
            </a:graphic>
          </wp:anchor>
        </w:drawing>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 xml:space="preserve">Supplementary Figure S10: </w:t>
      </w:r>
      <w:r>
        <w:rPr>
          <w:rFonts w:eastAsia="Calibri" w:cs="Arial" w:ascii="Arial" w:hAnsi="Arial"/>
          <w:color w:val="000000"/>
          <w:kern w:val="0"/>
          <w:sz w:val="20"/>
          <w:szCs w:val="20"/>
          <w:shd w:fill="auto" w:val="clear"/>
          <w:lang w:eastAsia="en-US" w:bidi="ar-SA"/>
        </w:rPr>
        <w:t xml:space="preserve"> R</w:t>
      </w:r>
      <w:r>
        <w:rPr>
          <w:rFonts w:eastAsia="Calibri" w:cs="Arial" w:ascii="Arial" w:hAnsi="Arial"/>
          <w:color w:val="000000"/>
          <w:kern w:val="0"/>
          <w:sz w:val="20"/>
          <w:szCs w:val="21"/>
          <w:shd w:fill="auto" w:val="clear"/>
          <w:lang w:val="en-GB" w:eastAsia="en-US" w:bidi="ar-SA"/>
        </w:rPr>
        <w:t>elative abundance of the 14 genera (excluding</w:t>
      </w:r>
      <w:r>
        <w:rPr>
          <w:rFonts w:eastAsia="Calibri" w:cs="Arial" w:ascii="Arial" w:hAnsi="Arial"/>
          <w:i/>
          <w:iCs/>
          <w:color w:val="000000"/>
          <w:kern w:val="0"/>
          <w:sz w:val="20"/>
          <w:szCs w:val="21"/>
          <w:shd w:fill="auto" w:val="clear"/>
          <w:lang w:val="en-GB" w:eastAsia="en-US" w:bidi="ar-SA"/>
        </w:rPr>
        <w:t xml:space="preserve"> Haloquadratum, Halorubrum,</w:t>
      </w:r>
      <w:r>
        <w:rPr>
          <w:rFonts w:eastAsia="Calibri" w:cs="Arial" w:ascii="Arial" w:hAnsi="Arial"/>
          <w:color w:val="000000"/>
          <w:kern w:val="0"/>
          <w:sz w:val="20"/>
          <w:szCs w:val="21"/>
          <w:shd w:fill="auto" w:val="clear"/>
          <w:lang w:val="en-GB" w:eastAsia="en-US" w:bidi="ar-SA"/>
        </w:rPr>
        <w:t xml:space="preserve"> and</w:t>
      </w:r>
      <w:r>
        <w:rPr>
          <w:rFonts w:eastAsia="Calibri" w:cs="Arial" w:ascii="Arial" w:hAnsi="Arial"/>
          <w:i/>
          <w:iCs/>
          <w:color w:val="000000"/>
          <w:kern w:val="0"/>
          <w:sz w:val="20"/>
          <w:szCs w:val="21"/>
          <w:shd w:fill="auto" w:val="clear"/>
          <w:lang w:val="en-GB" w:eastAsia="en-US" w:bidi="ar-SA"/>
        </w:rPr>
        <w:t xml:space="preserve"> Salinibacter</w:t>
      </w:r>
      <w:r>
        <w:rPr>
          <w:rFonts w:eastAsia="Calibri" w:cs="Arial" w:ascii="Arial" w:hAnsi="Arial"/>
          <w:color w:val="000000"/>
          <w:kern w:val="0"/>
          <w:sz w:val="20"/>
          <w:szCs w:val="21"/>
          <w:shd w:fill="auto" w:val="clear"/>
          <w:lang w:val="en-GB" w:eastAsia="en-US" w:bidi="ar-SA"/>
        </w:rPr>
        <w:t xml:space="preserve"> members illustrated in Figure 3) with at least two coexisting species in the D13 and D20 metagenomes (n=130). The relative abundance of each genus was estimated calculating the sequencing effort (sequencing depth divided by number of metagenomic reads).</w:t>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drawing>
          <wp:anchor behindDoc="0" distT="0" distB="0" distL="0" distR="0" simplePos="0" locked="0" layoutInCell="0" allowOverlap="1" relativeHeight="14">
            <wp:simplePos x="0" y="0"/>
            <wp:positionH relativeFrom="column">
              <wp:align>center</wp:align>
            </wp:positionH>
            <wp:positionV relativeFrom="paragraph">
              <wp:posOffset>635</wp:posOffset>
            </wp:positionV>
            <wp:extent cx="6332220" cy="4479290"/>
            <wp:effectExtent l="0" t="0" r="0" b="0"/>
            <wp:wrapSquare wrapText="largest"/>
            <wp:docPr id="10" name="Image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4" descr=""/>
                    <pic:cNvPicPr>
                      <a:picLocks noChangeAspect="1" noChangeArrowheads="1"/>
                    </pic:cNvPicPr>
                  </pic:nvPicPr>
                  <pic:blipFill>
                    <a:blip r:embed="rId14"/>
                    <a:stretch>
                      <a:fillRect/>
                    </a:stretch>
                  </pic:blipFill>
                  <pic:spPr bwMode="auto">
                    <a:xfrm>
                      <a:off x="0" y="0"/>
                      <a:ext cx="6332220" cy="4479290"/>
                    </a:xfrm>
                    <a:prstGeom prst="rect">
                      <a:avLst/>
                    </a:prstGeom>
                  </pic:spPr>
                </pic:pic>
              </a:graphicData>
            </a:graphic>
          </wp:anchor>
        </w:drawing>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 xml:space="preserve">Supplementary Figure S11: </w:t>
      </w:r>
      <w:r>
        <w:rPr>
          <w:rFonts w:eastAsia="Calibri" w:cs="Arial" w:ascii="Arial" w:hAnsi="Arial"/>
          <w:color w:val="000000"/>
          <w:kern w:val="0"/>
          <w:sz w:val="20"/>
          <w:szCs w:val="20"/>
          <w:shd w:fill="auto" w:val="clear"/>
          <w:lang w:eastAsia="en-US" w:bidi="ar-SA"/>
        </w:rPr>
        <w:t xml:space="preserve">Phylogenetic reconstruction using the concatenated core orthologous proteins extracted from the type-strain genomes and the representative (highest quality) MAGs of </w:t>
      </w:r>
      <w:r>
        <w:rPr>
          <w:rFonts w:eastAsia="Calibri" w:cs="Arial" w:ascii="Arial" w:hAnsi="Arial"/>
          <w:b/>
          <w:bCs/>
          <w:color w:val="000000"/>
          <w:kern w:val="0"/>
          <w:sz w:val="20"/>
          <w:szCs w:val="20"/>
          <w:shd w:fill="auto" w:val="clear"/>
          <w:lang w:eastAsia="en-US" w:bidi="ar-SA"/>
        </w:rPr>
        <w:t>A)</w:t>
      </w:r>
      <w:r>
        <w:rPr>
          <w:rFonts w:eastAsia="Calibri" w:cs="Arial" w:ascii="Arial" w:hAnsi="Arial"/>
          <w:color w:val="000000"/>
          <w:kern w:val="0"/>
          <w:sz w:val="20"/>
          <w:szCs w:val="20"/>
          <w:shd w:fill="auto" w:val="clear"/>
          <w:lang w:eastAsia="en-US" w:bidi="ar-SA"/>
        </w:rPr>
        <w:t xml:space="preserve"> </w:t>
      </w:r>
      <w:r>
        <w:rPr>
          <w:rFonts w:eastAsia="Calibri" w:cs="Arial" w:ascii="Arial" w:hAnsi="Arial"/>
          <w:i/>
          <w:iCs/>
          <w:color w:val="000000"/>
          <w:kern w:val="0"/>
          <w:sz w:val="20"/>
          <w:szCs w:val="20"/>
          <w:shd w:fill="auto" w:val="clear"/>
          <w:lang w:eastAsia="en-US" w:bidi="ar-SA"/>
        </w:rPr>
        <w:t xml:space="preserve">Halorubrum, Haloquadratum, </w:t>
      </w:r>
      <w:r>
        <w:rPr>
          <w:rFonts w:eastAsia="Calibri" w:cs="Arial" w:ascii="Arial" w:hAnsi="Arial"/>
          <w:color w:val="000000"/>
          <w:kern w:val="0"/>
          <w:sz w:val="20"/>
          <w:szCs w:val="20"/>
          <w:shd w:fill="auto" w:val="clear"/>
          <w:lang w:eastAsia="en-US" w:bidi="ar-SA"/>
        </w:rPr>
        <w:t xml:space="preserve">and </w:t>
      </w:r>
      <w:r>
        <w:rPr>
          <w:rFonts w:eastAsia="Calibri" w:cs="Arial" w:ascii="Arial" w:hAnsi="Arial"/>
          <w:b/>
          <w:bCs/>
          <w:color w:val="000000"/>
          <w:kern w:val="0"/>
          <w:sz w:val="20"/>
          <w:szCs w:val="20"/>
          <w:shd w:fill="auto" w:val="clear"/>
          <w:lang w:eastAsia="en-US" w:bidi="ar-SA"/>
        </w:rPr>
        <w:t xml:space="preserve">B) </w:t>
      </w:r>
      <w:r>
        <w:rPr>
          <w:rFonts w:eastAsia="Calibri" w:cs="Arial" w:ascii="Arial" w:hAnsi="Arial"/>
          <w:i/>
          <w:iCs/>
          <w:color w:val="000000"/>
          <w:kern w:val="0"/>
          <w:sz w:val="20"/>
          <w:szCs w:val="20"/>
          <w:shd w:fill="auto" w:val="clear"/>
          <w:lang w:eastAsia="en-US" w:bidi="ar-SA"/>
        </w:rPr>
        <w:t>Salinibacter</w:t>
      </w:r>
      <w:r>
        <w:rPr>
          <w:rFonts w:eastAsia="Calibri" w:cs="Arial" w:ascii="Arial" w:hAnsi="Arial"/>
          <w:b/>
          <w:bCs/>
          <w:color w:val="000000"/>
          <w:kern w:val="0"/>
          <w:sz w:val="20"/>
          <w:szCs w:val="20"/>
          <w:shd w:fill="auto" w:val="clear"/>
          <w:lang w:eastAsia="en-US" w:bidi="ar-SA"/>
        </w:rPr>
        <w:t xml:space="preserve"> </w:t>
      </w:r>
      <w:r>
        <w:rPr>
          <w:rFonts w:eastAsia="Calibri" w:cs="Arial" w:ascii="Arial" w:hAnsi="Arial"/>
          <w:color w:val="000000"/>
          <w:kern w:val="0"/>
          <w:sz w:val="20"/>
          <w:szCs w:val="20"/>
          <w:shd w:fill="auto" w:val="clear"/>
          <w:lang w:eastAsia="en-US" w:bidi="ar-SA"/>
        </w:rPr>
        <w:t xml:space="preserve">species. Both phylogenetic trees were reconstructed with a Neighbor Joining algorithm using the kimura correction. The bar indicates a 10% sequence divergence for each tree. </w:t>
      </w:r>
      <w:r>
        <w:rPr>
          <w:rFonts w:eastAsia="Calibri" w:cs="Arial" w:ascii="Arial" w:hAnsi="Arial"/>
          <w:b/>
          <w:bCs/>
          <w:color w:val="000000"/>
          <w:kern w:val="0"/>
          <w:sz w:val="20"/>
          <w:szCs w:val="20"/>
          <w:shd w:fill="auto" w:val="clear"/>
          <w:lang w:eastAsia="en-US" w:bidi="ar-SA"/>
        </w:rPr>
        <w:t xml:space="preserve">C) </w:t>
      </w:r>
      <w:r>
        <w:rPr>
          <w:rFonts w:eastAsia="Calibri" w:cs="Arial" w:ascii="Arial" w:hAnsi="Arial"/>
          <w:color w:val="000000"/>
          <w:kern w:val="0"/>
          <w:sz w:val="20"/>
          <w:szCs w:val="20"/>
          <w:shd w:fill="auto" w:val="clear"/>
          <w:lang w:eastAsia="en-US" w:bidi="ar-SA"/>
        </w:rPr>
        <w:t xml:space="preserve">Functional redundancy of type-strain core proteins of </w:t>
      </w:r>
      <w:r>
        <w:rPr>
          <w:rFonts w:eastAsia="Calibri" w:cs="Arial" w:ascii="Arial" w:hAnsi="Arial"/>
          <w:i/>
          <w:iCs/>
          <w:color w:val="000000"/>
          <w:kern w:val="0"/>
          <w:sz w:val="20"/>
          <w:szCs w:val="20"/>
          <w:shd w:fill="auto" w:val="clear"/>
          <w:lang w:eastAsia="en-US" w:bidi="ar-SA"/>
        </w:rPr>
        <w:t xml:space="preserve">Haloquadratum, Halorubrum, </w:t>
      </w:r>
      <w:r>
        <w:rPr>
          <w:rFonts w:eastAsia="Calibri" w:cs="Arial" w:ascii="Arial" w:hAnsi="Arial"/>
          <w:color w:val="000000"/>
          <w:kern w:val="0"/>
          <w:sz w:val="20"/>
          <w:szCs w:val="20"/>
          <w:shd w:fill="auto" w:val="clear"/>
          <w:lang w:eastAsia="en-US" w:bidi="ar-SA"/>
        </w:rPr>
        <w:t xml:space="preserve">and </w:t>
      </w:r>
      <w:r>
        <w:rPr>
          <w:rFonts w:eastAsia="Calibri" w:cs="Arial" w:ascii="Arial" w:hAnsi="Arial"/>
          <w:i/>
          <w:iCs/>
          <w:color w:val="000000"/>
          <w:kern w:val="0"/>
          <w:sz w:val="20"/>
          <w:szCs w:val="20"/>
          <w:shd w:fill="auto" w:val="clear"/>
          <w:lang w:eastAsia="en-US" w:bidi="ar-SA"/>
        </w:rPr>
        <w:t xml:space="preserve">Salinibacter </w:t>
      </w:r>
      <w:r>
        <w:rPr>
          <w:rFonts w:eastAsia="Calibri" w:cs="Arial" w:ascii="Arial" w:hAnsi="Arial"/>
          <w:color w:val="000000"/>
          <w:kern w:val="0"/>
          <w:sz w:val="20"/>
          <w:szCs w:val="20"/>
          <w:shd w:fill="auto" w:val="clear"/>
          <w:lang w:eastAsia="en-US" w:bidi="ar-SA"/>
        </w:rPr>
        <w:t>species. Heatmap representing the main metabolic pathways inferred for the core (i.e., shared &gt;90% species) and auxiliary (i.e., shared &lt;90% species) proteins based on the presence or absence.</w:t>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drawing>
          <wp:anchor behindDoc="0" distT="0" distB="0" distL="0" distR="0" simplePos="0" locked="0" layoutInCell="0" allowOverlap="1" relativeHeight="11">
            <wp:simplePos x="0" y="0"/>
            <wp:positionH relativeFrom="column">
              <wp:align>center</wp:align>
            </wp:positionH>
            <wp:positionV relativeFrom="paragraph">
              <wp:posOffset>635</wp:posOffset>
            </wp:positionV>
            <wp:extent cx="4922520" cy="6958330"/>
            <wp:effectExtent l="0" t="0" r="0" b="0"/>
            <wp:wrapSquare wrapText="largest"/>
            <wp:docPr id="11" name="Image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3" descr=""/>
                    <pic:cNvPicPr>
                      <a:picLocks noChangeAspect="1" noChangeArrowheads="1"/>
                    </pic:cNvPicPr>
                  </pic:nvPicPr>
                  <pic:blipFill>
                    <a:blip r:embed="rId15"/>
                    <a:stretch>
                      <a:fillRect/>
                    </a:stretch>
                  </pic:blipFill>
                  <pic:spPr bwMode="auto">
                    <a:xfrm>
                      <a:off x="0" y="0"/>
                      <a:ext cx="4922520" cy="6958330"/>
                    </a:xfrm>
                    <a:prstGeom prst="rect">
                      <a:avLst/>
                    </a:prstGeom>
                  </pic:spPr>
                </pic:pic>
              </a:graphicData>
            </a:graphic>
          </wp:anchor>
        </w:drawing>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p>
    <w:p>
      <w:pPr>
        <w:pStyle w:val="Normal"/>
        <w:spacing w:lineRule="auto" w:line="360"/>
        <w:jc w:val="both"/>
        <w:rPr>
          <w:rFonts w:ascii="Arial" w:hAnsi="Arial" w:eastAsia="Calibri" w:cs="Arial"/>
          <w:color w:val="000000"/>
          <w:kern w:val="0"/>
          <w:sz w:val="20"/>
          <w:szCs w:val="20"/>
          <w:highlight w:val="none"/>
          <w:shd w:fill="auto" w:val="clear"/>
          <w:lang w:eastAsia="en-US" w:bidi="ar-SA"/>
        </w:rPr>
      </w:pPr>
      <w:r>
        <w:rPr>
          <w:rFonts w:eastAsia="Calibri" w:cs="Arial" w:ascii="Arial" w:hAnsi="Arial"/>
          <w:color w:val="000000"/>
          <w:kern w:val="0"/>
          <w:sz w:val="20"/>
          <w:szCs w:val="20"/>
          <w:shd w:fill="auto" w:val="clear"/>
          <w:lang w:eastAsia="en-US" w:bidi="ar-SA"/>
        </w:rPr>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 xml:space="preserve">Supplementary Figure S12: </w:t>
      </w:r>
      <w:r>
        <w:rPr>
          <w:rFonts w:eastAsia="Calibri" w:cs="Arial" w:ascii="Arial" w:hAnsi="Arial"/>
          <w:color w:val="000000"/>
          <w:kern w:val="0"/>
          <w:sz w:val="20"/>
          <w:szCs w:val="20"/>
          <w:shd w:fill="auto" w:val="clear"/>
          <w:lang w:eastAsia="en-US" w:bidi="ar-SA"/>
        </w:rPr>
        <w:t xml:space="preserve">Barplots representing the functional annotation of non-redundant proteins clustered at ≥50% identity and ≥50% identity comparing </w:t>
      </w:r>
      <w:r>
        <w:rPr>
          <w:rFonts w:eastAsia="Calibri" w:cs="Arial" w:ascii="Arial" w:hAnsi="Arial"/>
          <w:b/>
          <w:bCs/>
          <w:color w:val="000000"/>
          <w:kern w:val="0"/>
          <w:sz w:val="20"/>
          <w:szCs w:val="20"/>
          <w:shd w:fill="auto" w:val="clear"/>
          <w:lang w:eastAsia="en-US" w:bidi="ar-SA"/>
        </w:rPr>
        <w:t>A)</w:t>
      </w:r>
      <w:r>
        <w:rPr>
          <w:rFonts w:eastAsia="Calibri" w:cs="Arial" w:ascii="Arial" w:hAnsi="Arial"/>
          <w:color w:val="000000"/>
          <w:kern w:val="0"/>
          <w:sz w:val="20"/>
          <w:szCs w:val="20"/>
          <w:shd w:fill="auto" w:val="clear"/>
          <w:lang w:eastAsia="en-US" w:bidi="ar-SA"/>
        </w:rPr>
        <w:t xml:space="preserve"> </w:t>
      </w:r>
      <w:r>
        <w:rPr>
          <w:rFonts w:eastAsia="Calibri" w:cs="Arial" w:ascii="Arial" w:hAnsi="Arial"/>
          <w:i/>
          <w:iCs/>
          <w:color w:val="000000"/>
          <w:kern w:val="0"/>
          <w:sz w:val="20"/>
          <w:szCs w:val="20"/>
          <w:shd w:fill="auto" w:val="clear"/>
          <w:lang w:eastAsia="en-US" w:bidi="ar-SA"/>
        </w:rPr>
        <w:t xml:space="preserve">Haloquadratum </w:t>
      </w:r>
      <w:r>
        <w:rPr>
          <w:rFonts w:eastAsia="Calibri" w:cs="Arial" w:ascii="Arial" w:hAnsi="Arial"/>
          <w:color w:val="000000"/>
          <w:kern w:val="0"/>
          <w:sz w:val="20"/>
          <w:szCs w:val="20"/>
          <w:shd w:fill="auto" w:val="clear"/>
          <w:lang w:eastAsia="en-US" w:bidi="ar-SA"/>
        </w:rPr>
        <w:t xml:space="preserve">sp2 vs. </w:t>
      </w:r>
      <w:r>
        <w:rPr>
          <w:rFonts w:eastAsia="Calibri" w:cs="Arial" w:ascii="Arial" w:hAnsi="Arial"/>
          <w:i/>
          <w:iCs/>
          <w:color w:val="000000"/>
          <w:kern w:val="0"/>
          <w:sz w:val="20"/>
          <w:szCs w:val="20"/>
          <w:shd w:fill="auto" w:val="clear"/>
          <w:lang w:eastAsia="en-US" w:bidi="ar-SA"/>
        </w:rPr>
        <w:t xml:space="preserve">Hqr. walsbyi </w:t>
      </w:r>
      <w:r>
        <w:rPr>
          <w:rFonts w:eastAsia="Calibri" w:cs="Arial" w:ascii="Arial" w:hAnsi="Arial"/>
          <w:color w:val="000000"/>
          <w:kern w:val="0"/>
          <w:sz w:val="20"/>
          <w:szCs w:val="20"/>
          <w:shd w:fill="auto" w:val="clear"/>
          <w:lang w:eastAsia="en-US" w:bidi="ar-SA"/>
        </w:rPr>
        <w:t xml:space="preserve">and </w:t>
      </w:r>
      <w:r>
        <w:rPr>
          <w:rFonts w:eastAsia="Calibri" w:cs="Arial" w:ascii="Arial" w:hAnsi="Arial"/>
          <w:b/>
          <w:bCs/>
          <w:color w:val="000000"/>
          <w:kern w:val="0"/>
          <w:sz w:val="20"/>
          <w:szCs w:val="20"/>
          <w:shd w:fill="auto" w:val="clear"/>
          <w:lang w:eastAsia="en-US" w:bidi="ar-SA"/>
        </w:rPr>
        <w:t>B)</w:t>
      </w:r>
      <w:r>
        <w:rPr>
          <w:rFonts w:eastAsia="Calibri" w:cs="Arial" w:ascii="Arial" w:hAnsi="Arial"/>
          <w:color w:val="000000"/>
          <w:kern w:val="0"/>
          <w:sz w:val="20"/>
          <w:szCs w:val="20"/>
          <w:shd w:fill="auto" w:val="clear"/>
          <w:lang w:eastAsia="en-US" w:bidi="ar-SA"/>
        </w:rPr>
        <w:t xml:space="preserve"> </w:t>
      </w:r>
      <w:r>
        <w:rPr>
          <w:rFonts w:eastAsia="Calibri" w:cs="Arial" w:ascii="Arial" w:hAnsi="Arial"/>
          <w:i/>
          <w:iCs/>
          <w:color w:val="000000"/>
          <w:kern w:val="0"/>
          <w:sz w:val="20"/>
          <w:szCs w:val="20"/>
          <w:shd w:fill="auto" w:val="clear"/>
          <w:lang w:eastAsia="en-US" w:bidi="ar-SA"/>
        </w:rPr>
        <w:t xml:space="preserve">Salinibacter </w:t>
      </w:r>
      <w:r>
        <w:rPr>
          <w:rFonts w:eastAsia="Calibri" w:cs="Arial" w:ascii="Arial" w:hAnsi="Arial"/>
          <w:color w:val="000000"/>
          <w:kern w:val="0"/>
          <w:sz w:val="20"/>
          <w:szCs w:val="20"/>
          <w:shd w:fill="auto" w:val="clear"/>
          <w:lang w:eastAsia="en-US" w:bidi="ar-SA"/>
        </w:rPr>
        <w:t xml:space="preserve">sp6 vs. </w:t>
      </w:r>
      <w:r>
        <w:rPr>
          <w:rFonts w:eastAsia="Calibri" w:cs="Arial" w:ascii="Arial" w:hAnsi="Arial"/>
          <w:i/>
          <w:iCs/>
          <w:color w:val="000000"/>
          <w:kern w:val="0"/>
          <w:sz w:val="20"/>
          <w:szCs w:val="20"/>
          <w:shd w:fill="auto" w:val="clear"/>
          <w:lang w:eastAsia="en-US" w:bidi="ar-SA"/>
        </w:rPr>
        <w:t xml:space="preserve">Sal. ruber </w:t>
      </w:r>
      <w:r>
        <w:rPr>
          <w:rFonts w:eastAsia="Calibri" w:cs="Arial" w:ascii="Arial" w:hAnsi="Arial"/>
          <w:color w:val="000000"/>
          <w:kern w:val="0"/>
          <w:sz w:val="20"/>
          <w:szCs w:val="20"/>
          <w:shd w:fill="auto" w:val="clear"/>
          <w:lang w:eastAsia="en-US" w:bidi="ar-SA"/>
        </w:rPr>
        <w:t>using COG categories extracted from the COGclassifier tool.</w:t>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drawing>
          <wp:anchor behindDoc="0" distT="0" distB="0" distL="0" distR="0" simplePos="0" locked="0" layoutInCell="0" allowOverlap="1" relativeHeight="12">
            <wp:simplePos x="0" y="0"/>
            <wp:positionH relativeFrom="column">
              <wp:align>center</wp:align>
            </wp:positionH>
            <wp:positionV relativeFrom="paragraph">
              <wp:posOffset>635</wp:posOffset>
            </wp:positionV>
            <wp:extent cx="5665470" cy="8016240"/>
            <wp:effectExtent l="0" t="0" r="0" b="0"/>
            <wp:wrapSquare wrapText="largest"/>
            <wp:docPr id="12" name="Image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2" descr=""/>
                    <pic:cNvPicPr>
                      <a:picLocks noChangeAspect="1" noChangeArrowheads="1"/>
                    </pic:cNvPicPr>
                  </pic:nvPicPr>
                  <pic:blipFill>
                    <a:blip r:embed="rId16"/>
                    <a:stretch>
                      <a:fillRect/>
                    </a:stretch>
                  </pic:blipFill>
                  <pic:spPr bwMode="auto">
                    <a:xfrm>
                      <a:off x="0" y="0"/>
                      <a:ext cx="5665470" cy="8016240"/>
                    </a:xfrm>
                    <a:prstGeom prst="rect">
                      <a:avLst/>
                    </a:prstGeom>
                  </pic:spPr>
                </pic:pic>
              </a:graphicData>
            </a:graphic>
          </wp:anchor>
        </w:drawing>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r>
        <w:br w:type="page"/>
      </w:r>
    </w:p>
    <w:p>
      <w:pPr>
        <w:pStyle w:val="Normal"/>
        <w:spacing w:lineRule="auto" w:line="48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 xml:space="preserve">Supplementary Figure S13: </w:t>
      </w:r>
      <w:r>
        <w:rPr>
          <w:rFonts w:eastAsia="Calibri" w:cs="Arial" w:ascii="Arial" w:hAnsi="Arial"/>
          <w:color w:val="000000"/>
          <w:kern w:val="0"/>
          <w:sz w:val="20"/>
          <w:szCs w:val="20"/>
          <w:shd w:fill="auto" w:val="clear"/>
          <w:lang w:eastAsia="en-US" w:bidi="ar-SA"/>
        </w:rPr>
        <w:t>Lineage-specific viral-host abundance ratios (VHRs) of D13 (top) and D20 (bottom) mesocosms. Dashed lines indicate VHR = 1 and asterisks show in which mesocosms species have statistically higher values of VHRs.</w:t>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color w:val="000000"/>
          <w:highlight w:val="none"/>
          <w:shd w:fill="auto" w:val="clear"/>
        </w:rPr>
      </w:pPr>
      <w:r>
        <w:rPr>
          <w:color w:val="000000"/>
          <w:shd w:fill="auto" w:val="clear"/>
        </w:rPr>
        <w:drawing>
          <wp:anchor behindDoc="0" distT="0" distB="0" distL="0" distR="0" simplePos="0" locked="0" layoutInCell="0" allowOverlap="1" relativeHeight="16">
            <wp:simplePos x="0" y="0"/>
            <wp:positionH relativeFrom="column">
              <wp:align>center</wp:align>
            </wp:positionH>
            <wp:positionV relativeFrom="paragraph">
              <wp:posOffset>635</wp:posOffset>
            </wp:positionV>
            <wp:extent cx="6332220" cy="4479290"/>
            <wp:effectExtent l="0" t="0" r="0" b="0"/>
            <wp:wrapSquare wrapText="largest"/>
            <wp:docPr id="13" name="Image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5" descr=""/>
                    <pic:cNvPicPr>
                      <a:picLocks noChangeAspect="1" noChangeArrowheads="1"/>
                    </pic:cNvPicPr>
                  </pic:nvPicPr>
                  <pic:blipFill>
                    <a:blip r:embed="rId17"/>
                    <a:stretch>
                      <a:fillRect/>
                    </a:stretch>
                  </pic:blipFill>
                  <pic:spPr bwMode="auto">
                    <a:xfrm>
                      <a:off x="0" y="0"/>
                      <a:ext cx="6332220" cy="4479290"/>
                    </a:xfrm>
                    <a:prstGeom prst="rect">
                      <a:avLst/>
                    </a:prstGeom>
                  </pic:spPr>
                </pic:pic>
              </a:graphicData>
            </a:graphic>
          </wp:anchor>
        </w:drawing>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Supplementary Figure S14:</w:t>
      </w:r>
      <w:r>
        <w:rPr>
          <w:rFonts w:eastAsia="Calibri" w:cs="Arial" w:ascii="Arial" w:hAnsi="Arial"/>
          <w:color w:val="000000"/>
          <w:kern w:val="0"/>
          <w:sz w:val="20"/>
          <w:szCs w:val="20"/>
          <w:shd w:fill="auto" w:val="clear"/>
          <w:lang w:eastAsia="en-US" w:bidi="ar-SA"/>
        </w:rPr>
        <w:t xml:space="preserve"> Boxplots based on viral-host abundance ratios (VHRs) between D13 and D20 using </w:t>
      </w:r>
      <w:r>
        <w:rPr>
          <w:rFonts w:eastAsia="Calibri" w:cs="Arial" w:ascii="Arial" w:hAnsi="Arial"/>
          <w:b/>
          <w:bCs/>
          <w:color w:val="000000"/>
          <w:kern w:val="0"/>
          <w:sz w:val="20"/>
          <w:szCs w:val="20"/>
          <w:shd w:fill="auto" w:val="clear"/>
          <w:lang w:eastAsia="en-US" w:bidi="ar-SA"/>
        </w:rPr>
        <w:t xml:space="preserve">A) </w:t>
      </w:r>
      <w:r>
        <w:rPr>
          <w:rFonts w:eastAsia="Calibri" w:cs="Arial" w:ascii="Arial" w:hAnsi="Arial"/>
          <w:color w:val="000000"/>
          <w:kern w:val="0"/>
          <w:sz w:val="20"/>
          <w:szCs w:val="20"/>
          <w:shd w:fill="auto" w:val="clear"/>
          <w:lang w:eastAsia="en-US" w:bidi="ar-SA"/>
        </w:rPr>
        <w:t xml:space="preserve">all, </w:t>
      </w:r>
      <w:r>
        <w:rPr>
          <w:rFonts w:eastAsia="Calibri" w:cs="Arial" w:ascii="Arial" w:hAnsi="Arial"/>
          <w:b/>
          <w:bCs/>
          <w:color w:val="000000"/>
          <w:kern w:val="0"/>
          <w:sz w:val="20"/>
          <w:szCs w:val="20"/>
          <w:shd w:fill="auto" w:val="clear"/>
          <w:lang w:eastAsia="en-US" w:bidi="ar-SA"/>
        </w:rPr>
        <w:t xml:space="preserve">B) </w:t>
      </w:r>
      <w:r>
        <w:rPr>
          <w:rFonts w:eastAsia="Calibri" w:cs="Arial" w:ascii="Arial" w:hAnsi="Arial"/>
          <w:color w:val="000000"/>
          <w:kern w:val="0"/>
          <w:sz w:val="20"/>
          <w:szCs w:val="20"/>
          <w:shd w:fill="auto" w:val="clear"/>
          <w:lang w:eastAsia="en-US" w:bidi="ar-SA"/>
        </w:rPr>
        <w:t xml:space="preserve">Archaea, and </w:t>
      </w:r>
      <w:r>
        <w:rPr>
          <w:rFonts w:eastAsia="Calibri" w:cs="Arial" w:ascii="Arial" w:hAnsi="Arial"/>
          <w:b/>
          <w:bCs/>
          <w:color w:val="000000"/>
          <w:kern w:val="0"/>
          <w:sz w:val="20"/>
          <w:szCs w:val="20"/>
          <w:shd w:fill="auto" w:val="clear"/>
          <w:lang w:eastAsia="en-US" w:bidi="ar-SA"/>
        </w:rPr>
        <w:t xml:space="preserve">C) </w:t>
      </w:r>
      <w:r>
        <w:rPr>
          <w:rFonts w:eastAsia="Calibri" w:cs="Arial" w:ascii="Arial" w:hAnsi="Arial"/>
          <w:color w:val="000000"/>
          <w:kern w:val="0"/>
          <w:sz w:val="20"/>
          <w:szCs w:val="20"/>
          <w:shd w:fill="auto" w:val="clear"/>
          <w:lang w:eastAsia="en-US" w:bidi="ar-SA"/>
        </w:rPr>
        <w:t>Bacteria</w:t>
      </w:r>
      <w:r>
        <w:rPr>
          <w:rFonts w:eastAsia="Calibri" w:cs="Arial" w:ascii="Arial" w:hAnsi="Arial"/>
          <w:i/>
          <w:iCs/>
          <w:color w:val="000000"/>
          <w:kern w:val="0"/>
          <w:sz w:val="20"/>
          <w:szCs w:val="20"/>
          <w:shd w:fill="auto" w:val="clear"/>
          <w:lang w:eastAsia="en-US" w:bidi="ar-SA"/>
        </w:rPr>
        <w:t xml:space="preserve"> </w:t>
      </w:r>
      <w:r>
        <w:rPr>
          <w:rFonts w:eastAsia="Calibri" w:cs="Arial" w:ascii="Arial" w:hAnsi="Arial"/>
          <w:color w:val="000000"/>
          <w:kern w:val="0"/>
          <w:sz w:val="20"/>
          <w:szCs w:val="20"/>
          <w:shd w:fill="auto" w:val="clear"/>
          <w:lang w:eastAsia="en-US" w:bidi="ar-SA"/>
        </w:rPr>
        <w:t>species.</w:t>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drawing>
          <wp:anchor behindDoc="0" distT="0" distB="0" distL="0" distR="0" simplePos="0" locked="0" layoutInCell="0" allowOverlap="1" relativeHeight="13">
            <wp:simplePos x="0" y="0"/>
            <wp:positionH relativeFrom="column">
              <wp:align>center</wp:align>
            </wp:positionH>
            <wp:positionV relativeFrom="paragraph">
              <wp:posOffset>635</wp:posOffset>
            </wp:positionV>
            <wp:extent cx="6332220" cy="4479290"/>
            <wp:effectExtent l="0" t="0" r="0" b="0"/>
            <wp:wrapSquare wrapText="largest"/>
            <wp:docPr id="14"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 descr=""/>
                    <pic:cNvPicPr>
                      <a:picLocks noChangeAspect="1" noChangeArrowheads="1"/>
                    </pic:cNvPicPr>
                  </pic:nvPicPr>
                  <pic:blipFill>
                    <a:blip r:embed="rId18"/>
                    <a:stretch>
                      <a:fillRect/>
                    </a:stretch>
                  </pic:blipFill>
                  <pic:spPr bwMode="auto">
                    <a:xfrm>
                      <a:off x="0" y="0"/>
                      <a:ext cx="6332220" cy="4479290"/>
                    </a:xfrm>
                    <a:prstGeom prst="rect">
                      <a:avLst/>
                    </a:prstGeom>
                  </pic:spPr>
                </pic:pic>
              </a:graphicData>
            </a:graphic>
          </wp:anchor>
        </w:drawing>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r>
        <w:br w:type="page"/>
      </w:r>
    </w:p>
    <w:p>
      <w:pPr>
        <w:pStyle w:val="Normal"/>
        <w:spacing w:lineRule="auto" w:line="360"/>
        <w:jc w:val="both"/>
        <w:rPr>
          <w:color w:val="000000"/>
          <w:highlight w:val="none"/>
          <w:shd w:fill="auto" w:val="clear"/>
        </w:rPr>
      </w:pPr>
      <w:r>
        <w:rPr>
          <w:rFonts w:eastAsia="Calibri" w:cs="Arial" w:ascii="Arial" w:hAnsi="Arial"/>
          <w:b/>
          <w:bCs/>
          <w:color w:val="000000"/>
          <w:kern w:val="0"/>
          <w:sz w:val="20"/>
          <w:szCs w:val="20"/>
          <w:shd w:fill="auto" w:val="clear"/>
          <w:lang w:eastAsia="en-US" w:bidi="ar-SA"/>
        </w:rPr>
        <w:t>Supplementary Figure S15:</w:t>
      </w:r>
      <w:r>
        <w:rPr>
          <w:rFonts w:eastAsia="Calibri" w:cs="Arial" w:ascii="Arial" w:hAnsi="Arial"/>
          <w:color w:val="000000"/>
          <w:kern w:val="0"/>
          <w:sz w:val="20"/>
          <w:szCs w:val="20"/>
          <w:shd w:fill="auto" w:val="clear"/>
          <w:lang w:eastAsia="en-US" w:bidi="ar-SA"/>
        </w:rPr>
        <w:t xml:space="preserve"> Examples of heatmaps representing the temporal succession of viral communities based on abundance of vOTUs infecting </w:t>
      </w:r>
      <w:r>
        <w:rPr>
          <w:rFonts w:eastAsia="Calibri" w:cs="Arial" w:ascii="Arial" w:hAnsi="Arial"/>
          <w:b/>
          <w:bCs/>
          <w:color w:val="000000"/>
          <w:kern w:val="0"/>
          <w:sz w:val="20"/>
          <w:szCs w:val="20"/>
          <w:shd w:fill="auto" w:val="clear"/>
          <w:lang w:eastAsia="en-US" w:bidi="ar-SA"/>
        </w:rPr>
        <w:t xml:space="preserve">A) </w:t>
      </w:r>
      <w:r>
        <w:rPr>
          <w:rFonts w:eastAsia="Calibri" w:cs="Arial" w:ascii="Arial" w:hAnsi="Arial"/>
          <w:i/>
          <w:iCs/>
          <w:color w:val="000000"/>
          <w:kern w:val="0"/>
          <w:sz w:val="20"/>
          <w:szCs w:val="20"/>
          <w:shd w:fill="auto" w:val="clear"/>
          <w:lang w:eastAsia="en-US" w:bidi="ar-SA"/>
        </w:rPr>
        <w:t>Hqr. walsbyi</w:t>
      </w:r>
      <w:r>
        <w:rPr>
          <w:rFonts w:eastAsia="Calibri" w:cs="Arial" w:ascii="Arial" w:hAnsi="Arial"/>
          <w:b/>
          <w:bCs/>
          <w:i/>
          <w:iCs/>
          <w:color w:val="000000"/>
          <w:kern w:val="0"/>
          <w:sz w:val="20"/>
          <w:szCs w:val="20"/>
          <w:shd w:fill="auto" w:val="clear"/>
          <w:lang w:eastAsia="en-US" w:bidi="ar-SA"/>
        </w:rPr>
        <w:t xml:space="preserve">, </w:t>
      </w:r>
      <w:r>
        <w:rPr>
          <w:rFonts w:eastAsia="Calibri" w:cs="Arial" w:ascii="Arial" w:hAnsi="Arial"/>
          <w:b/>
          <w:bCs/>
          <w:color w:val="000000"/>
          <w:kern w:val="0"/>
          <w:sz w:val="20"/>
          <w:szCs w:val="20"/>
          <w:shd w:fill="auto" w:val="clear"/>
          <w:lang w:eastAsia="en-US" w:bidi="ar-SA"/>
        </w:rPr>
        <w:t xml:space="preserve">B) </w:t>
      </w:r>
      <w:r>
        <w:rPr>
          <w:rFonts w:eastAsia="Calibri" w:cs="Arial" w:ascii="Arial" w:hAnsi="Arial"/>
          <w:i/>
          <w:iCs/>
          <w:color w:val="000000"/>
          <w:kern w:val="0"/>
          <w:sz w:val="20"/>
          <w:szCs w:val="20"/>
          <w:shd w:fill="auto" w:val="clear"/>
          <w:lang w:eastAsia="en-US" w:bidi="ar-SA"/>
        </w:rPr>
        <w:t xml:space="preserve">Haloquadratum </w:t>
      </w:r>
      <w:r>
        <w:rPr>
          <w:rFonts w:eastAsia="Calibri" w:cs="Arial" w:ascii="Arial" w:hAnsi="Arial"/>
          <w:i w:val="false"/>
          <w:iCs w:val="false"/>
          <w:color w:val="000000"/>
          <w:kern w:val="0"/>
          <w:sz w:val="20"/>
          <w:szCs w:val="20"/>
          <w:shd w:fill="auto" w:val="clear"/>
          <w:lang w:eastAsia="en-US" w:bidi="ar-SA"/>
        </w:rPr>
        <w:t>sp2</w:t>
      </w:r>
      <w:r>
        <w:rPr>
          <w:rFonts w:eastAsia="Calibri" w:cs="Arial" w:ascii="Arial" w:hAnsi="Arial"/>
          <w:b/>
          <w:bCs/>
          <w:color w:val="000000"/>
          <w:kern w:val="0"/>
          <w:sz w:val="20"/>
          <w:szCs w:val="20"/>
          <w:shd w:fill="auto" w:val="clear"/>
          <w:lang w:eastAsia="en-US" w:bidi="ar-SA"/>
        </w:rPr>
        <w:t xml:space="preserve">, C) </w:t>
      </w:r>
      <w:r>
        <w:rPr>
          <w:rFonts w:eastAsia="Calibri" w:cs="Arial" w:ascii="Arial" w:hAnsi="Arial"/>
          <w:i/>
          <w:iCs/>
          <w:color w:val="000000"/>
          <w:kern w:val="0"/>
          <w:sz w:val="20"/>
          <w:szCs w:val="20"/>
          <w:shd w:fill="auto" w:val="clear"/>
          <w:lang w:eastAsia="en-US" w:bidi="ar-SA"/>
        </w:rPr>
        <w:t>Sal. ruber,</w:t>
      </w:r>
      <w:r>
        <w:rPr>
          <w:rFonts w:eastAsia="Calibri" w:cs="Arial" w:ascii="Arial" w:hAnsi="Arial"/>
          <w:b/>
          <w:bCs/>
          <w:i/>
          <w:iCs/>
          <w:color w:val="000000"/>
          <w:kern w:val="0"/>
          <w:sz w:val="20"/>
          <w:szCs w:val="20"/>
          <w:shd w:fill="auto" w:val="clear"/>
          <w:lang w:eastAsia="en-US" w:bidi="ar-SA"/>
        </w:rPr>
        <w:t xml:space="preserve"> </w:t>
      </w:r>
      <w:r>
        <w:rPr>
          <w:rFonts w:eastAsia="Calibri" w:cs="Arial" w:ascii="Arial" w:hAnsi="Arial"/>
          <w:color w:val="000000"/>
          <w:kern w:val="0"/>
          <w:sz w:val="20"/>
          <w:szCs w:val="20"/>
          <w:shd w:fill="auto" w:val="clear"/>
          <w:lang w:eastAsia="en-US" w:bidi="ar-SA"/>
        </w:rPr>
        <w:t xml:space="preserve">and </w:t>
      </w:r>
      <w:r>
        <w:rPr>
          <w:rFonts w:eastAsia="Calibri" w:cs="Arial" w:ascii="Arial" w:hAnsi="Arial"/>
          <w:b/>
          <w:bCs/>
          <w:color w:val="000000"/>
          <w:kern w:val="0"/>
          <w:sz w:val="20"/>
          <w:szCs w:val="20"/>
          <w:shd w:fill="auto" w:val="clear"/>
          <w:lang w:eastAsia="en-US" w:bidi="ar-SA"/>
        </w:rPr>
        <w:t>D)</w:t>
      </w:r>
      <w:r>
        <w:rPr>
          <w:rFonts w:eastAsia="Calibri" w:cs="Arial" w:ascii="Arial" w:hAnsi="Arial"/>
          <w:color w:val="000000"/>
          <w:kern w:val="0"/>
          <w:sz w:val="20"/>
          <w:szCs w:val="20"/>
          <w:shd w:fill="auto" w:val="clear"/>
          <w:lang w:eastAsia="en-US" w:bidi="ar-SA"/>
        </w:rPr>
        <w:t xml:space="preserve"> </w:t>
      </w:r>
      <w:r>
        <w:rPr>
          <w:rFonts w:eastAsia="Calibri" w:cs="Arial" w:ascii="Arial" w:hAnsi="Arial"/>
          <w:i/>
          <w:iCs/>
          <w:color w:val="000000"/>
          <w:kern w:val="0"/>
          <w:sz w:val="20"/>
          <w:szCs w:val="20"/>
          <w:shd w:fill="auto" w:val="clear"/>
          <w:lang w:eastAsia="en-US" w:bidi="ar-SA"/>
        </w:rPr>
        <w:t xml:space="preserve">Salinibacter </w:t>
      </w:r>
      <w:r>
        <w:rPr>
          <w:rFonts w:eastAsia="Calibri" w:cs="Arial" w:ascii="Arial" w:hAnsi="Arial"/>
          <w:i w:val="false"/>
          <w:iCs w:val="false"/>
          <w:color w:val="000000"/>
          <w:kern w:val="0"/>
          <w:sz w:val="20"/>
          <w:szCs w:val="20"/>
          <w:shd w:fill="auto" w:val="clear"/>
          <w:lang w:eastAsia="en-US" w:bidi="ar-SA"/>
        </w:rPr>
        <w:t>sp6</w:t>
      </w:r>
      <w:r>
        <w:rPr>
          <w:rFonts w:eastAsia="Calibri" w:cs="Arial" w:ascii="Arial" w:hAnsi="Arial"/>
          <w:color w:val="000000"/>
          <w:kern w:val="0"/>
          <w:sz w:val="20"/>
          <w:szCs w:val="20"/>
          <w:shd w:fill="auto" w:val="clear"/>
          <w:lang w:eastAsia="en-US" w:bidi="ar-SA"/>
        </w:rPr>
        <w:t>. vOTUs abundances were calculated based on sequencing effort (sequencing depth divided by number of metagenomic reads) across metagenomes (n=130).</w:t>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drawing>
          <wp:anchor behindDoc="0" distT="0" distB="0" distL="0" distR="0" simplePos="0" locked="0" layoutInCell="0" allowOverlap="1" relativeHeight="15">
            <wp:simplePos x="0" y="0"/>
            <wp:positionH relativeFrom="column">
              <wp:align>center</wp:align>
            </wp:positionH>
            <wp:positionV relativeFrom="paragraph">
              <wp:posOffset>635</wp:posOffset>
            </wp:positionV>
            <wp:extent cx="6332220" cy="4479290"/>
            <wp:effectExtent l="0" t="0" r="0" b="0"/>
            <wp:wrapSquare wrapText="largest"/>
            <wp:docPr id="15"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4" descr=""/>
                    <pic:cNvPicPr>
                      <a:picLocks noChangeAspect="1" noChangeArrowheads="1"/>
                    </pic:cNvPicPr>
                  </pic:nvPicPr>
                  <pic:blipFill>
                    <a:blip r:embed="rId19"/>
                    <a:stretch>
                      <a:fillRect/>
                    </a:stretch>
                  </pic:blipFill>
                  <pic:spPr bwMode="auto">
                    <a:xfrm>
                      <a:off x="0" y="0"/>
                      <a:ext cx="6332220" cy="4479290"/>
                    </a:xfrm>
                    <a:prstGeom prst="rect">
                      <a:avLst/>
                    </a:prstGeom>
                  </pic:spPr>
                </pic:pic>
              </a:graphicData>
            </a:graphic>
          </wp:anchor>
        </w:drawing>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highlight w:val="none"/>
          <w:shd w:fill="auto" w:val="clear"/>
          <w:lang w:eastAsia="en-US" w:bidi="ar-SA"/>
        </w:rPr>
      </w:pPr>
      <w:r>
        <w:rPr>
          <w:rFonts w:eastAsia="Calibri" w:cs="Arial" w:ascii="Arial" w:hAnsi="Arial"/>
          <w:b/>
          <w:bCs/>
          <w:color w:val="000000"/>
          <w:kern w:val="0"/>
          <w:sz w:val="20"/>
          <w:szCs w:val="20"/>
          <w:shd w:fill="auto" w:val="clear"/>
          <w:lang w:eastAsia="en-US" w:bidi="ar-SA"/>
        </w:rPr>
      </w:r>
    </w:p>
    <w:p>
      <w:pPr>
        <w:pStyle w:val="Normal"/>
        <w:spacing w:lineRule="auto" w:line="360"/>
        <w:jc w:val="both"/>
        <w:rPr>
          <w:rFonts w:ascii="Arial" w:hAnsi="Arial" w:eastAsia="Calibri" w:cs="Arial"/>
          <w:b/>
          <w:b/>
          <w:bCs/>
          <w:color w:val="000000"/>
          <w:kern w:val="0"/>
          <w:sz w:val="20"/>
          <w:szCs w:val="20"/>
          <w:lang w:eastAsia="en-US" w:bidi="ar-SA"/>
        </w:rPr>
      </w:pPr>
      <w:r>
        <w:rPr>
          <w:rFonts w:eastAsia="Calibri" w:cs="Arial" w:ascii="Arial" w:hAnsi="Arial"/>
          <w:b/>
          <w:bCs/>
          <w:color w:val="000000"/>
          <w:kern w:val="0"/>
          <w:sz w:val="20"/>
          <w:szCs w:val="20"/>
          <w:lang w:eastAsia="en-US" w:bidi="ar-SA"/>
        </w:rPr>
      </w:r>
    </w:p>
    <w:p>
      <w:pPr>
        <w:pStyle w:val="Normal"/>
        <w:spacing w:lineRule="auto" w:line="360"/>
        <w:jc w:val="both"/>
        <w:rPr>
          <w:rFonts w:ascii="Arial" w:hAnsi="Arial" w:eastAsia="Calibri" w:cs="Arial"/>
          <w:b/>
          <w:b/>
          <w:bCs/>
          <w:color w:val="000000"/>
          <w:kern w:val="0"/>
          <w:sz w:val="20"/>
          <w:szCs w:val="20"/>
          <w:lang w:eastAsia="en-US" w:bidi="ar-SA"/>
        </w:rPr>
      </w:pPr>
      <w:r>
        <w:rPr/>
      </w:r>
    </w:p>
    <w:sectPr>
      <w:type w:val="nextPage"/>
      <w:pgSz w:w="12240" w:h="15840"/>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Segoe UI">
    <w:charset w:val="01"/>
    <w:family w:val="roman"/>
    <w:pitch w:val="variable"/>
  </w:font>
  <w:font w:name="Liberation Sans">
    <w:altName w:val="Arial"/>
    <w:charset w:val="01"/>
    <w:family w:val="roman"/>
    <w:pitch w:val="variable"/>
  </w:font>
  <w:font w:name="Arial">
    <w:charset w:val="01"/>
    <w:family w:val="roman"/>
    <w:pitch w:val="variable"/>
  </w:font>
</w:fonts>
</file>

<file path=word/settings.xml><?xml version="1.0" encoding="utf-8"?>
<w:settings xmlns:w="http://schemas.openxmlformats.org/wordprocessingml/2006/main">
  <w:zoom w:percent="110"/>
  <w:defaultTabStop w:val="709"/>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Lohit Devanagari"/>
        <w:kern w:val="2"/>
        <w:sz w:val="24"/>
        <w:szCs w:val="24"/>
        <w:lang w:val="en-US" w:eastAsia="zh-CN" w:bidi="hi-IN"/>
      </w:rPr>
    </w:rPrDefault>
    <w:pPrDefault>
      <w:pPr>
        <w:suppressAutoHyphens w:val="true"/>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pPr>
      <w:widowControl/>
      <w:suppressAutoHyphens w:val="true"/>
      <w:bidi w:val="0"/>
      <w:spacing w:before="0" w:after="0"/>
      <w:jc w:val="left"/>
    </w:pPr>
    <w:rPr>
      <w:rFonts w:ascii="Liberation Serif" w:hAnsi="Liberation Serif" w:eastAsia="Noto Serif CJK SC" w:cs="Lohit Devanagari"/>
      <w:color w:val="auto"/>
      <w:kern w:val="2"/>
      <w:sz w:val="24"/>
      <w:szCs w:val="24"/>
      <w:lang w:val="en-US" w:eastAsia="zh-CN" w:bidi="hi-IN"/>
    </w:rPr>
  </w:style>
  <w:style w:type="character" w:styleId="DefaultParagraphFont" w:default="1">
    <w:name w:val="Default Paragraph Font"/>
    <w:uiPriority w:val="1"/>
    <w:semiHidden/>
    <w:unhideWhenUsed/>
    <w:qFormat/>
    <w:rPr/>
  </w:style>
  <w:style w:type="character" w:styleId="Annotationreference">
    <w:name w:val="annotation reference"/>
    <w:basedOn w:val="DefaultParagraphFont"/>
    <w:qFormat/>
    <w:rPr>
      <w:sz w:val="16"/>
      <w:szCs w:val="16"/>
    </w:rPr>
  </w:style>
  <w:style w:type="character" w:styleId="CommentTextChar" w:customStyle="1">
    <w:name w:val="Comment Text Char"/>
    <w:basedOn w:val="DefaultParagraphFont"/>
    <w:link w:val="Annotationtext"/>
    <w:qFormat/>
    <w:rPr>
      <w:rFonts w:cs="Mangal"/>
      <w:sz w:val="20"/>
      <w:szCs w:val="18"/>
    </w:rPr>
  </w:style>
  <w:style w:type="character" w:styleId="CommentSubjectChar" w:customStyle="1">
    <w:name w:val="Comment Subject Char"/>
    <w:basedOn w:val="CommentTextChar"/>
    <w:link w:val="Annotationsubject"/>
    <w:qFormat/>
    <w:rPr>
      <w:rFonts w:cs="Mangal"/>
      <w:b/>
      <w:bCs/>
      <w:sz w:val="20"/>
      <w:szCs w:val="18"/>
    </w:rPr>
  </w:style>
  <w:style w:type="character" w:styleId="LineNumbering" w:customStyle="1">
    <w:name w:val="Line Numbering"/>
    <w:rPr/>
  </w:style>
  <w:style w:type="character" w:styleId="InternetLink">
    <w:name w:val="Hyperlink"/>
    <w:rPr>
      <w:color w:val="000080"/>
      <w:u w:val="single"/>
    </w:rPr>
  </w:style>
  <w:style w:type="character" w:styleId="BalloonTextChar" w:customStyle="1">
    <w:name w:val="Balloon Text Char"/>
    <w:basedOn w:val="DefaultParagraphFont"/>
    <w:link w:val="BalloonText"/>
    <w:uiPriority w:val="99"/>
    <w:semiHidden/>
    <w:qFormat/>
    <w:rsid w:val="00100ec2"/>
    <w:rPr>
      <w:rFonts w:ascii="Segoe UI" w:hAnsi="Segoe UI" w:cs="Mangal"/>
      <w:sz w:val="18"/>
      <w:szCs w:val="16"/>
    </w:rPr>
  </w:style>
  <w:style w:type="character" w:styleId="VisitedInternetLink">
    <w:name w:val="FollowedHyperlink"/>
    <w:basedOn w:val="DefaultParagraphFont"/>
    <w:rPr>
      <w:color w:val="954F72" w:themeColor="followedHyperlink"/>
      <w:u w:val="single"/>
    </w:rPr>
  </w:style>
  <w:style w:type="paragraph" w:styleId="Heading" w:customStyle="1">
    <w:name w:val="Heading"/>
    <w:basedOn w:val="Normal"/>
    <w:next w:val="TextBody"/>
    <w:qFormat/>
    <w:pPr>
      <w:keepNext w:val="true"/>
      <w:spacing w:before="240" w:after="120"/>
    </w:pPr>
    <w:rPr>
      <w:rFonts w:ascii="Liberation Sans" w:hAnsi="Liberation Sans" w:eastAsia="Noto Sans CJK SC"/>
      <w:sz w:val="28"/>
      <w:szCs w:val="28"/>
    </w:rPr>
  </w:style>
  <w:style w:type="paragraph" w:styleId="TextBody">
    <w:name w:val="Body Text"/>
    <w:basedOn w:val="Normal"/>
    <w:pPr>
      <w:spacing w:lineRule="auto" w:line="276" w:before="0" w:after="140"/>
    </w:pPr>
    <w:rPr/>
  </w:style>
  <w:style w:type="paragraph" w:styleId="List">
    <w:name w:val="List"/>
    <w:basedOn w:val="TextBody"/>
    <w:pPr/>
    <w:rPr/>
  </w:style>
  <w:style w:type="paragraph" w:styleId="Caption">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style>
  <w:style w:type="paragraph" w:styleId="Caption1">
    <w:name w:val="caption"/>
    <w:basedOn w:val="Normal"/>
    <w:qFormat/>
    <w:pPr>
      <w:suppressLineNumbers/>
      <w:spacing w:before="120" w:after="120"/>
    </w:pPr>
    <w:rPr>
      <w:i/>
      <w:iCs/>
    </w:rPr>
  </w:style>
  <w:style w:type="paragraph" w:styleId="Revision">
    <w:name w:val="Revision"/>
    <w:qFormat/>
    <w:pPr>
      <w:widowControl/>
      <w:suppressAutoHyphens w:val="false"/>
      <w:bidi w:val="0"/>
      <w:spacing w:before="0" w:after="0"/>
      <w:jc w:val="left"/>
    </w:pPr>
    <w:rPr>
      <w:rFonts w:ascii="Liberation Serif" w:hAnsi="Liberation Serif" w:eastAsia="Noto Serif CJK SC" w:cs="Mangal"/>
      <w:color w:val="auto"/>
      <w:kern w:val="2"/>
      <w:sz w:val="24"/>
      <w:szCs w:val="21"/>
      <w:lang w:val="en-US" w:eastAsia="zh-CN" w:bidi="hi-IN"/>
    </w:rPr>
  </w:style>
  <w:style w:type="paragraph" w:styleId="Annotationtext">
    <w:name w:val="annotation text"/>
    <w:basedOn w:val="Normal"/>
    <w:link w:val="CommentTextChar"/>
    <w:qFormat/>
    <w:pPr/>
    <w:rPr>
      <w:rFonts w:cs="Mangal"/>
      <w:sz w:val="20"/>
      <w:szCs w:val="18"/>
    </w:rPr>
  </w:style>
  <w:style w:type="paragraph" w:styleId="Annotationsubject">
    <w:name w:val="annotation subject"/>
    <w:basedOn w:val="Annotationtext"/>
    <w:next w:val="Annotationtext"/>
    <w:link w:val="CommentSubjectChar"/>
    <w:qFormat/>
    <w:pPr/>
    <w:rPr>
      <w:b/>
      <w:bCs/>
    </w:rPr>
  </w:style>
  <w:style w:type="paragraph" w:styleId="BalloonText">
    <w:name w:val="Balloon Text"/>
    <w:basedOn w:val="Normal"/>
    <w:link w:val="BalloonTextChar"/>
    <w:uiPriority w:val="99"/>
    <w:semiHidden/>
    <w:unhideWhenUsed/>
    <w:qFormat/>
    <w:rsid w:val="00100ec2"/>
    <w:pPr/>
    <w:rPr>
      <w:rFonts w:ascii="Segoe UI" w:hAnsi="Segoe UI" w:cs="Mangal"/>
      <w:sz w:val="18"/>
      <w:szCs w:val="16"/>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ebustos@imedea.uib-csic.es" TargetMode="External"/><Relationship Id="rId3" Type="http://schemas.openxmlformats.org/officeDocument/2006/relationships/hyperlink" Target="mailto:ramon@imedea.uib-csic.es" TargetMode="Externa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hyperlink" Target="https://doi.org/10.1201/9781315380476" TargetMode="External"/><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fontTable" Target="fontTable.xml"/><Relationship Id="rId21" Type="http://schemas.openxmlformats.org/officeDocument/2006/relationships/settings" Target="settings.xml"/><Relationship Id="rId22"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Application>LibreOffice/7.3.7.2$Linux_X86_64 LibreOffice_project/30$Build-2</Application>
  <AppVersion>15.0000</AppVersion>
  <Pages>19</Pages>
  <Words>2230</Words>
  <Characters>13061</Characters>
  <CharactersWithSpaces>15261</CharactersWithSpaces>
  <Paragraphs>51</Paragraphs>
  <Company>Georgia Institute of Technology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2024-09-04T18:45:00Z</dcterms:created>
  <dc:creator>Ramon Rossello Mora</dc:creator>
  <dc:description/>
  <dc:language>en-US</dc:language>
  <cp:lastModifiedBy>Esteban Bustos</cp:lastModifiedBy>
  <dcterms:modified xsi:type="dcterms:W3CDTF">2024-10-19T12:16:01Z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file>