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30EB" w:rsidRPr="003A30EB" w:rsidRDefault="003A30EB" w:rsidP="003A30EB">
      <w:pPr>
        <w:pStyle w:val="Title"/>
      </w:pPr>
      <w:r w:rsidRPr="003A30EB">
        <w:t>Appendix S3: Statistical methods</w:t>
      </w:r>
    </w:p>
    <w:p w:rsidR="003A30EB" w:rsidRPr="003E2A99" w:rsidRDefault="00554DF7" w:rsidP="003A30EB">
      <w:pPr>
        <w:pStyle w:val="Heading1"/>
      </w:pPr>
      <w:r>
        <w:t>Cat lifespan analysis</w:t>
      </w:r>
    </w:p>
    <w:p w:rsidR="00617634" w:rsidRDefault="003C2241" w:rsidP="003A30EB">
      <w:r>
        <w:t>The mortality estimate for feral cats was taken from a study by Warner (1985; reference in main article). A life table is included in Table 2 and the survival numbers were used to produce a plot of age versus survival. The plot includes an overlay of two exponential curves of best fit using least squares optimisation based on normal (red) and lognormal (blue) errors. The mean life expectancy associated with these curves are 1.34 (blue) and 0.92 (red), so an estimate of 1 year life expectancy was used in the main article.</w:t>
      </w:r>
    </w:p>
    <w:p w:rsidR="00962613" w:rsidRDefault="00962613" w:rsidP="003A30EB">
      <w:r>
        <w:rPr>
          <w:noProof/>
          <w:lang w:eastAsia="en-AU"/>
        </w:rPr>
        <w:drawing>
          <wp:inline distT="0" distB="0" distL="0" distR="0">
            <wp:extent cx="5731510" cy="3682329"/>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3682329"/>
                    </a:xfrm>
                    <a:prstGeom prst="rect">
                      <a:avLst/>
                    </a:prstGeom>
                    <a:noFill/>
                    <a:ln>
                      <a:noFill/>
                    </a:ln>
                  </pic:spPr>
                </pic:pic>
              </a:graphicData>
            </a:graphic>
          </wp:inline>
        </w:drawing>
      </w:r>
    </w:p>
    <w:p w:rsidR="003A532F" w:rsidRDefault="003A532F">
      <w:pPr>
        <w:rPr>
          <w:b/>
          <w:i/>
          <w:sz w:val="48"/>
        </w:rPr>
      </w:pPr>
      <w:r>
        <w:br w:type="page"/>
      </w:r>
    </w:p>
    <w:p w:rsidR="00295B44" w:rsidRDefault="00295B44" w:rsidP="00295B44">
      <w:pPr>
        <w:pStyle w:val="Heading1"/>
      </w:pPr>
      <w:r>
        <w:lastRenderedPageBreak/>
        <w:t>Illustration of scaling parameter use</w:t>
      </w:r>
    </w:p>
    <w:p w:rsidR="00295B44" w:rsidRDefault="00295B44" w:rsidP="00295B44">
      <w:r w:rsidRPr="00295B44">
        <w:t xml:space="preserve">The formula for </w:t>
      </w:r>
      <m:oMath>
        <m:sSub>
          <m:sSubPr>
            <m:ctrlPr>
              <w:rPr>
                <w:rFonts w:ascii="Cambria Math" w:hAnsi="Cambria Math"/>
                <w:i/>
              </w:rPr>
            </m:ctrlPr>
          </m:sSubPr>
          <m:e>
            <m:r>
              <w:rPr>
                <w:rFonts w:ascii="Cambria Math" w:hAnsi="Cambria Math"/>
              </w:rPr>
              <m:t>λ</m:t>
            </m:r>
          </m:e>
          <m:sub>
            <m:r>
              <w:rPr>
                <w:rFonts w:ascii="Cambria Math" w:hAnsi="Cambria Math"/>
              </w:rPr>
              <m:t>scale</m:t>
            </m:r>
          </m:sub>
        </m:sSub>
      </m:oMath>
      <w:r>
        <w:rPr>
          <w:rFonts w:eastAsiaTheme="minorEastAsia"/>
        </w:rPr>
        <w:t xml:space="preserve"> </w:t>
      </w:r>
      <w:r w:rsidRPr="00295B44">
        <w:t xml:space="preserve">depends on the total number of observations across all hunting trips, so the Poisson probability of obtaining each individual observation </w:t>
      </w:r>
      <m:oMath>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i,x</m:t>
            </m:r>
          </m:sub>
        </m:sSub>
      </m:oMath>
      <w:r w:rsidRPr="00295B44">
        <w:t xml:space="preserve"> is dependent on the total number of observations, but not on the individual observation itself. This approach is equivalent to assuming that SPADE has got the overall number of observations exactly right given some level of detectability, and thus the likelihood function is measuring relative patterns of population change. This assumption is of course likely unreasonable and untestable as we cannot know the detection rate, but we justify its use by</w:t>
      </w:r>
    </w:p>
    <w:p w:rsidR="00295B44" w:rsidRDefault="00295B44" w:rsidP="00295B44">
      <w:pPr>
        <w:pStyle w:val="ListParagraph"/>
        <w:numPr>
          <w:ilvl w:val="0"/>
          <w:numId w:val="1"/>
        </w:numPr>
      </w:pPr>
      <w:r w:rsidRPr="00295B44">
        <w:t xml:space="preserve">explicitly stating that we are only using this technique to look at relative patterns, and </w:t>
      </w:r>
    </w:p>
    <w:p w:rsidR="00295B44" w:rsidRPr="00295B44" w:rsidRDefault="00295B44" w:rsidP="00295B44">
      <w:pPr>
        <w:pStyle w:val="ListParagraph"/>
        <w:numPr>
          <w:ilvl w:val="0"/>
          <w:numId w:val="1"/>
        </w:numPr>
      </w:pPr>
      <w:r w:rsidRPr="00295B44">
        <w:t>backing it up with another goodness of fit method which also looks at absolute patterns (</w:t>
      </w:r>
      <w:r>
        <w:t xml:space="preserve">i.e. </w:t>
      </w:r>
      <w:r w:rsidRPr="00295B44">
        <w:t>looking at culling numbers).</w:t>
      </w:r>
    </w:p>
    <w:p w:rsidR="00295B44" w:rsidRPr="00295B44" w:rsidRDefault="00295B44" w:rsidP="00295B44">
      <w:r w:rsidRPr="00295B44">
        <w:t xml:space="preserve">This </w:t>
      </w:r>
      <w:r>
        <w:t xml:space="preserve">can be </w:t>
      </w:r>
      <w:r w:rsidRPr="00295B44">
        <w:t>illustrated by a simple example. Say we have three hunting trips</w:t>
      </w:r>
      <w:r>
        <w:t>,</w:t>
      </w:r>
      <w:r w:rsidRPr="00295B44">
        <w:t xml:space="preserve"> each at only one cell. </w:t>
      </w:r>
      <w:r>
        <w:t>T</w:t>
      </w:r>
      <w:r w:rsidRPr="00295B44">
        <w:t xml:space="preserve">he number of cats observed is 1, 2 and 3 respectively and each cell is surveyed for 10 minutes. Now also assume that when SPADE is run for a particular set of parameters </w:t>
      </w:r>
      <m:oMath>
        <m:sSub>
          <m:sSubPr>
            <m:ctrlPr>
              <w:rPr>
                <w:rFonts w:ascii="Cambria Math" w:hAnsi="Cambria Math"/>
                <w:i/>
              </w:rPr>
            </m:ctrlPr>
          </m:sSubPr>
          <m:e>
            <m:r>
              <w:rPr>
                <w:rFonts w:ascii="Cambria Math" w:hAnsi="Cambria Math"/>
              </w:rPr>
              <m:t>θ</m:t>
            </m:r>
          </m:e>
          <m:sub>
            <m:r>
              <w:rPr>
                <w:rFonts w:ascii="Cambria Math" w:hAnsi="Cambria Math"/>
              </w:rPr>
              <m:t>1</m:t>
            </m:r>
          </m:sub>
        </m:sSub>
      </m:oMath>
      <w:r w:rsidRPr="00295B44">
        <w:t xml:space="preserve">, the number of cats predicted present in those cells in the simulation are 10, 20 and 30. For a second set of parameters </w:t>
      </w:r>
      <m:oMath>
        <m:sSub>
          <m:sSubPr>
            <m:ctrlPr>
              <w:rPr>
                <w:rFonts w:ascii="Cambria Math" w:hAnsi="Cambria Math"/>
                <w:i/>
              </w:rPr>
            </m:ctrlPr>
          </m:sSubPr>
          <m:e>
            <m:r>
              <w:rPr>
                <w:rFonts w:ascii="Cambria Math" w:hAnsi="Cambria Math"/>
              </w:rPr>
              <m:t>θ</m:t>
            </m:r>
          </m:e>
          <m:sub>
            <m:r>
              <w:rPr>
                <w:rFonts w:ascii="Cambria Math" w:hAnsi="Cambria Math"/>
              </w:rPr>
              <m:t>2</m:t>
            </m:r>
          </m:sub>
        </m:sSub>
      </m:oMath>
      <w:r w:rsidRPr="00295B44">
        <w:t xml:space="preserve">, the numbers present are 30, 20 and 10. As mentioned in the manuscript, we have no way of knowing the detectability of cats but assuming that SPADE’s predictions scale to the number of observed cats per unit, it intuitively looks a lot better for </w:t>
      </w:r>
      <m:oMath>
        <m:sSub>
          <m:sSubPr>
            <m:ctrlPr>
              <w:rPr>
                <w:rFonts w:ascii="Cambria Math" w:hAnsi="Cambria Math"/>
                <w:i/>
              </w:rPr>
            </m:ctrlPr>
          </m:sSubPr>
          <m:e>
            <m:r>
              <w:rPr>
                <w:rFonts w:ascii="Cambria Math" w:hAnsi="Cambria Math"/>
              </w:rPr>
              <m:t>θ</m:t>
            </m:r>
          </m:e>
          <m:sub>
            <m:r>
              <w:rPr>
                <w:rFonts w:ascii="Cambria Math" w:hAnsi="Cambria Math"/>
              </w:rPr>
              <m:t>1</m:t>
            </m:r>
          </m:sub>
        </m:sSub>
      </m:oMath>
      <w:r w:rsidRPr="00295B44">
        <w:t xml:space="preserve"> than for </w:t>
      </w:r>
      <m:oMath>
        <m:sSub>
          <m:sSubPr>
            <m:ctrlPr>
              <w:rPr>
                <w:rFonts w:ascii="Cambria Math" w:hAnsi="Cambria Math"/>
                <w:i/>
              </w:rPr>
            </m:ctrlPr>
          </m:sSubPr>
          <m:e>
            <m:r>
              <w:rPr>
                <w:rFonts w:ascii="Cambria Math" w:hAnsi="Cambria Math"/>
              </w:rPr>
              <m:t>θ</m:t>
            </m:r>
          </m:e>
          <m:sub>
            <m:r>
              <w:rPr>
                <w:rFonts w:ascii="Cambria Math" w:hAnsi="Cambria Math"/>
              </w:rPr>
              <m:t>2</m:t>
            </m:r>
          </m:sub>
        </m:sSub>
      </m:oMath>
      <w:r w:rsidRPr="00295B44">
        <w:t>.</w:t>
      </w:r>
    </w:p>
    <w:p w:rsidR="00295B44" w:rsidRPr="00295B44" w:rsidRDefault="00295B44" w:rsidP="00295B44">
      <w:r w:rsidRPr="00295B44">
        <w:t xml:space="preserve">For both cases, </w:t>
      </w:r>
      <m:oMath>
        <m:sSub>
          <m:sSubPr>
            <m:ctrlPr>
              <w:rPr>
                <w:rFonts w:ascii="Cambria Math" w:hAnsi="Cambria Math"/>
                <w:i/>
              </w:rPr>
            </m:ctrlPr>
          </m:sSubPr>
          <m:e>
            <m:r>
              <w:rPr>
                <w:rFonts w:ascii="Cambria Math" w:hAnsi="Cambria Math"/>
              </w:rPr>
              <m:t>λ</m:t>
            </m:r>
          </m:e>
          <m:sub>
            <m:r>
              <w:rPr>
                <w:rFonts w:ascii="Cambria Math" w:hAnsi="Cambria Math"/>
              </w:rPr>
              <m:t>scale</m:t>
            </m:r>
          </m:sub>
        </m:sSub>
      </m:oMath>
      <w:r>
        <w:rPr>
          <w:rFonts w:eastAsiaTheme="minorEastAsia"/>
        </w:rPr>
        <w:t xml:space="preserve"> </w:t>
      </w:r>
      <w:r w:rsidRPr="00295B44">
        <w:t xml:space="preserve">= 6/600 = 0.01, so the log-likelihood for the first case would be </w:t>
      </w:r>
    </w:p>
    <w:p w:rsidR="00295B44" w:rsidRPr="00295B44" w:rsidRDefault="00295B44" w:rsidP="00F229DB">
      <w:pPr>
        <w:jc w:val="center"/>
      </w:pPr>
      <w:r w:rsidRPr="00295B44">
        <w:t>ln(Pois(1, lambda = 1)) + ln(Pois(2, lambda = 2)) + ln(Pois(3, lambda = 3) = -3.80</w:t>
      </w:r>
    </w:p>
    <w:p w:rsidR="00295B44" w:rsidRPr="00295B44" w:rsidRDefault="00295B44" w:rsidP="00295B44">
      <w:r w:rsidRPr="00295B44">
        <w:t xml:space="preserve">but the second case would be </w:t>
      </w:r>
    </w:p>
    <w:p w:rsidR="00295B44" w:rsidRPr="00295B44" w:rsidRDefault="00295B44" w:rsidP="00F229DB">
      <w:pPr>
        <w:jc w:val="center"/>
      </w:pPr>
      <w:r w:rsidRPr="00295B44">
        <w:t>ln(Pois(1, lambda = 3)) + ln(Pois(2, lambda = 2)) + ln(Pois(1, lambda = 3) = -6</w:t>
      </w:r>
    </w:p>
    <w:p w:rsidR="00295B44" w:rsidRPr="00295B44" w:rsidRDefault="00295B44" w:rsidP="00295B44">
      <w:r w:rsidRPr="00295B44">
        <w:t>showing that the first set of parameters has a higher likelihood.</w:t>
      </w:r>
    </w:p>
    <w:p w:rsidR="00295B44" w:rsidRPr="00295B44" w:rsidRDefault="00295B44">
      <w:r>
        <w:br w:type="page"/>
      </w:r>
    </w:p>
    <w:p w:rsidR="002B0088" w:rsidRDefault="002B0088" w:rsidP="002B0088">
      <w:pPr>
        <w:pStyle w:val="Heading1"/>
      </w:pPr>
      <w:r>
        <w:lastRenderedPageBreak/>
        <w:t>Numerical stability of dispersal method</w:t>
      </w:r>
    </w:p>
    <w:p w:rsidR="003A532F" w:rsidRDefault="00F340DF" w:rsidP="00F340DF">
      <w:r>
        <w:t xml:space="preserve">To give a likely indication of the practical rate of spread of cats for different values of the dispersal coefficient </w:t>
      </w:r>
      <w:r>
        <w:rPr>
          <w:i/>
        </w:rPr>
        <w:t>D</w:t>
      </w:r>
      <w:r>
        <w:t xml:space="preserve">, we ran SPADE with conditions as in the main article, except with an initial condition set as in the left figure below – one cat (in red) in an environment otherwise containing no cats (green). Birth and death rates were set to 0, the dispersal coefficient was varied between 0 and 7, and the model was run for 38 </w:t>
      </w:r>
      <w:r w:rsidR="007C5516">
        <w:t>“</w:t>
      </w:r>
      <w:r>
        <w:t>seasons</w:t>
      </w:r>
      <w:r w:rsidR="007C5516">
        <w:t>” (or months)</w:t>
      </w:r>
      <w:r>
        <w:t xml:space="preserve">. At the end of the simulated time period, </w:t>
      </w:r>
      <w:r w:rsidR="007C5516">
        <w:t xml:space="preserve">the total population size was calculated (for a numerically stable model, we would expect this to be 1 as there is no mechanism for population size change in this model) and the area of the highest density cells comprising at least 0.95 were calculated. This can be interpreted as the 95% dispersal area, as we expect the cat to be within this area with a probability of about 95%. </w:t>
      </w:r>
      <w:r>
        <w:t xml:space="preserve">As can be seen in the middle </w:t>
      </w:r>
      <w:bookmarkStart w:id="0" w:name="_GoBack"/>
      <w:bookmarkEnd w:id="0"/>
      <w:r>
        <w:t xml:space="preserve">figure, the </w:t>
      </w:r>
      <w:r w:rsidR="007C5516">
        <w:t xml:space="preserve">dispersal area increases monotonically as expected – where </w:t>
      </w:r>
      <w:r w:rsidR="007C5516" w:rsidRPr="007C5516">
        <w:rPr>
          <w:i/>
        </w:rPr>
        <w:t>D</w:t>
      </w:r>
      <w:r w:rsidR="007C5516">
        <w:t>=5, the area is approximately 60 km</w:t>
      </w:r>
      <w:r w:rsidR="007C5516">
        <w:rPr>
          <w:vertAlign w:val="superscript"/>
        </w:rPr>
        <w:t>2</w:t>
      </w:r>
      <w:r w:rsidR="007C5516">
        <w:t xml:space="preserve"> which corresponds to a circle with radius approximately 4.4 km. As a result, we can estimate that a cat will travel up to 4.4km in 38 months, or about 1.4km in a year – rounding up, this is the source of the “up to 2 km” number in the main article.  The figure at the right shows that total population size with </w:t>
      </w:r>
      <w:r w:rsidR="007C5516">
        <w:rPr>
          <w:i/>
        </w:rPr>
        <w:t>D</w:t>
      </w:r>
      <w:r w:rsidR="007C5516">
        <w:t xml:space="preserve"> beyond 5 begins to grow, suggesting numerically unstable behaviour, and causing us to restrict our parameter space searches to </w:t>
      </w:r>
      <w:r w:rsidR="007C5516">
        <w:rPr>
          <w:i/>
        </w:rPr>
        <w:t xml:space="preserve">D </w:t>
      </w:r>
      <w:r w:rsidR="007C5516" w:rsidRPr="007C5516">
        <w:t>&lt;=</w:t>
      </w:r>
      <w:r w:rsidR="007C5516">
        <w:t xml:space="preserve"> </w:t>
      </w:r>
      <w:r w:rsidR="007C5516" w:rsidRPr="007C5516">
        <w:t>5</w:t>
      </w:r>
      <w:r w:rsidR="007C5516">
        <w:rPr>
          <w:i/>
        </w:rPr>
        <w:t xml:space="preserve"> </w:t>
      </w:r>
      <w:r w:rsidR="007C5516">
        <w:t>for stability.</w:t>
      </w:r>
      <w:r w:rsidR="003A532F">
        <w:t xml:space="preserve"> </w:t>
      </w:r>
    </w:p>
    <w:p w:rsidR="00A36C94" w:rsidRPr="007C5516" w:rsidRDefault="00A36C94" w:rsidP="00F340DF">
      <w:r>
        <w:t xml:space="preserve">Code to perform the above is included in Appendix S4 in the file </w:t>
      </w:r>
      <w:proofErr w:type="spellStart"/>
      <w:r w:rsidRPr="00A36C94">
        <w:rPr>
          <w:rFonts w:ascii="Courier New" w:hAnsi="Courier New"/>
        </w:rPr>
        <w:t>dispersal.r</w:t>
      </w:r>
      <w:proofErr w:type="spellEnd"/>
      <w:r>
        <w:t>.</w:t>
      </w:r>
    </w:p>
    <w:tbl>
      <w:tblPr>
        <w:tblStyle w:val="TableGrid"/>
        <w:tblW w:w="0" w:type="auto"/>
        <w:tblLook w:val="04A0" w:firstRow="1" w:lastRow="0" w:firstColumn="1" w:lastColumn="0" w:noHBand="0" w:noVBand="1"/>
      </w:tblPr>
      <w:tblGrid>
        <w:gridCol w:w="3080"/>
        <w:gridCol w:w="3081"/>
        <w:gridCol w:w="3081"/>
      </w:tblGrid>
      <w:tr w:rsidR="00F340DF" w:rsidTr="00F340DF">
        <w:tc>
          <w:tcPr>
            <w:tcW w:w="3080" w:type="dxa"/>
          </w:tcPr>
          <w:p w:rsidR="00F340DF" w:rsidRDefault="00F340DF" w:rsidP="00F340DF">
            <w:r>
              <w:rPr>
                <w:noProof/>
                <w:lang w:eastAsia="en-AU"/>
              </w:rPr>
              <w:drawing>
                <wp:inline distT="0" distB="0" distL="0" distR="0" wp14:anchorId="1E94C28A" wp14:editId="4BF7F070">
                  <wp:extent cx="1800000" cy="172883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0000" cy="1728830"/>
                          </a:xfrm>
                          <a:prstGeom prst="rect">
                            <a:avLst/>
                          </a:prstGeom>
                          <a:noFill/>
                          <a:ln>
                            <a:noFill/>
                          </a:ln>
                        </pic:spPr>
                      </pic:pic>
                    </a:graphicData>
                  </a:graphic>
                </wp:inline>
              </w:drawing>
            </w:r>
          </w:p>
        </w:tc>
        <w:tc>
          <w:tcPr>
            <w:tcW w:w="3081" w:type="dxa"/>
          </w:tcPr>
          <w:p w:rsidR="00F340DF" w:rsidRDefault="00F340DF" w:rsidP="00F340DF">
            <w:r>
              <w:rPr>
                <w:noProof/>
                <w:lang w:eastAsia="en-AU"/>
              </w:rPr>
              <w:drawing>
                <wp:inline distT="0" distB="0" distL="0" distR="0" wp14:anchorId="01CFDD65" wp14:editId="1E6D23F7">
                  <wp:extent cx="1800000" cy="1787734"/>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0000" cy="1787734"/>
                          </a:xfrm>
                          <a:prstGeom prst="rect">
                            <a:avLst/>
                          </a:prstGeom>
                          <a:noFill/>
                          <a:ln>
                            <a:noFill/>
                          </a:ln>
                        </pic:spPr>
                      </pic:pic>
                    </a:graphicData>
                  </a:graphic>
                </wp:inline>
              </w:drawing>
            </w:r>
          </w:p>
        </w:tc>
        <w:tc>
          <w:tcPr>
            <w:tcW w:w="3081" w:type="dxa"/>
          </w:tcPr>
          <w:p w:rsidR="00F340DF" w:rsidRDefault="00F340DF" w:rsidP="00F340DF">
            <w:r>
              <w:rPr>
                <w:noProof/>
                <w:lang w:eastAsia="en-AU"/>
              </w:rPr>
              <w:drawing>
                <wp:inline distT="0" distB="0" distL="0" distR="0" wp14:anchorId="5C097E04" wp14:editId="733454A3">
                  <wp:extent cx="1800000" cy="181576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00000" cy="1815762"/>
                          </a:xfrm>
                          <a:prstGeom prst="rect">
                            <a:avLst/>
                          </a:prstGeom>
                          <a:noFill/>
                          <a:ln>
                            <a:noFill/>
                          </a:ln>
                        </pic:spPr>
                      </pic:pic>
                    </a:graphicData>
                  </a:graphic>
                </wp:inline>
              </w:drawing>
            </w:r>
          </w:p>
        </w:tc>
      </w:tr>
    </w:tbl>
    <w:p w:rsidR="002B0088" w:rsidRDefault="002B0088" w:rsidP="002B0088"/>
    <w:p w:rsidR="00F340DF" w:rsidRDefault="00F340DF" w:rsidP="002B0088"/>
    <w:p w:rsidR="002B0088" w:rsidRPr="002B0088" w:rsidRDefault="002B0088" w:rsidP="002B0088">
      <w:r w:rsidRPr="002B0088">
        <w:t xml:space="preserve"> </w:t>
      </w:r>
    </w:p>
    <w:p w:rsidR="00554DF7" w:rsidRPr="00554DF7" w:rsidRDefault="00554DF7" w:rsidP="00554DF7"/>
    <w:p w:rsidR="00554DF7" w:rsidRDefault="00554DF7" w:rsidP="003A30EB"/>
    <w:sectPr w:rsidR="00554D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ourier New">
    <w:panose1 w:val="02070309020205020404"/>
    <w:charset w:val="00"/>
    <w:family w:val="modern"/>
    <w:pitch w:val="fixed"/>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090C34"/>
    <w:multiLevelType w:val="hybridMultilevel"/>
    <w:tmpl w:val="C30EA558"/>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0EB"/>
    <w:rsid w:val="00280F21"/>
    <w:rsid w:val="00295B44"/>
    <w:rsid w:val="002B0088"/>
    <w:rsid w:val="002D1B9A"/>
    <w:rsid w:val="0033141C"/>
    <w:rsid w:val="003712C7"/>
    <w:rsid w:val="003A30EB"/>
    <w:rsid w:val="003A532F"/>
    <w:rsid w:val="003C2241"/>
    <w:rsid w:val="00554DF7"/>
    <w:rsid w:val="00582983"/>
    <w:rsid w:val="00617634"/>
    <w:rsid w:val="0066696F"/>
    <w:rsid w:val="006F3937"/>
    <w:rsid w:val="00781846"/>
    <w:rsid w:val="007C5516"/>
    <w:rsid w:val="008851FF"/>
    <w:rsid w:val="00962613"/>
    <w:rsid w:val="00A27DD1"/>
    <w:rsid w:val="00A36C94"/>
    <w:rsid w:val="00A923EB"/>
    <w:rsid w:val="00B60A8E"/>
    <w:rsid w:val="00B65CB5"/>
    <w:rsid w:val="00BE6C1D"/>
    <w:rsid w:val="00D87640"/>
    <w:rsid w:val="00DD1827"/>
    <w:rsid w:val="00F229DB"/>
    <w:rsid w:val="00F340D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30EB"/>
  </w:style>
  <w:style w:type="paragraph" w:styleId="Heading1">
    <w:name w:val="heading 1"/>
    <w:basedOn w:val="Heading2"/>
    <w:next w:val="Normal"/>
    <w:link w:val="Heading1Char"/>
    <w:uiPriority w:val="9"/>
    <w:qFormat/>
    <w:rsid w:val="003A30EB"/>
    <w:pPr>
      <w:keepNext w:val="0"/>
      <w:keepLines w:val="0"/>
      <w:spacing w:before="480" w:after="200"/>
      <w:jc w:val="center"/>
      <w:outlineLvl w:val="0"/>
    </w:pPr>
    <w:rPr>
      <w:rFonts w:asciiTheme="minorHAnsi" w:eastAsiaTheme="minorHAnsi" w:hAnsiTheme="minorHAnsi" w:cstheme="minorBidi"/>
      <w:bCs w:val="0"/>
      <w:i/>
      <w:color w:val="auto"/>
      <w:sz w:val="48"/>
      <w:szCs w:val="22"/>
    </w:rPr>
  </w:style>
  <w:style w:type="paragraph" w:styleId="Heading2">
    <w:name w:val="heading 2"/>
    <w:basedOn w:val="Normal"/>
    <w:next w:val="Normal"/>
    <w:link w:val="Heading2Char"/>
    <w:uiPriority w:val="9"/>
    <w:semiHidden/>
    <w:unhideWhenUsed/>
    <w:qFormat/>
    <w:rsid w:val="003A30E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30EB"/>
    <w:rPr>
      <w:b/>
      <w:i/>
      <w:sz w:val="48"/>
    </w:rPr>
  </w:style>
  <w:style w:type="paragraph" w:styleId="Title">
    <w:name w:val="Title"/>
    <w:basedOn w:val="Heading1"/>
    <w:next w:val="Normal"/>
    <w:link w:val="TitleChar"/>
    <w:uiPriority w:val="10"/>
    <w:qFormat/>
    <w:rsid w:val="003A30EB"/>
    <w:pPr>
      <w:ind w:left="360"/>
    </w:pPr>
    <w:rPr>
      <w:i w:val="0"/>
      <w:sz w:val="56"/>
    </w:rPr>
  </w:style>
  <w:style w:type="character" w:customStyle="1" w:styleId="TitleChar">
    <w:name w:val="Title Char"/>
    <w:basedOn w:val="DefaultParagraphFont"/>
    <w:link w:val="Title"/>
    <w:uiPriority w:val="10"/>
    <w:rsid w:val="003A30EB"/>
    <w:rPr>
      <w:b/>
      <w:sz w:val="56"/>
    </w:rPr>
  </w:style>
  <w:style w:type="character" w:customStyle="1" w:styleId="Heading2Char">
    <w:name w:val="Heading 2 Char"/>
    <w:basedOn w:val="DefaultParagraphFont"/>
    <w:link w:val="Heading2"/>
    <w:uiPriority w:val="9"/>
    <w:semiHidden/>
    <w:rsid w:val="003A30EB"/>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2B00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0088"/>
    <w:rPr>
      <w:rFonts w:ascii="Tahoma" w:hAnsi="Tahoma" w:cs="Tahoma"/>
      <w:sz w:val="16"/>
      <w:szCs w:val="16"/>
    </w:rPr>
  </w:style>
  <w:style w:type="table" w:styleId="TableGrid">
    <w:name w:val="Table Grid"/>
    <w:basedOn w:val="TableNormal"/>
    <w:uiPriority w:val="59"/>
    <w:rsid w:val="00F34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6696F"/>
    <w:rPr>
      <w:color w:val="808080"/>
    </w:rPr>
  </w:style>
  <w:style w:type="paragraph" w:styleId="ListParagraph">
    <w:name w:val="List Paragraph"/>
    <w:basedOn w:val="Normal"/>
    <w:uiPriority w:val="34"/>
    <w:qFormat/>
    <w:rsid w:val="00295B4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30EB"/>
  </w:style>
  <w:style w:type="paragraph" w:styleId="Heading1">
    <w:name w:val="heading 1"/>
    <w:basedOn w:val="Heading2"/>
    <w:next w:val="Normal"/>
    <w:link w:val="Heading1Char"/>
    <w:uiPriority w:val="9"/>
    <w:qFormat/>
    <w:rsid w:val="003A30EB"/>
    <w:pPr>
      <w:keepNext w:val="0"/>
      <w:keepLines w:val="0"/>
      <w:spacing w:before="480" w:after="200"/>
      <w:jc w:val="center"/>
      <w:outlineLvl w:val="0"/>
    </w:pPr>
    <w:rPr>
      <w:rFonts w:asciiTheme="minorHAnsi" w:eastAsiaTheme="minorHAnsi" w:hAnsiTheme="minorHAnsi" w:cstheme="minorBidi"/>
      <w:bCs w:val="0"/>
      <w:i/>
      <w:color w:val="auto"/>
      <w:sz w:val="48"/>
      <w:szCs w:val="22"/>
    </w:rPr>
  </w:style>
  <w:style w:type="paragraph" w:styleId="Heading2">
    <w:name w:val="heading 2"/>
    <w:basedOn w:val="Normal"/>
    <w:next w:val="Normal"/>
    <w:link w:val="Heading2Char"/>
    <w:uiPriority w:val="9"/>
    <w:semiHidden/>
    <w:unhideWhenUsed/>
    <w:qFormat/>
    <w:rsid w:val="003A30E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30EB"/>
    <w:rPr>
      <w:b/>
      <w:i/>
      <w:sz w:val="48"/>
    </w:rPr>
  </w:style>
  <w:style w:type="paragraph" w:styleId="Title">
    <w:name w:val="Title"/>
    <w:basedOn w:val="Heading1"/>
    <w:next w:val="Normal"/>
    <w:link w:val="TitleChar"/>
    <w:uiPriority w:val="10"/>
    <w:qFormat/>
    <w:rsid w:val="003A30EB"/>
    <w:pPr>
      <w:ind w:left="360"/>
    </w:pPr>
    <w:rPr>
      <w:i w:val="0"/>
      <w:sz w:val="56"/>
    </w:rPr>
  </w:style>
  <w:style w:type="character" w:customStyle="1" w:styleId="TitleChar">
    <w:name w:val="Title Char"/>
    <w:basedOn w:val="DefaultParagraphFont"/>
    <w:link w:val="Title"/>
    <w:uiPriority w:val="10"/>
    <w:rsid w:val="003A30EB"/>
    <w:rPr>
      <w:b/>
      <w:sz w:val="56"/>
    </w:rPr>
  </w:style>
  <w:style w:type="character" w:customStyle="1" w:styleId="Heading2Char">
    <w:name w:val="Heading 2 Char"/>
    <w:basedOn w:val="DefaultParagraphFont"/>
    <w:link w:val="Heading2"/>
    <w:uiPriority w:val="9"/>
    <w:semiHidden/>
    <w:rsid w:val="003A30EB"/>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2B00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0088"/>
    <w:rPr>
      <w:rFonts w:ascii="Tahoma" w:hAnsi="Tahoma" w:cs="Tahoma"/>
      <w:sz w:val="16"/>
      <w:szCs w:val="16"/>
    </w:rPr>
  </w:style>
  <w:style w:type="table" w:styleId="TableGrid">
    <w:name w:val="Table Grid"/>
    <w:basedOn w:val="TableNormal"/>
    <w:uiPriority w:val="59"/>
    <w:rsid w:val="00F34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6696F"/>
    <w:rPr>
      <w:color w:val="808080"/>
    </w:rPr>
  </w:style>
  <w:style w:type="paragraph" w:styleId="ListParagraph">
    <w:name w:val="List Paragraph"/>
    <w:basedOn w:val="Normal"/>
    <w:uiPriority w:val="34"/>
    <w:qFormat/>
    <w:rsid w:val="00295B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Pages>
  <Words>615</Words>
  <Characters>3509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Beeton</dc:creator>
  <cp:lastModifiedBy>Beeton</cp:lastModifiedBy>
  <cp:revision>5</cp:revision>
  <dcterms:created xsi:type="dcterms:W3CDTF">2015-06-15T03:30:00Z</dcterms:created>
  <dcterms:modified xsi:type="dcterms:W3CDTF">2015-06-16T00:25:00Z</dcterms:modified>
</cp:coreProperties>
</file>