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68CE8A" w14:textId="128FAFEA" w:rsidR="00EC2E0B" w:rsidRPr="007760DE" w:rsidRDefault="00EC2E0B" w:rsidP="00EC2E0B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Inclusion and Exclusion Criteria</w:t>
      </w:r>
      <w:r w:rsidRPr="007760D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760DE">
        <w:rPr>
          <w:rFonts w:ascii="Times New Roman" w:hAnsi="Times New Roman" w:cs="Times New Roman"/>
          <w:b/>
          <w:sz w:val="24"/>
          <w:szCs w:val="24"/>
        </w:rPr>
        <w:tab/>
      </w:r>
    </w:p>
    <w:p w14:paraId="05C84147" w14:textId="77777777" w:rsidR="00EC2E0B" w:rsidRDefault="00EC2E0B" w:rsidP="00EC2E0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BF5BE41" w14:textId="77777777" w:rsidR="00EC2E0B" w:rsidRDefault="00EC2E0B" w:rsidP="00EC2E0B">
      <w:pPr>
        <w:rPr>
          <w:rFonts w:ascii="Times New Roman" w:hAnsi="Times New Roman" w:cs="Times New Roman"/>
          <w:sz w:val="24"/>
          <w:szCs w:val="24"/>
        </w:rPr>
      </w:pPr>
    </w:p>
    <w:p w14:paraId="2D909BF5" w14:textId="77777777" w:rsidR="00EC2E0B" w:rsidRDefault="00EC2E0B" w:rsidP="00EC2E0B">
      <w:pPr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Inclusion criteria for the study :</w:t>
      </w:r>
    </w:p>
    <w:p w14:paraId="1FBBBF67" w14:textId="77777777" w:rsidR="00EC2E0B" w:rsidRDefault="00EC2E0B" w:rsidP="00EC2E0B">
      <w:pPr>
        <w:rPr>
          <w:rFonts w:ascii="Times New Roman" w:hAnsi="Times New Roman" w:cs="Times New Roman"/>
          <w:sz w:val="24"/>
          <w:szCs w:val="24"/>
        </w:rPr>
      </w:pPr>
    </w:p>
    <w:p w14:paraId="00AA8B25" w14:textId="77777777" w:rsidR="00EC2E0B" w:rsidRDefault="00EC2E0B" w:rsidP="00EC2E0B">
      <w:pPr>
        <w:pStyle w:val="ListParagraph"/>
        <w:numPr>
          <w:ilvl w:val="0"/>
          <w:numId w:val="1"/>
        </w:numPr>
        <w:spacing w:line="360" w:lineRule="auto"/>
      </w:pPr>
      <w:r>
        <w:t xml:space="preserve"> Signed informed consent</w:t>
      </w:r>
    </w:p>
    <w:p w14:paraId="29A8AAD0" w14:textId="77777777" w:rsidR="00EC2E0B" w:rsidRDefault="00EC2E0B" w:rsidP="00EC2E0B">
      <w:pPr>
        <w:pStyle w:val="ListParagraph"/>
        <w:numPr>
          <w:ilvl w:val="0"/>
          <w:numId w:val="1"/>
        </w:numPr>
        <w:spacing w:line="360" w:lineRule="auto"/>
      </w:pPr>
      <w:r>
        <w:t>Males and females of the age ≥ 18 years</w:t>
      </w:r>
    </w:p>
    <w:p w14:paraId="46ADB306" w14:textId="77777777" w:rsidR="00EC2E0B" w:rsidRDefault="00EC2E0B" w:rsidP="00EC2E0B">
      <w:pPr>
        <w:pStyle w:val="ListParagraph"/>
        <w:numPr>
          <w:ilvl w:val="0"/>
          <w:numId w:val="1"/>
        </w:numPr>
        <w:spacing w:line="360" w:lineRule="auto"/>
      </w:pPr>
      <w:r>
        <w:t xml:space="preserve">HIV positive – diagnosed previously or on the current admission with positive ELISA  </w:t>
      </w:r>
    </w:p>
    <w:p w14:paraId="10B9BAC5" w14:textId="77777777" w:rsidR="00EC2E0B" w:rsidRDefault="00EC2E0B" w:rsidP="00EC2E0B">
      <w:pPr>
        <w:pStyle w:val="ListParagraph"/>
        <w:spacing w:line="360" w:lineRule="auto"/>
        <w:ind w:left="338"/>
      </w:pPr>
      <w:r>
        <w:t xml:space="preserve">      serology or viral load </w:t>
      </w:r>
    </w:p>
    <w:p w14:paraId="403EE199" w14:textId="77777777" w:rsidR="00EC2E0B" w:rsidRDefault="00EC2E0B" w:rsidP="00EC2E0B">
      <w:pPr>
        <w:pStyle w:val="ListParagraph"/>
        <w:numPr>
          <w:ilvl w:val="0"/>
          <w:numId w:val="1"/>
        </w:numPr>
        <w:spacing w:line="360" w:lineRule="auto"/>
      </w:pPr>
      <w:r>
        <w:t>No anti-tuberculous treatment administered before admission</w:t>
      </w:r>
    </w:p>
    <w:p w14:paraId="47616FBE" w14:textId="77777777" w:rsidR="00EC2E0B" w:rsidRDefault="00EC2E0B" w:rsidP="00EC2E0B">
      <w:pPr>
        <w:pStyle w:val="ListParagraph"/>
        <w:numPr>
          <w:ilvl w:val="0"/>
          <w:numId w:val="1"/>
        </w:numPr>
        <w:spacing w:line="360" w:lineRule="auto"/>
      </w:pPr>
      <w:r>
        <w:t xml:space="preserve">No antibiotics used in the 4 weeks prior to presentation.  Allowance for the first dose  </w:t>
      </w:r>
    </w:p>
    <w:p w14:paraId="0008989B" w14:textId="77777777" w:rsidR="00EC2E0B" w:rsidRDefault="00EC2E0B" w:rsidP="00EC2E0B">
      <w:pPr>
        <w:pStyle w:val="ListParagraph"/>
        <w:spacing w:line="360" w:lineRule="auto"/>
        <w:ind w:left="338"/>
      </w:pPr>
      <w:r>
        <w:t xml:space="preserve">      of antibiotics in hospital is made to align with the hospital’s policy of early appropriate    </w:t>
      </w:r>
    </w:p>
    <w:p w14:paraId="64D317D9" w14:textId="77777777" w:rsidR="00EC2E0B" w:rsidRDefault="00EC2E0B" w:rsidP="00EC2E0B">
      <w:pPr>
        <w:pStyle w:val="ListParagraph"/>
        <w:spacing w:line="360" w:lineRule="auto"/>
        <w:ind w:left="338"/>
      </w:pPr>
      <w:r>
        <w:t xml:space="preserve">      antibiotic therapy.  Any patient with more than 6 hours between time of administration           </w:t>
      </w:r>
    </w:p>
    <w:p w14:paraId="1146B9C0" w14:textId="77777777" w:rsidR="00EC2E0B" w:rsidRPr="00D87A01" w:rsidRDefault="00EC2E0B" w:rsidP="00EC2E0B">
      <w:pPr>
        <w:pStyle w:val="ListParagraph"/>
        <w:spacing w:line="360" w:lineRule="auto"/>
        <w:ind w:left="338"/>
      </w:pPr>
      <w:r>
        <w:t xml:space="preserve">      of antibiotic and sample collection was excluded.</w:t>
      </w:r>
    </w:p>
    <w:p w14:paraId="6150BAAA" w14:textId="77777777" w:rsidR="00EC2E0B" w:rsidRDefault="00EC2E0B" w:rsidP="00EC2E0B">
      <w:pPr>
        <w:rPr>
          <w:rFonts w:ascii="Times New Roman" w:hAnsi="Times New Roman" w:cs="Times New Roman"/>
          <w:color w:val="000000"/>
          <w:sz w:val="24"/>
          <w:szCs w:val="24"/>
        </w:rPr>
      </w:pPr>
    </w:p>
    <w:p w14:paraId="7115E345" w14:textId="77777777" w:rsidR="00EC2E0B" w:rsidRPr="007760DE" w:rsidRDefault="00EC2E0B" w:rsidP="00EC2E0B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7760DE">
        <w:rPr>
          <w:rFonts w:ascii="Times New Roman" w:hAnsi="Times New Roman" w:cs="Times New Roman"/>
          <w:color w:val="000000"/>
          <w:sz w:val="24"/>
          <w:szCs w:val="24"/>
        </w:rPr>
        <w:t xml:space="preserve">Exclusion criteria </w:t>
      </w:r>
    </w:p>
    <w:p w14:paraId="6FBCD443" w14:textId="77777777" w:rsidR="00EC2E0B" w:rsidRPr="007760DE" w:rsidRDefault="00EC2E0B" w:rsidP="00EC2E0B">
      <w:pPr>
        <w:numPr>
          <w:ilvl w:val="0"/>
          <w:numId w:val="2"/>
        </w:numPr>
        <w:rPr>
          <w:rFonts w:ascii="Times New Roman" w:eastAsia="Batang" w:hAnsi="Times New Roman" w:cs="Times New Roman"/>
          <w:color w:val="000000"/>
          <w:sz w:val="24"/>
          <w:szCs w:val="24"/>
          <w:lang w:eastAsia="ko-KR"/>
        </w:rPr>
      </w:pPr>
      <w:r w:rsidRPr="007760DE">
        <w:rPr>
          <w:rFonts w:ascii="Times New Roman" w:eastAsia="Batang" w:hAnsi="Times New Roman" w:cs="Times New Roman"/>
          <w:color w:val="000000"/>
          <w:sz w:val="24"/>
          <w:szCs w:val="24"/>
          <w:lang w:eastAsia="ko-KR"/>
        </w:rPr>
        <w:t>Pregnancy</w:t>
      </w:r>
    </w:p>
    <w:p w14:paraId="3A27F478" w14:textId="77777777" w:rsidR="00EC2E0B" w:rsidRPr="007760DE" w:rsidRDefault="00EC2E0B" w:rsidP="00EC2E0B">
      <w:pPr>
        <w:numPr>
          <w:ilvl w:val="0"/>
          <w:numId w:val="2"/>
        </w:numPr>
        <w:rPr>
          <w:rFonts w:ascii="Times New Roman" w:eastAsia="Batang" w:hAnsi="Times New Roman" w:cs="Times New Roman"/>
          <w:sz w:val="24"/>
          <w:szCs w:val="24"/>
          <w:lang w:eastAsia="ko-KR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Unstable heart disease in the form of acute coronary syndrome or dysrhythmia</w:t>
      </w:r>
    </w:p>
    <w:p w14:paraId="29DA6940" w14:textId="77777777" w:rsidR="00EC2E0B" w:rsidRPr="007760DE" w:rsidRDefault="00EC2E0B" w:rsidP="00EC2E0B">
      <w:pPr>
        <w:numPr>
          <w:ilvl w:val="0"/>
          <w:numId w:val="2"/>
        </w:numPr>
        <w:rPr>
          <w:rFonts w:ascii="Times New Roman" w:eastAsia="Batang" w:hAnsi="Times New Roman" w:cs="Times New Roman"/>
          <w:sz w:val="24"/>
          <w:szCs w:val="24"/>
          <w:lang w:eastAsia="ko-KR"/>
        </w:rPr>
      </w:pPr>
      <w:r w:rsidRPr="007760DE">
        <w:rPr>
          <w:rFonts w:ascii="Times New Roman" w:eastAsia="Batang" w:hAnsi="Times New Roman" w:cs="Times New Roman"/>
          <w:sz w:val="24"/>
          <w:szCs w:val="24"/>
          <w:lang w:eastAsia="ko-KR"/>
        </w:rPr>
        <w:t>Significant hypoxia with a PaO2/FiO2 ratio of less than 200</w:t>
      </w:r>
    </w:p>
    <w:p w14:paraId="3B0484EE" w14:textId="77777777" w:rsidR="00EC2E0B" w:rsidRPr="007760DE" w:rsidRDefault="00EC2E0B" w:rsidP="00EC2E0B">
      <w:pPr>
        <w:numPr>
          <w:ilvl w:val="0"/>
          <w:numId w:val="2"/>
        </w:numPr>
        <w:rPr>
          <w:rFonts w:ascii="Times New Roman" w:eastAsia="Batang" w:hAnsi="Times New Roman" w:cs="Times New Roman"/>
          <w:sz w:val="24"/>
          <w:szCs w:val="24"/>
          <w:lang w:eastAsia="ko-KR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Use of antibiotics within the 4 weeks prior to presentation</w:t>
      </w:r>
    </w:p>
    <w:p w14:paraId="376C7FA5" w14:textId="77777777" w:rsidR="00EC2E0B" w:rsidRPr="00B21DC7" w:rsidRDefault="00EC2E0B" w:rsidP="00EC2E0B">
      <w:pPr>
        <w:numPr>
          <w:ilvl w:val="0"/>
          <w:numId w:val="2"/>
        </w:numPr>
        <w:rPr>
          <w:rFonts w:ascii="Times New Roman" w:eastAsia="Batang" w:hAnsi="Times New Roman" w:cs="Times New Roman"/>
          <w:sz w:val="24"/>
          <w:szCs w:val="24"/>
          <w:lang w:eastAsia="ko-KR"/>
        </w:rPr>
      </w:pPr>
      <w:r w:rsidRPr="00B21DC7">
        <w:rPr>
          <w:rFonts w:ascii="Times New Roman" w:eastAsia="Batang" w:hAnsi="Times New Roman" w:cs="Times New Roman"/>
          <w:sz w:val="24"/>
          <w:szCs w:val="24"/>
          <w:lang w:eastAsia="ko-KR"/>
        </w:rPr>
        <w:t>Known chronic lung disease in the form of cystic fibrosis, bronchiectasis, chronic obstructive airways disease or asthma.</w:t>
      </w:r>
    </w:p>
    <w:p w14:paraId="5869A6F8" w14:textId="77777777" w:rsidR="00EC2E0B" w:rsidRPr="00B21DC7" w:rsidRDefault="00EC2E0B" w:rsidP="00EC2E0B">
      <w:pPr>
        <w:numPr>
          <w:ilvl w:val="0"/>
          <w:numId w:val="2"/>
        </w:numPr>
        <w:rPr>
          <w:rFonts w:ascii="Times New Roman" w:eastAsia="Batang" w:hAnsi="Times New Roman" w:cs="Times New Roman"/>
          <w:sz w:val="24"/>
          <w:szCs w:val="24"/>
          <w:lang w:eastAsia="ko-KR"/>
        </w:rPr>
      </w:pPr>
      <w:r w:rsidRPr="00B21DC7">
        <w:rPr>
          <w:rFonts w:ascii="Times New Roman" w:eastAsia="Batang" w:hAnsi="Times New Roman" w:cs="Times New Roman"/>
          <w:sz w:val="24"/>
          <w:szCs w:val="24"/>
          <w:lang w:eastAsia="ko-KR"/>
        </w:rPr>
        <w:t>Bleeding diathesis or laboratory evidence of possible hypocoagulability, with platelet count less than 150 000/µL or international normalized ration &gt;1.5 or thromboelastographic evidence of hypocoagulability.</w:t>
      </w:r>
    </w:p>
    <w:p w14:paraId="6837639D" w14:textId="77777777" w:rsidR="00EC2E0B" w:rsidRPr="0005284C" w:rsidRDefault="00EC2E0B" w:rsidP="00EC2E0B">
      <w:pPr>
        <w:pStyle w:val="ListParagraph"/>
        <w:spacing w:line="360" w:lineRule="auto"/>
        <w:ind w:left="0"/>
        <w:rPr>
          <w:b/>
          <w:u w:val="single"/>
        </w:rPr>
      </w:pPr>
    </w:p>
    <w:p w14:paraId="27BAE8BD" w14:textId="77777777" w:rsidR="00EC2E0B" w:rsidRDefault="00EC2E0B"/>
    <w:sectPr w:rsidR="00EC2E0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52375A"/>
    <w:multiLevelType w:val="hybridMultilevel"/>
    <w:tmpl w:val="5CCECF9A"/>
    <w:lvl w:ilvl="0" w:tplc="D868C15E">
      <w:start w:val="1"/>
      <w:numFmt w:val="decimal"/>
      <w:lvlText w:val="%1."/>
      <w:lvlJc w:val="left"/>
      <w:pPr>
        <w:ind w:left="338" w:hanging="111"/>
      </w:pPr>
      <w:rPr>
        <w:rFonts w:ascii="Times New Roman" w:eastAsiaTheme="minorHAnsi" w:hAnsi="Times New Roman" w:cs="Times New Roman"/>
      </w:rPr>
    </w:lvl>
    <w:lvl w:ilvl="1" w:tplc="1C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363558FD"/>
    <w:multiLevelType w:val="hybridMultilevel"/>
    <w:tmpl w:val="6526D618"/>
    <w:lvl w:ilvl="0" w:tplc="7A3012D8">
      <w:start w:val="1"/>
      <w:numFmt w:val="decimal"/>
      <w:lvlText w:val="%1."/>
      <w:lvlJc w:val="left"/>
      <w:pPr>
        <w:ind w:left="720" w:hanging="436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E0B"/>
    <w:rsid w:val="00EC2E0B"/>
    <w:rsid w:val="00F9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7AE9D55"/>
  <w15:chartTrackingRefBased/>
  <w15:docId w15:val="{8A80C640-0FA7-43D1-9E7C-A332849EE0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2E0B"/>
    <w:pPr>
      <w:spacing w:after="0" w:line="360" w:lineRule="auto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EC2E0B"/>
    <w:pPr>
      <w:spacing w:line="240" w:lineRule="auto"/>
      <w:ind w:left="720"/>
    </w:pPr>
    <w:rPr>
      <w:rFonts w:ascii="Times New Roman" w:eastAsia="Batang" w:hAnsi="Times New Roman" w:cs="Times New Roman"/>
      <w:sz w:val="24"/>
      <w:szCs w:val="24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1044</Characters>
  <Application>Microsoft Office Word</Application>
  <DocSecurity>0</DocSecurity>
  <Lines>8</Lines>
  <Paragraphs>2</Paragraphs>
  <ScaleCrop>false</ScaleCrop>
  <Company/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Veronica Ueckermann</dc:creator>
  <cp:keywords/>
  <dc:description/>
  <cp:lastModifiedBy>Veronica Ueckermann</cp:lastModifiedBy>
  <cp:revision>2</cp:revision>
  <dcterms:created xsi:type="dcterms:W3CDTF">2022-03-23T02:47:00Z</dcterms:created>
  <dcterms:modified xsi:type="dcterms:W3CDTF">2022-03-23T02:47:00Z</dcterms:modified>
</cp:coreProperties>
</file>