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3E8CAC" w14:textId="77777777" w:rsidR="005242CA" w:rsidRDefault="00684FFE" w:rsidP="00F41ED3">
      <w:pPr>
        <w:rPr>
          <w:rFonts w:ascii="Calibri" w:hAnsi="Calibri" w:cs="Calibri"/>
        </w:rPr>
      </w:pPr>
      <w:bookmarkStart w:id="0" w:name="_GoBack"/>
      <w:bookmarkEnd w:id="0"/>
      <w:r w:rsidRPr="00684FFE">
        <w:rPr>
          <w:rStyle w:val="Heading2Char"/>
          <w:rFonts w:ascii="Calibri" w:hAnsi="Calibri" w:cs="Calibri"/>
          <w:color w:val="auto"/>
          <w:kern w:val="2"/>
          <w:sz w:val="22"/>
          <w:szCs w:val="22"/>
          <w14:ligatures w14:val="standardContextual"/>
        </w:rPr>
        <w:t>Supporting information to the paper</w:t>
      </w:r>
      <w:r>
        <w:rPr>
          <w:rStyle w:val="Heading2Char"/>
          <w:rFonts w:ascii="Calibri" w:hAnsi="Calibri" w:cs="Calibri"/>
          <w:color w:val="auto"/>
          <w:kern w:val="2"/>
          <w:sz w:val="22"/>
          <w:szCs w:val="22"/>
          <w14:ligatures w14:val="standardContextual"/>
        </w:rPr>
        <w:t xml:space="preserve"> </w:t>
      </w:r>
    </w:p>
    <w:p w14:paraId="6443B526" w14:textId="543567BF" w:rsidR="00F41ED3" w:rsidRPr="005242CA" w:rsidRDefault="00E45A6A" w:rsidP="00F41ED3">
      <w:pPr>
        <w:rPr>
          <w:rFonts w:ascii="Calibri" w:hAnsi="Calibri" w:cs="Calibri"/>
          <w:i/>
          <w:iCs/>
        </w:rPr>
      </w:pPr>
      <w:r>
        <w:rPr>
          <w:rFonts w:ascii="Calibri" w:hAnsi="Calibri" w:cs="Calibri"/>
        </w:rPr>
        <w:t>van der Merwe</w:t>
      </w:r>
      <w:r w:rsidR="005242CA" w:rsidRPr="00004269">
        <w:rPr>
          <w:rFonts w:ascii="Calibri" w:hAnsi="Calibri" w:cs="Calibri"/>
        </w:rPr>
        <w:t xml:space="preserve"> et al. </w:t>
      </w:r>
      <w:r w:rsidR="00F41ED3" w:rsidRPr="00F41ED3">
        <w:rPr>
          <w:rFonts w:ascii="Calibri" w:hAnsi="Calibri" w:cs="Calibri"/>
        </w:rPr>
        <w:t>Repeat photography reveals long-term climate change impacts on sub-Antarctic tundra vegetation</w:t>
      </w:r>
      <w:r w:rsidR="005242CA">
        <w:rPr>
          <w:rFonts w:ascii="Calibri" w:hAnsi="Calibri" w:cs="Calibri"/>
        </w:rPr>
        <w:t>.</w:t>
      </w:r>
      <w:r w:rsidR="00F41ED3">
        <w:rPr>
          <w:rFonts w:ascii="Calibri" w:hAnsi="Calibri" w:cs="Calibri"/>
        </w:rPr>
        <w:t xml:space="preserve"> </w:t>
      </w:r>
      <w:r w:rsidR="005242CA">
        <w:rPr>
          <w:rFonts w:ascii="Calibri" w:hAnsi="Calibri" w:cs="Calibri"/>
          <w:i/>
          <w:iCs/>
        </w:rPr>
        <w:t>Journal of Vegetation Science.</w:t>
      </w:r>
    </w:p>
    <w:p w14:paraId="22247CB0" w14:textId="232A92ED" w:rsidR="00F41ED3" w:rsidRPr="00F41ED3" w:rsidRDefault="00004269" w:rsidP="00F41ED3">
      <w:pPr>
        <w:jc w:val="both"/>
        <w:rPr>
          <w:rFonts w:ascii="Calibri" w:hAnsi="Calibri" w:cs="Calibri"/>
          <w:sz w:val="20"/>
          <w:szCs w:val="20"/>
        </w:rPr>
      </w:pPr>
      <w:r>
        <w:rPr>
          <w:rFonts w:ascii="Calibri" w:hAnsi="Calibri" w:cs="Calibri"/>
          <w:sz w:val="20"/>
          <w:szCs w:val="20"/>
        </w:rPr>
        <w:t>Appendix</w:t>
      </w:r>
      <w:r w:rsidR="00F41ED3" w:rsidRPr="00F41ED3">
        <w:rPr>
          <w:rFonts w:ascii="Calibri" w:hAnsi="Calibri" w:cs="Calibri"/>
          <w:sz w:val="20"/>
          <w:szCs w:val="20"/>
        </w:rPr>
        <w:t xml:space="preserve"> S1. Description of habitat complexes and their key plant characteristics. “Prominent species” include only one or two vascular species with distinct traits, such as colour or growth form, and which were used for the identification of habitats in the photographs. The information in the table has been adapted from Smith &amp; Steenkamp (2001) and Smith &amp; Mucina (2006). </w:t>
      </w:r>
    </w:p>
    <w:tbl>
      <w:tblPr>
        <w:tblW w:w="9781" w:type="dxa"/>
        <w:tblInd w:w="-426" w:type="dxa"/>
        <w:tblLook w:val="04A0" w:firstRow="1" w:lastRow="0" w:firstColumn="1" w:lastColumn="0" w:noHBand="0" w:noVBand="1"/>
      </w:tblPr>
      <w:tblGrid>
        <w:gridCol w:w="1701"/>
        <w:gridCol w:w="1985"/>
        <w:gridCol w:w="2977"/>
        <w:gridCol w:w="3118"/>
      </w:tblGrid>
      <w:tr w:rsidR="00F41ED3" w:rsidRPr="00F41ED3" w14:paraId="1139571F" w14:textId="77777777" w:rsidTr="00A47591">
        <w:trPr>
          <w:trHeight w:val="342"/>
        </w:trPr>
        <w:tc>
          <w:tcPr>
            <w:tcW w:w="1701" w:type="dxa"/>
            <w:tcBorders>
              <w:top w:val="single" w:sz="4" w:space="0" w:color="auto"/>
              <w:left w:val="nil"/>
              <w:bottom w:val="single" w:sz="4" w:space="0" w:color="auto"/>
              <w:right w:val="nil"/>
            </w:tcBorders>
            <w:shd w:val="clear" w:color="auto" w:fill="auto"/>
            <w:noWrap/>
            <w:hideMark/>
          </w:tcPr>
          <w:p w14:paraId="6CD0404E"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Habitat complex</w:t>
            </w:r>
          </w:p>
        </w:tc>
        <w:tc>
          <w:tcPr>
            <w:tcW w:w="1985" w:type="dxa"/>
            <w:tcBorders>
              <w:top w:val="single" w:sz="4" w:space="0" w:color="auto"/>
              <w:left w:val="nil"/>
              <w:bottom w:val="single" w:sz="4" w:space="0" w:color="auto"/>
              <w:right w:val="nil"/>
            </w:tcBorders>
            <w:shd w:val="clear" w:color="auto" w:fill="auto"/>
            <w:noWrap/>
            <w:hideMark/>
          </w:tcPr>
          <w:p w14:paraId="0C3FDE69"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Dominant plant  guild/s</w:t>
            </w:r>
          </w:p>
        </w:tc>
        <w:tc>
          <w:tcPr>
            <w:tcW w:w="2977" w:type="dxa"/>
            <w:tcBorders>
              <w:top w:val="single" w:sz="4" w:space="0" w:color="auto"/>
              <w:left w:val="nil"/>
              <w:bottom w:val="single" w:sz="4" w:space="0" w:color="auto"/>
              <w:right w:val="nil"/>
            </w:tcBorders>
            <w:shd w:val="clear" w:color="auto" w:fill="auto"/>
            <w:noWrap/>
            <w:hideMark/>
          </w:tcPr>
          <w:p w14:paraId="09440F2E"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Prominent species</w:t>
            </w:r>
          </w:p>
        </w:tc>
        <w:tc>
          <w:tcPr>
            <w:tcW w:w="3118" w:type="dxa"/>
            <w:tcBorders>
              <w:top w:val="single" w:sz="4" w:space="0" w:color="auto"/>
              <w:left w:val="nil"/>
              <w:bottom w:val="single" w:sz="4" w:space="0" w:color="auto"/>
              <w:right w:val="nil"/>
            </w:tcBorders>
            <w:shd w:val="clear" w:color="auto" w:fill="auto"/>
            <w:noWrap/>
            <w:hideMark/>
          </w:tcPr>
          <w:p w14:paraId="1307118F"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Notes on identifying habitats in photographs</w:t>
            </w:r>
          </w:p>
        </w:tc>
      </w:tr>
      <w:tr w:rsidR="00F41ED3" w:rsidRPr="00F41ED3" w14:paraId="2E6DED10" w14:textId="77777777" w:rsidTr="00A47591">
        <w:trPr>
          <w:trHeight w:val="342"/>
        </w:trPr>
        <w:tc>
          <w:tcPr>
            <w:tcW w:w="1701" w:type="dxa"/>
            <w:tcBorders>
              <w:top w:val="single" w:sz="4" w:space="0" w:color="auto"/>
              <w:left w:val="nil"/>
              <w:bottom w:val="nil"/>
              <w:right w:val="nil"/>
            </w:tcBorders>
            <w:shd w:val="clear" w:color="auto" w:fill="auto"/>
            <w:noWrap/>
          </w:tcPr>
          <w:p w14:paraId="5FCFEE44"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Fellfield</w:t>
            </w:r>
          </w:p>
        </w:tc>
        <w:tc>
          <w:tcPr>
            <w:tcW w:w="1985" w:type="dxa"/>
            <w:tcBorders>
              <w:top w:val="single" w:sz="4" w:space="0" w:color="auto"/>
              <w:left w:val="nil"/>
              <w:bottom w:val="nil"/>
              <w:right w:val="nil"/>
            </w:tcBorders>
            <w:shd w:val="clear" w:color="auto" w:fill="auto"/>
            <w:noWrap/>
          </w:tcPr>
          <w:p w14:paraId="46F494C6"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Cushion dicot and epiphytic graminoid</w:t>
            </w:r>
          </w:p>
        </w:tc>
        <w:tc>
          <w:tcPr>
            <w:tcW w:w="2977" w:type="dxa"/>
            <w:tcBorders>
              <w:top w:val="single" w:sz="4" w:space="0" w:color="auto"/>
              <w:left w:val="nil"/>
              <w:bottom w:val="nil"/>
              <w:right w:val="nil"/>
            </w:tcBorders>
            <w:shd w:val="clear" w:color="auto" w:fill="auto"/>
            <w:noWrap/>
          </w:tcPr>
          <w:p w14:paraId="2FFC4340"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Azorella selago, Polypogon magellanicus</w:t>
            </w:r>
          </w:p>
        </w:tc>
        <w:tc>
          <w:tcPr>
            <w:tcW w:w="3118" w:type="dxa"/>
            <w:tcBorders>
              <w:top w:val="single" w:sz="4" w:space="0" w:color="auto"/>
              <w:left w:val="nil"/>
              <w:bottom w:val="nil"/>
              <w:right w:val="nil"/>
            </w:tcBorders>
            <w:shd w:val="clear" w:color="auto" w:fill="auto"/>
            <w:noWrap/>
          </w:tcPr>
          <w:p w14:paraId="7BACC77C"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The cushion growth form, with low abundance of other growth forms, is the identifying character for fellfield.</w:t>
            </w:r>
          </w:p>
        </w:tc>
      </w:tr>
      <w:tr w:rsidR="00F41ED3" w:rsidRPr="00F41ED3" w14:paraId="1ED3EFFF" w14:textId="77777777" w:rsidTr="00A47591">
        <w:trPr>
          <w:trHeight w:val="342"/>
        </w:trPr>
        <w:tc>
          <w:tcPr>
            <w:tcW w:w="1701" w:type="dxa"/>
            <w:tcBorders>
              <w:top w:val="nil"/>
              <w:left w:val="nil"/>
              <w:bottom w:val="nil"/>
              <w:right w:val="nil"/>
            </w:tcBorders>
            <w:shd w:val="clear" w:color="auto" w:fill="auto"/>
            <w:noWrap/>
          </w:tcPr>
          <w:p w14:paraId="4A2C52F5"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Slope</w:t>
            </w:r>
          </w:p>
        </w:tc>
        <w:tc>
          <w:tcPr>
            <w:tcW w:w="1985" w:type="dxa"/>
            <w:tcBorders>
              <w:top w:val="nil"/>
              <w:left w:val="nil"/>
              <w:bottom w:val="nil"/>
              <w:right w:val="nil"/>
            </w:tcBorders>
            <w:shd w:val="clear" w:color="auto" w:fill="auto"/>
            <w:noWrap/>
          </w:tcPr>
          <w:p w14:paraId="21775A2C" w14:textId="355BE5D1"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 xml:space="preserve">Pteridophyte or </w:t>
            </w:r>
            <w:r w:rsidR="004847E8">
              <w:rPr>
                <w:rFonts w:ascii="Calibri" w:eastAsia="Times New Roman" w:hAnsi="Calibri" w:cs="Calibri"/>
                <w:color w:val="000000"/>
                <w:sz w:val="20"/>
                <w:szCs w:val="20"/>
                <w:lang w:eastAsia="en-ZA"/>
              </w:rPr>
              <w:t>s</w:t>
            </w:r>
            <w:r w:rsidR="004847E8" w:rsidRPr="004847E8">
              <w:rPr>
                <w:rFonts w:ascii="Calibri" w:eastAsia="Times New Roman" w:hAnsi="Calibri" w:cs="Calibri"/>
                <w:color w:val="000000"/>
                <w:sz w:val="20"/>
                <w:szCs w:val="20"/>
                <w:lang w:eastAsia="en-ZA"/>
              </w:rPr>
              <w:t xml:space="preserve">uffrutescent </w:t>
            </w:r>
            <w:r w:rsidR="004847E8">
              <w:rPr>
                <w:rFonts w:ascii="Calibri" w:eastAsia="Times New Roman" w:hAnsi="Calibri" w:cs="Calibri"/>
                <w:color w:val="000000"/>
                <w:sz w:val="20"/>
                <w:szCs w:val="20"/>
                <w:lang w:eastAsia="en-ZA"/>
              </w:rPr>
              <w:t>herb</w:t>
            </w:r>
          </w:p>
        </w:tc>
        <w:tc>
          <w:tcPr>
            <w:tcW w:w="2977" w:type="dxa"/>
            <w:tcBorders>
              <w:top w:val="nil"/>
              <w:left w:val="nil"/>
              <w:bottom w:val="nil"/>
              <w:right w:val="nil"/>
            </w:tcBorders>
            <w:shd w:val="clear" w:color="auto" w:fill="auto"/>
            <w:noWrap/>
          </w:tcPr>
          <w:p w14:paraId="7ACB034D"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val="it-IT" w:eastAsia="en-ZA"/>
              </w:rPr>
            </w:pPr>
            <w:r w:rsidRPr="00F41ED3">
              <w:rPr>
                <w:rFonts w:ascii="Calibri" w:eastAsia="Times New Roman" w:hAnsi="Calibri" w:cs="Calibri"/>
                <w:i/>
                <w:iCs/>
                <w:color w:val="000000"/>
                <w:sz w:val="20"/>
                <w:szCs w:val="20"/>
                <w:lang w:val="it-IT" w:eastAsia="en-ZA"/>
              </w:rPr>
              <w:t>Austroblechnum penna-marina, Acaena magellanica</w:t>
            </w:r>
          </w:p>
        </w:tc>
        <w:tc>
          <w:tcPr>
            <w:tcW w:w="3118" w:type="dxa"/>
            <w:tcBorders>
              <w:top w:val="nil"/>
              <w:left w:val="nil"/>
              <w:bottom w:val="nil"/>
              <w:right w:val="nil"/>
            </w:tcBorders>
            <w:shd w:val="clear" w:color="auto" w:fill="auto"/>
            <w:noWrap/>
          </w:tcPr>
          <w:p w14:paraId="594A9F73" w14:textId="735213C5"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A. penna-marina </w:t>
            </w:r>
            <w:r w:rsidRPr="00F41ED3">
              <w:rPr>
                <w:rFonts w:ascii="Calibri" w:eastAsia="Times New Roman" w:hAnsi="Calibri" w:cs="Calibri"/>
                <w:color w:val="000000"/>
                <w:sz w:val="20"/>
                <w:szCs w:val="20"/>
                <w:lang w:eastAsia="en-ZA"/>
              </w:rPr>
              <w:t xml:space="preserve">dominates most slopes in photographs. </w:t>
            </w:r>
            <w:r w:rsidRPr="00F41ED3">
              <w:rPr>
                <w:rFonts w:ascii="Calibri" w:eastAsia="Times New Roman" w:hAnsi="Calibri" w:cs="Calibri"/>
                <w:i/>
                <w:iCs/>
                <w:color w:val="000000"/>
                <w:sz w:val="20"/>
                <w:szCs w:val="20"/>
                <w:lang w:eastAsia="en-ZA"/>
              </w:rPr>
              <w:t xml:space="preserve">A. penna-marina </w:t>
            </w:r>
            <w:r w:rsidRPr="00F41ED3">
              <w:rPr>
                <w:rFonts w:ascii="Calibri" w:eastAsia="Times New Roman" w:hAnsi="Calibri" w:cs="Calibri"/>
                <w:color w:val="000000"/>
                <w:sz w:val="20"/>
                <w:szCs w:val="20"/>
                <w:lang w:eastAsia="en-ZA"/>
              </w:rPr>
              <w:t xml:space="preserve">slopes have a conspicuous dark green colour in summer and dark brown in winter, which stands in stark contrast to the yellow brown mires which usually surround slopes. </w:t>
            </w:r>
            <w:r w:rsidRPr="00F41ED3">
              <w:rPr>
                <w:rFonts w:ascii="Calibri" w:eastAsia="Times New Roman" w:hAnsi="Calibri" w:cs="Calibri"/>
                <w:i/>
                <w:iCs/>
                <w:color w:val="000000"/>
                <w:sz w:val="20"/>
                <w:szCs w:val="20"/>
                <w:lang w:eastAsia="en-ZA"/>
              </w:rPr>
              <w:t xml:space="preserve">A. magellanica </w:t>
            </w:r>
            <w:r w:rsidRPr="00F41ED3">
              <w:rPr>
                <w:rFonts w:ascii="Calibri" w:eastAsia="Times New Roman" w:hAnsi="Calibri" w:cs="Calibri"/>
                <w:color w:val="000000"/>
                <w:sz w:val="20"/>
                <w:szCs w:val="20"/>
                <w:lang w:eastAsia="en-ZA"/>
              </w:rPr>
              <w:t xml:space="preserve">is the only </w:t>
            </w:r>
            <w:r w:rsidR="00320752">
              <w:rPr>
                <w:rFonts w:ascii="Calibri" w:eastAsia="Times New Roman" w:hAnsi="Calibri" w:cs="Calibri"/>
                <w:color w:val="000000"/>
                <w:sz w:val="20"/>
                <w:szCs w:val="20"/>
                <w:lang w:eastAsia="en-ZA"/>
              </w:rPr>
              <w:t>suffrutescent herb</w:t>
            </w:r>
            <w:r w:rsidRPr="00F41ED3">
              <w:rPr>
                <w:rFonts w:ascii="Calibri" w:eastAsia="Times New Roman" w:hAnsi="Calibri" w:cs="Calibri"/>
                <w:color w:val="000000"/>
                <w:sz w:val="20"/>
                <w:szCs w:val="20"/>
                <w:lang w:eastAsia="en-ZA"/>
              </w:rPr>
              <w:t xml:space="preserve"> species, and thus may not be as conspicuous in photographs.</w:t>
            </w:r>
          </w:p>
        </w:tc>
      </w:tr>
      <w:tr w:rsidR="00F41ED3" w:rsidRPr="00F41ED3" w14:paraId="10951217" w14:textId="77777777" w:rsidTr="00A47591">
        <w:trPr>
          <w:trHeight w:val="342"/>
        </w:trPr>
        <w:tc>
          <w:tcPr>
            <w:tcW w:w="1701" w:type="dxa"/>
            <w:tcBorders>
              <w:top w:val="nil"/>
              <w:left w:val="nil"/>
              <w:bottom w:val="nil"/>
              <w:right w:val="nil"/>
            </w:tcBorders>
            <w:shd w:val="clear" w:color="auto" w:fill="auto"/>
            <w:noWrap/>
          </w:tcPr>
          <w:p w14:paraId="43AACEB9"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Mire</w:t>
            </w:r>
          </w:p>
        </w:tc>
        <w:tc>
          <w:tcPr>
            <w:tcW w:w="1985" w:type="dxa"/>
            <w:tcBorders>
              <w:top w:val="nil"/>
              <w:left w:val="nil"/>
              <w:bottom w:val="nil"/>
              <w:right w:val="nil"/>
            </w:tcBorders>
            <w:shd w:val="clear" w:color="auto" w:fill="auto"/>
            <w:noWrap/>
          </w:tcPr>
          <w:p w14:paraId="0AC954D2"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Mire graminoid and bryophyte</w:t>
            </w:r>
          </w:p>
        </w:tc>
        <w:tc>
          <w:tcPr>
            <w:tcW w:w="2977" w:type="dxa"/>
            <w:tcBorders>
              <w:top w:val="nil"/>
              <w:left w:val="nil"/>
              <w:bottom w:val="nil"/>
              <w:right w:val="nil"/>
            </w:tcBorders>
            <w:shd w:val="clear" w:color="auto" w:fill="auto"/>
            <w:noWrap/>
          </w:tcPr>
          <w:p w14:paraId="68C7A5F2"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Polypogon magellanicus, Juncus scheuchzerioides, Carex</w:t>
            </w:r>
            <w:r w:rsidRPr="00F41ED3">
              <w:rPr>
                <w:rFonts w:ascii="Calibri" w:eastAsia="Times New Roman" w:hAnsi="Calibri" w:cs="Calibri"/>
                <w:color w:val="000000"/>
                <w:sz w:val="20"/>
                <w:szCs w:val="20"/>
                <w:lang w:eastAsia="en-ZA"/>
              </w:rPr>
              <w:t xml:space="preserve"> </w:t>
            </w:r>
            <w:r w:rsidRPr="00F41ED3">
              <w:rPr>
                <w:rFonts w:ascii="Calibri" w:eastAsia="Times New Roman" w:hAnsi="Calibri" w:cs="Calibri"/>
                <w:i/>
                <w:iCs/>
                <w:color w:val="000000"/>
                <w:sz w:val="20"/>
                <w:szCs w:val="20"/>
                <w:lang w:eastAsia="en-ZA"/>
              </w:rPr>
              <w:t>dikei</w:t>
            </w:r>
          </w:p>
        </w:tc>
        <w:tc>
          <w:tcPr>
            <w:tcW w:w="3118" w:type="dxa"/>
            <w:tcBorders>
              <w:top w:val="nil"/>
              <w:left w:val="nil"/>
              <w:bottom w:val="nil"/>
              <w:right w:val="nil"/>
            </w:tcBorders>
            <w:shd w:val="clear" w:color="auto" w:fill="auto"/>
            <w:noWrap/>
          </w:tcPr>
          <w:p w14:paraId="4E3634D1"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Mire vegetation occurs in two layers, with yellow (</w:t>
            </w:r>
            <w:r w:rsidRPr="00F41ED3">
              <w:rPr>
                <w:rFonts w:ascii="Calibri" w:eastAsia="Times New Roman" w:hAnsi="Calibri" w:cs="Calibri"/>
                <w:i/>
                <w:iCs/>
                <w:color w:val="000000"/>
                <w:sz w:val="20"/>
                <w:szCs w:val="20"/>
                <w:lang w:eastAsia="en-ZA"/>
              </w:rPr>
              <w:t>P. magellanicus</w:t>
            </w:r>
            <w:r w:rsidRPr="00F41ED3">
              <w:rPr>
                <w:rFonts w:ascii="Calibri" w:eastAsia="Times New Roman" w:hAnsi="Calibri" w:cs="Calibri"/>
                <w:color w:val="000000"/>
                <w:sz w:val="20"/>
                <w:szCs w:val="20"/>
                <w:lang w:eastAsia="en-ZA"/>
              </w:rPr>
              <w:t>) and reddish brown graminoids being the only visible layer in photographs.</w:t>
            </w:r>
          </w:p>
        </w:tc>
      </w:tr>
      <w:tr w:rsidR="00F41ED3" w:rsidRPr="00F41ED3" w14:paraId="6E89978E" w14:textId="77777777" w:rsidTr="00A47591">
        <w:trPr>
          <w:trHeight w:val="342"/>
        </w:trPr>
        <w:tc>
          <w:tcPr>
            <w:tcW w:w="1701" w:type="dxa"/>
            <w:tcBorders>
              <w:top w:val="nil"/>
              <w:left w:val="nil"/>
              <w:right w:val="nil"/>
            </w:tcBorders>
            <w:shd w:val="clear" w:color="auto" w:fill="auto"/>
            <w:noWrap/>
          </w:tcPr>
          <w:p w14:paraId="41E3BFDE"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Coastal saltspray</w:t>
            </w:r>
          </w:p>
        </w:tc>
        <w:tc>
          <w:tcPr>
            <w:tcW w:w="1985" w:type="dxa"/>
            <w:tcBorders>
              <w:top w:val="nil"/>
              <w:left w:val="nil"/>
              <w:right w:val="nil"/>
            </w:tcBorders>
            <w:shd w:val="clear" w:color="auto" w:fill="auto"/>
            <w:noWrap/>
          </w:tcPr>
          <w:p w14:paraId="59447460"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Erect dicot</w:t>
            </w:r>
          </w:p>
        </w:tc>
        <w:tc>
          <w:tcPr>
            <w:tcW w:w="2977" w:type="dxa"/>
            <w:tcBorders>
              <w:top w:val="nil"/>
              <w:left w:val="nil"/>
              <w:right w:val="nil"/>
            </w:tcBorders>
            <w:shd w:val="clear" w:color="auto" w:fill="auto"/>
            <w:noWrap/>
          </w:tcPr>
          <w:p w14:paraId="323160B7"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Crassula moschata</w:t>
            </w:r>
          </w:p>
        </w:tc>
        <w:tc>
          <w:tcPr>
            <w:tcW w:w="3118" w:type="dxa"/>
            <w:tcBorders>
              <w:top w:val="nil"/>
              <w:left w:val="nil"/>
              <w:right w:val="nil"/>
            </w:tcBorders>
            <w:shd w:val="clear" w:color="auto" w:fill="auto"/>
            <w:noWrap/>
          </w:tcPr>
          <w:p w14:paraId="2B581E27"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 xml:space="preserve">This is the only habitat where the small, succulent herb, </w:t>
            </w:r>
            <w:r w:rsidRPr="00F41ED3">
              <w:rPr>
                <w:rFonts w:ascii="Calibri" w:eastAsia="Times New Roman" w:hAnsi="Calibri" w:cs="Calibri"/>
                <w:i/>
                <w:iCs/>
                <w:color w:val="000000"/>
                <w:sz w:val="20"/>
                <w:szCs w:val="20"/>
                <w:lang w:eastAsia="en-ZA"/>
              </w:rPr>
              <w:t xml:space="preserve">C. moschata </w:t>
            </w:r>
            <w:r w:rsidRPr="00F41ED3">
              <w:rPr>
                <w:rFonts w:ascii="Calibri" w:eastAsia="Times New Roman" w:hAnsi="Calibri" w:cs="Calibri"/>
                <w:color w:val="000000"/>
                <w:sz w:val="20"/>
                <w:szCs w:val="20"/>
                <w:lang w:eastAsia="en-ZA"/>
              </w:rPr>
              <w:t>cover exceeds 1% and is conspicuously red/orange in many areas, although may also be green.</w:t>
            </w:r>
          </w:p>
        </w:tc>
      </w:tr>
      <w:tr w:rsidR="00F41ED3" w:rsidRPr="00F41ED3" w14:paraId="5F55956A" w14:textId="77777777" w:rsidTr="00A47591">
        <w:trPr>
          <w:trHeight w:val="342"/>
        </w:trPr>
        <w:tc>
          <w:tcPr>
            <w:tcW w:w="1701" w:type="dxa"/>
            <w:tcBorders>
              <w:top w:val="nil"/>
              <w:left w:val="nil"/>
              <w:bottom w:val="single" w:sz="4" w:space="0" w:color="auto"/>
              <w:right w:val="nil"/>
            </w:tcBorders>
            <w:shd w:val="clear" w:color="auto" w:fill="auto"/>
            <w:noWrap/>
          </w:tcPr>
          <w:p w14:paraId="2F88172D"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Biotic</w:t>
            </w:r>
          </w:p>
        </w:tc>
        <w:tc>
          <w:tcPr>
            <w:tcW w:w="1985" w:type="dxa"/>
            <w:tcBorders>
              <w:top w:val="nil"/>
              <w:left w:val="nil"/>
              <w:bottom w:val="single" w:sz="4" w:space="0" w:color="auto"/>
              <w:right w:val="nil"/>
            </w:tcBorders>
            <w:shd w:val="clear" w:color="auto" w:fill="auto"/>
            <w:noWrap/>
          </w:tcPr>
          <w:p w14:paraId="12EDE51A"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Tussock graminoid, rosette dicot, mat dicot</w:t>
            </w:r>
          </w:p>
        </w:tc>
        <w:tc>
          <w:tcPr>
            <w:tcW w:w="2977" w:type="dxa"/>
            <w:tcBorders>
              <w:top w:val="nil"/>
              <w:left w:val="nil"/>
              <w:bottom w:val="single" w:sz="4" w:space="0" w:color="auto"/>
              <w:right w:val="nil"/>
            </w:tcBorders>
            <w:shd w:val="clear" w:color="auto" w:fill="auto"/>
            <w:noWrap/>
          </w:tcPr>
          <w:p w14:paraId="4B7AE26C"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val="it-IT" w:eastAsia="en-ZA"/>
              </w:rPr>
            </w:pPr>
            <w:r w:rsidRPr="00F41ED3">
              <w:rPr>
                <w:rFonts w:ascii="Calibri" w:eastAsia="Times New Roman" w:hAnsi="Calibri" w:cs="Calibri"/>
                <w:i/>
                <w:iCs/>
                <w:color w:val="000000"/>
                <w:sz w:val="20"/>
                <w:szCs w:val="20"/>
                <w:lang w:val="it-IT" w:eastAsia="en-ZA"/>
              </w:rPr>
              <w:t>Poa cookii, Leptinella plumosa, Callitriche antarctica</w:t>
            </w:r>
          </w:p>
        </w:tc>
        <w:tc>
          <w:tcPr>
            <w:tcW w:w="3118" w:type="dxa"/>
            <w:tcBorders>
              <w:top w:val="nil"/>
              <w:left w:val="nil"/>
              <w:bottom w:val="single" w:sz="4" w:space="0" w:color="auto"/>
              <w:right w:val="nil"/>
            </w:tcBorders>
            <w:shd w:val="clear" w:color="auto" w:fill="auto"/>
            <w:noWrap/>
          </w:tcPr>
          <w:p w14:paraId="444D2A1E"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Poa cookii </w:t>
            </w:r>
            <w:r w:rsidRPr="00F41ED3">
              <w:rPr>
                <w:rFonts w:ascii="Calibri" w:eastAsia="Times New Roman" w:hAnsi="Calibri" w:cs="Calibri"/>
                <w:color w:val="000000"/>
                <w:sz w:val="20"/>
                <w:szCs w:val="20"/>
                <w:lang w:eastAsia="en-ZA"/>
              </w:rPr>
              <w:t>is the only large</w:t>
            </w:r>
            <w:r w:rsidRPr="00F41ED3">
              <w:rPr>
                <w:rFonts w:ascii="Calibri" w:eastAsia="Times New Roman" w:hAnsi="Calibri" w:cs="Calibri"/>
                <w:i/>
                <w:iCs/>
                <w:color w:val="000000"/>
                <w:sz w:val="20"/>
                <w:szCs w:val="20"/>
                <w:lang w:eastAsia="en-ZA"/>
              </w:rPr>
              <w:t xml:space="preserve"> </w:t>
            </w:r>
            <w:r w:rsidRPr="00F41ED3">
              <w:rPr>
                <w:rFonts w:ascii="Calibri" w:eastAsia="Times New Roman" w:hAnsi="Calibri" w:cs="Calibri"/>
                <w:color w:val="000000"/>
                <w:sz w:val="20"/>
                <w:szCs w:val="20"/>
                <w:lang w:eastAsia="en-ZA"/>
              </w:rPr>
              <w:t>tussock species on the island to identify biotic areas and biotic herbfields are easily identified by the small herbaceous plants, forming mats and continuous stands of herbs.</w:t>
            </w:r>
          </w:p>
        </w:tc>
      </w:tr>
    </w:tbl>
    <w:p w14:paraId="7151FF83" w14:textId="4BF2EC29" w:rsidR="005D3F95" w:rsidRDefault="005D3F95" w:rsidP="00F41ED3">
      <w:pPr>
        <w:jc w:val="both"/>
        <w:rPr>
          <w:rFonts w:ascii="Calibri" w:hAnsi="Calibri" w:cs="Calibri"/>
        </w:rPr>
      </w:pPr>
    </w:p>
    <w:p w14:paraId="63835757" w14:textId="77777777" w:rsidR="001D7FC9" w:rsidRPr="00F41ED3" w:rsidRDefault="001D7FC9" w:rsidP="001D7FC9">
      <w:pPr>
        <w:pStyle w:val="Heading1"/>
        <w:spacing w:line="360" w:lineRule="auto"/>
        <w:jc w:val="both"/>
        <w:rPr>
          <w:rFonts w:ascii="Calibri" w:hAnsi="Calibri" w:cs="Calibri"/>
          <w:color w:val="auto"/>
          <w:sz w:val="22"/>
          <w:szCs w:val="22"/>
        </w:rPr>
      </w:pPr>
      <w:r w:rsidRPr="00F41ED3">
        <w:rPr>
          <w:rFonts w:ascii="Calibri" w:hAnsi="Calibri" w:cs="Calibri"/>
          <w:color w:val="auto"/>
          <w:sz w:val="22"/>
          <w:szCs w:val="22"/>
        </w:rPr>
        <w:t>References</w:t>
      </w:r>
    </w:p>
    <w:p w14:paraId="40BA84F7" w14:textId="0F5EA962" w:rsidR="001D7FC9" w:rsidRPr="00F41ED3" w:rsidRDefault="001D7FC9" w:rsidP="001D7FC9">
      <w:pPr>
        <w:spacing w:after="200" w:line="276" w:lineRule="auto"/>
        <w:jc w:val="both"/>
        <w:rPr>
          <w:rFonts w:ascii="Calibri" w:eastAsia="Calibri" w:hAnsi="Calibri" w:cs="Calibri"/>
        </w:rPr>
      </w:pPr>
      <w:r w:rsidRPr="00F41ED3">
        <w:rPr>
          <w:rFonts w:ascii="Calibri" w:eastAsia="Calibri" w:hAnsi="Calibri" w:cs="Calibri"/>
        </w:rPr>
        <w:t xml:space="preserve">Smith, V.R., &amp; Mucina, L. </w:t>
      </w:r>
      <w:r w:rsidR="002916D7">
        <w:rPr>
          <w:rFonts w:ascii="Calibri" w:eastAsia="Calibri" w:hAnsi="Calibri" w:cs="Calibri"/>
        </w:rPr>
        <w:t>(</w:t>
      </w:r>
      <w:r w:rsidRPr="00F41ED3">
        <w:rPr>
          <w:rFonts w:ascii="Calibri" w:eastAsia="Calibri" w:hAnsi="Calibri" w:cs="Calibri"/>
        </w:rPr>
        <w:t>2006</w:t>
      </w:r>
      <w:r w:rsidR="002916D7">
        <w:rPr>
          <w:rFonts w:ascii="Calibri" w:eastAsia="Calibri" w:hAnsi="Calibri" w:cs="Calibri"/>
        </w:rPr>
        <w:t>)</w:t>
      </w:r>
      <w:r w:rsidRPr="00F41ED3">
        <w:rPr>
          <w:rFonts w:ascii="Calibri" w:eastAsia="Calibri" w:hAnsi="Calibri" w:cs="Calibri"/>
        </w:rPr>
        <w:t xml:space="preserve"> Vegetation of sub-Antarctic Marion and Prince Edward Islands. In Mucina, L., Rutherford, M.C., &amp; Powrie, L.W. (eds.), </w:t>
      </w:r>
      <w:r w:rsidRPr="00F41ED3">
        <w:rPr>
          <w:rFonts w:ascii="Calibri" w:eastAsia="Calibri" w:hAnsi="Calibri" w:cs="Calibri"/>
          <w:i/>
          <w:iCs/>
        </w:rPr>
        <w:t>Vegetation of South Africa, Lesotho and Swaziland</w:t>
      </w:r>
      <w:r w:rsidRPr="00F41ED3">
        <w:rPr>
          <w:rFonts w:ascii="Calibri" w:eastAsia="Calibri" w:hAnsi="Calibri" w:cs="Calibri"/>
        </w:rPr>
        <w:t>, pp. 699–723. South African National Biodiversity Institute, Pretoria, South Africa.</w:t>
      </w:r>
    </w:p>
    <w:p w14:paraId="4E8BC1D6" w14:textId="7355DA8B" w:rsidR="001D7FC9" w:rsidRPr="00F41ED3" w:rsidRDefault="001D7FC9" w:rsidP="001D7FC9">
      <w:pPr>
        <w:spacing w:after="200" w:line="276" w:lineRule="auto"/>
        <w:jc w:val="both"/>
        <w:rPr>
          <w:rFonts w:ascii="Calibri" w:eastAsia="Calibri" w:hAnsi="Calibri" w:cs="Calibri"/>
        </w:rPr>
      </w:pPr>
      <w:r w:rsidRPr="00F41ED3">
        <w:rPr>
          <w:rFonts w:ascii="Calibri" w:eastAsia="Calibri" w:hAnsi="Calibri" w:cs="Calibri"/>
        </w:rPr>
        <w:t xml:space="preserve">Smith, V.R., Steenkamp, M., &amp; Gremmen, N.J.M. </w:t>
      </w:r>
      <w:r w:rsidR="002916D7">
        <w:rPr>
          <w:rFonts w:ascii="Calibri" w:eastAsia="Calibri" w:hAnsi="Calibri" w:cs="Calibri"/>
        </w:rPr>
        <w:t>(</w:t>
      </w:r>
      <w:r w:rsidRPr="00F41ED3">
        <w:rPr>
          <w:rFonts w:ascii="Calibri" w:eastAsia="Calibri" w:hAnsi="Calibri" w:cs="Calibri"/>
        </w:rPr>
        <w:t>2001</w:t>
      </w:r>
      <w:r w:rsidR="002916D7">
        <w:rPr>
          <w:rFonts w:ascii="Calibri" w:eastAsia="Calibri" w:hAnsi="Calibri" w:cs="Calibri"/>
        </w:rPr>
        <w:t>)</w:t>
      </w:r>
      <w:r w:rsidRPr="00F41ED3">
        <w:rPr>
          <w:rFonts w:ascii="Calibri" w:eastAsia="Calibri" w:hAnsi="Calibri" w:cs="Calibri"/>
        </w:rPr>
        <w:t xml:space="preserve"> Terrestrial habitats on sub-Antarctic Marion Island: Their vegetation, edaphic attributes, distribution and response to climate change. </w:t>
      </w:r>
      <w:r w:rsidRPr="00F41ED3">
        <w:rPr>
          <w:rFonts w:ascii="Calibri" w:eastAsia="Calibri" w:hAnsi="Calibri" w:cs="Calibri"/>
          <w:i/>
          <w:iCs/>
        </w:rPr>
        <w:t>South African Journal of Botany</w:t>
      </w:r>
      <w:r w:rsidRPr="00F41ED3">
        <w:rPr>
          <w:rFonts w:ascii="Calibri" w:eastAsia="Calibri" w:hAnsi="Calibri" w:cs="Calibri"/>
        </w:rPr>
        <w:t xml:space="preserve"> 67: 641–654.</w:t>
      </w:r>
    </w:p>
    <w:p w14:paraId="39255F87" w14:textId="77777777" w:rsidR="005D3F95" w:rsidRDefault="005D3F95" w:rsidP="005D3F95">
      <w:pPr>
        <w:rPr>
          <w:rFonts w:ascii="Calibri" w:hAnsi="Calibri" w:cs="Calibri"/>
        </w:rPr>
      </w:pPr>
      <w:r w:rsidRPr="00684FFE">
        <w:rPr>
          <w:rStyle w:val="Heading2Char"/>
          <w:rFonts w:ascii="Calibri" w:hAnsi="Calibri" w:cs="Calibri"/>
          <w:color w:val="auto"/>
          <w:kern w:val="2"/>
          <w:sz w:val="22"/>
          <w:szCs w:val="22"/>
          <w14:ligatures w14:val="standardContextual"/>
        </w:rPr>
        <w:lastRenderedPageBreak/>
        <w:t>Supporting information to the paper</w:t>
      </w:r>
      <w:r>
        <w:rPr>
          <w:rStyle w:val="Heading2Char"/>
          <w:rFonts w:ascii="Calibri" w:hAnsi="Calibri" w:cs="Calibri"/>
          <w:color w:val="auto"/>
          <w:kern w:val="2"/>
          <w:sz w:val="22"/>
          <w:szCs w:val="22"/>
          <w14:ligatures w14:val="standardContextual"/>
        </w:rPr>
        <w:t xml:space="preserve"> </w:t>
      </w:r>
    </w:p>
    <w:p w14:paraId="69CE9170" w14:textId="3D50C54B" w:rsidR="005D3F95" w:rsidRPr="005242CA" w:rsidRDefault="00F01B43" w:rsidP="005D3F95">
      <w:pPr>
        <w:rPr>
          <w:rFonts w:ascii="Calibri" w:hAnsi="Calibri" w:cs="Calibri"/>
          <w:i/>
          <w:iCs/>
        </w:rPr>
      </w:pPr>
      <w:r w:rsidRPr="00F01B43">
        <w:rPr>
          <w:rFonts w:ascii="Calibri" w:hAnsi="Calibri" w:cs="Calibri"/>
          <w:lang w:val="fr-FR"/>
        </w:rPr>
        <w:t>van der Merwe</w:t>
      </w:r>
      <w:r w:rsidR="005D3F95" w:rsidRPr="00F01B43">
        <w:rPr>
          <w:rFonts w:ascii="Calibri" w:hAnsi="Calibri" w:cs="Calibri"/>
          <w:lang w:val="fr-FR"/>
        </w:rPr>
        <w:t xml:space="preserve"> et al. </w:t>
      </w:r>
      <w:r w:rsidR="005D3F95" w:rsidRPr="00F41ED3">
        <w:rPr>
          <w:rFonts w:ascii="Calibri" w:hAnsi="Calibri" w:cs="Calibri"/>
        </w:rPr>
        <w:t>Repeat photography reveals long-term climate change impacts on sub-Antarctic tundra vegetation</w:t>
      </w:r>
      <w:r w:rsidR="005D3F95">
        <w:rPr>
          <w:rFonts w:ascii="Calibri" w:hAnsi="Calibri" w:cs="Calibri"/>
        </w:rPr>
        <w:t xml:space="preserve">. </w:t>
      </w:r>
      <w:r w:rsidR="005D3F95">
        <w:rPr>
          <w:rFonts w:ascii="Calibri" w:hAnsi="Calibri" w:cs="Calibri"/>
          <w:i/>
          <w:iCs/>
        </w:rPr>
        <w:t>Journal of Vegetation Science.</w:t>
      </w:r>
    </w:p>
    <w:p w14:paraId="71C43607" w14:textId="60C5A7C2" w:rsidR="00F41ED3" w:rsidRPr="00F41ED3" w:rsidRDefault="002477FB" w:rsidP="00F41ED3">
      <w:pPr>
        <w:jc w:val="both"/>
        <w:rPr>
          <w:rFonts w:ascii="Calibri" w:hAnsi="Calibri" w:cs="Calibri"/>
          <w:sz w:val="20"/>
          <w:szCs w:val="20"/>
        </w:rPr>
      </w:pPr>
      <w:r>
        <w:rPr>
          <w:rFonts w:ascii="Calibri" w:hAnsi="Calibri" w:cs="Calibri"/>
          <w:sz w:val="20"/>
          <w:szCs w:val="20"/>
        </w:rPr>
        <w:t>Appendix</w:t>
      </w:r>
      <w:r w:rsidR="00F41ED3" w:rsidRPr="00F41ED3">
        <w:rPr>
          <w:rFonts w:ascii="Calibri" w:hAnsi="Calibri" w:cs="Calibri"/>
          <w:sz w:val="20"/>
          <w:szCs w:val="20"/>
        </w:rPr>
        <w:t xml:space="preserve"> S2. Description of plant guilds used in repeat photography analysis. “Dominant species” which are named first in the list of characteristic species are those species that have the highest cover within each guild that would ecologically be the most important and that could easily be identified in the repeat photography analysis. The information in the Table has been adapted from Smith &amp; Steenkamp (2001) and Smith &amp; Mucina (2006). </w:t>
      </w:r>
    </w:p>
    <w:tbl>
      <w:tblPr>
        <w:tblW w:w="10206" w:type="dxa"/>
        <w:tblInd w:w="-567" w:type="dxa"/>
        <w:tblLook w:val="04A0" w:firstRow="1" w:lastRow="0" w:firstColumn="1" w:lastColumn="0" w:noHBand="0" w:noVBand="1"/>
      </w:tblPr>
      <w:tblGrid>
        <w:gridCol w:w="1701"/>
        <w:gridCol w:w="4253"/>
        <w:gridCol w:w="4252"/>
      </w:tblGrid>
      <w:tr w:rsidR="00F41ED3" w:rsidRPr="00F41ED3" w14:paraId="5B37742E" w14:textId="77777777" w:rsidTr="008B316B">
        <w:trPr>
          <w:trHeight w:val="342"/>
        </w:trPr>
        <w:tc>
          <w:tcPr>
            <w:tcW w:w="1701" w:type="dxa"/>
            <w:tcBorders>
              <w:top w:val="single" w:sz="4" w:space="0" w:color="auto"/>
              <w:left w:val="nil"/>
              <w:bottom w:val="single" w:sz="4" w:space="0" w:color="auto"/>
              <w:right w:val="nil"/>
            </w:tcBorders>
            <w:shd w:val="clear" w:color="auto" w:fill="auto"/>
            <w:noWrap/>
            <w:hideMark/>
          </w:tcPr>
          <w:p w14:paraId="0F59AB0C"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Plant guild</w:t>
            </w:r>
          </w:p>
        </w:tc>
        <w:tc>
          <w:tcPr>
            <w:tcW w:w="4253" w:type="dxa"/>
            <w:tcBorders>
              <w:top w:val="single" w:sz="4" w:space="0" w:color="auto"/>
              <w:left w:val="nil"/>
              <w:bottom w:val="single" w:sz="4" w:space="0" w:color="auto"/>
              <w:right w:val="nil"/>
            </w:tcBorders>
            <w:shd w:val="clear" w:color="auto" w:fill="auto"/>
            <w:noWrap/>
            <w:hideMark/>
          </w:tcPr>
          <w:p w14:paraId="7E03B29D"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Characteristic species in the guild</w:t>
            </w:r>
          </w:p>
        </w:tc>
        <w:tc>
          <w:tcPr>
            <w:tcW w:w="4252" w:type="dxa"/>
            <w:tcBorders>
              <w:top w:val="single" w:sz="4" w:space="0" w:color="auto"/>
              <w:left w:val="nil"/>
              <w:bottom w:val="single" w:sz="4" w:space="0" w:color="auto"/>
              <w:right w:val="nil"/>
            </w:tcBorders>
          </w:tcPr>
          <w:p w14:paraId="6EE82745"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Notes</w:t>
            </w:r>
          </w:p>
        </w:tc>
      </w:tr>
      <w:tr w:rsidR="00F41ED3" w:rsidRPr="00F41ED3" w14:paraId="766352AD" w14:textId="77777777" w:rsidTr="008B316B">
        <w:trPr>
          <w:trHeight w:val="342"/>
        </w:trPr>
        <w:tc>
          <w:tcPr>
            <w:tcW w:w="1701" w:type="dxa"/>
            <w:tcBorders>
              <w:top w:val="single" w:sz="4" w:space="0" w:color="auto"/>
              <w:left w:val="nil"/>
              <w:right w:val="nil"/>
            </w:tcBorders>
            <w:shd w:val="clear" w:color="auto" w:fill="auto"/>
            <w:noWrap/>
          </w:tcPr>
          <w:p w14:paraId="7970FB20"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Bryophyte</w:t>
            </w:r>
          </w:p>
        </w:tc>
        <w:tc>
          <w:tcPr>
            <w:tcW w:w="4253" w:type="dxa"/>
            <w:tcBorders>
              <w:top w:val="single" w:sz="4" w:space="0" w:color="auto"/>
              <w:left w:val="nil"/>
              <w:right w:val="nil"/>
            </w:tcBorders>
            <w:shd w:val="clear" w:color="auto" w:fill="auto"/>
            <w:noWrap/>
          </w:tcPr>
          <w:p w14:paraId="7E5EE279"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Racomitrium lanuginosum.</w:t>
            </w:r>
            <w:r w:rsidRPr="00F41ED3">
              <w:rPr>
                <w:rFonts w:ascii="Calibri" w:eastAsia="Times New Roman" w:hAnsi="Calibri" w:cs="Calibri"/>
                <w:color w:val="000000"/>
                <w:sz w:val="20"/>
                <w:szCs w:val="20"/>
                <w:lang w:eastAsia="en-ZA"/>
              </w:rPr>
              <w:t xml:space="preserve"> All bryophytes species</w:t>
            </w:r>
          </w:p>
        </w:tc>
        <w:tc>
          <w:tcPr>
            <w:tcW w:w="4252" w:type="dxa"/>
            <w:tcBorders>
              <w:top w:val="single" w:sz="4" w:space="0" w:color="auto"/>
              <w:left w:val="nil"/>
              <w:right w:val="nil"/>
            </w:tcBorders>
          </w:tcPr>
          <w:p w14:paraId="192332DF"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 xml:space="preserve">Bryophytes were not easily identified in photographs and were thus grouped into one category, although </w:t>
            </w:r>
            <w:r w:rsidRPr="00F41ED3">
              <w:rPr>
                <w:rFonts w:ascii="Calibri" w:eastAsia="Times New Roman" w:hAnsi="Calibri" w:cs="Calibri"/>
                <w:i/>
                <w:iCs/>
                <w:color w:val="000000"/>
                <w:sz w:val="20"/>
                <w:szCs w:val="20"/>
                <w:lang w:eastAsia="en-ZA"/>
              </w:rPr>
              <w:t xml:space="preserve">Racomitrium lanuginosum </w:t>
            </w:r>
            <w:r w:rsidRPr="00F41ED3">
              <w:rPr>
                <w:rFonts w:ascii="Calibri" w:eastAsia="Times New Roman" w:hAnsi="Calibri" w:cs="Calibri"/>
                <w:color w:val="000000"/>
                <w:sz w:val="20"/>
                <w:szCs w:val="20"/>
                <w:lang w:eastAsia="en-ZA"/>
              </w:rPr>
              <w:t>is white and the most prominent bryophyte visible in photographs</w:t>
            </w:r>
          </w:p>
        </w:tc>
      </w:tr>
      <w:tr w:rsidR="00F41ED3" w:rsidRPr="00F41ED3" w14:paraId="21AC05B7" w14:textId="77777777" w:rsidTr="008B316B">
        <w:trPr>
          <w:trHeight w:val="342"/>
        </w:trPr>
        <w:tc>
          <w:tcPr>
            <w:tcW w:w="1701" w:type="dxa"/>
            <w:tcBorders>
              <w:left w:val="nil"/>
              <w:right w:val="nil"/>
            </w:tcBorders>
            <w:shd w:val="clear" w:color="auto" w:fill="auto"/>
            <w:noWrap/>
          </w:tcPr>
          <w:p w14:paraId="5B67A37E"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Pteridophyte</w:t>
            </w:r>
          </w:p>
        </w:tc>
        <w:tc>
          <w:tcPr>
            <w:tcW w:w="4253" w:type="dxa"/>
            <w:tcBorders>
              <w:left w:val="nil"/>
              <w:right w:val="nil"/>
            </w:tcBorders>
            <w:shd w:val="clear" w:color="auto" w:fill="auto"/>
            <w:noWrap/>
          </w:tcPr>
          <w:p w14:paraId="31F8014D"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Austroblechnum penna-marina, Elaphoglossum randii, Lycopodium saururus, Lycopodium magellanicum, Polystichum marionensis, Hymenophyllum peltatum, Grammitis kergeulensis.</w:t>
            </w:r>
          </w:p>
        </w:tc>
        <w:tc>
          <w:tcPr>
            <w:tcW w:w="4252" w:type="dxa"/>
            <w:tcBorders>
              <w:left w:val="nil"/>
              <w:right w:val="nil"/>
            </w:tcBorders>
          </w:tcPr>
          <w:p w14:paraId="1256A95D"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A. penna-marina </w:t>
            </w:r>
            <w:r w:rsidRPr="00F41ED3">
              <w:rPr>
                <w:rFonts w:ascii="Calibri" w:eastAsia="Times New Roman" w:hAnsi="Calibri" w:cs="Calibri"/>
                <w:color w:val="000000"/>
                <w:sz w:val="20"/>
                <w:szCs w:val="20"/>
                <w:lang w:eastAsia="en-ZA"/>
              </w:rPr>
              <w:t xml:space="preserve">overwhelmingly dominates pteridophyte cover. All other ferns and clubmosses have very low cover in most habitats, and only in those where </w:t>
            </w:r>
            <w:r w:rsidRPr="00F41ED3">
              <w:rPr>
                <w:rFonts w:ascii="Calibri" w:eastAsia="Times New Roman" w:hAnsi="Calibri" w:cs="Calibri"/>
                <w:i/>
                <w:iCs/>
                <w:color w:val="000000"/>
                <w:sz w:val="20"/>
                <w:szCs w:val="20"/>
                <w:lang w:eastAsia="en-ZA"/>
              </w:rPr>
              <w:t xml:space="preserve">A. penna-marina </w:t>
            </w:r>
            <w:r w:rsidRPr="00F41ED3">
              <w:rPr>
                <w:rFonts w:ascii="Calibri" w:eastAsia="Times New Roman" w:hAnsi="Calibri" w:cs="Calibri"/>
                <w:color w:val="000000"/>
                <w:sz w:val="20"/>
                <w:szCs w:val="20"/>
                <w:lang w:eastAsia="en-ZA"/>
              </w:rPr>
              <w:t xml:space="preserve">is dominant, thus they would not be visible in photographs. </w:t>
            </w:r>
            <w:r w:rsidRPr="00F41ED3">
              <w:rPr>
                <w:rFonts w:ascii="Calibri" w:eastAsia="Times New Roman" w:hAnsi="Calibri" w:cs="Calibri"/>
                <w:i/>
                <w:iCs/>
                <w:color w:val="000000"/>
                <w:sz w:val="20"/>
                <w:szCs w:val="20"/>
                <w:lang w:eastAsia="en-ZA"/>
              </w:rPr>
              <w:t xml:space="preserve">A. penna-marina </w:t>
            </w:r>
            <w:r w:rsidRPr="00F41ED3">
              <w:rPr>
                <w:rFonts w:ascii="Calibri" w:eastAsia="Times New Roman" w:hAnsi="Calibri" w:cs="Calibri"/>
                <w:color w:val="000000"/>
                <w:sz w:val="20"/>
                <w:szCs w:val="20"/>
                <w:lang w:eastAsia="en-ZA"/>
              </w:rPr>
              <w:t xml:space="preserve">ecologically and phenologically acts like a shrub, not a typical fern, and should be considered separately from other ferns. </w:t>
            </w:r>
            <w:r w:rsidRPr="00F41ED3">
              <w:rPr>
                <w:rFonts w:ascii="Calibri" w:eastAsia="Times New Roman" w:hAnsi="Calibri" w:cs="Calibri"/>
                <w:i/>
                <w:iCs/>
                <w:color w:val="000000"/>
                <w:sz w:val="20"/>
                <w:szCs w:val="20"/>
                <w:lang w:eastAsia="en-ZA"/>
              </w:rPr>
              <w:t>A. penna-marina</w:t>
            </w:r>
            <w:r w:rsidRPr="00F41ED3">
              <w:rPr>
                <w:rFonts w:ascii="Calibri" w:eastAsia="Times New Roman" w:hAnsi="Calibri" w:cs="Calibri"/>
                <w:color w:val="000000"/>
                <w:sz w:val="20"/>
                <w:szCs w:val="20"/>
                <w:lang w:eastAsia="en-ZA"/>
              </w:rPr>
              <w:t xml:space="preserve"> discolours in winter but is easily distinguished by its brown colour in winter and dark green in summer.</w:t>
            </w:r>
          </w:p>
        </w:tc>
      </w:tr>
      <w:tr w:rsidR="00F41ED3" w:rsidRPr="00F41ED3" w14:paraId="659D67D9" w14:textId="77777777" w:rsidTr="008B316B">
        <w:trPr>
          <w:trHeight w:val="342"/>
        </w:trPr>
        <w:tc>
          <w:tcPr>
            <w:tcW w:w="1701" w:type="dxa"/>
            <w:tcBorders>
              <w:left w:val="nil"/>
              <w:bottom w:val="nil"/>
              <w:right w:val="nil"/>
            </w:tcBorders>
            <w:shd w:val="clear" w:color="auto" w:fill="auto"/>
            <w:noWrap/>
          </w:tcPr>
          <w:p w14:paraId="5F640868"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Mire graminoid</w:t>
            </w:r>
          </w:p>
        </w:tc>
        <w:tc>
          <w:tcPr>
            <w:tcW w:w="4253" w:type="dxa"/>
            <w:tcBorders>
              <w:left w:val="nil"/>
              <w:bottom w:val="nil"/>
              <w:right w:val="nil"/>
            </w:tcBorders>
            <w:shd w:val="clear" w:color="auto" w:fill="auto"/>
            <w:noWrap/>
          </w:tcPr>
          <w:p w14:paraId="1BA37033"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Polypogon magellanicus, Carex dikei, Juncus scheuchzerioides</w:t>
            </w:r>
          </w:p>
        </w:tc>
        <w:tc>
          <w:tcPr>
            <w:tcW w:w="4252" w:type="dxa"/>
            <w:tcBorders>
              <w:left w:val="nil"/>
              <w:bottom w:val="nil"/>
              <w:right w:val="nil"/>
            </w:tcBorders>
          </w:tcPr>
          <w:p w14:paraId="68141603"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P. magellanicus </w:t>
            </w:r>
            <w:r w:rsidRPr="00F41ED3">
              <w:rPr>
                <w:rFonts w:ascii="Calibri" w:eastAsia="Times New Roman" w:hAnsi="Calibri" w:cs="Calibri"/>
                <w:color w:val="000000"/>
                <w:sz w:val="20"/>
                <w:szCs w:val="20"/>
                <w:lang w:eastAsia="en-ZA"/>
              </w:rPr>
              <w:t>is abundant in mires and in fellfield, where it grows epiphytically in cushion plants. It can thus be considered as different guilds depending on the substrate it grows in. It has a conspicuous yellow/brown colour.</w:t>
            </w:r>
          </w:p>
        </w:tc>
      </w:tr>
      <w:tr w:rsidR="00F41ED3" w:rsidRPr="00F41ED3" w14:paraId="0228F970" w14:textId="77777777" w:rsidTr="008B316B">
        <w:trPr>
          <w:trHeight w:val="342"/>
        </w:trPr>
        <w:tc>
          <w:tcPr>
            <w:tcW w:w="1701" w:type="dxa"/>
            <w:tcBorders>
              <w:top w:val="nil"/>
              <w:left w:val="nil"/>
              <w:bottom w:val="nil"/>
              <w:right w:val="nil"/>
            </w:tcBorders>
            <w:shd w:val="clear" w:color="auto" w:fill="auto"/>
            <w:noWrap/>
          </w:tcPr>
          <w:p w14:paraId="62A5EC36"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Tussock graminoid</w:t>
            </w:r>
          </w:p>
        </w:tc>
        <w:tc>
          <w:tcPr>
            <w:tcW w:w="4253" w:type="dxa"/>
            <w:tcBorders>
              <w:top w:val="nil"/>
              <w:left w:val="nil"/>
              <w:bottom w:val="nil"/>
              <w:right w:val="nil"/>
            </w:tcBorders>
            <w:shd w:val="clear" w:color="auto" w:fill="auto"/>
            <w:noWrap/>
          </w:tcPr>
          <w:p w14:paraId="1263C18A"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Poa cookii</w:t>
            </w:r>
          </w:p>
        </w:tc>
        <w:tc>
          <w:tcPr>
            <w:tcW w:w="4252" w:type="dxa"/>
            <w:tcBorders>
              <w:top w:val="nil"/>
              <w:left w:val="nil"/>
              <w:bottom w:val="nil"/>
              <w:right w:val="nil"/>
            </w:tcBorders>
          </w:tcPr>
          <w:p w14:paraId="18049085"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P. cookii </w:t>
            </w:r>
            <w:r w:rsidRPr="00F41ED3">
              <w:rPr>
                <w:rFonts w:ascii="Calibri" w:eastAsia="Times New Roman" w:hAnsi="Calibri" w:cs="Calibri"/>
                <w:color w:val="000000"/>
                <w:sz w:val="20"/>
                <w:szCs w:val="20"/>
                <w:lang w:eastAsia="en-ZA"/>
              </w:rPr>
              <w:t>is a large robust grass with dark green leaves and dense inflorescences, which easily distinguishable from other grasses. It occurs in areas influence by animals.</w:t>
            </w:r>
          </w:p>
        </w:tc>
      </w:tr>
      <w:tr w:rsidR="00F41ED3" w:rsidRPr="00F41ED3" w14:paraId="2B72AA5D" w14:textId="77777777" w:rsidTr="008B316B">
        <w:trPr>
          <w:trHeight w:val="342"/>
        </w:trPr>
        <w:tc>
          <w:tcPr>
            <w:tcW w:w="1701" w:type="dxa"/>
            <w:tcBorders>
              <w:top w:val="nil"/>
              <w:left w:val="nil"/>
              <w:bottom w:val="nil"/>
              <w:right w:val="nil"/>
            </w:tcBorders>
            <w:shd w:val="clear" w:color="auto" w:fill="auto"/>
            <w:noWrap/>
          </w:tcPr>
          <w:p w14:paraId="78F5FD39"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Epiphytic graminoid</w:t>
            </w:r>
          </w:p>
        </w:tc>
        <w:tc>
          <w:tcPr>
            <w:tcW w:w="4253" w:type="dxa"/>
            <w:tcBorders>
              <w:top w:val="nil"/>
              <w:left w:val="nil"/>
              <w:bottom w:val="nil"/>
              <w:right w:val="nil"/>
            </w:tcBorders>
            <w:shd w:val="clear" w:color="auto" w:fill="auto"/>
            <w:noWrap/>
          </w:tcPr>
          <w:p w14:paraId="1000751D" w14:textId="77777777" w:rsidR="00F41ED3" w:rsidRPr="00F41ED3" w:rsidRDefault="00F41ED3" w:rsidP="008B316B">
            <w:pPr>
              <w:spacing w:after="0" w:line="240" w:lineRule="auto"/>
              <w:jc w:val="center"/>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P. magellanicus, P. cookii </w:t>
            </w:r>
            <w:r w:rsidRPr="00F41ED3">
              <w:rPr>
                <w:rFonts w:ascii="Calibri" w:eastAsia="Times New Roman" w:hAnsi="Calibri" w:cs="Calibri"/>
                <w:color w:val="000000"/>
                <w:sz w:val="20"/>
                <w:szCs w:val="20"/>
                <w:lang w:eastAsia="en-ZA"/>
              </w:rPr>
              <w:t xml:space="preserve">that grow in </w:t>
            </w:r>
            <w:r w:rsidRPr="00F41ED3">
              <w:rPr>
                <w:rFonts w:ascii="Calibri" w:eastAsia="Times New Roman" w:hAnsi="Calibri" w:cs="Calibri"/>
                <w:i/>
                <w:iCs/>
                <w:color w:val="000000"/>
                <w:sz w:val="20"/>
                <w:szCs w:val="20"/>
                <w:lang w:eastAsia="en-ZA"/>
              </w:rPr>
              <w:t xml:space="preserve">Azorella selago </w:t>
            </w:r>
            <w:r w:rsidRPr="00F41ED3">
              <w:rPr>
                <w:rFonts w:ascii="Calibri" w:eastAsia="Times New Roman" w:hAnsi="Calibri" w:cs="Calibri"/>
                <w:color w:val="000000"/>
                <w:sz w:val="20"/>
                <w:szCs w:val="20"/>
                <w:lang w:eastAsia="en-ZA"/>
              </w:rPr>
              <w:t>cushion plants</w:t>
            </w:r>
          </w:p>
        </w:tc>
        <w:tc>
          <w:tcPr>
            <w:tcW w:w="4252" w:type="dxa"/>
            <w:tcBorders>
              <w:top w:val="nil"/>
              <w:left w:val="nil"/>
              <w:bottom w:val="nil"/>
              <w:right w:val="nil"/>
            </w:tcBorders>
          </w:tcPr>
          <w:p w14:paraId="7C99983F"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P. magellanicus </w:t>
            </w:r>
            <w:r w:rsidRPr="00F41ED3">
              <w:rPr>
                <w:rFonts w:ascii="Calibri" w:eastAsia="Times New Roman" w:hAnsi="Calibri" w:cs="Calibri"/>
                <w:color w:val="000000"/>
                <w:sz w:val="20"/>
                <w:szCs w:val="20"/>
                <w:lang w:eastAsia="en-ZA"/>
              </w:rPr>
              <w:t xml:space="preserve">is abundant in fellfield, where it grows epiphytically in cushion plants. It has a conspicuous yellow colour. </w:t>
            </w:r>
            <w:r w:rsidRPr="00F41ED3">
              <w:rPr>
                <w:rFonts w:ascii="Calibri" w:eastAsia="Times New Roman" w:hAnsi="Calibri" w:cs="Calibri"/>
                <w:i/>
                <w:iCs/>
                <w:color w:val="000000"/>
                <w:sz w:val="20"/>
                <w:szCs w:val="20"/>
                <w:lang w:eastAsia="en-ZA"/>
              </w:rPr>
              <w:t xml:space="preserve">P. cookii </w:t>
            </w:r>
            <w:r w:rsidRPr="00F41ED3">
              <w:rPr>
                <w:rFonts w:ascii="Calibri" w:eastAsia="Times New Roman" w:hAnsi="Calibri" w:cs="Calibri"/>
                <w:color w:val="000000"/>
                <w:sz w:val="20"/>
                <w:szCs w:val="20"/>
                <w:lang w:eastAsia="en-ZA"/>
              </w:rPr>
              <w:t>occurs less frequently in cushion plants</w:t>
            </w:r>
          </w:p>
        </w:tc>
      </w:tr>
      <w:tr w:rsidR="00F41ED3" w:rsidRPr="00F41ED3" w14:paraId="0206E8C1" w14:textId="77777777" w:rsidTr="008B316B">
        <w:trPr>
          <w:trHeight w:val="342"/>
        </w:trPr>
        <w:tc>
          <w:tcPr>
            <w:tcW w:w="1701" w:type="dxa"/>
            <w:tcBorders>
              <w:top w:val="nil"/>
              <w:left w:val="nil"/>
              <w:bottom w:val="nil"/>
              <w:right w:val="nil"/>
            </w:tcBorders>
            <w:shd w:val="clear" w:color="auto" w:fill="auto"/>
            <w:noWrap/>
          </w:tcPr>
          <w:p w14:paraId="68FE86D4"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Alien grass</w:t>
            </w:r>
          </w:p>
        </w:tc>
        <w:tc>
          <w:tcPr>
            <w:tcW w:w="4253" w:type="dxa"/>
            <w:tcBorders>
              <w:top w:val="nil"/>
              <w:left w:val="nil"/>
              <w:bottom w:val="nil"/>
              <w:right w:val="nil"/>
            </w:tcBorders>
            <w:shd w:val="clear" w:color="auto" w:fill="auto"/>
            <w:noWrap/>
          </w:tcPr>
          <w:p w14:paraId="07875314"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val="it-IT" w:eastAsia="en-ZA"/>
              </w:rPr>
            </w:pPr>
            <w:r w:rsidRPr="00F41ED3">
              <w:rPr>
                <w:rFonts w:ascii="Calibri" w:eastAsia="Times New Roman" w:hAnsi="Calibri" w:cs="Calibri"/>
                <w:i/>
                <w:iCs/>
                <w:color w:val="000000"/>
                <w:sz w:val="20"/>
                <w:szCs w:val="20"/>
                <w:lang w:val="it-IT" w:eastAsia="en-ZA"/>
              </w:rPr>
              <w:t>Poa annua, Agrostis stolonifera, Poa pratensis</w:t>
            </w:r>
          </w:p>
        </w:tc>
        <w:tc>
          <w:tcPr>
            <w:tcW w:w="4252" w:type="dxa"/>
            <w:tcBorders>
              <w:top w:val="nil"/>
              <w:left w:val="nil"/>
              <w:bottom w:val="nil"/>
              <w:right w:val="nil"/>
            </w:tcBorders>
          </w:tcPr>
          <w:p w14:paraId="6D8AD47E"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P. annua </w:t>
            </w:r>
            <w:r w:rsidRPr="00F41ED3">
              <w:rPr>
                <w:rFonts w:ascii="Calibri" w:eastAsia="Times New Roman" w:hAnsi="Calibri" w:cs="Calibri"/>
                <w:color w:val="000000"/>
                <w:sz w:val="20"/>
                <w:szCs w:val="20"/>
                <w:lang w:eastAsia="en-ZA"/>
              </w:rPr>
              <w:t xml:space="preserve">has invaded most coastal areas with manuring by seals and penguins. Alien grasses are easily distinguishable, especially where </w:t>
            </w:r>
            <w:r w:rsidRPr="00F41ED3">
              <w:rPr>
                <w:rFonts w:ascii="Calibri" w:eastAsia="Times New Roman" w:hAnsi="Calibri" w:cs="Calibri"/>
                <w:i/>
                <w:iCs/>
                <w:color w:val="000000"/>
                <w:sz w:val="20"/>
                <w:szCs w:val="20"/>
                <w:lang w:eastAsia="en-ZA"/>
              </w:rPr>
              <w:t>P. annua</w:t>
            </w:r>
            <w:r w:rsidRPr="00F41ED3">
              <w:rPr>
                <w:rFonts w:ascii="Calibri" w:eastAsia="Times New Roman" w:hAnsi="Calibri" w:cs="Calibri"/>
                <w:color w:val="000000"/>
                <w:sz w:val="20"/>
                <w:szCs w:val="20"/>
                <w:lang w:eastAsia="en-ZA"/>
              </w:rPr>
              <w:t xml:space="preserve"> forms dense lawns as a result of trampling. </w:t>
            </w:r>
            <w:r w:rsidRPr="00F41ED3">
              <w:rPr>
                <w:rFonts w:ascii="Calibri" w:eastAsia="Times New Roman" w:hAnsi="Calibri" w:cs="Calibri"/>
                <w:i/>
                <w:iCs/>
                <w:color w:val="000000"/>
                <w:sz w:val="20"/>
                <w:szCs w:val="20"/>
                <w:lang w:eastAsia="en-ZA"/>
              </w:rPr>
              <w:t xml:space="preserve">A. stolonifera </w:t>
            </w:r>
            <w:r w:rsidRPr="00F41ED3">
              <w:rPr>
                <w:rFonts w:ascii="Calibri" w:eastAsia="Times New Roman" w:hAnsi="Calibri" w:cs="Calibri"/>
                <w:color w:val="000000"/>
                <w:sz w:val="20"/>
                <w:szCs w:val="20"/>
                <w:lang w:eastAsia="en-ZA"/>
              </w:rPr>
              <w:t>also form dense patches in areas it invades.</w:t>
            </w:r>
          </w:p>
        </w:tc>
      </w:tr>
      <w:tr w:rsidR="00F41ED3" w:rsidRPr="00F41ED3" w14:paraId="336F3EC0" w14:textId="77777777" w:rsidTr="008B316B">
        <w:trPr>
          <w:trHeight w:val="342"/>
        </w:trPr>
        <w:tc>
          <w:tcPr>
            <w:tcW w:w="1701" w:type="dxa"/>
            <w:tcBorders>
              <w:top w:val="nil"/>
              <w:left w:val="nil"/>
              <w:bottom w:val="nil"/>
              <w:right w:val="nil"/>
            </w:tcBorders>
            <w:shd w:val="clear" w:color="auto" w:fill="auto"/>
            <w:noWrap/>
          </w:tcPr>
          <w:p w14:paraId="5E1BD4B5"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Alien herb</w:t>
            </w:r>
          </w:p>
        </w:tc>
        <w:tc>
          <w:tcPr>
            <w:tcW w:w="4253" w:type="dxa"/>
            <w:tcBorders>
              <w:top w:val="nil"/>
              <w:left w:val="nil"/>
              <w:bottom w:val="nil"/>
              <w:right w:val="nil"/>
            </w:tcBorders>
            <w:shd w:val="clear" w:color="auto" w:fill="auto"/>
            <w:noWrap/>
          </w:tcPr>
          <w:p w14:paraId="6CBBFE1E"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val="it-IT" w:eastAsia="en-ZA"/>
              </w:rPr>
            </w:pPr>
            <w:r w:rsidRPr="00F41ED3">
              <w:rPr>
                <w:rFonts w:ascii="Calibri" w:eastAsia="Times New Roman" w:hAnsi="Calibri" w:cs="Calibri"/>
                <w:i/>
                <w:iCs/>
                <w:color w:val="000000"/>
                <w:sz w:val="20"/>
                <w:szCs w:val="20"/>
                <w:lang w:val="it-IT" w:eastAsia="en-ZA"/>
              </w:rPr>
              <w:t>Sagina procumbens, Stellaria media, Cerastium fontanum</w:t>
            </w:r>
          </w:p>
        </w:tc>
        <w:tc>
          <w:tcPr>
            <w:tcW w:w="4252" w:type="dxa"/>
            <w:tcBorders>
              <w:top w:val="nil"/>
              <w:left w:val="nil"/>
              <w:bottom w:val="nil"/>
              <w:right w:val="nil"/>
            </w:tcBorders>
          </w:tcPr>
          <w:p w14:paraId="0310B7FE"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S. procumbens </w:t>
            </w:r>
            <w:r w:rsidRPr="00F41ED3">
              <w:rPr>
                <w:rFonts w:ascii="Calibri" w:eastAsia="Times New Roman" w:hAnsi="Calibri" w:cs="Calibri"/>
                <w:color w:val="000000"/>
                <w:sz w:val="20"/>
                <w:szCs w:val="20"/>
                <w:lang w:eastAsia="en-ZA"/>
              </w:rPr>
              <w:t>is a mat and cushion-forming invasive plant species and the only alien herb species easily identified in photographs. The other two alien herbs are less conspicuous, but were detected in field notes.</w:t>
            </w:r>
          </w:p>
        </w:tc>
      </w:tr>
      <w:tr w:rsidR="00F41ED3" w:rsidRPr="00F41ED3" w14:paraId="56D6C5E1" w14:textId="77777777" w:rsidTr="008B316B">
        <w:trPr>
          <w:trHeight w:val="342"/>
        </w:trPr>
        <w:tc>
          <w:tcPr>
            <w:tcW w:w="1701" w:type="dxa"/>
            <w:tcBorders>
              <w:top w:val="nil"/>
              <w:left w:val="nil"/>
              <w:bottom w:val="nil"/>
              <w:right w:val="nil"/>
            </w:tcBorders>
            <w:shd w:val="clear" w:color="auto" w:fill="auto"/>
            <w:noWrap/>
          </w:tcPr>
          <w:p w14:paraId="4DC71D6C"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Mat dicot</w:t>
            </w:r>
          </w:p>
        </w:tc>
        <w:tc>
          <w:tcPr>
            <w:tcW w:w="4253" w:type="dxa"/>
            <w:tcBorders>
              <w:top w:val="nil"/>
              <w:left w:val="nil"/>
              <w:bottom w:val="nil"/>
              <w:right w:val="nil"/>
            </w:tcBorders>
            <w:shd w:val="clear" w:color="auto" w:fill="auto"/>
            <w:noWrap/>
          </w:tcPr>
          <w:p w14:paraId="6AC0A8A0"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val="it-IT" w:eastAsia="en-ZA"/>
              </w:rPr>
            </w:pPr>
            <w:r w:rsidRPr="00F41ED3">
              <w:rPr>
                <w:rFonts w:ascii="Calibri" w:eastAsia="Times New Roman" w:hAnsi="Calibri" w:cs="Calibri"/>
                <w:i/>
                <w:iCs/>
                <w:color w:val="000000"/>
                <w:sz w:val="20"/>
                <w:szCs w:val="20"/>
                <w:lang w:val="it-IT" w:eastAsia="en-ZA"/>
              </w:rPr>
              <w:t>Callitriche antarctica, Montia fontana, Ranunculus biternatis</w:t>
            </w:r>
          </w:p>
        </w:tc>
        <w:tc>
          <w:tcPr>
            <w:tcW w:w="4252" w:type="dxa"/>
            <w:tcBorders>
              <w:top w:val="nil"/>
              <w:left w:val="nil"/>
              <w:bottom w:val="nil"/>
              <w:right w:val="nil"/>
            </w:tcBorders>
          </w:tcPr>
          <w:p w14:paraId="7C11EDA5"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All species in this guild occur in wet areas, often in areas influenced by animals.</w:t>
            </w:r>
          </w:p>
        </w:tc>
      </w:tr>
      <w:tr w:rsidR="00F41ED3" w:rsidRPr="00F41ED3" w14:paraId="552E4AFF" w14:textId="77777777" w:rsidTr="008B316B">
        <w:trPr>
          <w:trHeight w:val="342"/>
        </w:trPr>
        <w:tc>
          <w:tcPr>
            <w:tcW w:w="1701" w:type="dxa"/>
            <w:tcBorders>
              <w:top w:val="nil"/>
              <w:left w:val="nil"/>
              <w:right w:val="nil"/>
            </w:tcBorders>
            <w:shd w:val="clear" w:color="auto" w:fill="auto"/>
            <w:noWrap/>
          </w:tcPr>
          <w:p w14:paraId="08723B28"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Cushion dicot</w:t>
            </w:r>
          </w:p>
        </w:tc>
        <w:tc>
          <w:tcPr>
            <w:tcW w:w="4253" w:type="dxa"/>
            <w:tcBorders>
              <w:top w:val="nil"/>
              <w:left w:val="nil"/>
              <w:right w:val="nil"/>
            </w:tcBorders>
            <w:shd w:val="clear" w:color="auto" w:fill="auto"/>
            <w:noWrap/>
          </w:tcPr>
          <w:p w14:paraId="21542F05"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Azorella selago, Collobanthus kergeulensis</w:t>
            </w:r>
          </w:p>
        </w:tc>
        <w:tc>
          <w:tcPr>
            <w:tcW w:w="4252" w:type="dxa"/>
            <w:tcBorders>
              <w:top w:val="nil"/>
              <w:left w:val="nil"/>
              <w:right w:val="nil"/>
            </w:tcBorders>
          </w:tcPr>
          <w:p w14:paraId="359CA337"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C. kergeulensis </w:t>
            </w:r>
            <w:r w:rsidRPr="00F41ED3">
              <w:rPr>
                <w:rFonts w:ascii="Calibri" w:eastAsia="Times New Roman" w:hAnsi="Calibri" w:cs="Calibri"/>
                <w:color w:val="000000"/>
                <w:sz w:val="20"/>
                <w:szCs w:val="20"/>
                <w:lang w:eastAsia="en-ZA"/>
              </w:rPr>
              <w:t xml:space="preserve">was not observed in the photographs, thus cushion dicot always refers to </w:t>
            </w:r>
            <w:r w:rsidRPr="00F41ED3">
              <w:rPr>
                <w:rFonts w:ascii="Calibri" w:eastAsia="Times New Roman" w:hAnsi="Calibri" w:cs="Calibri"/>
                <w:i/>
                <w:iCs/>
                <w:color w:val="000000"/>
                <w:sz w:val="20"/>
                <w:szCs w:val="20"/>
                <w:lang w:eastAsia="en-ZA"/>
              </w:rPr>
              <w:lastRenderedPageBreak/>
              <w:t xml:space="preserve">A. selago, </w:t>
            </w:r>
            <w:r w:rsidRPr="00F41ED3">
              <w:rPr>
                <w:rFonts w:ascii="Calibri" w:eastAsia="Times New Roman" w:hAnsi="Calibri" w:cs="Calibri"/>
                <w:color w:val="000000"/>
                <w:sz w:val="20"/>
                <w:szCs w:val="20"/>
                <w:lang w:eastAsia="en-ZA"/>
              </w:rPr>
              <w:t>which is a dense cushion-forming species important in tundra vegetation. The cushion growth form is capable of withstanding mechanical damage by wind.</w:t>
            </w:r>
          </w:p>
        </w:tc>
      </w:tr>
      <w:tr w:rsidR="00F41ED3" w:rsidRPr="00F41ED3" w14:paraId="6E13FE10" w14:textId="77777777" w:rsidTr="008B316B">
        <w:trPr>
          <w:trHeight w:val="342"/>
        </w:trPr>
        <w:tc>
          <w:tcPr>
            <w:tcW w:w="1701" w:type="dxa"/>
            <w:tcBorders>
              <w:top w:val="nil"/>
              <w:left w:val="nil"/>
              <w:right w:val="nil"/>
            </w:tcBorders>
            <w:shd w:val="clear" w:color="auto" w:fill="auto"/>
            <w:noWrap/>
          </w:tcPr>
          <w:p w14:paraId="6C00068E"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lastRenderedPageBreak/>
              <w:t>Rosette dicot</w:t>
            </w:r>
          </w:p>
        </w:tc>
        <w:tc>
          <w:tcPr>
            <w:tcW w:w="4253" w:type="dxa"/>
            <w:tcBorders>
              <w:top w:val="nil"/>
              <w:left w:val="nil"/>
              <w:right w:val="nil"/>
            </w:tcBorders>
            <w:shd w:val="clear" w:color="auto" w:fill="auto"/>
            <w:noWrap/>
          </w:tcPr>
          <w:p w14:paraId="58086155"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Leptinella plumosa</w:t>
            </w:r>
          </w:p>
        </w:tc>
        <w:tc>
          <w:tcPr>
            <w:tcW w:w="4252" w:type="dxa"/>
            <w:tcBorders>
              <w:top w:val="nil"/>
              <w:left w:val="nil"/>
              <w:right w:val="nil"/>
            </w:tcBorders>
          </w:tcPr>
          <w:p w14:paraId="548ADB82"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L. plumosa </w:t>
            </w:r>
            <w:r w:rsidRPr="00F41ED3">
              <w:rPr>
                <w:rFonts w:ascii="Calibri" w:eastAsia="Times New Roman" w:hAnsi="Calibri" w:cs="Calibri"/>
                <w:color w:val="000000"/>
                <w:sz w:val="20"/>
                <w:szCs w:val="20"/>
                <w:lang w:eastAsia="en-ZA"/>
              </w:rPr>
              <w:t>is abundant in the coastal zone influenced by either saltspray or in soil enriched by animals.</w:t>
            </w:r>
          </w:p>
        </w:tc>
      </w:tr>
      <w:tr w:rsidR="00F41ED3" w:rsidRPr="00F41ED3" w14:paraId="0C3EAE83" w14:textId="77777777" w:rsidTr="008B316B">
        <w:trPr>
          <w:trHeight w:val="342"/>
        </w:trPr>
        <w:tc>
          <w:tcPr>
            <w:tcW w:w="1701" w:type="dxa"/>
            <w:tcBorders>
              <w:top w:val="nil"/>
              <w:left w:val="nil"/>
              <w:bottom w:val="nil"/>
              <w:right w:val="nil"/>
            </w:tcBorders>
            <w:shd w:val="clear" w:color="auto" w:fill="auto"/>
            <w:noWrap/>
          </w:tcPr>
          <w:p w14:paraId="1006A4FA" w14:textId="77777777" w:rsidR="00F41ED3" w:rsidRPr="00F41ED3" w:rsidRDefault="00F41ED3" w:rsidP="008B316B">
            <w:pPr>
              <w:spacing w:after="0" w:line="240" w:lineRule="auto"/>
              <w:rPr>
                <w:rFonts w:ascii="Calibri" w:eastAsia="Times New Roman" w:hAnsi="Calibri" w:cs="Calibri"/>
                <w:color w:val="000000"/>
                <w:sz w:val="20"/>
                <w:szCs w:val="20"/>
                <w:lang w:eastAsia="en-ZA"/>
              </w:rPr>
            </w:pPr>
            <w:r w:rsidRPr="00F41ED3">
              <w:rPr>
                <w:rFonts w:ascii="Calibri" w:eastAsia="Times New Roman" w:hAnsi="Calibri" w:cs="Calibri"/>
                <w:color w:val="000000"/>
                <w:sz w:val="20"/>
                <w:szCs w:val="20"/>
                <w:lang w:eastAsia="en-ZA"/>
              </w:rPr>
              <w:t>Erect dicot</w:t>
            </w:r>
          </w:p>
        </w:tc>
        <w:tc>
          <w:tcPr>
            <w:tcW w:w="4253" w:type="dxa"/>
            <w:tcBorders>
              <w:top w:val="nil"/>
              <w:left w:val="nil"/>
              <w:bottom w:val="nil"/>
              <w:right w:val="nil"/>
            </w:tcBorders>
            <w:shd w:val="clear" w:color="auto" w:fill="auto"/>
            <w:noWrap/>
          </w:tcPr>
          <w:p w14:paraId="69F3B35B"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Crassula moschata</w:t>
            </w:r>
          </w:p>
        </w:tc>
        <w:tc>
          <w:tcPr>
            <w:tcW w:w="4252" w:type="dxa"/>
            <w:tcBorders>
              <w:top w:val="nil"/>
              <w:left w:val="nil"/>
              <w:bottom w:val="nil"/>
              <w:right w:val="nil"/>
            </w:tcBorders>
          </w:tcPr>
          <w:p w14:paraId="45348E2A"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C. moschata </w:t>
            </w:r>
            <w:r w:rsidRPr="00F41ED3">
              <w:rPr>
                <w:rFonts w:ascii="Calibri" w:eastAsia="Times New Roman" w:hAnsi="Calibri" w:cs="Calibri"/>
                <w:color w:val="000000"/>
                <w:sz w:val="20"/>
                <w:szCs w:val="20"/>
                <w:lang w:eastAsia="en-ZA"/>
              </w:rPr>
              <w:t>is restricted to the coastal zone influenced by saltspray.</w:t>
            </w:r>
          </w:p>
        </w:tc>
      </w:tr>
      <w:tr w:rsidR="00F41ED3" w:rsidRPr="00F41ED3" w14:paraId="4AE4C71E" w14:textId="77777777" w:rsidTr="008B316B">
        <w:trPr>
          <w:trHeight w:val="342"/>
        </w:trPr>
        <w:tc>
          <w:tcPr>
            <w:tcW w:w="1701" w:type="dxa"/>
            <w:tcBorders>
              <w:top w:val="nil"/>
              <w:left w:val="nil"/>
              <w:bottom w:val="single" w:sz="4" w:space="0" w:color="auto"/>
              <w:right w:val="nil"/>
            </w:tcBorders>
            <w:shd w:val="clear" w:color="auto" w:fill="auto"/>
            <w:noWrap/>
          </w:tcPr>
          <w:p w14:paraId="5BB9957B" w14:textId="020934A8" w:rsidR="00F41ED3" w:rsidRPr="00F41ED3" w:rsidRDefault="00320752" w:rsidP="008B316B">
            <w:pPr>
              <w:spacing w:after="0" w:line="240" w:lineRule="auto"/>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Suffrutescent herb</w:t>
            </w:r>
          </w:p>
        </w:tc>
        <w:tc>
          <w:tcPr>
            <w:tcW w:w="4253" w:type="dxa"/>
            <w:tcBorders>
              <w:top w:val="nil"/>
              <w:left w:val="nil"/>
              <w:bottom w:val="single" w:sz="4" w:space="0" w:color="auto"/>
              <w:right w:val="nil"/>
            </w:tcBorders>
            <w:shd w:val="clear" w:color="auto" w:fill="auto"/>
            <w:noWrap/>
          </w:tcPr>
          <w:p w14:paraId="79A86ADE" w14:textId="77777777" w:rsidR="00F41ED3" w:rsidRPr="00F41ED3" w:rsidRDefault="00F41ED3" w:rsidP="008B316B">
            <w:pPr>
              <w:spacing w:after="0" w:line="240" w:lineRule="auto"/>
              <w:jc w:val="center"/>
              <w:rPr>
                <w:rFonts w:ascii="Calibri" w:eastAsia="Times New Roman" w:hAnsi="Calibri" w:cs="Calibri"/>
                <w:i/>
                <w:iCs/>
                <w:color w:val="000000"/>
                <w:sz w:val="20"/>
                <w:szCs w:val="20"/>
                <w:lang w:eastAsia="en-ZA"/>
              </w:rPr>
            </w:pPr>
            <w:r w:rsidRPr="00F41ED3">
              <w:rPr>
                <w:rFonts w:ascii="Calibri" w:eastAsia="Times New Roman" w:hAnsi="Calibri" w:cs="Calibri"/>
                <w:i/>
                <w:iCs/>
                <w:color w:val="000000"/>
                <w:sz w:val="20"/>
                <w:szCs w:val="20"/>
                <w:lang w:eastAsia="en-ZA"/>
              </w:rPr>
              <w:t>Acaena magellanica</w:t>
            </w:r>
          </w:p>
        </w:tc>
        <w:tc>
          <w:tcPr>
            <w:tcW w:w="4252" w:type="dxa"/>
            <w:tcBorders>
              <w:top w:val="nil"/>
              <w:left w:val="nil"/>
              <w:bottom w:val="single" w:sz="4" w:space="0" w:color="auto"/>
              <w:right w:val="nil"/>
            </w:tcBorders>
          </w:tcPr>
          <w:p w14:paraId="4D18C906" w14:textId="77777777" w:rsidR="00F41ED3" w:rsidRPr="00F41ED3" w:rsidRDefault="00F41ED3" w:rsidP="008B316B">
            <w:pPr>
              <w:spacing w:after="0" w:line="240" w:lineRule="auto"/>
              <w:jc w:val="both"/>
              <w:rPr>
                <w:rFonts w:ascii="Calibri" w:eastAsia="Times New Roman" w:hAnsi="Calibri" w:cs="Calibri"/>
                <w:color w:val="000000"/>
                <w:sz w:val="20"/>
                <w:szCs w:val="20"/>
                <w:lang w:eastAsia="en-ZA"/>
              </w:rPr>
            </w:pPr>
            <w:r w:rsidRPr="00F41ED3">
              <w:rPr>
                <w:rFonts w:ascii="Calibri" w:eastAsia="Times New Roman" w:hAnsi="Calibri" w:cs="Calibri"/>
                <w:i/>
                <w:iCs/>
                <w:color w:val="000000"/>
                <w:sz w:val="20"/>
                <w:szCs w:val="20"/>
                <w:lang w:eastAsia="en-ZA"/>
              </w:rPr>
              <w:t xml:space="preserve">A. magellanica </w:t>
            </w:r>
            <w:r w:rsidRPr="00F41ED3">
              <w:rPr>
                <w:rFonts w:ascii="Calibri" w:eastAsia="Times New Roman" w:hAnsi="Calibri" w:cs="Calibri"/>
                <w:color w:val="000000"/>
                <w:sz w:val="20"/>
                <w:szCs w:val="20"/>
                <w:lang w:eastAsia="en-ZA"/>
              </w:rPr>
              <w:t xml:space="preserve">is the only semi-woody species on the island, however it is challenging to estimate its cover from photographs, as </w:t>
            </w:r>
            <w:r w:rsidRPr="00F41ED3">
              <w:rPr>
                <w:rFonts w:ascii="Calibri" w:eastAsia="Times New Roman" w:hAnsi="Calibri" w:cs="Calibri"/>
                <w:i/>
                <w:iCs/>
                <w:color w:val="000000"/>
                <w:sz w:val="20"/>
                <w:szCs w:val="20"/>
                <w:lang w:eastAsia="en-ZA"/>
              </w:rPr>
              <w:t xml:space="preserve">A. penna-marina </w:t>
            </w:r>
            <w:r w:rsidRPr="00F41ED3">
              <w:rPr>
                <w:rFonts w:ascii="Calibri" w:eastAsia="Times New Roman" w:hAnsi="Calibri" w:cs="Calibri"/>
                <w:color w:val="000000"/>
                <w:sz w:val="20"/>
                <w:szCs w:val="20"/>
                <w:lang w:eastAsia="en-ZA"/>
              </w:rPr>
              <w:t xml:space="preserve">is often co-dominant and has higher cover even in habitats where </w:t>
            </w:r>
            <w:r w:rsidRPr="00F41ED3">
              <w:rPr>
                <w:rFonts w:ascii="Calibri" w:eastAsia="Times New Roman" w:hAnsi="Calibri" w:cs="Calibri"/>
                <w:i/>
                <w:iCs/>
                <w:color w:val="000000"/>
                <w:sz w:val="20"/>
                <w:szCs w:val="20"/>
                <w:lang w:eastAsia="en-ZA"/>
              </w:rPr>
              <w:t xml:space="preserve">A. magellanica </w:t>
            </w:r>
            <w:r w:rsidRPr="00F41ED3">
              <w:rPr>
                <w:rFonts w:ascii="Calibri" w:eastAsia="Times New Roman" w:hAnsi="Calibri" w:cs="Calibri"/>
                <w:color w:val="000000"/>
                <w:sz w:val="20"/>
                <w:szCs w:val="20"/>
                <w:lang w:eastAsia="en-ZA"/>
              </w:rPr>
              <w:t xml:space="preserve">may be important. </w:t>
            </w:r>
            <w:r w:rsidRPr="00F41ED3">
              <w:rPr>
                <w:rFonts w:ascii="Calibri" w:eastAsia="Times New Roman" w:hAnsi="Calibri" w:cs="Calibri"/>
                <w:i/>
                <w:iCs/>
                <w:color w:val="000000"/>
                <w:sz w:val="20"/>
                <w:szCs w:val="20"/>
                <w:lang w:eastAsia="en-ZA"/>
              </w:rPr>
              <w:t xml:space="preserve">A. magellanica </w:t>
            </w:r>
            <w:r w:rsidRPr="00F41ED3">
              <w:rPr>
                <w:rFonts w:ascii="Calibri" w:eastAsia="Times New Roman" w:hAnsi="Calibri" w:cs="Calibri"/>
                <w:color w:val="000000"/>
                <w:sz w:val="20"/>
                <w:szCs w:val="20"/>
                <w:lang w:eastAsia="en-ZA"/>
              </w:rPr>
              <w:t>distribution is determined by drainage patterns.</w:t>
            </w:r>
          </w:p>
        </w:tc>
      </w:tr>
    </w:tbl>
    <w:p w14:paraId="3C748B2E" w14:textId="77777777" w:rsidR="00684461" w:rsidRPr="00F41ED3" w:rsidRDefault="00684461" w:rsidP="00684461">
      <w:pPr>
        <w:pStyle w:val="Heading1"/>
        <w:spacing w:line="360" w:lineRule="auto"/>
        <w:jc w:val="both"/>
        <w:rPr>
          <w:rFonts w:ascii="Calibri" w:hAnsi="Calibri" w:cs="Calibri"/>
          <w:color w:val="auto"/>
          <w:sz w:val="22"/>
          <w:szCs w:val="22"/>
        </w:rPr>
      </w:pPr>
      <w:r w:rsidRPr="00F41ED3">
        <w:rPr>
          <w:rFonts w:ascii="Calibri" w:hAnsi="Calibri" w:cs="Calibri"/>
          <w:color w:val="auto"/>
          <w:sz w:val="22"/>
          <w:szCs w:val="22"/>
        </w:rPr>
        <w:t>References</w:t>
      </w:r>
    </w:p>
    <w:p w14:paraId="5E0C4903" w14:textId="722995CA" w:rsidR="00684461" w:rsidRPr="00F41ED3" w:rsidRDefault="00684461" w:rsidP="00684461">
      <w:pPr>
        <w:spacing w:after="200" w:line="276" w:lineRule="auto"/>
        <w:jc w:val="both"/>
        <w:rPr>
          <w:rFonts w:ascii="Calibri" w:eastAsia="Calibri" w:hAnsi="Calibri" w:cs="Calibri"/>
        </w:rPr>
      </w:pPr>
      <w:r w:rsidRPr="00F41ED3">
        <w:rPr>
          <w:rFonts w:ascii="Calibri" w:eastAsia="Calibri" w:hAnsi="Calibri" w:cs="Calibri"/>
        </w:rPr>
        <w:t xml:space="preserve">Smith, V.R., &amp; Mucina, L. </w:t>
      </w:r>
      <w:r w:rsidR="002916D7">
        <w:rPr>
          <w:rFonts w:ascii="Calibri" w:eastAsia="Calibri" w:hAnsi="Calibri" w:cs="Calibri"/>
        </w:rPr>
        <w:t>(</w:t>
      </w:r>
      <w:r w:rsidRPr="00F41ED3">
        <w:rPr>
          <w:rFonts w:ascii="Calibri" w:eastAsia="Calibri" w:hAnsi="Calibri" w:cs="Calibri"/>
        </w:rPr>
        <w:t>2006</w:t>
      </w:r>
      <w:r w:rsidR="002916D7">
        <w:rPr>
          <w:rFonts w:ascii="Calibri" w:eastAsia="Calibri" w:hAnsi="Calibri" w:cs="Calibri"/>
        </w:rPr>
        <w:t>)</w:t>
      </w:r>
      <w:r w:rsidRPr="00F41ED3">
        <w:rPr>
          <w:rFonts w:ascii="Calibri" w:eastAsia="Calibri" w:hAnsi="Calibri" w:cs="Calibri"/>
        </w:rPr>
        <w:t xml:space="preserve"> Vegetation of sub-Antarctic Marion and Prince Edward Islands. In Mucina, L., Rutherford, M.C., &amp; Powrie, L.W. (eds.), </w:t>
      </w:r>
      <w:r w:rsidRPr="00F41ED3">
        <w:rPr>
          <w:rFonts w:ascii="Calibri" w:eastAsia="Calibri" w:hAnsi="Calibri" w:cs="Calibri"/>
          <w:i/>
          <w:iCs/>
        </w:rPr>
        <w:t>Vegetation of South Africa, Lesotho and Swaziland</w:t>
      </w:r>
      <w:r w:rsidRPr="00F41ED3">
        <w:rPr>
          <w:rFonts w:ascii="Calibri" w:eastAsia="Calibri" w:hAnsi="Calibri" w:cs="Calibri"/>
        </w:rPr>
        <w:t>, pp. 699–723. South African National Biodiversity Institute, Pretoria, South Africa.</w:t>
      </w:r>
    </w:p>
    <w:p w14:paraId="69F79556" w14:textId="39F641DA" w:rsidR="002A6FBA" w:rsidRDefault="00684461" w:rsidP="008E62E1">
      <w:pPr>
        <w:spacing w:after="200" w:line="276" w:lineRule="auto"/>
        <w:jc w:val="both"/>
        <w:rPr>
          <w:sz w:val="20"/>
          <w:szCs w:val="20"/>
        </w:rPr>
      </w:pPr>
      <w:r w:rsidRPr="00F41ED3">
        <w:rPr>
          <w:rFonts w:ascii="Calibri" w:eastAsia="Calibri" w:hAnsi="Calibri" w:cs="Calibri"/>
        </w:rPr>
        <w:t xml:space="preserve">Smith, V.R., Steenkamp, M., &amp; Gremmen, N.J.M. </w:t>
      </w:r>
      <w:r w:rsidR="002916D7">
        <w:rPr>
          <w:rFonts w:ascii="Calibri" w:eastAsia="Calibri" w:hAnsi="Calibri" w:cs="Calibri"/>
        </w:rPr>
        <w:t>(</w:t>
      </w:r>
      <w:r w:rsidRPr="00F41ED3">
        <w:rPr>
          <w:rFonts w:ascii="Calibri" w:eastAsia="Calibri" w:hAnsi="Calibri" w:cs="Calibri"/>
        </w:rPr>
        <w:t>2001</w:t>
      </w:r>
      <w:r w:rsidR="002916D7">
        <w:rPr>
          <w:rFonts w:ascii="Calibri" w:eastAsia="Calibri" w:hAnsi="Calibri" w:cs="Calibri"/>
        </w:rPr>
        <w:t>)</w:t>
      </w:r>
      <w:r w:rsidRPr="00F41ED3">
        <w:rPr>
          <w:rFonts w:ascii="Calibri" w:eastAsia="Calibri" w:hAnsi="Calibri" w:cs="Calibri"/>
        </w:rPr>
        <w:t xml:space="preserve"> Terrestrial habitats on sub-Antarctic Marion Island: Their vegetation, edaphic attributes, distribution and response to climate change. </w:t>
      </w:r>
      <w:r w:rsidRPr="00F41ED3">
        <w:rPr>
          <w:rFonts w:ascii="Calibri" w:eastAsia="Calibri" w:hAnsi="Calibri" w:cs="Calibri"/>
          <w:i/>
          <w:iCs/>
        </w:rPr>
        <w:t>South African Journal of Botany</w:t>
      </w:r>
      <w:r w:rsidRPr="00F41ED3">
        <w:rPr>
          <w:rFonts w:ascii="Calibri" w:eastAsia="Calibri" w:hAnsi="Calibri" w:cs="Calibri"/>
        </w:rPr>
        <w:t xml:space="preserve"> 67: 641–654.</w:t>
      </w:r>
      <w:r w:rsidR="002A6FBA">
        <w:rPr>
          <w:i/>
          <w:iCs/>
          <w:sz w:val="20"/>
          <w:szCs w:val="20"/>
        </w:rPr>
        <w:br w:type="page"/>
      </w:r>
    </w:p>
    <w:p w14:paraId="01BAC481" w14:textId="77777777" w:rsidR="002A6FBA" w:rsidRDefault="002A6FBA" w:rsidP="002A6FBA">
      <w:pPr>
        <w:rPr>
          <w:rFonts w:ascii="Calibri" w:hAnsi="Calibri" w:cs="Calibri"/>
        </w:rPr>
      </w:pPr>
      <w:r w:rsidRPr="00684FFE">
        <w:rPr>
          <w:rStyle w:val="Heading2Char"/>
          <w:rFonts w:ascii="Calibri" w:hAnsi="Calibri" w:cs="Calibri"/>
          <w:color w:val="auto"/>
          <w:kern w:val="2"/>
          <w:sz w:val="22"/>
          <w:szCs w:val="22"/>
          <w14:ligatures w14:val="standardContextual"/>
        </w:rPr>
        <w:lastRenderedPageBreak/>
        <w:t>Supporting information to the paper</w:t>
      </w:r>
      <w:r>
        <w:rPr>
          <w:rStyle w:val="Heading2Char"/>
          <w:rFonts w:ascii="Calibri" w:hAnsi="Calibri" w:cs="Calibri"/>
          <w:color w:val="auto"/>
          <w:kern w:val="2"/>
          <w:sz w:val="22"/>
          <w:szCs w:val="22"/>
          <w14:ligatures w14:val="standardContextual"/>
        </w:rPr>
        <w:t xml:space="preserve"> </w:t>
      </w:r>
    </w:p>
    <w:p w14:paraId="75114A59" w14:textId="24672886" w:rsidR="002A6FBA" w:rsidRPr="005242CA" w:rsidRDefault="00F01B43" w:rsidP="002A6FBA">
      <w:pPr>
        <w:rPr>
          <w:rFonts w:ascii="Calibri" w:hAnsi="Calibri" w:cs="Calibri"/>
          <w:i/>
          <w:iCs/>
        </w:rPr>
      </w:pPr>
      <w:r>
        <w:rPr>
          <w:rFonts w:ascii="Calibri" w:hAnsi="Calibri" w:cs="Calibri"/>
        </w:rPr>
        <w:t>van der Merwe</w:t>
      </w:r>
      <w:r w:rsidR="002A6FBA" w:rsidRPr="00004269">
        <w:rPr>
          <w:rFonts w:ascii="Calibri" w:hAnsi="Calibri" w:cs="Calibri"/>
        </w:rPr>
        <w:t xml:space="preserve"> et al. </w:t>
      </w:r>
      <w:r w:rsidR="002A6FBA" w:rsidRPr="00F41ED3">
        <w:rPr>
          <w:rFonts w:ascii="Calibri" w:hAnsi="Calibri" w:cs="Calibri"/>
        </w:rPr>
        <w:t>Repeat photography reveals long-term climate change impacts on sub-Antarctic tundra vegetation</w:t>
      </w:r>
      <w:r w:rsidR="002A6FBA">
        <w:rPr>
          <w:rFonts w:ascii="Calibri" w:hAnsi="Calibri" w:cs="Calibri"/>
        </w:rPr>
        <w:t xml:space="preserve">. </w:t>
      </w:r>
      <w:r w:rsidR="002A6FBA">
        <w:rPr>
          <w:rFonts w:ascii="Calibri" w:hAnsi="Calibri" w:cs="Calibri"/>
          <w:i/>
          <w:iCs/>
        </w:rPr>
        <w:t>Journal of Vegetation Science.</w:t>
      </w:r>
    </w:p>
    <w:p w14:paraId="084ACAAB" w14:textId="6C1F7480" w:rsidR="00AA6C5C" w:rsidRPr="007878F6" w:rsidRDefault="002477FB" w:rsidP="00AA6C5C">
      <w:pPr>
        <w:pStyle w:val="Caption"/>
        <w:keepNext/>
        <w:ind w:left="284" w:right="-188"/>
        <w:jc w:val="both"/>
        <w:rPr>
          <w:b/>
          <w:bCs/>
          <w:i w:val="0"/>
          <w:iCs w:val="0"/>
          <w:color w:val="auto"/>
          <w:sz w:val="20"/>
          <w:szCs w:val="20"/>
        </w:rPr>
      </w:pPr>
      <w:r>
        <w:rPr>
          <w:i w:val="0"/>
          <w:iCs w:val="0"/>
          <w:color w:val="auto"/>
          <w:sz w:val="20"/>
          <w:szCs w:val="20"/>
        </w:rPr>
        <w:t>Appendix S3</w:t>
      </w:r>
      <w:r w:rsidR="00AA6C5C" w:rsidRPr="007878F6">
        <w:rPr>
          <w:i w:val="0"/>
          <w:iCs w:val="0"/>
          <w:color w:val="auto"/>
          <w:sz w:val="20"/>
          <w:szCs w:val="20"/>
        </w:rPr>
        <w:t>. Mean percentage change (± SE) of each guild in each habitat on M</w:t>
      </w:r>
      <w:r w:rsidR="00D54C74">
        <w:rPr>
          <w:i w:val="0"/>
          <w:iCs w:val="0"/>
          <w:color w:val="auto"/>
          <w:sz w:val="20"/>
          <w:szCs w:val="20"/>
        </w:rPr>
        <w:t>arion Island</w:t>
      </w:r>
      <w:r w:rsidR="00AA6C5C" w:rsidRPr="007878F6">
        <w:rPr>
          <w:i w:val="0"/>
          <w:iCs w:val="0"/>
          <w:color w:val="auto"/>
          <w:sz w:val="20"/>
          <w:szCs w:val="20"/>
        </w:rPr>
        <w:t xml:space="preserve"> between 1965</w:t>
      </w:r>
      <w:r w:rsidR="00AA6C5C">
        <w:rPr>
          <w:i w:val="0"/>
          <w:iCs w:val="0"/>
          <w:color w:val="auto"/>
          <w:sz w:val="20"/>
          <w:szCs w:val="20"/>
        </w:rPr>
        <w:t>/1980</w:t>
      </w:r>
      <w:r w:rsidR="00AA6C5C" w:rsidRPr="007878F6">
        <w:rPr>
          <w:i w:val="0"/>
          <w:iCs w:val="0"/>
          <w:color w:val="auto"/>
          <w:sz w:val="20"/>
          <w:szCs w:val="20"/>
        </w:rPr>
        <w:t xml:space="preserve"> and </w:t>
      </w:r>
      <w:r w:rsidR="00AA6C5C">
        <w:rPr>
          <w:i w:val="0"/>
          <w:iCs w:val="0"/>
          <w:color w:val="auto"/>
          <w:sz w:val="20"/>
          <w:szCs w:val="20"/>
        </w:rPr>
        <w:t>2019/</w:t>
      </w:r>
      <w:r w:rsidR="00AA6C5C" w:rsidRPr="007878F6">
        <w:rPr>
          <w:i w:val="0"/>
          <w:iCs w:val="0"/>
          <w:color w:val="auto"/>
          <w:sz w:val="20"/>
          <w:szCs w:val="20"/>
        </w:rPr>
        <w:t>2020. Colours indicate an increase (green) or decrease (orange) in mean cover. Light green indicates a 1-4%, medium green 5-9% and dark green ≥10% increase. Grey cells indicate zero change. Light orange indicates a 1-4%, medium orange 5-9% and dark orange ≥10% decrease</w:t>
      </w:r>
      <w:r w:rsidR="00AA6C5C">
        <w:rPr>
          <w:i w:val="0"/>
          <w:iCs w:val="0"/>
          <w:color w:val="auto"/>
          <w:sz w:val="20"/>
          <w:szCs w:val="20"/>
        </w:rPr>
        <w:t xml:space="preserve"> in mean cover</w:t>
      </w:r>
      <w:r w:rsidR="00AA6C5C" w:rsidRPr="007878F6">
        <w:rPr>
          <w:i w:val="0"/>
          <w:iCs w:val="0"/>
          <w:color w:val="auto"/>
          <w:sz w:val="20"/>
          <w:szCs w:val="20"/>
        </w:rPr>
        <w:t>. White cells indicate that the guild does not occur in a habitat and thus has no value. Values in bold were significant (p &lt; 0.05) according to a Wilcoxon signed rank test.</w:t>
      </w:r>
    </w:p>
    <w:tbl>
      <w:tblPr>
        <w:tblW w:w="8798" w:type="dxa"/>
        <w:tblInd w:w="284" w:type="dxa"/>
        <w:tblLook w:val="04A0" w:firstRow="1" w:lastRow="0" w:firstColumn="1" w:lastColumn="0" w:noHBand="0" w:noVBand="1"/>
      </w:tblPr>
      <w:tblGrid>
        <w:gridCol w:w="2288"/>
        <w:gridCol w:w="1131"/>
        <w:gridCol w:w="1131"/>
        <w:gridCol w:w="1131"/>
        <w:gridCol w:w="1264"/>
        <w:gridCol w:w="1698"/>
        <w:gridCol w:w="155"/>
      </w:tblGrid>
      <w:tr w:rsidR="00AA6C5C" w:rsidRPr="00321418" w14:paraId="17BD379D" w14:textId="77777777" w:rsidTr="006228D3">
        <w:trPr>
          <w:trHeight w:val="453"/>
        </w:trPr>
        <w:tc>
          <w:tcPr>
            <w:tcW w:w="2288" w:type="dxa"/>
            <w:tcBorders>
              <w:top w:val="single" w:sz="4" w:space="0" w:color="auto"/>
              <w:left w:val="nil"/>
              <w:bottom w:val="single" w:sz="4" w:space="0" w:color="auto"/>
              <w:right w:val="nil"/>
            </w:tcBorders>
            <w:shd w:val="clear" w:color="auto" w:fill="auto"/>
            <w:noWrap/>
            <w:vAlign w:val="bottom"/>
            <w:hideMark/>
          </w:tcPr>
          <w:p w14:paraId="384DB1C7"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Guild</w:t>
            </w:r>
          </w:p>
        </w:tc>
        <w:tc>
          <w:tcPr>
            <w:tcW w:w="1131" w:type="dxa"/>
            <w:tcBorders>
              <w:top w:val="single" w:sz="4" w:space="0" w:color="auto"/>
              <w:left w:val="nil"/>
              <w:bottom w:val="single" w:sz="4" w:space="0" w:color="auto"/>
              <w:right w:val="nil"/>
            </w:tcBorders>
            <w:shd w:val="clear" w:color="auto" w:fill="auto"/>
            <w:noWrap/>
            <w:vAlign w:val="bottom"/>
            <w:hideMark/>
          </w:tcPr>
          <w:p w14:paraId="17A9E6DA" w14:textId="77777777" w:rsidR="00AA6C5C"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Fellfield</w:t>
            </w:r>
          </w:p>
          <w:p w14:paraId="6C09FE94"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(n =26)</w:t>
            </w:r>
          </w:p>
        </w:tc>
        <w:tc>
          <w:tcPr>
            <w:tcW w:w="1131" w:type="dxa"/>
            <w:tcBorders>
              <w:top w:val="single" w:sz="4" w:space="0" w:color="auto"/>
              <w:left w:val="nil"/>
              <w:bottom w:val="single" w:sz="4" w:space="0" w:color="auto"/>
              <w:right w:val="nil"/>
            </w:tcBorders>
            <w:shd w:val="clear" w:color="auto" w:fill="auto"/>
            <w:noWrap/>
            <w:vAlign w:val="bottom"/>
            <w:hideMark/>
          </w:tcPr>
          <w:p w14:paraId="5678553F" w14:textId="77777777" w:rsidR="00AA6C5C"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Slope</w:t>
            </w:r>
          </w:p>
          <w:p w14:paraId="616B37DD"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(n =36)</w:t>
            </w:r>
          </w:p>
        </w:tc>
        <w:tc>
          <w:tcPr>
            <w:tcW w:w="1131" w:type="dxa"/>
            <w:tcBorders>
              <w:top w:val="single" w:sz="4" w:space="0" w:color="auto"/>
              <w:left w:val="nil"/>
              <w:bottom w:val="single" w:sz="4" w:space="0" w:color="auto"/>
              <w:right w:val="nil"/>
            </w:tcBorders>
            <w:shd w:val="clear" w:color="auto" w:fill="auto"/>
            <w:noWrap/>
            <w:vAlign w:val="bottom"/>
            <w:hideMark/>
          </w:tcPr>
          <w:p w14:paraId="694AFB4A" w14:textId="77777777" w:rsidR="00AA6C5C"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Mire</w:t>
            </w:r>
          </w:p>
          <w:p w14:paraId="7C973632"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(n = 26)</w:t>
            </w:r>
          </w:p>
        </w:tc>
        <w:tc>
          <w:tcPr>
            <w:tcW w:w="1264" w:type="dxa"/>
            <w:tcBorders>
              <w:top w:val="single" w:sz="4" w:space="0" w:color="auto"/>
              <w:left w:val="nil"/>
              <w:bottom w:val="single" w:sz="4" w:space="0" w:color="auto"/>
              <w:right w:val="nil"/>
            </w:tcBorders>
            <w:shd w:val="clear" w:color="auto" w:fill="auto"/>
            <w:vAlign w:val="bottom"/>
            <w:hideMark/>
          </w:tcPr>
          <w:p w14:paraId="50072715" w14:textId="77777777" w:rsidR="00AA6C5C"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Biotic</w:t>
            </w:r>
          </w:p>
          <w:p w14:paraId="3D73217A"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(n = 40)</w:t>
            </w:r>
          </w:p>
        </w:tc>
        <w:tc>
          <w:tcPr>
            <w:tcW w:w="1853" w:type="dxa"/>
            <w:gridSpan w:val="2"/>
            <w:tcBorders>
              <w:top w:val="single" w:sz="4" w:space="0" w:color="auto"/>
              <w:left w:val="nil"/>
              <w:bottom w:val="single" w:sz="4" w:space="0" w:color="auto"/>
              <w:right w:val="nil"/>
            </w:tcBorders>
            <w:shd w:val="clear" w:color="auto" w:fill="auto"/>
            <w:vAlign w:val="bottom"/>
            <w:hideMark/>
          </w:tcPr>
          <w:p w14:paraId="04D81ECA" w14:textId="77777777" w:rsidR="00AA6C5C"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 xml:space="preserve">Coastal </w:t>
            </w:r>
            <w:r>
              <w:rPr>
                <w:rFonts w:ascii="Calibri" w:eastAsia="Times New Roman" w:hAnsi="Calibri" w:cs="Calibri"/>
                <w:color w:val="000000"/>
                <w:sz w:val="20"/>
                <w:szCs w:val="20"/>
                <w:lang w:eastAsia="en-ZA"/>
              </w:rPr>
              <w:t>S</w:t>
            </w:r>
            <w:r w:rsidRPr="00321418">
              <w:rPr>
                <w:rFonts w:ascii="Calibri" w:eastAsia="Times New Roman" w:hAnsi="Calibri" w:cs="Calibri"/>
                <w:color w:val="000000"/>
                <w:sz w:val="20"/>
                <w:szCs w:val="20"/>
                <w:lang w:eastAsia="en-ZA"/>
              </w:rPr>
              <w:t>altspray</w:t>
            </w:r>
          </w:p>
          <w:p w14:paraId="7221DA36"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(n =28)</w:t>
            </w:r>
          </w:p>
        </w:tc>
      </w:tr>
      <w:tr w:rsidR="00AA6C5C" w:rsidRPr="00321418" w14:paraId="015DE553" w14:textId="77777777" w:rsidTr="006228D3">
        <w:trPr>
          <w:gridAfter w:val="1"/>
          <w:wAfter w:w="155" w:type="dxa"/>
          <w:trHeight w:val="354"/>
        </w:trPr>
        <w:tc>
          <w:tcPr>
            <w:tcW w:w="2288" w:type="dxa"/>
            <w:tcBorders>
              <w:top w:val="nil"/>
              <w:left w:val="nil"/>
              <w:right w:val="nil"/>
            </w:tcBorders>
            <w:shd w:val="clear" w:color="auto" w:fill="auto"/>
            <w:noWrap/>
            <w:vAlign w:val="bottom"/>
            <w:hideMark/>
          </w:tcPr>
          <w:p w14:paraId="510B4E63"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Alien grass</w:t>
            </w:r>
          </w:p>
        </w:tc>
        <w:tc>
          <w:tcPr>
            <w:tcW w:w="1131" w:type="dxa"/>
            <w:tcBorders>
              <w:top w:val="nil"/>
              <w:left w:val="nil"/>
              <w:right w:val="nil"/>
            </w:tcBorders>
            <w:shd w:val="clear" w:color="auto" w:fill="auto"/>
            <w:noWrap/>
            <w:vAlign w:val="bottom"/>
            <w:hideMark/>
          </w:tcPr>
          <w:p w14:paraId="39CB0954"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right w:val="nil"/>
            </w:tcBorders>
            <w:shd w:val="clear" w:color="000000" w:fill="E2EFDA"/>
            <w:noWrap/>
            <w:vAlign w:val="bottom"/>
            <w:hideMark/>
          </w:tcPr>
          <w:p w14:paraId="3D319B6E"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4 ± 12</w:t>
            </w:r>
          </w:p>
        </w:tc>
        <w:tc>
          <w:tcPr>
            <w:tcW w:w="1131" w:type="dxa"/>
            <w:tcBorders>
              <w:top w:val="nil"/>
              <w:left w:val="nil"/>
              <w:right w:val="nil"/>
            </w:tcBorders>
            <w:shd w:val="clear" w:color="auto" w:fill="BFBFBF"/>
            <w:noWrap/>
            <w:vAlign w:val="bottom"/>
            <w:hideMark/>
          </w:tcPr>
          <w:p w14:paraId="3324A27A"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0 ± 1</w:t>
            </w:r>
          </w:p>
        </w:tc>
        <w:tc>
          <w:tcPr>
            <w:tcW w:w="1264" w:type="dxa"/>
            <w:tcBorders>
              <w:top w:val="nil"/>
              <w:left w:val="nil"/>
              <w:right w:val="nil"/>
            </w:tcBorders>
            <w:shd w:val="clear" w:color="000000" w:fill="A9D08E"/>
            <w:vAlign w:val="bottom"/>
            <w:hideMark/>
          </w:tcPr>
          <w:p w14:paraId="1F7A0228"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8 ± 14</w:t>
            </w:r>
          </w:p>
        </w:tc>
        <w:tc>
          <w:tcPr>
            <w:tcW w:w="1698" w:type="dxa"/>
            <w:tcBorders>
              <w:top w:val="nil"/>
              <w:left w:val="nil"/>
              <w:right w:val="nil"/>
            </w:tcBorders>
            <w:shd w:val="clear" w:color="000000" w:fill="E2EFDA"/>
            <w:noWrap/>
            <w:vAlign w:val="bottom"/>
            <w:hideMark/>
          </w:tcPr>
          <w:p w14:paraId="26B17839"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1</w:t>
            </w:r>
          </w:p>
        </w:tc>
      </w:tr>
      <w:tr w:rsidR="00AA6C5C" w:rsidRPr="00321418" w14:paraId="03233CCD" w14:textId="77777777" w:rsidTr="006228D3">
        <w:trPr>
          <w:gridAfter w:val="1"/>
          <w:wAfter w:w="155" w:type="dxa"/>
          <w:trHeight w:val="354"/>
        </w:trPr>
        <w:tc>
          <w:tcPr>
            <w:tcW w:w="2288" w:type="dxa"/>
            <w:tcBorders>
              <w:top w:val="nil"/>
              <w:left w:val="nil"/>
              <w:right w:val="nil"/>
            </w:tcBorders>
            <w:shd w:val="clear" w:color="auto" w:fill="auto"/>
            <w:noWrap/>
            <w:vAlign w:val="bottom"/>
            <w:hideMark/>
          </w:tcPr>
          <w:p w14:paraId="0A3340A0"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Alien herb</w:t>
            </w:r>
          </w:p>
        </w:tc>
        <w:tc>
          <w:tcPr>
            <w:tcW w:w="1131" w:type="dxa"/>
            <w:tcBorders>
              <w:top w:val="nil"/>
              <w:left w:val="nil"/>
              <w:right w:val="nil"/>
            </w:tcBorders>
            <w:shd w:val="clear" w:color="auto" w:fill="auto"/>
            <w:noWrap/>
            <w:vAlign w:val="bottom"/>
            <w:hideMark/>
          </w:tcPr>
          <w:p w14:paraId="6B42F8B0"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right w:val="nil"/>
            </w:tcBorders>
            <w:shd w:val="clear" w:color="000000" w:fill="E2EFDA"/>
            <w:noWrap/>
            <w:vAlign w:val="bottom"/>
            <w:hideMark/>
          </w:tcPr>
          <w:p w14:paraId="034B76FC"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4</w:t>
            </w:r>
          </w:p>
        </w:tc>
        <w:tc>
          <w:tcPr>
            <w:tcW w:w="1131" w:type="dxa"/>
            <w:tcBorders>
              <w:top w:val="nil"/>
              <w:left w:val="nil"/>
              <w:right w:val="nil"/>
            </w:tcBorders>
            <w:shd w:val="clear" w:color="auto" w:fill="BFBFBF"/>
            <w:noWrap/>
            <w:vAlign w:val="bottom"/>
            <w:hideMark/>
          </w:tcPr>
          <w:p w14:paraId="012040CC"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0 ± 0</w:t>
            </w:r>
          </w:p>
        </w:tc>
        <w:tc>
          <w:tcPr>
            <w:tcW w:w="1264" w:type="dxa"/>
            <w:tcBorders>
              <w:top w:val="nil"/>
              <w:left w:val="nil"/>
              <w:right w:val="nil"/>
            </w:tcBorders>
            <w:shd w:val="clear" w:color="000000" w:fill="A9D08E"/>
            <w:vAlign w:val="bottom"/>
            <w:hideMark/>
          </w:tcPr>
          <w:p w14:paraId="4D627BC5"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5 ± 9</w:t>
            </w:r>
          </w:p>
        </w:tc>
        <w:tc>
          <w:tcPr>
            <w:tcW w:w="1698" w:type="dxa"/>
            <w:tcBorders>
              <w:top w:val="nil"/>
              <w:left w:val="nil"/>
              <w:right w:val="nil"/>
            </w:tcBorders>
            <w:shd w:val="clear" w:color="000000" w:fill="E2EFDA"/>
            <w:noWrap/>
            <w:vAlign w:val="bottom"/>
            <w:hideMark/>
          </w:tcPr>
          <w:p w14:paraId="5633251A"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2 ± 7</w:t>
            </w:r>
          </w:p>
        </w:tc>
      </w:tr>
      <w:tr w:rsidR="00AA6C5C" w:rsidRPr="00321418" w14:paraId="3DF69634" w14:textId="77777777" w:rsidTr="006228D3">
        <w:trPr>
          <w:gridAfter w:val="1"/>
          <w:wAfter w:w="155" w:type="dxa"/>
          <w:trHeight w:val="354"/>
        </w:trPr>
        <w:tc>
          <w:tcPr>
            <w:tcW w:w="2288" w:type="dxa"/>
            <w:tcBorders>
              <w:left w:val="nil"/>
              <w:bottom w:val="nil"/>
              <w:right w:val="nil"/>
            </w:tcBorders>
            <w:shd w:val="clear" w:color="auto" w:fill="auto"/>
            <w:noWrap/>
            <w:vAlign w:val="bottom"/>
            <w:hideMark/>
          </w:tcPr>
          <w:p w14:paraId="79E03C97"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Bare ground</w:t>
            </w:r>
          </w:p>
        </w:tc>
        <w:tc>
          <w:tcPr>
            <w:tcW w:w="1131" w:type="dxa"/>
            <w:tcBorders>
              <w:left w:val="nil"/>
              <w:bottom w:val="nil"/>
              <w:right w:val="nil"/>
            </w:tcBorders>
            <w:shd w:val="clear" w:color="auto" w:fill="BF4E14" w:themeFill="accent2" w:themeFillShade="BF"/>
            <w:noWrap/>
            <w:vAlign w:val="bottom"/>
            <w:hideMark/>
          </w:tcPr>
          <w:p w14:paraId="2A816EEF"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-19 ± 9</w:t>
            </w:r>
          </w:p>
        </w:tc>
        <w:tc>
          <w:tcPr>
            <w:tcW w:w="1131" w:type="dxa"/>
            <w:tcBorders>
              <w:left w:val="nil"/>
              <w:bottom w:val="nil"/>
              <w:right w:val="nil"/>
            </w:tcBorders>
            <w:shd w:val="clear" w:color="000000" w:fill="F4B084"/>
            <w:noWrap/>
            <w:vAlign w:val="bottom"/>
            <w:hideMark/>
          </w:tcPr>
          <w:p w14:paraId="42899DF7"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-7 ± 8</w:t>
            </w:r>
          </w:p>
        </w:tc>
        <w:tc>
          <w:tcPr>
            <w:tcW w:w="1131" w:type="dxa"/>
            <w:tcBorders>
              <w:left w:val="nil"/>
              <w:bottom w:val="nil"/>
              <w:right w:val="nil"/>
            </w:tcBorders>
            <w:shd w:val="clear" w:color="auto" w:fill="FAE2D5" w:themeFill="accent2" w:themeFillTint="33"/>
            <w:noWrap/>
            <w:vAlign w:val="bottom"/>
            <w:hideMark/>
          </w:tcPr>
          <w:p w14:paraId="347DF016"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-4 ± 6</w:t>
            </w:r>
          </w:p>
        </w:tc>
        <w:tc>
          <w:tcPr>
            <w:tcW w:w="1264" w:type="dxa"/>
            <w:tcBorders>
              <w:left w:val="nil"/>
              <w:bottom w:val="nil"/>
              <w:right w:val="nil"/>
            </w:tcBorders>
            <w:shd w:val="clear" w:color="auto" w:fill="BF4E14" w:themeFill="accent2" w:themeFillShade="BF"/>
            <w:vAlign w:val="bottom"/>
            <w:hideMark/>
          </w:tcPr>
          <w:p w14:paraId="5E705049"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-15 ± 4</w:t>
            </w:r>
          </w:p>
        </w:tc>
        <w:tc>
          <w:tcPr>
            <w:tcW w:w="1698" w:type="dxa"/>
            <w:tcBorders>
              <w:left w:val="nil"/>
              <w:bottom w:val="nil"/>
              <w:right w:val="nil"/>
            </w:tcBorders>
            <w:shd w:val="clear" w:color="auto" w:fill="FAE2D5" w:themeFill="accent2" w:themeFillTint="33"/>
            <w:vAlign w:val="bottom"/>
            <w:hideMark/>
          </w:tcPr>
          <w:p w14:paraId="15C4E7A0"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-2 ± 4</w:t>
            </w:r>
          </w:p>
        </w:tc>
      </w:tr>
      <w:tr w:rsidR="00AA6C5C" w:rsidRPr="00321418" w14:paraId="1D4C9A80"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37ED21C2"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Bryophyte</w:t>
            </w:r>
          </w:p>
        </w:tc>
        <w:tc>
          <w:tcPr>
            <w:tcW w:w="1131" w:type="dxa"/>
            <w:tcBorders>
              <w:top w:val="nil"/>
              <w:left w:val="nil"/>
              <w:bottom w:val="nil"/>
              <w:right w:val="nil"/>
            </w:tcBorders>
            <w:shd w:val="clear" w:color="000000" w:fill="E2EFDA"/>
            <w:noWrap/>
            <w:vAlign w:val="bottom"/>
            <w:hideMark/>
          </w:tcPr>
          <w:p w14:paraId="1F34D34A"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1</w:t>
            </w:r>
          </w:p>
        </w:tc>
        <w:tc>
          <w:tcPr>
            <w:tcW w:w="1131" w:type="dxa"/>
            <w:tcBorders>
              <w:top w:val="nil"/>
              <w:left w:val="nil"/>
              <w:bottom w:val="nil"/>
              <w:right w:val="nil"/>
            </w:tcBorders>
            <w:shd w:val="clear" w:color="000000" w:fill="A9D08E"/>
            <w:noWrap/>
            <w:vAlign w:val="bottom"/>
            <w:hideMark/>
          </w:tcPr>
          <w:p w14:paraId="489A801F"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5 ± 7</w:t>
            </w:r>
          </w:p>
        </w:tc>
        <w:tc>
          <w:tcPr>
            <w:tcW w:w="1131" w:type="dxa"/>
            <w:tcBorders>
              <w:top w:val="nil"/>
              <w:left w:val="nil"/>
              <w:bottom w:val="nil"/>
              <w:right w:val="nil"/>
            </w:tcBorders>
            <w:shd w:val="clear" w:color="auto" w:fill="538135"/>
            <w:noWrap/>
            <w:vAlign w:val="bottom"/>
            <w:hideMark/>
          </w:tcPr>
          <w:p w14:paraId="6A31EE9D"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10 ± 9</w:t>
            </w:r>
          </w:p>
        </w:tc>
        <w:tc>
          <w:tcPr>
            <w:tcW w:w="1264" w:type="dxa"/>
            <w:tcBorders>
              <w:top w:val="nil"/>
              <w:left w:val="nil"/>
              <w:bottom w:val="nil"/>
              <w:right w:val="nil"/>
            </w:tcBorders>
            <w:shd w:val="clear" w:color="000000" w:fill="A9D08E"/>
            <w:noWrap/>
            <w:vAlign w:val="bottom"/>
            <w:hideMark/>
          </w:tcPr>
          <w:p w14:paraId="189BF692"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b/>
                <w:bCs/>
                <w:color w:val="000000"/>
                <w:sz w:val="20"/>
                <w:szCs w:val="20"/>
                <w:lang w:eastAsia="en-ZA"/>
              </w:rPr>
              <w:t>5 ± 9</w:t>
            </w:r>
          </w:p>
        </w:tc>
        <w:tc>
          <w:tcPr>
            <w:tcW w:w="1698" w:type="dxa"/>
            <w:tcBorders>
              <w:top w:val="nil"/>
              <w:left w:val="nil"/>
              <w:bottom w:val="nil"/>
              <w:right w:val="nil"/>
            </w:tcBorders>
            <w:shd w:val="clear" w:color="000000" w:fill="E2EFDA"/>
            <w:noWrap/>
            <w:vAlign w:val="bottom"/>
            <w:hideMark/>
          </w:tcPr>
          <w:p w14:paraId="324F0A58"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4</w:t>
            </w:r>
          </w:p>
        </w:tc>
      </w:tr>
      <w:tr w:rsidR="00AA6C5C" w:rsidRPr="00321418" w14:paraId="3D9A1D26"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1ECFF3BF"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Cushion dicot</w:t>
            </w:r>
          </w:p>
        </w:tc>
        <w:tc>
          <w:tcPr>
            <w:tcW w:w="1131" w:type="dxa"/>
            <w:tcBorders>
              <w:top w:val="nil"/>
              <w:left w:val="nil"/>
              <w:bottom w:val="nil"/>
              <w:right w:val="nil"/>
            </w:tcBorders>
            <w:shd w:val="clear" w:color="000000" w:fill="F4B084"/>
            <w:noWrap/>
            <w:vAlign w:val="bottom"/>
            <w:hideMark/>
          </w:tcPr>
          <w:p w14:paraId="2AC6B8A9"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-6 ± 5</w:t>
            </w:r>
          </w:p>
        </w:tc>
        <w:tc>
          <w:tcPr>
            <w:tcW w:w="1131" w:type="dxa"/>
            <w:tcBorders>
              <w:top w:val="nil"/>
              <w:left w:val="nil"/>
              <w:bottom w:val="nil"/>
              <w:right w:val="nil"/>
            </w:tcBorders>
            <w:shd w:val="clear" w:color="auto" w:fill="FAE2D5" w:themeFill="accent2" w:themeFillTint="33"/>
            <w:noWrap/>
            <w:vAlign w:val="bottom"/>
            <w:hideMark/>
          </w:tcPr>
          <w:p w14:paraId="24A6EFCE"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-4 ± 3</w:t>
            </w:r>
          </w:p>
        </w:tc>
        <w:tc>
          <w:tcPr>
            <w:tcW w:w="1131" w:type="dxa"/>
            <w:tcBorders>
              <w:top w:val="nil"/>
              <w:left w:val="nil"/>
              <w:bottom w:val="nil"/>
              <w:right w:val="nil"/>
            </w:tcBorders>
            <w:shd w:val="clear" w:color="auto" w:fill="auto"/>
            <w:noWrap/>
            <w:vAlign w:val="bottom"/>
            <w:hideMark/>
          </w:tcPr>
          <w:p w14:paraId="334A8575"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p>
        </w:tc>
        <w:tc>
          <w:tcPr>
            <w:tcW w:w="1264" w:type="dxa"/>
            <w:tcBorders>
              <w:top w:val="nil"/>
              <w:left w:val="nil"/>
              <w:bottom w:val="nil"/>
              <w:right w:val="nil"/>
            </w:tcBorders>
            <w:shd w:val="clear" w:color="auto" w:fill="FAE2D5" w:themeFill="accent2" w:themeFillTint="33"/>
            <w:vAlign w:val="bottom"/>
            <w:hideMark/>
          </w:tcPr>
          <w:p w14:paraId="4CEEA841"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-4 ± 12</w:t>
            </w:r>
          </w:p>
        </w:tc>
        <w:tc>
          <w:tcPr>
            <w:tcW w:w="1698" w:type="dxa"/>
            <w:tcBorders>
              <w:top w:val="nil"/>
              <w:left w:val="nil"/>
              <w:bottom w:val="nil"/>
              <w:right w:val="nil"/>
            </w:tcBorders>
            <w:shd w:val="clear" w:color="auto" w:fill="FAE2D5" w:themeFill="accent2" w:themeFillTint="33"/>
            <w:noWrap/>
            <w:vAlign w:val="bottom"/>
            <w:hideMark/>
          </w:tcPr>
          <w:p w14:paraId="7AB99BC7"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-4 ± 5</w:t>
            </w:r>
          </w:p>
        </w:tc>
      </w:tr>
      <w:tr w:rsidR="00AA6C5C" w:rsidRPr="00321418" w14:paraId="0B3F00A5"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5C5D1E62"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Epiphytic graminoid</w:t>
            </w:r>
          </w:p>
        </w:tc>
        <w:tc>
          <w:tcPr>
            <w:tcW w:w="1131" w:type="dxa"/>
            <w:tcBorders>
              <w:top w:val="nil"/>
              <w:left w:val="nil"/>
              <w:bottom w:val="nil"/>
              <w:right w:val="nil"/>
            </w:tcBorders>
            <w:shd w:val="clear" w:color="000000" w:fill="548235"/>
            <w:noWrap/>
            <w:vAlign w:val="bottom"/>
            <w:hideMark/>
          </w:tcPr>
          <w:p w14:paraId="7B637ECC"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21 ± 13</w:t>
            </w:r>
          </w:p>
        </w:tc>
        <w:tc>
          <w:tcPr>
            <w:tcW w:w="1131" w:type="dxa"/>
            <w:tcBorders>
              <w:top w:val="nil"/>
              <w:left w:val="nil"/>
              <w:bottom w:val="nil"/>
              <w:right w:val="nil"/>
            </w:tcBorders>
            <w:shd w:val="clear" w:color="auto" w:fill="FFFFFF"/>
            <w:noWrap/>
            <w:vAlign w:val="bottom"/>
            <w:hideMark/>
          </w:tcPr>
          <w:p w14:paraId="33045936"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p>
        </w:tc>
        <w:tc>
          <w:tcPr>
            <w:tcW w:w="1131" w:type="dxa"/>
            <w:tcBorders>
              <w:top w:val="nil"/>
              <w:left w:val="nil"/>
              <w:bottom w:val="nil"/>
              <w:right w:val="nil"/>
            </w:tcBorders>
            <w:shd w:val="clear" w:color="auto" w:fill="FFFFFF"/>
            <w:noWrap/>
            <w:vAlign w:val="bottom"/>
            <w:hideMark/>
          </w:tcPr>
          <w:p w14:paraId="48DF4542"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264" w:type="dxa"/>
            <w:tcBorders>
              <w:top w:val="nil"/>
              <w:left w:val="nil"/>
              <w:bottom w:val="nil"/>
              <w:right w:val="nil"/>
            </w:tcBorders>
            <w:shd w:val="clear" w:color="auto" w:fill="FFFFFF"/>
            <w:noWrap/>
            <w:vAlign w:val="bottom"/>
            <w:hideMark/>
          </w:tcPr>
          <w:p w14:paraId="3870CA3F"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698" w:type="dxa"/>
            <w:tcBorders>
              <w:top w:val="nil"/>
              <w:left w:val="nil"/>
              <w:bottom w:val="nil"/>
              <w:right w:val="nil"/>
            </w:tcBorders>
            <w:shd w:val="clear" w:color="auto" w:fill="auto"/>
            <w:noWrap/>
            <w:vAlign w:val="bottom"/>
            <w:hideMark/>
          </w:tcPr>
          <w:p w14:paraId="5A0BA17C"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r>
      <w:tr w:rsidR="00AA6C5C" w:rsidRPr="00321418" w14:paraId="355ABB31" w14:textId="77777777" w:rsidTr="006228D3">
        <w:trPr>
          <w:gridAfter w:val="1"/>
          <w:wAfter w:w="155" w:type="dxa"/>
          <w:trHeight w:val="354"/>
        </w:trPr>
        <w:tc>
          <w:tcPr>
            <w:tcW w:w="2288" w:type="dxa"/>
            <w:tcBorders>
              <w:top w:val="nil"/>
              <w:left w:val="nil"/>
              <w:right w:val="nil"/>
            </w:tcBorders>
            <w:shd w:val="clear" w:color="auto" w:fill="auto"/>
            <w:noWrap/>
            <w:vAlign w:val="bottom"/>
            <w:hideMark/>
          </w:tcPr>
          <w:p w14:paraId="0B087151"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Erect dicot</w:t>
            </w:r>
          </w:p>
        </w:tc>
        <w:tc>
          <w:tcPr>
            <w:tcW w:w="1131" w:type="dxa"/>
            <w:tcBorders>
              <w:top w:val="nil"/>
              <w:left w:val="nil"/>
              <w:right w:val="nil"/>
            </w:tcBorders>
            <w:shd w:val="clear" w:color="auto" w:fill="auto"/>
            <w:noWrap/>
            <w:vAlign w:val="bottom"/>
            <w:hideMark/>
          </w:tcPr>
          <w:p w14:paraId="5DEFECD1"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right w:val="nil"/>
            </w:tcBorders>
            <w:shd w:val="clear" w:color="auto" w:fill="auto"/>
            <w:noWrap/>
            <w:vAlign w:val="bottom"/>
            <w:hideMark/>
          </w:tcPr>
          <w:p w14:paraId="585CF733"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c>
          <w:tcPr>
            <w:tcW w:w="1131" w:type="dxa"/>
            <w:tcBorders>
              <w:top w:val="nil"/>
              <w:left w:val="nil"/>
              <w:right w:val="nil"/>
            </w:tcBorders>
            <w:shd w:val="clear" w:color="auto" w:fill="auto"/>
            <w:noWrap/>
            <w:vAlign w:val="bottom"/>
            <w:hideMark/>
          </w:tcPr>
          <w:p w14:paraId="0184413D"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c>
          <w:tcPr>
            <w:tcW w:w="1264" w:type="dxa"/>
            <w:tcBorders>
              <w:top w:val="nil"/>
              <w:left w:val="nil"/>
              <w:right w:val="nil"/>
            </w:tcBorders>
            <w:shd w:val="clear" w:color="auto" w:fill="E2EFD9"/>
            <w:noWrap/>
            <w:vAlign w:val="bottom"/>
            <w:hideMark/>
          </w:tcPr>
          <w:p w14:paraId="49C76F3E" w14:textId="77777777" w:rsidR="00AA6C5C" w:rsidRPr="00321418" w:rsidRDefault="00AA6C5C" w:rsidP="006228D3">
            <w:pPr>
              <w:spacing w:after="0" w:line="240" w:lineRule="auto"/>
              <w:jc w:val="center"/>
              <w:rPr>
                <w:rFonts w:ascii="Calibri" w:eastAsia="Times New Roman" w:hAnsi="Calibri" w:cs="Calibri"/>
                <w:sz w:val="20"/>
                <w:szCs w:val="20"/>
                <w:lang w:eastAsia="en-ZA"/>
              </w:rPr>
            </w:pPr>
            <w:r w:rsidRPr="00321418">
              <w:rPr>
                <w:rFonts w:ascii="Calibri" w:eastAsia="Times New Roman" w:hAnsi="Calibri" w:cs="Calibri"/>
                <w:sz w:val="20"/>
                <w:szCs w:val="20"/>
                <w:lang w:eastAsia="en-ZA"/>
              </w:rPr>
              <w:t>1 ± 2</w:t>
            </w:r>
          </w:p>
        </w:tc>
        <w:tc>
          <w:tcPr>
            <w:tcW w:w="1698" w:type="dxa"/>
            <w:tcBorders>
              <w:top w:val="nil"/>
              <w:left w:val="nil"/>
              <w:right w:val="nil"/>
            </w:tcBorders>
            <w:shd w:val="clear" w:color="auto" w:fill="F4B083"/>
            <w:noWrap/>
            <w:vAlign w:val="bottom"/>
            <w:hideMark/>
          </w:tcPr>
          <w:p w14:paraId="03036C34"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-7 ± 3</w:t>
            </w:r>
          </w:p>
        </w:tc>
      </w:tr>
      <w:tr w:rsidR="00AA6C5C" w:rsidRPr="00321418" w14:paraId="6660E5C6"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74CC1866"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Mat dicot</w:t>
            </w:r>
          </w:p>
        </w:tc>
        <w:tc>
          <w:tcPr>
            <w:tcW w:w="1131" w:type="dxa"/>
            <w:tcBorders>
              <w:top w:val="nil"/>
              <w:left w:val="nil"/>
              <w:bottom w:val="nil"/>
              <w:right w:val="nil"/>
            </w:tcBorders>
            <w:shd w:val="clear" w:color="auto" w:fill="auto"/>
            <w:noWrap/>
            <w:vAlign w:val="bottom"/>
            <w:hideMark/>
          </w:tcPr>
          <w:p w14:paraId="54D0EA7A"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bottom w:val="nil"/>
              <w:right w:val="nil"/>
            </w:tcBorders>
            <w:shd w:val="clear" w:color="auto" w:fill="auto"/>
            <w:noWrap/>
            <w:vAlign w:val="bottom"/>
            <w:hideMark/>
          </w:tcPr>
          <w:p w14:paraId="6DC03A09"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c>
          <w:tcPr>
            <w:tcW w:w="1131" w:type="dxa"/>
            <w:tcBorders>
              <w:top w:val="nil"/>
              <w:left w:val="nil"/>
              <w:bottom w:val="nil"/>
              <w:right w:val="nil"/>
            </w:tcBorders>
            <w:shd w:val="clear" w:color="auto" w:fill="auto"/>
            <w:noWrap/>
            <w:vAlign w:val="bottom"/>
            <w:hideMark/>
          </w:tcPr>
          <w:p w14:paraId="027F64CF"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c>
          <w:tcPr>
            <w:tcW w:w="1264" w:type="dxa"/>
            <w:tcBorders>
              <w:top w:val="nil"/>
              <w:left w:val="nil"/>
              <w:bottom w:val="nil"/>
              <w:right w:val="nil"/>
            </w:tcBorders>
            <w:shd w:val="clear" w:color="auto" w:fill="BFBFBF"/>
            <w:vAlign w:val="bottom"/>
            <w:hideMark/>
          </w:tcPr>
          <w:p w14:paraId="6C4AFE49"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0 ± 5</w:t>
            </w:r>
          </w:p>
        </w:tc>
        <w:tc>
          <w:tcPr>
            <w:tcW w:w="1698" w:type="dxa"/>
            <w:tcBorders>
              <w:top w:val="nil"/>
              <w:left w:val="nil"/>
              <w:bottom w:val="nil"/>
              <w:right w:val="nil"/>
            </w:tcBorders>
            <w:shd w:val="clear" w:color="000000" w:fill="BFBFBF"/>
            <w:noWrap/>
            <w:vAlign w:val="bottom"/>
            <w:hideMark/>
          </w:tcPr>
          <w:p w14:paraId="140A335B"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0 ± 0</w:t>
            </w:r>
          </w:p>
        </w:tc>
      </w:tr>
      <w:tr w:rsidR="00AA6C5C" w:rsidRPr="00321418" w14:paraId="08C25814"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2E5BD438"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Mire graminoid</w:t>
            </w:r>
          </w:p>
        </w:tc>
        <w:tc>
          <w:tcPr>
            <w:tcW w:w="1131" w:type="dxa"/>
            <w:tcBorders>
              <w:top w:val="nil"/>
              <w:left w:val="nil"/>
              <w:bottom w:val="nil"/>
              <w:right w:val="nil"/>
            </w:tcBorders>
            <w:shd w:val="clear" w:color="auto" w:fill="auto"/>
            <w:noWrap/>
            <w:vAlign w:val="bottom"/>
            <w:hideMark/>
          </w:tcPr>
          <w:p w14:paraId="13E9226B"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bottom w:val="nil"/>
              <w:right w:val="nil"/>
            </w:tcBorders>
            <w:shd w:val="clear" w:color="auto" w:fill="BFBFBF"/>
            <w:noWrap/>
            <w:vAlign w:val="bottom"/>
            <w:hideMark/>
          </w:tcPr>
          <w:p w14:paraId="71DA0D94"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0 ± 2</w:t>
            </w:r>
          </w:p>
        </w:tc>
        <w:tc>
          <w:tcPr>
            <w:tcW w:w="1131" w:type="dxa"/>
            <w:tcBorders>
              <w:top w:val="nil"/>
              <w:left w:val="nil"/>
              <w:bottom w:val="nil"/>
              <w:right w:val="nil"/>
            </w:tcBorders>
            <w:shd w:val="clear" w:color="auto" w:fill="BF4E14" w:themeFill="accent2" w:themeFillShade="BF"/>
            <w:noWrap/>
            <w:vAlign w:val="bottom"/>
            <w:hideMark/>
          </w:tcPr>
          <w:p w14:paraId="5547D522"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-21 ± 3</w:t>
            </w:r>
          </w:p>
        </w:tc>
        <w:tc>
          <w:tcPr>
            <w:tcW w:w="1264" w:type="dxa"/>
            <w:tcBorders>
              <w:top w:val="nil"/>
              <w:left w:val="nil"/>
              <w:bottom w:val="nil"/>
              <w:right w:val="nil"/>
            </w:tcBorders>
            <w:shd w:val="clear" w:color="auto" w:fill="538135"/>
            <w:vAlign w:val="bottom"/>
            <w:hideMark/>
          </w:tcPr>
          <w:p w14:paraId="3FC8689F"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10 ± 22</w:t>
            </w:r>
          </w:p>
        </w:tc>
        <w:tc>
          <w:tcPr>
            <w:tcW w:w="1698" w:type="dxa"/>
            <w:tcBorders>
              <w:top w:val="nil"/>
              <w:left w:val="nil"/>
              <w:bottom w:val="nil"/>
              <w:right w:val="nil"/>
            </w:tcBorders>
            <w:shd w:val="clear" w:color="auto" w:fill="auto"/>
            <w:noWrap/>
            <w:vAlign w:val="bottom"/>
            <w:hideMark/>
          </w:tcPr>
          <w:p w14:paraId="06626B7D"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r>
      <w:tr w:rsidR="00AA6C5C" w:rsidRPr="00321418" w14:paraId="34C33B50"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22B9BD8D"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Pteridophyte</w:t>
            </w:r>
          </w:p>
        </w:tc>
        <w:tc>
          <w:tcPr>
            <w:tcW w:w="1131" w:type="dxa"/>
            <w:tcBorders>
              <w:top w:val="nil"/>
              <w:left w:val="nil"/>
              <w:bottom w:val="nil"/>
              <w:right w:val="nil"/>
            </w:tcBorders>
            <w:shd w:val="clear" w:color="000000" w:fill="E2EFDA"/>
            <w:noWrap/>
            <w:vAlign w:val="bottom"/>
            <w:hideMark/>
          </w:tcPr>
          <w:p w14:paraId="4AA98C3C"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3 ± 9</w:t>
            </w:r>
          </w:p>
        </w:tc>
        <w:tc>
          <w:tcPr>
            <w:tcW w:w="1131" w:type="dxa"/>
            <w:tcBorders>
              <w:top w:val="nil"/>
              <w:left w:val="nil"/>
              <w:bottom w:val="nil"/>
              <w:right w:val="nil"/>
            </w:tcBorders>
            <w:shd w:val="clear" w:color="000000" w:fill="548235"/>
            <w:noWrap/>
            <w:vAlign w:val="bottom"/>
            <w:hideMark/>
          </w:tcPr>
          <w:p w14:paraId="6575B49C"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18 ± 9</w:t>
            </w:r>
          </w:p>
        </w:tc>
        <w:tc>
          <w:tcPr>
            <w:tcW w:w="1131" w:type="dxa"/>
            <w:tcBorders>
              <w:top w:val="nil"/>
              <w:left w:val="nil"/>
              <w:bottom w:val="nil"/>
              <w:right w:val="nil"/>
            </w:tcBorders>
            <w:shd w:val="clear" w:color="000000" w:fill="548235"/>
            <w:noWrap/>
            <w:vAlign w:val="bottom"/>
            <w:hideMark/>
          </w:tcPr>
          <w:p w14:paraId="6F9EA434"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15 ± 12</w:t>
            </w:r>
          </w:p>
        </w:tc>
        <w:tc>
          <w:tcPr>
            <w:tcW w:w="1264" w:type="dxa"/>
            <w:tcBorders>
              <w:top w:val="nil"/>
              <w:left w:val="nil"/>
              <w:bottom w:val="nil"/>
              <w:right w:val="nil"/>
            </w:tcBorders>
            <w:shd w:val="clear" w:color="auto" w:fill="E2EFDA"/>
            <w:vAlign w:val="bottom"/>
            <w:hideMark/>
          </w:tcPr>
          <w:p w14:paraId="340E4F6F"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3 ± 7</w:t>
            </w:r>
          </w:p>
        </w:tc>
        <w:tc>
          <w:tcPr>
            <w:tcW w:w="1698" w:type="dxa"/>
            <w:tcBorders>
              <w:top w:val="nil"/>
              <w:left w:val="nil"/>
              <w:bottom w:val="nil"/>
              <w:right w:val="nil"/>
            </w:tcBorders>
            <w:shd w:val="clear" w:color="auto" w:fill="auto"/>
            <w:noWrap/>
            <w:vAlign w:val="bottom"/>
            <w:hideMark/>
          </w:tcPr>
          <w:p w14:paraId="240A2892"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r>
      <w:tr w:rsidR="00AA6C5C" w:rsidRPr="00321418" w14:paraId="4BE8DFA1" w14:textId="77777777" w:rsidTr="006228D3">
        <w:trPr>
          <w:gridAfter w:val="1"/>
          <w:wAfter w:w="155" w:type="dxa"/>
          <w:trHeight w:val="354"/>
        </w:trPr>
        <w:tc>
          <w:tcPr>
            <w:tcW w:w="2288" w:type="dxa"/>
            <w:tcBorders>
              <w:top w:val="nil"/>
              <w:left w:val="nil"/>
              <w:bottom w:val="nil"/>
              <w:right w:val="nil"/>
            </w:tcBorders>
            <w:shd w:val="clear" w:color="auto" w:fill="auto"/>
            <w:noWrap/>
            <w:vAlign w:val="bottom"/>
            <w:hideMark/>
          </w:tcPr>
          <w:p w14:paraId="40C73079"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Rosette dicot</w:t>
            </w:r>
          </w:p>
        </w:tc>
        <w:tc>
          <w:tcPr>
            <w:tcW w:w="1131" w:type="dxa"/>
            <w:tcBorders>
              <w:top w:val="nil"/>
              <w:left w:val="nil"/>
              <w:bottom w:val="nil"/>
              <w:right w:val="nil"/>
            </w:tcBorders>
            <w:shd w:val="clear" w:color="auto" w:fill="auto"/>
            <w:noWrap/>
            <w:vAlign w:val="bottom"/>
            <w:hideMark/>
          </w:tcPr>
          <w:p w14:paraId="349B6594"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bottom w:val="nil"/>
              <w:right w:val="nil"/>
            </w:tcBorders>
            <w:shd w:val="clear" w:color="auto" w:fill="auto"/>
            <w:noWrap/>
            <w:vAlign w:val="bottom"/>
            <w:hideMark/>
          </w:tcPr>
          <w:p w14:paraId="4894AD84"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c>
          <w:tcPr>
            <w:tcW w:w="1131" w:type="dxa"/>
            <w:tcBorders>
              <w:top w:val="nil"/>
              <w:left w:val="nil"/>
              <w:bottom w:val="nil"/>
              <w:right w:val="nil"/>
            </w:tcBorders>
            <w:shd w:val="clear" w:color="000000" w:fill="E2EFDA"/>
            <w:noWrap/>
            <w:vAlign w:val="bottom"/>
            <w:hideMark/>
          </w:tcPr>
          <w:p w14:paraId="0AD17720"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3</w:t>
            </w:r>
          </w:p>
        </w:tc>
        <w:tc>
          <w:tcPr>
            <w:tcW w:w="1264" w:type="dxa"/>
            <w:tcBorders>
              <w:top w:val="nil"/>
              <w:left w:val="nil"/>
              <w:bottom w:val="nil"/>
              <w:right w:val="nil"/>
            </w:tcBorders>
            <w:shd w:val="clear" w:color="auto" w:fill="BF4E14" w:themeFill="accent2" w:themeFillShade="BF"/>
            <w:vAlign w:val="bottom"/>
            <w:hideMark/>
          </w:tcPr>
          <w:p w14:paraId="20D3B5C2"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-10 ± 8</w:t>
            </w:r>
          </w:p>
        </w:tc>
        <w:tc>
          <w:tcPr>
            <w:tcW w:w="1698" w:type="dxa"/>
            <w:tcBorders>
              <w:top w:val="nil"/>
              <w:left w:val="nil"/>
              <w:bottom w:val="nil"/>
              <w:right w:val="nil"/>
            </w:tcBorders>
            <w:shd w:val="clear" w:color="000000" w:fill="A9D08E"/>
            <w:noWrap/>
            <w:vAlign w:val="bottom"/>
            <w:hideMark/>
          </w:tcPr>
          <w:p w14:paraId="74F0909D"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9 ± 13</w:t>
            </w:r>
          </w:p>
        </w:tc>
      </w:tr>
      <w:tr w:rsidR="00AA6C5C" w:rsidRPr="00321418" w14:paraId="23E8EFD3" w14:textId="77777777" w:rsidTr="006228D3">
        <w:trPr>
          <w:gridAfter w:val="1"/>
          <w:wAfter w:w="155" w:type="dxa"/>
          <w:trHeight w:val="354"/>
        </w:trPr>
        <w:tc>
          <w:tcPr>
            <w:tcW w:w="2288" w:type="dxa"/>
            <w:tcBorders>
              <w:top w:val="nil"/>
              <w:left w:val="nil"/>
              <w:right w:val="nil"/>
            </w:tcBorders>
            <w:shd w:val="clear" w:color="auto" w:fill="auto"/>
            <w:noWrap/>
            <w:vAlign w:val="bottom"/>
            <w:hideMark/>
          </w:tcPr>
          <w:p w14:paraId="3FD8026C"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Pr>
                <w:rFonts w:ascii="Calibri" w:eastAsia="Times New Roman" w:hAnsi="Calibri" w:cs="Calibri"/>
                <w:color w:val="000000"/>
                <w:sz w:val="20"/>
                <w:szCs w:val="20"/>
                <w:lang w:eastAsia="en-ZA"/>
              </w:rPr>
              <w:t>Suffrutescent herb</w:t>
            </w:r>
          </w:p>
        </w:tc>
        <w:tc>
          <w:tcPr>
            <w:tcW w:w="1131" w:type="dxa"/>
            <w:tcBorders>
              <w:top w:val="nil"/>
              <w:left w:val="nil"/>
              <w:right w:val="nil"/>
            </w:tcBorders>
            <w:shd w:val="clear" w:color="auto" w:fill="auto"/>
            <w:noWrap/>
            <w:vAlign w:val="bottom"/>
            <w:hideMark/>
          </w:tcPr>
          <w:p w14:paraId="5CE1C864"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right w:val="nil"/>
            </w:tcBorders>
            <w:shd w:val="clear" w:color="000000" w:fill="F4B084"/>
            <w:noWrap/>
            <w:vAlign w:val="bottom"/>
            <w:hideMark/>
          </w:tcPr>
          <w:p w14:paraId="5CD19864"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-8 ± 7</w:t>
            </w:r>
          </w:p>
        </w:tc>
        <w:tc>
          <w:tcPr>
            <w:tcW w:w="1131" w:type="dxa"/>
            <w:tcBorders>
              <w:top w:val="nil"/>
              <w:left w:val="nil"/>
              <w:right w:val="nil"/>
            </w:tcBorders>
            <w:shd w:val="clear" w:color="auto" w:fill="auto"/>
            <w:noWrap/>
            <w:vAlign w:val="bottom"/>
            <w:hideMark/>
          </w:tcPr>
          <w:p w14:paraId="6FD01C07"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p>
        </w:tc>
        <w:tc>
          <w:tcPr>
            <w:tcW w:w="1264" w:type="dxa"/>
            <w:tcBorders>
              <w:top w:val="nil"/>
              <w:left w:val="nil"/>
              <w:right w:val="nil"/>
            </w:tcBorders>
            <w:shd w:val="clear" w:color="auto" w:fill="BFBFBF"/>
            <w:vAlign w:val="bottom"/>
            <w:hideMark/>
          </w:tcPr>
          <w:p w14:paraId="1DD0215F"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0 ± 1</w:t>
            </w:r>
          </w:p>
        </w:tc>
        <w:tc>
          <w:tcPr>
            <w:tcW w:w="1698" w:type="dxa"/>
            <w:tcBorders>
              <w:top w:val="nil"/>
              <w:left w:val="nil"/>
              <w:right w:val="nil"/>
            </w:tcBorders>
            <w:shd w:val="clear" w:color="auto" w:fill="auto"/>
            <w:noWrap/>
            <w:vAlign w:val="bottom"/>
            <w:hideMark/>
          </w:tcPr>
          <w:p w14:paraId="549CF17B" w14:textId="77777777" w:rsidR="00AA6C5C" w:rsidRPr="00321418" w:rsidRDefault="00AA6C5C" w:rsidP="006228D3">
            <w:pPr>
              <w:spacing w:after="0" w:line="240" w:lineRule="auto"/>
              <w:jc w:val="center"/>
              <w:rPr>
                <w:rFonts w:ascii="Times New Roman" w:eastAsia="Times New Roman" w:hAnsi="Times New Roman" w:cs="Times New Roman"/>
                <w:sz w:val="20"/>
                <w:szCs w:val="20"/>
                <w:lang w:eastAsia="en-ZA"/>
              </w:rPr>
            </w:pPr>
          </w:p>
        </w:tc>
      </w:tr>
      <w:tr w:rsidR="00AA6C5C" w:rsidRPr="00321418" w14:paraId="496C2368" w14:textId="77777777" w:rsidTr="006228D3">
        <w:trPr>
          <w:gridAfter w:val="1"/>
          <w:wAfter w:w="155" w:type="dxa"/>
          <w:trHeight w:val="354"/>
        </w:trPr>
        <w:tc>
          <w:tcPr>
            <w:tcW w:w="2288" w:type="dxa"/>
            <w:tcBorders>
              <w:top w:val="nil"/>
              <w:left w:val="nil"/>
              <w:right w:val="nil"/>
            </w:tcBorders>
            <w:shd w:val="clear" w:color="auto" w:fill="auto"/>
            <w:noWrap/>
            <w:vAlign w:val="bottom"/>
            <w:hideMark/>
          </w:tcPr>
          <w:p w14:paraId="3A4539F5"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Tussock graminoid</w:t>
            </w:r>
          </w:p>
        </w:tc>
        <w:tc>
          <w:tcPr>
            <w:tcW w:w="1131" w:type="dxa"/>
            <w:tcBorders>
              <w:top w:val="nil"/>
              <w:left w:val="nil"/>
              <w:right w:val="nil"/>
            </w:tcBorders>
            <w:shd w:val="clear" w:color="auto" w:fill="auto"/>
            <w:noWrap/>
            <w:vAlign w:val="bottom"/>
            <w:hideMark/>
          </w:tcPr>
          <w:p w14:paraId="0CCD50B6"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p>
        </w:tc>
        <w:tc>
          <w:tcPr>
            <w:tcW w:w="1131" w:type="dxa"/>
            <w:tcBorders>
              <w:top w:val="nil"/>
              <w:left w:val="nil"/>
              <w:right w:val="nil"/>
            </w:tcBorders>
            <w:shd w:val="clear" w:color="000000" w:fill="F4B084"/>
            <w:noWrap/>
            <w:vAlign w:val="bottom"/>
            <w:hideMark/>
          </w:tcPr>
          <w:p w14:paraId="3B9E0E64"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-7 ± 11</w:t>
            </w:r>
          </w:p>
        </w:tc>
        <w:tc>
          <w:tcPr>
            <w:tcW w:w="1131" w:type="dxa"/>
            <w:tcBorders>
              <w:top w:val="nil"/>
              <w:left w:val="nil"/>
              <w:right w:val="nil"/>
            </w:tcBorders>
            <w:shd w:val="clear" w:color="000000" w:fill="E2EFDA"/>
            <w:noWrap/>
            <w:vAlign w:val="bottom"/>
            <w:hideMark/>
          </w:tcPr>
          <w:p w14:paraId="399AD59D"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2</w:t>
            </w:r>
          </w:p>
        </w:tc>
        <w:tc>
          <w:tcPr>
            <w:tcW w:w="1264" w:type="dxa"/>
            <w:tcBorders>
              <w:top w:val="nil"/>
              <w:left w:val="nil"/>
              <w:right w:val="nil"/>
            </w:tcBorders>
            <w:shd w:val="clear" w:color="auto" w:fill="FAE2D5" w:themeFill="accent2" w:themeFillTint="33"/>
            <w:vAlign w:val="bottom"/>
            <w:hideMark/>
          </w:tcPr>
          <w:p w14:paraId="0401C639"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-4 ± 2</w:t>
            </w:r>
          </w:p>
        </w:tc>
        <w:tc>
          <w:tcPr>
            <w:tcW w:w="1698" w:type="dxa"/>
            <w:tcBorders>
              <w:top w:val="nil"/>
              <w:left w:val="nil"/>
              <w:right w:val="nil"/>
            </w:tcBorders>
            <w:shd w:val="clear" w:color="auto" w:fill="FAE2D5" w:themeFill="accent2" w:themeFillTint="33"/>
            <w:noWrap/>
            <w:vAlign w:val="bottom"/>
            <w:hideMark/>
          </w:tcPr>
          <w:p w14:paraId="531E388C"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2</w:t>
            </w:r>
          </w:p>
        </w:tc>
      </w:tr>
      <w:tr w:rsidR="00AA6C5C" w:rsidRPr="00321418" w14:paraId="58C9BC84" w14:textId="77777777" w:rsidTr="006228D3">
        <w:trPr>
          <w:gridAfter w:val="1"/>
          <w:wAfter w:w="155" w:type="dxa"/>
          <w:trHeight w:val="354"/>
        </w:trPr>
        <w:tc>
          <w:tcPr>
            <w:tcW w:w="2288" w:type="dxa"/>
            <w:tcBorders>
              <w:top w:val="nil"/>
              <w:left w:val="nil"/>
              <w:bottom w:val="single" w:sz="4" w:space="0" w:color="auto"/>
              <w:right w:val="nil"/>
            </w:tcBorders>
            <w:shd w:val="clear" w:color="auto" w:fill="auto"/>
            <w:noWrap/>
            <w:vAlign w:val="bottom"/>
            <w:hideMark/>
          </w:tcPr>
          <w:p w14:paraId="549730BC" w14:textId="77777777" w:rsidR="00AA6C5C" w:rsidRPr="00321418" w:rsidRDefault="00AA6C5C" w:rsidP="006228D3">
            <w:pPr>
              <w:spacing w:after="0" w:line="240" w:lineRule="auto"/>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Total vegetation</w:t>
            </w:r>
          </w:p>
        </w:tc>
        <w:tc>
          <w:tcPr>
            <w:tcW w:w="1131" w:type="dxa"/>
            <w:tcBorders>
              <w:top w:val="nil"/>
              <w:left w:val="nil"/>
              <w:bottom w:val="single" w:sz="4" w:space="0" w:color="auto"/>
              <w:right w:val="nil"/>
            </w:tcBorders>
            <w:shd w:val="clear" w:color="000000" w:fill="548235"/>
            <w:noWrap/>
            <w:vAlign w:val="bottom"/>
            <w:hideMark/>
          </w:tcPr>
          <w:p w14:paraId="473581F9"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18 ± 9</w:t>
            </w:r>
          </w:p>
        </w:tc>
        <w:tc>
          <w:tcPr>
            <w:tcW w:w="1131" w:type="dxa"/>
            <w:tcBorders>
              <w:top w:val="nil"/>
              <w:left w:val="nil"/>
              <w:bottom w:val="single" w:sz="4" w:space="0" w:color="auto"/>
              <w:right w:val="nil"/>
            </w:tcBorders>
            <w:shd w:val="clear" w:color="auto" w:fill="A9D08E"/>
            <w:noWrap/>
            <w:vAlign w:val="bottom"/>
            <w:hideMark/>
          </w:tcPr>
          <w:p w14:paraId="6AC819F3"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8 ± 9</w:t>
            </w:r>
          </w:p>
        </w:tc>
        <w:tc>
          <w:tcPr>
            <w:tcW w:w="1131" w:type="dxa"/>
            <w:tcBorders>
              <w:top w:val="nil"/>
              <w:left w:val="nil"/>
              <w:bottom w:val="single" w:sz="4" w:space="0" w:color="auto"/>
              <w:right w:val="nil"/>
            </w:tcBorders>
            <w:shd w:val="clear" w:color="auto" w:fill="A9D08E"/>
            <w:noWrap/>
            <w:vAlign w:val="bottom"/>
            <w:hideMark/>
          </w:tcPr>
          <w:p w14:paraId="19988015"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5 ± 1</w:t>
            </w:r>
          </w:p>
        </w:tc>
        <w:tc>
          <w:tcPr>
            <w:tcW w:w="1264" w:type="dxa"/>
            <w:tcBorders>
              <w:top w:val="nil"/>
              <w:left w:val="nil"/>
              <w:bottom w:val="single" w:sz="4" w:space="0" w:color="auto"/>
              <w:right w:val="nil"/>
            </w:tcBorders>
            <w:shd w:val="clear" w:color="000000" w:fill="548235"/>
            <w:vAlign w:val="bottom"/>
            <w:hideMark/>
          </w:tcPr>
          <w:p w14:paraId="0A766266" w14:textId="77777777" w:rsidR="00AA6C5C" w:rsidRPr="00321418" w:rsidRDefault="00AA6C5C" w:rsidP="006228D3">
            <w:pPr>
              <w:spacing w:after="0" w:line="240" w:lineRule="auto"/>
              <w:jc w:val="center"/>
              <w:rPr>
                <w:rFonts w:ascii="Calibri" w:eastAsia="Times New Roman" w:hAnsi="Calibri" w:cs="Calibri"/>
                <w:b/>
                <w:bCs/>
                <w:color w:val="000000"/>
                <w:sz w:val="20"/>
                <w:szCs w:val="20"/>
                <w:lang w:eastAsia="en-ZA"/>
              </w:rPr>
            </w:pPr>
            <w:r w:rsidRPr="00321418">
              <w:rPr>
                <w:rFonts w:ascii="Calibri" w:eastAsia="Times New Roman" w:hAnsi="Calibri" w:cs="Calibri"/>
                <w:b/>
                <w:bCs/>
                <w:color w:val="000000"/>
                <w:sz w:val="20"/>
                <w:szCs w:val="20"/>
                <w:lang w:eastAsia="en-ZA"/>
              </w:rPr>
              <w:t>14 ± 4</w:t>
            </w:r>
          </w:p>
        </w:tc>
        <w:tc>
          <w:tcPr>
            <w:tcW w:w="1698" w:type="dxa"/>
            <w:tcBorders>
              <w:top w:val="nil"/>
              <w:left w:val="nil"/>
              <w:bottom w:val="single" w:sz="4" w:space="0" w:color="auto"/>
              <w:right w:val="nil"/>
            </w:tcBorders>
            <w:shd w:val="clear" w:color="000000" w:fill="E2EFDA"/>
            <w:vAlign w:val="bottom"/>
            <w:hideMark/>
          </w:tcPr>
          <w:p w14:paraId="7AA9A271" w14:textId="77777777" w:rsidR="00AA6C5C" w:rsidRPr="00321418" w:rsidRDefault="00AA6C5C" w:rsidP="006228D3">
            <w:pPr>
              <w:spacing w:after="0" w:line="240" w:lineRule="auto"/>
              <w:jc w:val="center"/>
              <w:rPr>
                <w:rFonts w:ascii="Calibri" w:eastAsia="Times New Roman" w:hAnsi="Calibri" w:cs="Calibri"/>
                <w:color w:val="000000"/>
                <w:sz w:val="20"/>
                <w:szCs w:val="20"/>
                <w:lang w:eastAsia="en-ZA"/>
              </w:rPr>
            </w:pPr>
            <w:r w:rsidRPr="00321418">
              <w:rPr>
                <w:rFonts w:ascii="Calibri" w:eastAsia="Times New Roman" w:hAnsi="Calibri" w:cs="Calibri"/>
                <w:color w:val="000000"/>
                <w:sz w:val="20"/>
                <w:szCs w:val="20"/>
                <w:lang w:eastAsia="en-ZA"/>
              </w:rPr>
              <w:t>1 ± 3</w:t>
            </w:r>
          </w:p>
        </w:tc>
      </w:tr>
    </w:tbl>
    <w:p w14:paraId="4E51EA58" w14:textId="77777777" w:rsidR="00AA6C5C" w:rsidRPr="00321418" w:rsidRDefault="00AA6C5C" w:rsidP="00AA6C5C">
      <w:pPr>
        <w:ind w:hanging="426"/>
        <w:jc w:val="both"/>
        <w:rPr>
          <w:rFonts w:ascii="Calibri" w:eastAsia="Calibri" w:hAnsi="Calibri" w:cs="Times New Roman"/>
        </w:rPr>
      </w:pPr>
    </w:p>
    <w:sectPr w:rsidR="00AA6C5C" w:rsidRPr="00321418" w:rsidSect="00EA6459">
      <w:footerReference w:type="default" r:id="rId6"/>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FCAAD0" w14:textId="77777777" w:rsidR="00A75730" w:rsidRDefault="00A75730">
      <w:pPr>
        <w:spacing w:after="0" w:line="240" w:lineRule="auto"/>
      </w:pPr>
      <w:r>
        <w:separator/>
      </w:r>
    </w:p>
  </w:endnote>
  <w:endnote w:type="continuationSeparator" w:id="0">
    <w:p w14:paraId="0F0DFAF0" w14:textId="77777777" w:rsidR="00A75730" w:rsidRDefault="00A757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6984945"/>
      <w:docPartObj>
        <w:docPartGallery w:val="Page Numbers (Bottom of Page)"/>
        <w:docPartUnique/>
      </w:docPartObj>
    </w:sdtPr>
    <w:sdtEndPr>
      <w:rPr>
        <w:noProof/>
      </w:rPr>
    </w:sdtEndPr>
    <w:sdtContent>
      <w:p w14:paraId="305683BD" w14:textId="50FE1AA0" w:rsidR="00AB4136" w:rsidRDefault="000E05E8">
        <w:pPr>
          <w:pStyle w:val="Footer"/>
          <w:jc w:val="right"/>
        </w:pPr>
        <w:r>
          <w:fldChar w:fldCharType="begin"/>
        </w:r>
        <w:r>
          <w:instrText xml:space="preserve"> PAGE   \* MERGEFORMAT </w:instrText>
        </w:r>
        <w:r>
          <w:fldChar w:fldCharType="separate"/>
        </w:r>
        <w:r w:rsidR="0014268D">
          <w:rPr>
            <w:noProof/>
          </w:rPr>
          <w:t>3</w:t>
        </w:r>
        <w:r>
          <w:rPr>
            <w:noProof/>
          </w:rPr>
          <w:fldChar w:fldCharType="end"/>
        </w:r>
      </w:p>
    </w:sdtContent>
  </w:sdt>
  <w:p w14:paraId="0208C261" w14:textId="77777777" w:rsidR="00AB4136" w:rsidRDefault="00AB41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CCF73A" w14:textId="77777777" w:rsidR="00A75730" w:rsidRDefault="00A75730">
      <w:pPr>
        <w:spacing w:after="0" w:line="240" w:lineRule="auto"/>
      </w:pPr>
      <w:r>
        <w:separator/>
      </w:r>
    </w:p>
  </w:footnote>
  <w:footnote w:type="continuationSeparator" w:id="0">
    <w:p w14:paraId="00C56FFB" w14:textId="77777777" w:rsidR="00A75730" w:rsidRDefault="00A7573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ctiveWritingStyle w:appName="MSWord" w:lang="fr-FR" w:vendorID="64" w:dllVersion="131078" w:nlCheck="1" w:checkStyle="0"/>
  <w:activeWritingStyle w:appName="MSWord" w:lang="en-ZA" w:vendorID="64" w:dllVersion="131078" w:nlCheck="1" w:checkStyle="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ED3"/>
    <w:rsid w:val="00004269"/>
    <w:rsid w:val="00051E45"/>
    <w:rsid w:val="000E05E8"/>
    <w:rsid w:val="000F551D"/>
    <w:rsid w:val="0014268D"/>
    <w:rsid w:val="001D7FC9"/>
    <w:rsid w:val="001E1BCD"/>
    <w:rsid w:val="002477FB"/>
    <w:rsid w:val="002916D7"/>
    <w:rsid w:val="00296CCF"/>
    <w:rsid w:val="002A6FBA"/>
    <w:rsid w:val="002B0F51"/>
    <w:rsid w:val="00320752"/>
    <w:rsid w:val="0035318F"/>
    <w:rsid w:val="00385871"/>
    <w:rsid w:val="004847E8"/>
    <w:rsid w:val="004949F6"/>
    <w:rsid w:val="005242CA"/>
    <w:rsid w:val="00524479"/>
    <w:rsid w:val="005C1612"/>
    <w:rsid w:val="005D3F95"/>
    <w:rsid w:val="00684461"/>
    <w:rsid w:val="00684FFE"/>
    <w:rsid w:val="00712B7B"/>
    <w:rsid w:val="008911EE"/>
    <w:rsid w:val="008E62E1"/>
    <w:rsid w:val="009508F0"/>
    <w:rsid w:val="009853C7"/>
    <w:rsid w:val="00A221E8"/>
    <w:rsid w:val="00A47591"/>
    <w:rsid w:val="00A75730"/>
    <w:rsid w:val="00AA6C5C"/>
    <w:rsid w:val="00AB4136"/>
    <w:rsid w:val="00B43A55"/>
    <w:rsid w:val="00B5304C"/>
    <w:rsid w:val="00BD4D93"/>
    <w:rsid w:val="00C214FB"/>
    <w:rsid w:val="00C77A4A"/>
    <w:rsid w:val="00CF4F98"/>
    <w:rsid w:val="00D036F4"/>
    <w:rsid w:val="00D20AFD"/>
    <w:rsid w:val="00D54C74"/>
    <w:rsid w:val="00E45A6A"/>
    <w:rsid w:val="00E83476"/>
    <w:rsid w:val="00EA6459"/>
    <w:rsid w:val="00F01B43"/>
    <w:rsid w:val="00F41ED3"/>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F3275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1ED3"/>
    <w:rPr>
      <w:kern w:val="0"/>
      <w14:ligatures w14:val="none"/>
    </w:rPr>
  </w:style>
  <w:style w:type="paragraph" w:styleId="Heading1">
    <w:name w:val="heading 1"/>
    <w:basedOn w:val="Normal"/>
    <w:next w:val="Normal"/>
    <w:link w:val="Heading1Char"/>
    <w:uiPriority w:val="9"/>
    <w:qFormat/>
    <w:rsid w:val="00F41ED3"/>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unhideWhenUsed/>
    <w:qFormat/>
    <w:rsid w:val="00F41ED3"/>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41ED3"/>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41ED3"/>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F41ED3"/>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F41ED3"/>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F41ED3"/>
    <w:pPr>
      <w:keepNext/>
      <w:keepLines/>
      <w:spacing w:before="40" w:after="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F41ED3"/>
    <w:pPr>
      <w:keepNext/>
      <w:keepLines/>
      <w:spacing w:after="0"/>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F41ED3"/>
    <w:pPr>
      <w:keepNext/>
      <w:keepLines/>
      <w:spacing w:after="0"/>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1ED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41ED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41ED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41ED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41ED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41ED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41ED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41ED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41ED3"/>
    <w:rPr>
      <w:rFonts w:eastAsiaTheme="majorEastAsia" w:cstheme="majorBidi"/>
      <w:color w:val="272727" w:themeColor="text1" w:themeTint="D8"/>
    </w:rPr>
  </w:style>
  <w:style w:type="paragraph" w:styleId="Title">
    <w:name w:val="Title"/>
    <w:basedOn w:val="Normal"/>
    <w:next w:val="Normal"/>
    <w:link w:val="TitleChar"/>
    <w:uiPriority w:val="10"/>
    <w:qFormat/>
    <w:rsid w:val="00F41ED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41ED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41ED3"/>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41ED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41ED3"/>
    <w:pPr>
      <w:spacing w:before="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F41ED3"/>
    <w:rPr>
      <w:i/>
      <w:iCs/>
      <w:color w:val="404040" w:themeColor="text1" w:themeTint="BF"/>
    </w:rPr>
  </w:style>
  <w:style w:type="paragraph" w:styleId="ListParagraph">
    <w:name w:val="List Paragraph"/>
    <w:basedOn w:val="Normal"/>
    <w:uiPriority w:val="34"/>
    <w:qFormat/>
    <w:rsid w:val="00F41ED3"/>
    <w:pPr>
      <w:ind w:left="720"/>
      <w:contextualSpacing/>
    </w:pPr>
    <w:rPr>
      <w:kern w:val="2"/>
      <w14:ligatures w14:val="standardContextual"/>
    </w:rPr>
  </w:style>
  <w:style w:type="character" w:styleId="IntenseEmphasis">
    <w:name w:val="Intense Emphasis"/>
    <w:basedOn w:val="DefaultParagraphFont"/>
    <w:uiPriority w:val="21"/>
    <w:qFormat/>
    <w:rsid w:val="00F41ED3"/>
    <w:rPr>
      <w:i/>
      <w:iCs/>
      <w:color w:val="0F4761" w:themeColor="accent1" w:themeShade="BF"/>
    </w:rPr>
  </w:style>
  <w:style w:type="paragraph" w:styleId="IntenseQuote">
    <w:name w:val="Intense Quote"/>
    <w:basedOn w:val="Normal"/>
    <w:next w:val="Normal"/>
    <w:link w:val="IntenseQuoteChar"/>
    <w:uiPriority w:val="30"/>
    <w:qFormat/>
    <w:rsid w:val="00F41E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F41ED3"/>
    <w:rPr>
      <w:i/>
      <w:iCs/>
      <w:color w:val="0F4761" w:themeColor="accent1" w:themeShade="BF"/>
    </w:rPr>
  </w:style>
  <w:style w:type="character" w:styleId="IntenseReference">
    <w:name w:val="Intense Reference"/>
    <w:basedOn w:val="DefaultParagraphFont"/>
    <w:uiPriority w:val="32"/>
    <w:qFormat/>
    <w:rsid w:val="00F41ED3"/>
    <w:rPr>
      <w:b/>
      <w:bCs/>
      <w:smallCaps/>
      <w:color w:val="0F4761" w:themeColor="accent1" w:themeShade="BF"/>
      <w:spacing w:val="5"/>
    </w:rPr>
  </w:style>
  <w:style w:type="paragraph" w:styleId="Footer">
    <w:name w:val="footer"/>
    <w:basedOn w:val="Normal"/>
    <w:link w:val="FooterChar"/>
    <w:uiPriority w:val="99"/>
    <w:unhideWhenUsed/>
    <w:rsid w:val="00F41E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1ED3"/>
    <w:rPr>
      <w:kern w:val="0"/>
      <w14:ligatures w14:val="none"/>
    </w:rPr>
  </w:style>
  <w:style w:type="character" w:styleId="LineNumber">
    <w:name w:val="line number"/>
    <w:basedOn w:val="DefaultParagraphFont"/>
    <w:uiPriority w:val="99"/>
    <w:semiHidden/>
    <w:unhideWhenUsed/>
    <w:rsid w:val="00F41ED3"/>
  </w:style>
  <w:style w:type="character" w:styleId="CommentReference">
    <w:name w:val="annotation reference"/>
    <w:basedOn w:val="DefaultParagraphFont"/>
    <w:uiPriority w:val="99"/>
    <w:semiHidden/>
    <w:unhideWhenUsed/>
    <w:rsid w:val="00320752"/>
    <w:rPr>
      <w:sz w:val="16"/>
      <w:szCs w:val="16"/>
    </w:rPr>
  </w:style>
  <w:style w:type="paragraph" w:styleId="CommentText">
    <w:name w:val="annotation text"/>
    <w:basedOn w:val="Normal"/>
    <w:link w:val="CommentTextChar"/>
    <w:uiPriority w:val="99"/>
    <w:unhideWhenUsed/>
    <w:rsid w:val="00320752"/>
    <w:pPr>
      <w:spacing w:line="240" w:lineRule="auto"/>
    </w:pPr>
    <w:rPr>
      <w:sz w:val="20"/>
      <w:szCs w:val="20"/>
    </w:rPr>
  </w:style>
  <w:style w:type="character" w:customStyle="1" w:styleId="CommentTextChar">
    <w:name w:val="Comment Text Char"/>
    <w:basedOn w:val="DefaultParagraphFont"/>
    <w:link w:val="CommentText"/>
    <w:uiPriority w:val="99"/>
    <w:rsid w:val="00320752"/>
    <w:rPr>
      <w:kern w:val="0"/>
      <w:sz w:val="20"/>
      <w:szCs w:val="20"/>
      <w14:ligatures w14:val="none"/>
    </w:rPr>
  </w:style>
  <w:style w:type="paragraph" w:styleId="Caption">
    <w:name w:val="caption"/>
    <w:aliases w:val="Caption Char Char,Table Caption,Caption Figures,Caption Char1,-figure,Caption Figure,Char,Char1,NBA Caption, Char1,Caption Table,Map,Caption Figure Char Ch"/>
    <w:basedOn w:val="Normal"/>
    <w:next w:val="Normal"/>
    <w:link w:val="CaptionChar"/>
    <w:uiPriority w:val="35"/>
    <w:unhideWhenUsed/>
    <w:qFormat/>
    <w:rsid w:val="00AA6C5C"/>
    <w:pPr>
      <w:spacing w:after="200" w:line="240" w:lineRule="auto"/>
    </w:pPr>
    <w:rPr>
      <w:i/>
      <w:iCs/>
      <w:color w:val="0E2841" w:themeColor="text2"/>
      <w:sz w:val="18"/>
      <w:szCs w:val="18"/>
    </w:rPr>
  </w:style>
  <w:style w:type="character" w:customStyle="1" w:styleId="CaptionChar">
    <w:name w:val="Caption Char"/>
    <w:aliases w:val="Caption Char Char Char,Table Caption Char,Caption Figures Char,Caption Char1 Char,-figure Char,Caption Figure Char,Char Char,Char1 Char,NBA Caption Char, Char1 Char,Caption Table Char,Map Char,Caption Figure Char Ch Char"/>
    <w:basedOn w:val="DefaultParagraphFont"/>
    <w:link w:val="Caption"/>
    <w:uiPriority w:val="35"/>
    <w:rsid w:val="00AA6C5C"/>
    <w:rPr>
      <w:i/>
      <w:iCs/>
      <w:color w:val="0E2841" w:themeColor="text2"/>
      <w:kern w:val="0"/>
      <w:sz w:val="18"/>
      <w:szCs w:val="18"/>
      <w14:ligatures w14:val="none"/>
    </w:rPr>
  </w:style>
  <w:style w:type="paragraph" w:styleId="Header">
    <w:name w:val="header"/>
    <w:basedOn w:val="Normal"/>
    <w:link w:val="HeaderChar"/>
    <w:uiPriority w:val="99"/>
    <w:unhideWhenUsed/>
    <w:rsid w:val="000E05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05E8"/>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1279</Words>
  <Characters>7291</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2025-03-18T10:26:00Z</dcterms:created>
  <dcterms:modified xsi:type="dcterms:W3CDTF">2025-03-18T10:26:00Z</dcterms:modified>
</cp:coreProperties>
</file>