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2CB6BF" w14:textId="29A78099" w:rsidR="00C92049" w:rsidRPr="003D002A" w:rsidRDefault="0029534F">
      <w:pPr>
        <w:rPr>
          <w:rFonts w:ascii="Calibri" w:hAnsi="Calibri" w:cs="Calibri"/>
          <w:b/>
          <w:bCs/>
        </w:rPr>
      </w:pPr>
      <w:r w:rsidRPr="003D002A">
        <w:rPr>
          <w:rFonts w:ascii="Calibri" w:hAnsi="Calibri" w:cs="Calibri"/>
          <w:b/>
          <w:bCs/>
        </w:rPr>
        <w:t>Supplementary material:</w:t>
      </w:r>
    </w:p>
    <w:p w14:paraId="2321D99C" w14:textId="77777777" w:rsidR="0029534F" w:rsidRPr="003D002A" w:rsidRDefault="0029534F" w:rsidP="0029534F">
      <w:pPr>
        <w:rPr>
          <w:rFonts w:ascii="Calibri" w:hAnsi="Calibri" w:cs="Calibri"/>
        </w:rPr>
      </w:pPr>
    </w:p>
    <w:p w14:paraId="1399A99B" w14:textId="578F953B" w:rsidR="0029534F" w:rsidRPr="003D002A" w:rsidRDefault="0029534F" w:rsidP="0029534F">
      <w:pPr>
        <w:pStyle w:val="Caption"/>
        <w:keepNext/>
        <w:jc w:val="both"/>
        <w:rPr>
          <w:rFonts w:ascii="Calibri" w:hAnsi="Calibri" w:cs="Calibri"/>
          <w:b/>
          <w:bCs/>
          <w:i w:val="0"/>
          <w:iCs w:val="0"/>
          <w:color w:val="000000" w:themeColor="text1"/>
          <w:sz w:val="24"/>
          <w:szCs w:val="24"/>
        </w:rPr>
      </w:pPr>
      <w:bookmarkStart w:id="0" w:name="_Ref201143316"/>
      <w:bookmarkStart w:id="1" w:name="_Ref198891903"/>
      <w:r w:rsidRPr="003D002A">
        <w:rPr>
          <w:rFonts w:ascii="Calibri" w:hAnsi="Calibri" w:cs="Calibri"/>
          <w:b/>
          <w:bCs/>
          <w:i w:val="0"/>
          <w:iCs w:val="0"/>
          <w:color w:val="000000" w:themeColor="text1"/>
          <w:sz w:val="24"/>
          <w:szCs w:val="24"/>
        </w:rPr>
        <w:t xml:space="preserve">Table </w:t>
      </w:r>
      <w:r w:rsidRPr="003D002A">
        <w:rPr>
          <w:rFonts w:ascii="Calibri" w:hAnsi="Calibri" w:cs="Calibri"/>
          <w:b/>
          <w:bCs/>
          <w:i w:val="0"/>
          <w:iCs w:val="0"/>
          <w:color w:val="000000" w:themeColor="text1"/>
          <w:sz w:val="24"/>
          <w:szCs w:val="24"/>
        </w:rPr>
        <w:fldChar w:fldCharType="begin"/>
      </w:r>
      <w:r w:rsidRPr="003D002A">
        <w:rPr>
          <w:rFonts w:ascii="Calibri" w:hAnsi="Calibri" w:cs="Calibri"/>
          <w:b/>
          <w:bCs/>
          <w:i w:val="0"/>
          <w:iCs w:val="0"/>
          <w:color w:val="000000" w:themeColor="text1"/>
          <w:sz w:val="24"/>
          <w:szCs w:val="24"/>
        </w:rPr>
        <w:instrText xml:space="preserve"> SEQ Table \* ARABIC </w:instrText>
      </w:r>
      <w:r w:rsidRPr="003D002A">
        <w:rPr>
          <w:rFonts w:ascii="Calibri" w:hAnsi="Calibri" w:cs="Calibri"/>
          <w:b/>
          <w:bCs/>
          <w:i w:val="0"/>
          <w:iCs w:val="0"/>
          <w:color w:val="000000" w:themeColor="text1"/>
          <w:sz w:val="24"/>
          <w:szCs w:val="24"/>
        </w:rPr>
        <w:fldChar w:fldCharType="separate"/>
      </w:r>
      <w:r w:rsidRPr="003D002A">
        <w:rPr>
          <w:rFonts w:ascii="Calibri" w:hAnsi="Calibri" w:cs="Calibri"/>
          <w:b/>
          <w:bCs/>
          <w:i w:val="0"/>
          <w:iCs w:val="0"/>
          <w:noProof/>
          <w:color w:val="000000" w:themeColor="text1"/>
          <w:sz w:val="24"/>
          <w:szCs w:val="24"/>
        </w:rPr>
        <w:t>2</w:t>
      </w:r>
      <w:r w:rsidRPr="003D002A">
        <w:rPr>
          <w:rFonts w:ascii="Calibri" w:hAnsi="Calibri" w:cs="Calibri"/>
          <w:b/>
          <w:bCs/>
          <w:i w:val="0"/>
          <w:iCs w:val="0"/>
          <w:color w:val="000000" w:themeColor="text1"/>
          <w:sz w:val="24"/>
          <w:szCs w:val="24"/>
        </w:rPr>
        <w:fldChar w:fldCharType="end"/>
      </w:r>
      <w:bookmarkEnd w:id="0"/>
      <w:r w:rsidRPr="003D002A">
        <w:rPr>
          <w:rFonts w:ascii="Calibri" w:hAnsi="Calibri" w:cs="Calibri"/>
          <w:b/>
          <w:bCs/>
          <w:i w:val="0"/>
          <w:iCs w:val="0"/>
          <w:color w:val="000000" w:themeColor="text1"/>
          <w:sz w:val="24"/>
          <w:szCs w:val="24"/>
        </w:rPr>
        <w:t xml:space="preserve">: </w:t>
      </w:r>
      <w:r w:rsidR="00841D56" w:rsidRPr="003D002A">
        <w:rPr>
          <w:rFonts w:ascii="Calibri" w:hAnsi="Calibri" w:cs="Calibri"/>
          <w:b/>
          <w:bCs/>
          <w:i w:val="0"/>
          <w:iCs w:val="0"/>
          <w:color w:val="000000" w:themeColor="text1"/>
          <w:sz w:val="24"/>
          <w:szCs w:val="24"/>
        </w:rPr>
        <w:t>P</w:t>
      </w:r>
      <w:r w:rsidRPr="003D002A">
        <w:rPr>
          <w:rFonts w:ascii="Calibri" w:hAnsi="Calibri" w:cs="Calibri"/>
          <w:b/>
          <w:bCs/>
          <w:i w:val="0"/>
          <w:iCs w:val="0"/>
          <w:color w:val="000000" w:themeColor="text1"/>
          <w:sz w:val="24"/>
          <w:szCs w:val="24"/>
        </w:rPr>
        <w:t>articipants</w:t>
      </w:r>
      <w:r w:rsidR="00841D56" w:rsidRPr="003D002A">
        <w:rPr>
          <w:rFonts w:ascii="Calibri" w:hAnsi="Calibri" w:cs="Calibri"/>
          <w:b/>
          <w:bCs/>
          <w:i w:val="0"/>
          <w:iCs w:val="0"/>
          <w:color w:val="000000" w:themeColor="text1"/>
          <w:sz w:val="24"/>
          <w:szCs w:val="24"/>
        </w:rPr>
        <w:t xml:space="preserve"> list, reference </w:t>
      </w:r>
      <w:r w:rsidRPr="003D002A">
        <w:rPr>
          <w:rFonts w:ascii="Calibri" w:hAnsi="Calibri" w:cs="Calibri"/>
          <w:b/>
          <w:bCs/>
          <w:i w:val="0"/>
          <w:iCs w:val="0"/>
          <w:color w:val="000000" w:themeColor="text1"/>
          <w:sz w:val="24"/>
          <w:szCs w:val="24"/>
        </w:rPr>
        <w:t>and their focus areas</w:t>
      </w:r>
      <w:bookmarkEnd w:id="1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4"/>
        <w:gridCol w:w="3827"/>
        <w:gridCol w:w="4111"/>
      </w:tblGrid>
      <w:tr w:rsidR="0029534F" w:rsidRPr="003D002A" w14:paraId="2BEED2F5" w14:textId="77777777" w:rsidTr="006E694F">
        <w:tc>
          <w:tcPr>
            <w:tcW w:w="704" w:type="dxa"/>
          </w:tcPr>
          <w:p w14:paraId="72A04D63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b/>
                <w:bCs/>
              </w:rPr>
            </w:pPr>
            <w:r w:rsidRPr="003D002A">
              <w:rPr>
                <w:rFonts w:ascii="Calibri" w:hAnsi="Calibri" w:cs="Calibri"/>
                <w:b/>
                <w:bCs/>
              </w:rPr>
              <w:t>Nr</w:t>
            </w:r>
          </w:p>
        </w:tc>
        <w:tc>
          <w:tcPr>
            <w:tcW w:w="3827" w:type="dxa"/>
          </w:tcPr>
          <w:p w14:paraId="0AC5BBC4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b/>
                <w:bCs/>
              </w:rPr>
            </w:pPr>
            <w:r w:rsidRPr="003D002A">
              <w:rPr>
                <w:rFonts w:ascii="Calibri" w:hAnsi="Calibri" w:cs="Calibri"/>
                <w:b/>
                <w:bCs/>
              </w:rPr>
              <w:t>Participants</w:t>
            </w:r>
          </w:p>
        </w:tc>
        <w:tc>
          <w:tcPr>
            <w:tcW w:w="4111" w:type="dxa"/>
          </w:tcPr>
          <w:p w14:paraId="5EC0F7C9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  <w:b/>
                <w:bCs/>
              </w:rPr>
            </w:pPr>
            <w:r w:rsidRPr="003D002A">
              <w:rPr>
                <w:rFonts w:ascii="Calibri" w:hAnsi="Calibri" w:cs="Calibri"/>
                <w:b/>
                <w:bCs/>
              </w:rPr>
              <w:t>Focus area</w:t>
            </w:r>
          </w:p>
        </w:tc>
      </w:tr>
      <w:tr w:rsidR="0029534F" w:rsidRPr="003D002A" w14:paraId="50CFCB71" w14:textId="77777777" w:rsidTr="006E694F">
        <w:tc>
          <w:tcPr>
            <w:tcW w:w="704" w:type="dxa"/>
          </w:tcPr>
          <w:p w14:paraId="041FBAED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R1</w:t>
            </w:r>
          </w:p>
        </w:tc>
        <w:tc>
          <w:tcPr>
            <w:tcW w:w="3827" w:type="dxa"/>
          </w:tcPr>
          <w:p w14:paraId="5052D93C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Municipal official</w:t>
            </w:r>
          </w:p>
        </w:tc>
        <w:tc>
          <w:tcPr>
            <w:tcW w:w="4111" w:type="dxa"/>
          </w:tcPr>
          <w:p w14:paraId="1564A30C" w14:textId="77777777" w:rsidR="0029534F" w:rsidRPr="003D002A" w:rsidRDefault="0029534F" w:rsidP="006E694F">
            <w:pPr>
              <w:pStyle w:val="Heading2"/>
              <w:outlineLvl w:val="1"/>
              <w:rPr>
                <w:rFonts w:ascii="Calibri" w:hAnsi="Calibri" w:cs="Calibri"/>
                <w:b/>
                <w:sz w:val="24"/>
                <w:szCs w:val="24"/>
              </w:rPr>
            </w:pPr>
            <w:r w:rsidRPr="003D002A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Parks, Sports, Recreation and Cemetries Division and Horti - culturalist</w:t>
            </w:r>
          </w:p>
        </w:tc>
      </w:tr>
      <w:tr w:rsidR="0029534F" w:rsidRPr="003D002A" w14:paraId="210007E3" w14:textId="77777777" w:rsidTr="006E694F">
        <w:tc>
          <w:tcPr>
            <w:tcW w:w="704" w:type="dxa"/>
          </w:tcPr>
          <w:p w14:paraId="4EBC7DD9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R2</w:t>
            </w:r>
          </w:p>
        </w:tc>
        <w:tc>
          <w:tcPr>
            <w:tcW w:w="3827" w:type="dxa"/>
          </w:tcPr>
          <w:p w14:paraId="3034D8D5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 xml:space="preserve">Architect </w:t>
            </w:r>
          </w:p>
        </w:tc>
        <w:tc>
          <w:tcPr>
            <w:tcW w:w="4111" w:type="dxa"/>
          </w:tcPr>
          <w:p w14:paraId="766F258A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Architecture and planning</w:t>
            </w:r>
          </w:p>
        </w:tc>
      </w:tr>
      <w:tr w:rsidR="0029534F" w:rsidRPr="003D002A" w14:paraId="2FBACBD2" w14:textId="77777777" w:rsidTr="006E694F">
        <w:tc>
          <w:tcPr>
            <w:tcW w:w="704" w:type="dxa"/>
          </w:tcPr>
          <w:p w14:paraId="193B408C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R3</w:t>
            </w:r>
          </w:p>
        </w:tc>
        <w:tc>
          <w:tcPr>
            <w:tcW w:w="3827" w:type="dxa"/>
          </w:tcPr>
          <w:p w14:paraId="1127ED5D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proofErr w:type="spellStart"/>
            <w:r w:rsidRPr="003D002A">
              <w:rPr>
                <w:rFonts w:ascii="Calibri" w:hAnsi="Calibri" w:cs="Calibri"/>
              </w:rPr>
              <w:t>Kambashu</w:t>
            </w:r>
            <w:proofErr w:type="spellEnd"/>
            <w:r w:rsidRPr="003D002A">
              <w:rPr>
                <w:rFonts w:ascii="Calibri" w:hAnsi="Calibri" w:cs="Calibri"/>
              </w:rPr>
              <w:t xml:space="preserve"> Institute -community representative</w:t>
            </w:r>
          </w:p>
        </w:tc>
        <w:tc>
          <w:tcPr>
            <w:tcW w:w="4111" w:type="dxa"/>
          </w:tcPr>
          <w:p w14:paraId="43C9CC98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Permaculture</w:t>
            </w:r>
          </w:p>
        </w:tc>
      </w:tr>
      <w:tr w:rsidR="0029534F" w:rsidRPr="003D002A" w14:paraId="64FF6CA2" w14:textId="77777777" w:rsidTr="006E694F">
        <w:tc>
          <w:tcPr>
            <w:tcW w:w="704" w:type="dxa"/>
          </w:tcPr>
          <w:p w14:paraId="2C2A00A5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R4</w:t>
            </w:r>
          </w:p>
        </w:tc>
        <w:tc>
          <w:tcPr>
            <w:tcW w:w="3827" w:type="dxa"/>
          </w:tcPr>
          <w:p w14:paraId="62678D1C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Community Representative</w:t>
            </w:r>
          </w:p>
        </w:tc>
        <w:tc>
          <w:tcPr>
            <w:tcW w:w="4111" w:type="dxa"/>
          </w:tcPr>
          <w:p w14:paraId="399D5CD7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Permaculture</w:t>
            </w:r>
          </w:p>
        </w:tc>
      </w:tr>
      <w:tr w:rsidR="0029534F" w:rsidRPr="003D002A" w14:paraId="4CB4291B" w14:textId="77777777" w:rsidTr="006E694F">
        <w:tc>
          <w:tcPr>
            <w:tcW w:w="704" w:type="dxa"/>
          </w:tcPr>
          <w:p w14:paraId="35F77C76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R5</w:t>
            </w:r>
          </w:p>
        </w:tc>
        <w:tc>
          <w:tcPr>
            <w:tcW w:w="3827" w:type="dxa"/>
          </w:tcPr>
          <w:p w14:paraId="726E8D23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 xml:space="preserve">Landscape Architect for the Namibian US Embassy </w:t>
            </w:r>
          </w:p>
        </w:tc>
        <w:tc>
          <w:tcPr>
            <w:tcW w:w="4111" w:type="dxa"/>
          </w:tcPr>
          <w:p w14:paraId="1629627E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 xml:space="preserve">US Department of State Bureau of Overseas Buildings Operations </w:t>
            </w:r>
          </w:p>
        </w:tc>
      </w:tr>
      <w:tr w:rsidR="0029534F" w:rsidRPr="003D002A" w14:paraId="26ECA5B1" w14:textId="77777777" w:rsidTr="006E694F">
        <w:tc>
          <w:tcPr>
            <w:tcW w:w="704" w:type="dxa"/>
          </w:tcPr>
          <w:p w14:paraId="3699C687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R6</w:t>
            </w:r>
          </w:p>
        </w:tc>
        <w:tc>
          <w:tcPr>
            <w:tcW w:w="3827" w:type="dxa"/>
          </w:tcPr>
          <w:p w14:paraId="4461FB17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 xml:space="preserve">Landscape Architect for the Namibian US Embassy </w:t>
            </w:r>
          </w:p>
        </w:tc>
        <w:tc>
          <w:tcPr>
            <w:tcW w:w="4111" w:type="dxa"/>
          </w:tcPr>
          <w:p w14:paraId="7DEA7738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Sustainable Landscapes and gardens</w:t>
            </w:r>
          </w:p>
        </w:tc>
      </w:tr>
      <w:tr w:rsidR="0029534F" w:rsidRPr="003D002A" w14:paraId="16053075" w14:textId="77777777" w:rsidTr="006E694F">
        <w:tc>
          <w:tcPr>
            <w:tcW w:w="704" w:type="dxa"/>
          </w:tcPr>
          <w:p w14:paraId="5F9D4500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R7</w:t>
            </w:r>
          </w:p>
        </w:tc>
        <w:tc>
          <w:tcPr>
            <w:tcW w:w="3827" w:type="dxa"/>
          </w:tcPr>
          <w:p w14:paraId="2F6CF8B4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 xml:space="preserve">Namibian Landscaper </w:t>
            </w:r>
          </w:p>
        </w:tc>
        <w:tc>
          <w:tcPr>
            <w:tcW w:w="4111" w:type="dxa"/>
          </w:tcPr>
          <w:p w14:paraId="028DD3DB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Sustainable Landscapes and gardens</w:t>
            </w:r>
          </w:p>
        </w:tc>
      </w:tr>
      <w:tr w:rsidR="0029534F" w:rsidRPr="003D002A" w14:paraId="52678040" w14:textId="77777777" w:rsidTr="006E694F">
        <w:tc>
          <w:tcPr>
            <w:tcW w:w="704" w:type="dxa"/>
          </w:tcPr>
          <w:p w14:paraId="6020BF50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R8</w:t>
            </w:r>
          </w:p>
        </w:tc>
        <w:tc>
          <w:tcPr>
            <w:tcW w:w="3827" w:type="dxa"/>
          </w:tcPr>
          <w:p w14:paraId="6358437E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 xml:space="preserve">Urban Planner and Academic </w:t>
            </w:r>
          </w:p>
        </w:tc>
        <w:tc>
          <w:tcPr>
            <w:tcW w:w="4111" w:type="dxa"/>
          </w:tcPr>
          <w:p w14:paraId="4C221409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Town and Regional Planning - Urban development policies</w:t>
            </w:r>
          </w:p>
        </w:tc>
      </w:tr>
      <w:tr w:rsidR="0029534F" w:rsidRPr="003D002A" w14:paraId="41DF7393" w14:textId="77777777" w:rsidTr="006E694F">
        <w:tc>
          <w:tcPr>
            <w:tcW w:w="704" w:type="dxa"/>
          </w:tcPr>
          <w:p w14:paraId="67AFEF10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R9</w:t>
            </w:r>
          </w:p>
        </w:tc>
        <w:tc>
          <w:tcPr>
            <w:tcW w:w="3827" w:type="dxa"/>
          </w:tcPr>
          <w:p w14:paraId="63733484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 xml:space="preserve">NGO Officer At Namibia Housing Action Group </w:t>
            </w:r>
          </w:p>
        </w:tc>
        <w:tc>
          <w:tcPr>
            <w:tcW w:w="4111" w:type="dxa"/>
          </w:tcPr>
          <w:p w14:paraId="55B2A7E2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Informal settlement upgrading officer</w:t>
            </w:r>
          </w:p>
        </w:tc>
      </w:tr>
      <w:tr w:rsidR="0029534F" w:rsidRPr="003D002A" w14:paraId="769DD05E" w14:textId="77777777" w:rsidTr="006E694F">
        <w:tc>
          <w:tcPr>
            <w:tcW w:w="704" w:type="dxa"/>
          </w:tcPr>
          <w:p w14:paraId="3461AC83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R10</w:t>
            </w:r>
          </w:p>
        </w:tc>
        <w:tc>
          <w:tcPr>
            <w:tcW w:w="3827" w:type="dxa"/>
          </w:tcPr>
          <w:p w14:paraId="2223FCD3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 xml:space="preserve">Municipal official </w:t>
            </w:r>
          </w:p>
        </w:tc>
        <w:tc>
          <w:tcPr>
            <w:tcW w:w="4111" w:type="dxa"/>
          </w:tcPr>
          <w:p w14:paraId="59A6FF52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Environmental Specialist – Climate Change</w:t>
            </w:r>
          </w:p>
        </w:tc>
      </w:tr>
      <w:tr w:rsidR="0029534F" w:rsidRPr="003D002A" w14:paraId="0C5B9D1D" w14:textId="77777777" w:rsidTr="006E694F">
        <w:trPr>
          <w:trHeight w:val="648"/>
        </w:trPr>
        <w:tc>
          <w:tcPr>
            <w:tcW w:w="704" w:type="dxa"/>
          </w:tcPr>
          <w:p w14:paraId="1F4F8F5A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R11</w:t>
            </w:r>
          </w:p>
        </w:tc>
        <w:tc>
          <w:tcPr>
            <w:tcW w:w="3827" w:type="dxa"/>
          </w:tcPr>
          <w:p w14:paraId="4A3B2412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 xml:space="preserve">Municipal official </w:t>
            </w:r>
          </w:p>
        </w:tc>
        <w:tc>
          <w:tcPr>
            <w:tcW w:w="4111" w:type="dxa"/>
          </w:tcPr>
          <w:p w14:paraId="59E39F1A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Strategic Executive: Urban and Transport Planning</w:t>
            </w:r>
          </w:p>
        </w:tc>
      </w:tr>
      <w:tr w:rsidR="0029534F" w:rsidRPr="003D002A" w14:paraId="1302398D" w14:textId="77777777" w:rsidTr="006E694F">
        <w:tc>
          <w:tcPr>
            <w:tcW w:w="704" w:type="dxa"/>
          </w:tcPr>
          <w:p w14:paraId="31A70DE5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R12</w:t>
            </w:r>
          </w:p>
        </w:tc>
        <w:tc>
          <w:tcPr>
            <w:tcW w:w="3827" w:type="dxa"/>
          </w:tcPr>
          <w:p w14:paraId="70CCD20C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 xml:space="preserve">Urban Planner </w:t>
            </w:r>
          </w:p>
        </w:tc>
        <w:tc>
          <w:tcPr>
            <w:tcW w:w="4111" w:type="dxa"/>
          </w:tcPr>
          <w:p w14:paraId="7CA2F79D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Style w:val="Emphasis"/>
                <w:rFonts w:ascii="Calibri" w:eastAsiaTheme="majorEastAsia" w:hAnsi="Calibri" w:cs="Calibri"/>
              </w:rPr>
              <w:t>GIZ advisor to the Department of Land Management – Inclusive and Sustainable Urban development (ISUD)</w:t>
            </w:r>
          </w:p>
        </w:tc>
      </w:tr>
      <w:tr w:rsidR="0029534F" w:rsidRPr="003D002A" w14:paraId="2E5DA6E6" w14:textId="77777777" w:rsidTr="006E694F">
        <w:tc>
          <w:tcPr>
            <w:tcW w:w="704" w:type="dxa"/>
          </w:tcPr>
          <w:p w14:paraId="57667EE8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R13</w:t>
            </w:r>
          </w:p>
        </w:tc>
        <w:tc>
          <w:tcPr>
            <w:tcW w:w="3827" w:type="dxa"/>
          </w:tcPr>
          <w:p w14:paraId="121F7C53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 xml:space="preserve">Urban Planner and Academic </w:t>
            </w:r>
          </w:p>
        </w:tc>
        <w:tc>
          <w:tcPr>
            <w:tcW w:w="4111" w:type="dxa"/>
          </w:tcPr>
          <w:p w14:paraId="5CF14129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Urban and Regional Planning - land use management and urban informality</w:t>
            </w:r>
          </w:p>
        </w:tc>
      </w:tr>
      <w:tr w:rsidR="0029534F" w:rsidRPr="003D002A" w14:paraId="75867129" w14:textId="77777777" w:rsidTr="006E694F">
        <w:tc>
          <w:tcPr>
            <w:tcW w:w="704" w:type="dxa"/>
          </w:tcPr>
          <w:p w14:paraId="59D899B3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R14</w:t>
            </w:r>
          </w:p>
        </w:tc>
        <w:tc>
          <w:tcPr>
            <w:tcW w:w="3827" w:type="dxa"/>
          </w:tcPr>
          <w:p w14:paraId="658D4131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 xml:space="preserve">Architect </w:t>
            </w:r>
          </w:p>
        </w:tc>
        <w:tc>
          <w:tcPr>
            <w:tcW w:w="4111" w:type="dxa"/>
          </w:tcPr>
          <w:p w14:paraId="770AD47B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Sustainable Architecture d and Landscape/Nature /Cultural driven design</w:t>
            </w:r>
          </w:p>
        </w:tc>
      </w:tr>
      <w:tr w:rsidR="0029534F" w:rsidRPr="003D002A" w14:paraId="17047F6E" w14:textId="77777777" w:rsidTr="006E694F">
        <w:tc>
          <w:tcPr>
            <w:tcW w:w="704" w:type="dxa"/>
          </w:tcPr>
          <w:p w14:paraId="41B0231D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R15</w:t>
            </w:r>
          </w:p>
        </w:tc>
        <w:tc>
          <w:tcPr>
            <w:tcW w:w="3827" w:type="dxa"/>
          </w:tcPr>
          <w:p w14:paraId="1D3FD4B2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 xml:space="preserve">Architect, Urban designer and Associate Programme Management Officer, Partnerships at UN-Habitat </w:t>
            </w:r>
          </w:p>
        </w:tc>
        <w:tc>
          <w:tcPr>
            <w:tcW w:w="4111" w:type="dxa"/>
          </w:tcPr>
          <w:p w14:paraId="34CF7D3E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Sustainability, Inclusive and resilient cities</w:t>
            </w:r>
          </w:p>
        </w:tc>
      </w:tr>
      <w:tr w:rsidR="0029534F" w:rsidRPr="003D002A" w14:paraId="012FA825" w14:textId="77777777" w:rsidTr="006E694F">
        <w:tc>
          <w:tcPr>
            <w:tcW w:w="704" w:type="dxa"/>
          </w:tcPr>
          <w:p w14:paraId="22995284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R16</w:t>
            </w:r>
          </w:p>
        </w:tc>
        <w:tc>
          <w:tcPr>
            <w:tcW w:w="3827" w:type="dxa"/>
          </w:tcPr>
          <w:p w14:paraId="6EFF443A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 xml:space="preserve">Academic - Natural Resources Sciences </w:t>
            </w:r>
          </w:p>
        </w:tc>
        <w:tc>
          <w:tcPr>
            <w:tcW w:w="4111" w:type="dxa"/>
          </w:tcPr>
          <w:p w14:paraId="51E960B4" w14:textId="77777777" w:rsidR="0029534F" w:rsidRPr="003D002A" w:rsidRDefault="0029534F" w:rsidP="006E694F">
            <w:pPr>
              <w:pStyle w:val="NormalWeb"/>
              <w:spacing w:before="0" w:beforeAutospacing="0" w:after="0" w:afterAutospacing="0"/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Sustainable land management and biodiversity conservation</w:t>
            </w:r>
          </w:p>
        </w:tc>
      </w:tr>
    </w:tbl>
    <w:p w14:paraId="50DEEF93" w14:textId="77777777" w:rsidR="0029534F" w:rsidRPr="003D002A" w:rsidRDefault="0029534F" w:rsidP="0029534F">
      <w:pPr>
        <w:rPr>
          <w:rFonts w:ascii="Calibri" w:hAnsi="Calibri" w:cs="Calibri"/>
        </w:rPr>
      </w:pPr>
    </w:p>
    <w:p w14:paraId="41600AA1" w14:textId="5C445C9B" w:rsidR="003D002A" w:rsidRPr="003D002A" w:rsidRDefault="003D002A">
      <w:pPr>
        <w:rPr>
          <w:rFonts w:ascii="Calibri" w:hAnsi="Calibri" w:cs="Calibri"/>
        </w:rPr>
      </w:pPr>
      <w:r w:rsidRPr="003D002A">
        <w:rPr>
          <w:rFonts w:ascii="Calibri" w:hAnsi="Calibri" w:cs="Calibri"/>
        </w:rPr>
        <w:br w:type="page"/>
      </w:r>
      <w:bookmarkStart w:id="2" w:name="_GoBack"/>
      <w:bookmarkEnd w:id="2"/>
    </w:p>
    <w:p w14:paraId="1680D918" w14:textId="77777777" w:rsidR="00BB7CFD" w:rsidRPr="003D002A" w:rsidRDefault="00BB7CFD" w:rsidP="00BB7CFD">
      <w:pPr>
        <w:pStyle w:val="Caption"/>
        <w:keepNext/>
        <w:jc w:val="both"/>
        <w:rPr>
          <w:rFonts w:ascii="Calibri" w:hAnsi="Calibri" w:cs="Calibri"/>
          <w:b/>
          <w:bCs/>
          <w:i w:val="0"/>
          <w:iCs w:val="0"/>
          <w:color w:val="000000" w:themeColor="text1"/>
          <w:sz w:val="24"/>
          <w:szCs w:val="24"/>
        </w:rPr>
      </w:pPr>
      <w:bookmarkStart w:id="3" w:name="_Ref206421181"/>
      <w:r w:rsidRPr="003D002A">
        <w:rPr>
          <w:rFonts w:ascii="Calibri" w:hAnsi="Calibri" w:cs="Calibri"/>
          <w:b/>
          <w:bCs/>
          <w:i w:val="0"/>
          <w:iCs w:val="0"/>
          <w:color w:val="000000" w:themeColor="text1"/>
          <w:sz w:val="24"/>
          <w:szCs w:val="24"/>
        </w:rPr>
        <w:lastRenderedPageBreak/>
        <w:t xml:space="preserve">Table </w:t>
      </w:r>
      <w:r w:rsidRPr="003D002A">
        <w:rPr>
          <w:rFonts w:ascii="Calibri" w:hAnsi="Calibri" w:cs="Calibri"/>
          <w:b/>
          <w:bCs/>
          <w:i w:val="0"/>
          <w:iCs w:val="0"/>
          <w:color w:val="000000" w:themeColor="text1"/>
          <w:sz w:val="24"/>
          <w:szCs w:val="24"/>
        </w:rPr>
        <w:fldChar w:fldCharType="begin"/>
      </w:r>
      <w:r w:rsidRPr="003D002A">
        <w:rPr>
          <w:rFonts w:ascii="Calibri" w:hAnsi="Calibri" w:cs="Calibri"/>
          <w:b/>
          <w:bCs/>
          <w:i w:val="0"/>
          <w:iCs w:val="0"/>
          <w:color w:val="000000" w:themeColor="text1"/>
          <w:sz w:val="24"/>
          <w:szCs w:val="24"/>
        </w:rPr>
        <w:instrText xml:space="preserve"> SEQ Table \* ARABIC </w:instrText>
      </w:r>
      <w:r w:rsidRPr="003D002A">
        <w:rPr>
          <w:rFonts w:ascii="Calibri" w:hAnsi="Calibri" w:cs="Calibri"/>
          <w:b/>
          <w:bCs/>
          <w:i w:val="0"/>
          <w:iCs w:val="0"/>
          <w:color w:val="000000" w:themeColor="text1"/>
          <w:sz w:val="24"/>
          <w:szCs w:val="24"/>
        </w:rPr>
        <w:fldChar w:fldCharType="separate"/>
      </w:r>
      <w:r w:rsidRPr="003D002A">
        <w:rPr>
          <w:rFonts w:ascii="Calibri" w:hAnsi="Calibri" w:cs="Calibri"/>
          <w:b/>
          <w:bCs/>
          <w:i w:val="0"/>
          <w:iCs w:val="0"/>
          <w:noProof/>
          <w:color w:val="000000" w:themeColor="text1"/>
          <w:sz w:val="24"/>
          <w:szCs w:val="24"/>
        </w:rPr>
        <w:t>3</w:t>
      </w:r>
      <w:r w:rsidRPr="003D002A">
        <w:rPr>
          <w:rFonts w:ascii="Calibri" w:hAnsi="Calibri" w:cs="Calibri"/>
          <w:b/>
          <w:bCs/>
          <w:i w:val="0"/>
          <w:iCs w:val="0"/>
          <w:color w:val="000000" w:themeColor="text1"/>
          <w:sz w:val="24"/>
          <w:szCs w:val="24"/>
        </w:rPr>
        <w:fldChar w:fldCharType="end"/>
      </w:r>
      <w:bookmarkEnd w:id="3"/>
      <w:r w:rsidRPr="003D002A">
        <w:rPr>
          <w:rFonts w:ascii="Calibri" w:hAnsi="Calibri" w:cs="Calibri"/>
          <w:b/>
          <w:bCs/>
          <w:i w:val="0"/>
          <w:iCs w:val="0"/>
          <w:color w:val="000000" w:themeColor="text1"/>
          <w:sz w:val="24"/>
          <w:szCs w:val="24"/>
        </w:rPr>
        <w:t>: Coding procedures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770"/>
        <w:gridCol w:w="1486"/>
        <w:gridCol w:w="1342"/>
        <w:gridCol w:w="2785"/>
        <w:gridCol w:w="1633"/>
      </w:tblGrid>
      <w:tr w:rsidR="00BB7CFD" w:rsidRPr="003D002A" w14:paraId="5FE3046C" w14:textId="77777777" w:rsidTr="0047047F">
        <w:tc>
          <w:tcPr>
            <w:tcW w:w="1770" w:type="dxa"/>
            <w:hideMark/>
          </w:tcPr>
          <w:p w14:paraId="68153C51" w14:textId="77777777" w:rsidR="00BB7CFD" w:rsidRPr="003D002A" w:rsidRDefault="00BB7CFD" w:rsidP="0047047F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3D002A">
              <w:rPr>
                <w:rFonts w:ascii="Calibri" w:hAnsi="Calibri" w:cs="Calibri"/>
                <w:b/>
                <w:bCs/>
              </w:rPr>
              <w:t>Category</w:t>
            </w:r>
          </w:p>
        </w:tc>
        <w:tc>
          <w:tcPr>
            <w:tcW w:w="1486" w:type="dxa"/>
            <w:hideMark/>
          </w:tcPr>
          <w:p w14:paraId="11B7DE06" w14:textId="77777777" w:rsidR="00BB7CFD" w:rsidRPr="003D002A" w:rsidRDefault="00BB7CFD" w:rsidP="0047047F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3D002A">
              <w:rPr>
                <w:rFonts w:ascii="Calibri" w:hAnsi="Calibri" w:cs="Calibri"/>
                <w:b/>
                <w:bCs/>
              </w:rPr>
              <w:t>Description</w:t>
            </w:r>
          </w:p>
        </w:tc>
        <w:tc>
          <w:tcPr>
            <w:tcW w:w="1342" w:type="dxa"/>
            <w:hideMark/>
          </w:tcPr>
          <w:p w14:paraId="55CD438D" w14:textId="77777777" w:rsidR="00BB7CFD" w:rsidRPr="003D002A" w:rsidRDefault="00BB7CFD" w:rsidP="0047047F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3D002A">
              <w:rPr>
                <w:rFonts w:ascii="Calibri" w:hAnsi="Calibri" w:cs="Calibri"/>
                <w:b/>
                <w:bCs/>
              </w:rPr>
              <w:t>Saliency (# of Coded Segments)</w:t>
            </w:r>
          </w:p>
        </w:tc>
        <w:tc>
          <w:tcPr>
            <w:tcW w:w="2785" w:type="dxa"/>
            <w:hideMark/>
          </w:tcPr>
          <w:p w14:paraId="3EA55AFB" w14:textId="77777777" w:rsidR="00BB7CFD" w:rsidRPr="003D002A" w:rsidRDefault="00BB7CFD" w:rsidP="0047047F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3D002A">
              <w:rPr>
                <w:rFonts w:ascii="Calibri" w:hAnsi="Calibri" w:cs="Calibri"/>
                <w:b/>
                <w:bCs/>
              </w:rPr>
              <w:t>Codes</w:t>
            </w:r>
          </w:p>
        </w:tc>
        <w:tc>
          <w:tcPr>
            <w:tcW w:w="1633" w:type="dxa"/>
            <w:hideMark/>
          </w:tcPr>
          <w:p w14:paraId="68A01218" w14:textId="77777777" w:rsidR="00BB7CFD" w:rsidRPr="003D002A" w:rsidRDefault="00BB7CFD" w:rsidP="0047047F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3D002A">
              <w:rPr>
                <w:rFonts w:ascii="Calibri" w:hAnsi="Calibri" w:cs="Calibri"/>
                <w:b/>
                <w:bCs/>
              </w:rPr>
              <w:t>Themes (Overlap)</w:t>
            </w:r>
          </w:p>
        </w:tc>
      </w:tr>
      <w:tr w:rsidR="00BB7CFD" w:rsidRPr="003D002A" w14:paraId="1BFFB26E" w14:textId="77777777" w:rsidTr="0047047F">
        <w:tc>
          <w:tcPr>
            <w:tcW w:w="1770" w:type="dxa"/>
            <w:hideMark/>
          </w:tcPr>
          <w:p w14:paraId="232D9E0B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Style w:val="Strong"/>
                <w:rFonts w:ascii="Calibri" w:eastAsiaTheme="majorEastAsia" w:hAnsi="Calibri" w:cs="Calibri"/>
              </w:rPr>
              <w:t>Climate Adaptation &amp; Resilience</w:t>
            </w:r>
          </w:p>
        </w:tc>
        <w:tc>
          <w:tcPr>
            <w:tcW w:w="1486" w:type="dxa"/>
            <w:hideMark/>
          </w:tcPr>
          <w:p w14:paraId="2814DAAC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Efforts and strategies for adapting to climate impacts, including practical measures and resilience-building.</w:t>
            </w:r>
          </w:p>
        </w:tc>
        <w:tc>
          <w:tcPr>
            <w:tcW w:w="1342" w:type="dxa"/>
            <w:hideMark/>
          </w:tcPr>
          <w:p w14:paraId="4315C7AF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143</w:t>
            </w:r>
          </w:p>
        </w:tc>
        <w:tc>
          <w:tcPr>
            <w:tcW w:w="2785" w:type="dxa"/>
            <w:hideMark/>
          </w:tcPr>
          <w:p w14:paraId="359A5E30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Adaptation Strategies (e.g., dry gardens, NbS); Resiliency Plans; Ecosystem-Based Adaptation.</w:t>
            </w:r>
          </w:p>
        </w:tc>
        <w:tc>
          <w:tcPr>
            <w:tcW w:w="1633" w:type="dxa"/>
            <w:hideMark/>
          </w:tcPr>
          <w:p w14:paraId="7E1C3A90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Challenges &amp; Barriers (e.g., adaptation linked to implementation failures); Opportunities (e.g., NbS integration with community resilience).</w:t>
            </w:r>
          </w:p>
        </w:tc>
      </w:tr>
      <w:tr w:rsidR="00BB7CFD" w:rsidRPr="003D002A" w14:paraId="54596995" w14:textId="77777777" w:rsidTr="0047047F">
        <w:tc>
          <w:tcPr>
            <w:tcW w:w="1770" w:type="dxa"/>
            <w:hideMark/>
          </w:tcPr>
          <w:p w14:paraId="3B6CF336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Style w:val="Strong"/>
                <w:rFonts w:ascii="Calibri" w:eastAsiaTheme="majorEastAsia" w:hAnsi="Calibri" w:cs="Calibri"/>
              </w:rPr>
              <w:t>Challenges &amp; Barriers</w:t>
            </w:r>
          </w:p>
        </w:tc>
        <w:tc>
          <w:tcPr>
            <w:tcW w:w="1486" w:type="dxa"/>
            <w:hideMark/>
          </w:tcPr>
          <w:p w14:paraId="5DBB42DF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Impediments to effective adaptation, spanning institutional, social, and environmental hurdles.</w:t>
            </w:r>
          </w:p>
        </w:tc>
        <w:tc>
          <w:tcPr>
            <w:tcW w:w="1342" w:type="dxa"/>
            <w:hideMark/>
          </w:tcPr>
          <w:p w14:paraId="74014032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128</w:t>
            </w:r>
          </w:p>
        </w:tc>
        <w:tc>
          <w:tcPr>
            <w:tcW w:w="2785" w:type="dxa"/>
            <w:hideMark/>
          </w:tcPr>
          <w:p w14:paraId="6F08C089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Lack of Implementation; Financial Constraints; Resistance/Illiteracy; Urbanization Pressures.</w:t>
            </w:r>
          </w:p>
        </w:tc>
        <w:tc>
          <w:tcPr>
            <w:tcW w:w="1633" w:type="dxa"/>
            <w:hideMark/>
          </w:tcPr>
          <w:p w14:paraId="3DCF4A12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Policy &amp; Governance Gaps (e.g., misaligned policies exacerbating barriers); Resource Constraints (e.g., funding shortages overlapping with capacity gaps).</w:t>
            </w:r>
          </w:p>
        </w:tc>
      </w:tr>
      <w:tr w:rsidR="00BB7CFD" w:rsidRPr="003D002A" w14:paraId="717295D5" w14:textId="77777777" w:rsidTr="0047047F">
        <w:tc>
          <w:tcPr>
            <w:tcW w:w="1770" w:type="dxa"/>
            <w:hideMark/>
          </w:tcPr>
          <w:p w14:paraId="05345931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Style w:val="Strong"/>
                <w:rFonts w:ascii="Calibri" w:eastAsiaTheme="majorEastAsia" w:hAnsi="Calibri" w:cs="Calibri"/>
              </w:rPr>
              <w:t>Opportunities</w:t>
            </w:r>
          </w:p>
        </w:tc>
        <w:tc>
          <w:tcPr>
            <w:tcW w:w="1486" w:type="dxa"/>
            <w:hideMark/>
          </w:tcPr>
          <w:p w14:paraId="444E5B08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Potential pathways for advancement, including innovations, partnerships, and awareness-building.</w:t>
            </w:r>
          </w:p>
        </w:tc>
        <w:tc>
          <w:tcPr>
            <w:tcW w:w="1342" w:type="dxa"/>
            <w:hideMark/>
          </w:tcPr>
          <w:p w14:paraId="0D071E85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92</w:t>
            </w:r>
          </w:p>
        </w:tc>
        <w:tc>
          <w:tcPr>
            <w:tcW w:w="2785" w:type="dxa"/>
            <w:hideMark/>
          </w:tcPr>
          <w:p w14:paraId="652A9B46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Capacity Building/Workshops; Communication/Awareness; Partnerships; NbS Promotion.</w:t>
            </w:r>
          </w:p>
        </w:tc>
        <w:tc>
          <w:tcPr>
            <w:tcW w:w="1633" w:type="dxa"/>
            <w:hideMark/>
          </w:tcPr>
          <w:p w14:paraId="2E93A6CB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Climate Adaptation &amp; Resilience (e.g., NbS as an opportunity for resilience); Community Engagement (e.g., bottom-up approaches co-occurring with partnerships).</w:t>
            </w:r>
          </w:p>
        </w:tc>
      </w:tr>
      <w:tr w:rsidR="00BB7CFD" w:rsidRPr="003D002A" w14:paraId="55D6AA75" w14:textId="77777777" w:rsidTr="0047047F">
        <w:tc>
          <w:tcPr>
            <w:tcW w:w="1770" w:type="dxa"/>
            <w:hideMark/>
          </w:tcPr>
          <w:p w14:paraId="53EAEF49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Style w:val="Strong"/>
                <w:rFonts w:ascii="Calibri" w:eastAsiaTheme="majorEastAsia" w:hAnsi="Calibri" w:cs="Calibri"/>
              </w:rPr>
              <w:lastRenderedPageBreak/>
              <w:t>Strategic Gaps</w:t>
            </w:r>
          </w:p>
        </w:tc>
        <w:tc>
          <w:tcPr>
            <w:tcW w:w="1486" w:type="dxa"/>
            <w:hideMark/>
          </w:tcPr>
          <w:p w14:paraId="76EA945D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Deficiencies in policy, planning, data, and coordination that hinder adaptation progress.</w:t>
            </w:r>
          </w:p>
        </w:tc>
        <w:tc>
          <w:tcPr>
            <w:tcW w:w="1342" w:type="dxa"/>
            <w:hideMark/>
          </w:tcPr>
          <w:p w14:paraId="204AB39D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85</w:t>
            </w:r>
          </w:p>
        </w:tc>
        <w:tc>
          <w:tcPr>
            <w:tcW w:w="2785" w:type="dxa"/>
            <w:hideMark/>
          </w:tcPr>
          <w:p w14:paraId="6CD96360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Policy Gaps (e.g., lack of urban focus); Data/Monitoring Gaps; Integration Required.</w:t>
            </w:r>
          </w:p>
        </w:tc>
        <w:tc>
          <w:tcPr>
            <w:tcW w:w="1633" w:type="dxa"/>
            <w:hideMark/>
          </w:tcPr>
          <w:p w14:paraId="6AC655CE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Challenges &amp; Barriers (e.g., gaps in implementation linked to broader barriers); Governance &amp; Coordination (e.g., siloed policies overlapping with coordination issues).</w:t>
            </w:r>
          </w:p>
        </w:tc>
      </w:tr>
      <w:tr w:rsidR="00BB7CFD" w:rsidRPr="003D002A" w14:paraId="1813FFA6" w14:textId="77777777" w:rsidTr="0047047F">
        <w:tc>
          <w:tcPr>
            <w:tcW w:w="1770" w:type="dxa"/>
            <w:hideMark/>
          </w:tcPr>
          <w:p w14:paraId="275636A1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Style w:val="Strong"/>
                <w:rFonts w:ascii="Calibri" w:eastAsiaTheme="majorEastAsia" w:hAnsi="Calibri" w:cs="Calibri"/>
              </w:rPr>
              <w:t>Governance, Policy &amp; Institutional Frameworks</w:t>
            </w:r>
          </w:p>
        </w:tc>
        <w:tc>
          <w:tcPr>
            <w:tcW w:w="1486" w:type="dxa"/>
            <w:hideMark/>
          </w:tcPr>
          <w:p w14:paraId="317A7616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Structures, alignments, and responsibilities for climate action across levels.</w:t>
            </w:r>
          </w:p>
        </w:tc>
        <w:tc>
          <w:tcPr>
            <w:tcW w:w="1342" w:type="dxa"/>
            <w:hideMark/>
          </w:tcPr>
          <w:p w14:paraId="4210FB4A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76</w:t>
            </w:r>
          </w:p>
        </w:tc>
        <w:tc>
          <w:tcPr>
            <w:tcW w:w="2785" w:type="dxa"/>
            <w:hideMark/>
          </w:tcPr>
          <w:p w14:paraId="208522CC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Lack of Alignment/Coherence; Political Will; Municipal Bylaws.</w:t>
            </w:r>
          </w:p>
        </w:tc>
        <w:tc>
          <w:tcPr>
            <w:tcW w:w="1633" w:type="dxa"/>
            <w:hideMark/>
          </w:tcPr>
          <w:p w14:paraId="2E94A894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Strategic Gaps (e.g., policy misalignment as a gap); Challenges &amp; Barriers (e.g., bureaucratic inertia co-occurring with institutional hurdles).</w:t>
            </w:r>
          </w:p>
        </w:tc>
      </w:tr>
      <w:tr w:rsidR="00BB7CFD" w:rsidRPr="003D002A" w14:paraId="7800075F" w14:textId="77777777" w:rsidTr="0047047F">
        <w:tc>
          <w:tcPr>
            <w:tcW w:w="1770" w:type="dxa"/>
            <w:hideMark/>
          </w:tcPr>
          <w:p w14:paraId="52433A87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Style w:val="Strong"/>
                <w:rFonts w:ascii="Calibri" w:eastAsiaTheme="majorEastAsia" w:hAnsi="Calibri" w:cs="Calibri"/>
              </w:rPr>
              <w:t>Water &amp; Resource Management</w:t>
            </w:r>
          </w:p>
        </w:tc>
        <w:tc>
          <w:tcPr>
            <w:tcW w:w="1486" w:type="dxa"/>
            <w:hideMark/>
          </w:tcPr>
          <w:p w14:paraId="782921DC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Strategies and issues related to water security, conservation, and sustainable use.</w:t>
            </w:r>
          </w:p>
        </w:tc>
        <w:tc>
          <w:tcPr>
            <w:tcW w:w="1342" w:type="dxa"/>
            <w:hideMark/>
          </w:tcPr>
          <w:p w14:paraId="5D04E670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54</w:t>
            </w:r>
          </w:p>
        </w:tc>
        <w:tc>
          <w:tcPr>
            <w:tcW w:w="2785" w:type="dxa"/>
            <w:hideMark/>
          </w:tcPr>
          <w:p w14:paraId="200937B9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Water Conservation; Aquifer Recharge; Drought Tolerant Planning.</w:t>
            </w:r>
          </w:p>
        </w:tc>
        <w:tc>
          <w:tcPr>
            <w:tcW w:w="1633" w:type="dxa"/>
            <w:hideMark/>
          </w:tcPr>
          <w:p w14:paraId="1CAB704D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Climate Adaptation &amp; Resilience (e.g., water strategies as adaptation measures); Environmental &amp; Ecological Sustainability (e.g., overlapping with NbS for ecosystems).</w:t>
            </w:r>
          </w:p>
        </w:tc>
      </w:tr>
      <w:tr w:rsidR="00BB7CFD" w:rsidRPr="003D002A" w14:paraId="0C1631B4" w14:textId="77777777" w:rsidTr="0047047F">
        <w:tc>
          <w:tcPr>
            <w:tcW w:w="1770" w:type="dxa"/>
            <w:hideMark/>
          </w:tcPr>
          <w:p w14:paraId="3427B9B4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Style w:val="Strong"/>
                <w:rFonts w:ascii="Calibri" w:eastAsiaTheme="majorEastAsia" w:hAnsi="Calibri" w:cs="Calibri"/>
              </w:rPr>
              <w:t>Urban Planning &amp; Design</w:t>
            </w:r>
          </w:p>
        </w:tc>
        <w:tc>
          <w:tcPr>
            <w:tcW w:w="1486" w:type="dxa"/>
            <w:hideMark/>
          </w:tcPr>
          <w:p w14:paraId="730C0155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Integration of climate considerations into urban developmen</w:t>
            </w:r>
            <w:r w:rsidRPr="003D002A">
              <w:rPr>
                <w:rFonts w:ascii="Calibri" w:hAnsi="Calibri" w:cs="Calibri"/>
              </w:rPr>
              <w:lastRenderedPageBreak/>
              <w:t>t and land use.</w:t>
            </w:r>
          </w:p>
        </w:tc>
        <w:tc>
          <w:tcPr>
            <w:tcW w:w="1342" w:type="dxa"/>
            <w:hideMark/>
          </w:tcPr>
          <w:p w14:paraId="2E9C1D01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lastRenderedPageBreak/>
              <w:t>48</w:t>
            </w:r>
          </w:p>
        </w:tc>
        <w:tc>
          <w:tcPr>
            <w:tcW w:w="2785" w:type="dxa"/>
            <w:hideMark/>
          </w:tcPr>
          <w:p w14:paraId="36118468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Urban Focus/Neglect; Resilient Infrastructure; Heat Island Mitigation.</w:t>
            </w:r>
          </w:p>
        </w:tc>
        <w:tc>
          <w:tcPr>
            <w:tcW w:w="1633" w:type="dxa"/>
            <w:hideMark/>
          </w:tcPr>
          <w:p w14:paraId="591169D7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 xml:space="preserve">Challenges &amp; Barriers (e.g., urbanization pressures as barriers); Opportunities (e.g., green </w:t>
            </w:r>
            <w:r w:rsidRPr="003D002A">
              <w:rPr>
                <w:rFonts w:ascii="Calibri" w:hAnsi="Calibri" w:cs="Calibri"/>
              </w:rPr>
              <w:lastRenderedPageBreak/>
              <w:t>urban planning as an opportunity).</w:t>
            </w:r>
          </w:p>
        </w:tc>
      </w:tr>
      <w:tr w:rsidR="00BB7CFD" w:rsidRPr="003D002A" w14:paraId="22B07B12" w14:textId="77777777" w:rsidTr="0047047F">
        <w:tc>
          <w:tcPr>
            <w:tcW w:w="1770" w:type="dxa"/>
            <w:hideMark/>
          </w:tcPr>
          <w:p w14:paraId="4A7D7CA3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Style w:val="Strong"/>
                <w:rFonts w:ascii="Calibri" w:eastAsiaTheme="majorEastAsia" w:hAnsi="Calibri" w:cs="Calibri"/>
              </w:rPr>
              <w:lastRenderedPageBreak/>
              <w:t>Environmental &amp; Ecological Sustainability</w:t>
            </w:r>
          </w:p>
        </w:tc>
        <w:tc>
          <w:tcPr>
            <w:tcW w:w="1486" w:type="dxa"/>
            <w:hideMark/>
          </w:tcPr>
          <w:p w14:paraId="4B236689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Focus on ecosystems, biodiversity, and nature-based approaches.</w:t>
            </w:r>
          </w:p>
        </w:tc>
        <w:tc>
          <w:tcPr>
            <w:tcW w:w="1342" w:type="dxa"/>
            <w:hideMark/>
          </w:tcPr>
          <w:p w14:paraId="28217023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42</w:t>
            </w:r>
          </w:p>
        </w:tc>
        <w:tc>
          <w:tcPr>
            <w:tcW w:w="2785" w:type="dxa"/>
            <w:hideMark/>
          </w:tcPr>
          <w:p w14:paraId="25D7A471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NbS Integration; Afforestation; Carbon Sequestration.</w:t>
            </w:r>
          </w:p>
        </w:tc>
        <w:tc>
          <w:tcPr>
            <w:tcW w:w="1633" w:type="dxa"/>
            <w:hideMark/>
          </w:tcPr>
          <w:p w14:paraId="5CCC3F97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Opportunities (e.g., NbS as ecological opportunities); Strategic Gaps (e.g., lack of ecosystem approaches as gaps).</w:t>
            </w:r>
          </w:p>
        </w:tc>
      </w:tr>
      <w:tr w:rsidR="00BB7CFD" w:rsidRPr="003D002A" w14:paraId="586FEB0C" w14:textId="77777777" w:rsidTr="0047047F">
        <w:tc>
          <w:tcPr>
            <w:tcW w:w="1770" w:type="dxa"/>
            <w:hideMark/>
          </w:tcPr>
          <w:p w14:paraId="676E14A3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Style w:val="Strong"/>
                <w:rFonts w:ascii="Calibri" w:eastAsiaTheme="majorEastAsia" w:hAnsi="Calibri" w:cs="Calibri"/>
              </w:rPr>
              <w:t>Community Engagement &amp; Awareness</w:t>
            </w:r>
          </w:p>
        </w:tc>
        <w:tc>
          <w:tcPr>
            <w:tcW w:w="1486" w:type="dxa"/>
            <w:hideMark/>
          </w:tcPr>
          <w:p w14:paraId="051AACC7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Social aspects, including awareness, resistance, and participatory approaches.</w:t>
            </w:r>
          </w:p>
        </w:tc>
        <w:tc>
          <w:tcPr>
            <w:tcW w:w="1342" w:type="dxa"/>
            <w:hideMark/>
          </w:tcPr>
          <w:p w14:paraId="6B62EF8F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37</w:t>
            </w:r>
          </w:p>
        </w:tc>
        <w:tc>
          <w:tcPr>
            <w:tcW w:w="2785" w:type="dxa"/>
            <w:hideMark/>
          </w:tcPr>
          <w:p w14:paraId="4D8D33AA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Environmental Awareness; Community Resilience; Bottom-Up Approaches.</w:t>
            </w:r>
          </w:p>
        </w:tc>
        <w:tc>
          <w:tcPr>
            <w:tcW w:w="1633" w:type="dxa"/>
            <w:hideMark/>
          </w:tcPr>
          <w:p w14:paraId="3D03DE32" w14:textId="77777777" w:rsidR="00BB7CFD" w:rsidRPr="003D002A" w:rsidRDefault="00BB7CFD" w:rsidP="0047047F">
            <w:pPr>
              <w:rPr>
                <w:rFonts w:ascii="Calibri" w:hAnsi="Calibri" w:cs="Calibri"/>
              </w:rPr>
            </w:pPr>
            <w:r w:rsidRPr="003D002A">
              <w:rPr>
                <w:rFonts w:ascii="Calibri" w:hAnsi="Calibri" w:cs="Calibri"/>
              </w:rPr>
              <w:t>Opportunities (e.g., awareness campaigns as opportunities); Challenges &amp; Barriers (e.g., resistance overlapping with social barriers).</w:t>
            </w:r>
          </w:p>
        </w:tc>
      </w:tr>
    </w:tbl>
    <w:p w14:paraId="239C94A6" w14:textId="77777777" w:rsidR="0029534F" w:rsidRPr="003D002A" w:rsidRDefault="0029534F" w:rsidP="0029534F">
      <w:pPr>
        <w:rPr>
          <w:rFonts w:ascii="Calibri" w:hAnsi="Calibri" w:cs="Calibri"/>
        </w:rPr>
      </w:pPr>
    </w:p>
    <w:sectPr w:rsidR="0029534F" w:rsidRPr="003D002A">
      <w:foot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1CA381" w14:textId="77777777" w:rsidR="00A0126E" w:rsidRDefault="00A0126E" w:rsidP="003D002A">
      <w:r>
        <w:separator/>
      </w:r>
    </w:p>
  </w:endnote>
  <w:endnote w:type="continuationSeparator" w:id="0">
    <w:p w14:paraId="1D0B50D1" w14:textId="77777777" w:rsidR="00A0126E" w:rsidRDefault="00A0126E" w:rsidP="003D00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9726689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031F36A" w14:textId="19346B7F" w:rsidR="003D002A" w:rsidRDefault="003D002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68BD1D8" w14:textId="77777777" w:rsidR="003D002A" w:rsidRDefault="003D002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9949DD" w14:textId="77777777" w:rsidR="00A0126E" w:rsidRDefault="00A0126E" w:rsidP="003D002A">
      <w:r>
        <w:separator/>
      </w:r>
    </w:p>
  </w:footnote>
  <w:footnote w:type="continuationSeparator" w:id="0">
    <w:p w14:paraId="721CFC04" w14:textId="77777777" w:rsidR="00A0126E" w:rsidRDefault="00A0126E" w:rsidP="003D00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534F"/>
    <w:rsid w:val="000014E3"/>
    <w:rsid w:val="00032949"/>
    <w:rsid w:val="000E0F13"/>
    <w:rsid w:val="00132723"/>
    <w:rsid w:val="00250AFA"/>
    <w:rsid w:val="0029534F"/>
    <w:rsid w:val="003D002A"/>
    <w:rsid w:val="00576419"/>
    <w:rsid w:val="005D38C7"/>
    <w:rsid w:val="00734365"/>
    <w:rsid w:val="00812D56"/>
    <w:rsid w:val="00841D56"/>
    <w:rsid w:val="008875C9"/>
    <w:rsid w:val="00915E20"/>
    <w:rsid w:val="0096052B"/>
    <w:rsid w:val="00A0126E"/>
    <w:rsid w:val="00A8166F"/>
    <w:rsid w:val="00AB49C2"/>
    <w:rsid w:val="00AE6F07"/>
    <w:rsid w:val="00AF7E90"/>
    <w:rsid w:val="00B36F5B"/>
    <w:rsid w:val="00BB7CFD"/>
    <w:rsid w:val="00C91BD8"/>
    <w:rsid w:val="00C92049"/>
    <w:rsid w:val="00D71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F7AEF8D"/>
  <w15:chartTrackingRefBased/>
  <w15:docId w15:val="{D0CBB7FD-9999-1A46-AD29-F39CDC876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29534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50AF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9534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9534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9534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9534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9534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9534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9534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">
    <w:name w:val="Heading"/>
    <w:basedOn w:val="Heading2"/>
    <w:next w:val="Heading2"/>
    <w:autoRedefine/>
    <w:qFormat/>
    <w:rsid w:val="00250AFA"/>
    <w:pPr>
      <w:keepLines w:val="0"/>
      <w:spacing w:before="240" w:after="60"/>
      <w:ind w:left="720"/>
    </w:pPr>
    <w:rPr>
      <w:rFonts w:eastAsia="MS Gothic" w:cs="Times New Roman"/>
      <w:b/>
      <w:bCs/>
      <w:iCs/>
      <w:color w:val="auto"/>
      <w:sz w:val="22"/>
      <w:szCs w:val="28"/>
      <w:lang w:val="en-US"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250AFA"/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29534F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9534F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9534F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9534F"/>
    <w:rPr>
      <w:rFonts w:eastAsiaTheme="majorEastAsia" w:cstheme="majorBidi"/>
      <w:color w:val="0F476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9534F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9534F"/>
    <w:rPr>
      <w:rFonts w:eastAsiaTheme="majorEastAsia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9534F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9534F"/>
    <w:rPr>
      <w:rFonts w:eastAsiaTheme="majorEastAsia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29534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9534F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29534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9534F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29534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9534F"/>
    <w:rPr>
      <w:i/>
      <w:iCs/>
      <w:color w:val="404040" w:themeColor="text1" w:themeTint="BF"/>
      <w:lang w:val="en-GB"/>
    </w:rPr>
  </w:style>
  <w:style w:type="paragraph" w:styleId="ListParagraph">
    <w:name w:val="List Paragraph"/>
    <w:basedOn w:val="Normal"/>
    <w:uiPriority w:val="34"/>
    <w:qFormat/>
    <w:rsid w:val="0029534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9534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9534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9534F"/>
    <w:rPr>
      <w:i/>
      <w:iCs/>
      <w:color w:val="0F4761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29534F"/>
    <w:rPr>
      <w:b/>
      <w:bCs/>
      <w:smallCaps/>
      <w:color w:val="0F4761" w:themeColor="accent1" w:themeShade="BF"/>
      <w:spacing w:val="5"/>
    </w:rPr>
  </w:style>
  <w:style w:type="paragraph" w:styleId="Caption">
    <w:name w:val="caption"/>
    <w:basedOn w:val="Normal"/>
    <w:next w:val="Normal"/>
    <w:uiPriority w:val="35"/>
    <w:unhideWhenUsed/>
    <w:qFormat/>
    <w:rsid w:val="0029534F"/>
    <w:pPr>
      <w:spacing w:after="200"/>
    </w:pPr>
    <w:rPr>
      <w:rFonts w:ascii="Times New Roman" w:eastAsia="Times New Roman" w:hAnsi="Times New Roman" w:cs="Times New Roman"/>
      <w:i/>
      <w:iCs/>
      <w:color w:val="0E2841" w:themeColor="text2"/>
      <w:kern w:val="0"/>
      <w:sz w:val="18"/>
      <w:szCs w:val="18"/>
      <w:lang w:eastAsia="en-GB"/>
      <w14:ligatures w14:val="none"/>
    </w:rPr>
  </w:style>
  <w:style w:type="paragraph" w:styleId="NormalWeb">
    <w:name w:val="Normal (Web)"/>
    <w:basedOn w:val="Normal"/>
    <w:uiPriority w:val="99"/>
    <w:unhideWhenUsed/>
    <w:rsid w:val="0029534F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Emphasis">
    <w:name w:val="Emphasis"/>
    <w:basedOn w:val="DefaultParagraphFont"/>
    <w:uiPriority w:val="20"/>
    <w:qFormat/>
    <w:rsid w:val="0029534F"/>
    <w:rPr>
      <w:i/>
      <w:iCs/>
    </w:rPr>
  </w:style>
  <w:style w:type="table" w:styleId="TableGrid">
    <w:name w:val="Table Grid"/>
    <w:basedOn w:val="TableNormal"/>
    <w:uiPriority w:val="39"/>
    <w:rsid w:val="0029534F"/>
    <w:rPr>
      <w:kern w:val="0"/>
      <w:lang w:val="en-ZA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uiPriority w:val="99"/>
    <w:semiHidden/>
    <w:unhideWhenUsed/>
    <w:rsid w:val="00BB7C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B7CFD"/>
    <w:pPr>
      <w:jc w:val="both"/>
    </w:pPr>
    <w:rPr>
      <w:rFonts w:ascii="Times New Roman" w:eastAsia="Times New Roman" w:hAnsi="Times New Roman" w:cs="Times New Roman"/>
      <w:kern w:val="0"/>
      <w:sz w:val="20"/>
      <w:szCs w:val="20"/>
      <w:lang w:val="en-ZA" w:eastAsia="en-GB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B7CFD"/>
    <w:rPr>
      <w:rFonts w:ascii="Times New Roman" w:eastAsia="Times New Roman" w:hAnsi="Times New Roman" w:cs="Times New Roman"/>
      <w:kern w:val="0"/>
      <w:sz w:val="20"/>
      <w:szCs w:val="20"/>
      <w:lang w:val="en-ZA" w:eastAsia="en-GB"/>
      <w14:ligatures w14:val="none"/>
    </w:rPr>
  </w:style>
  <w:style w:type="character" w:styleId="Strong">
    <w:name w:val="Strong"/>
    <w:basedOn w:val="DefaultParagraphFont"/>
    <w:uiPriority w:val="22"/>
    <w:qFormat/>
    <w:rsid w:val="00BB7CFD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3D002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D002A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3D002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D002A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704</Words>
  <Characters>4017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Hansen, Gaby</dc:creator>
  <cp:keywords/>
  <dc:description/>
  <cp:lastModifiedBy>Mrs. HJ Lotter</cp:lastModifiedBy>
  <cp:revision>2</cp:revision>
  <dcterms:created xsi:type="dcterms:W3CDTF">2026-04-15T06:59:00Z</dcterms:created>
  <dcterms:modified xsi:type="dcterms:W3CDTF">2026-04-15T06:59:00Z</dcterms:modified>
</cp:coreProperties>
</file>