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537F" w:rsidRDefault="00C8537F" w:rsidP="00C8537F">
      <w:pPr>
        <w:pStyle w:val="Heading2"/>
      </w:pPr>
      <w:bookmarkStart w:id="0" w:name="_Ref424805603"/>
      <w:bookmarkStart w:id="1" w:name="_GoBack"/>
      <w:bookmarkEnd w:id="1"/>
      <w:r>
        <w:t>S</w:t>
      </w:r>
      <w:r>
        <w:fldChar w:fldCharType="begin"/>
      </w:r>
      <w:r>
        <w:instrText xml:space="preserve"> SEQ Appendix \* ARABIC </w:instrText>
      </w:r>
      <w:r>
        <w:fldChar w:fldCharType="separate"/>
      </w:r>
      <w:r w:rsidRPr="0089582E">
        <w:t>1</w:t>
      </w:r>
      <w:r>
        <w:fldChar w:fldCharType="end"/>
      </w:r>
      <w:bookmarkEnd w:id="0"/>
      <w:r w:rsidRPr="0089582E">
        <w:t xml:space="preserve"> </w:t>
      </w:r>
      <w:r w:rsidR="004E7B3B">
        <w:t xml:space="preserve">Text. </w:t>
      </w:r>
      <w:r>
        <w:t xml:space="preserve">Additional </w:t>
      </w:r>
      <w:r w:rsidR="00C84256">
        <w:t>m</w:t>
      </w:r>
      <w:r>
        <w:t>ethods for heat transfer calculation</w:t>
      </w:r>
    </w:p>
    <w:p w:rsidR="00C8537F" w:rsidRPr="0089582E" w:rsidRDefault="00C8537F" w:rsidP="00C8537F">
      <w:pPr>
        <w:spacing w:line="480" w:lineRule="auto"/>
        <w:rPr>
          <w:rFonts w:ascii="Arial" w:hAnsi="Arial" w:cs="Arial"/>
          <w:spacing w:val="-3"/>
          <w:sz w:val="20"/>
          <w:szCs w:val="20"/>
        </w:rPr>
      </w:pPr>
      <w:r w:rsidRPr="0089582E">
        <w:rPr>
          <w:rFonts w:ascii="Arial" w:hAnsi="Arial" w:cs="Arial"/>
          <w:spacing w:val="-3"/>
          <w:sz w:val="20"/>
          <w:szCs w:val="20"/>
        </w:rPr>
        <w:t>In controlled conditions radiative heat transfer takes place from the bird to the environment and from the wall of the chamber to the environment. Radiative heat exchange can be ca</w:t>
      </w:r>
      <w:r w:rsidR="00C84256">
        <w:rPr>
          <w:rFonts w:ascii="Arial" w:hAnsi="Arial" w:cs="Arial"/>
          <w:spacing w:val="-3"/>
          <w:sz w:val="20"/>
          <w:szCs w:val="20"/>
        </w:rPr>
        <w:t>lculated for each of the body part</w:t>
      </w:r>
      <w:r w:rsidRPr="0089582E">
        <w:rPr>
          <w:rFonts w:ascii="Arial" w:hAnsi="Arial" w:cs="Arial"/>
          <w:spacing w:val="-3"/>
          <w:sz w:val="20"/>
          <w:szCs w:val="20"/>
        </w:rPr>
        <w:t xml:space="preserve">s of the bird with the following formula: </w:t>
      </w:r>
    </w:p>
    <w:p w:rsidR="00C8537F" w:rsidRPr="0089582E" w:rsidRDefault="00C8537F" w:rsidP="00C8537F">
      <w:pPr>
        <w:spacing w:line="480" w:lineRule="auto"/>
        <w:rPr>
          <w:rFonts w:ascii="Arial" w:hAnsi="Arial" w:cs="Arial"/>
          <w:spacing w:val="-3"/>
          <w:sz w:val="20"/>
          <w:szCs w:val="20"/>
        </w:rPr>
      </w:pPr>
      <w:r w:rsidRPr="0089582E">
        <w:rPr>
          <w:rFonts w:ascii="Arial" w:hAnsi="Arial" w:cs="Arial"/>
          <w:noProof/>
          <w:spacing w:val="-3"/>
          <w:position w:val="-12"/>
          <w:sz w:val="20"/>
          <w:szCs w:val="20"/>
          <w:lang w:val="en-US"/>
        </w:rPr>
        <w:drawing>
          <wp:inline distT="0" distB="0" distL="0" distR="0" wp14:anchorId="037B86AE" wp14:editId="34EA6B9F">
            <wp:extent cx="1628775" cy="266700"/>
            <wp:effectExtent l="0" t="0" r="952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266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537F" w:rsidRPr="0089582E" w:rsidRDefault="00C8537F" w:rsidP="00C8537F">
      <w:pPr>
        <w:spacing w:line="480" w:lineRule="auto"/>
        <w:rPr>
          <w:rFonts w:ascii="Arial" w:hAnsi="Arial" w:cs="Arial"/>
          <w:sz w:val="20"/>
          <w:szCs w:val="20"/>
        </w:rPr>
      </w:pPr>
      <w:r w:rsidRPr="0089582E">
        <w:rPr>
          <w:rFonts w:ascii="Arial" w:hAnsi="Arial" w:cs="Arial"/>
          <w:spacing w:val="-3"/>
          <w:sz w:val="20"/>
          <w:szCs w:val="20"/>
        </w:rPr>
        <w:t xml:space="preserve">Where </w:t>
      </w:r>
      <w:r w:rsidRPr="0089582E">
        <w:rPr>
          <w:rFonts w:ascii="Arial" w:hAnsi="Arial" w:cs="Arial"/>
          <w:i/>
          <w:spacing w:val="-3"/>
          <w:sz w:val="20"/>
          <w:szCs w:val="20"/>
        </w:rPr>
        <w:t>A</w:t>
      </w:r>
      <w:r w:rsidRPr="0089582E">
        <w:rPr>
          <w:rFonts w:ascii="Arial" w:hAnsi="Arial" w:cs="Arial"/>
          <w:spacing w:val="-3"/>
          <w:sz w:val="20"/>
          <w:szCs w:val="20"/>
        </w:rPr>
        <w:t xml:space="preserve"> (m</w:t>
      </w:r>
      <w:r w:rsidRPr="0089582E">
        <w:rPr>
          <w:rFonts w:ascii="Arial" w:hAnsi="Arial" w:cs="Arial"/>
          <w:spacing w:val="-3"/>
          <w:sz w:val="20"/>
          <w:szCs w:val="20"/>
          <w:vertAlign w:val="superscript"/>
        </w:rPr>
        <w:t>-2</w:t>
      </w:r>
      <w:r w:rsidRPr="0089582E">
        <w:rPr>
          <w:rFonts w:ascii="Arial" w:hAnsi="Arial" w:cs="Arial"/>
          <w:spacing w:val="-3"/>
          <w:sz w:val="20"/>
          <w:szCs w:val="20"/>
        </w:rPr>
        <w:t xml:space="preserve">) represents the surface area of each body </w:t>
      </w:r>
      <w:r w:rsidR="00C84256">
        <w:rPr>
          <w:rFonts w:ascii="Arial" w:hAnsi="Arial" w:cs="Arial"/>
          <w:spacing w:val="-3"/>
          <w:sz w:val="20"/>
          <w:szCs w:val="20"/>
        </w:rPr>
        <w:t>part</w:t>
      </w:r>
      <w:r w:rsidRPr="0089582E">
        <w:rPr>
          <w:rFonts w:ascii="Arial" w:hAnsi="Arial" w:cs="Arial"/>
          <w:spacing w:val="-3"/>
          <w:sz w:val="20"/>
          <w:szCs w:val="20"/>
        </w:rPr>
        <w:t>, σ is the Stefan-Boltzmann constant (5.67 x10</w:t>
      </w:r>
      <w:r w:rsidRPr="0089582E">
        <w:rPr>
          <w:rFonts w:ascii="Arial" w:hAnsi="Arial" w:cs="Arial"/>
          <w:spacing w:val="-3"/>
          <w:sz w:val="20"/>
          <w:szCs w:val="20"/>
          <w:vertAlign w:val="superscript"/>
        </w:rPr>
        <w:t>-8</w:t>
      </w:r>
      <w:r w:rsidRPr="0089582E">
        <w:rPr>
          <w:rFonts w:ascii="Arial" w:hAnsi="Arial" w:cs="Arial"/>
          <w:spacing w:val="-3"/>
          <w:sz w:val="20"/>
          <w:szCs w:val="20"/>
        </w:rPr>
        <w:t xml:space="preserve"> Wm</w:t>
      </w:r>
      <w:r w:rsidRPr="0089582E">
        <w:rPr>
          <w:rFonts w:ascii="Arial" w:hAnsi="Arial" w:cs="Arial"/>
          <w:spacing w:val="-3"/>
          <w:sz w:val="20"/>
          <w:szCs w:val="20"/>
          <w:vertAlign w:val="superscript"/>
        </w:rPr>
        <w:t>-2</w:t>
      </w:r>
      <w:r w:rsidRPr="0089582E">
        <w:rPr>
          <w:rFonts w:ascii="Arial" w:hAnsi="Arial" w:cs="Arial"/>
          <w:spacing w:val="-3"/>
          <w:sz w:val="20"/>
          <w:szCs w:val="20"/>
        </w:rPr>
        <w:t>K</w:t>
      </w:r>
      <w:r w:rsidRPr="0089582E">
        <w:rPr>
          <w:rFonts w:ascii="Arial" w:hAnsi="Arial" w:cs="Arial"/>
          <w:spacing w:val="-3"/>
          <w:sz w:val="20"/>
          <w:szCs w:val="20"/>
          <w:vertAlign w:val="superscript"/>
        </w:rPr>
        <w:t>-1</w:t>
      </w:r>
      <w:r w:rsidRPr="0089582E">
        <w:rPr>
          <w:rFonts w:ascii="Arial" w:hAnsi="Arial" w:cs="Arial"/>
          <w:spacing w:val="-3"/>
          <w:sz w:val="20"/>
          <w:szCs w:val="20"/>
        </w:rPr>
        <w:t xml:space="preserve">), </w:t>
      </w:r>
      <w:proofErr w:type="spellStart"/>
      <w:r w:rsidRPr="0089582E">
        <w:rPr>
          <w:rFonts w:ascii="Arial" w:hAnsi="Arial" w:cs="Arial"/>
          <w:spacing w:val="-3"/>
          <w:sz w:val="20"/>
          <w:szCs w:val="20"/>
        </w:rPr>
        <w:t>ɛ</w:t>
      </w:r>
      <w:r w:rsidRPr="0089582E">
        <w:rPr>
          <w:rFonts w:ascii="Arial" w:hAnsi="Arial" w:cs="Arial"/>
          <w:spacing w:val="-3"/>
          <w:sz w:val="20"/>
          <w:szCs w:val="20"/>
          <w:vertAlign w:val="subscript"/>
        </w:rPr>
        <w:t>a</w:t>
      </w:r>
      <w:proofErr w:type="spellEnd"/>
      <w:r w:rsidRPr="0089582E">
        <w:rPr>
          <w:rFonts w:ascii="Arial" w:hAnsi="Arial" w:cs="Arial"/>
          <w:spacing w:val="-3"/>
          <w:sz w:val="20"/>
          <w:szCs w:val="20"/>
        </w:rPr>
        <w:t xml:space="preserve"> is the emissivity of bird plumage (0.95) and </w:t>
      </w:r>
      <w:proofErr w:type="spellStart"/>
      <w:r w:rsidRPr="0089582E">
        <w:rPr>
          <w:rFonts w:ascii="Arial" w:hAnsi="Arial" w:cs="Arial"/>
          <w:spacing w:val="-3"/>
          <w:sz w:val="20"/>
          <w:szCs w:val="20"/>
        </w:rPr>
        <w:t>ɛ</w:t>
      </w:r>
      <w:r w:rsidRPr="0089582E">
        <w:rPr>
          <w:rFonts w:ascii="Arial" w:hAnsi="Arial" w:cs="Arial"/>
          <w:spacing w:val="-3"/>
          <w:sz w:val="20"/>
          <w:szCs w:val="20"/>
          <w:vertAlign w:val="subscript"/>
        </w:rPr>
        <w:t>w</w:t>
      </w:r>
      <w:proofErr w:type="spellEnd"/>
      <w:r w:rsidRPr="0089582E">
        <w:rPr>
          <w:rFonts w:ascii="Arial" w:hAnsi="Arial" w:cs="Arial"/>
          <w:spacing w:val="-3"/>
          <w:sz w:val="20"/>
          <w:szCs w:val="20"/>
        </w:rPr>
        <w:t xml:space="preserve"> is the emissivity of the white plastic walls of the bird chamber (0.84). </w:t>
      </w:r>
      <w:proofErr w:type="spellStart"/>
      <w:r w:rsidRPr="0089582E">
        <w:rPr>
          <w:rFonts w:ascii="Arial" w:hAnsi="Arial" w:cs="Arial"/>
          <w:spacing w:val="-3"/>
          <w:sz w:val="20"/>
          <w:szCs w:val="20"/>
        </w:rPr>
        <w:t>T</w:t>
      </w:r>
      <w:r w:rsidRPr="0089582E">
        <w:rPr>
          <w:rFonts w:ascii="Arial" w:hAnsi="Arial" w:cs="Arial"/>
          <w:spacing w:val="-3"/>
          <w:sz w:val="20"/>
          <w:szCs w:val="20"/>
          <w:vertAlign w:val="subscript"/>
        </w:rPr>
        <w:t>s</w:t>
      </w:r>
      <w:proofErr w:type="spellEnd"/>
      <w:r w:rsidRPr="0089582E">
        <w:rPr>
          <w:rFonts w:ascii="Arial" w:hAnsi="Arial" w:cs="Arial"/>
          <w:spacing w:val="-3"/>
          <w:sz w:val="20"/>
          <w:szCs w:val="20"/>
        </w:rPr>
        <w:t xml:space="preserve"> and T</w:t>
      </w:r>
      <w:r w:rsidRPr="0089582E">
        <w:rPr>
          <w:rFonts w:ascii="Arial" w:hAnsi="Arial" w:cs="Arial"/>
          <w:spacing w:val="-3"/>
          <w:sz w:val="20"/>
          <w:szCs w:val="20"/>
          <w:vertAlign w:val="subscript"/>
        </w:rPr>
        <w:t>w</w:t>
      </w:r>
      <w:r w:rsidRPr="0089582E">
        <w:rPr>
          <w:rFonts w:ascii="Arial" w:hAnsi="Arial" w:cs="Arial"/>
          <w:spacing w:val="-3"/>
          <w:sz w:val="20"/>
          <w:szCs w:val="20"/>
        </w:rPr>
        <w:t xml:space="preserve"> are the radiative surface temperature of the surface of the body part and the surface of the wall (°K). A small fan in the chamber provided the bird with fresh air and prevented a decrease in oxygen levels</w:t>
      </w:r>
      <w:r w:rsidR="00C84256">
        <w:rPr>
          <w:rFonts w:ascii="Arial" w:hAnsi="Arial" w:cs="Arial"/>
          <w:spacing w:val="-3"/>
          <w:sz w:val="20"/>
          <w:szCs w:val="20"/>
        </w:rPr>
        <w:t xml:space="preserve"> and a</w:t>
      </w:r>
      <w:r w:rsidR="00C84256" w:rsidRPr="0089582E">
        <w:rPr>
          <w:rFonts w:ascii="Arial" w:hAnsi="Arial" w:cs="Arial"/>
          <w:spacing w:val="-3"/>
          <w:sz w:val="20"/>
          <w:szCs w:val="20"/>
        </w:rPr>
        <w:t>n anemometer recorded air flow in th</w:t>
      </w:r>
      <w:r w:rsidR="00C84256">
        <w:rPr>
          <w:rFonts w:ascii="Arial" w:hAnsi="Arial" w:cs="Arial"/>
          <w:spacing w:val="-3"/>
          <w:sz w:val="20"/>
          <w:szCs w:val="20"/>
        </w:rPr>
        <w:t>e chamber during the experiment</w:t>
      </w:r>
      <w:r w:rsidRPr="0089582E">
        <w:rPr>
          <w:rFonts w:ascii="Arial" w:hAnsi="Arial" w:cs="Arial"/>
          <w:spacing w:val="-3"/>
          <w:sz w:val="20"/>
          <w:szCs w:val="20"/>
        </w:rPr>
        <w:t xml:space="preserve">. The movement of air caused by the fan </w:t>
      </w:r>
      <w:r w:rsidR="00E15685">
        <w:rPr>
          <w:rFonts w:ascii="Arial" w:hAnsi="Arial" w:cs="Arial"/>
          <w:spacing w:val="-3"/>
          <w:sz w:val="20"/>
          <w:szCs w:val="20"/>
        </w:rPr>
        <w:t>did not</w:t>
      </w:r>
      <w:r w:rsidRPr="0089582E">
        <w:rPr>
          <w:rFonts w:ascii="Arial" w:hAnsi="Arial" w:cs="Arial"/>
          <w:spacing w:val="-3"/>
          <w:sz w:val="20"/>
          <w:szCs w:val="20"/>
        </w:rPr>
        <w:t xml:space="preserve"> create a measurable air flow and therefore convective heat transfer occurred via free convection and was calculated as:</w:t>
      </w:r>
    </w:p>
    <w:p w:rsidR="00C8537F" w:rsidRPr="0089582E" w:rsidRDefault="00C8537F" w:rsidP="00C8537F">
      <w:pPr>
        <w:spacing w:line="480" w:lineRule="auto"/>
        <w:rPr>
          <w:rFonts w:ascii="Arial" w:hAnsi="Arial" w:cs="Arial"/>
          <w:sz w:val="20"/>
          <w:szCs w:val="20"/>
        </w:rPr>
      </w:pPr>
      <w:r w:rsidRPr="0089582E">
        <w:rPr>
          <w:rFonts w:ascii="Arial" w:hAnsi="Arial" w:cs="Arial"/>
          <w:noProof/>
          <w:sz w:val="20"/>
          <w:szCs w:val="20"/>
          <w:lang w:val="en-US"/>
        </w:rPr>
        <w:drawing>
          <wp:anchor distT="0" distB="0" distL="114300" distR="114300" simplePos="0" relativeHeight="251659264" behindDoc="0" locked="0" layoutInCell="1" allowOverlap="1" wp14:anchorId="202F8543" wp14:editId="5A180E4A">
            <wp:simplePos x="0" y="0"/>
            <wp:positionH relativeFrom="column">
              <wp:align>left</wp:align>
            </wp:positionH>
            <wp:positionV relativeFrom="paragraph">
              <wp:posOffset>0</wp:posOffset>
            </wp:positionV>
            <wp:extent cx="1269365" cy="228600"/>
            <wp:effectExtent l="0" t="0" r="6985" b="0"/>
            <wp:wrapSquare wrapText="right"/>
            <wp:docPr id="12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9365" cy="228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89582E">
        <w:rPr>
          <w:rFonts w:ascii="Arial" w:hAnsi="Arial" w:cs="Arial"/>
          <w:sz w:val="20"/>
          <w:szCs w:val="20"/>
        </w:rPr>
        <w:br w:type="textWrapping" w:clear="all"/>
      </w:r>
    </w:p>
    <w:p w:rsidR="00C8537F" w:rsidRPr="0089582E" w:rsidRDefault="00C8537F" w:rsidP="00C8537F">
      <w:pPr>
        <w:spacing w:line="480" w:lineRule="auto"/>
        <w:rPr>
          <w:rFonts w:ascii="Arial" w:hAnsi="Arial" w:cs="Arial"/>
          <w:sz w:val="20"/>
          <w:szCs w:val="20"/>
        </w:rPr>
      </w:pPr>
      <w:r w:rsidRPr="0089582E">
        <w:rPr>
          <w:rFonts w:ascii="Arial" w:hAnsi="Arial" w:cs="Arial"/>
          <w:sz w:val="20"/>
          <w:szCs w:val="20"/>
        </w:rPr>
        <w:t xml:space="preserve">Whereby </w:t>
      </w:r>
      <w:r w:rsidRPr="0089582E">
        <w:rPr>
          <w:rFonts w:ascii="Arial" w:hAnsi="Arial" w:cs="Arial"/>
          <w:i/>
          <w:spacing w:val="-3"/>
          <w:sz w:val="20"/>
          <w:szCs w:val="20"/>
        </w:rPr>
        <w:t>A</w:t>
      </w:r>
      <w:r w:rsidRPr="0089582E">
        <w:rPr>
          <w:rFonts w:ascii="Arial" w:hAnsi="Arial" w:cs="Arial"/>
          <w:spacing w:val="-3"/>
          <w:sz w:val="20"/>
          <w:szCs w:val="20"/>
        </w:rPr>
        <w:t xml:space="preserve"> (m</w:t>
      </w:r>
      <w:r w:rsidRPr="0089582E">
        <w:rPr>
          <w:rFonts w:ascii="Arial" w:hAnsi="Arial" w:cs="Arial"/>
          <w:spacing w:val="-3"/>
          <w:sz w:val="20"/>
          <w:szCs w:val="20"/>
          <w:vertAlign w:val="superscript"/>
        </w:rPr>
        <w:t>2</w:t>
      </w:r>
      <w:r w:rsidRPr="0089582E">
        <w:rPr>
          <w:rFonts w:ascii="Arial" w:hAnsi="Arial" w:cs="Arial"/>
          <w:spacing w:val="-3"/>
          <w:sz w:val="20"/>
          <w:szCs w:val="20"/>
        </w:rPr>
        <w:t xml:space="preserve">) represents the surface area of each body part, </w:t>
      </w:r>
      <w:proofErr w:type="spellStart"/>
      <w:r w:rsidRPr="0089582E">
        <w:rPr>
          <w:rFonts w:ascii="Arial" w:hAnsi="Arial" w:cs="Arial"/>
          <w:spacing w:val="-3"/>
          <w:sz w:val="20"/>
          <w:szCs w:val="20"/>
        </w:rPr>
        <w:t>T</w:t>
      </w:r>
      <w:r w:rsidRPr="0089582E">
        <w:rPr>
          <w:rFonts w:ascii="Arial" w:hAnsi="Arial" w:cs="Arial"/>
          <w:spacing w:val="-3"/>
          <w:sz w:val="20"/>
          <w:szCs w:val="20"/>
          <w:vertAlign w:val="subscript"/>
        </w:rPr>
        <w:t>s</w:t>
      </w:r>
      <w:proofErr w:type="spellEnd"/>
      <w:r w:rsidRPr="0089582E">
        <w:rPr>
          <w:rFonts w:ascii="Arial" w:hAnsi="Arial" w:cs="Arial"/>
          <w:spacing w:val="-3"/>
          <w:sz w:val="20"/>
          <w:szCs w:val="20"/>
        </w:rPr>
        <w:t xml:space="preserve"> is the surface temperature of the body part (°K) and T</w:t>
      </w:r>
      <w:r w:rsidRPr="0089582E">
        <w:rPr>
          <w:rFonts w:ascii="Arial" w:hAnsi="Arial" w:cs="Arial"/>
          <w:spacing w:val="-3"/>
          <w:sz w:val="20"/>
          <w:szCs w:val="20"/>
          <w:vertAlign w:val="subscript"/>
        </w:rPr>
        <w:t>a</w:t>
      </w:r>
      <w:r w:rsidRPr="0089582E">
        <w:rPr>
          <w:rFonts w:ascii="Arial" w:hAnsi="Arial" w:cs="Arial"/>
          <w:spacing w:val="-3"/>
          <w:sz w:val="20"/>
          <w:szCs w:val="20"/>
        </w:rPr>
        <w:t xml:space="preserve"> is the air temperature (°K). </w:t>
      </w:r>
      <w:proofErr w:type="spellStart"/>
      <w:r w:rsidRPr="0089582E">
        <w:rPr>
          <w:rFonts w:ascii="Arial" w:hAnsi="Arial" w:cs="Arial"/>
          <w:sz w:val="20"/>
          <w:szCs w:val="20"/>
        </w:rPr>
        <w:t>h</w:t>
      </w:r>
      <w:r w:rsidRPr="0089582E">
        <w:rPr>
          <w:rFonts w:ascii="Arial" w:hAnsi="Arial" w:cs="Arial"/>
          <w:sz w:val="20"/>
          <w:szCs w:val="20"/>
          <w:vertAlign w:val="subscript"/>
        </w:rPr>
        <w:t>c</w:t>
      </w:r>
      <w:proofErr w:type="spellEnd"/>
      <w:r w:rsidRPr="0089582E">
        <w:rPr>
          <w:rFonts w:ascii="Arial" w:hAnsi="Arial" w:cs="Arial"/>
          <w:sz w:val="20"/>
          <w:szCs w:val="20"/>
        </w:rPr>
        <w:t xml:space="preserve"> is the convective heat transfer coefficient and can be calculated as follows:</w:t>
      </w:r>
    </w:p>
    <w:p w:rsidR="00C8537F" w:rsidRPr="0089582E" w:rsidRDefault="00C8537F" w:rsidP="00C8537F">
      <w:pPr>
        <w:spacing w:line="480" w:lineRule="auto"/>
        <w:rPr>
          <w:rFonts w:ascii="Arial" w:hAnsi="Arial" w:cs="Arial"/>
          <w:sz w:val="20"/>
          <w:szCs w:val="20"/>
        </w:rPr>
      </w:pPr>
      <w:r w:rsidRPr="0089582E">
        <w:rPr>
          <w:rFonts w:ascii="Arial" w:hAnsi="Arial" w:cs="Arial"/>
          <w:noProof/>
          <w:position w:val="-24"/>
          <w:sz w:val="20"/>
          <w:szCs w:val="20"/>
          <w:lang w:val="en-US"/>
        </w:rPr>
        <w:drawing>
          <wp:inline distT="0" distB="0" distL="0" distR="0" wp14:anchorId="67E91A80" wp14:editId="74AA96BC">
            <wp:extent cx="695325" cy="409575"/>
            <wp:effectExtent l="0" t="0" r="9525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5325" cy="409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537F" w:rsidRPr="0089582E" w:rsidRDefault="00C8537F" w:rsidP="00C8537F">
      <w:pPr>
        <w:spacing w:line="480" w:lineRule="auto"/>
        <w:rPr>
          <w:rFonts w:ascii="Arial" w:hAnsi="Arial" w:cs="Arial"/>
          <w:sz w:val="20"/>
          <w:szCs w:val="20"/>
        </w:rPr>
      </w:pPr>
      <w:r w:rsidRPr="0089582E">
        <w:rPr>
          <w:rFonts w:ascii="Arial" w:hAnsi="Arial" w:cs="Arial"/>
          <w:sz w:val="20"/>
          <w:szCs w:val="20"/>
        </w:rPr>
        <w:t>k represents the thermal conductivity of air, determined</w:t>
      </w:r>
      <w:r w:rsidR="00E15685">
        <w:rPr>
          <w:rFonts w:ascii="Arial" w:hAnsi="Arial" w:cs="Arial"/>
          <w:sz w:val="20"/>
          <w:szCs w:val="20"/>
        </w:rPr>
        <w:t xml:space="preserve"> at</w:t>
      </w:r>
      <w:r w:rsidRPr="0089582E">
        <w:rPr>
          <w:rFonts w:ascii="Arial" w:hAnsi="Arial" w:cs="Arial"/>
          <w:sz w:val="20"/>
          <w:szCs w:val="20"/>
        </w:rPr>
        <w:t xml:space="preserve"> each T</w:t>
      </w:r>
      <w:r w:rsidRPr="0089582E">
        <w:rPr>
          <w:rFonts w:ascii="Arial" w:hAnsi="Arial" w:cs="Arial"/>
          <w:sz w:val="20"/>
          <w:szCs w:val="20"/>
          <w:vertAlign w:val="subscript"/>
        </w:rPr>
        <w:t>a</w:t>
      </w:r>
      <w:r w:rsidRPr="0089582E">
        <w:rPr>
          <w:rFonts w:ascii="Arial" w:hAnsi="Arial" w:cs="Arial"/>
          <w:sz w:val="20"/>
          <w:szCs w:val="20"/>
        </w:rPr>
        <w:t xml:space="preserve"> (W m</w:t>
      </w:r>
      <w:r w:rsidRPr="0089582E">
        <w:rPr>
          <w:rFonts w:ascii="Arial" w:hAnsi="Arial" w:cs="Arial"/>
          <w:sz w:val="20"/>
          <w:szCs w:val="20"/>
          <w:vertAlign w:val="superscript"/>
        </w:rPr>
        <w:t xml:space="preserve">-2 </w:t>
      </w:r>
      <w:r w:rsidRPr="0089582E">
        <w:rPr>
          <w:rFonts w:ascii="Arial" w:hAnsi="Arial" w:cs="Arial"/>
          <w:sz w:val="20"/>
          <w:szCs w:val="20"/>
        </w:rPr>
        <w:t>°K</w:t>
      </w:r>
      <w:r w:rsidRPr="0089582E">
        <w:rPr>
          <w:rFonts w:ascii="Arial" w:hAnsi="Arial" w:cs="Arial"/>
          <w:sz w:val="20"/>
          <w:szCs w:val="20"/>
          <w:vertAlign w:val="superscript"/>
        </w:rPr>
        <w:t>-1</w:t>
      </w:r>
      <w:r w:rsidRPr="0089582E">
        <w:rPr>
          <w:rFonts w:ascii="Arial" w:hAnsi="Arial" w:cs="Arial"/>
          <w:sz w:val="20"/>
          <w:szCs w:val="20"/>
        </w:rPr>
        <w:t xml:space="preserve">), d (m) is the characteristic dimension of each body part and Nu is the dimensionless </w:t>
      </w:r>
      <w:proofErr w:type="spellStart"/>
      <w:r w:rsidRPr="0089582E">
        <w:rPr>
          <w:rFonts w:ascii="Arial" w:hAnsi="Arial" w:cs="Arial"/>
          <w:sz w:val="20"/>
          <w:szCs w:val="20"/>
        </w:rPr>
        <w:t>Nusselt</w:t>
      </w:r>
      <w:proofErr w:type="spellEnd"/>
      <w:r w:rsidRPr="0089582E">
        <w:rPr>
          <w:rFonts w:ascii="Arial" w:hAnsi="Arial" w:cs="Arial"/>
          <w:sz w:val="20"/>
          <w:szCs w:val="20"/>
        </w:rPr>
        <w:t xml:space="preserve"> number. The </w:t>
      </w:r>
      <w:proofErr w:type="spellStart"/>
      <w:r w:rsidRPr="0089582E">
        <w:rPr>
          <w:rFonts w:ascii="Arial" w:hAnsi="Arial" w:cs="Arial"/>
          <w:sz w:val="20"/>
          <w:szCs w:val="20"/>
        </w:rPr>
        <w:t>Nusselt</w:t>
      </w:r>
      <w:proofErr w:type="spellEnd"/>
      <w:r w:rsidRPr="0089582E">
        <w:rPr>
          <w:rFonts w:ascii="Arial" w:hAnsi="Arial" w:cs="Arial"/>
          <w:sz w:val="20"/>
          <w:szCs w:val="20"/>
        </w:rPr>
        <w:t xml:space="preserve"> number is a measure of the ratio of buoyant to viscous forces and is dependent on the shape of the characteristic body part </w:t>
      </w:r>
      <w:r w:rsidRPr="0089582E">
        <w:rPr>
          <w:rFonts w:ascii="Arial" w:hAnsi="Arial" w:cs="Arial"/>
          <w:sz w:val="20"/>
          <w:szCs w:val="20"/>
        </w:rPr>
        <w:fldChar w:fldCharType="begin"/>
      </w:r>
      <w:r>
        <w:rPr>
          <w:rFonts w:ascii="Arial" w:hAnsi="Arial" w:cs="Arial"/>
          <w:sz w:val="20"/>
          <w:szCs w:val="20"/>
        </w:rPr>
        <w:instrText xml:space="preserve"> ADDIN EN.CITE &lt;EndNote&gt;&lt;Cite&gt;&lt;Author&gt;Monteith&lt;/Author&gt;&lt;Year&gt;2013&lt;/Year&gt;&lt;RecNum&gt;1836&lt;/RecNum&gt;&lt;DisplayText&gt;[1]&lt;/DisplayText&gt;&lt;record&gt;&lt;rec-number&gt;1836&lt;/rec-number&gt;&lt;foreign-keys&gt;&lt;key app="EN" db-id="2r5z9wr2qfvfezewwtsxeaxnv2552azfwz02" timestamp="1451201131"&gt;1836&lt;/key&gt;&lt;/foreign-keys&gt;&lt;ref-type name="Book"&gt;6&lt;/ref-type&gt;&lt;contributors&gt;&lt;authors&gt;&lt;author&gt;Monteith, J.&lt;/author&gt;&lt;author&gt;Unsworth, M. H.&lt;/author&gt;&lt;/authors&gt;&lt;/contributors&gt;&lt;titles&gt;&lt;title&gt;Principles of Environmental Physics: Plants, Animals, and the Atmosphere&lt;/title&gt;&lt;/titles&gt;&lt;edition&gt;&lt;style face="normal" font="default" size="100%"&gt;4&lt;/style&gt;&lt;style face="superscript" font="default" size="100%"&gt;th&lt;/style&gt;&lt;/edition&gt;&lt;dates&gt;&lt;year&gt;2013&lt;/year&gt;&lt;/dates&gt;&lt;pub-location&gt;Amsterdam&lt;/pub-location&gt;&lt;publisher&gt;Academic Press&lt;/publisher&gt;&lt;isbn&gt;0123869935&lt;/isbn&gt;&lt;urls&gt;&lt;/urls&gt;&lt;/record&gt;&lt;/Cite&gt;&lt;/EndNote&gt;</w:instrText>
      </w:r>
      <w:r w:rsidRPr="0089582E"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[1]</w:t>
      </w:r>
      <w:r w:rsidRPr="0089582E">
        <w:rPr>
          <w:rFonts w:ascii="Arial" w:hAnsi="Arial" w:cs="Arial"/>
          <w:sz w:val="20"/>
          <w:szCs w:val="20"/>
        </w:rPr>
        <w:fldChar w:fldCharType="end"/>
      </w:r>
      <w:r w:rsidRPr="0089582E">
        <w:rPr>
          <w:rFonts w:ascii="Arial" w:hAnsi="Arial" w:cs="Arial"/>
          <w:sz w:val="20"/>
          <w:szCs w:val="20"/>
        </w:rPr>
        <w:t xml:space="preserve">. </w:t>
      </w:r>
      <w:r w:rsidR="00E15685">
        <w:rPr>
          <w:rFonts w:ascii="Arial" w:hAnsi="Arial" w:cs="Arial"/>
          <w:sz w:val="20"/>
          <w:szCs w:val="20"/>
        </w:rPr>
        <w:t>I</w:t>
      </w:r>
      <w:r w:rsidR="00E15685" w:rsidRPr="0089582E">
        <w:rPr>
          <w:rFonts w:ascii="Arial" w:hAnsi="Arial" w:cs="Arial"/>
          <w:sz w:val="20"/>
          <w:szCs w:val="20"/>
        </w:rPr>
        <w:t>n order to measure the conductive heat loss</w:t>
      </w:r>
      <w:r w:rsidR="00E15685">
        <w:rPr>
          <w:rFonts w:ascii="Arial" w:hAnsi="Arial" w:cs="Arial"/>
          <w:sz w:val="20"/>
          <w:szCs w:val="20"/>
        </w:rPr>
        <w:t>,</w:t>
      </w:r>
      <w:r w:rsidR="00E15685" w:rsidRPr="0089582E">
        <w:rPr>
          <w:rFonts w:ascii="Arial" w:hAnsi="Arial" w:cs="Arial"/>
          <w:sz w:val="20"/>
          <w:szCs w:val="20"/>
        </w:rPr>
        <w:t xml:space="preserve"> </w:t>
      </w:r>
      <w:r w:rsidR="00E15685">
        <w:rPr>
          <w:rFonts w:ascii="Arial" w:hAnsi="Arial" w:cs="Arial"/>
          <w:sz w:val="20"/>
          <w:szCs w:val="20"/>
        </w:rPr>
        <w:t>t</w:t>
      </w:r>
      <w:r w:rsidR="00E15685" w:rsidRPr="0089582E">
        <w:rPr>
          <w:rFonts w:ascii="Arial" w:hAnsi="Arial" w:cs="Arial"/>
          <w:sz w:val="20"/>
          <w:szCs w:val="20"/>
        </w:rPr>
        <w:t xml:space="preserve">he temperature difference between the </w:t>
      </w:r>
      <w:r w:rsidR="00E15685">
        <w:rPr>
          <w:rFonts w:ascii="Arial" w:hAnsi="Arial" w:cs="Arial"/>
          <w:sz w:val="20"/>
          <w:szCs w:val="20"/>
        </w:rPr>
        <w:t xml:space="preserve">bird </w:t>
      </w:r>
      <w:r w:rsidR="00E15685" w:rsidRPr="0089582E">
        <w:rPr>
          <w:rFonts w:ascii="Arial" w:hAnsi="Arial" w:cs="Arial"/>
          <w:sz w:val="20"/>
          <w:szCs w:val="20"/>
        </w:rPr>
        <w:t xml:space="preserve">and </w:t>
      </w:r>
      <w:r w:rsidR="00E15685">
        <w:rPr>
          <w:rFonts w:ascii="Arial" w:hAnsi="Arial" w:cs="Arial"/>
          <w:sz w:val="20"/>
          <w:szCs w:val="20"/>
        </w:rPr>
        <w:t>any object it touches n</w:t>
      </w:r>
      <w:r w:rsidR="00E15685" w:rsidRPr="0089582E">
        <w:rPr>
          <w:rFonts w:ascii="Arial" w:hAnsi="Arial" w:cs="Arial"/>
          <w:sz w:val="20"/>
          <w:szCs w:val="20"/>
        </w:rPr>
        <w:t>eeds to be taken into account</w:t>
      </w:r>
      <w:r w:rsidR="00E15685">
        <w:rPr>
          <w:rFonts w:ascii="Arial" w:hAnsi="Arial" w:cs="Arial"/>
          <w:sz w:val="20"/>
          <w:szCs w:val="20"/>
        </w:rPr>
        <w:t>.</w:t>
      </w:r>
      <w:r w:rsidR="00E15685" w:rsidRPr="0089582E">
        <w:rPr>
          <w:rFonts w:ascii="Arial" w:hAnsi="Arial" w:cs="Arial"/>
          <w:sz w:val="20"/>
          <w:szCs w:val="20"/>
        </w:rPr>
        <w:t xml:space="preserve"> </w:t>
      </w:r>
      <w:r w:rsidRPr="0089582E">
        <w:rPr>
          <w:rFonts w:ascii="Arial" w:hAnsi="Arial" w:cs="Arial"/>
          <w:sz w:val="20"/>
          <w:szCs w:val="20"/>
        </w:rPr>
        <w:t xml:space="preserve">During this experiment the bird body only came into contact with the perch </w:t>
      </w:r>
      <w:r w:rsidR="00E15685">
        <w:rPr>
          <w:rFonts w:ascii="Arial" w:hAnsi="Arial" w:cs="Arial"/>
          <w:sz w:val="20"/>
          <w:szCs w:val="20"/>
        </w:rPr>
        <w:t>via the feet</w:t>
      </w:r>
      <w:r w:rsidRPr="0089582E">
        <w:rPr>
          <w:rFonts w:ascii="Arial" w:hAnsi="Arial" w:cs="Arial"/>
          <w:sz w:val="20"/>
          <w:szCs w:val="20"/>
        </w:rPr>
        <w:t xml:space="preserve">. We ignored conductive heat loss, because of the low conductivity of wood (0.12 </w:t>
      </w:r>
      <w:r w:rsidRPr="0089582E">
        <w:rPr>
          <w:rFonts w:ascii="Arial" w:hAnsi="Arial" w:cs="Arial"/>
          <w:spacing w:val="-3"/>
          <w:sz w:val="20"/>
          <w:szCs w:val="20"/>
        </w:rPr>
        <w:t>W m</w:t>
      </w:r>
      <w:r w:rsidRPr="0089582E">
        <w:rPr>
          <w:rFonts w:ascii="Arial" w:hAnsi="Arial" w:cs="Arial"/>
          <w:spacing w:val="-3"/>
          <w:sz w:val="20"/>
          <w:szCs w:val="20"/>
          <w:vertAlign w:val="superscript"/>
        </w:rPr>
        <w:t>-2</w:t>
      </w:r>
      <w:r w:rsidRPr="0089582E">
        <w:rPr>
          <w:rFonts w:ascii="Arial" w:hAnsi="Arial" w:cs="Arial"/>
          <w:spacing w:val="-3"/>
          <w:sz w:val="20"/>
          <w:szCs w:val="20"/>
        </w:rPr>
        <w:t>K</w:t>
      </w:r>
      <w:r w:rsidRPr="0089582E">
        <w:rPr>
          <w:rFonts w:ascii="Arial" w:hAnsi="Arial" w:cs="Arial"/>
          <w:spacing w:val="-3"/>
          <w:sz w:val="20"/>
          <w:szCs w:val="20"/>
          <w:vertAlign w:val="superscript"/>
        </w:rPr>
        <w:t>-1</w:t>
      </w:r>
      <w:r w:rsidRPr="0089582E">
        <w:rPr>
          <w:rFonts w:ascii="Arial" w:hAnsi="Arial" w:cs="Arial"/>
          <w:sz w:val="20"/>
          <w:szCs w:val="20"/>
        </w:rPr>
        <w:t xml:space="preserve">) and small surface contact of the feet on the perch. We did not attempt to measure evaporative heat loss in this study, but instead we recorded the </w:t>
      </w:r>
      <w:r w:rsidRPr="0089582E">
        <w:rPr>
          <w:rFonts w:ascii="Arial" w:hAnsi="Arial" w:cs="Arial"/>
          <w:sz w:val="20"/>
          <w:szCs w:val="20"/>
        </w:rPr>
        <w:lastRenderedPageBreak/>
        <w:t xml:space="preserve">chamber temperature at which the bird initiated panting behaviour. Panting, or </w:t>
      </w:r>
      <w:proofErr w:type="spellStart"/>
      <w:r w:rsidRPr="0089582E">
        <w:rPr>
          <w:rFonts w:ascii="Arial" w:hAnsi="Arial" w:cs="Arial"/>
          <w:sz w:val="20"/>
          <w:szCs w:val="20"/>
        </w:rPr>
        <w:t>buccopharyngeal</w:t>
      </w:r>
      <w:proofErr w:type="spellEnd"/>
      <w:r w:rsidRPr="0089582E">
        <w:rPr>
          <w:rFonts w:ascii="Arial" w:hAnsi="Arial" w:cs="Arial"/>
          <w:sz w:val="20"/>
          <w:szCs w:val="20"/>
        </w:rPr>
        <w:t xml:space="preserve"> evaporative water loss</w:t>
      </w:r>
      <w:r w:rsidR="00E15685">
        <w:rPr>
          <w:rFonts w:ascii="Arial" w:hAnsi="Arial" w:cs="Arial"/>
          <w:sz w:val="20"/>
          <w:szCs w:val="20"/>
        </w:rPr>
        <w:t>,</w:t>
      </w:r>
      <w:r w:rsidRPr="0089582E">
        <w:rPr>
          <w:rFonts w:ascii="Arial" w:hAnsi="Arial" w:cs="Arial"/>
          <w:sz w:val="20"/>
          <w:szCs w:val="20"/>
        </w:rPr>
        <w:t xml:space="preserve"> coincides with other evaporative ro</w:t>
      </w:r>
      <w:r w:rsidR="00E15685">
        <w:rPr>
          <w:rFonts w:ascii="Arial" w:hAnsi="Arial" w:cs="Arial"/>
          <w:sz w:val="20"/>
          <w:szCs w:val="20"/>
        </w:rPr>
        <w:t xml:space="preserve">utes like cutaneous </w:t>
      </w:r>
      <w:r w:rsidRPr="0089582E">
        <w:rPr>
          <w:rFonts w:ascii="Arial" w:hAnsi="Arial" w:cs="Arial"/>
          <w:sz w:val="20"/>
          <w:szCs w:val="20"/>
        </w:rPr>
        <w:t xml:space="preserve">and cloacal </w:t>
      </w:r>
      <w:r w:rsidR="00E15685">
        <w:rPr>
          <w:rFonts w:ascii="Arial" w:hAnsi="Arial" w:cs="Arial"/>
          <w:sz w:val="20"/>
          <w:szCs w:val="20"/>
        </w:rPr>
        <w:t xml:space="preserve">heat loss </w:t>
      </w:r>
      <w:r w:rsidRPr="0089582E">
        <w:rPr>
          <w:rFonts w:ascii="Arial" w:hAnsi="Arial" w:cs="Arial"/>
          <w:sz w:val="20"/>
          <w:szCs w:val="20"/>
        </w:rPr>
        <w:fldChar w:fldCharType="begin"/>
      </w:r>
      <w:r>
        <w:rPr>
          <w:rFonts w:ascii="Arial" w:hAnsi="Arial" w:cs="Arial"/>
          <w:sz w:val="20"/>
          <w:szCs w:val="20"/>
        </w:rPr>
        <w:instrText xml:space="preserve"> ADDIN EN.CITE &lt;EndNote&gt;&lt;Cite&gt;&lt;Author&gt;Hoffman&lt;/Author&gt;&lt;Year&gt;2007&lt;/Year&gt;&lt;RecNum&gt;1837&lt;/RecNum&gt;&lt;DisplayText&gt;[2]&lt;/DisplayText&gt;&lt;record&gt;&lt;rec-number&gt;1837&lt;/rec-number&gt;&lt;foreign-keys&gt;&lt;key app="EN" db-id="2r5z9wr2qfvfezewwtsxeaxnv2552azfwz02" timestamp="1451201131"&gt;1837&lt;/key&gt;&lt;/foreign-keys&gt;&lt;ref-type name="Journal Article"&gt;17&lt;/ref-type&gt;&lt;contributors&gt;&lt;authors&gt;&lt;author&gt;Hoffman, T. C.&lt;/author&gt;&lt;author&gt;Walsberg, G. E.&lt;/author&gt;&lt;author&gt;DeNardo, D. F.&lt;/author&gt;&lt;/authors&gt;&lt;/contributors&gt;&lt;auth-address&gt;School of Life Sciences, Arizona State University, Tempe, AZ 85287-4501, USA. tycmhoffman@cox.net&lt;/auth-address&gt;&lt;titles&gt;&lt;title&gt;Cloacal evaporation: an important and previously undescribed mechanism for avian thermoregulation&lt;/title&gt;&lt;secondary-title&gt;Journal of Experimental Biology&lt;/secondary-title&gt;&lt;alt-title&gt;The Journal of experimental biology&lt;/alt-title&gt;&lt;/titles&gt;&lt;periodical&gt;&lt;full-title&gt;Journal of Experimental Biology&lt;/full-title&gt;&lt;abbr-1&gt;J. Exp. Biol.&lt;/abbr-1&gt;&lt;/periodical&gt;&lt;alt-periodical&gt;&lt;full-title&gt;The Journal of Experimental Biology&lt;/full-title&gt;&lt;abbr-1&gt;J. Exp. Biol.&lt;/abbr-1&gt;&lt;/alt-periodical&gt;&lt;pages&gt;741-749&lt;/pages&gt;&lt;volume&gt;210&lt;/volume&gt;&lt;number&gt;5&lt;/number&gt;&lt;keywords&gt;&lt;keyword&gt;Animals&lt;/keyword&gt;&lt;keyword&gt;Arizona&lt;/keyword&gt;&lt;keyword&gt;Body Temperature Regulation/*physiology&lt;/keyword&gt;&lt;keyword&gt;Cloaca/*physiology&lt;/keyword&gt;&lt;keyword&gt;Columbidae/*physiology&lt;/keyword&gt;&lt;keyword&gt;Coturnix/*physiology&lt;/keyword&gt;&lt;keyword&gt;Mouth/physiology&lt;/keyword&gt;&lt;keyword&gt;Skin Physiological Phenomena&lt;/keyword&gt;&lt;keyword&gt;Species Specificity&lt;/keyword&gt;&lt;keyword&gt;Temperature&lt;/keyword&gt;&lt;keyword&gt;Water Loss, Insensible/*physiology&lt;/keyword&gt;&lt;/keywords&gt;&lt;dates&gt;&lt;year&gt;2007&lt;/year&gt;&lt;pub-dates&gt;&lt;date&gt;March 1, 2007&lt;/date&gt;&lt;/pub-dates&gt;&lt;/dates&gt;&lt;isbn&gt;0022-0949 (Print)&amp;#xD;0022-0949 (Linking)&lt;/isbn&gt;&lt;accession-num&gt;17297135&lt;/accession-num&gt;&lt;urls&gt;&lt;related-urls&gt;&lt;url&gt;http://jeb.biologists.org/content/210/5/741.abstract&lt;/url&gt;&lt;url&gt;http://jeb.biologists.org/content/jexbio/210/5/741.full.pdf&lt;/url&gt;&lt;/related-urls&gt;&lt;/urls&gt;&lt;electronic-resource-num&gt;10.1242/jeb.02705&lt;/electronic-resource-num&gt;&lt;/record&gt;&lt;/Cite&gt;&lt;/EndNote&gt;</w:instrText>
      </w:r>
      <w:r w:rsidRPr="0089582E"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[2]</w:t>
      </w:r>
      <w:r w:rsidRPr="0089582E">
        <w:rPr>
          <w:rFonts w:ascii="Arial" w:hAnsi="Arial" w:cs="Arial"/>
          <w:sz w:val="20"/>
          <w:szCs w:val="20"/>
        </w:rPr>
        <w:fldChar w:fldCharType="end"/>
      </w:r>
      <w:r w:rsidRPr="0089582E">
        <w:rPr>
          <w:rFonts w:ascii="Arial" w:hAnsi="Arial" w:cs="Arial"/>
          <w:sz w:val="20"/>
          <w:szCs w:val="20"/>
        </w:rPr>
        <w:t>. The total heat loss from the hornbill body was therefore only calculated below the p</w:t>
      </w:r>
      <w:r w:rsidR="00E15685">
        <w:rPr>
          <w:rFonts w:ascii="Arial" w:hAnsi="Arial" w:cs="Arial"/>
          <w:sz w:val="20"/>
          <w:szCs w:val="20"/>
        </w:rPr>
        <w:t>anting initiation temperature as</w:t>
      </w:r>
      <w:r w:rsidRPr="0089582E">
        <w:rPr>
          <w:rFonts w:ascii="Arial" w:hAnsi="Arial" w:cs="Arial"/>
          <w:sz w:val="20"/>
          <w:szCs w:val="20"/>
        </w:rPr>
        <w:t xml:space="preserve"> the sum of the radiative and conductive heat transfer:</w:t>
      </w:r>
    </w:p>
    <w:p w:rsidR="00C8537F" w:rsidRPr="0089582E" w:rsidRDefault="00C8537F" w:rsidP="00C8537F">
      <w:pPr>
        <w:spacing w:line="480" w:lineRule="auto"/>
        <w:rPr>
          <w:rFonts w:ascii="Arial" w:hAnsi="Arial" w:cs="Arial"/>
          <w:sz w:val="20"/>
          <w:szCs w:val="20"/>
        </w:rPr>
      </w:pPr>
      <w:r w:rsidRPr="0089582E">
        <w:rPr>
          <w:rFonts w:ascii="Arial" w:hAnsi="Arial" w:cs="Arial"/>
          <w:noProof/>
          <w:sz w:val="20"/>
          <w:szCs w:val="20"/>
          <w:lang w:val="en-US"/>
        </w:rPr>
        <w:drawing>
          <wp:anchor distT="0" distB="0" distL="114300" distR="114300" simplePos="0" relativeHeight="251660288" behindDoc="0" locked="0" layoutInCell="1" allowOverlap="1" wp14:anchorId="4F659C43" wp14:editId="08289AD3">
            <wp:simplePos x="0" y="0"/>
            <wp:positionH relativeFrom="column">
              <wp:posOffset>0</wp:posOffset>
            </wp:positionH>
            <wp:positionV relativeFrom="paragraph">
              <wp:posOffset>43180</wp:posOffset>
            </wp:positionV>
            <wp:extent cx="1073785" cy="228600"/>
            <wp:effectExtent l="0" t="0" r="0" b="0"/>
            <wp:wrapSquare wrapText="right"/>
            <wp:docPr id="11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3785" cy="228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8537F" w:rsidRDefault="00C8537F" w:rsidP="00C8537F">
      <w:pPr>
        <w:spacing w:line="480" w:lineRule="auto"/>
        <w:rPr>
          <w:rFonts w:ascii="Arial" w:hAnsi="Arial" w:cs="Arial"/>
          <w:sz w:val="20"/>
          <w:szCs w:val="20"/>
        </w:rPr>
      </w:pPr>
    </w:p>
    <w:p w:rsidR="00C8537F" w:rsidRDefault="00C8537F" w:rsidP="00C8537F">
      <w:pPr>
        <w:pStyle w:val="Heading2"/>
      </w:pPr>
      <w:r>
        <w:t>References</w:t>
      </w:r>
    </w:p>
    <w:p w:rsidR="004E7B3B" w:rsidRPr="004E7B3B" w:rsidRDefault="00C8537F" w:rsidP="004E7B3B">
      <w:pPr>
        <w:pStyle w:val="EndNoteBibliography"/>
        <w:spacing w:after="0"/>
        <w:ind w:left="720" w:hanging="720"/>
      </w:pPr>
      <w:r>
        <w:rPr>
          <w:rFonts w:ascii="Arial" w:hAnsi="Arial" w:cs="Arial"/>
          <w:sz w:val="20"/>
          <w:szCs w:val="20"/>
        </w:rPr>
        <w:fldChar w:fldCharType="begin"/>
      </w:r>
      <w:r>
        <w:rPr>
          <w:rFonts w:ascii="Arial" w:hAnsi="Arial" w:cs="Arial"/>
          <w:sz w:val="20"/>
          <w:szCs w:val="20"/>
        </w:rPr>
        <w:instrText xml:space="preserve"> ADDIN EN.REFLIST </w:instrText>
      </w:r>
      <w:r>
        <w:rPr>
          <w:rFonts w:ascii="Arial" w:hAnsi="Arial" w:cs="Arial"/>
          <w:sz w:val="20"/>
          <w:szCs w:val="20"/>
        </w:rPr>
        <w:fldChar w:fldCharType="separate"/>
      </w:r>
      <w:r w:rsidR="004E7B3B" w:rsidRPr="004E7B3B">
        <w:t>1. Monteith J, Unsworth MH (2013) Principles of Environmental Physics: Plants, Animals, and the Atmosphere. Amsterdam: Academic Press.</w:t>
      </w:r>
    </w:p>
    <w:p w:rsidR="004E7B3B" w:rsidRPr="004E7B3B" w:rsidRDefault="004E7B3B" w:rsidP="004E7B3B">
      <w:pPr>
        <w:pStyle w:val="EndNoteBibliography"/>
        <w:ind w:left="720" w:hanging="720"/>
      </w:pPr>
      <w:r w:rsidRPr="004E7B3B">
        <w:t>2. Hoffman TC, Walsberg GE, DeNardo DF (2007) Cloacal evaporation: an important and previously undescribed mechanism for avian thermoregulation. J Exp Biol 210: 741-749.</w:t>
      </w:r>
    </w:p>
    <w:p w:rsidR="00DB2A60" w:rsidRDefault="00C8537F" w:rsidP="00C8537F">
      <w:r>
        <w:rPr>
          <w:rFonts w:ascii="Arial" w:hAnsi="Arial" w:cs="Arial"/>
          <w:sz w:val="20"/>
          <w:szCs w:val="20"/>
        </w:rPr>
        <w:fldChar w:fldCharType="end"/>
      </w:r>
    </w:p>
    <w:sectPr w:rsidR="00DB2A6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EN.Layout" w:val="&lt;ENLayout&gt;&lt;Style&gt;PLoS Copy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2r5z9wr2qfvfezewwtsxeaxnv2552azfwz02&quot;&gt;Endnote References Tim&lt;record-ids&gt;&lt;item&gt;1836&lt;/item&gt;&lt;item&gt;1837&lt;/item&gt;&lt;/record-ids&gt;&lt;/item&gt;&lt;/Libraries&gt;"/>
  </w:docVars>
  <w:rsids>
    <w:rsidRoot w:val="00C8537F"/>
    <w:rsid w:val="00000362"/>
    <w:rsid w:val="00012FDE"/>
    <w:rsid w:val="000156D5"/>
    <w:rsid w:val="00083C82"/>
    <w:rsid w:val="000D6E3B"/>
    <w:rsid w:val="000F21D0"/>
    <w:rsid w:val="00136AD6"/>
    <w:rsid w:val="00153DE6"/>
    <w:rsid w:val="001A4F3F"/>
    <w:rsid w:val="001B6409"/>
    <w:rsid w:val="001C46F8"/>
    <w:rsid w:val="001C770B"/>
    <w:rsid w:val="001D7B04"/>
    <w:rsid w:val="00211376"/>
    <w:rsid w:val="00212373"/>
    <w:rsid w:val="002272F4"/>
    <w:rsid w:val="002315D1"/>
    <w:rsid w:val="00243351"/>
    <w:rsid w:val="00244B39"/>
    <w:rsid w:val="0029115D"/>
    <w:rsid w:val="002911A8"/>
    <w:rsid w:val="002A59B1"/>
    <w:rsid w:val="002C4B37"/>
    <w:rsid w:val="002E0A07"/>
    <w:rsid w:val="003368D5"/>
    <w:rsid w:val="00387584"/>
    <w:rsid w:val="003A26F6"/>
    <w:rsid w:val="003A75FD"/>
    <w:rsid w:val="003D6F3D"/>
    <w:rsid w:val="00400C29"/>
    <w:rsid w:val="0040110C"/>
    <w:rsid w:val="00420994"/>
    <w:rsid w:val="00437B30"/>
    <w:rsid w:val="00466E0C"/>
    <w:rsid w:val="0046772E"/>
    <w:rsid w:val="00471C92"/>
    <w:rsid w:val="00486CE3"/>
    <w:rsid w:val="00487982"/>
    <w:rsid w:val="004966E5"/>
    <w:rsid w:val="004B1C6B"/>
    <w:rsid w:val="004B20E8"/>
    <w:rsid w:val="004C0889"/>
    <w:rsid w:val="004D1D72"/>
    <w:rsid w:val="004D57F3"/>
    <w:rsid w:val="004E7B3B"/>
    <w:rsid w:val="004F3581"/>
    <w:rsid w:val="00500686"/>
    <w:rsid w:val="00536B9C"/>
    <w:rsid w:val="00562089"/>
    <w:rsid w:val="00584262"/>
    <w:rsid w:val="00587F21"/>
    <w:rsid w:val="00596D57"/>
    <w:rsid w:val="005A2E00"/>
    <w:rsid w:val="005F205A"/>
    <w:rsid w:val="00603CE4"/>
    <w:rsid w:val="00606351"/>
    <w:rsid w:val="006238F1"/>
    <w:rsid w:val="00637159"/>
    <w:rsid w:val="006813AB"/>
    <w:rsid w:val="00686C22"/>
    <w:rsid w:val="006A356F"/>
    <w:rsid w:val="006A5750"/>
    <w:rsid w:val="006A6598"/>
    <w:rsid w:val="006C1D90"/>
    <w:rsid w:val="006E2ABB"/>
    <w:rsid w:val="006F174F"/>
    <w:rsid w:val="0070370B"/>
    <w:rsid w:val="007332C4"/>
    <w:rsid w:val="00744247"/>
    <w:rsid w:val="00745F54"/>
    <w:rsid w:val="00755D5E"/>
    <w:rsid w:val="007741D0"/>
    <w:rsid w:val="00776EDF"/>
    <w:rsid w:val="00784151"/>
    <w:rsid w:val="00795F51"/>
    <w:rsid w:val="007A39CE"/>
    <w:rsid w:val="007D7F66"/>
    <w:rsid w:val="007E00CF"/>
    <w:rsid w:val="0080566D"/>
    <w:rsid w:val="00841C3B"/>
    <w:rsid w:val="00846D25"/>
    <w:rsid w:val="00872DF7"/>
    <w:rsid w:val="00872EF3"/>
    <w:rsid w:val="00874427"/>
    <w:rsid w:val="008973AB"/>
    <w:rsid w:val="00905BA8"/>
    <w:rsid w:val="00905BED"/>
    <w:rsid w:val="00914423"/>
    <w:rsid w:val="009148D7"/>
    <w:rsid w:val="00951973"/>
    <w:rsid w:val="00956B87"/>
    <w:rsid w:val="0096152B"/>
    <w:rsid w:val="00975342"/>
    <w:rsid w:val="00982129"/>
    <w:rsid w:val="00996DCF"/>
    <w:rsid w:val="009A5551"/>
    <w:rsid w:val="009D2B5C"/>
    <w:rsid w:val="009E5662"/>
    <w:rsid w:val="009E7375"/>
    <w:rsid w:val="00A15E11"/>
    <w:rsid w:val="00A25CA0"/>
    <w:rsid w:val="00A33AC7"/>
    <w:rsid w:val="00A44CAE"/>
    <w:rsid w:val="00A46691"/>
    <w:rsid w:val="00A73582"/>
    <w:rsid w:val="00A84752"/>
    <w:rsid w:val="00AD6FE7"/>
    <w:rsid w:val="00B24D21"/>
    <w:rsid w:val="00B310F8"/>
    <w:rsid w:val="00B33CE0"/>
    <w:rsid w:val="00B53225"/>
    <w:rsid w:val="00B57EA7"/>
    <w:rsid w:val="00B91FD3"/>
    <w:rsid w:val="00B922FF"/>
    <w:rsid w:val="00BD4040"/>
    <w:rsid w:val="00BE6FCE"/>
    <w:rsid w:val="00BF5619"/>
    <w:rsid w:val="00C10199"/>
    <w:rsid w:val="00C23124"/>
    <w:rsid w:val="00C32D47"/>
    <w:rsid w:val="00C704F9"/>
    <w:rsid w:val="00C734D5"/>
    <w:rsid w:val="00C84256"/>
    <w:rsid w:val="00C8537F"/>
    <w:rsid w:val="00C9716A"/>
    <w:rsid w:val="00C9716F"/>
    <w:rsid w:val="00CA64DF"/>
    <w:rsid w:val="00CC0515"/>
    <w:rsid w:val="00CC1143"/>
    <w:rsid w:val="00CC3AE4"/>
    <w:rsid w:val="00CC6523"/>
    <w:rsid w:val="00CF1F8A"/>
    <w:rsid w:val="00D16F32"/>
    <w:rsid w:val="00D507A3"/>
    <w:rsid w:val="00D53F64"/>
    <w:rsid w:val="00D55DCF"/>
    <w:rsid w:val="00D609EC"/>
    <w:rsid w:val="00D70C4A"/>
    <w:rsid w:val="00D811D3"/>
    <w:rsid w:val="00DA5BAD"/>
    <w:rsid w:val="00DB2A60"/>
    <w:rsid w:val="00DE5373"/>
    <w:rsid w:val="00E037D6"/>
    <w:rsid w:val="00E038D1"/>
    <w:rsid w:val="00E07C6D"/>
    <w:rsid w:val="00E15685"/>
    <w:rsid w:val="00E45514"/>
    <w:rsid w:val="00E47C38"/>
    <w:rsid w:val="00E47E6E"/>
    <w:rsid w:val="00E777E8"/>
    <w:rsid w:val="00E80FDF"/>
    <w:rsid w:val="00E826F7"/>
    <w:rsid w:val="00E96C96"/>
    <w:rsid w:val="00EA1543"/>
    <w:rsid w:val="00EB7D5B"/>
    <w:rsid w:val="00EC1573"/>
    <w:rsid w:val="00ED115E"/>
    <w:rsid w:val="00ED3074"/>
    <w:rsid w:val="00EF6194"/>
    <w:rsid w:val="00F17705"/>
    <w:rsid w:val="00F963D5"/>
    <w:rsid w:val="00FC7C51"/>
    <w:rsid w:val="00FF38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8537F"/>
  </w:style>
  <w:style w:type="paragraph" w:styleId="Heading2">
    <w:name w:val="heading 2"/>
    <w:basedOn w:val="Caption"/>
    <w:next w:val="Normal"/>
    <w:link w:val="Heading2Char"/>
    <w:uiPriority w:val="9"/>
    <w:unhideWhenUsed/>
    <w:qFormat/>
    <w:rsid w:val="00C8537F"/>
    <w:pPr>
      <w:keepNext/>
      <w:spacing w:line="480" w:lineRule="auto"/>
      <w:jc w:val="both"/>
      <w:outlineLvl w:val="1"/>
    </w:pPr>
    <w:rPr>
      <w:rFonts w:ascii="Arial" w:hAnsi="Arial" w:cs="Arial"/>
      <w:b/>
      <w:i w:val="0"/>
      <w:color w:val="auto"/>
      <w:spacing w:val="-2"/>
      <w:sz w:val="20"/>
      <w:szCs w:val="20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C8537F"/>
    <w:rPr>
      <w:rFonts w:ascii="Arial" w:hAnsi="Arial" w:cs="Arial"/>
      <w:b/>
      <w:iCs/>
      <w:spacing w:val="-2"/>
      <w:sz w:val="20"/>
      <w:szCs w:val="20"/>
      <w:lang w:val="en-GB"/>
    </w:rPr>
  </w:style>
  <w:style w:type="paragraph" w:customStyle="1" w:styleId="EndNoteBibliography">
    <w:name w:val="EndNote Bibliography"/>
    <w:basedOn w:val="Normal"/>
    <w:link w:val="EndNoteBibliographyChar"/>
    <w:rsid w:val="00C8537F"/>
    <w:pPr>
      <w:spacing w:line="240" w:lineRule="auto"/>
    </w:pPr>
    <w:rPr>
      <w:rFonts w:ascii="Calibri" w:hAnsi="Calibri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C8537F"/>
    <w:rPr>
      <w:rFonts w:ascii="Calibri" w:hAnsi="Calibri"/>
      <w:noProof/>
      <w:lang w:val="en-US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C8537F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customStyle="1" w:styleId="EndNoteBibliographyTitle">
    <w:name w:val="EndNote Bibliography Title"/>
    <w:basedOn w:val="Normal"/>
    <w:link w:val="EndNoteBibliographyTitleChar"/>
    <w:rsid w:val="004E7B3B"/>
    <w:pPr>
      <w:spacing w:after="0"/>
      <w:jc w:val="center"/>
    </w:pPr>
    <w:rPr>
      <w:rFonts w:ascii="Calibri" w:hAnsi="Calibri"/>
      <w:noProof/>
      <w:lang w:val="en-US"/>
    </w:rPr>
  </w:style>
  <w:style w:type="character" w:customStyle="1" w:styleId="EndNoteBibliographyTitleChar">
    <w:name w:val="EndNote Bibliography Title Char"/>
    <w:basedOn w:val="EndNoteBibliographyChar"/>
    <w:link w:val="EndNoteBibliographyTitle"/>
    <w:rsid w:val="004E7B3B"/>
    <w:rPr>
      <w:rFonts w:ascii="Calibri" w:hAnsi="Calibri"/>
      <w:noProof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209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099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8537F"/>
  </w:style>
  <w:style w:type="paragraph" w:styleId="Heading2">
    <w:name w:val="heading 2"/>
    <w:basedOn w:val="Caption"/>
    <w:next w:val="Normal"/>
    <w:link w:val="Heading2Char"/>
    <w:uiPriority w:val="9"/>
    <w:unhideWhenUsed/>
    <w:qFormat/>
    <w:rsid w:val="00C8537F"/>
    <w:pPr>
      <w:keepNext/>
      <w:spacing w:line="480" w:lineRule="auto"/>
      <w:jc w:val="both"/>
      <w:outlineLvl w:val="1"/>
    </w:pPr>
    <w:rPr>
      <w:rFonts w:ascii="Arial" w:hAnsi="Arial" w:cs="Arial"/>
      <w:b/>
      <w:i w:val="0"/>
      <w:color w:val="auto"/>
      <w:spacing w:val="-2"/>
      <w:sz w:val="20"/>
      <w:szCs w:val="20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C8537F"/>
    <w:rPr>
      <w:rFonts w:ascii="Arial" w:hAnsi="Arial" w:cs="Arial"/>
      <w:b/>
      <w:iCs/>
      <w:spacing w:val="-2"/>
      <w:sz w:val="20"/>
      <w:szCs w:val="20"/>
      <w:lang w:val="en-GB"/>
    </w:rPr>
  </w:style>
  <w:style w:type="paragraph" w:customStyle="1" w:styleId="EndNoteBibliography">
    <w:name w:val="EndNote Bibliography"/>
    <w:basedOn w:val="Normal"/>
    <w:link w:val="EndNoteBibliographyChar"/>
    <w:rsid w:val="00C8537F"/>
    <w:pPr>
      <w:spacing w:line="240" w:lineRule="auto"/>
    </w:pPr>
    <w:rPr>
      <w:rFonts w:ascii="Calibri" w:hAnsi="Calibri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C8537F"/>
    <w:rPr>
      <w:rFonts w:ascii="Calibri" w:hAnsi="Calibri"/>
      <w:noProof/>
      <w:lang w:val="en-US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C8537F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customStyle="1" w:styleId="EndNoteBibliographyTitle">
    <w:name w:val="EndNote Bibliography Title"/>
    <w:basedOn w:val="Normal"/>
    <w:link w:val="EndNoteBibliographyTitleChar"/>
    <w:rsid w:val="004E7B3B"/>
    <w:pPr>
      <w:spacing w:after="0"/>
      <w:jc w:val="center"/>
    </w:pPr>
    <w:rPr>
      <w:rFonts w:ascii="Calibri" w:hAnsi="Calibri"/>
      <w:noProof/>
      <w:lang w:val="en-US"/>
    </w:rPr>
  </w:style>
  <w:style w:type="character" w:customStyle="1" w:styleId="EndNoteBibliographyTitleChar">
    <w:name w:val="EndNote Bibliography Title Char"/>
    <w:basedOn w:val="EndNoteBibliographyChar"/>
    <w:link w:val="EndNoteBibliographyTitle"/>
    <w:rsid w:val="004E7B3B"/>
    <w:rPr>
      <w:rFonts w:ascii="Calibri" w:hAnsi="Calibri"/>
      <w:noProof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209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099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wmf"/><Relationship Id="rId3" Type="http://schemas.openxmlformats.org/officeDocument/2006/relationships/settings" Target="settings.xml"/><Relationship Id="rId7" Type="http://schemas.openxmlformats.org/officeDocument/2006/relationships/image" Target="media/image3.wmf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wmf"/><Relationship Id="rId5" Type="http://schemas.openxmlformats.org/officeDocument/2006/relationships/image" Target="media/image1.wmf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845</Words>
  <Characters>4820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Tanja</dc:creator>
  <cp:lastModifiedBy>Lisa Hamilton (Inspur Worldwide Services Ltd)</cp:lastModifiedBy>
  <cp:revision>2</cp:revision>
  <dcterms:created xsi:type="dcterms:W3CDTF">2016-04-26T20:07:00Z</dcterms:created>
  <dcterms:modified xsi:type="dcterms:W3CDTF">2016-04-26T20:07:00Z</dcterms:modified>
</cp:coreProperties>
</file>