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F40D11" w14:textId="77777777" w:rsidR="009E6C68" w:rsidRDefault="00000000">
      <w:pPr>
        <w:pBdr>
          <w:top w:val="nil"/>
          <w:left w:val="nil"/>
          <w:bottom w:val="nil"/>
          <w:right w:val="nil"/>
          <w:between w:val="nil"/>
        </w:pBdr>
        <w:spacing w:after="60"/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Supplementary information</w:t>
      </w:r>
    </w:p>
    <w:p w14:paraId="2FA636FE" w14:textId="77777777" w:rsidR="009E6C68" w:rsidRDefault="00000000">
      <w:pPr>
        <w:pBdr>
          <w:top w:val="nil"/>
          <w:left w:val="nil"/>
          <w:bottom w:val="nil"/>
          <w:right w:val="nil"/>
          <w:between w:val="nil"/>
        </w:pBdr>
        <w:spacing w:after="60"/>
        <w:jc w:val="center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r>
        <w:rPr>
          <w:color w:val="000000"/>
          <w:sz w:val="40"/>
          <w:szCs w:val="40"/>
        </w:rPr>
        <w:t>Intensive Feeding Modifies Nutrient Patterns in a Strictly Protected Area </w:t>
      </w:r>
    </w:p>
    <w:p w14:paraId="169884D2" w14:textId="77777777" w:rsidR="009E6C68" w:rsidRDefault="00000000">
      <w:pPr>
        <w:spacing w:after="240"/>
        <w:rPr>
          <w:sz w:val="24"/>
          <w:szCs w:val="24"/>
        </w:rPr>
      </w:pPr>
      <w:r>
        <w:br w:type="page"/>
      </w:r>
    </w:p>
    <w:p w14:paraId="742C17E5" w14:textId="77777777" w:rsidR="009E6C68" w:rsidRDefault="00000000">
      <w:pPr>
        <w:spacing w:after="240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114300" distB="114300" distL="114300" distR="114300" wp14:anchorId="0AFEB763" wp14:editId="68CE1A78">
            <wp:extent cx="5731200" cy="5829300"/>
            <wp:effectExtent l="0" t="0" r="0" b="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5829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A9DA174" w14:textId="77777777" w:rsidR="009E6C68" w:rsidRDefault="00000000">
      <w:pPr>
        <w:spacing w:after="240"/>
        <w:rPr>
          <w:sz w:val="24"/>
          <w:szCs w:val="24"/>
        </w:rPr>
      </w:pPr>
      <w:r>
        <w:rPr>
          <w:sz w:val="24"/>
          <w:szCs w:val="24"/>
        </w:rPr>
        <w:t xml:space="preserve">Fig. S1: Distribution of camera traps across the Bavarian Forest National Park. Cameras have been active between Oct 2023 and March 2024. </w:t>
      </w:r>
    </w:p>
    <w:p w14:paraId="6C47C351" w14:textId="77777777" w:rsidR="009E6C68" w:rsidRDefault="00000000">
      <w:pPr>
        <w:rPr>
          <w:sz w:val="24"/>
          <w:szCs w:val="24"/>
        </w:rPr>
      </w:pPr>
      <w:r>
        <w:rPr>
          <w:color w:val="000000"/>
          <w:sz w:val="32"/>
          <w:szCs w:val="32"/>
        </w:rPr>
        <w:lastRenderedPageBreak/>
        <w:br/>
      </w:r>
      <w:r>
        <w:rPr>
          <w:noProof/>
          <w:color w:val="000000"/>
          <w:sz w:val="32"/>
          <w:szCs w:val="32"/>
        </w:rPr>
        <w:drawing>
          <wp:inline distT="0" distB="0" distL="0" distR="0" wp14:anchorId="45DA4EB3" wp14:editId="630A1273">
            <wp:extent cx="5731510" cy="5731510"/>
            <wp:effectExtent l="0" t="0" r="0" b="0"/>
            <wp:docPr id="3" name="image5.png" descr="A screenshot of a graph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A screenshot of a graph&#10;&#10;Description automatically generated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81CF503" w14:textId="77777777" w:rsidR="009E6C68" w:rsidRDefault="00000000">
      <w:pPr>
        <w:rPr>
          <w:sz w:val="24"/>
          <w:szCs w:val="24"/>
        </w:rPr>
      </w:pPr>
      <w:r>
        <w:rPr>
          <w:color w:val="000000"/>
        </w:rPr>
        <w:br/>
        <w:t>Fig. S</w:t>
      </w:r>
      <w:r>
        <w:t>2</w:t>
      </w:r>
      <w:r>
        <w:rPr>
          <w:color w:val="000000"/>
        </w:rPr>
        <w:t xml:space="preserve">: Variable correlation. All units are meters, except for “Deadwood year”.   </w:t>
      </w:r>
    </w:p>
    <w:p w14:paraId="29F02DDC" w14:textId="77777777" w:rsidR="009E6C68" w:rsidRDefault="00000000">
      <w:pPr>
        <w:rPr>
          <w:color w:val="000000"/>
        </w:rPr>
      </w:pPr>
      <w:r>
        <w:rPr>
          <w:color w:val="000000"/>
        </w:rPr>
        <w:lastRenderedPageBreak/>
        <w:br/>
      </w:r>
      <w:r>
        <w:rPr>
          <w:color w:val="000000"/>
        </w:rPr>
        <w:br/>
      </w:r>
      <w:r>
        <w:rPr>
          <w:noProof/>
        </w:rPr>
        <w:drawing>
          <wp:inline distT="114300" distB="114300" distL="114300" distR="114300" wp14:anchorId="1472B56C" wp14:editId="0FA6BC71">
            <wp:extent cx="5731200" cy="5727700"/>
            <wp:effectExtent l="0" t="0" r="0" b="0"/>
            <wp:docPr id="6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5727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1C2C7B" w14:textId="77777777" w:rsidR="009E6C68" w:rsidRDefault="00000000">
      <w:r>
        <w:t xml:space="preserve">Fig. S3: Concurvity values of models with smoothed predictors. Concurvity occurs when the value of one smoothed variable can be predicted by the value of another smoothed term. Here, all models show a concurvity of well below critical values. </w:t>
      </w:r>
    </w:p>
    <w:p w14:paraId="19E3698A" w14:textId="77777777" w:rsidR="009E6C68" w:rsidRDefault="009E6C68"/>
    <w:p w14:paraId="44549A8A" w14:textId="77777777" w:rsidR="009E6C68" w:rsidRDefault="009E6C68"/>
    <w:p w14:paraId="7CB97DF1" w14:textId="77777777" w:rsidR="009E6C68" w:rsidRDefault="009E6C68"/>
    <w:p w14:paraId="73217046" w14:textId="77777777" w:rsidR="009E6C68" w:rsidRDefault="00000000">
      <w:r>
        <w:rPr>
          <w:noProof/>
        </w:rPr>
        <w:lastRenderedPageBreak/>
        <w:drawing>
          <wp:inline distT="114300" distB="114300" distL="114300" distR="114300" wp14:anchorId="0A97E41D" wp14:editId="0016F4B2">
            <wp:extent cx="5731200" cy="4584700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584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DD12A8" w14:textId="77777777" w:rsidR="009E6C68" w:rsidRDefault="00000000">
      <w:r>
        <w:t>Fig. S4: Observed vs predicted values. Predictive capacity is higher for models with higher R</w:t>
      </w:r>
      <w:r>
        <w:rPr>
          <w:vertAlign w:val="superscript"/>
        </w:rPr>
        <w:t>2</w:t>
      </w:r>
      <w:r>
        <w:t xml:space="preserve"> values (Table 1) but overall moderate. This is expected since nutrient dynamics are influenced by a variety of drivers, often interacting, of which we investigated only a few in this study. </w:t>
      </w:r>
      <w:r>
        <w:br/>
      </w:r>
      <w:r>
        <w:br/>
      </w:r>
      <w:r>
        <w:lastRenderedPageBreak/>
        <w:br/>
      </w:r>
      <w:r>
        <w:rPr>
          <w:noProof/>
        </w:rPr>
        <w:drawing>
          <wp:inline distT="114300" distB="114300" distL="114300" distR="114300" wp14:anchorId="0BB60112" wp14:editId="6053D00D">
            <wp:extent cx="5731200" cy="4584700"/>
            <wp:effectExtent l="0" t="0" r="0" b="0"/>
            <wp:docPr id="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4584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021A029" w14:textId="77777777" w:rsidR="009E6C68" w:rsidRDefault="00000000">
      <w:r>
        <w:t xml:space="preserve">Fig. S5: Residual distribution of the best models. All models have approximately normal distributed residuals. </w:t>
      </w:r>
    </w:p>
    <w:p w14:paraId="7509F24C" w14:textId="77777777" w:rsidR="009E6C68" w:rsidRDefault="00000000">
      <w:pPr>
        <w:rPr>
          <w:sz w:val="24"/>
          <w:szCs w:val="24"/>
        </w:rPr>
      </w:pPr>
      <w:r>
        <w:rPr>
          <w:noProof/>
        </w:rPr>
        <w:lastRenderedPageBreak/>
        <w:drawing>
          <wp:inline distT="114300" distB="114300" distL="114300" distR="114300" wp14:anchorId="0A617948" wp14:editId="58767866">
            <wp:extent cx="5731200" cy="5727700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5727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9A150A9" w14:textId="77777777" w:rsidR="009E6C68" w:rsidRDefault="00000000">
      <w:pPr>
        <w:rPr>
          <w:sz w:val="24"/>
          <w:szCs w:val="24"/>
        </w:rPr>
      </w:pPr>
      <w:r>
        <w:rPr>
          <w:color w:val="000000"/>
        </w:rPr>
        <w:t>Fig. S</w:t>
      </w:r>
      <w:r>
        <w:t>6</w:t>
      </w:r>
      <w:r>
        <w:rPr>
          <w:color w:val="000000"/>
        </w:rPr>
        <w:t>: Predictions for the nutrient contents in relation to the year the tree cover turned into deadwood (i.e., year of bark beetle outbreak). All points which haven’t experienced a change to deadwood since 1988 (earliest detected change in the NP) were set to 1980. X axis values have been transformed to year since tree dieback for ease of interpretation. </w:t>
      </w:r>
    </w:p>
    <w:p w14:paraId="5CA03165" w14:textId="77777777" w:rsidR="009E6C68" w:rsidRDefault="009E6C68">
      <w:pPr>
        <w:spacing w:after="240"/>
      </w:pPr>
    </w:p>
    <w:p w14:paraId="0893CCE8" w14:textId="77777777" w:rsidR="009E6C68" w:rsidRDefault="009E6C68">
      <w:pPr>
        <w:rPr>
          <w:sz w:val="24"/>
          <w:szCs w:val="24"/>
        </w:rPr>
      </w:pPr>
    </w:p>
    <w:p w14:paraId="29289243" w14:textId="77777777" w:rsidR="009E6C68" w:rsidRDefault="00000000">
      <w:r>
        <w:br w:type="page"/>
      </w:r>
    </w:p>
    <w:p w14:paraId="147FCDBD" w14:textId="77777777" w:rsidR="009E6C68" w:rsidRDefault="00000000">
      <w:r>
        <w:lastRenderedPageBreak/>
        <w:t xml:space="preserve">Table S1: N-mixture model estimates. CI refers to the 95 % confidence interval, SE is the standard error and p is the p-value. Standard errors (and therefore confidence intervals) and p value have been adjusted for the moderate overdispersion using a quasi-likelihood approach. </w:t>
      </w:r>
    </w:p>
    <w:tbl>
      <w:tblPr>
        <w:tblStyle w:val="a"/>
        <w:tblW w:w="8925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1350"/>
        <w:gridCol w:w="2595"/>
        <w:gridCol w:w="2145"/>
        <w:gridCol w:w="855"/>
        <w:gridCol w:w="930"/>
        <w:gridCol w:w="1050"/>
      </w:tblGrid>
      <w:tr w:rsidR="009E6C68" w14:paraId="05B7BDAF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6048462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Component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6576A55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Term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2972AB4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Estimate (CI)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4DFD8D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704F2F8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0B3B2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3EA11C0" w14:textId="77777777" w:rsidR="009E6C68" w:rsidRDefault="0000000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</w:p>
        </w:tc>
      </w:tr>
      <w:tr w:rsidR="009E6C68" w14:paraId="2B772319" w14:textId="77777777">
        <w:trPr>
          <w:trHeight w:val="525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4F48843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Detection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1C5A3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Intercept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EBCDA33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-3.627 (-3.936; -3.317)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E0BAC8C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0.158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0E73E6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-37.599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252544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C68" w14:paraId="35123C4D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48A35A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Detection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53806CE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Sampling Effort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169D1D9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0.143 (0.002; 0.284)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3A43078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0.072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CE46619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3.267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12DCCAF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0.047</w:t>
            </w:r>
          </w:p>
        </w:tc>
      </w:tr>
      <w:tr w:rsidR="009E6C68" w14:paraId="6E97F5DF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7A030F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Detection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7822E4B" w14:textId="32376567" w:rsidR="009E6C68" w:rsidRPr="00652E7E" w:rsidRDefault="00000000">
            <w:pPr>
              <w:jc w:val="center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</w:rPr>
              <w:t xml:space="preserve">Vegetation </w:t>
            </w:r>
            <w:r w:rsidR="00652E7E">
              <w:rPr>
                <w:sz w:val="20"/>
                <w:szCs w:val="20"/>
                <w:lang w:val="de-DE"/>
              </w:rPr>
              <w:t>Density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836DB8C" w14:textId="1239E3B5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0.008 (-0.38; 0.364)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B915DB4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0.19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2C4A60C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-0.068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22E429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0.967</w:t>
            </w:r>
          </w:p>
        </w:tc>
      </w:tr>
      <w:tr w:rsidR="009E6C68" w14:paraId="0C8A8AAC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6C06B5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EE1CD48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Habitat: Coniferous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78D083E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1.156 (0.628; 1.683)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881F821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0.269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D19006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7.048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303C6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E6C68" w14:paraId="25C9A432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9F6ABFF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731225D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Habitat: Deadwood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30023A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0.599 (0.021; 1.178)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76382C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0.295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F9DA58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3.337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DE2EDCD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0.042</w:t>
            </w:r>
          </w:p>
        </w:tc>
      </w:tr>
      <w:tr w:rsidR="009E6C68" w14:paraId="4C87BF46" w14:textId="77777777">
        <w:trPr>
          <w:trHeight w:val="525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3ACDA0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934D31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Habitat: Deciduous Stand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A9250E6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0.576 (0.011; 1.14)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A366EF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0.288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54B79F4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3.286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B92746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0.046</w:t>
            </w:r>
          </w:p>
        </w:tc>
      </w:tr>
      <w:tr w:rsidR="009E6C68" w14:paraId="19AA0A60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EC1BAF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92D9993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Habitat: Mixed Stand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5697711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0.294 (-0.278; 0.867)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A0998C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0.292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D36B65A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1.656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6FE6D0A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0.313</w:t>
            </w:r>
          </w:p>
        </w:tc>
      </w:tr>
      <w:tr w:rsidR="009E6C68" w14:paraId="0CBCE2CE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B5CD46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4C360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Habitat: Open Habitat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DC070A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0.86 (0.131; 1.589)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AAE513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0.372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C6DAA2E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3.798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6267756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0.021</w:t>
            </w:r>
          </w:p>
        </w:tc>
      </w:tr>
      <w:tr w:rsidR="009E6C68" w14:paraId="581B2BF7" w14:textId="77777777">
        <w:trPr>
          <w:trHeight w:val="525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555B407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3E85D6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Canopy Cover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454826E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-0.267 (-0.493; -0.042)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91C5E0C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0.115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050D30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-3.808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7BC266F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</w:t>
            </w:r>
          </w:p>
        </w:tc>
      </w:tr>
      <w:tr w:rsidR="009E6C68" w14:paraId="256300D8" w14:textId="77777777">
        <w:trPr>
          <w:trHeight w:val="525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572930D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78017EA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Elevation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8223CB5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-0.215 (-0.399; -0.031)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7FB748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0.094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2A72298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-3.775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0E6E81A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0.022</w:t>
            </w:r>
          </w:p>
        </w:tc>
      </w:tr>
      <w:tr w:rsidR="009E6C68" w14:paraId="188B3603" w14:textId="77777777">
        <w:trPr>
          <w:trHeight w:val="330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224185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DC59798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Vegetation Density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0557697" w14:textId="51E14E93" w:rsidR="009E6C68" w:rsidRDefault="00652E7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de-DE"/>
              </w:rPr>
              <w:t>-</w:t>
            </w:r>
            <w:r w:rsidR="00000000">
              <w:rPr>
                <w:sz w:val="20"/>
                <w:szCs w:val="20"/>
              </w:rPr>
              <w:t>0.438 (0.046; 0.83)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9B3469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DA6D5A2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3.601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5E8117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0.029</w:t>
            </w:r>
          </w:p>
        </w:tc>
      </w:tr>
      <w:tr w:rsidR="009E6C68" w14:paraId="0D897E5D" w14:textId="77777777">
        <w:trPr>
          <w:trHeight w:val="525"/>
        </w:trPr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4D4D4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FA3BEB9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Abundance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7D88A70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Distance to Enclosure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943AC41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-0.202 (-0.376; -0.027)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433EA9F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0.089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6BC814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-3.707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8B9088B" w14:textId="77777777" w:rsidR="009E6C68" w:rsidRDefault="000000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0.023</w:t>
            </w:r>
          </w:p>
        </w:tc>
      </w:tr>
    </w:tbl>
    <w:p w14:paraId="6EC15C4C" w14:textId="77777777" w:rsidR="009E6C68" w:rsidRDefault="009E6C68"/>
    <w:sectPr w:rsidR="009E6C68"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Play">
    <w:charset w:val="00"/>
    <w:family w:val="auto"/>
    <w:pitch w:val="default"/>
    <w:embedRegular r:id="rId3" w:fontKey="{C28E0491-F82E-5F45-9BA0-41A6B81ED7ED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4" w:fontKey="{6E76AAA4-1E98-A04E-BE52-C96A51C994F1}"/>
    <w:embedItalic r:id="rId5" w:fontKey="{AB38A31D-A2C5-F14F-8EBF-BDBBDE4045D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6" w:fontKey="{5A1FB276-BFA5-D04E-8193-14881E5CB55B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7" w:fontKey="{9D61FA8F-66A1-9148-AD03-A30C7A151320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8" w:fontKey="{4AEC2FC9-B901-0946-93E0-6012B47C892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C68"/>
    <w:rsid w:val="00607BED"/>
    <w:rsid w:val="00652E7E"/>
    <w:rsid w:val="0083796A"/>
    <w:rsid w:val="009E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C7DA5E"/>
  <w15:docId w15:val="{44C37791-F965-9D44-96F7-BDF7C3989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Helvetica Neue" w:eastAsia="Helvetica Neue" w:hAnsi="Helvetica Neue" w:cs="Helvetica Neue"/>
        <w:sz w:val="22"/>
        <w:szCs w:val="22"/>
        <w:lang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ascii="Aptos" w:eastAsia="Aptos" w:hAnsi="Aptos" w:cs="Aptos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ascii="Aptos" w:eastAsia="Aptos" w:hAnsi="Aptos" w:cs="Aptos"/>
      <w:i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ascii="Aptos" w:eastAsia="Aptos" w:hAnsi="Aptos" w:cs="Aptos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/>
      <w:outlineLvl w:val="5"/>
    </w:pPr>
    <w:rPr>
      <w:rFonts w:ascii="Aptos" w:eastAsia="Aptos" w:hAnsi="Aptos" w:cs="Aptos"/>
      <w:i/>
      <w:color w:val="59595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after="80"/>
    </w:pPr>
    <w:rPr>
      <w:rFonts w:ascii="Play" w:eastAsia="Play" w:hAnsi="Play" w:cs="Play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pPr>
      <w:spacing w:after="160"/>
    </w:pPr>
    <w:rPr>
      <w:rFonts w:ascii="Aptos" w:eastAsia="Aptos" w:hAnsi="Aptos" w:cs="Aptos"/>
      <w:color w:val="595959"/>
      <w:sz w:val="28"/>
      <w:szCs w:val="2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Jonas Trepel</cp:lastModifiedBy>
  <cp:revision>2</cp:revision>
  <dcterms:created xsi:type="dcterms:W3CDTF">2025-07-10T19:46:00Z</dcterms:created>
  <dcterms:modified xsi:type="dcterms:W3CDTF">2025-07-10T19:46:00Z</dcterms:modified>
</cp:coreProperties>
</file>