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65C2185" w14:textId="77777777" w:rsidR="00A750F0" w:rsidRPr="00A750F0" w:rsidRDefault="00A750F0" w:rsidP="00A750F0">
      <w:pPr>
        <w:keepNext/>
        <w:keepLines/>
        <w:spacing w:before="360" w:after="80"/>
        <w:outlineLvl w:val="0"/>
        <w:rPr>
          <w:rFonts w:ascii="Times New Roman" w:eastAsiaTheme="majorEastAsia" w:hAnsi="Times New Roman" w:cstheme="majorBidi"/>
          <w:b/>
          <w:color w:val="000000" w:themeColor="text1"/>
          <w:sz w:val="24"/>
          <w:szCs w:val="40"/>
          <w:lang w:val="en-GB"/>
        </w:rPr>
      </w:pPr>
      <w:bookmarkStart w:id="0" w:name="_GoBack"/>
      <w:bookmarkEnd w:id="0"/>
      <w:r w:rsidRPr="00A750F0">
        <w:rPr>
          <w:rFonts w:ascii="Times New Roman" w:eastAsiaTheme="majorEastAsia" w:hAnsi="Times New Roman" w:cstheme="majorBidi"/>
          <w:b/>
          <w:color w:val="000000" w:themeColor="text1"/>
          <w:sz w:val="24"/>
          <w:szCs w:val="40"/>
          <w:lang w:val="en-GB"/>
        </w:rPr>
        <w:t>Definitions (Appendix S10)</w:t>
      </w:r>
    </w:p>
    <w:p w14:paraId="477ED484" w14:textId="77777777" w:rsidR="00A750F0" w:rsidRPr="00A750F0" w:rsidRDefault="00A750F0" w:rsidP="00A750F0">
      <w:pPr>
        <w:spacing w:line="360" w:lineRule="auto"/>
        <w:jc w:val="both"/>
        <w:rPr>
          <w:rFonts w:ascii="Times New Roman" w:hAnsi="Times New Roman" w:cs="Times New Roman"/>
          <w:sz w:val="24"/>
          <w:szCs w:val="24"/>
        </w:rPr>
      </w:pPr>
      <w:r w:rsidRPr="00A750F0">
        <w:rPr>
          <w:rFonts w:ascii="Times New Roman" w:hAnsi="Times New Roman" w:cs="Times New Roman"/>
          <w:b/>
          <w:bCs/>
          <w:sz w:val="24"/>
          <w:szCs w:val="24"/>
        </w:rPr>
        <w:t>Biodiversity</w:t>
      </w:r>
      <w:r w:rsidRPr="00A750F0">
        <w:rPr>
          <w:rFonts w:ascii="Times New Roman" w:hAnsi="Times New Roman" w:cs="Times New Roman"/>
          <w:sz w:val="24"/>
          <w:szCs w:val="24"/>
        </w:rPr>
        <w:t xml:space="preserve"> amalgamates the terms “biological diversity”, indicating the range of living organisms from various origins—terrestrial, marine, and other aquatic ecosystems, along with their interconnected ecological systems (CBD, 1992). We use the term “nature” interchangeably with “biodiversity” to refer to the combined richness of living organisms and the ecosystem services provided by natural habitats.</w:t>
      </w:r>
    </w:p>
    <w:p w14:paraId="67ABA6B0" w14:textId="77777777" w:rsidR="00A750F0" w:rsidRPr="00A750F0" w:rsidRDefault="00A750F0" w:rsidP="00A750F0">
      <w:pPr>
        <w:spacing w:line="360" w:lineRule="auto"/>
        <w:jc w:val="both"/>
        <w:rPr>
          <w:rFonts w:ascii="Times New Roman" w:hAnsi="Times New Roman" w:cs="Times New Roman"/>
          <w:sz w:val="24"/>
          <w:szCs w:val="24"/>
        </w:rPr>
      </w:pPr>
      <w:r w:rsidRPr="00A750F0">
        <w:rPr>
          <w:rFonts w:ascii="Times New Roman" w:hAnsi="Times New Roman" w:cs="Times New Roman"/>
          <w:b/>
          <w:bCs/>
          <w:sz w:val="24"/>
          <w:szCs w:val="24"/>
        </w:rPr>
        <w:t xml:space="preserve">Business </w:t>
      </w:r>
      <w:r w:rsidRPr="00A750F0">
        <w:rPr>
          <w:rFonts w:ascii="Times New Roman" w:hAnsi="Times New Roman" w:cs="Times New Roman"/>
          <w:sz w:val="24"/>
          <w:szCs w:val="24"/>
        </w:rPr>
        <w:t>refers to entities engaged in commercial, industrial, or professional activities, including companies, firms, corporations, and financial institutions. This term is distinct from public sector organizations and non-governmental organizations (NGOs). In this context, the terms "private sector," "business," "firm," "company," and "corporation" are often used interchangeably.</w:t>
      </w:r>
    </w:p>
    <w:p w14:paraId="3F26ACDE" w14:textId="77777777" w:rsidR="00A750F0" w:rsidRPr="00A750F0" w:rsidRDefault="00A750F0" w:rsidP="00A750F0">
      <w:pPr>
        <w:spacing w:line="360" w:lineRule="auto"/>
        <w:jc w:val="both"/>
        <w:rPr>
          <w:rFonts w:ascii="Times New Roman" w:hAnsi="Times New Roman" w:cs="Times New Roman"/>
          <w:sz w:val="24"/>
          <w:szCs w:val="24"/>
        </w:rPr>
      </w:pPr>
      <w:r w:rsidRPr="00A750F0">
        <w:rPr>
          <w:rFonts w:ascii="Times New Roman" w:hAnsi="Times New Roman" w:cs="Times New Roman"/>
          <w:b/>
          <w:bCs/>
          <w:sz w:val="24"/>
          <w:szCs w:val="24"/>
        </w:rPr>
        <w:t>Biodiversity finance</w:t>
      </w:r>
      <w:r w:rsidRPr="00A750F0">
        <w:rPr>
          <w:rFonts w:ascii="Times New Roman" w:hAnsi="Times New Roman" w:cs="Times New Roman"/>
          <w:sz w:val="24"/>
          <w:szCs w:val="24"/>
        </w:rPr>
        <w:t xml:space="preserve"> refers to the practice of raising and managing capital and using and economic incentives to support sustainable biodiversity management (Flammer et al., 2023; Karolyi and Tobin-de-la Puente, 2023).</w:t>
      </w:r>
    </w:p>
    <w:p w14:paraId="49C28EF3" w14:textId="77777777" w:rsidR="00A750F0" w:rsidRPr="00A750F0" w:rsidRDefault="00A750F0" w:rsidP="00A750F0">
      <w:pPr>
        <w:spacing w:line="360" w:lineRule="auto"/>
        <w:jc w:val="both"/>
        <w:rPr>
          <w:rFonts w:ascii="Times New Roman" w:hAnsi="Times New Roman" w:cs="Times New Roman"/>
          <w:sz w:val="24"/>
          <w:szCs w:val="24"/>
        </w:rPr>
      </w:pPr>
      <w:r w:rsidRPr="00A750F0">
        <w:rPr>
          <w:rFonts w:ascii="Times New Roman" w:hAnsi="Times New Roman" w:cs="Times New Roman"/>
          <w:b/>
          <w:bCs/>
          <w:sz w:val="24"/>
          <w:szCs w:val="24"/>
        </w:rPr>
        <w:t>Financing institutions</w:t>
      </w:r>
      <w:r w:rsidRPr="00A750F0">
        <w:rPr>
          <w:rFonts w:ascii="Times New Roman" w:hAnsi="Times New Roman" w:cs="Times New Roman"/>
          <w:sz w:val="24"/>
          <w:szCs w:val="24"/>
        </w:rPr>
        <w:t xml:space="preserve"> refer to institutions engaged in the business of providing financial services to customers who maintain a credit, deposit, trust, or other financial account or relationship with the institution (15U.S. Code 6826). It includes banks, insurance companies, and other nonbank financial institutions (institutional investors and other nonbank financial intermediaries(such as leasing companies and investment banks) (World Bank, 2015).</w:t>
      </w:r>
    </w:p>
    <w:p w14:paraId="47F2D2FF" w14:textId="77777777" w:rsidR="00A750F0" w:rsidRPr="00A750F0" w:rsidRDefault="00A750F0" w:rsidP="00A750F0">
      <w:pPr>
        <w:spacing w:line="360" w:lineRule="auto"/>
        <w:jc w:val="both"/>
        <w:rPr>
          <w:rFonts w:ascii="Times New Roman" w:hAnsi="Times New Roman" w:cs="Times New Roman"/>
          <w:sz w:val="24"/>
          <w:szCs w:val="24"/>
        </w:rPr>
      </w:pPr>
      <w:r w:rsidRPr="00A750F0">
        <w:rPr>
          <w:rFonts w:ascii="Times New Roman" w:hAnsi="Times New Roman" w:cs="Times New Roman"/>
          <w:b/>
          <w:bCs/>
          <w:sz w:val="24"/>
          <w:szCs w:val="24"/>
        </w:rPr>
        <w:t>Public biodiversity finance</w:t>
      </w:r>
      <w:r w:rsidRPr="00A750F0">
        <w:rPr>
          <w:rFonts w:ascii="Times New Roman" w:hAnsi="Times New Roman" w:cs="Times New Roman"/>
          <w:sz w:val="24"/>
          <w:szCs w:val="24"/>
        </w:rPr>
        <w:t xml:space="preserve"> refers to finance flows on biodiversity that come from public sectors including national and local governments, regional bodies and institutions and public financial institutions.</w:t>
      </w:r>
    </w:p>
    <w:p w14:paraId="49956EDB" w14:textId="77777777" w:rsidR="00A750F0" w:rsidRPr="00A750F0" w:rsidRDefault="00A750F0" w:rsidP="00A750F0">
      <w:pPr>
        <w:spacing w:line="360" w:lineRule="auto"/>
        <w:jc w:val="both"/>
        <w:rPr>
          <w:rFonts w:ascii="Times New Roman" w:hAnsi="Times New Roman" w:cs="Times New Roman"/>
          <w:sz w:val="24"/>
          <w:szCs w:val="24"/>
        </w:rPr>
      </w:pPr>
      <w:r w:rsidRPr="00A750F0">
        <w:rPr>
          <w:rFonts w:ascii="Times New Roman" w:hAnsi="Times New Roman" w:cs="Times New Roman"/>
          <w:b/>
          <w:bCs/>
          <w:sz w:val="24"/>
          <w:szCs w:val="24"/>
        </w:rPr>
        <w:t>Private finance</w:t>
      </w:r>
      <w:r w:rsidRPr="00A750F0">
        <w:rPr>
          <w:rFonts w:ascii="Times New Roman" w:hAnsi="Times New Roman" w:cs="Times New Roman"/>
          <w:sz w:val="24"/>
          <w:szCs w:val="24"/>
        </w:rPr>
        <w:t xml:space="preserve"> refers to finance flows on biodiversity from private sectors include philanthropic foundations, institutional investors, corporations, private enterprises and households.</w:t>
      </w:r>
    </w:p>
    <w:p w14:paraId="04CAA8D2" w14:textId="77777777" w:rsidR="00A750F0" w:rsidRPr="00A750F0" w:rsidRDefault="00A750F0" w:rsidP="00A750F0">
      <w:pPr>
        <w:rPr>
          <w:rFonts w:ascii="Times New Roman" w:hAnsi="Times New Roman" w:cs="Times New Roman"/>
          <w:sz w:val="24"/>
          <w:szCs w:val="24"/>
        </w:rPr>
      </w:pPr>
    </w:p>
    <w:p w14:paraId="6DBB2AEC" w14:textId="77777777" w:rsidR="00A750F0" w:rsidRPr="00A750F0" w:rsidRDefault="00A750F0" w:rsidP="00A750F0">
      <w:pPr>
        <w:rPr>
          <w:rFonts w:ascii="Times New Roman" w:hAnsi="Times New Roman" w:cs="Times New Roman"/>
          <w:b/>
          <w:bCs/>
          <w:sz w:val="24"/>
          <w:szCs w:val="24"/>
        </w:rPr>
      </w:pPr>
      <w:r w:rsidRPr="00A750F0">
        <w:rPr>
          <w:rFonts w:ascii="Times New Roman" w:hAnsi="Times New Roman" w:cs="Times New Roman" w:hint="eastAsia"/>
          <w:b/>
          <w:bCs/>
          <w:sz w:val="24"/>
          <w:szCs w:val="24"/>
        </w:rPr>
        <w:t>References</w:t>
      </w:r>
    </w:p>
    <w:p w14:paraId="406A8723" w14:textId="77777777" w:rsidR="00A750F0" w:rsidRPr="00A750F0" w:rsidRDefault="00A750F0" w:rsidP="00A750F0">
      <w:pPr>
        <w:spacing w:line="360" w:lineRule="auto"/>
        <w:ind w:left="1008" w:hanging="720"/>
        <w:rPr>
          <w:rFonts w:ascii="Times New Roman" w:hAnsi="Times New Roman" w:cs="Times New Roman"/>
          <w:sz w:val="24"/>
          <w:szCs w:val="24"/>
          <w:lang w:val="sv-SE"/>
        </w:rPr>
      </w:pPr>
      <w:r w:rsidRPr="00A750F0">
        <w:rPr>
          <w:rFonts w:ascii="Times New Roman" w:hAnsi="Times New Roman" w:cs="Times New Roman"/>
          <w:sz w:val="24"/>
          <w:szCs w:val="24"/>
        </w:rPr>
        <w:t xml:space="preserve">CBD, 1992. Convention on biological diversity. </w:t>
      </w:r>
      <w:hyperlink r:id="rId6" w:history="1">
        <w:r w:rsidRPr="00A750F0">
          <w:rPr>
            <w:rFonts w:ascii="Times New Roman" w:hAnsi="Times New Roman" w:cs="Times New Roman"/>
            <w:color w:val="0563C1" w:themeColor="hyperlink"/>
            <w:sz w:val="24"/>
            <w:szCs w:val="24"/>
            <w:u w:val="single"/>
            <w:lang w:val="sv-SE"/>
          </w:rPr>
          <w:t>http://www.cbd.int/doc/legal/cbd-en.pdf</w:t>
        </w:r>
      </w:hyperlink>
    </w:p>
    <w:p w14:paraId="51CF16AA" w14:textId="77777777" w:rsidR="00A750F0" w:rsidRPr="00A750F0" w:rsidRDefault="00A750F0" w:rsidP="00A750F0">
      <w:pPr>
        <w:spacing w:line="360" w:lineRule="auto"/>
        <w:ind w:left="1008" w:hanging="720"/>
        <w:rPr>
          <w:rFonts w:ascii="Times New Roman" w:hAnsi="Times New Roman" w:cs="Times New Roman"/>
          <w:sz w:val="24"/>
          <w:szCs w:val="24"/>
        </w:rPr>
      </w:pPr>
      <w:r w:rsidRPr="00A750F0">
        <w:rPr>
          <w:rFonts w:ascii="Times New Roman" w:hAnsi="Times New Roman" w:cs="Times New Roman"/>
          <w:sz w:val="24"/>
          <w:szCs w:val="24"/>
          <w:lang w:val="sv-SE"/>
        </w:rPr>
        <w:t xml:space="preserve">Deutz, A., Heal, R., Niu, E., Swanson, T., Li, Z., Delmar, A., Meghji, S.A., Tobin-de la Puente, J., 2020. </w:t>
      </w:r>
      <w:r w:rsidRPr="00A750F0">
        <w:rPr>
          <w:rFonts w:ascii="Times New Roman" w:hAnsi="Times New Roman" w:cs="Times New Roman"/>
          <w:sz w:val="24"/>
          <w:szCs w:val="24"/>
        </w:rPr>
        <w:t xml:space="preserve">Financing nature: Closing the global biodiversity financing gap. </w:t>
      </w:r>
      <w:r w:rsidRPr="00A750F0">
        <w:rPr>
          <w:rFonts w:ascii="Times New Roman" w:hAnsi="Times New Roman" w:cs="Times New Roman"/>
          <w:sz w:val="24"/>
          <w:szCs w:val="24"/>
        </w:rPr>
        <w:lastRenderedPageBreak/>
        <w:t>The Paulson Institute, the Nature Conservancy, and the Cornell Atkinson Center for Sustainability.</w:t>
      </w:r>
    </w:p>
    <w:p w14:paraId="10A56681" w14:textId="77777777" w:rsidR="00A750F0" w:rsidRPr="00A750F0" w:rsidRDefault="00A750F0" w:rsidP="00A750F0">
      <w:pPr>
        <w:spacing w:line="360" w:lineRule="auto"/>
        <w:ind w:left="1008" w:hanging="720"/>
        <w:rPr>
          <w:rFonts w:ascii="Times New Roman" w:hAnsi="Times New Roman" w:cs="Times New Roman"/>
          <w:sz w:val="24"/>
          <w:szCs w:val="24"/>
        </w:rPr>
      </w:pPr>
      <w:r w:rsidRPr="00A750F0">
        <w:rPr>
          <w:rFonts w:ascii="Times New Roman" w:hAnsi="Times New Roman" w:cs="Times New Roman"/>
          <w:sz w:val="24"/>
          <w:szCs w:val="24"/>
        </w:rPr>
        <w:t>Flammer, C., Thomas, G., &amp; Geoffrey M., H. (2023). Biodiversity Finance. https://papers.ssrn.com/sol3/papers.cfm?abstract_id=4379451</w:t>
      </w:r>
    </w:p>
    <w:p w14:paraId="345A282C" w14:textId="77777777" w:rsidR="00A750F0" w:rsidRPr="00A750F0" w:rsidRDefault="00A750F0" w:rsidP="00A750F0">
      <w:pPr>
        <w:spacing w:line="360" w:lineRule="auto"/>
        <w:ind w:left="1008" w:hanging="720"/>
        <w:rPr>
          <w:rFonts w:ascii="Times New Roman" w:hAnsi="Times New Roman" w:cs="Times New Roman"/>
          <w:sz w:val="24"/>
          <w:szCs w:val="24"/>
        </w:rPr>
      </w:pPr>
      <w:r w:rsidRPr="00A750F0">
        <w:rPr>
          <w:rFonts w:ascii="Times New Roman" w:hAnsi="Times New Roman" w:cs="Times New Roman"/>
          <w:sz w:val="24"/>
          <w:szCs w:val="24"/>
          <w:lang w:val="sv-SE"/>
        </w:rPr>
        <w:t xml:space="preserve">Karolyi, G. A. &amp; Tobin‐de la Puente, J. (2023). </w:t>
      </w:r>
      <w:r w:rsidRPr="00A750F0">
        <w:rPr>
          <w:rFonts w:ascii="Times New Roman" w:hAnsi="Times New Roman" w:cs="Times New Roman"/>
          <w:sz w:val="24"/>
          <w:szCs w:val="24"/>
        </w:rPr>
        <w:t xml:space="preserve">Biodiversity finance: A call for research into financing nature. Financial Management, 52(2), 231–251. </w:t>
      </w:r>
      <w:hyperlink r:id="rId7" w:history="1">
        <w:r w:rsidRPr="00A750F0">
          <w:rPr>
            <w:rFonts w:ascii="Times New Roman" w:hAnsi="Times New Roman" w:cs="Times New Roman"/>
            <w:color w:val="0563C1" w:themeColor="hyperlink"/>
            <w:sz w:val="24"/>
            <w:szCs w:val="24"/>
            <w:u w:val="single"/>
          </w:rPr>
          <w:t>https://doi.org/10.1111/fima.12417</w:t>
        </w:r>
      </w:hyperlink>
    </w:p>
    <w:p w14:paraId="01C3FA80" w14:textId="77777777" w:rsidR="00A750F0" w:rsidRPr="00A750F0" w:rsidRDefault="00A750F0" w:rsidP="00A750F0">
      <w:pPr>
        <w:spacing w:line="360" w:lineRule="auto"/>
        <w:ind w:left="1008" w:hanging="720"/>
        <w:rPr>
          <w:rFonts w:ascii="Times New Roman" w:hAnsi="Times New Roman" w:cs="Times New Roman"/>
          <w:sz w:val="24"/>
          <w:szCs w:val="24"/>
        </w:rPr>
      </w:pPr>
      <w:r w:rsidRPr="00A750F0">
        <w:rPr>
          <w:rFonts w:ascii="Times New Roman" w:hAnsi="Times New Roman" w:cs="Times New Roman"/>
          <w:sz w:val="24"/>
          <w:szCs w:val="24"/>
        </w:rPr>
        <w:t>Tobin-de la Puente, J., Mitchell, A.W. (Eds.), 2021. The little book of investing in nature, First Edition. ed. Global Canopy: Oxford.</w:t>
      </w:r>
    </w:p>
    <w:p w14:paraId="566DC429" w14:textId="77777777" w:rsidR="00A750F0" w:rsidRPr="00A750F0" w:rsidRDefault="00A750F0" w:rsidP="00A750F0">
      <w:pPr>
        <w:spacing w:line="360" w:lineRule="auto"/>
        <w:ind w:left="1008" w:hanging="720"/>
        <w:rPr>
          <w:rFonts w:ascii="Times New Roman" w:hAnsi="Times New Roman" w:cs="Times New Roman"/>
          <w:sz w:val="24"/>
          <w:szCs w:val="24"/>
        </w:rPr>
      </w:pPr>
      <w:r w:rsidRPr="00A750F0">
        <w:rPr>
          <w:rFonts w:ascii="Times New Roman" w:hAnsi="Times New Roman" w:cs="Times New Roman"/>
          <w:sz w:val="24"/>
          <w:szCs w:val="24"/>
        </w:rPr>
        <w:t>World Bank, 2015. Global financial development report 2015/2016: Long-term finance. The World Bank</w:t>
      </w:r>
    </w:p>
    <w:p w14:paraId="4C0B338F" w14:textId="77777777" w:rsidR="00A750F0" w:rsidRPr="00A750F0" w:rsidRDefault="00A750F0" w:rsidP="00A750F0">
      <w:pPr>
        <w:spacing w:line="360" w:lineRule="auto"/>
        <w:ind w:left="1008" w:hanging="720"/>
        <w:rPr>
          <w:rFonts w:ascii="Times New Roman" w:hAnsi="Times New Roman" w:cs="Times New Roman"/>
          <w:sz w:val="24"/>
          <w:szCs w:val="24"/>
        </w:rPr>
      </w:pPr>
      <w:r w:rsidRPr="00A750F0">
        <w:rPr>
          <w:rFonts w:ascii="Times New Roman" w:hAnsi="Times New Roman" w:cs="Times New Roman"/>
          <w:sz w:val="24"/>
          <w:szCs w:val="24"/>
        </w:rPr>
        <w:t>World Bank, 2020. Mobilizing Private Finance for Nature. World Bank. https://doi.org/10.1596/35984</w:t>
      </w:r>
    </w:p>
    <w:p w14:paraId="6302B686" w14:textId="77777777" w:rsidR="00463F20" w:rsidRDefault="00463F20"/>
    <w:sectPr w:rsidR="00463F20">
      <w:footerReference w:type="default" r:id="rId8"/>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54B912E" w14:textId="77777777" w:rsidR="004524EF" w:rsidRDefault="004524EF" w:rsidP="00AD7A86">
      <w:pPr>
        <w:spacing w:after="0" w:line="240" w:lineRule="auto"/>
      </w:pPr>
      <w:r>
        <w:separator/>
      </w:r>
    </w:p>
  </w:endnote>
  <w:endnote w:type="continuationSeparator" w:id="0">
    <w:p w14:paraId="0C2C8837" w14:textId="77777777" w:rsidR="004524EF" w:rsidRDefault="004524EF" w:rsidP="00AD7A8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4002EFF" w:usb1="C200247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DengXian Light">
    <w:altName w:val="等线 Light"/>
    <w:charset w:val="86"/>
    <w:family w:val="auto"/>
    <w:pitch w:val="variable"/>
    <w:sig w:usb0="A00002BF" w:usb1="38CF7CFA" w:usb2="00000016" w:usb3="00000000" w:csb0="0004000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792973401"/>
      <w:docPartObj>
        <w:docPartGallery w:val="Page Numbers (Bottom of Page)"/>
        <w:docPartUnique/>
      </w:docPartObj>
    </w:sdtPr>
    <w:sdtEndPr>
      <w:rPr>
        <w:noProof/>
      </w:rPr>
    </w:sdtEndPr>
    <w:sdtContent>
      <w:p w14:paraId="6F936929" w14:textId="0A1108F2" w:rsidR="00AD7A86" w:rsidRDefault="00AD7A86">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14:paraId="3391A25B" w14:textId="77777777" w:rsidR="00AD7A86" w:rsidRDefault="00AD7A86">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2F731151" w14:textId="77777777" w:rsidR="004524EF" w:rsidRDefault="004524EF" w:rsidP="00AD7A86">
      <w:pPr>
        <w:spacing w:after="0" w:line="240" w:lineRule="auto"/>
      </w:pPr>
      <w:r>
        <w:separator/>
      </w:r>
    </w:p>
  </w:footnote>
  <w:footnote w:type="continuationSeparator" w:id="0">
    <w:p w14:paraId="0A17817A" w14:textId="77777777" w:rsidR="004524EF" w:rsidRDefault="004524EF" w:rsidP="00AD7A86">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91"/>
  <w:proofState w:spelling="clean" w:grammar="clean"/>
  <w:defaultTabStop w:val="720"/>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0618A"/>
    <w:rsid w:val="00034A20"/>
    <w:rsid w:val="00056786"/>
    <w:rsid w:val="00067CF6"/>
    <w:rsid w:val="0008052A"/>
    <w:rsid w:val="000A5FF1"/>
    <w:rsid w:val="000B3AE4"/>
    <w:rsid w:val="000B757A"/>
    <w:rsid w:val="000D1434"/>
    <w:rsid w:val="000D2B9A"/>
    <w:rsid w:val="000D3EED"/>
    <w:rsid w:val="000F0F01"/>
    <w:rsid w:val="00121A3E"/>
    <w:rsid w:val="001A22FE"/>
    <w:rsid w:val="001B5F5C"/>
    <w:rsid w:val="001F06F7"/>
    <w:rsid w:val="0020618A"/>
    <w:rsid w:val="00207C22"/>
    <w:rsid w:val="0022579D"/>
    <w:rsid w:val="002352A8"/>
    <w:rsid w:val="00237C9D"/>
    <w:rsid w:val="00282FB9"/>
    <w:rsid w:val="00287A61"/>
    <w:rsid w:val="00293B54"/>
    <w:rsid w:val="002C21C2"/>
    <w:rsid w:val="002E0B5C"/>
    <w:rsid w:val="00314D62"/>
    <w:rsid w:val="00350054"/>
    <w:rsid w:val="003561EC"/>
    <w:rsid w:val="00360E89"/>
    <w:rsid w:val="003621F3"/>
    <w:rsid w:val="00375FA9"/>
    <w:rsid w:val="00434329"/>
    <w:rsid w:val="004524EF"/>
    <w:rsid w:val="00463F20"/>
    <w:rsid w:val="00467B6C"/>
    <w:rsid w:val="00540591"/>
    <w:rsid w:val="00546530"/>
    <w:rsid w:val="0057009E"/>
    <w:rsid w:val="005B174B"/>
    <w:rsid w:val="005C2454"/>
    <w:rsid w:val="005F6E1F"/>
    <w:rsid w:val="00622022"/>
    <w:rsid w:val="00644B22"/>
    <w:rsid w:val="00665A1C"/>
    <w:rsid w:val="00680D32"/>
    <w:rsid w:val="006C2B74"/>
    <w:rsid w:val="006F207F"/>
    <w:rsid w:val="007561D6"/>
    <w:rsid w:val="00776AF3"/>
    <w:rsid w:val="007A0BBC"/>
    <w:rsid w:val="007C4ED0"/>
    <w:rsid w:val="007D446F"/>
    <w:rsid w:val="00867E31"/>
    <w:rsid w:val="008F7925"/>
    <w:rsid w:val="00933FB7"/>
    <w:rsid w:val="00952100"/>
    <w:rsid w:val="0098301E"/>
    <w:rsid w:val="00A15196"/>
    <w:rsid w:val="00A54882"/>
    <w:rsid w:val="00A750F0"/>
    <w:rsid w:val="00A819A8"/>
    <w:rsid w:val="00A83D7B"/>
    <w:rsid w:val="00A842CA"/>
    <w:rsid w:val="00A85890"/>
    <w:rsid w:val="00A95865"/>
    <w:rsid w:val="00AB3E2E"/>
    <w:rsid w:val="00AB5DA0"/>
    <w:rsid w:val="00AC3F18"/>
    <w:rsid w:val="00AD7A86"/>
    <w:rsid w:val="00AF22B4"/>
    <w:rsid w:val="00B55F96"/>
    <w:rsid w:val="00B804FA"/>
    <w:rsid w:val="00B848E7"/>
    <w:rsid w:val="00B878C9"/>
    <w:rsid w:val="00B87AE4"/>
    <w:rsid w:val="00B90B70"/>
    <w:rsid w:val="00BC77B1"/>
    <w:rsid w:val="00C50540"/>
    <w:rsid w:val="00C87319"/>
    <w:rsid w:val="00CA0959"/>
    <w:rsid w:val="00CD323F"/>
    <w:rsid w:val="00CD4183"/>
    <w:rsid w:val="00CE7D97"/>
    <w:rsid w:val="00D21011"/>
    <w:rsid w:val="00D30F27"/>
    <w:rsid w:val="00D8680A"/>
    <w:rsid w:val="00E01F33"/>
    <w:rsid w:val="00E0290D"/>
    <w:rsid w:val="00E37563"/>
    <w:rsid w:val="00E41BC2"/>
    <w:rsid w:val="00ED1D68"/>
    <w:rsid w:val="00EF467F"/>
    <w:rsid w:val="00F26C2F"/>
    <w:rsid w:val="00F51B18"/>
    <w:rsid w:val="00F746D5"/>
    <w:rsid w:val="00FD446D"/>
    <w:rsid w:val="00FF530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C34FABA"/>
  <w15:chartTrackingRefBased/>
  <w15:docId w15:val="{1325A6E9-D383-44A7-B26C-CF6831249A7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en-US" w:eastAsia="zh-CN"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20618A"/>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Heading2">
    <w:name w:val="heading 2"/>
    <w:basedOn w:val="Normal"/>
    <w:next w:val="Normal"/>
    <w:link w:val="Heading2Char"/>
    <w:uiPriority w:val="9"/>
    <w:semiHidden/>
    <w:unhideWhenUsed/>
    <w:qFormat/>
    <w:rsid w:val="0020618A"/>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Heading3">
    <w:name w:val="heading 3"/>
    <w:basedOn w:val="Normal"/>
    <w:next w:val="Normal"/>
    <w:link w:val="Heading3Char"/>
    <w:uiPriority w:val="9"/>
    <w:semiHidden/>
    <w:unhideWhenUsed/>
    <w:qFormat/>
    <w:rsid w:val="0020618A"/>
    <w:pPr>
      <w:keepNext/>
      <w:keepLines/>
      <w:spacing w:before="160" w:after="80"/>
      <w:outlineLvl w:val="2"/>
    </w:pPr>
    <w:rPr>
      <w:rFonts w:eastAsiaTheme="majorEastAsia" w:cstheme="majorBidi"/>
      <w:color w:val="2F5496" w:themeColor="accent1" w:themeShade="BF"/>
      <w:sz w:val="28"/>
      <w:szCs w:val="28"/>
    </w:rPr>
  </w:style>
  <w:style w:type="paragraph" w:styleId="Heading4">
    <w:name w:val="heading 4"/>
    <w:basedOn w:val="Normal"/>
    <w:next w:val="Normal"/>
    <w:link w:val="Heading4Char"/>
    <w:uiPriority w:val="9"/>
    <w:semiHidden/>
    <w:unhideWhenUsed/>
    <w:qFormat/>
    <w:rsid w:val="0020618A"/>
    <w:pPr>
      <w:keepNext/>
      <w:keepLines/>
      <w:spacing w:before="80" w:after="40"/>
      <w:outlineLvl w:val="3"/>
    </w:pPr>
    <w:rPr>
      <w:rFonts w:eastAsiaTheme="majorEastAsia" w:cstheme="majorBidi"/>
      <w:i/>
      <w:iCs/>
      <w:color w:val="2F5496" w:themeColor="accent1" w:themeShade="BF"/>
    </w:rPr>
  </w:style>
  <w:style w:type="paragraph" w:styleId="Heading5">
    <w:name w:val="heading 5"/>
    <w:basedOn w:val="Normal"/>
    <w:next w:val="Normal"/>
    <w:link w:val="Heading5Char"/>
    <w:uiPriority w:val="9"/>
    <w:semiHidden/>
    <w:unhideWhenUsed/>
    <w:qFormat/>
    <w:rsid w:val="0020618A"/>
    <w:pPr>
      <w:keepNext/>
      <w:keepLines/>
      <w:spacing w:before="80" w:after="40"/>
      <w:outlineLvl w:val="4"/>
    </w:pPr>
    <w:rPr>
      <w:rFonts w:eastAsiaTheme="majorEastAsia" w:cstheme="majorBidi"/>
      <w:color w:val="2F5496" w:themeColor="accent1" w:themeShade="BF"/>
    </w:rPr>
  </w:style>
  <w:style w:type="paragraph" w:styleId="Heading6">
    <w:name w:val="heading 6"/>
    <w:basedOn w:val="Normal"/>
    <w:next w:val="Normal"/>
    <w:link w:val="Heading6Char"/>
    <w:uiPriority w:val="9"/>
    <w:semiHidden/>
    <w:unhideWhenUsed/>
    <w:qFormat/>
    <w:rsid w:val="0020618A"/>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20618A"/>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20618A"/>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20618A"/>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20618A"/>
    <w:rPr>
      <w:rFonts w:asciiTheme="majorHAnsi" w:eastAsiaTheme="majorEastAsia" w:hAnsiTheme="majorHAnsi" w:cstheme="majorBidi"/>
      <w:color w:val="2F5496" w:themeColor="accent1" w:themeShade="BF"/>
      <w:sz w:val="40"/>
      <w:szCs w:val="40"/>
    </w:rPr>
  </w:style>
  <w:style w:type="character" w:customStyle="1" w:styleId="Heading2Char">
    <w:name w:val="Heading 2 Char"/>
    <w:basedOn w:val="DefaultParagraphFont"/>
    <w:link w:val="Heading2"/>
    <w:uiPriority w:val="9"/>
    <w:semiHidden/>
    <w:rsid w:val="0020618A"/>
    <w:rPr>
      <w:rFonts w:asciiTheme="majorHAnsi" w:eastAsiaTheme="majorEastAsia" w:hAnsiTheme="majorHAnsi" w:cstheme="majorBidi"/>
      <w:color w:val="2F5496" w:themeColor="accent1" w:themeShade="BF"/>
      <w:sz w:val="32"/>
      <w:szCs w:val="32"/>
    </w:rPr>
  </w:style>
  <w:style w:type="character" w:customStyle="1" w:styleId="Heading3Char">
    <w:name w:val="Heading 3 Char"/>
    <w:basedOn w:val="DefaultParagraphFont"/>
    <w:link w:val="Heading3"/>
    <w:uiPriority w:val="9"/>
    <w:semiHidden/>
    <w:rsid w:val="0020618A"/>
    <w:rPr>
      <w:rFonts w:eastAsiaTheme="majorEastAsia" w:cstheme="majorBidi"/>
      <w:color w:val="2F5496" w:themeColor="accent1" w:themeShade="BF"/>
      <w:sz w:val="28"/>
      <w:szCs w:val="28"/>
    </w:rPr>
  </w:style>
  <w:style w:type="character" w:customStyle="1" w:styleId="Heading4Char">
    <w:name w:val="Heading 4 Char"/>
    <w:basedOn w:val="DefaultParagraphFont"/>
    <w:link w:val="Heading4"/>
    <w:uiPriority w:val="9"/>
    <w:semiHidden/>
    <w:rsid w:val="0020618A"/>
    <w:rPr>
      <w:rFonts w:eastAsiaTheme="majorEastAsia" w:cstheme="majorBidi"/>
      <w:i/>
      <w:iCs/>
      <w:color w:val="2F5496" w:themeColor="accent1" w:themeShade="BF"/>
    </w:rPr>
  </w:style>
  <w:style w:type="character" w:customStyle="1" w:styleId="Heading5Char">
    <w:name w:val="Heading 5 Char"/>
    <w:basedOn w:val="DefaultParagraphFont"/>
    <w:link w:val="Heading5"/>
    <w:uiPriority w:val="9"/>
    <w:semiHidden/>
    <w:rsid w:val="0020618A"/>
    <w:rPr>
      <w:rFonts w:eastAsiaTheme="majorEastAsia" w:cstheme="majorBidi"/>
      <w:color w:val="2F5496" w:themeColor="accent1" w:themeShade="BF"/>
    </w:rPr>
  </w:style>
  <w:style w:type="character" w:customStyle="1" w:styleId="Heading6Char">
    <w:name w:val="Heading 6 Char"/>
    <w:basedOn w:val="DefaultParagraphFont"/>
    <w:link w:val="Heading6"/>
    <w:uiPriority w:val="9"/>
    <w:semiHidden/>
    <w:rsid w:val="0020618A"/>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20618A"/>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20618A"/>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20618A"/>
    <w:rPr>
      <w:rFonts w:eastAsiaTheme="majorEastAsia" w:cstheme="majorBidi"/>
      <w:color w:val="272727" w:themeColor="text1" w:themeTint="D8"/>
    </w:rPr>
  </w:style>
  <w:style w:type="paragraph" w:styleId="Title">
    <w:name w:val="Title"/>
    <w:basedOn w:val="Normal"/>
    <w:next w:val="Normal"/>
    <w:link w:val="TitleChar"/>
    <w:uiPriority w:val="10"/>
    <w:qFormat/>
    <w:rsid w:val="0020618A"/>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20618A"/>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20618A"/>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20618A"/>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20618A"/>
    <w:pPr>
      <w:spacing w:before="160"/>
      <w:jc w:val="center"/>
    </w:pPr>
    <w:rPr>
      <w:i/>
      <w:iCs/>
      <w:color w:val="404040" w:themeColor="text1" w:themeTint="BF"/>
    </w:rPr>
  </w:style>
  <w:style w:type="character" w:customStyle="1" w:styleId="QuoteChar">
    <w:name w:val="Quote Char"/>
    <w:basedOn w:val="DefaultParagraphFont"/>
    <w:link w:val="Quote"/>
    <w:uiPriority w:val="29"/>
    <w:rsid w:val="0020618A"/>
    <w:rPr>
      <w:i/>
      <w:iCs/>
      <w:color w:val="404040" w:themeColor="text1" w:themeTint="BF"/>
    </w:rPr>
  </w:style>
  <w:style w:type="paragraph" w:styleId="ListParagraph">
    <w:name w:val="List Paragraph"/>
    <w:basedOn w:val="Normal"/>
    <w:uiPriority w:val="34"/>
    <w:qFormat/>
    <w:rsid w:val="0020618A"/>
    <w:pPr>
      <w:ind w:left="720"/>
      <w:contextualSpacing/>
    </w:pPr>
  </w:style>
  <w:style w:type="character" w:styleId="IntenseEmphasis">
    <w:name w:val="Intense Emphasis"/>
    <w:basedOn w:val="DefaultParagraphFont"/>
    <w:uiPriority w:val="21"/>
    <w:qFormat/>
    <w:rsid w:val="0020618A"/>
    <w:rPr>
      <w:i/>
      <w:iCs/>
      <w:color w:val="2F5496" w:themeColor="accent1" w:themeShade="BF"/>
    </w:rPr>
  </w:style>
  <w:style w:type="paragraph" w:styleId="IntenseQuote">
    <w:name w:val="Intense Quote"/>
    <w:basedOn w:val="Normal"/>
    <w:next w:val="Normal"/>
    <w:link w:val="IntenseQuoteChar"/>
    <w:uiPriority w:val="30"/>
    <w:qFormat/>
    <w:rsid w:val="0020618A"/>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IntenseQuoteChar">
    <w:name w:val="Intense Quote Char"/>
    <w:basedOn w:val="DefaultParagraphFont"/>
    <w:link w:val="IntenseQuote"/>
    <w:uiPriority w:val="30"/>
    <w:rsid w:val="0020618A"/>
    <w:rPr>
      <w:i/>
      <w:iCs/>
      <w:color w:val="2F5496" w:themeColor="accent1" w:themeShade="BF"/>
    </w:rPr>
  </w:style>
  <w:style w:type="character" w:styleId="IntenseReference">
    <w:name w:val="Intense Reference"/>
    <w:basedOn w:val="DefaultParagraphFont"/>
    <w:uiPriority w:val="32"/>
    <w:qFormat/>
    <w:rsid w:val="0020618A"/>
    <w:rPr>
      <w:b/>
      <w:bCs/>
      <w:smallCaps/>
      <w:color w:val="2F5496" w:themeColor="accent1" w:themeShade="BF"/>
      <w:spacing w:val="5"/>
    </w:rPr>
  </w:style>
  <w:style w:type="paragraph" w:styleId="Header">
    <w:name w:val="header"/>
    <w:basedOn w:val="Normal"/>
    <w:link w:val="HeaderChar"/>
    <w:uiPriority w:val="99"/>
    <w:unhideWhenUsed/>
    <w:rsid w:val="00AD7A86"/>
    <w:pPr>
      <w:tabs>
        <w:tab w:val="center" w:pos="4513"/>
        <w:tab w:val="right" w:pos="9026"/>
      </w:tabs>
      <w:spacing w:after="0" w:line="240" w:lineRule="auto"/>
    </w:pPr>
  </w:style>
  <w:style w:type="character" w:customStyle="1" w:styleId="HeaderChar">
    <w:name w:val="Header Char"/>
    <w:basedOn w:val="DefaultParagraphFont"/>
    <w:link w:val="Header"/>
    <w:uiPriority w:val="99"/>
    <w:rsid w:val="00AD7A86"/>
  </w:style>
  <w:style w:type="paragraph" w:styleId="Footer">
    <w:name w:val="footer"/>
    <w:basedOn w:val="Normal"/>
    <w:link w:val="FooterChar"/>
    <w:uiPriority w:val="99"/>
    <w:unhideWhenUsed/>
    <w:rsid w:val="00AD7A86"/>
    <w:pPr>
      <w:tabs>
        <w:tab w:val="center" w:pos="4513"/>
        <w:tab w:val="right" w:pos="9026"/>
      </w:tabs>
      <w:spacing w:after="0" w:line="240" w:lineRule="auto"/>
    </w:pPr>
  </w:style>
  <w:style w:type="character" w:customStyle="1" w:styleId="FooterChar">
    <w:name w:val="Footer Char"/>
    <w:basedOn w:val="DefaultParagraphFont"/>
    <w:link w:val="Footer"/>
    <w:uiPriority w:val="99"/>
    <w:rsid w:val="00AD7A8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webSettings" Target="webSettings.xml"/><Relationship Id="rId7" Type="http://schemas.openxmlformats.org/officeDocument/2006/relationships/hyperlink" Target="https://doi.org/10.1111/fima.12417"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cbd.int/doc/legal/cbd-en.pdf" TargetMode="External"/><Relationship Id="rId5" Type="http://schemas.openxmlformats.org/officeDocument/2006/relationships/endnotes" Target="endnotes.xml"/><Relationship Id="rId10" Type="http://schemas.openxmlformats.org/officeDocument/2006/relationships/theme" Target="theme/theme1.xml"/><Relationship Id="rId4" Type="http://schemas.openxmlformats.org/officeDocument/2006/relationships/footnotes" Target="footnote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Metadata/LabelInfo.xml><?xml version="1.0" encoding="utf-8"?>
<clbl:labelList xmlns:clbl="http://schemas.microsoft.com/office/2020/mipLabelMetadata">
  <clbl:label id="{a3927f91-cda1-4696-af89-8c9f1ceffa91}" enabled="0" method="" siteId="{a3927f91-cda1-4696-af89-8c9f1ceffa91}" removed="1"/>
</clbl:labelList>
</file>

<file path=docProps/app.xml><?xml version="1.0" encoding="utf-8"?>
<Properties xmlns="http://schemas.openxmlformats.org/officeDocument/2006/extended-properties" xmlns:vt="http://schemas.openxmlformats.org/officeDocument/2006/docPropsVTypes">
  <Template>Normal</Template>
  <TotalTime>1</TotalTime>
  <Pages>2</Pages>
  <Words>450</Words>
  <Characters>2568</Characters>
  <Application>Microsoft Office Word</Application>
  <DocSecurity>0</DocSecurity>
  <Lines>21</Lines>
  <Paragraphs>6</Paragraphs>
  <ScaleCrop>false</ScaleCrop>
  <HeadingPairs>
    <vt:vector size="2" baseType="variant">
      <vt:variant>
        <vt:lpstr>Title</vt:lpstr>
      </vt:variant>
      <vt:variant>
        <vt:i4>1</vt:i4>
      </vt:variant>
    </vt:vector>
  </HeadingPairs>
  <TitlesOfParts>
    <vt:vector size="1" baseType="lpstr">
      <vt:lpstr/>
    </vt:vector>
  </TitlesOfParts>
  <Company>University of Copenhagen</Company>
  <LinksUpToDate>false</LinksUpToDate>
  <CharactersWithSpaces>3012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Qian Liu</dc:creator>
  <cp:keywords/>
  <dc:description/>
  <cp:lastModifiedBy>Mrs. HJ Lotter</cp:lastModifiedBy>
  <cp:revision>2</cp:revision>
  <dcterms:created xsi:type="dcterms:W3CDTF">2025-11-20T09:51:00Z</dcterms:created>
  <dcterms:modified xsi:type="dcterms:W3CDTF">2025-11-20T09:51:00Z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Remapped">
    <vt:lpwstr>true</vt:lpwstr>
  </property>
</Properties>
</file>