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376893" w14:textId="77777777" w:rsidR="00C901BC" w:rsidRPr="001A36D5" w:rsidRDefault="00C901BC" w:rsidP="00C901BC">
      <w:pPr>
        <w:pStyle w:val="Heading2"/>
      </w:pPr>
      <w:bookmarkStart w:id="0" w:name="_Toc154407492"/>
      <w:r>
        <w:t>S9 T</w:t>
      </w:r>
      <w:r w:rsidRPr="001A36D5">
        <w:t>abl</w:t>
      </w:r>
      <w:r>
        <w:t>e</w:t>
      </w:r>
      <w:r w:rsidRPr="001A36D5">
        <w:t>. Sensitivity analysis-</w:t>
      </w:r>
      <w:r w:rsidRPr="00514CFA">
        <w:t xml:space="preserve"> Association between NCD or their risk factors in people with TB and those in members of households with TB, adjusted for age and gender of TB patients</w:t>
      </w:r>
      <w:r>
        <w:t xml:space="preserve"> and</w:t>
      </w:r>
      <w:r w:rsidRPr="001A36D5">
        <w:t xml:space="preserve"> household </w:t>
      </w:r>
      <w:proofErr w:type="gramStart"/>
      <w:r w:rsidRPr="001A36D5">
        <w:t>members</w:t>
      </w:r>
      <w:bookmarkEnd w:id="0"/>
      <w:proofErr w:type="gramEnd"/>
    </w:p>
    <w:tbl>
      <w:tblPr>
        <w:tblW w:w="15058" w:type="dxa"/>
        <w:tblInd w:w="-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1"/>
        <w:gridCol w:w="1559"/>
        <w:gridCol w:w="1055"/>
        <w:gridCol w:w="21"/>
        <w:gridCol w:w="1447"/>
        <w:gridCol w:w="879"/>
        <w:gridCol w:w="1418"/>
        <w:gridCol w:w="850"/>
        <w:gridCol w:w="1559"/>
        <w:gridCol w:w="993"/>
        <w:gridCol w:w="1795"/>
        <w:gridCol w:w="851"/>
      </w:tblGrid>
      <w:tr w:rsidR="00C901BC" w:rsidRPr="0021672F" w14:paraId="59B806CF" w14:textId="77777777" w:rsidTr="00B37F54">
        <w:trPr>
          <w:trHeight w:val="340"/>
        </w:trPr>
        <w:tc>
          <w:tcPr>
            <w:tcW w:w="2631" w:type="dxa"/>
            <w:shd w:val="clear" w:color="auto" w:fill="auto"/>
            <w:noWrap/>
            <w:vAlign w:val="bottom"/>
          </w:tcPr>
          <w:p w14:paraId="06B3A054" w14:textId="77777777" w:rsidR="00C901BC" w:rsidRPr="0021672F" w:rsidRDefault="00C901BC" w:rsidP="00B37F54">
            <w:pPr>
              <w:rPr>
                <w:rFonts w:ascii="Times New Roman" w:eastAsia="Times New Roman" w:hAnsi="Times New Roman"/>
                <w:color w:val="000000"/>
                <w:sz w:val="18"/>
                <w:szCs w:val="18"/>
              </w:rPr>
            </w:pPr>
          </w:p>
        </w:tc>
        <w:tc>
          <w:tcPr>
            <w:tcW w:w="2614" w:type="dxa"/>
            <w:gridSpan w:val="2"/>
            <w:shd w:val="clear" w:color="auto" w:fill="auto"/>
            <w:noWrap/>
          </w:tcPr>
          <w:p w14:paraId="341A7096"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Current smoker</w:t>
            </w:r>
          </w:p>
        </w:tc>
        <w:tc>
          <w:tcPr>
            <w:tcW w:w="2347" w:type="dxa"/>
            <w:gridSpan w:val="3"/>
            <w:shd w:val="clear" w:color="auto" w:fill="auto"/>
            <w:noWrap/>
          </w:tcPr>
          <w:p w14:paraId="755DFB90"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Alcohol drinking twice per week or more</w:t>
            </w:r>
          </w:p>
        </w:tc>
        <w:tc>
          <w:tcPr>
            <w:tcW w:w="2268" w:type="dxa"/>
            <w:gridSpan w:val="2"/>
            <w:shd w:val="clear" w:color="auto" w:fill="auto"/>
            <w:noWrap/>
          </w:tcPr>
          <w:p w14:paraId="3188B1AF"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Diabetes</w:t>
            </w:r>
          </w:p>
        </w:tc>
        <w:tc>
          <w:tcPr>
            <w:tcW w:w="2552" w:type="dxa"/>
            <w:gridSpan w:val="2"/>
            <w:shd w:val="clear" w:color="auto" w:fill="auto"/>
            <w:noWrap/>
          </w:tcPr>
          <w:p w14:paraId="64154F7A"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Hypertension</w:t>
            </w:r>
          </w:p>
        </w:tc>
        <w:tc>
          <w:tcPr>
            <w:tcW w:w="2646" w:type="dxa"/>
            <w:gridSpan w:val="2"/>
            <w:shd w:val="clear" w:color="auto" w:fill="auto"/>
            <w:noWrap/>
          </w:tcPr>
          <w:p w14:paraId="2096F169"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BMI</w:t>
            </w:r>
          </w:p>
        </w:tc>
      </w:tr>
      <w:tr w:rsidR="00C901BC" w:rsidRPr="0021672F" w14:paraId="68A759E4" w14:textId="77777777" w:rsidTr="00B37F54">
        <w:trPr>
          <w:trHeight w:val="340"/>
        </w:trPr>
        <w:tc>
          <w:tcPr>
            <w:tcW w:w="2631" w:type="dxa"/>
            <w:shd w:val="clear" w:color="auto" w:fill="auto"/>
            <w:noWrap/>
            <w:vAlign w:val="bottom"/>
            <w:hideMark/>
          </w:tcPr>
          <w:p w14:paraId="03EA1FD9" w14:textId="77777777" w:rsidR="00C901BC" w:rsidRPr="0021672F" w:rsidRDefault="00C901BC" w:rsidP="00B37F54">
            <w:pPr>
              <w:rPr>
                <w:rFonts w:ascii="Times New Roman" w:eastAsia="Times New Roman" w:hAnsi="Times New Roman"/>
                <w:b/>
                <w:color w:val="000000"/>
                <w:sz w:val="18"/>
                <w:szCs w:val="18"/>
              </w:rPr>
            </w:pPr>
            <w:r>
              <w:rPr>
                <w:rFonts w:ascii="Times New Roman" w:eastAsia="Times New Roman" w:hAnsi="Times New Roman"/>
                <w:b/>
                <w:color w:val="000000"/>
                <w:sz w:val="18"/>
                <w:szCs w:val="18"/>
              </w:rPr>
              <w:t>NCD/NCD risk factors in people with TB</w:t>
            </w:r>
            <w:r w:rsidRPr="0021672F">
              <w:rPr>
                <w:rFonts w:ascii="Times New Roman" w:eastAsia="Times New Roman" w:hAnsi="Times New Roman"/>
                <w:b/>
                <w:color w:val="000000"/>
                <w:sz w:val="18"/>
                <w:szCs w:val="18"/>
              </w:rPr>
              <w:t xml:space="preserve"> in the same households</w:t>
            </w:r>
          </w:p>
        </w:tc>
        <w:tc>
          <w:tcPr>
            <w:tcW w:w="1559" w:type="dxa"/>
            <w:shd w:val="clear" w:color="auto" w:fill="auto"/>
            <w:noWrap/>
            <w:hideMark/>
          </w:tcPr>
          <w:p w14:paraId="47D489D8"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(95%</w:t>
            </w:r>
            <w:r>
              <w:rPr>
                <w:rFonts w:ascii="Times New Roman" w:eastAsia="Times New Roman" w:hAnsi="Times New Roman"/>
                <w:b/>
                <w:color w:val="000000"/>
                <w:sz w:val="18"/>
                <w:szCs w:val="18"/>
              </w:rPr>
              <w:t xml:space="preserve"> </w:t>
            </w:r>
            <w:r w:rsidRPr="0021672F">
              <w:rPr>
                <w:rFonts w:ascii="Times New Roman" w:eastAsia="Times New Roman" w:hAnsi="Times New Roman"/>
                <w:b/>
                <w:color w:val="000000"/>
                <w:sz w:val="18"/>
                <w:szCs w:val="18"/>
              </w:rPr>
              <w:t>CI)</w:t>
            </w:r>
          </w:p>
        </w:tc>
        <w:tc>
          <w:tcPr>
            <w:tcW w:w="1076" w:type="dxa"/>
            <w:gridSpan w:val="2"/>
            <w:shd w:val="clear" w:color="auto" w:fill="auto"/>
            <w:noWrap/>
            <w:hideMark/>
          </w:tcPr>
          <w:p w14:paraId="3FB8FE48"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447" w:type="dxa"/>
            <w:shd w:val="clear" w:color="auto" w:fill="auto"/>
            <w:noWrap/>
            <w:hideMark/>
          </w:tcPr>
          <w:p w14:paraId="36FFEFB1"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(95%</w:t>
            </w:r>
            <w:r>
              <w:rPr>
                <w:rFonts w:ascii="Times New Roman" w:eastAsia="Times New Roman" w:hAnsi="Times New Roman"/>
                <w:b/>
                <w:color w:val="000000"/>
                <w:sz w:val="18"/>
                <w:szCs w:val="18"/>
              </w:rPr>
              <w:t xml:space="preserve"> </w:t>
            </w:r>
            <w:r w:rsidRPr="0021672F">
              <w:rPr>
                <w:rFonts w:ascii="Times New Roman" w:eastAsia="Times New Roman" w:hAnsi="Times New Roman"/>
                <w:b/>
                <w:color w:val="000000"/>
                <w:sz w:val="18"/>
                <w:szCs w:val="18"/>
              </w:rPr>
              <w:t>CI)</w:t>
            </w:r>
          </w:p>
        </w:tc>
        <w:tc>
          <w:tcPr>
            <w:tcW w:w="879" w:type="dxa"/>
            <w:shd w:val="clear" w:color="auto" w:fill="auto"/>
            <w:noWrap/>
            <w:hideMark/>
          </w:tcPr>
          <w:p w14:paraId="139B237C"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418" w:type="dxa"/>
            <w:shd w:val="clear" w:color="auto" w:fill="auto"/>
            <w:noWrap/>
            <w:hideMark/>
          </w:tcPr>
          <w:p w14:paraId="41ACF8C7"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(95%</w:t>
            </w:r>
            <w:r>
              <w:rPr>
                <w:rFonts w:ascii="Times New Roman" w:eastAsia="Times New Roman" w:hAnsi="Times New Roman"/>
                <w:b/>
                <w:color w:val="000000"/>
                <w:sz w:val="18"/>
                <w:szCs w:val="18"/>
              </w:rPr>
              <w:t xml:space="preserve"> </w:t>
            </w:r>
            <w:r w:rsidRPr="0021672F">
              <w:rPr>
                <w:rFonts w:ascii="Times New Roman" w:eastAsia="Times New Roman" w:hAnsi="Times New Roman"/>
                <w:b/>
                <w:color w:val="000000"/>
                <w:sz w:val="18"/>
                <w:szCs w:val="18"/>
              </w:rPr>
              <w:t>CI)</w:t>
            </w:r>
          </w:p>
        </w:tc>
        <w:tc>
          <w:tcPr>
            <w:tcW w:w="850" w:type="dxa"/>
            <w:shd w:val="clear" w:color="auto" w:fill="auto"/>
            <w:noWrap/>
            <w:hideMark/>
          </w:tcPr>
          <w:p w14:paraId="23D0D4FE"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559" w:type="dxa"/>
            <w:shd w:val="clear" w:color="auto" w:fill="auto"/>
            <w:noWrap/>
            <w:hideMark/>
          </w:tcPr>
          <w:p w14:paraId="1D87E0ED"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(95%CI)</w:t>
            </w:r>
          </w:p>
        </w:tc>
        <w:tc>
          <w:tcPr>
            <w:tcW w:w="993" w:type="dxa"/>
            <w:shd w:val="clear" w:color="auto" w:fill="auto"/>
            <w:noWrap/>
            <w:hideMark/>
          </w:tcPr>
          <w:p w14:paraId="00CCB6F9"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795" w:type="dxa"/>
            <w:shd w:val="clear" w:color="auto" w:fill="auto"/>
            <w:noWrap/>
            <w:hideMark/>
          </w:tcPr>
          <w:p w14:paraId="48941DE3"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Difference (95%</w:t>
            </w:r>
            <w:r>
              <w:rPr>
                <w:rFonts w:ascii="Times New Roman" w:eastAsia="Times New Roman" w:hAnsi="Times New Roman"/>
                <w:b/>
                <w:color w:val="000000"/>
                <w:sz w:val="18"/>
                <w:szCs w:val="18"/>
              </w:rPr>
              <w:t xml:space="preserve"> </w:t>
            </w:r>
            <w:r w:rsidRPr="0021672F">
              <w:rPr>
                <w:rFonts w:ascii="Times New Roman" w:eastAsia="Times New Roman" w:hAnsi="Times New Roman"/>
                <w:b/>
                <w:color w:val="000000"/>
                <w:sz w:val="18"/>
                <w:szCs w:val="18"/>
              </w:rPr>
              <w:t>CI) kg/m</w:t>
            </w:r>
            <w:r w:rsidRPr="0021672F">
              <w:rPr>
                <w:rFonts w:ascii="Times New Roman" w:eastAsia="Times New Roman" w:hAnsi="Times New Roman"/>
                <w:b/>
                <w:color w:val="000000"/>
                <w:sz w:val="18"/>
                <w:szCs w:val="18"/>
                <w:vertAlign w:val="superscript"/>
              </w:rPr>
              <w:t>2</w:t>
            </w:r>
          </w:p>
        </w:tc>
        <w:tc>
          <w:tcPr>
            <w:tcW w:w="851" w:type="dxa"/>
            <w:shd w:val="clear" w:color="auto" w:fill="auto"/>
            <w:noWrap/>
            <w:hideMark/>
          </w:tcPr>
          <w:p w14:paraId="754B667A"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r>
      <w:tr w:rsidR="00C901BC" w:rsidRPr="0021672F" w14:paraId="06F5AB1E" w14:textId="77777777" w:rsidTr="00B37F54">
        <w:trPr>
          <w:trHeight w:val="340"/>
        </w:trPr>
        <w:tc>
          <w:tcPr>
            <w:tcW w:w="2631" w:type="dxa"/>
            <w:shd w:val="clear" w:color="auto" w:fill="auto"/>
            <w:noWrap/>
          </w:tcPr>
          <w:p w14:paraId="77307E87" w14:textId="77777777" w:rsidR="00C901BC" w:rsidRPr="0021672F" w:rsidRDefault="00C901BC" w:rsidP="00B37F54">
            <w:pPr>
              <w:rPr>
                <w:rFonts w:ascii="Times New Roman" w:eastAsia="Times New Roman" w:hAnsi="Times New Roman"/>
                <w:color w:val="000000"/>
                <w:sz w:val="18"/>
                <w:szCs w:val="18"/>
              </w:rPr>
            </w:pPr>
            <w:r w:rsidRPr="00826B3F">
              <w:rPr>
                <w:rFonts w:ascii="Times New Roman" w:eastAsia="Times New Roman" w:hAnsi="Times New Roman"/>
                <w:color w:val="000000"/>
                <w:sz w:val="18"/>
                <w:szCs w:val="18"/>
              </w:rPr>
              <w:t>Current smoker</w:t>
            </w:r>
          </w:p>
        </w:tc>
        <w:tc>
          <w:tcPr>
            <w:tcW w:w="1559" w:type="dxa"/>
            <w:shd w:val="clear" w:color="auto" w:fill="auto"/>
            <w:noWrap/>
            <w:vAlign w:val="bottom"/>
          </w:tcPr>
          <w:p w14:paraId="1A73072B"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 xml:space="preserve"> 1.92 </w:t>
            </w:r>
            <w:proofErr w:type="gramStart"/>
            <w:r w:rsidRPr="00E231BC">
              <w:rPr>
                <w:rFonts w:ascii="Times New Roman" w:hAnsi="Times New Roman" w:cs="Times New Roman"/>
                <w:color w:val="000000"/>
                <w:sz w:val="18"/>
                <w:szCs w:val="18"/>
              </w:rPr>
              <w:t>( 1.54</w:t>
            </w:r>
            <w:proofErr w:type="gramEnd"/>
            <w:r w:rsidRPr="00E231BC">
              <w:rPr>
                <w:rFonts w:ascii="Times New Roman" w:hAnsi="Times New Roman" w:cs="Times New Roman"/>
                <w:color w:val="000000"/>
                <w:sz w:val="18"/>
                <w:szCs w:val="18"/>
              </w:rPr>
              <w:t>- 2.41)</w:t>
            </w:r>
          </w:p>
        </w:tc>
        <w:tc>
          <w:tcPr>
            <w:tcW w:w="1076" w:type="dxa"/>
            <w:gridSpan w:val="2"/>
            <w:shd w:val="clear" w:color="auto" w:fill="auto"/>
            <w:noWrap/>
            <w:vAlign w:val="bottom"/>
          </w:tcPr>
          <w:p w14:paraId="49E6B57E"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&lt;0.0001</w:t>
            </w:r>
          </w:p>
        </w:tc>
        <w:tc>
          <w:tcPr>
            <w:tcW w:w="1447" w:type="dxa"/>
            <w:shd w:val="clear" w:color="auto" w:fill="auto"/>
            <w:noWrap/>
            <w:vAlign w:val="bottom"/>
          </w:tcPr>
          <w:p w14:paraId="32CD777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79" w:type="dxa"/>
            <w:shd w:val="clear" w:color="auto" w:fill="auto"/>
            <w:noWrap/>
            <w:vAlign w:val="bottom"/>
          </w:tcPr>
          <w:p w14:paraId="0F6C0DA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18" w:type="dxa"/>
            <w:shd w:val="clear" w:color="auto" w:fill="auto"/>
            <w:noWrap/>
            <w:vAlign w:val="bottom"/>
          </w:tcPr>
          <w:p w14:paraId="3F53C2B0"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0" w:type="dxa"/>
            <w:shd w:val="clear" w:color="auto" w:fill="auto"/>
            <w:noWrap/>
            <w:vAlign w:val="bottom"/>
          </w:tcPr>
          <w:p w14:paraId="0B60B4AE"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559" w:type="dxa"/>
            <w:shd w:val="clear" w:color="auto" w:fill="auto"/>
            <w:noWrap/>
            <w:vAlign w:val="bottom"/>
          </w:tcPr>
          <w:p w14:paraId="1800296A"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993" w:type="dxa"/>
            <w:shd w:val="clear" w:color="auto" w:fill="auto"/>
            <w:noWrap/>
            <w:vAlign w:val="bottom"/>
          </w:tcPr>
          <w:p w14:paraId="594195CF"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795" w:type="dxa"/>
            <w:shd w:val="clear" w:color="auto" w:fill="auto"/>
            <w:noWrap/>
            <w:vAlign w:val="bottom"/>
          </w:tcPr>
          <w:p w14:paraId="441CF8EC"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1" w:type="dxa"/>
            <w:shd w:val="clear" w:color="auto" w:fill="auto"/>
            <w:noWrap/>
            <w:vAlign w:val="bottom"/>
          </w:tcPr>
          <w:p w14:paraId="26863D98"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r>
      <w:tr w:rsidR="00C901BC" w:rsidRPr="0021672F" w14:paraId="6226A618" w14:textId="77777777" w:rsidTr="00B37F54">
        <w:trPr>
          <w:trHeight w:val="340"/>
        </w:trPr>
        <w:tc>
          <w:tcPr>
            <w:tcW w:w="2631" w:type="dxa"/>
            <w:shd w:val="clear" w:color="auto" w:fill="auto"/>
            <w:noWrap/>
          </w:tcPr>
          <w:p w14:paraId="19B24889" w14:textId="77777777" w:rsidR="00C901BC" w:rsidRPr="00826B3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Alcohol drinking twice per week or more</w:t>
            </w:r>
          </w:p>
        </w:tc>
        <w:tc>
          <w:tcPr>
            <w:tcW w:w="1559" w:type="dxa"/>
            <w:shd w:val="clear" w:color="auto" w:fill="auto"/>
            <w:noWrap/>
          </w:tcPr>
          <w:p w14:paraId="679570CE"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076" w:type="dxa"/>
            <w:gridSpan w:val="2"/>
            <w:shd w:val="clear" w:color="auto" w:fill="auto"/>
            <w:noWrap/>
          </w:tcPr>
          <w:p w14:paraId="6B158226"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47" w:type="dxa"/>
            <w:shd w:val="clear" w:color="auto" w:fill="auto"/>
            <w:noWrap/>
            <w:vAlign w:val="bottom"/>
          </w:tcPr>
          <w:p w14:paraId="332EDA8D"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5.72 (0.25-129.26)</w:t>
            </w:r>
          </w:p>
        </w:tc>
        <w:tc>
          <w:tcPr>
            <w:tcW w:w="879" w:type="dxa"/>
            <w:shd w:val="clear" w:color="auto" w:fill="auto"/>
            <w:noWrap/>
            <w:vAlign w:val="bottom"/>
          </w:tcPr>
          <w:p w14:paraId="278318AF"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0.2724</w:t>
            </w:r>
          </w:p>
        </w:tc>
        <w:tc>
          <w:tcPr>
            <w:tcW w:w="1418" w:type="dxa"/>
            <w:shd w:val="clear" w:color="auto" w:fill="auto"/>
            <w:noWrap/>
          </w:tcPr>
          <w:p w14:paraId="6B56B3A9"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0" w:type="dxa"/>
            <w:shd w:val="clear" w:color="auto" w:fill="auto"/>
            <w:noWrap/>
          </w:tcPr>
          <w:p w14:paraId="78373C2C"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559" w:type="dxa"/>
            <w:shd w:val="clear" w:color="auto" w:fill="auto"/>
            <w:noWrap/>
          </w:tcPr>
          <w:p w14:paraId="7A0C65D5"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993" w:type="dxa"/>
            <w:shd w:val="clear" w:color="auto" w:fill="auto"/>
            <w:noWrap/>
          </w:tcPr>
          <w:p w14:paraId="48AB9457"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795" w:type="dxa"/>
            <w:shd w:val="clear" w:color="auto" w:fill="auto"/>
            <w:noWrap/>
          </w:tcPr>
          <w:p w14:paraId="7966A019"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1" w:type="dxa"/>
            <w:shd w:val="clear" w:color="auto" w:fill="auto"/>
            <w:noWrap/>
          </w:tcPr>
          <w:p w14:paraId="7118DEC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r>
      <w:tr w:rsidR="00C901BC" w:rsidRPr="0021672F" w14:paraId="3057A288" w14:textId="77777777" w:rsidTr="00B37F54">
        <w:trPr>
          <w:trHeight w:val="340"/>
        </w:trPr>
        <w:tc>
          <w:tcPr>
            <w:tcW w:w="2631" w:type="dxa"/>
            <w:shd w:val="clear" w:color="auto" w:fill="auto"/>
            <w:noWrap/>
          </w:tcPr>
          <w:p w14:paraId="7FBEDD07" w14:textId="77777777" w:rsidR="00C901BC" w:rsidRPr="00826B3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Diabetes</w:t>
            </w:r>
          </w:p>
        </w:tc>
        <w:tc>
          <w:tcPr>
            <w:tcW w:w="1559" w:type="dxa"/>
            <w:shd w:val="clear" w:color="auto" w:fill="auto"/>
            <w:noWrap/>
          </w:tcPr>
          <w:p w14:paraId="58324E7A"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076" w:type="dxa"/>
            <w:gridSpan w:val="2"/>
            <w:shd w:val="clear" w:color="auto" w:fill="auto"/>
            <w:noWrap/>
          </w:tcPr>
          <w:p w14:paraId="1CF97EC1"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47" w:type="dxa"/>
            <w:shd w:val="clear" w:color="auto" w:fill="auto"/>
            <w:noWrap/>
          </w:tcPr>
          <w:p w14:paraId="2A808330"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79" w:type="dxa"/>
            <w:shd w:val="clear" w:color="auto" w:fill="auto"/>
            <w:noWrap/>
          </w:tcPr>
          <w:p w14:paraId="1F35907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18" w:type="dxa"/>
            <w:shd w:val="clear" w:color="auto" w:fill="auto"/>
            <w:noWrap/>
            <w:vAlign w:val="bottom"/>
          </w:tcPr>
          <w:p w14:paraId="64F32E3E"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0.39 (0.00-384.75)</w:t>
            </w:r>
          </w:p>
        </w:tc>
        <w:tc>
          <w:tcPr>
            <w:tcW w:w="850" w:type="dxa"/>
            <w:shd w:val="clear" w:color="auto" w:fill="auto"/>
            <w:noWrap/>
            <w:vAlign w:val="bottom"/>
          </w:tcPr>
          <w:p w14:paraId="6041EFA4"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0.789</w:t>
            </w:r>
          </w:p>
        </w:tc>
        <w:tc>
          <w:tcPr>
            <w:tcW w:w="1559" w:type="dxa"/>
            <w:shd w:val="clear" w:color="auto" w:fill="auto"/>
            <w:noWrap/>
          </w:tcPr>
          <w:p w14:paraId="5C934EBA"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993" w:type="dxa"/>
            <w:shd w:val="clear" w:color="auto" w:fill="auto"/>
            <w:noWrap/>
          </w:tcPr>
          <w:p w14:paraId="1A4021D8"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795" w:type="dxa"/>
            <w:shd w:val="clear" w:color="auto" w:fill="auto"/>
            <w:noWrap/>
          </w:tcPr>
          <w:p w14:paraId="295F2101"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1" w:type="dxa"/>
            <w:shd w:val="clear" w:color="auto" w:fill="auto"/>
            <w:noWrap/>
          </w:tcPr>
          <w:p w14:paraId="4181EC6B"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r>
      <w:tr w:rsidR="00C901BC" w:rsidRPr="0021672F" w14:paraId="1BF667C5" w14:textId="77777777" w:rsidTr="00B37F54">
        <w:trPr>
          <w:trHeight w:val="340"/>
        </w:trPr>
        <w:tc>
          <w:tcPr>
            <w:tcW w:w="2631" w:type="dxa"/>
            <w:shd w:val="clear" w:color="auto" w:fill="auto"/>
            <w:noWrap/>
          </w:tcPr>
          <w:p w14:paraId="2D031732" w14:textId="77777777" w:rsidR="00C901BC" w:rsidRPr="00826B3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Hypertension</w:t>
            </w:r>
          </w:p>
        </w:tc>
        <w:tc>
          <w:tcPr>
            <w:tcW w:w="1559" w:type="dxa"/>
            <w:shd w:val="clear" w:color="auto" w:fill="auto"/>
            <w:noWrap/>
          </w:tcPr>
          <w:p w14:paraId="6A9DA03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076" w:type="dxa"/>
            <w:gridSpan w:val="2"/>
            <w:shd w:val="clear" w:color="auto" w:fill="auto"/>
            <w:noWrap/>
          </w:tcPr>
          <w:p w14:paraId="3C177F7F"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47" w:type="dxa"/>
            <w:shd w:val="clear" w:color="auto" w:fill="auto"/>
            <w:noWrap/>
          </w:tcPr>
          <w:p w14:paraId="6C83031A"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79" w:type="dxa"/>
            <w:shd w:val="clear" w:color="auto" w:fill="auto"/>
            <w:noWrap/>
          </w:tcPr>
          <w:p w14:paraId="791ADFB9"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18" w:type="dxa"/>
            <w:shd w:val="clear" w:color="auto" w:fill="auto"/>
            <w:noWrap/>
          </w:tcPr>
          <w:p w14:paraId="1705AFF9"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0" w:type="dxa"/>
            <w:shd w:val="clear" w:color="auto" w:fill="auto"/>
            <w:noWrap/>
          </w:tcPr>
          <w:p w14:paraId="503CAF5C"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559" w:type="dxa"/>
            <w:shd w:val="clear" w:color="auto" w:fill="auto"/>
            <w:noWrap/>
            <w:vAlign w:val="bottom"/>
          </w:tcPr>
          <w:p w14:paraId="43203656"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1.40 (0.80-2.46)</w:t>
            </w:r>
          </w:p>
        </w:tc>
        <w:tc>
          <w:tcPr>
            <w:tcW w:w="993" w:type="dxa"/>
            <w:shd w:val="clear" w:color="auto" w:fill="auto"/>
            <w:noWrap/>
            <w:vAlign w:val="bottom"/>
          </w:tcPr>
          <w:p w14:paraId="45D159E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0.2356</w:t>
            </w:r>
          </w:p>
        </w:tc>
        <w:tc>
          <w:tcPr>
            <w:tcW w:w="1795" w:type="dxa"/>
            <w:shd w:val="clear" w:color="auto" w:fill="auto"/>
            <w:noWrap/>
          </w:tcPr>
          <w:p w14:paraId="0B720860"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1" w:type="dxa"/>
            <w:shd w:val="clear" w:color="auto" w:fill="auto"/>
            <w:noWrap/>
          </w:tcPr>
          <w:p w14:paraId="30B7F31D"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r>
      <w:tr w:rsidR="00C901BC" w:rsidRPr="0021672F" w14:paraId="545C6498" w14:textId="77777777" w:rsidTr="00B37F54">
        <w:trPr>
          <w:trHeight w:val="340"/>
        </w:trPr>
        <w:tc>
          <w:tcPr>
            <w:tcW w:w="2631" w:type="dxa"/>
            <w:shd w:val="clear" w:color="auto" w:fill="auto"/>
            <w:noWrap/>
          </w:tcPr>
          <w:p w14:paraId="56F7A7F0" w14:textId="77777777" w:rsidR="00C901BC" w:rsidRPr="0021672F" w:rsidRDefault="00C901BC"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 xml:space="preserve">BMI per 1 </w:t>
            </w:r>
            <w:r w:rsidRPr="0021672F">
              <w:rPr>
                <w:rFonts w:ascii="Times New Roman" w:hAnsi="Times New Roman"/>
                <w:color w:val="4D5156"/>
                <w:sz w:val="18"/>
                <w:szCs w:val="18"/>
                <w:shd w:val="clear" w:color="auto" w:fill="FFFFFF"/>
              </w:rPr>
              <w:t>kg/m</w:t>
            </w:r>
            <w:r w:rsidRPr="0021672F">
              <w:rPr>
                <w:rFonts w:ascii="Times New Roman" w:hAnsi="Times New Roman"/>
                <w:color w:val="4D5156"/>
                <w:sz w:val="18"/>
                <w:szCs w:val="18"/>
                <w:shd w:val="clear" w:color="auto" w:fill="FFFFFF"/>
                <w:vertAlign w:val="superscript"/>
              </w:rPr>
              <w:t>2</w:t>
            </w:r>
            <w:r w:rsidRPr="0021672F">
              <w:rPr>
                <w:rFonts w:ascii="Times New Roman" w:eastAsia="Times New Roman" w:hAnsi="Times New Roman"/>
                <w:color w:val="000000"/>
                <w:sz w:val="18"/>
                <w:szCs w:val="18"/>
              </w:rPr>
              <w:t xml:space="preserve"> increase</w:t>
            </w:r>
          </w:p>
        </w:tc>
        <w:tc>
          <w:tcPr>
            <w:tcW w:w="1559" w:type="dxa"/>
            <w:shd w:val="clear" w:color="auto" w:fill="auto"/>
            <w:noWrap/>
          </w:tcPr>
          <w:p w14:paraId="75F284F1"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076" w:type="dxa"/>
            <w:gridSpan w:val="2"/>
            <w:shd w:val="clear" w:color="auto" w:fill="auto"/>
            <w:noWrap/>
          </w:tcPr>
          <w:p w14:paraId="73E2FAD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47" w:type="dxa"/>
            <w:shd w:val="clear" w:color="auto" w:fill="auto"/>
            <w:noWrap/>
          </w:tcPr>
          <w:p w14:paraId="65BD526F"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79" w:type="dxa"/>
            <w:shd w:val="clear" w:color="auto" w:fill="auto"/>
            <w:noWrap/>
          </w:tcPr>
          <w:p w14:paraId="2B1047D0"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418" w:type="dxa"/>
            <w:shd w:val="clear" w:color="auto" w:fill="auto"/>
            <w:noWrap/>
          </w:tcPr>
          <w:p w14:paraId="2A9FC816"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850" w:type="dxa"/>
            <w:shd w:val="clear" w:color="auto" w:fill="auto"/>
            <w:noWrap/>
          </w:tcPr>
          <w:p w14:paraId="4ECBBF72"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559" w:type="dxa"/>
            <w:shd w:val="clear" w:color="auto" w:fill="auto"/>
            <w:noWrap/>
          </w:tcPr>
          <w:p w14:paraId="797C4EE1"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993" w:type="dxa"/>
            <w:shd w:val="clear" w:color="auto" w:fill="auto"/>
            <w:noWrap/>
          </w:tcPr>
          <w:p w14:paraId="30EAFF1B"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w:t>
            </w:r>
          </w:p>
        </w:tc>
        <w:tc>
          <w:tcPr>
            <w:tcW w:w="1795" w:type="dxa"/>
            <w:shd w:val="clear" w:color="auto" w:fill="auto"/>
            <w:noWrap/>
          </w:tcPr>
          <w:p w14:paraId="424981E7"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 xml:space="preserve">0.10 </w:t>
            </w:r>
            <w:proofErr w:type="gramStart"/>
            <w:r w:rsidRPr="00E231BC">
              <w:rPr>
                <w:rFonts w:ascii="Times New Roman" w:hAnsi="Times New Roman" w:cs="Times New Roman"/>
                <w:color w:val="000000"/>
                <w:sz w:val="18"/>
                <w:szCs w:val="18"/>
              </w:rPr>
              <w:t>( 0.02</w:t>
            </w:r>
            <w:proofErr w:type="gramEnd"/>
            <w:r w:rsidRPr="00E231BC">
              <w:rPr>
                <w:rFonts w:ascii="Times New Roman" w:hAnsi="Times New Roman" w:cs="Times New Roman"/>
                <w:color w:val="000000"/>
                <w:sz w:val="18"/>
                <w:szCs w:val="18"/>
              </w:rPr>
              <w:t>- 0.18)</w:t>
            </w:r>
          </w:p>
          <w:p w14:paraId="1909659E" w14:textId="77777777" w:rsidR="00C901BC" w:rsidRPr="00E231BC" w:rsidRDefault="00C901BC" w:rsidP="00B37F54">
            <w:pPr>
              <w:rPr>
                <w:rFonts w:ascii="Times New Roman" w:hAnsi="Times New Roman" w:cs="Times New Roman"/>
                <w:color w:val="000000"/>
                <w:sz w:val="18"/>
                <w:szCs w:val="18"/>
              </w:rPr>
            </w:pPr>
          </w:p>
        </w:tc>
        <w:tc>
          <w:tcPr>
            <w:tcW w:w="851" w:type="dxa"/>
            <w:shd w:val="clear" w:color="auto" w:fill="auto"/>
            <w:noWrap/>
          </w:tcPr>
          <w:p w14:paraId="188C2B0E" w14:textId="77777777" w:rsidR="00C901BC" w:rsidRPr="00E231BC" w:rsidRDefault="00C901BC" w:rsidP="00B37F54">
            <w:pPr>
              <w:rPr>
                <w:rFonts w:ascii="Times New Roman" w:hAnsi="Times New Roman" w:cs="Times New Roman"/>
                <w:color w:val="000000"/>
                <w:sz w:val="18"/>
                <w:szCs w:val="18"/>
              </w:rPr>
            </w:pPr>
            <w:r w:rsidRPr="00E231BC">
              <w:rPr>
                <w:rFonts w:ascii="Times New Roman" w:hAnsi="Times New Roman" w:cs="Times New Roman"/>
                <w:color w:val="000000"/>
                <w:sz w:val="18"/>
                <w:szCs w:val="18"/>
              </w:rPr>
              <w:t>0.0111</w:t>
            </w:r>
          </w:p>
        </w:tc>
      </w:tr>
    </w:tbl>
    <w:p w14:paraId="778BF102" w14:textId="77777777" w:rsidR="00C901BC" w:rsidRDefault="00C901BC" w:rsidP="00C901BC">
      <w:pPr>
        <w:rPr>
          <w:rFonts w:ascii="Times New Roman" w:hAnsi="Times New Roman"/>
          <w:sz w:val="18"/>
          <w:szCs w:val="18"/>
        </w:rPr>
      </w:pPr>
      <w:r w:rsidRPr="0021672F">
        <w:rPr>
          <w:rFonts w:ascii="Times New Roman" w:hAnsi="Times New Roman"/>
          <w:sz w:val="18"/>
          <w:szCs w:val="18"/>
        </w:rPr>
        <w:t>Note: Odds ratios were adjusted for age and gender of both TB patients and their household members. Age and BMI were included in the model as continuous variables. E.g. OR for age per 10-year increase indicates an increase in odds for each 10-year increase in age</w:t>
      </w:r>
      <w:r>
        <w:rPr>
          <w:rFonts w:ascii="Times New Roman" w:hAnsi="Times New Roman"/>
          <w:sz w:val="18"/>
          <w:szCs w:val="18"/>
        </w:rPr>
        <w:t>.</w:t>
      </w:r>
    </w:p>
    <w:p w14:paraId="4EA9D91B" w14:textId="77777777" w:rsidR="00C901BC" w:rsidRPr="009D240D" w:rsidRDefault="00C901BC" w:rsidP="00C901BC">
      <w:pPr>
        <w:rPr>
          <w:rFonts w:ascii="Times New Roman" w:hAnsi="Times New Roman"/>
          <w:sz w:val="18"/>
          <w:szCs w:val="18"/>
        </w:rPr>
      </w:pPr>
      <w:r>
        <w:rPr>
          <w:rFonts w:ascii="Times New Roman" w:hAnsi="Times New Roman"/>
          <w:sz w:val="18"/>
          <w:szCs w:val="18"/>
        </w:rPr>
        <w:t xml:space="preserve">NCD: non-communicable diseases; </w:t>
      </w:r>
      <w:r w:rsidRPr="0021672F">
        <w:rPr>
          <w:rFonts w:ascii="Times New Roman" w:hAnsi="Times New Roman"/>
          <w:sz w:val="18"/>
          <w:szCs w:val="18"/>
        </w:rPr>
        <w:t>OR: odds ratio; CI: confidence interval; BMI: body mass index</w:t>
      </w:r>
    </w:p>
    <w:p w14:paraId="3711F12F" w14:textId="77777777" w:rsidR="0070673E" w:rsidRDefault="0070673E"/>
    <w:sectPr w:rsidR="0070673E" w:rsidSect="00C901B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1BC"/>
    <w:rsid w:val="0070673E"/>
    <w:rsid w:val="00A46CF8"/>
    <w:rsid w:val="00A93129"/>
    <w:rsid w:val="00C901BC"/>
    <w:rsid w:val="00D6109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BC394"/>
  <w15:chartTrackingRefBased/>
  <w15:docId w15:val="{0CAE0DDB-DA56-4EE7-BC2C-C348867AB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1BC"/>
    <w:rPr>
      <w:kern w:val="0"/>
      <w14:ligatures w14:val="none"/>
    </w:rPr>
  </w:style>
  <w:style w:type="paragraph" w:styleId="Heading2">
    <w:name w:val="heading 2"/>
    <w:basedOn w:val="Normal"/>
    <w:next w:val="Normal"/>
    <w:link w:val="Heading2Char"/>
    <w:uiPriority w:val="9"/>
    <w:unhideWhenUsed/>
    <w:qFormat/>
    <w:rsid w:val="00C901BC"/>
    <w:pPr>
      <w:keepNext/>
      <w:keepLines/>
      <w:spacing w:before="40" w:after="0"/>
      <w:outlineLvl w:val="1"/>
    </w:pPr>
    <w:rPr>
      <w:rFonts w:ascii="Times New Roman" w:eastAsiaTheme="majorEastAsia" w:hAnsi="Times New Roman"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901BC"/>
    <w:rPr>
      <w:rFonts w:ascii="Times New Roman" w:eastAsiaTheme="majorEastAsia" w:hAnsi="Times New Roman" w:cstheme="majorBidi"/>
      <w:b/>
      <w:kern w:val="0"/>
      <w:szCs w:val="2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170</Words>
  <Characters>971</Characters>
  <Application>Microsoft Office Word</Application>
  <DocSecurity>0</DocSecurity>
  <Lines>8</Lines>
  <Paragraphs>2</Paragraphs>
  <ScaleCrop>false</ScaleCrop>
  <Company/>
  <LinksUpToDate>false</LinksUpToDate>
  <CharactersWithSpaces>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Yohhei</dc:creator>
  <cp:keywords/>
  <dc:description/>
  <cp:lastModifiedBy>Hamada, Yohhei</cp:lastModifiedBy>
  <cp:revision>1</cp:revision>
  <dcterms:created xsi:type="dcterms:W3CDTF">2024-02-02T03:07:00Z</dcterms:created>
  <dcterms:modified xsi:type="dcterms:W3CDTF">2024-02-02T03:07:00Z</dcterms:modified>
</cp:coreProperties>
</file>