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2D822" w14:textId="32E14D34" w:rsidR="00A67793" w:rsidRPr="0073181B" w:rsidRDefault="00A67793" w:rsidP="00A67793">
      <w:pPr>
        <w:jc w:val="both"/>
        <w:rPr>
          <w:rFonts w:ascii="Times New Roman" w:eastAsia="Times New Roman" w:hAnsi="Times New Roman" w:cs="Times New Roman"/>
          <w:b/>
          <w:sz w:val="20"/>
          <w:szCs w:val="20"/>
        </w:rPr>
      </w:pPr>
      <w:r w:rsidRPr="0073181B">
        <w:rPr>
          <w:rFonts w:ascii="Times New Roman" w:eastAsia="Times New Roman" w:hAnsi="Times New Roman" w:cs="Times New Roman"/>
          <w:b/>
          <w:sz w:val="20"/>
          <w:szCs w:val="20"/>
        </w:rPr>
        <w:t xml:space="preserve">Table </w:t>
      </w:r>
      <w:r w:rsidR="005670B3">
        <w:rPr>
          <w:rFonts w:ascii="Times New Roman" w:eastAsia="Times New Roman" w:hAnsi="Times New Roman" w:cs="Times New Roman"/>
          <w:b/>
          <w:sz w:val="20"/>
          <w:szCs w:val="20"/>
        </w:rPr>
        <w:t>d</w:t>
      </w:r>
      <w:r w:rsidRPr="0073181B">
        <w:rPr>
          <w:rFonts w:ascii="Times New Roman" w:eastAsia="Times New Roman" w:hAnsi="Times New Roman" w:cs="Times New Roman"/>
          <w:b/>
          <w:sz w:val="20"/>
          <w:szCs w:val="20"/>
        </w:rPr>
        <w:t xml:space="preserve">: </w:t>
      </w:r>
      <w:r w:rsidR="0073181B" w:rsidRPr="0073181B">
        <w:rPr>
          <w:rFonts w:ascii="Times New Roman" w:eastAsia="Times New Roman" w:hAnsi="Times New Roman" w:cs="Times New Roman"/>
          <w:b/>
          <w:sz w:val="20"/>
          <w:szCs w:val="20"/>
        </w:rPr>
        <w:t>Proposed</w:t>
      </w:r>
      <w:r w:rsidRPr="0073181B">
        <w:rPr>
          <w:rFonts w:ascii="Times New Roman" w:eastAsia="Times New Roman" w:hAnsi="Times New Roman" w:cs="Times New Roman"/>
          <w:b/>
          <w:sz w:val="20"/>
          <w:szCs w:val="20"/>
        </w:rPr>
        <w:t xml:space="preserve"> GI planning principle</w:t>
      </w:r>
      <w:r w:rsidR="0073181B" w:rsidRPr="0073181B">
        <w:rPr>
          <w:rFonts w:ascii="Times New Roman" w:eastAsia="Times New Roman" w:hAnsi="Times New Roman" w:cs="Times New Roman"/>
          <w:b/>
          <w:sz w:val="20"/>
          <w:szCs w:val="20"/>
        </w:rPr>
        <w:t>s and their descriptions</w:t>
      </w:r>
      <w:r w:rsidRPr="0073181B">
        <w:rPr>
          <w:rFonts w:ascii="Times New Roman" w:eastAsia="Times New Roman" w:hAnsi="Times New Roman" w:cs="Times New Roman"/>
          <w:b/>
          <w:sz w:val="20"/>
          <w:szCs w:val="20"/>
        </w:rPr>
        <w:t xml:space="preserve"> compiled from policy documents, </w:t>
      </w:r>
      <w:r w:rsidR="0073181B" w:rsidRPr="0073181B">
        <w:rPr>
          <w:rFonts w:ascii="Times New Roman" w:eastAsia="Times New Roman" w:hAnsi="Times New Roman" w:cs="Times New Roman"/>
          <w:b/>
          <w:sz w:val="20"/>
          <w:szCs w:val="20"/>
        </w:rPr>
        <w:t xml:space="preserve">academic </w:t>
      </w:r>
      <w:r w:rsidRPr="0073181B">
        <w:rPr>
          <w:rFonts w:ascii="Times New Roman" w:eastAsia="Times New Roman" w:hAnsi="Times New Roman" w:cs="Times New Roman"/>
          <w:b/>
          <w:sz w:val="20"/>
          <w:szCs w:val="20"/>
        </w:rPr>
        <w:t>literature and interviews</w:t>
      </w:r>
    </w:p>
    <w:tbl>
      <w:tblPr>
        <w:tblStyle w:val="TableGrid"/>
        <w:tblW w:w="0" w:type="auto"/>
        <w:tblLook w:val="04A0" w:firstRow="1" w:lastRow="0" w:firstColumn="1" w:lastColumn="0" w:noHBand="0" w:noVBand="1"/>
      </w:tblPr>
      <w:tblGrid>
        <w:gridCol w:w="3231"/>
        <w:gridCol w:w="5785"/>
      </w:tblGrid>
      <w:tr w:rsidR="00A67793" w:rsidRPr="00CE7E1A" w14:paraId="6DD50F18" w14:textId="77777777" w:rsidTr="00D84CE3">
        <w:trPr>
          <w:tblHeader/>
        </w:trPr>
        <w:tc>
          <w:tcPr>
            <w:tcW w:w="3231" w:type="dxa"/>
          </w:tcPr>
          <w:p w14:paraId="7DEA957F" w14:textId="77777777" w:rsidR="00A67793" w:rsidRPr="00CE7E1A" w:rsidRDefault="00A67793" w:rsidP="00332819">
            <w:pPr>
              <w:jc w:val="both"/>
              <w:rPr>
                <w:rFonts w:asciiTheme="minorHAnsi" w:eastAsia="Times New Roman" w:hAnsiTheme="minorHAnsi" w:cstheme="minorHAnsi"/>
                <w:b/>
                <w:sz w:val="20"/>
                <w:szCs w:val="20"/>
              </w:rPr>
            </w:pPr>
            <w:bookmarkStart w:id="0" w:name="_Hlk127618081"/>
            <w:r w:rsidRPr="00CE7E1A">
              <w:rPr>
                <w:rFonts w:asciiTheme="minorHAnsi" w:eastAsia="Times New Roman" w:hAnsiTheme="minorHAnsi" w:cstheme="minorHAnsi"/>
                <w:b/>
                <w:sz w:val="20"/>
                <w:szCs w:val="20"/>
              </w:rPr>
              <w:t>Principle</w:t>
            </w:r>
          </w:p>
        </w:tc>
        <w:tc>
          <w:tcPr>
            <w:tcW w:w="5785" w:type="dxa"/>
          </w:tcPr>
          <w:p w14:paraId="2B7620CC" w14:textId="60FE9D4A" w:rsidR="00A67793" w:rsidRPr="00CE7E1A" w:rsidRDefault="00A67793" w:rsidP="00332819">
            <w:pPr>
              <w:jc w:val="both"/>
              <w:rPr>
                <w:rFonts w:asciiTheme="minorHAnsi" w:eastAsia="Times New Roman" w:hAnsiTheme="minorHAnsi" w:cstheme="minorHAnsi"/>
                <w:b/>
                <w:sz w:val="20"/>
                <w:szCs w:val="20"/>
              </w:rPr>
            </w:pPr>
            <w:r w:rsidRPr="00CE7E1A">
              <w:rPr>
                <w:rFonts w:asciiTheme="minorHAnsi" w:eastAsia="Times New Roman" w:hAnsiTheme="minorHAnsi" w:cstheme="minorHAnsi"/>
                <w:b/>
                <w:sz w:val="20"/>
                <w:szCs w:val="20"/>
              </w:rPr>
              <w:t>De</w:t>
            </w:r>
            <w:r w:rsidR="000F0E2B" w:rsidRPr="00CE7E1A">
              <w:rPr>
                <w:rFonts w:asciiTheme="minorHAnsi" w:eastAsia="Times New Roman" w:hAnsiTheme="minorHAnsi" w:cstheme="minorHAnsi"/>
                <w:b/>
                <w:sz w:val="20"/>
                <w:szCs w:val="20"/>
              </w:rPr>
              <w:t>scription</w:t>
            </w:r>
            <w:r w:rsidRPr="00CE7E1A">
              <w:rPr>
                <w:rFonts w:asciiTheme="minorHAnsi" w:eastAsia="Times New Roman" w:hAnsiTheme="minorHAnsi" w:cstheme="minorHAnsi"/>
                <w:b/>
                <w:sz w:val="20"/>
                <w:szCs w:val="20"/>
              </w:rPr>
              <w:t xml:space="preserve"> (source</w:t>
            </w:r>
            <w:r w:rsidR="000F0E2B" w:rsidRPr="00CE7E1A">
              <w:rPr>
                <w:rFonts w:asciiTheme="minorHAnsi" w:eastAsia="Times New Roman" w:hAnsiTheme="minorHAnsi" w:cstheme="minorHAnsi"/>
                <w:b/>
                <w:sz w:val="20"/>
                <w:szCs w:val="20"/>
              </w:rPr>
              <w:t>s</w:t>
            </w:r>
            <w:r w:rsidRPr="00CE7E1A">
              <w:rPr>
                <w:rFonts w:asciiTheme="minorHAnsi" w:eastAsia="Times New Roman" w:hAnsiTheme="minorHAnsi" w:cstheme="minorHAnsi"/>
                <w:b/>
                <w:sz w:val="20"/>
                <w:szCs w:val="20"/>
              </w:rPr>
              <w:t>)</w:t>
            </w:r>
          </w:p>
        </w:tc>
      </w:tr>
      <w:tr w:rsidR="00A67793" w:rsidRPr="00CE7E1A" w14:paraId="347A77DD" w14:textId="77777777" w:rsidTr="00D84CE3">
        <w:tc>
          <w:tcPr>
            <w:tcW w:w="9016" w:type="dxa"/>
            <w:gridSpan w:val="2"/>
            <w:shd w:val="clear" w:color="auto" w:fill="D9D9D9" w:themeFill="background1" w:themeFillShade="D9"/>
          </w:tcPr>
          <w:p w14:paraId="1CC7B514" w14:textId="694B1BF5" w:rsidR="00A67793" w:rsidRPr="00CE7E1A" w:rsidRDefault="00EE5164" w:rsidP="006B1BD5">
            <w:pPr>
              <w:shd w:val="clear" w:color="auto" w:fill="FFFFFF" w:themeFill="background1"/>
              <w:rPr>
                <w:rFonts w:asciiTheme="minorHAnsi" w:eastAsia="Times New Roman" w:hAnsiTheme="minorHAnsi" w:cstheme="minorHAnsi"/>
                <w:b/>
                <w:sz w:val="20"/>
                <w:szCs w:val="20"/>
              </w:rPr>
            </w:pPr>
            <w:r w:rsidRPr="00CE7E1A">
              <w:rPr>
                <w:rFonts w:asciiTheme="minorHAnsi" w:hAnsiTheme="minorHAnsi" w:cstheme="minorHAnsi"/>
                <w:noProof/>
                <w:sz w:val="20"/>
                <w:szCs w:val="20"/>
              </w:rPr>
              <w:drawing>
                <wp:inline distT="0" distB="0" distL="0" distR="0" wp14:anchorId="017C8071" wp14:editId="20581AE3">
                  <wp:extent cx="360000" cy="360000"/>
                  <wp:effectExtent l="0" t="0" r="2540" b="2540"/>
                  <wp:docPr id="5" name="Graphic 5" descr="Seaweed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Seaweed outline"/>
                          <pic:cNvPicPr/>
                        </pic:nvPicPr>
                        <pic:blipFill>
                          <a:blip r:embed="rId5" cstate="print">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360000" cy="360000"/>
                          </a:xfrm>
                          <a:prstGeom prst="rect">
                            <a:avLst/>
                          </a:prstGeom>
                        </pic:spPr>
                      </pic:pic>
                    </a:graphicData>
                  </a:graphic>
                </wp:inline>
              </w:drawing>
            </w:r>
            <w:r w:rsidRPr="00CE7E1A">
              <w:rPr>
                <w:rFonts w:asciiTheme="minorHAnsi" w:eastAsia="Times New Roman" w:hAnsiTheme="minorHAnsi" w:cstheme="minorHAnsi"/>
                <w:b/>
                <w:sz w:val="20"/>
                <w:szCs w:val="20"/>
              </w:rPr>
              <w:t xml:space="preserve"> </w:t>
            </w:r>
            <w:r w:rsidR="00A67793" w:rsidRPr="00CE7E1A">
              <w:rPr>
                <w:rFonts w:asciiTheme="minorHAnsi" w:eastAsia="Times New Roman" w:hAnsiTheme="minorHAnsi" w:cstheme="minorHAnsi"/>
                <w:b/>
                <w:sz w:val="20"/>
                <w:szCs w:val="20"/>
              </w:rPr>
              <w:t>GI planning principles</w:t>
            </w:r>
          </w:p>
        </w:tc>
      </w:tr>
      <w:tr w:rsidR="009E30B2" w:rsidRPr="00CE7E1A" w14:paraId="314D96A2" w14:textId="77777777" w:rsidTr="00D84CE3">
        <w:tc>
          <w:tcPr>
            <w:tcW w:w="3231" w:type="dxa"/>
            <w:shd w:val="clear" w:color="auto" w:fill="FFFFFF" w:themeFill="background1"/>
          </w:tcPr>
          <w:p w14:paraId="59F6A3B3" w14:textId="77777777" w:rsidR="009E30B2" w:rsidRPr="00CE7E1A" w:rsidRDefault="009E30B2" w:rsidP="00A67793">
            <w:pPr>
              <w:pStyle w:val="ListParagraph"/>
              <w:numPr>
                <w:ilvl w:val="0"/>
                <w:numId w:val="1"/>
              </w:numPr>
              <w:spacing w:after="0"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Accessibility and use of green spaces</w:t>
            </w:r>
          </w:p>
        </w:tc>
        <w:tc>
          <w:tcPr>
            <w:tcW w:w="5785" w:type="dxa"/>
            <w:shd w:val="clear" w:color="auto" w:fill="FFFFFF" w:themeFill="background1"/>
          </w:tcPr>
          <w:p w14:paraId="65F2DE78"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Accessibility refers to both the equitable distribution of open space resources throughout the city (proximity to open space), as well as the permeability of open spaces that allow citizens to move freely and unobstructed through the urban environment (physically enter the open space). This includes equitable access to a hierarchy of safe and quality open </w:t>
            </w:r>
            <w:r>
              <w:rPr>
                <w:rFonts w:asciiTheme="minorHAnsi" w:eastAsia="Times New Roman" w:hAnsiTheme="minorHAnsi" w:cstheme="minorHAnsi"/>
                <w:color w:val="000000"/>
                <w:sz w:val="20"/>
                <w:szCs w:val="20"/>
              </w:rPr>
              <w:t>spaces</w:t>
            </w:r>
            <w:r w:rsidRPr="00CE7E1A">
              <w:rPr>
                <w:rFonts w:asciiTheme="minorHAnsi" w:eastAsia="Times New Roman" w:hAnsiTheme="minorHAnsi" w:cstheme="minorHAnsi"/>
                <w:color w:val="000000"/>
                <w:sz w:val="20"/>
                <w:szCs w:val="20"/>
              </w:rPr>
              <w:t>, and natural resources for all citizens</w:t>
            </w:r>
            <w:r>
              <w:rPr>
                <w:rFonts w:asciiTheme="minorHAnsi" w:eastAsia="Times New Roman" w:hAnsiTheme="minorHAnsi" w:cstheme="minorHAnsi"/>
                <w:color w:val="000000"/>
                <w:sz w:val="20"/>
                <w:szCs w:val="20"/>
              </w:rPr>
              <w:t xml:space="preserve"> </w:t>
            </w:r>
            <w:r w:rsidRPr="00CE7E1A">
              <w:rPr>
                <w:rFonts w:asciiTheme="minorHAnsi" w:hAnsiTheme="minorHAnsi" w:cstheme="minorHAnsi"/>
                <w:sz w:val="20"/>
                <w:szCs w:val="20"/>
              </w:rPr>
              <w:t>(City of Tshwane, 2020</w:t>
            </w:r>
            <w:r w:rsidRPr="00CE7E1A">
              <w:rPr>
                <w:rFonts w:asciiTheme="minorHAnsi" w:eastAsia="Times New Roman" w:hAnsiTheme="minorHAnsi" w:cstheme="minorHAnsi"/>
                <w:color w:val="000000"/>
                <w:sz w:val="20"/>
                <w:szCs w:val="20"/>
              </w:rPr>
              <w:t xml:space="preserve">; </w:t>
            </w:r>
            <w:r w:rsidRPr="00CE7E1A">
              <w:rPr>
                <w:rFonts w:asciiTheme="minorHAnsi" w:hAnsiTheme="minorHAnsi" w:cstheme="minorHAnsi"/>
                <w:sz w:val="20"/>
                <w:szCs w:val="20"/>
              </w:rPr>
              <w:t>Isikhungusethu Environmental Services [IES], Louw and Dewar, 2017; Republic of South Africa, 2012; 2013</w:t>
            </w:r>
            <w:r w:rsidRPr="00CE7E1A">
              <w:rPr>
                <w:rFonts w:asciiTheme="minorHAnsi" w:eastAsia="Times New Roman" w:hAnsiTheme="minorHAnsi" w:cstheme="minorHAnsi"/>
                <w:color w:val="000000"/>
                <w:sz w:val="20"/>
                <w:szCs w:val="20"/>
              </w:rPr>
              <w:t>)</w:t>
            </w:r>
            <w:r>
              <w:rPr>
                <w:rFonts w:asciiTheme="minorHAnsi" w:eastAsia="Times New Roman" w:hAnsiTheme="minorHAnsi" w:cstheme="minorHAnsi"/>
                <w:color w:val="000000"/>
                <w:sz w:val="20"/>
                <w:szCs w:val="20"/>
              </w:rPr>
              <w:t>.</w:t>
            </w:r>
          </w:p>
        </w:tc>
      </w:tr>
      <w:tr w:rsidR="009E30B2" w:rsidRPr="00CE7E1A" w14:paraId="72D2165F" w14:textId="77777777" w:rsidTr="00D84CE3">
        <w:tc>
          <w:tcPr>
            <w:tcW w:w="3231" w:type="dxa"/>
          </w:tcPr>
          <w:p w14:paraId="0898940E"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Adaptability*/flexibility over time </w:t>
            </w:r>
          </w:p>
        </w:tc>
        <w:tc>
          <w:tcPr>
            <w:tcW w:w="5785" w:type="dxa"/>
          </w:tcPr>
          <w:p w14:paraId="60749056"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The ability </w:t>
            </w:r>
            <w:r>
              <w:rPr>
                <w:rFonts w:asciiTheme="minorHAnsi" w:eastAsia="Times New Roman" w:hAnsiTheme="minorHAnsi" w:cstheme="minorHAnsi"/>
                <w:color w:val="000000"/>
                <w:sz w:val="20"/>
                <w:szCs w:val="20"/>
              </w:rPr>
              <w:t xml:space="preserve">of the green structure </w:t>
            </w:r>
            <w:r w:rsidRPr="00CE7E1A">
              <w:rPr>
                <w:rFonts w:asciiTheme="minorHAnsi" w:eastAsia="Times New Roman" w:hAnsiTheme="minorHAnsi" w:cstheme="minorHAnsi"/>
                <w:color w:val="000000"/>
                <w:sz w:val="20"/>
                <w:szCs w:val="20"/>
              </w:rPr>
              <w:t>to adapt to changes in the ecological cycle, such as climate and water availability and socioeconomic circumstances and social use</w:t>
            </w:r>
            <w:r w:rsidRPr="00CE7E1A">
              <w:rPr>
                <w:rFonts w:asciiTheme="minorHAnsi" w:hAnsiTheme="minorHAnsi" w:cstheme="minorHAnsi"/>
                <w:sz w:val="20"/>
                <w:szCs w:val="20"/>
              </w:rPr>
              <w:t xml:space="preserve"> </w:t>
            </w:r>
            <w:r w:rsidRPr="00CE7E1A">
              <w:rPr>
                <w:rFonts w:asciiTheme="minorHAnsi" w:eastAsia="Times New Roman" w:hAnsiTheme="minorHAnsi" w:cstheme="minorHAnsi"/>
                <w:color w:val="000000"/>
                <w:sz w:val="20"/>
                <w:szCs w:val="20"/>
              </w:rPr>
              <w:t>(</w:t>
            </w:r>
            <w:r w:rsidRPr="00CE7E1A">
              <w:rPr>
                <w:rFonts w:asciiTheme="minorHAnsi" w:hAnsiTheme="minorHAnsi" w:cstheme="minorHAnsi"/>
                <w:sz w:val="20"/>
                <w:szCs w:val="20"/>
              </w:rPr>
              <w:t xml:space="preserve">City of Tshwane, 2020; </w:t>
            </w:r>
            <w:r w:rsidRPr="00CE7E1A">
              <w:rPr>
                <w:rFonts w:asciiTheme="minorHAnsi" w:eastAsia="Times New Roman" w:hAnsiTheme="minorHAnsi" w:cstheme="minorHAnsi"/>
                <w:color w:val="000000"/>
                <w:sz w:val="20"/>
                <w:szCs w:val="20"/>
              </w:rPr>
              <w:t>Monteiro et al., 2020)</w:t>
            </w:r>
            <w:r>
              <w:rPr>
                <w:rFonts w:asciiTheme="minorHAnsi" w:eastAsia="Times New Roman" w:hAnsiTheme="minorHAnsi" w:cstheme="minorHAnsi"/>
                <w:color w:val="000000"/>
                <w:sz w:val="20"/>
                <w:szCs w:val="20"/>
              </w:rPr>
              <w:t>.</w:t>
            </w:r>
          </w:p>
        </w:tc>
      </w:tr>
      <w:tr w:rsidR="009E30B2" w:rsidRPr="00CE7E1A" w14:paraId="0BCB7DE6" w14:textId="77777777" w:rsidTr="00D84CE3">
        <w:tc>
          <w:tcPr>
            <w:tcW w:w="3231" w:type="dxa"/>
          </w:tcPr>
          <w:p w14:paraId="00B12045"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Connectivity* of green spaces</w:t>
            </w:r>
          </w:p>
        </w:tc>
        <w:tc>
          <w:tcPr>
            <w:tcW w:w="5785" w:type="dxa"/>
          </w:tcPr>
          <w:p w14:paraId="262F9DF5"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Connectivity refers to the physical and functional interlinking of open spaces and corridors across a broad range of scales in the</w:t>
            </w:r>
            <w:r>
              <w:rPr>
                <w:rFonts w:asciiTheme="minorHAnsi" w:eastAsia="Times New Roman" w:hAnsiTheme="minorHAnsi" w:cstheme="minorHAnsi"/>
                <w:color w:val="000000"/>
                <w:sz w:val="20"/>
                <w:szCs w:val="20"/>
              </w:rPr>
              <w:t xml:space="preserve"> city</w:t>
            </w:r>
            <w:r w:rsidRPr="00CE7E1A">
              <w:rPr>
                <w:rFonts w:asciiTheme="minorHAnsi" w:eastAsia="Times New Roman" w:hAnsiTheme="minorHAnsi" w:cstheme="minorHAnsi"/>
                <w:color w:val="000000"/>
                <w:sz w:val="20"/>
                <w:szCs w:val="20"/>
              </w:rPr>
              <w:t>. If well planned, developed, and managed, these connected open spaces form a green infrastructure network, which supports ecological, spatial, social placemaking, and economic systems (</w:t>
            </w:r>
            <w:r w:rsidRPr="00CE7E1A">
              <w:rPr>
                <w:rFonts w:asciiTheme="minorHAnsi" w:hAnsiTheme="minorHAnsi" w:cstheme="minorHAnsi"/>
                <w:sz w:val="20"/>
                <w:szCs w:val="20"/>
              </w:rPr>
              <w:t>City of Tshwane, 2020</w:t>
            </w:r>
            <w:r w:rsidRPr="00CE7E1A">
              <w:rPr>
                <w:rFonts w:asciiTheme="minorHAnsi" w:eastAsia="Times New Roman" w:hAnsiTheme="minorHAnsi" w:cstheme="minorHAnsi"/>
                <w:color w:val="000000"/>
                <w:sz w:val="20"/>
                <w:szCs w:val="20"/>
              </w:rPr>
              <w:t xml:space="preserve">; </w:t>
            </w:r>
            <w:r w:rsidRPr="00CE7E1A">
              <w:rPr>
                <w:rFonts w:asciiTheme="minorHAnsi" w:hAnsiTheme="minorHAnsi" w:cstheme="minorHAnsi"/>
                <w:sz w:val="20"/>
                <w:szCs w:val="20"/>
              </w:rPr>
              <w:t>Department of Human Settlements, 2019</w:t>
            </w:r>
            <w:r w:rsidRPr="00CE7E1A">
              <w:rPr>
                <w:rFonts w:asciiTheme="minorHAnsi" w:eastAsia="Times New Roman" w:hAnsiTheme="minorHAnsi" w:cstheme="minorHAnsi"/>
                <w:color w:val="000000"/>
                <w:sz w:val="20"/>
                <w:szCs w:val="20"/>
              </w:rPr>
              <w:t>; Pauleit et al., 2017)</w:t>
            </w:r>
            <w:r>
              <w:rPr>
                <w:rFonts w:asciiTheme="minorHAnsi" w:eastAsia="Times New Roman" w:hAnsiTheme="minorHAnsi" w:cstheme="minorHAnsi"/>
                <w:color w:val="000000"/>
                <w:sz w:val="20"/>
                <w:szCs w:val="20"/>
              </w:rPr>
              <w:t>.</w:t>
            </w:r>
          </w:p>
        </w:tc>
      </w:tr>
      <w:tr w:rsidR="009E30B2" w:rsidRPr="00CE7E1A" w14:paraId="5F679F67" w14:textId="77777777" w:rsidTr="00D84CE3">
        <w:tc>
          <w:tcPr>
            <w:tcW w:w="3231" w:type="dxa"/>
            <w:shd w:val="clear" w:color="auto" w:fill="FFFFFF" w:themeFill="background1"/>
          </w:tcPr>
          <w:p w14:paraId="18A9A0E2"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Conservation, </w:t>
            </w:r>
            <w:proofErr w:type="gramStart"/>
            <w:r w:rsidRPr="00CE7E1A">
              <w:rPr>
                <w:rFonts w:asciiTheme="minorHAnsi" w:eastAsia="Times New Roman" w:hAnsiTheme="minorHAnsi" w:cstheme="minorHAnsi"/>
                <w:sz w:val="20"/>
                <w:szCs w:val="20"/>
              </w:rPr>
              <w:t>restoration</w:t>
            </w:r>
            <w:proofErr w:type="gramEnd"/>
            <w:r w:rsidRPr="00CE7E1A">
              <w:rPr>
                <w:rFonts w:asciiTheme="minorHAnsi" w:eastAsia="Times New Roman" w:hAnsiTheme="minorHAnsi" w:cstheme="minorHAnsi"/>
                <w:sz w:val="20"/>
                <w:szCs w:val="20"/>
              </w:rPr>
              <w:t xml:space="preserve"> and protection of green spaces</w:t>
            </w:r>
          </w:p>
        </w:tc>
        <w:tc>
          <w:tcPr>
            <w:tcW w:w="5785" w:type="dxa"/>
            <w:shd w:val="clear" w:color="auto" w:fill="FFFFFF" w:themeFill="background1"/>
          </w:tcPr>
          <w:p w14:paraId="3E8DC266"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Protect areas of sensitive or vulnerable ecosystems, or high biodiversity. Protect special agricultural land, heritage assets and vulnerable communities (</w:t>
            </w:r>
            <w:r w:rsidRPr="00CE7E1A">
              <w:rPr>
                <w:rFonts w:asciiTheme="minorHAnsi" w:hAnsiTheme="minorHAnsi" w:cstheme="minorHAnsi"/>
                <w:sz w:val="20"/>
                <w:szCs w:val="20"/>
              </w:rPr>
              <w:t>Van Niekerk, Pieterse and Le Roux, 2020</w:t>
            </w:r>
            <w:r w:rsidRPr="00CE7E1A">
              <w:rPr>
                <w:rFonts w:asciiTheme="minorHAnsi" w:eastAsia="Times New Roman" w:hAnsiTheme="minorHAnsi" w:cstheme="minorHAnsi"/>
                <w:color w:val="000000"/>
                <w:sz w:val="20"/>
                <w:szCs w:val="20"/>
              </w:rPr>
              <w:t>).</w:t>
            </w:r>
          </w:p>
        </w:tc>
      </w:tr>
      <w:tr w:rsidR="009E30B2" w:rsidRPr="00CE7E1A" w14:paraId="1824E7D0" w14:textId="77777777" w:rsidTr="00D84CE3">
        <w:tc>
          <w:tcPr>
            <w:tcW w:w="3231" w:type="dxa"/>
            <w:shd w:val="clear" w:color="auto" w:fill="FFFFFF" w:themeFill="background1"/>
          </w:tcPr>
          <w:p w14:paraId="255B1A92"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Contextually appropriate green spaces</w:t>
            </w:r>
          </w:p>
        </w:tc>
        <w:tc>
          <w:tcPr>
            <w:tcW w:w="5785" w:type="dxa"/>
            <w:shd w:val="clear" w:color="auto" w:fill="FFFFFF" w:themeFill="background1"/>
          </w:tcPr>
          <w:p w14:paraId="331718F3"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GI plans and solutions must be context-specific and follow place-based approaches, which are realistic and applicable to local spatial, ecological, and socioeconomic conditions (Monteiro et al., 2020; </w:t>
            </w:r>
            <w:r w:rsidRPr="00CE7E1A">
              <w:rPr>
                <w:rFonts w:asciiTheme="minorHAnsi" w:hAnsiTheme="minorHAnsi" w:cstheme="minorHAnsi"/>
                <w:sz w:val="20"/>
                <w:szCs w:val="20"/>
              </w:rPr>
              <w:t>City of Tshwane, 2020</w:t>
            </w:r>
            <w:r w:rsidRPr="00CE7E1A">
              <w:rPr>
                <w:rFonts w:asciiTheme="minorHAnsi" w:eastAsia="Times New Roman" w:hAnsiTheme="minorHAnsi" w:cstheme="minorHAnsi"/>
                <w:color w:val="000000"/>
                <w:sz w:val="20"/>
                <w:szCs w:val="20"/>
              </w:rPr>
              <w:t>)</w:t>
            </w:r>
            <w:r>
              <w:rPr>
                <w:rFonts w:asciiTheme="minorHAnsi" w:eastAsia="Times New Roman" w:hAnsiTheme="minorHAnsi" w:cstheme="minorHAnsi"/>
                <w:color w:val="000000"/>
                <w:sz w:val="20"/>
                <w:szCs w:val="20"/>
              </w:rPr>
              <w:t>.</w:t>
            </w:r>
          </w:p>
        </w:tc>
      </w:tr>
      <w:tr w:rsidR="009E30B2" w:rsidRPr="00CE7E1A" w14:paraId="6ACEB13C" w14:textId="77777777" w:rsidTr="00D84CE3">
        <w:tc>
          <w:tcPr>
            <w:tcW w:w="3231" w:type="dxa"/>
          </w:tcPr>
          <w:p w14:paraId="5ADDDF9E"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Diversity*/heterogeneity of green spaces</w:t>
            </w:r>
          </w:p>
        </w:tc>
        <w:tc>
          <w:tcPr>
            <w:tcW w:w="5785" w:type="dxa"/>
          </w:tcPr>
          <w:p w14:paraId="0CD88E10"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Diversity refers to variety in the landscape (this could be species or different typologies) that </w:t>
            </w:r>
            <w:r>
              <w:rPr>
                <w:rFonts w:asciiTheme="minorHAnsi" w:eastAsia="Times New Roman" w:hAnsiTheme="minorHAnsi" w:cstheme="minorHAnsi"/>
                <w:color w:val="000000"/>
                <w:sz w:val="20"/>
                <w:szCs w:val="20"/>
              </w:rPr>
              <w:t>perform</w:t>
            </w:r>
            <w:r w:rsidRPr="00CE7E1A">
              <w:rPr>
                <w:rFonts w:asciiTheme="minorHAnsi" w:eastAsia="Times New Roman" w:hAnsiTheme="minorHAnsi" w:cstheme="minorHAnsi"/>
                <w:color w:val="000000"/>
                <w:sz w:val="20"/>
                <w:szCs w:val="20"/>
              </w:rPr>
              <w:t xml:space="preserve"> different functions in combination or perform the same function individually and provide redundancy (</w:t>
            </w:r>
            <w:r>
              <w:rPr>
                <w:rFonts w:asciiTheme="minorHAnsi" w:eastAsia="Times New Roman" w:hAnsiTheme="minorHAnsi" w:cstheme="minorHAnsi"/>
                <w:color w:val="000000"/>
                <w:sz w:val="20"/>
                <w:szCs w:val="20"/>
              </w:rPr>
              <w:t>Monteiro</w:t>
            </w:r>
            <w:r w:rsidRPr="00CE7E1A">
              <w:rPr>
                <w:rFonts w:asciiTheme="minorHAnsi" w:eastAsia="Times New Roman" w:hAnsiTheme="minorHAnsi" w:cstheme="minorHAnsi"/>
                <w:color w:val="000000"/>
                <w:sz w:val="20"/>
                <w:szCs w:val="20"/>
              </w:rPr>
              <w:t xml:space="preserve"> et al., 2020)</w:t>
            </w:r>
            <w:r>
              <w:rPr>
                <w:rFonts w:asciiTheme="minorHAnsi" w:eastAsia="Times New Roman" w:hAnsiTheme="minorHAnsi" w:cstheme="minorHAnsi"/>
                <w:color w:val="000000"/>
                <w:sz w:val="20"/>
                <w:szCs w:val="20"/>
              </w:rPr>
              <w:t>.</w:t>
            </w:r>
          </w:p>
        </w:tc>
      </w:tr>
      <w:tr w:rsidR="009E30B2" w:rsidRPr="00CE7E1A" w14:paraId="2CE69D52" w14:textId="77777777" w:rsidTr="00D84CE3">
        <w:tc>
          <w:tcPr>
            <w:tcW w:w="3231" w:type="dxa"/>
          </w:tcPr>
          <w:p w14:paraId="16723832"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 Green-gray infrastructure integration</w:t>
            </w:r>
          </w:p>
        </w:tc>
        <w:tc>
          <w:tcPr>
            <w:tcW w:w="5785" w:type="dxa"/>
          </w:tcPr>
          <w:p w14:paraId="36E29122"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Connections and synergies between GI and conventional, constructed gray infrastructure. Landscape interaction with the built environment to achieve greater multifunctionality</w:t>
            </w:r>
            <w:r>
              <w:rPr>
                <w:rFonts w:asciiTheme="minorHAnsi" w:eastAsia="Times New Roman" w:hAnsiTheme="minorHAnsi" w:cstheme="minorHAnsi"/>
                <w:color w:val="000000"/>
                <w:sz w:val="20"/>
                <w:szCs w:val="20"/>
              </w:rPr>
              <w:t xml:space="preserve"> </w:t>
            </w:r>
            <w:r w:rsidRPr="00CE7E1A">
              <w:rPr>
                <w:rFonts w:asciiTheme="minorHAnsi" w:eastAsia="Times New Roman" w:hAnsiTheme="minorHAnsi" w:cstheme="minorHAnsi"/>
                <w:color w:val="000000"/>
                <w:sz w:val="20"/>
                <w:szCs w:val="20"/>
              </w:rPr>
              <w:t>(</w:t>
            </w:r>
            <w:r w:rsidRPr="00CE7E1A">
              <w:rPr>
                <w:rFonts w:asciiTheme="minorHAnsi" w:hAnsiTheme="minorHAnsi" w:cstheme="minorHAnsi"/>
                <w:sz w:val="20"/>
                <w:szCs w:val="20"/>
              </w:rPr>
              <w:t xml:space="preserve">Department of Human Settlements, 2019; </w:t>
            </w:r>
            <w:r w:rsidRPr="00CE7E1A">
              <w:rPr>
                <w:rFonts w:asciiTheme="minorHAnsi" w:eastAsia="Times New Roman" w:hAnsiTheme="minorHAnsi" w:cstheme="minorHAnsi"/>
                <w:color w:val="000000"/>
                <w:sz w:val="20"/>
                <w:szCs w:val="20"/>
              </w:rPr>
              <w:t>Monteiro et al., 2020; Pauleit et al., 2017).</w:t>
            </w:r>
          </w:p>
        </w:tc>
      </w:tr>
      <w:tr w:rsidR="009E30B2" w:rsidRPr="00CE7E1A" w14:paraId="11FBCA7E" w14:textId="77777777" w:rsidTr="00D84CE3">
        <w:tc>
          <w:tcPr>
            <w:tcW w:w="3231" w:type="dxa"/>
          </w:tcPr>
          <w:p w14:paraId="262E0FB5"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Multifunctionality* of green spaces</w:t>
            </w:r>
          </w:p>
        </w:tc>
        <w:tc>
          <w:tcPr>
            <w:tcW w:w="5785" w:type="dxa"/>
          </w:tcPr>
          <w:p w14:paraId="501D6014"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The ability of green spaces to support and provide multiple functions, benefits, and services </w:t>
            </w:r>
            <w:r>
              <w:rPr>
                <w:rFonts w:asciiTheme="minorHAnsi" w:eastAsia="Times New Roman" w:hAnsiTheme="minorHAnsi" w:cstheme="minorHAnsi"/>
                <w:color w:val="000000"/>
                <w:sz w:val="20"/>
                <w:szCs w:val="20"/>
              </w:rPr>
              <w:t xml:space="preserve">for </w:t>
            </w:r>
            <w:r w:rsidRPr="00CE7E1A">
              <w:rPr>
                <w:rFonts w:asciiTheme="minorHAnsi" w:eastAsia="Times New Roman" w:hAnsiTheme="minorHAnsi" w:cstheme="minorHAnsi"/>
                <w:color w:val="000000"/>
                <w:sz w:val="20"/>
                <w:szCs w:val="20"/>
              </w:rPr>
              <w:t>ecological, engineering, spatial, social, placemaking and economic</w:t>
            </w:r>
            <w:r>
              <w:rPr>
                <w:rFonts w:asciiTheme="minorHAnsi" w:eastAsia="Times New Roman" w:hAnsiTheme="minorHAnsi" w:cstheme="minorHAnsi"/>
                <w:color w:val="000000"/>
                <w:sz w:val="20"/>
                <w:szCs w:val="20"/>
              </w:rPr>
              <w:t xml:space="preserve"> functioning </w:t>
            </w:r>
            <w:r w:rsidRPr="00CE7E1A">
              <w:rPr>
                <w:rFonts w:asciiTheme="minorHAnsi" w:eastAsia="Times New Roman" w:hAnsiTheme="minorHAnsi" w:cstheme="minorHAnsi"/>
                <w:color w:val="000000"/>
                <w:sz w:val="20"/>
                <w:szCs w:val="20"/>
              </w:rPr>
              <w:t>(</w:t>
            </w:r>
            <w:r w:rsidRPr="00CE7E1A">
              <w:rPr>
                <w:rFonts w:asciiTheme="minorHAnsi" w:hAnsiTheme="minorHAnsi" w:cstheme="minorHAnsi"/>
                <w:sz w:val="20"/>
                <w:szCs w:val="20"/>
              </w:rPr>
              <w:t>IES, Louw and Dewar, 2017</w:t>
            </w:r>
            <w:r w:rsidRPr="00CE7E1A">
              <w:rPr>
                <w:rFonts w:asciiTheme="minorHAnsi" w:eastAsia="Times New Roman" w:hAnsiTheme="minorHAnsi" w:cstheme="minorHAnsi"/>
                <w:color w:val="000000"/>
                <w:sz w:val="20"/>
                <w:szCs w:val="20"/>
              </w:rPr>
              <w:t xml:space="preserve">; </w:t>
            </w:r>
            <w:r w:rsidRPr="00CE7E1A">
              <w:rPr>
                <w:rFonts w:asciiTheme="minorHAnsi" w:eastAsia="Times New Roman" w:hAnsiTheme="minorHAnsi" w:cstheme="minorHAnsi"/>
                <w:color w:val="000000"/>
                <w:sz w:val="20"/>
                <w:szCs w:val="20"/>
              </w:rPr>
              <w:lastRenderedPageBreak/>
              <w:t xml:space="preserve">Du Toit et al., 2018; </w:t>
            </w:r>
            <w:r w:rsidRPr="00CE7E1A">
              <w:rPr>
                <w:rFonts w:asciiTheme="minorHAnsi" w:hAnsiTheme="minorHAnsi" w:cstheme="minorHAnsi"/>
                <w:sz w:val="20"/>
                <w:szCs w:val="20"/>
              </w:rPr>
              <w:t xml:space="preserve">Department of Human Settlements, 2019; </w:t>
            </w:r>
            <w:r w:rsidRPr="00CE7E1A">
              <w:rPr>
                <w:rFonts w:asciiTheme="minorHAnsi" w:eastAsia="Times New Roman" w:hAnsiTheme="minorHAnsi" w:cstheme="minorHAnsi"/>
                <w:color w:val="000000"/>
                <w:sz w:val="20"/>
                <w:szCs w:val="20"/>
              </w:rPr>
              <w:t>Monteiro et al., 2020; Pauleit et al., 2017).</w:t>
            </w:r>
          </w:p>
        </w:tc>
      </w:tr>
      <w:tr w:rsidR="009E30B2" w:rsidRPr="00CE7E1A" w14:paraId="2B1EA02C" w14:textId="77777777" w:rsidTr="00D84CE3">
        <w:tc>
          <w:tcPr>
            <w:tcW w:w="3231" w:type="dxa"/>
          </w:tcPr>
          <w:p w14:paraId="0393F47B"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lastRenderedPageBreak/>
              <w:t>Multiscale* planning of green spaces</w:t>
            </w:r>
          </w:p>
        </w:tc>
        <w:tc>
          <w:tcPr>
            <w:tcW w:w="5785" w:type="dxa"/>
          </w:tcPr>
          <w:p w14:paraId="5E16C8B5"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The functioning of ecological systems across all spatial scales</w:t>
            </w:r>
            <w:r>
              <w:rPr>
                <w:rFonts w:asciiTheme="minorHAnsi" w:eastAsia="Times New Roman" w:hAnsiTheme="minorHAnsi" w:cstheme="minorHAnsi"/>
                <w:color w:val="000000"/>
                <w:sz w:val="20"/>
                <w:szCs w:val="20"/>
              </w:rPr>
              <w:t>. This approach</w:t>
            </w:r>
            <w:r w:rsidRPr="00CE7E1A">
              <w:rPr>
                <w:rFonts w:asciiTheme="minorHAnsi" w:eastAsia="Times New Roman" w:hAnsiTheme="minorHAnsi" w:cstheme="minorHAnsi"/>
                <w:color w:val="000000"/>
                <w:sz w:val="20"/>
                <w:szCs w:val="20"/>
              </w:rPr>
              <w:t xml:space="preserve"> aims to link spaces from the metropolitan (macro) scale, through regional and local (meso) scales down to the individual erf (micro) scale (Pauleit et al., 2017)</w:t>
            </w:r>
            <w:r>
              <w:rPr>
                <w:rFonts w:asciiTheme="minorHAnsi" w:eastAsia="Times New Roman" w:hAnsiTheme="minorHAnsi" w:cstheme="minorHAnsi"/>
                <w:color w:val="000000"/>
                <w:sz w:val="20"/>
                <w:szCs w:val="20"/>
              </w:rPr>
              <w:t>.</w:t>
            </w:r>
          </w:p>
        </w:tc>
      </w:tr>
      <w:tr w:rsidR="009E30B2" w:rsidRPr="00CE7E1A" w14:paraId="2DA32FB8" w14:textId="77777777" w:rsidTr="00D84CE3">
        <w:tc>
          <w:tcPr>
            <w:tcW w:w="3231" w:type="dxa"/>
            <w:shd w:val="clear" w:color="auto" w:fill="FFFFFF" w:themeFill="background1"/>
          </w:tcPr>
          <w:p w14:paraId="50F37859" w14:textId="77777777" w:rsidR="009E30B2" w:rsidRPr="00CE7E1A" w:rsidRDefault="009E30B2" w:rsidP="00A67793">
            <w:pPr>
              <w:pStyle w:val="ListParagraph"/>
              <w:numPr>
                <w:ilvl w:val="0"/>
                <w:numId w:val="1"/>
              </w:numPr>
              <w:spacing w:after="0"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Quality and inclusive green space</w:t>
            </w:r>
          </w:p>
        </w:tc>
        <w:tc>
          <w:tcPr>
            <w:tcW w:w="5785" w:type="dxa"/>
            <w:shd w:val="clear" w:color="auto" w:fill="FFFFFF" w:themeFill="background1"/>
          </w:tcPr>
          <w:p w14:paraId="275CC94C"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Quality spaces are inclusively designed, </w:t>
            </w:r>
            <w:r>
              <w:rPr>
                <w:rFonts w:asciiTheme="minorHAnsi" w:eastAsia="Times New Roman" w:hAnsiTheme="minorHAnsi" w:cstheme="minorHAnsi"/>
                <w:color w:val="000000"/>
                <w:sz w:val="20"/>
                <w:szCs w:val="20"/>
              </w:rPr>
              <w:t>well-defined</w:t>
            </w:r>
            <w:r w:rsidRPr="00CE7E1A">
              <w:rPr>
                <w:rFonts w:asciiTheme="minorHAnsi" w:eastAsia="Times New Roman" w:hAnsiTheme="minorHAnsi" w:cstheme="minorHAnsi"/>
                <w:color w:val="000000"/>
                <w:sz w:val="20"/>
                <w:szCs w:val="20"/>
              </w:rPr>
              <w:t>, comfortable to be in, offer shelter from the elements, and have basic amenities such as litter bins, seating, and trees for shade</w:t>
            </w:r>
            <w:r>
              <w:rPr>
                <w:rFonts w:asciiTheme="minorHAnsi" w:eastAsia="Times New Roman" w:hAnsiTheme="minorHAnsi" w:cstheme="minorHAnsi"/>
                <w:color w:val="000000"/>
                <w:sz w:val="20"/>
                <w:szCs w:val="20"/>
              </w:rPr>
              <w:t>.</w:t>
            </w:r>
            <w:r w:rsidRPr="00CE7E1A">
              <w:rPr>
                <w:rFonts w:asciiTheme="minorHAnsi" w:eastAsia="Times New Roman" w:hAnsiTheme="minorHAnsi" w:cstheme="minorHAnsi"/>
                <w:color w:val="000000"/>
                <w:sz w:val="20"/>
                <w:szCs w:val="20"/>
              </w:rPr>
              <w:t xml:space="preserve"> Low-quality public spaces are degraded and are perceived by residents </w:t>
            </w:r>
            <w:r>
              <w:rPr>
                <w:rFonts w:asciiTheme="minorHAnsi" w:eastAsia="Times New Roman" w:hAnsiTheme="minorHAnsi" w:cstheme="minorHAnsi"/>
                <w:color w:val="000000"/>
                <w:sz w:val="20"/>
                <w:szCs w:val="20"/>
              </w:rPr>
              <w:t>as</w:t>
            </w:r>
            <w:r w:rsidRPr="00CE7E1A">
              <w:rPr>
                <w:rFonts w:asciiTheme="minorHAnsi" w:eastAsia="Times New Roman" w:hAnsiTheme="minorHAnsi" w:cstheme="minorHAnsi"/>
                <w:color w:val="000000"/>
                <w:sz w:val="20"/>
                <w:szCs w:val="20"/>
              </w:rPr>
              <w:t xml:space="preserve"> unwelcoming and unsafe, and encourage illegal activities such as dumping, anti-social </w:t>
            </w:r>
            <w:r>
              <w:rPr>
                <w:rFonts w:asciiTheme="minorHAnsi" w:eastAsia="Times New Roman" w:hAnsiTheme="minorHAnsi" w:cstheme="minorHAnsi"/>
                <w:color w:val="000000"/>
                <w:sz w:val="20"/>
                <w:szCs w:val="20"/>
              </w:rPr>
              <w:t>behavior</w:t>
            </w:r>
            <w:r w:rsidRPr="00CE7E1A">
              <w:rPr>
                <w:rFonts w:asciiTheme="minorHAnsi" w:eastAsia="Times New Roman" w:hAnsiTheme="minorHAnsi" w:cstheme="minorHAnsi"/>
                <w:color w:val="000000"/>
                <w:sz w:val="20"/>
                <w:szCs w:val="20"/>
              </w:rPr>
              <w:t>, and acts of criminality (</w:t>
            </w:r>
            <w:r w:rsidRPr="00CE7E1A">
              <w:rPr>
                <w:rFonts w:asciiTheme="minorHAnsi" w:hAnsiTheme="minorHAnsi" w:cstheme="minorHAnsi"/>
                <w:sz w:val="20"/>
                <w:szCs w:val="20"/>
              </w:rPr>
              <w:t>IES, Louw and Dewar, 2017; Tshwane metro interviewees</w:t>
            </w:r>
            <w:r w:rsidRPr="00CE7E1A">
              <w:rPr>
                <w:rFonts w:asciiTheme="minorHAnsi" w:eastAsia="Times New Roman" w:hAnsiTheme="minorHAnsi" w:cstheme="minorHAnsi"/>
                <w:color w:val="000000"/>
                <w:sz w:val="20"/>
                <w:szCs w:val="20"/>
              </w:rPr>
              <w:t>).</w:t>
            </w:r>
          </w:p>
        </w:tc>
      </w:tr>
      <w:tr w:rsidR="009E30B2" w:rsidRPr="00CE7E1A" w14:paraId="69278155" w14:textId="77777777" w:rsidTr="00D84CE3">
        <w:tc>
          <w:tcPr>
            <w:tcW w:w="3231" w:type="dxa"/>
            <w:shd w:val="clear" w:color="auto" w:fill="FFFFFF" w:themeFill="background1"/>
          </w:tcPr>
          <w:p w14:paraId="686A67C7"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Safety inside green spaces</w:t>
            </w:r>
          </w:p>
        </w:tc>
        <w:tc>
          <w:tcPr>
            <w:tcW w:w="5785" w:type="dxa"/>
            <w:shd w:val="clear" w:color="auto" w:fill="FFFFFF" w:themeFill="background1"/>
          </w:tcPr>
          <w:p w14:paraId="551C3780"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 xml:space="preserve">Crime and anti-social </w:t>
            </w:r>
            <w:r>
              <w:rPr>
                <w:rFonts w:asciiTheme="minorHAnsi" w:eastAsia="Times New Roman" w:hAnsiTheme="minorHAnsi" w:cstheme="minorHAnsi"/>
                <w:color w:val="000000"/>
                <w:sz w:val="20"/>
                <w:szCs w:val="20"/>
              </w:rPr>
              <w:t>behavior</w:t>
            </w:r>
            <w:r w:rsidRPr="00CE7E1A">
              <w:rPr>
                <w:rFonts w:asciiTheme="minorHAnsi" w:eastAsia="Times New Roman" w:hAnsiTheme="minorHAnsi" w:cstheme="minorHAnsi"/>
                <w:color w:val="000000"/>
                <w:sz w:val="20"/>
                <w:szCs w:val="20"/>
              </w:rPr>
              <w:t xml:space="preserve"> mitigation measures should be considered in GI design. This includes aspects such as clear sight lines, clear access points, lighting</w:t>
            </w:r>
            <w:r>
              <w:rPr>
                <w:rFonts w:asciiTheme="minorHAnsi" w:eastAsia="Times New Roman" w:hAnsiTheme="minorHAnsi" w:cstheme="minorHAnsi"/>
                <w:color w:val="000000"/>
                <w:sz w:val="20"/>
                <w:szCs w:val="20"/>
              </w:rPr>
              <w:t>,</w:t>
            </w:r>
            <w:r w:rsidRPr="00CE7E1A">
              <w:rPr>
                <w:rFonts w:asciiTheme="minorHAnsi" w:eastAsia="Times New Roman" w:hAnsiTheme="minorHAnsi" w:cstheme="minorHAnsi"/>
                <w:color w:val="000000"/>
                <w:sz w:val="20"/>
                <w:szCs w:val="20"/>
              </w:rPr>
              <w:t xml:space="preserve"> and increased</w:t>
            </w:r>
            <w:r>
              <w:rPr>
                <w:rFonts w:asciiTheme="minorHAnsi" w:eastAsia="Times New Roman" w:hAnsiTheme="minorHAnsi" w:cstheme="minorHAnsi"/>
                <w:color w:val="000000"/>
                <w:sz w:val="20"/>
                <w:szCs w:val="20"/>
              </w:rPr>
              <w:t xml:space="preserve"> </w:t>
            </w:r>
            <w:r w:rsidRPr="00CE7E1A">
              <w:rPr>
                <w:rFonts w:asciiTheme="minorHAnsi" w:eastAsia="Times New Roman" w:hAnsiTheme="minorHAnsi" w:cstheme="minorHAnsi"/>
                <w:color w:val="000000"/>
                <w:sz w:val="20"/>
                <w:szCs w:val="20"/>
              </w:rPr>
              <w:t>opportunities for surveillance. The safety and comfort of vulnerable people like children or the elderly should be considered.</w:t>
            </w:r>
          </w:p>
          <w:p w14:paraId="368A0D28" w14:textId="77777777" w:rsidR="009E30B2" w:rsidRPr="00CE7E1A" w:rsidRDefault="009E30B2" w:rsidP="00332819">
            <w:pPr>
              <w:spacing w:line="264" w:lineRule="auto"/>
              <w:jc w:val="both"/>
              <w:rPr>
                <w:rFonts w:asciiTheme="minorHAnsi" w:eastAsia="Times New Roman" w:hAnsiTheme="minorHAnsi" w:cstheme="minorHAnsi"/>
                <w:color w:val="000000"/>
                <w:sz w:val="20"/>
                <w:szCs w:val="20"/>
              </w:rPr>
            </w:pPr>
            <w:r w:rsidRPr="00CE7E1A">
              <w:rPr>
                <w:rFonts w:asciiTheme="minorHAnsi" w:eastAsia="Times New Roman" w:hAnsiTheme="minorHAnsi" w:cstheme="minorHAnsi"/>
                <w:color w:val="000000"/>
                <w:sz w:val="20"/>
                <w:szCs w:val="20"/>
              </w:rPr>
              <w:t>Legibility</w:t>
            </w:r>
            <w:r>
              <w:rPr>
                <w:rFonts w:asciiTheme="minorHAnsi" w:eastAsia="Times New Roman" w:hAnsiTheme="minorHAnsi" w:cstheme="minorHAnsi"/>
                <w:color w:val="000000"/>
                <w:sz w:val="20"/>
                <w:szCs w:val="20"/>
              </w:rPr>
              <w:t xml:space="preserve">, </w:t>
            </w:r>
            <w:r w:rsidRPr="00CE7E1A">
              <w:rPr>
                <w:rFonts w:asciiTheme="minorHAnsi" w:eastAsia="Times New Roman" w:hAnsiTheme="minorHAnsi" w:cstheme="minorHAnsi"/>
                <w:color w:val="000000"/>
                <w:sz w:val="20"/>
                <w:szCs w:val="20"/>
              </w:rPr>
              <w:t>wayfinding</w:t>
            </w:r>
            <w:r>
              <w:rPr>
                <w:rFonts w:asciiTheme="minorHAnsi" w:eastAsia="Times New Roman" w:hAnsiTheme="minorHAnsi" w:cstheme="minorHAnsi"/>
                <w:color w:val="000000"/>
                <w:sz w:val="20"/>
                <w:szCs w:val="20"/>
              </w:rPr>
              <w:t>,</w:t>
            </w:r>
            <w:r w:rsidRPr="00CE7E1A">
              <w:rPr>
                <w:rFonts w:asciiTheme="minorHAnsi" w:eastAsia="Times New Roman" w:hAnsiTheme="minorHAnsi" w:cstheme="minorHAnsi"/>
                <w:color w:val="000000"/>
                <w:sz w:val="20"/>
                <w:szCs w:val="20"/>
              </w:rPr>
              <w:t xml:space="preserve"> or ease </w:t>
            </w:r>
            <w:r>
              <w:rPr>
                <w:rFonts w:asciiTheme="minorHAnsi" w:eastAsia="Times New Roman" w:hAnsiTheme="minorHAnsi" w:cstheme="minorHAnsi"/>
                <w:color w:val="000000"/>
                <w:sz w:val="20"/>
                <w:szCs w:val="20"/>
              </w:rPr>
              <w:t>of</w:t>
            </w:r>
            <w:r w:rsidRPr="00CE7E1A">
              <w:rPr>
                <w:rFonts w:asciiTheme="minorHAnsi" w:eastAsia="Times New Roman" w:hAnsiTheme="minorHAnsi" w:cstheme="minorHAnsi"/>
                <w:color w:val="000000"/>
                <w:sz w:val="20"/>
                <w:szCs w:val="20"/>
              </w:rPr>
              <w:t xml:space="preserve"> orientat</w:t>
            </w:r>
            <w:r>
              <w:rPr>
                <w:rFonts w:asciiTheme="minorHAnsi" w:eastAsia="Times New Roman" w:hAnsiTheme="minorHAnsi" w:cstheme="minorHAnsi"/>
                <w:color w:val="000000"/>
                <w:sz w:val="20"/>
                <w:szCs w:val="20"/>
              </w:rPr>
              <w:t>ion</w:t>
            </w:r>
            <w:r w:rsidRPr="00CE7E1A">
              <w:rPr>
                <w:rFonts w:asciiTheme="minorHAnsi" w:eastAsia="Times New Roman" w:hAnsiTheme="minorHAnsi" w:cstheme="minorHAnsi"/>
                <w:color w:val="000000"/>
                <w:sz w:val="20"/>
                <w:szCs w:val="20"/>
              </w:rPr>
              <w:t xml:space="preserve"> in the city increases safety. People need to recognize and organize urban elements into a coherent pattern to provide </w:t>
            </w:r>
            <w:r>
              <w:rPr>
                <w:rFonts w:asciiTheme="minorHAnsi" w:eastAsia="Times New Roman" w:hAnsiTheme="minorHAnsi" w:cstheme="minorHAnsi"/>
                <w:color w:val="000000"/>
                <w:sz w:val="20"/>
                <w:szCs w:val="20"/>
              </w:rPr>
              <w:t xml:space="preserve">such orientation as </w:t>
            </w:r>
            <w:r w:rsidRPr="00CE7E1A">
              <w:rPr>
                <w:rFonts w:asciiTheme="minorHAnsi" w:eastAsia="Times New Roman" w:hAnsiTheme="minorHAnsi" w:cstheme="minorHAnsi"/>
                <w:color w:val="000000"/>
                <w:sz w:val="20"/>
                <w:szCs w:val="20"/>
              </w:rPr>
              <w:t xml:space="preserve">an important sense of emotional security </w:t>
            </w:r>
            <w:r w:rsidRPr="00CE7E1A">
              <w:rPr>
                <w:rFonts w:asciiTheme="minorHAnsi" w:hAnsiTheme="minorHAnsi" w:cstheme="minorHAnsi"/>
                <w:sz w:val="20"/>
                <w:szCs w:val="20"/>
              </w:rPr>
              <w:t>(IES, Louw and Dewar, 2017</w:t>
            </w:r>
            <w:r w:rsidRPr="00CE7E1A">
              <w:rPr>
                <w:rFonts w:asciiTheme="minorHAnsi" w:eastAsia="Times New Roman" w:hAnsiTheme="minorHAnsi" w:cstheme="minorHAnsi"/>
                <w:color w:val="000000"/>
                <w:sz w:val="20"/>
                <w:szCs w:val="20"/>
              </w:rPr>
              <w:t>)</w:t>
            </w:r>
            <w:r>
              <w:rPr>
                <w:rFonts w:asciiTheme="minorHAnsi" w:eastAsia="Times New Roman" w:hAnsiTheme="minorHAnsi" w:cstheme="minorHAnsi"/>
                <w:color w:val="000000"/>
                <w:sz w:val="20"/>
                <w:szCs w:val="20"/>
              </w:rPr>
              <w:t>.</w:t>
            </w:r>
          </w:p>
        </w:tc>
      </w:tr>
      <w:tr w:rsidR="00A67793" w:rsidRPr="00CE7E1A" w14:paraId="35849AEF" w14:textId="77777777" w:rsidTr="00D84CE3">
        <w:tc>
          <w:tcPr>
            <w:tcW w:w="9016" w:type="dxa"/>
            <w:gridSpan w:val="2"/>
            <w:shd w:val="clear" w:color="auto" w:fill="FFFFFF" w:themeFill="background1"/>
          </w:tcPr>
          <w:p w14:paraId="4C2B55BA" w14:textId="5DA5D3F1" w:rsidR="00A67793" w:rsidRPr="00CE7E1A" w:rsidRDefault="000B1837" w:rsidP="006B1BD5">
            <w:pPr>
              <w:rPr>
                <w:rFonts w:asciiTheme="minorHAnsi" w:eastAsia="Times New Roman" w:hAnsiTheme="minorHAnsi" w:cstheme="minorHAnsi"/>
                <w:b/>
                <w:color w:val="0070C0"/>
                <w:sz w:val="20"/>
                <w:szCs w:val="20"/>
              </w:rPr>
            </w:pPr>
            <w:r w:rsidRPr="00CE7E1A">
              <w:rPr>
                <w:rFonts w:asciiTheme="minorHAnsi" w:hAnsiTheme="minorHAnsi" w:cstheme="minorHAnsi"/>
                <w:noProof/>
                <w:sz w:val="20"/>
                <w:szCs w:val="20"/>
              </w:rPr>
              <w:drawing>
                <wp:inline distT="0" distB="0" distL="0" distR="0" wp14:anchorId="1BF71DF1" wp14:editId="72447A05">
                  <wp:extent cx="326692" cy="326692"/>
                  <wp:effectExtent l="0" t="0" r="0" b="0"/>
                  <wp:docPr id="4" name="Picture 8" descr="Collaboration - Free people ic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8" descr="Collaboration - Free people icon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6692" cy="326692"/>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Pr="00CE7E1A">
              <w:rPr>
                <w:rFonts w:asciiTheme="minorHAnsi" w:eastAsia="Times New Roman" w:hAnsiTheme="minorHAnsi" w:cstheme="minorHAnsi"/>
                <w:b/>
                <w:sz w:val="20"/>
                <w:szCs w:val="20"/>
              </w:rPr>
              <w:t xml:space="preserve"> </w:t>
            </w:r>
            <w:r w:rsidR="006B1BD5" w:rsidRPr="00CE7E1A">
              <w:rPr>
                <w:rFonts w:asciiTheme="minorHAnsi" w:eastAsia="Times New Roman" w:hAnsiTheme="minorHAnsi" w:cstheme="minorHAnsi"/>
                <w:b/>
                <w:sz w:val="20"/>
                <w:szCs w:val="20"/>
              </w:rPr>
              <w:t xml:space="preserve">  </w:t>
            </w:r>
            <w:r w:rsidR="00A67793" w:rsidRPr="00CE7E1A">
              <w:rPr>
                <w:rFonts w:asciiTheme="minorHAnsi" w:eastAsia="Times New Roman" w:hAnsiTheme="minorHAnsi" w:cstheme="minorHAnsi"/>
                <w:b/>
                <w:sz w:val="20"/>
                <w:szCs w:val="20"/>
              </w:rPr>
              <w:t>GI process principles</w:t>
            </w:r>
          </w:p>
        </w:tc>
      </w:tr>
      <w:tr w:rsidR="009E30B2" w:rsidRPr="00CE7E1A" w14:paraId="7EB27880" w14:textId="77777777" w:rsidTr="00D84CE3">
        <w:tc>
          <w:tcPr>
            <w:tcW w:w="3231" w:type="dxa"/>
          </w:tcPr>
          <w:p w14:paraId="58A0CF3E"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Collaborative governance* </w:t>
            </w:r>
          </w:p>
        </w:tc>
        <w:tc>
          <w:tcPr>
            <w:tcW w:w="5785" w:type="dxa"/>
          </w:tcPr>
          <w:p w14:paraId="2C3B6C32"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Intergovernmental alignment, collaboration, and cooperation between the three spheres of government and a shared vision in the city. A transparent, inclusive, and participatory process involving local communities to take ownership of the space (Moneiro et al., 2020; </w:t>
            </w:r>
            <w:r w:rsidRPr="00CE7E1A">
              <w:rPr>
                <w:rFonts w:asciiTheme="minorHAnsi" w:hAnsiTheme="minorHAnsi" w:cstheme="minorHAnsi"/>
                <w:sz w:val="20"/>
                <w:szCs w:val="20"/>
              </w:rPr>
              <w:t>Republic of South Africa, 2013</w:t>
            </w:r>
            <w:r w:rsidRPr="00CE7E1A">
              <w:rPr>
                <w:rFonts w:asciiTheme="minorHAnsi" w:eastAsia="Times New Roman" w:hAnsiTheme="minorHAnsi" w:cstheme="minorHAnsi"/>
                <w:sz w:val="20"/>
                <w:szCs w:val="20"/>
              </w:rPr>
              <w:t>,</w:t>
            </w:r>
            <w:r w:rsidRPr="00CE7E1A">
              <w:rPr>
                <w:rFonts w:asciiTheme="minorHAnsi" w:hAnsiTheme="minorHAnsi" w:cstheme="minorHAnsi"/>
                <w:sz w:val="20"/>
                <w:szCs w:val="20"/>
              </w:rPr>
              <w:t xml:space="preserve"> Tshwane metro interviewees; Van Niekerk, Pieterse and Le Roux, 2020</w:t>
            </w:r>
            <w:r w:rsidRPr="00CE7E1A">
              <w:rPr>
                <w:rFonts w:asciiTheme="minorHAnsi" w:eastAsia="Times New Roman" w:hAnsiTheme="minorHAnsi" w:cstheme="minorHAnsi"/>
                <w:sz w:val="20"/>
                <w:szCs w:val="20"/>
              </w:rPr>
              <w:t>)</w:t>
            </w:r>
            <w:r>
              <w:rPr>
                <w:rFonts w:asciiTheme="minorHAnsi" w:eastAsia="Times New Roman" w:hAnsiTheme="minorHAnsi" w:cstheme="minorHAnsi"/>
                <w:sz w:val="20"/>
                <w:szCs w:val="20"/>
              </w:rPr>
              <w:t>.</w:t>
            </w:r>
          </w:p>
        </w:tc>
      </w:tr>
      <w:tr w:rsidR="009E30B2" w:rsidRPr="00CE7E1A" w14:paraId="21B9CD14" w14:textId="77777777" w:rsidTr="00D84CE3">
        <w:tc>
          <w:tcPr>
            <w:tcW w:w="3231" w:type="dxa"/>
          </w:tcPr>
          <w:p w14:paraId="1FC5CB80"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Co-ownership</w:t>
            </w:r>
            <w:r>
              <w:rPr>
                <w:rFonts w:asciiTheme="minorHAnsi" w:eastAsia="Times New Roman" w:hAnsiTheme="minorHAnsi" w:cstheme="minorHAnsi"/>
                <w:sz w:val="20"/>
                <w:szCs w:val="20"/>
              </w:rPr>
              <w:t>,</w:t>
            </w:r>
            <w:r w:rsidRPr="00CE7E1A">
              <w:rPr>
                <w:rFonts w:asciiTheme="minorHAnsi" w:eastAsia="Times New Roman" w:hAnsiTheme="minorHAnsi" w:cstheme="minorHAnsi"/>
                <w:sz w:val="20"/>
                <w:szCs w:val="20"/>
              </w:rPr>
              <w:t xml:space="preserve"> continuity</w:t>
            </w:r>
            <w:proofErr w:type="gramStart"/>
            <w:r w:rsidRPr="00CE7E1A">
              <w:rPr>
                <w:rFonts w:asciiTheme="minorHAnsi" w:eastAsia="Times New Roman" w:hAnsiTheme="minorHAnsi" w:cstheme="minorHAnsi"/>
                <w:sz w:val="20"/>
                <w:szCs w:val="20"/>
              </w:rPr>
              <w:t xml:space="preserve">* </w:t>
            </w:r>
            <w:r>
              <w:rPr>
                <w:rFonts w:asciiTheme="minorHAnsi" w:eastAsia="Times New Roman" w:hAnsiTheme="minorHAnsi" w:cstheme="minorHAnsi"/>
                <w:sz w:val="20"/>
                <w:szCs w:val="20"/>
              </w:rPr>
              <w:t xml:space="preserve"> and</w:t>
            </w:r>
            <w:proofErr w:type="gramEnd"/>
            <w:r>
              <w:rPr>
                <w:rFonts w:asciiTheme="minorHAnsi" w:eastAsia="Times New Roman" w:hAnsiTheme="minorHAnsi" w:cstheme="minorHAnsi"/>
                <w:sz w:val="20"/>
                <w:szCs w:val="20"/>
              </w:rPr>
              <w:t xml:space="preserve"> </w:t>
            </w:r>
            <w:r w:rsidRPr="00CE7E1A">
              <w:rPr>
                <w:rFonts w:asciiTheme="minorHAnsi" w:eastAsia="Times New Roman" w:hAnsiTheme="minorHAnsi" w:cstheme="minorHAnsi"/>
                <w:sz w:val="20"/>
                <w:szCs w:val="20"/>
              </w:rPr>
              <w:t>monitoring</w:t>
            </w:r>
            <w:r>
              <w:rPr>
                <w:rFonts w:asciiTheme="minorHAnsi" w:eastAsia="Times New Roman" w:hAnsiTheme="minorHAnsi" w:cstheme="minorHAnsi"/>
                <w:sz w:val="20"/>
                <w:szCs w:val="20"/>
              </w:rPr>
              <w:t xml:space="preserve"> (</w:t>
            </w:r>
            <w:r w:rsidRPr="00CE7E1A">
              <w:rPr>
                <w:rFonts w:asciiTheme="minorHAnsi" w:eastAsia="Times New Roman" w:hAnsiTheme="minorHAnsi" w:cstheme="minorHAnsi"/>
                <w:sz w:val="20"/>
                <w:szCs w:val="20"/>
              </w:rPr>
              <w:t>evidence-based)</w:t>
            </w:r>
          </w:p>
        </w:tc>
        <w:tc>
          <w:tcPr>
            <w:tcW w:w="5785" w:type="dxa"/>
          </w:tcPr>
          <w:p w14:paraId="021CB0DD"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Ongoing care and upkeep of spaces are essential. This is ideally suited to government programs and community initiatives, particularly in the context of creating employment and involving local communities to take ownership of and care for spaces. </w:t>
            </w:r>
            <w:r>
              <w:rPr>
                <w:rFonts w:asciiTheme="minorHAnsi" w:eastAsia="Times New Roman" w:hAnsiTheme="minorHAnsi" w:cstheme="minorHAnsi"/>
                <w:sz w:val="20"/>
                <w:szCs w:val="20"/>
              </w:rPr>
              <w:t>But also s</w:t>
            </w:r>
            <w:r w:rsidRPr="00CE7E1A">
              <w:rPr>
                <w:rFonts w:asciiTheme="minorHAnsi" w:eastAsia="Times New Roman" w:hAnsiTheme="minorHAnsi" w:cstheme="minorHAnsi"/>
                <w:sz w:val="20"/>
                <w:szCs w:val="20"/>
              </w:rPr>
              <w:t>haring facilities between user groups, regardless of ownership</w:t>
            </w:r>
            <w:r>
              <w:rPr>
                <w:rFonts w:asciiTheme="minorHAnsi" w:eastAsia="Times New Roman" w:hAnsiTheme="minorHAnsi" w:cstheme="minorHAnsi"/>
                <w:sz w:val="20"/>
                <w:szCs w:val="20"/>
              </w:rPr>
              <w:t>.</w:t>
            </w:r>
            <w:r w:rsidRPr="00CE7E1A">
              <w:rPr>
                <w:rFonts w:asciiTheme="minorHAnsi" w:eastAsia="Times New Roman" w:hAnsiTheme="minorHAnsi" w:cstheme="minorHAnsi"/>
                <w:sz w:val="20"/>
                <w:szCs w:val="20"/>
              </w:rPr>
              <w:t xml:space="preserve"> Periodic reports on the evolution of projects and successful or unsuccessful outcomes create awareness and learning</w:t>
            </w:r>
            <w:r>
              <w:rPr>
                <w:rFonts w:asciiTheme="minorHAnsi" w:eastAsia="Times New Roman" w:hAnsiTheme="minorHAnsi" w:cstheme="minorHAnsi"/>
                <w:sz w:val="20"/>
                <w:szCs w:val="20"/>
              </w:rPr>
              <w:t>, which can build an evidence base for decision-making</w:t>
            </w:r>
            <w:r w:rsidRPr="00CE7E1A">
              <w:rPr>
                <w:rFonts w:asciiTheme="minorHAnsi" w:eastAsia="Times New Roman" w:hAnsiTheme="minorHAnsi" w:cstheme="minorHAnsi"/>
                <w:sz w:val="20"/>
                <w:szCs w:val="20"/>
              </w:rPr>
              <w:t xml:space="preserve"> (</w:t>
            </w:r>
            <w:r w:rsidRPr="00CE7E1A">
              <w:rPr>
                <w:rFonts w:asciiTheme="minorHAnsi" w:hAnsiTheme="minorHAnsi" w:cstheme="minorHAnsi"/>
                <w:sz w:val="20"/>
                <w:szCs w:val="20"/>
              </w:rPr>
              <w:t>IES, Louw and Dewar, 2017</w:t>
            </w:r>
            <w:r w:rsidRPr="00CE7E1A">
              <w:rPr>
                <w:rFonts w:asciiTheme="minorHAnsi" w:eastAsia="Times New Roman" w:hAnsiTheme="minorHAnsi" w:cstheme="minorHAnsi"/>
                <w:color w:val="000000"/>
                <w:sz w:val="20"/>
                <w:szCs w:val="20"/>
              </w:rPr>
              <w:t>.</w:t>
            </w:r>
            <w:r w:rsidRPr="00CE7E1A">
              <w:rPr>
                <w:rFonts w:asciiTheme="minorHAnsi" w:eastAsia="Times New Roman" w:hAnsiTheme="minorHAnsi" w:cstheme="minorHAnsi"/>
                <w:sz w:val="20"/>
                <w:szCs w:val="20"/>
              </w:rPr>
              <w:t>; Monteiro et al., 2020; Tshwane metro interviewees)</w:t>
            </w:r>
            <w:r>
              <w:rPr>
                <w:rFonts w:asciiTheme="minorHAnsi" w:eastAsia="Times New Roman" w:hAnsiTheme="minorHAnsi" w:cstheme="minorHAnsi"/>
                <w:sz w:val="20"/>
                <w:szCs w:val="20"/>
              </w:rPr>
              <w:t>.</w:t>
            </w:r>
          </w:p>
        </w:tc>
      </w:tr>
      <w:tr w:rsidR="009E30B2" w:rsidRPr="00CE7E1A" w14:paraId="6B5D2365" w14:textId="77777777" w:rsidTr="00D84CE3">
        <w:tc>
          <w:tcPr>
            <w:tcW w:w="3231" w:type="dxa"/>
          </w:tcPr>
          <w:p w14:paraId="6FFD33FC" w14:textId="77777777" w:rsidR="009E30B2" w:rsidRPr="00CE7E1A" w:rsidRDefault="009E30B2" w:rsidP="00A67793">
            <w:pPr>
              <w:pStyle w:val="ListParagraph"/>
              <w:numPr>
                <w:ilvl w:val="0"/>
                <w:numId w:val="1"/>
              </w:numPr>
              <w:spacing w:after="0"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Cross-sectoral partnerships</w:t>
            </w:r>
          </w:p>
        </w:tc>
        <w:tc>
          <w:tcPr>
            <w:tcW w:w="5785" w:type="dxa"/>
          </w:tcPr>
          <w:p w14:paraId="5FC03279"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Effective partnerships between the city and the residents and/or businesses near green infrastructure assets, create opportunities for </w:t>
            </w:r>
            <w:r w:rsidRPr="00CE7E1A">
              <w:rPr>
                <w:rFonts w:asciiTheme="minorHAnsi" w:eastAsia="Times New Roman" w:hAnsiTheme="minorHAnsi" w:cstheme="minorHAnsi"/>
                <w:sz w:val="20"/>
                <w:szCs w:val="20"/>
              </w:rPr>
              <w:lastRenderedPageBreak/>
              <w:t>the joint development, management, and upkeep of GI (</w:t>
            </w:r>
            <w:r w:rsidRPr="00CE7E1A">
              <w:rPr>
                <w:rFonts w:asciiTheme="minorHAnsi" w:hAnsiTheme="minorHAnsi" w:cstheme="minorHAnsi"/>
                <w:sz w:val="20"/>
                <w:szCs w:val="20"/>
              </w:rPr>
              <w:t>IES, Louw and Dewar, 2017</w:t>
            </w:r>
            <w:r w:rsidRPr="00CE7E1A">
              <w:rPr>
                <w:rFonts w:asciiTheme="minorHAnsi" w:eastAsia="Times New Roman" w:hAnsiTheme="minorHAnsi" w:cstheme="minorHAnsi"/>
                <w:sz w:val="20"/>
                <w:szCs w:val="20"/>
              </w:rPr>
              <w:t>).</w:t>
            </w:r>
          </w:p>
        </w:tc>
      </w:tr>
      <w:tr w:rsidR="009E30B2" w:rsidRPr="00CE7E1A" w14:paraId="022611EB" w14:textId="77777777" w:rsidTr="00D84CE3">
        <w:tc>
          <w:tcPr>
            <w:tcW w:w="3231" w:type="dxa"/>
          </w:tcPr>
          <w:p w14:paraId="6F23D8EB"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lastRenderedPageBreak/>
              <w:t>Green socio-economic opportunities</w:t>
            </w:r>
          </w:p>
        </w:tc>
        <w:tc>
          <w:tcPr>
            <w:tcW w:w="5785" w:type="dxa"/>
          </w:tcPr>
          <w:p w14:paraId="4D4599B2"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Contextually relevant activities that support the sustainable use of green infrastructure for meeting economic objectives, developed in partnership with local communities (</w:t>
            </w:r>
            <w:r w:rsidRPr="00CE7E1A">
              <w:rPr>
                <w:rFonts w:asciiTheme="minorHAnsi" w:hAnsiTheme="minorHAnsi" w:cstheme="minorHAnsi"/>
                <w:sz w:val="20"/>
                <w:szCs w:val="20"/>
              </w:rPr>
              <w:t>Department of Human Settlements, 2019)</w:t>
            </w:r>
            <w:r>
              <w:rPr>
                <w:rFonts w:asciiTheme="minorHAnsi" w:hAnsiTheme="minorHAnsi" w:cstheme="minorHAnsi"/>
                <w:sz w:val="20"/>
                <w:szCs w:val="20"/>
              </w:rPr>
              <w:t>.</w:t>
            </w:r>
          </w:p>
        </w:tc>
      </w:tr>
      <w:tr w:rsidR="009E30B2" w:rsidRPr="00CE7E1A" w14:paraId="37938A29" w14:textId="77777777" w:rsidTr="00D84CE3">
        <w:tc>
          <w:tcPr>
            <w:tcW w:w="3231" w:type="dxa"/>
          </w:tcPr>
          <w:p w14:paraId="098A0618"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Interdisciplinary and transdisciplinary* approach</w:t>
            </w:r>
          </w:p>
        </w:tc>
        <w:tc>
          <w:tcPr>
            <w:tcW w:w="5785" w:type="dxa"/>
          </w:tcPr>
          <w:p w14:paraId="0F187029"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Involving all disciplines and stakeholders from the start of a project and defining goals jointly. Benefits include the cross-pollination of ideas and points of view, which results in the co-production and synthesis of appropriate, innovative thinking, processes and outcomes (Cilliers et al., 2014; Pauleit et al., 2017; Tshwane metro interviewees).</w:t>
            </w:r>
          </w:p>
        </w:tc>
      </w:tr>
      <w:tr w:rsidR="009E30B2" w:rsidRPr="00CE7E1A" w14:paraId="156E5579" w14:textId="77777777" w:rsidTr="00D84CE3">
        <w:tc>
          <w:tcPr>
            <w:tcW w:w="3231" w:type="dxa"/>
          </w:tcPr>
          <w:p w14:paraId="3228171B" w14:textId="77777777" w:rsidR="009E30B2" w:rsidRPr="00CE7E1A" w:rsidRDefault="009E30B2" w:rsidP="00A67793">
            <w:pPr>
              <w:pStyle w:val="ListParagraph"/>
              <w:numPr>
                <w:ilvl w:val="0"/>
                <w:numId w:val="1"/>
              </w:numPr>
              <w:spacing w:after="0" w:line="264" w:lineRule="auto"/>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Participation, </w:t>
            </w:r>
            <w:proofErr w:type="gramStart"/>
            <w:r w:rsidRPr="00CE7E1A">
              <w:rPr>
                <w:rFonts w:asciiTheme="minorHAnsi" w:eastAsia="Times New Roman" w:hAnsiTheme="minorHAnsi" w:cstheme="minorHAnsi"/>
                <w:sz w:val="20"/>
                <w:szCs w:val="20"/>
              </w:rPr>
              <w:t>equity</w:t>
            </w:r>
            <w:proofErr w:type="gramEnd"/>
            <w:r w:rsidRPr="00CE7E1A">
              <w:rPr>
                <w:rFonts w:asciiTheme="minorHAnsi" w:eastAsia="Times New Roman" w:hAnsiTheme="minorHAnsi" w:cstheme="minorHAnsi"/>
                <w:sz w:val="20"/>
                <w:szCs w:val="20"/>
              </w:rPr>
              <w:t xml:space="preserve"> and inclusivity*</w:t>
            </w:r>
          </w:p>
        </w:tc>
        <w:tc>
          <w:tcPr>
            <w:tcW w:w="5785" w:type="dxa"/>
          </w:tcPr>
          <w:p w14:paraId="470B3EA0"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Involving the local community and drawing on local knowledge throughout the project life cycle, for GI to be sustainable, appreciated, and owned. Planning and design solutions developed by the community for the community (Monteiro et al., 2020; </w:t>
            </w:r>
            <w:r w:rsidRPr="00CE7E1A">
              <w:rPr>
                <w:rFonts w:asciiTheme="minorHAnsi" w:hAnsiTheme="minorHAnsi" w:cstheme="minorHAnsi"/>
                <w:sz w:val="20"/>
                <w:szCs w:val="20"/>
              </w:rPr>
              <w:t>Van Niekerk, Pieterse and Le Roux, 2020</w:t>
            </w:r>
            <w:r w:rsidRPr="00CE7E1A">
              <w:rPr>
                <w:rFonts w:asciiTheme="minorHAnsi" w:eastAsia="Times New Roman" w:hAnsiTheme="minorHAnsi" w:cstheme="minorHAnsi"/>
                <w:sz w:val="20"/>
                <w:szCs w:val="20"/>
              </w:rPr>
              <w:t>; Tshwane metro interviews)</w:t>
            </w:r>
            <w:r>
              <w:rPr>
                <w:rFonts w:asciiTheme="minorHAnsi" w:eastAsia="Times New Roman" w:hAnsiTheme="minorHAnsi" w:cstheme="minorHAnsi"/>
                <w:sz w:val="20"/>
                <w:szCs w:val="20"/>
              </w:rPr>
              <w:t>.</w:t>
            </w:r>
          </w:p>
        </w:tc>
      </w:tr>
      <w:tr w:rsidR="009E30B2" w:rsidRPr="00CE7E1A" w14:paraId="6C502942" w14:textId="77777777" w:rsidTr="00D84CE3">
        <w:tc>
          <w:tcPr>
            <w:tcW w:w="3231" w:type="dxa"/>
          </w:tcPr>
          <w:p w14:paraId="44D1B229" w14:textId="77777777" w:rsidR="009E30B2" w:rsidRPr="00CE7E1A" w:rsidRDefault="009E30B2" w:rsidP="00A67793">
            <w:pPr>
              <w:pStyle w:val="ListParagraph"/>
              <w:numPr>
                <w:ilvl w:val="0"/>
                <w:numId w:val="1"/>
              </w:numPr>
              <w:spacing w:after="0"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Strategically* planned</w:t>
            </w:r>
          </w:p>
        </w:tc>
        <w:tc>
          <w:tcPr>
            <w:tcW w:w="5785" w:type="dxa"/>
          </w:tcPr>
          <w:p w14:paraId="3BACB95E" w14:textId="77777777" w:rsidR="009E30B2" w:rsidRPr="00CE7E1A" w:rsidRDefault="009E30B2" w:rsidP="00332819">
            <w:pPr>
              <w:spacing w:line="264" w:lineRule="auto"/>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Careful consideration of the efficient use of existing resources, structures, processes, infrastructure, etc.</w:t>
            </w:r>
            <w:r>
              <w:rPr>
                <w:rFonts w:asciiTheme="minorHAnsi" w:eastAsia="Times New Roman" w:hAnsiTheme="minorHAnsi" w:cstheme="minorHAnsi"/>
                <w:sz w:val="20"/>
                <w:szCs w:val="20"/>
              </w:rPr>
              <w:t>,</w:t>
            </w:r>
            <w:r w:rsidRPr="00CE7E1A">
              <w:rPr>
                <w:rFonts w:asciiTheme="minorHAnsi" w:eastAsia="Times New Roman" w:hAnsiTheme="minorHAnsi" w:cstheme="minorHAnsi"/>
                <w:sz w:val="20"/>
                <w:szCs w:val="20"/>
              </w:rPr>
              <w:t xml:space="preserve"> within the metro to</w:t>
            </w:r>
            <w:r>
              <w:rPr>
                <w:rFonts w:asciiTheme="minorHAnsi" w:eastAsia="Times New Roman" w:hAnsiTheme="minorHAnsi" w:cstheme="minorHAnsi"/>
                <w:sz w:val="20"/>
                <w:szCs w:val="20"/>
              </w:rPr>
              <w:t xml:space="preserve"> not</w:t>
            </w:r>
            <w:r w:rsidRPr="00CE7E1A">
              <w:rPr>
                <w:rFonts w:asciiTheme="minorHAnsi" w:eastAsia="Times New Roman" w:hAnsiTheme="minorHAnsi" w:cstheme="minorHAnsi"/>
                <w:sz w:val="20"/>
                <w:szCs w:val="20"/>
              </w:rPr>
              <w:t xml:space="preserve"> add additional burdens or impacts to an already strained system and increase the social and ecological goods where they are most needed (</w:t>
            </w:r>
            <w:r w:rsidRPr="00CE7E1A">
              <w:rPr>
                <w:rFonts w:asciiTheme="minorHAnsi" w:hAnsiTheme="minorHAnsi" w:cstheme="minorHAnsi"/>
                <w:sz w:val="20"/>
                <w:szCs w:val="20"/>
              </w:rPr>
              <w:t>Republic of South Africa, 2013</w:t>
            </w:r>
            <w:r w:rsidRPr="00CE7E1A">
              <w:rPr>
                <w:rFonts w:asciiTheme="minorHAnsi" w:eastAsia="Times New Roman" w:hAnsiTheme="minorHAnsi" w:cstheme="minorHAnsi"/>
                <w:sz w:val="20"/>
                <w:szCs w:val="20"/>
              </w:rPr>
              <w:t xml:space="preserve">; </w:t>
            </w:r>
            <w:r w:rsidRPr="00CE7E1A">
              <w:rPr>
                <w:rFonts w:asciiTheme="minorHAnsi" w:hAnsiTheme="minorHAnsi" w:cstheme="minorHAnsi"/>
                <w:sz w:val="20"/>
                <w:szCs w:val="20"/>
              </w:rPr>
              <w:t>Van Niekerk, Pieterse and Le Roux, 2020</w:t>
            </w:r>
            <w:r w:rsidRPr="00CE7E1A">
              <w:rPr>
                <w:rFonts w:asciiTheme="minorHAnsi" w:eastAsia="Times New Roman" w:hAnsiTheme="minorHAnsi" w:cstheme="minorHAnsi"/>
                <w:sz w:val="20"/>
                <w:szCs w:val="20"/>
              </w:rPr>
              <w:t>)</w:t>
            </w:r>
            <w:r>
              <w:rPr>
                <w:rFonts w:asciiTheme="minorHAnsi" w:eastAsia="Times New Roman" w:hAnsiTheme="minorHAnsi" w:cstheme="minorHAnsi"/>
                <w:sz w:val="20"/>
                <w:szCs w:val="20"/>
              </w:rPr>
              <w:t>.</w:t>
            </w:r>
          </w:p>
        </w:tc>
      </w:tr>
    </w:tbl>
    <w:p w14:paraId="53A62F67" w14:textId="015AB707" w:rsidR="00307387" w:rsidRPr="00CE7E1A" w:rsidRDefault="00A67793" w:rsidP="000F0E2B">
      <w:pPr>
        <w:jc w:val="both"/>
        <w:rPr>
          <w:rFonts w:asciiTheme="minorHAnsi" w:eastAsia="Times New Roman" w:hAnsiTheme="minorHAnsi" w:cstheme="minorHAnsi"/>
          <w:sz w:val="20"/>
          <w:szCs w:val="20"/>
        </w:rPr>
      </w:pPr>
      <w:r w:rsidRPr="00CE7E1A">
        <w:rPr>
          <w:rFonts w:asciiTheme="minorHAnsi" w:eastAsia="Times New Roman" w:hAnsiTheme="minorHAnsi" w:cstheme="minorHAnsi"/>
          <w:sz w:val="20"/>
          <w:szCs w:val="20"/>
        </w:rPr>
        <w:t xml:space="preserve">*Principles that coincide with the GI literature in </w:t>
      </w:r>
      <w:r w:rsidR="000F0E2B" w:rsidRPr="00CE7E1A">
        <w:rPr>
          <w:rFonts w:asciiTheme="minorHAnsi" w:eastAsia="Times New Roman" w:hAnsiTheme="minorHAnsi" w:cstheme="minorHAnsi"/>
          <w:sz w:val="20"/>
          <w:szCs w:val="20"/>
        </w:rPr>
        <w:t>Figure</w:t>
      </w:r>
      <w:r w:rsidRPr="00CE7E1A">
        <w:rPr>
          <w:rFonts w:asciiTheme="minorHAnsi" w:eastAsia="Times New Roman" w:hAnsiTheme="minorHAnsi" w:cstheme="minorHAnsi"/>
          <w:sz w:val="20"/>
          <w:szCs w:val="20"/>
        </w:rPr>
        <w:t xml:space="preserve"> 1</w:t>
      </w:r>
      <w:bookmarkEnd w:id="0"/>
    </w:p>
    <w:p w14:paraId="2E71EEA4" w14:textId="0C558C5D" w:rsidR="00307387" w:rsidRPr="00CE7E1A" w:rsidRDefault="00307387" w:rsidP="00307387">
      <w:pPr>
        <w:rPr>
          <w:rFonts w:ascii="Times New Roman" w:hAnsi="Times New Roman" w:cs="Times New Roman"/>
          <w:b/>
          <w:bCs/>
        </w:rPr>
      </w:pPr>
      <w:r w:rsidRPr="00CE7E1A">
        <w:rPr>
          <w:rFonts w:ascii="Times New Roman" w:hAnsi="Times New Roman" w:cs="Times New Roman"/>
          <w:b/>
          <w:bCs/>
        </w:rPr>
        <w:t>References</w:t>
      </w:r>
    </w:p>
    <w:p w14:paraId="0FD915C8" w14:textId="77777777" w:rsidR="00F603A4" w:rsidRPr="00CE7E1A" w:rsidRDefault="00F603A4"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 xml:space="preserve">Cilliers, S., du Toit, M., Cilliers, J., Drewes, E. and Retief, F. 2014. Sustainable urban landscapes: South African perspectives on transdisciplinary possibilities. </w:t>
      </w:r>
      <w:r w:rsidRPr="00CE7E1A">
        <w:rPr>
          <w:rFonts w:ascii="Times New Roman" w:hAnsi="Times New Roman" w:cs="Times New Roman"/>
          <w:i/>
        </w:rPr>
        <w:t>Landscape and Urban Planning,</w:t>
      </w:r>
      <w:r w:rsidRPr="00CE7E1A">
        <w:rPr>
          <w:rFonts w:ascii="Times New Roman" w:hAnsi="Times New Roman" w:cs="Times New Roman"/>
        </w:rPr>
        <w:t xml:space="preserve"> 125260-270.10.1016/j.landurbplan.2014.02.009</w:t>
      </w:r>
    </w:p>
    <w:p w14:paraId="7CD13877" w14:textId="77777777" w:rsidR="00307387"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City of Tshwane. 2020. Review of the Open Space Framework 2020. Volumes 1–5. Pretoria, City of Tshwane, South Africa.</w:t>
      </w:r>
    </w:p>
    <w:p w14:paraId="01702977" w14:textId="77777777" w:rsidR="00307387"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Department of Human Settlements. 2019. The Neighbourhood Planning and Design Guide. Creating sustainable human settlements. Version 1.1. Pretoria: Government Printer.</w:t>
      </w:r>
    </w:p>
    <w:p w14:paraId="63CFDED8" w14:textId="77777777" w:rsidR="00F603A4" w:rsidRPr="00CE7E1A" w:rsidRDefault="00F603A4"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 xml:space="preserve">Du Toit, M. J., Cilliers, S. S., Dallimer, M., Goddard, M., Guenat, S. and Cornelius, S. F. 2018. Urban green infrastructure and ecosystem services in sub-Saharan Africa. </w:t>
      </w:r>
      <w:r w:rsidRPr="00CE7E1A">
        <w:rPr>
          <w:rFonts w:ascii="Times New Roman" w:hAnsi="Times New Roman" w:cs="Times New Roman"/>
          <w:i/>
        </w:rPr>
        <w:t>Landscape and Urban Planning,</w:t>
      </w:r>
      <w:r w:rsidRPr="00CE7E1A">
        <w:rPr>
          <w:rFonts w:ascii="Times New Roman" w:hAnsi="Times New Roman" w:cs="Times New Roman"/>
        </w:rPr>
        <w:t xml:space="preserve"> 180249-261.https://doi.org/10.1016/j.landurbplan.2018.06.001</w:t>
      </w:r>
    </w:p>
    <w:p w14:paraId="6702D380" w14:textId="77777777" w:rsidR="00F603A4"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Isikhungusethu Environmental Services, Louw, I., and Dewar, D. 2017. Draft Guidelines for the Provision of Open Space. National Department of Rural Development and Land Reform. Pretoria: Government Printer.</w:t>
      </w:r>
    </w:p>
    <w:p w14:paraId="79B57A51" w14:textId="77777777" w:rsidR="00F603A4" w:rsidRPr="00CE7E1A" w:rsidRDefault="00F603A4"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 xml:space="preserve">Monteiro, R., Ferreira, J. C. and Antunes, P. 2020. Green infrastructure planning principles: An integrated literature review. </w:t>
      </w:r>
      <w:r w:rsidRPr="00CE7E1A">
        <w:rPr>
          <w:rFonts w:ascii="Times New Roman" w:hAnsi="Times New Roman" w:cs="Times New Roman"/>
          <w:i/>
        </w:rPr>
        <w:t>Land,</w:t>
      </w:r>
      <w:r w:rsidRPr="00CE7E1A">
        <w:rPr>
          <w:rFonts w:ascii="Times New Roman" w:hAnsi="Times New Roman" w:cs="Times New Roman"/>
        </w:rPr>
        <w:t xml:space="preserve"> 9(12)</w:t>
      </w:r>
      <w:r w:rsidRPr="00CE7E1A">
        <w:rPr>
          <w:rFonts w:ascii="Times New Roman" w:hAnsi="Times New Roman" w:cs="Times New Roman"/>
          <w:b/>
        </w:rPr>
        <w:t>,</w:t>
      </w:r>
      <w:r w:rsidRPr="00CE7E1A">
        <w:rPr>
          <w:rFonts w:ascii="Times New Roman" w:hAnsi="Times New Roman" w:cs="Times New Roman"/>
        </w:rPr>
        <w:t xml:space="preserve"> 525</w:t>
      </w:r>
    </w:p>
    <w:p w14:paraId="7278B4E2" w14:textId="77777777" w:rsidR="00F603A4" w:rsidRPr="00CE7E1A" w:rsidRDefault="00F603A4"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Pauleit, S., Hansen, R., Rall, E. L., Zölch, T., Andersson, E., Luz, A. C., Szaraz, L., Tosics, I. and Vierikko, K. 2017. Urban landscapes and green infrastructure. Oxford University Press.</w:t>
      </w:r>
    </w:p>
    <w:p w14:paraId="0885C27C" w14:textId="66730E92" w:rsidR="00307387"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Republic of South Africa. 2012. National Planning Commission. National Development Plan 2030 Our Future – Make it work. Pretoria: Government Printer.</w:t>
      </w:r>
    </w:p>
    <w:p w14:paraId="0E82B9FC" w14:textId="77777777" w:rsidR="00307387"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lastRenderedPageBreak/>
        <w:t>Republic of South Africa. 2013. Spatial Planning and Land Use Management Act 16 of 2013. Pretoria: Government Printer.</w:t>
      </w:r>
    </w:p>
    <w:p w14:paraId="68DB24FB" w14:textId="6FCB83C2" w:rsidR="00307387" w:rsidRPr="00CE7E1A" w:rsidRDefault="00307387" w:rsidP="00F603A4">
      <w:pPr>
        <w:pStyle w:val="EndNoteBibliography"/>
        <w:spacing w:after="0"/>
        <w:ind w:left="720" w:hanging="720"/>
        <w:rPr>
          <w:rFonts w:ascii="Times New Roman" w:hAnsi="Times New Roman" w:cs="Times New Roman"/>
        </w:rPr>
      </w:pPr>
      <w:r w:rsidRPr="00CE7E1A">
        <w:rPr>
          <w:rFonts w:ascii="Times New Roman" w:hAnsi="Times New Roman" w:cs="Times New Roman"/>
        </w:rPr>
        <w:t xml:space="preserve">Van Niekerk, C.W., Pieterse, A. and Le Roux, A. 2020. Introducing the Green Book: A practical planning tool for adapting South African settlements to climate change. </w:t>
      </w:r>
      <w:r w:rsidRPr="00CE7E1A">
        <w:rPr>
          <w:rFonts w:ascii="Times New Roman" w:hAnsi="Times New Roman" w:cs="Times New Roman"/>
          <w:i/>
          <w:iCs/>
        </w:rPr>
        <w:t>Town and Regional Planning</w:t>
      </w:r>
      <w:r w:rsidRPr="00CE7E1A">
        <w:rPr>
          <w:rFonts w:ascii="Times New Roman" w:hAnsi="Times New Roman" w:cs="Times New Roman"/>
        </w:rPr>
        <w:t xml:space="preserve">, 77. Retrieved from </w:t>
      </w:r>
      <w:hyperlink r:id="rId8" w:history="1">
        <w:r w:rsidRPr="00CE7E1A">
          <w:rPr>
            <w:rStyle w:val="Hyperlink"/>
            <w:rFonts w:ascii="Times New Roman" w:hAnsi="Times New Roman" w:cs="Times New Roman"/>
          </w:rPr>
          <w:t>http://hdl.handle.net/10204/11771</w:t>
        </w:r>
      </w:hyperlink>
    </w:p>
    <w:sectPr w:rsidR="00307387" w:rsidRPr="00CE7E1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434F72"/>
    <w:multiLevelType w:val="hybridMultilevel"/>
    <w:tmpl w:val="F9A6F024"/>
    <w:lvl w:ilvl="0" w:tplc="1C09000F">
      <w:start w:val="1"/>
      <w:numFmt w:val="decimal"/>
      <w:lvlText w:val="%1."/>
      <w:lvlJc w:val="left"/>
      <w:pPr>
        <w:ind w:left="502" w:hanging="360"/>
      </w:pPr>
    </w:lvl>
    <w:lvl w:ilvl="1" w:tplc="1C090019" w:tentative="1">
      <w:start w:val="1"/>
      <w:numFmt w:val="lowerLetter"/>
      <w:lvlText w:val="%2."/>
      <w:lvlJc w:val="left"/>
      <w:pPr>
        <w:ind w:left="1222" w:hanging="360"/>
      </w:pPr>
    </w:lvl>
    <w:lvl w:ilvl="2" w:tplc="1C09001B" w:tentative="1">
      <w:start w:val="1"/>
      <w:numFmt w:val="lowerRoman"/>
      <w:lvlText w:val="%3."/>
      <w:lvlJc w:val="right"/>
      <w:pPr>
        <w:ind w:left="1942" w:hanging="180"/>
      </w:pPr>
    </w:lvl>
    <w:lvl w:ilvl="3" w:tplc="1C09000F" w:tentative="1">
      <w:start w:val="1"/>
      <w:numFmt w:val="decimal"/>
      <w:lvlText w:val="%4."/>
      <w:lvlJc w:val="left"/>
      <w:pPr>
        <w:ind w:left="2662" w:hanging="360"/>
      </w:pPr>
    </w:lvl>
    <w:lvl w:ilvl="4" w:tplc="1C090019" w:tentative="1">
      <w:start w:val="1"/>
      <w:numFmt w:val="lowerLetter"/>
      <w:lvlText w:val="%5."/>
      <w:lvlJc w:val="left"/>
      <w:pPr>
        <w:ind w:left="3382" w:hanging="360"/>
      </w:pPr>
    </w:lvl>
    <w:lvl w:ilvl="5" w:tplc="1C09001B" w:tentative="1">
      <w:start w:val="1"/>
      <w:numFmt w:val="lowerRoman"/>
      <w:lvlText w:val="%6."/>
      <w:lvlJc w:val="right"/>
      <w:pPr>
        <w:ind w:left="4102" w:hanging="180"/>
      </w:pPr>
    </w:lvl>
    <w:lvl w:ilvl="6" w:tplc="1C09000F" w:tentative="1">
      <w:start w:val="1"/>
      <w:numFmt w:val="decimal"/>
      <w:lvlText w:val="%7."/>
      <w:lvlJc w:val="left"/>
      <w:pPr>
        <w:ind w:left="4822" w:hanging="360"/>
      </w:pPr>
    </w:lvl>
    <w:lvl w:ilvl="7" w:tplc="1C090019" w:tentative="1">
      <w:start w:val="1"/>
      <w:numFmt w:val="lowerLetter"/>
      <w:lvlText w:val="%8."/>
      <w:lvlJc w:val="left"/>
      <w:pPr>
        <w:ind w:left="5542" w:hanging="360"/>
      </w:pPr>
    </w:lvl>
    <w:lvl w:ilvl="8" w:tplc="1C09001B" w:tentative="1">
      <w:start w:val="1"/>
      <w:numFmt w:val="lowerRoman"/>
      <w:lvlText w:val="%9."/>
      <w:lvlJc w:val="right"/>
      <w:pPr>
        <w:ind w:left="6262" w:hanging="180"/>
      </w:pPr>
    </w:lvl>
  </w:abstractNum>
  <w:num w:numId="1" w16cid:durableId="17838383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IyMzCzNDI1Mjc2MzNQ0lEKTi0uzszPAykwrgUAJhnmISwAAAA="/>
  </w:docVars>
  <w:rsids>
    <w:rsidRoot w:val="00A67793"/>
    <w:rsid w:val="000B1837"/>
    <w:rsid w:val="000C27BD"/>
    <w:rsid w:val="000D76AB"/>
    <w:rsid w:val="000F0E2B"/>
    <w:rsid w:val="00123E78"/>
    <w:rsid w:val="00167843"/>
    <w:rsid w:val="00267ECD"/>
    <w:rsid w:val="002907EC"/>
    <w:rsid w:val="002C626E"/>
    <w:rsid w:val="002E161E"/>
    <w:rsid w:val="00307387"/>
    <w:rsid w:val="00496933"/>
    <w:rsid w:val="004A4AEA"/>
    <w:rsid w:val="00512A45"/>
    <w:rsid w:val="00556E41"/>
    <w:rsid w:val="005670B3"/>
    <w:rsid w:val="006564ED"/>
    <w:rsid w:val="0069673D"/>
    <w:rsid w:val="006B1BD5"/>
    <w:rsid w:val="0073181B"/>
    <w:rsid w:val="007A0F04"/>
    <w:rsid w:val="007D4807"/>
    <w:rsid w:val="00854A89"/>
    <w:rsid w:val="009E30B2"/>
    <w:rsid w:val="009F386C"/>
    <w:rsid w:val="009F5735"/>
    <w:rsid w:val="00A66BC7"/>
    <w:rsid w:val="00A67793"/>
    <w:rsid w:val="00BF1F64"/>
    <w:rsid w:val="00C371B9"/>
    <w:rsid w:val="00CE7E1A"/>
    <w:rsid w:val="00D84CE3"/>
    <w:rsid w:val="00E6472B"/>
    <w:rsid w:val="00E969EC"/>
    <w:rsid w:val="00EE3680"/>
    <w:rsid w:val="00EE5164"/>
    <w:rsid w:val="00EF7F1E"/>
    <w:rsid w:val="00F603A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3DEBD"/>
  <w15:chartTrackingRefBased/>
  <w15:docId w15:val="{D1140818-844D-4871-A26B-D5CC70AFD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7793"/>
    <w:pPr>
      <w:spacing w:after="200" w:line="276" w:lineRule="auto"/>
    </w:pPr>
    <w:rPr>
      <w:rFonts w:ascii="Calibri" w:eastAsia="Calibri" w:hAnsi="Calibri" w:cs="Calibri"/>
      <w:lang w:val="en-US"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7793"/>
    <w:pPr>
      <w:spacing w:after="160" w:line="259" w:lineRule="auto"/>
      <w:ind w:left="720"/>
      <w:contextualSpacing/>
    </w:pPr>
    <w:rPr>
      <w:rFonts w:cs="Times New Roman"/>
    </w:rPr>
  </w:style>
  <w:style w:type="character" w:styleId="CommentReference">
    <w:name w:val="annotation reference"/>
    <w:basedOn w:val="DefaultParagraphFont"/>
    <w:uiPriority w:val="99"/>
    <w:semiHidden/>
    <w:unhideWhenUsed/>
    <w:rsid w:val="00A67793"/>
    <w:rPr>
      <w:sz w:val="16"/>
      <w:szCs w:val="16"/>
    </w:rPr>
  </w:style>
  <w:style w:type="paragraph" w:styleId="CommentText">
    <w:name w:val="annotation text"/>
    <w:basedOn w:val="Normal"/>
    <w:link w:val="CommentTextChar"/>
    <w:uiPriority w:val="99"/>
    <w:unhideWhenUsed/>
    <w:rsid w:val="00A67793"/>
    <w:pPr>
      <w:spacing w:line="240" w:lineRule="auto"/>
    </w:pPr>
    <w:rPr>
      <w:sz w:val="20"/>
      <w:szCs w:val="20"/>
    </w:rPr>
  </w:style>
  <w:style w:type="character" w:customStyle="1" w:styleId="CommentTextChar">
    <w:name w:val="Comment Text Char"/>
    <w:basedOn w:val="DefaultParagraphFont"/>
    <w:link w:val="CommentText"/>
    <w:uiPriority w:val="99"/>
    <w:rsid w:val="00A67793"/>
    <w:rPr>
      <w:rFonts w:ascii="Calibri" w:eastAsia="Calibri" w:hAnsi="Calibri" w:cs="Calibri"/>
      <w:sz w:val="20"/>
      <w:szCs w:val="20"/>
      <w:lang w:val="en-US" w:eastAsia="en-ZA"/>
    </w:rPr>
  </w:style>
  <w:style w:type="table" w:styleId="TableGrid">
    <w:name w:val="Table Grid"/>
    <w:basedOn w:val="TableNormal"/>
    <w:uiPriority w:val="39"/>
    <w:rsid w:val="00A67793"/>
    <w:pPr>
      <w:spacing w:after="0" w:line="240" w:lineRule="auto"/>
    </w:pPr>
    <w:rPr>
      <w:rFonts w:ascii="Arial" w:eastAsia="Calibri" w:hAnsi="Arial" w:cs="Arial"/>
      <w:bCs/>
      <w:iCs/>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07387"/>
    <w:rPr>
      <w:color w:val="0563C1" w:themeColor="hyperlink"/>
      <w:u w:val="single"/>
    </w:rPr>
  </w:style>
  <w:style w:type="paragraph" w:customStyle="1" w:styleId="EndNoteBibliography">
    <w:name w:val="EndNote Bibliography"/>
    <w:basedOn w:val="Normal"/>
    <w:link w:val="EndNoteBibliographyChar"/>
    <w:rsid w:val="00F603A4"/>
    <w:pPr>
      <w:spacing w:line="240" w:lineRule="auto"/>
      <w:jc w:val="both"/>
    </w:pPr>
    <w:rPr>
      <w:noProof/>
    </w:rPr>
  </w:style>
  <w:style w:type="character" w:customStyle="1" w:styleId="EndNoteBibliographyChar">
    <w:name w:val="EndNote Bibliography Char"/>
    <w:basedOn w:val="DefaultParagraphFont"/>
    <w:link w:val="EndNoteBibliography"/>
    <w:rsid w:val="00F603A4"/>
    <w:rPr>
      <w:rFonts w:ascii="Calibri" w:eastAsia="Calibri" w:hAnsi="Calibri" w:cs="Calibri"/>
      <w:noProof/>
      <w:lang w:val="en-US"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0204/11771"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sv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1324</Words>
  <Characters>7551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CA Breed</dc:creator>
  <cp:keywords/>
  <dc:description/>
  <cp:lastModifiedBy>Dr. CA Breed</cp:lastModifiedBy>
  <cp:revision>4</cp:revision>
  <dcterms:created xsi:type="dcterms:W3CDTF">2023-03-06T09:53:00Z</dcterms:created>
  <dcterms:modified xsi:type="dcterms:W3CDTF">2023-06-29T09:21:00Z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f8f81903-20de-4dc4-9c3e-9119849cae8c</vt:lpwstr>
  </property>
</Properties>
</file>