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_rels/fontTable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171" w:after="171"/>
        <w:jc w:val="both"/>
        <w:rPr>
          <w:rFonts w:ascii="Times New Roman" w:hAnsi="Times New Roman" w:eastAsia="Calibri" w:cs="Calibri"/>
          <w:b/>
          <w:bCs/>
          <w:i w:val="false"/>
          <w:i w:val="false"/>
          <w:iCs w:val="false"/>
          <w:caps w:val="false"/>
          <w:smallCaps w:val="false"/>
          <w:color w:val="000000"/>
          <w:sz w:val="22"/>
          <w:szCs w:val="22"/>
          <w:lang w:val="en-US"/>
        </w:rPr>
      </w:pPr>
      <w:r>
        <w:rPr>
          <w:rFonts w:eastAsia="Calibri" w:cs="Calibri" w:ascii="Times New Roman" w:hAnsi="Times New Roman"/>
          <w:b/>
          <w:bCs/>
          <w:i w:val="false"/>
          <w:iCs w:val="false"/>
          <w:caps w:val="false"/>
          <w:smallCaps w:val="false"/>
          <w:color w:val="000000"/>
          <w:sz w:val="22"/>
          <w:szCs w:val="22"/>
          <w:lang w:val="en-US"/>
        </w:rPr>
        <w:t>Table S2. Differences in microbial community beta-diversity matrix according to a PERMANOVA including climatic and environmental properties.</w:t>
      </w:r>
    </w:p>
    <w:tbl>
      <w:tblPr>
        <w:tblW w:w="10756" w:type="dxa"/>
        <w:jc w:val="start"/>
        <w:tblInd w:w="22" w:type="dxa"/>
        <w:tblLayout w:type="fixed"/>
        <w:tblCellMar>
          <w:top w:w="113" w:type="dxa"/>
          <w:start w:w="108" w:type="dxa"/>
          <w:bottom w:w="113" w:type="dxa"/>
          <w:end w:w="108" w:type="dxa"/>
        </w:tblCellMar>
      </w:tblPr>
      <w:tblGrid>
        <w:gridCol w:w="3566"/>
        <w:gridCol w:w="1687"/>
        <w:gridCol w:w="2466"/>
        <w:gridCol w:w="3036"/>
      </w:tblGrid>
      <w:tr>
        <w:trPr>
          <w:trHeight w:val="283" w:hRule="atLeast"/>
        </w:trPr>
        <w:tc>
          <w:tcPr>
            <w:tcW w:w="3566" w:type="dxa"/>
            <w:tcBorders>
              <w:top w:val="single" w:sz="18" w:space="0" w:color="B2B2B2"/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Independent variables</w:t>
            </w:r>
          </w:p>
        </w:tc>
        <w:tc>
          <w:tcPr>
            <w:tcW w:w="1687" w:type="dxa"/>
            <w:tcBorders>
              <w:top w:val="single" w:sz="18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R</w:t>
            </w: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2</w:t>
            </w:r>
          </w:p>
        </w:tc>
        <w:tc>
          <w:tcPr>
            <w:tcW w:w="2466" w:type="dxa"/>
            <w:tcBorders>
              <w:top w:val="single" w:sz="18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F</w:t>
            </w:r>
          </w:p>
        </w:tc>
        <w:tc>
          <w:tcPr>
            <w:tcW w:w="3036" w:type="dxa"/>
            <w:tcBorders>
              <w:top w:val="single" w:sz="18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p-value</w:t>
            </w:r>
          </w:p>
        </w:tc>
      </w:tr>
      <w:tr>
        <w:trPr>
          <w:trHeight w:val="283" w:hRule="atLeast"/>
        </w:trPr>
        <w:tc>
          <w:tcPr>
            <w:tcW w:w="10755" w:type="dxa"/>
            <w:gridSpan w:val="4"/>
            <w:tcBorders>
              <w:top w:val="single" w:sz="12" w:space="0" w:color="B2B2B2"/>
              <w:start w:val="single" w:sz="4" w:space="0" w:color="B2B2B2"/>
              <w:bottom w:val="single" w:sz="12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Bacterial and archaeal communities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Condition *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0.07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2.75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 xml:space="preserve">          </w:t>
            </w: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Hyperarid vs arid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0.12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2.26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0.07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 xml:space="preserve">          </w:t>
            </w: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Hyperarid vs saline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0.43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11.5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6.00e-3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 xml:space="preserve">          </w:t>
            </w: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Arid vs saline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0.37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5.87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6.00e-3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Mg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2+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 xml:space="preserve"> (mg L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-1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)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0.15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5.97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4.00e-4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12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Ca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2+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 xml:space="preserve"> (mg L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-1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)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12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0.07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12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2.85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12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Residual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0.46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r>
          </w:p>
        </w:tc>
      </w:tr>
      <w:tr>
        <w:trPr>
          <w:trHeight w:val="283" w:hRule="atLeast"/>
        </w:trPr>
        <w:tc>
          <w:tcPr>
            <w:tcW w:w="10755" w:type="dxa"/>
            <w:gridSpan w:val="4"/>
            <w:tcBorders>
              <w:top w:val="single" w:sz="12" w:space="0" w:color="B2B2B2"/>
              <w:start w:val="single" w:sz="4" w:space="0" w:color="B2B2B2"/>
              <w:bottom w:val="single" w:sz="12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Fungal communities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Condition *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0.12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4.85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1.00e-4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 xml:space="preserve">          </w:t>
            </w: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Hyperarid vs arid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0.19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4.03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6.00e-3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 xml:space="preserve">          </w:t>
            </w: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Hyperarid vs saline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0.15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2.54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0.02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 xml:space="preserve">          </w:t>
            </w: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Arid vs saline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0.21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2.66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0.01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K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+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position w:val="0"/>
                <w:sz w:val="18"/>
                <w:sz w:val="18"/>
                <w:szCs w:val="18"/>
                <w:vertAlign w:val="baseline"/>
                <w:lang w:val="en-US" w:eastAsia="en-US" w:bidi="ar-SA"/>
              </w:rPr>
              <w:t xml:space="preserve"> (mg L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-1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position w:val="0"/>
                <w:sz w:val="18"/>
                <w:sz w:val="18"/>
                <w:szCs w:val="18"/>
                <w:vertAlign w:val="baseline"/>
                <w:lang w:val="en-US" w:eastAsia="en-US" w:bidi="ar-SA"/>
              </w:rPr>
              <w:t>)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0.15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6.07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1.00e-4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Na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+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position w:val="0"/>
                <w:sz w:val="18"/>
                <w:sz w:val="18"/>
                <w:szCs w:val="18"/>
                <w:vertAlign w:val="baseline"/>
                <w:lang w:val="en-US" w:eastAsia="en-US" w:bidi="ar-SA"/>
              </w:rPr>
              <w:t xml:space="preserve"> (mg L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-1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position w:val="0"/>
                <w:sz w:val="18"/>
                <w:sz w:val="18"/>
                <w:szCs w:val="18"/>
                <w:vertAlign w:val="baseline"/>
                <w:lang w:val="en-US" w:eastAsia="en-US" w:bidi="ar-SA"/>
              </w:rPr>
              <w:t>)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0.14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5.74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1.00e-4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Ca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2+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position w:val="0"/>
                <w:sz w:val="18"/>
                <w:sz w:val="18"/>
                <w:szCs w:val="18"/>
                <w:vertAlign w:val="baseline"/>
                <w:lang w:val="en-US" w:eastAsia="en-US" w:bidi="ar-SA"/>
              </w:rPr>
              <w:t xml:space="preserve"> (mg L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-1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position w:val="0"/>
                <w:sz w:val="18"/>
                <w:sz w:val="18"/>
                <w:szCs w:val="18"/>
                <w:vertAlign w:val="baseline"/>
                <w:lang w:val="en-US" w:eastAsia="en-US" w:bidi="ar-SA"/>
              </w:rPr>
              <w:t>)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0.08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2.99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4.00e-4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ascii="Times New Roman" w:hAnsi="Times New Roman"/>
                <w:kern w:val="0"/>
                <w:sz w:val="18"/>
                <w:szCs w:val="18"/>
                <w:lang w:val="en-US" w:eastAsia="en-US" w:bidi="ar-SA"/>
              </w:rPr>
              <w:t>%C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0.09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3.49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4.00e-4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ascii="Times New Roman" w:hAnsi="Times New Roman"/>
                <w:kern w:val="0"/>
                <w:sz w:val="18"/>
                <w:szCs w:val="18"/>
                <w:lang w:val="en-US" w:eastAsia="en-US" w:bidi="ar-SA"/>
              </w:rPr>
              <w:t>Ammonium (mg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 xml:space="preserve"> L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-1</w:t>
            </w:r>
            <w:r>
              <w:rPr>
                <w:rFonts w:eastAsia="Calibri" w:ascii="Times New Roman" w:hAnsi="Times New Roman"/>
                <w:kern w:val="0"/>
                <w:sz w:val="18"/>
                <w:szCs w:val="18"/>
                <w:lang w:val="en-US" w:eastAsia="en-US" w:bidi="ar-SA"/>
              </w:rPr>
              <w:t>)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0.08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2.98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2.40e-3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ascii="Times New Roman" w:hAnsi="Times New Roman"/>
                <w:kern w:val="0"/>
                <w:sz w:val="18"/>
                <w:szCs w:val="18"/>
                <w:lang w:val="en-US" w:eastAsia="en-US" w:bidi="ar-SA"/>
              </w:rPr>
              <w:t>pH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0.07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2.85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4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4.30e-3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12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eastAsia="Calibri" w:ascii="Times New Roman" w:hAnsi="Times New Roman"/>
                <w:kern w:val="0"/>
                <w:sz w:val="18"/>
                <w:szCs w:val="18"/>
                <w:lang w:val="en-US" w:eastAsia="en-US" w:bidi="ar-SA"/>
              </w:rPr>
              <w:t>Nitrate (mg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 xml:space="preserve"> L</w:t>
            </w: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vertAlign w:val="superscript"/>
                <w:lang w:val="en-US" w:eastAsia="en-US" w:bidi="ar-SA"/>
              </w:rPr>
              <w:t>-1</w:t>
            </w:r>
            <w:r>
              <w:rPr>
                <w:rFonts w:eastAsia="Calibri" w:ascii="Times New Roman" w:hAnsi="Times New Roman"/>
                <w:kern w:val="0"/>
                <w:sz w:val="18"/>
                <w:szCs w:val="18"/>
                <w:lang w:val="en-US" w:eastAsia="en-US" w:bidi="ar-SA"/>
              </w:rPr>
              <w:t>)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12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0.06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12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2.19</w:t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12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0.02</w:t>
            </w:r>
          </w:p>
        </w:tc>
      </w:tr>
      <w:tr>
        <w:trPr>
          <w:trHeight w:val="283" w:hRule="atLeast"/>
        </w:trPr>
        <w:tc>
          <w:tcPr>
            <w:tcW w:w="3566" w:type="dxa"/>
            <w:tcBorders>
              <w:start w:val="single" w:sz="4" w:space="0" w:color="B2B2B2"/>
              <w:bottom w:val="single" w:sz="18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Residual</w:t>
            </w:r>
          </w:p>
        </w:tc>
        <w:tc>
          <w:tcPr>
            <w:tcW w:w="1687" w:type="dxa"/>
            <w:tcBorders>
              <w:start w:val="single" w:sz="4" w:space="0" w:color="B2B2B2"/>
              <w:bottom w:val="single" w:sz="18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0.38</w:t>
            </w:r>
          </w:p>
        </w:tc>
        <w:tc>
          <w:tcPr>
            <w:tcW w:w="2466" w:type="dxa"/>
            <w:tcBorders>
              <w:start w:val="single" w:sz="4" w:space="0" w:color="B2B2B2"/>
              <w:bottom w:val="single" w:sz="18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r>
          </w:p>
        </w:tc>
        <w:tc>
          <w:tcPr>
            <w:tcW w:w="3036" w:type="dxa"/>
            <w:tcBorders>
              <w:start w:val="single" w:sz="4" w:space="0" w:color="B2B2B2"/>
              <w:bottom w:val="single" w:sz="18" w:space="0" w:color="B2B2B2"/>
              <w:end w:val="single" w:sz="4" w:space="0" w:color="B2B2B2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r>
          </w:p>
        </w:tc>
      </w:tr>
    </w:tbl>
    <w:p>
      <w:pPr>
        <w:pStyle w:val="Normal"/>
        <w:spacing w:lineRule="auto" w:line="276" w:before="0" w:after="0"/>
        <w:jc w:val="both"/>
        <w:rPr>
          <w:rFonts w:ascii="Times New Roman" w:hAnsi="Times New Roman" w:eastAsia="Calibri" w:cs="Calibri"/>
          <w:b/>
          <w:bCs/>
          <w:i w:val="false"/>
          <w:i w:val="false"/>
          <w:iCs w:val="false"/>
          <w:caps w:val="false"/>
          <w:smallCaps w:val="false"/>
          <w:color w:val="000000"/>
          <w:sz w:val="12"/>
          <w:szCs w:val="12"/>
          <w:lang w:val="en-US"/>
        </w:rPr>
      </w:pPr>
      <w:r>
        <w:rPr>
          <w:rFonts w:eastAsia="Calibri" w:cs="Calibri" w:ascii="Times New Roman" w:hAnsi="Times New Roman"/>
          <w:b/>
          <w:bCs/>
          <w:i w:val="false"/>
          <w:iCs w:val="false"/>
          <w:caps w:val="false"/>
          <w:smallCaps w:val="false"/>
          <w:color w:val="000000"/>
          <w:sz w:val="12"/>
          <w:szCs w:val="12"/>
          <w:lang w:val="en-US"/>
        </w:rPr>
      </w:r>
    </w:p>
    <w:p>
      <w:pPr>
        <w:pStyle w:val="Standard"/>
        <w:spacing w:before="0" w:after="103"/>
        <w:rPr>
          <w:rFonts w:ascii="Times New Roman" w:hAnsi="Times New Roman" w:eastAsia="Calibri" w:cs="Calibri"/>
          <w:color w:val="000000"/>
          <w:sz w:val="22"/>
          <w:szCs w:val="22"/>
          <w:lang w:val="en-US"/>
        </w:rPr>
      </w:pPr>
      <w:r>
        <w:rPr>
          <w:rFonts w:eastAsia="Calibri" w:cs="Calibri" w:ascii="Times New Roman" w:hAnsi="Times New Roman"/>
          <w:color w:val="000000"/>
          <w:sz w:val="22"/>
          <w:szCs w:val="22"/>
          <w:lang w:val="en-US"/>
        </w:rPr>
        <w:t>* An independent pairwise PERMANOVA was performed to compared between groups.</w:t>
      </w:r>
      <w:r>
        <w:br w:type="page"/>
      </w:r>
    </w:p>
    <w:p>
      <w:pPr>
        <w:pStyle w:val="Normal"/>
        <w:spacing w:lineRule="auto" w:line="276" w:before="0" w:after="171"/>
        <w:jc w:val="both"/>
        <w:rPr>
          <w:rFonts w:ascii="Times New Roman" w:hAnsi="Times New Roman" w:cs="Calibri"/>
          <w:b/>
          <w:bCs/>
          <w:sz w:val="22"/>
          <w:szCs w:val="22"/>
          <w:lang w:val="en-US"/>
        </w:rPr>
      </w:pPr>
      <w:r>
        <w:rPr>
          <w:rFonts w:cs="Calibri" w:ascii="Times New Roman" w:hAnsi="Times New Roman"/>
          <w:b/>
          <w:bCs/>
          <w:sz w:val="22"/>
          <w:szCs w:val="22"/>
          <w:lang w:val="en-US"/>
        </w:rPr>
        <w:t>Table S4. Summary of effect size (Cohen’s d) and significance between groups for each community assembly process.</w:t>
      </w:r>
    </w:p>
    <w:tbl>
      <w:tblPr>
        <w:tblW w:w="10760" w:type="dxa"/>
        <w:jc w:val="start"/>
        <w:tblInd w:w="0" w:type="dxa"/>
        <w:tblLayout w:type="fixed"/>
        <w:tblCellMar>
          <w:top w:w="57" w:type="dxa"/>
          <w:start w:w="108" w:type="dxa"/>
          <w:bottom w:w="57" w:type="dxa"/>
          <w:end w:w="108" w:type="dxa"/>
        </w:tblCellMar>
      </w:tblPr>
      <w:tblGrid>
        <w:gridCol w:w="1068"/>
        <w:gridCol w:w="1026"/>
        <w:gridCol w:w="851"/>
        <w:gridCol w:w="797"/>
        <w:gridCol w:w="839"/>
        <w:gridCol w:w="862"/>
        <w:gridCol w:w="840"/>
        <w:gridCol w:w="916"/>
        <w:gridCol w:w="796"/>
        <w:gridCol w:w="841"/>
        <w:gridCol w:w="970"/>
        <w:gridCol w:w="953"/>
      </w:tblGrid>
      <w:tr>
        <w:trPr>
          <w:trHeight w:val="736" w:hRule="atLeast"/>
        </w:trPr>
        <w:tc>
          <w:tcPr>
            <w:tcW w:w="2094" w:type="dxa"/>
            <w:gridSpan w:val="2"/>
            <w:tcBorders>
              <w:top w:val="single" w:sz="12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r>
          </w:p>
        </w:tc>
        <w:tc>
          <w:tcPr>
            <w:tcW w:w="1648" w:type="dxa"/>
            <w:gridSpan w:val="2"/>
            <w:tcBorders>
              <w:top w:val="single" w:sz="12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Heterogeneous selection</w:t>
            </w:r>
          </w:p>
        </w:tc>
        <w:tc>
          <w:tcPr>
            <w:tcW w:w="1701" w:type="dxa"/>
            <w:gridSpan w:val="2"/>
            <w:tcBorders>
              <w:top w:val="single" w:sz="12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Homogeneous selection</w:t>
            </w:r>
          </w:p>
        </w:tc>
        <w:tc>
          <w:tcPr>
            <w:tcW w:w="1756" w:type="dxa"/>
            <w:gridSpan w:val="2"/>
            <w:tcBorders>
              <w:top w:val="single" w:sz="12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Dispersal limitation</w:t>
            </w:r>
          </w:p>
        </w:tc>
        <w:tc>
          <w:tcPr>
            <w:tcW w:w="1637" w:type="dxa"/>
            <w:gridSpan w:val="2"/>
            <w:tcBorders>
              <w:top w:val="single" w:sz="12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Homogenizing dispersal</w:t>
            </w:r>
          </w:p>
        </w:tc>
        <w:tc>
          <w:tcPr>
            <w:tcW w:w="1923" w:type="dxa"/>
            <w:gridSpan w:val="2"/>
            <w:tcBorders>
              <w:top w:val="single" w:sz="12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Drift and others</w:t>
            </w:r>
          </w:p>
        </w:tc>
      </w:tr>
      <w:tr>
        <w:trPr>
          <w:trHeight w:val="480" w:hRule="atLeast"/>
        </w:trPr>
        <w:tc>
          <w:tcPr>
            <w:tcW w:w="1068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Group 1</w:t>
            </w:r>
          </w:p>
        </w:tc>
        <w:tc>
          <w:tcPr>
            <w:tcW w:w="1026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Group 2</w:t>
            </w:r>
          </w:p>
        </w:tc>
        <w:tc>
          <w:tcPr>
            <w:tcW w:w="851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Effect size</w:t>
            </w:r>
          </w:p>
        </w:tc>
        <w:tc>
          <w:tcPr>
            <w:tcW w:w="797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p-value</w:t>
            </w:r>
          </w:p>
        </w:tc>
        <w:tc>
          <w:tcPr>
            <w:tcW w:w="839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Effect size</w:t>
            </w:r>
          </w:p>
        </w:tc>
        <w:tc>
          <w:tcPr>
            <w:tcW w:w="862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p-value</w:t>
            </w:r>
          </w:p>
        </w:tc>
        <w:tc>
          <w:tcPr>
            <w:tcW w:w="840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Effect size</w:t>
            </w:r>
          </w:p>
        </w:tc>
        <w:tc>
          <w:tcPr>
            <w:tcW w:w="916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p-value</w:t>
            </w:r>
          </w:p>
        </w:tc>
        <w:tc>
          <w:tcPr>
            <w:tcW w:w="796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Effect size</w:t>
            </w:r>
          </w:p>
        </w:tc>
        <w:tc>
          <w:tcPr>
            <w:tcW w:w="841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p-value</w:t>
            </w:r>
          </w:p>
        </w:tc>
        <w:tc>
          <w:tcPr>
            <w:tcW w:w="970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Effect size</w:t>
            </w:r>
          </w:p>
        </w:tc>
        <w:tc>
          <w:tcPr>
            <w:tcW w:w="953" w:type="dxa"/>
            <w:tcBorders>
              <w:bottom w:val="single" w:sz="6" w:space="0" w:color="666666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p-value</w:t>
            </w:r>
          </w:p>
        </w:tc>
      </w:tr>
      <w:tr>
        <w:trPr>
          <w:trHeight w:val="480" w:hRule="atLeast"/>
        </w:trPr>
        <w:tc>
          <w:tcPr>
            <w:tcW w:w="10759" w:type="dxa"/>
            <w:gridSpan w:val="12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Bacterial and archaeal communities</w:t>
            </w:r>
          </w:p>
        </w:tc>
      </w:tr>
      <w:tr>
        <w:trPr>
          <w:trHeight w:val="480" w:hRule="atLeast"/>
        </w:trPr>
        <w:tc>
          <w:tcPr>
            <w:tcW w:w="106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Hyperarid</w:t>
            </w:r>
          </w:p>
        </w:tc>
        <w:tc>
          <w:tcPr>
            <w:tcW w:w="102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Arid</w:t>
            </w:r>
          </w:p>
        </w:tc>
        <w:tc>
          <w:tcPr>
            <w:tcW w:w="85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-1.49</w:t>
            </w:r>
          </w:p>
        </w:tc>
        <w:tc>
          <w:tcPr>
            <w:tcW w:w="797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0.13</w:t>
            </w:r>
          </w:p>
        </w:tc>
        <w:tc>
          <w:tcPr>
            <w:tcW w:w="839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4.39</w:t>
            </w:r>
          </w:p>
        </w:tc>
        <w:tc>
          <w:tcPr>
            <w:tcW w:w="862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1.68e-3</w:t>
            </w:r>
          </w:p>
        </w:tc>
        <w:tc>
          <w:tcPr>
            <w:tcW w:w="84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-0.59</w:t>
            </w:r>
          </w:p>
        </w:tc>
        <w:tc>
          <w:tcPr>
            <w:tcW w:w="91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0.27</w:t>
            </w:r>
          </w:p>
        </w:tc>
        <w:tc>
          <w:tcPr>
            <w:tcW w:w="79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0.96</w:t>
            </w:r>
          </w:p>
        </w:tc>
        <w:tc>
          <w:tcPr>
            <w:tcW w:w="8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0.22</w:t>
            </w:r>
          </w:p>
        </w:tc>
        <w:tc>
          <w:tcPr>
            <w:tcW w:w="97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-1.18</w:t>
            </w:r>
          </w:p>
        </w:tc>
        <w:tc>
          <w:tcPr>
            <w:tcW w:w="95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0.17</w:t>
            </w:r>
          </w:p>
        </w:tc>
      </w:tr>
      <w:tr>
        <w:trPr>
          <w:trHeight w:val="480" w:hRule="atLeast"/>
        </w:trPr>
        <w:tc>
          <w:tcPr>
            <w:tcW w:w="106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Hyperarid</w:t>
            </w:r>
          </w:p>
        </w:tc>
        <w:tc>
          <w:tcPr>
            <w:tcW w:w="102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Saline</w:t>
            </w:r>
          </w:p>
        </w:tc>
        <w:tc>
          <w:tcPr>
            <w:tcW w:w="85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-0.89</w:t>
            </w:r>
          </w:p>
        </w:tc>
        <w:tc>
          <w:tcPr>
            <w:tcW w:w="797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0.24</w:t>
            </w:r>
          </w:p>
        </w:tc>
        <w:tc>
          <w:tcPr>
            <w:tcW w:w="839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-1.23</w:t>
            </w:r>
          </w:p>
        </w:tc>
        <w:tc>
          <w:tcPr>
            <w:tcW w:w="862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0.18</w:t>
            </w:r>
          </w:p>
        </w:tc>
        <w:tc>
          <w:tcPr>
            <w:tcW w:w="84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-0.90</w:t>
            </w:r>
          </w:p>
        </w:tc>
        <w:tc>
          <w:tcPr>
            <w:tcW w:w="91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0.20</w:t>
            </w:r>
          </w:p>
        </w:tc>
        <w:tc>
          <w:tcPr>
            <w:tcW w:w="79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-0.69</w:t>
            </w:r>
          </w:p>
        </w:tc>
        <w:tc>
          <w:tcPr>
            <w:tcW w:w="8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0.29</w:t>
            </w:r>
          </w:p>
        </w:tc>
        <w:tc>
          <w:tcPr>
            <w:tcW w:w="97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4.78</w:t>
            </w:r>
          </w:p>
        </w:tc>
        <w:tc>
          <w:tcPr>
            <w:tcW w:w="95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8.48e-3</w:t>
            </w:r>
          </w:p>
        </w:tc>
      </w:tr>
      <w:tr>
        <w:trPr>
          <w:trHeight w:val="480" w:hRule="atLeast"/>
        </w:trPr>
        <w:tc>
          <w:tcPr>
            <w:tcW w:w="1068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Arid</w:t>
            </w:r>
          </w:p>
        </w:tc>
        <w:tc>
          <w:tcPr>
            <w:tcW w:w="1026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Saline</w:t>
            </w:r>
          </w:p>
        </w:tc>
        <w:tc>
          <w:tcPr>
            <w:tcW w:w="851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0.55</w:t>
            </w:r>
          </w:p>
        </w:tc>
        <w:tc>
          <w:tcPr>
            <w:tcW w:w="797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0.36</w:t>
            </w:r>
          </w:p>
        </w:tc>
        <w:tc>
          <w:tcPr>
            <w:tcW w:w="839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-2.46</w:t>
            </w:r>
          </w:p>
        </w:tc>
        <w:tc>
          <w:tcPr>
            <w:tcW w:w="862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0.01</w:t>
            </w:r>
          </w:p>
        </w:tc>
        <w:tc>
          <w:tcPr>
            <w:tcW w:w="840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-0.49</w:t>
            </w:r>
          </w:p>
        </w:tc>
        <w:tc>
          <w:tcPr>
            <w:tcW w:w="916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0.30</w:t>
            </w:r>
          </w:p>
        </w:tc>
        <w:tc>
          <w:tcPr>
            <w:tcW w:w="796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-1.72</w:t>
            </w:r>
          </w:p>
        </w:tc>
        <w:tc>
          <w:tcPr>
            <w:tcW w:w="841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0.11</w:t>
            </w:r>
          </w:p>
        </w:tc>
        <w:tc>
          <w:tcPr>
            <w:tcW w:w="970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4.32</w:t>
            </w:r>
          </w:p>
        </w:tc>
        <w:tc>
          <w:tcPr>
            <w:tcW w:w="953" w:type="dxa"/>
            <w:tcBorders>
              <w:bottom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2.25e-3</w:t>
            </w:r>
          </w:p>
        </w:tc>
      </w:tr>
      <w:tr>
        <w:trPr>
          <w:trHeight w:val="480" w:hRule="atLeast"/>
        </w:trPr>
        <w:tc>
          <w:tcPr>
            <w:tcW w:w="10759" w:type="dxa"/>
            <w:gridSpan w:val="12"/>
            <w:tcBorders>
              <w:top w:val="single" w:sz="6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b/>
                <w:bCs/>
                <w:kern w:val="0"/>
                <w:sz w:val="18"/>
                <w:szCs w:val="18"/>
                <w:lang w:val="en-US" w:eastAsia="en-US" w:bidi="ar-SA"/>
              </w:rPr>
              <w:t>Fungal communities</w:t>
            </w:r>
          </w:p>
        </w:tc>
      </w:tr>
      <w:tr>
        <w:trPr>
          <w:trHeight w:val="480" w:hRule="atLeast"/>
        </w:trPr>
        <w:tc>
          <w:tcPr>
            <w:tcW w:w="106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Hyperarid</w:t>
            </w:r>
          </w:p>
        </w:tc>
        <w:tc>
          <w:tcPr>
            <w:tcW w:w="102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Arid</w:t>
            </w:r>
          </w:p>
        </w:tc>
        <w:tc>
          <w:tcPr>
            <w:tcW w:w="85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-1.47</w:t>
            </w:r>
          </w:p>
        </w:tc>
        <w:tc>
          <w:tcPr>
            <w:tcW w:w="797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0.14</w:t>
            </w:r>
          </w:p>
        </w:tc>
        <w:tc>
          <w:tcPr>
            <w:tcW w:w="839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0.47</w:t>
            </w:r>
          </w:p>
        </w:tc>
        <w:tc>
          <w:tcPr>
            <w:tcW w:w="862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0.40</w:t>
            </w:r>
          </w:p>
        </w:tc>
        <w:tc>
          <w:tcPr>
            <w:tcW w:w="84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-2.16</w:t>
            </w:r>
          </w:p>
        </w:tc>
        <w:tc>
          <w:tcPr>
            <w:tcW w:w="91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0.05</w:t>
            </w:r>
          </w:p>
        </w:tc>
        <w:tc>
          <w:tcPr>
            <w:tcW w:w="79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0.43</w:t>
            </w:r>
          </w:p>
        </w:tc>
        <w:tc>
          <w:tcPr>
            <w:tcW w:w="8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0.49</w:t>
            </w:r>
          </w:p>
        </w:tc>
        <w:tc>
          <w:tcPr>
            <w:tcW w:w="97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3.00</w:t>
            </w:r>
          </w:p>
        </w:tc>
        <w:tc>
          <w:tcPr>
            <w:tcW w:w="95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0.01</w:t>
            </w:r>
          </w:p>
        </w:tc>
      </w:tr>
      <w:tr>
        <w:trPr>
          <w:trHeight w:val="480" w:hRule="atLeast"/>
        </w:trPr>
        <w:tc>
          <w:tcPr>
            <w:tcW w:w="106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Hyperarid</w:t>
            </w:r>
          </w:p>
        </w:tc>
        <w:tc>
          <w:tcPr>
            <w:tcW w:w="102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Saline</w:t>
            </w:r>
          </w:p>
        </w:tc>
        <w:tc>
          <w:tcPr>
            <w:tcW w:w="85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-1.00</w:t>
            </w:r>
          </w:p>
        </w:tc>
        <w:tc>
          <w:tcPr>
            <w:tcW w:w="797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0.36</w:t>
            </w:r>
          </w:p>
        </w:tc>
        <w:tc>
          <w:tcPr>
            <w:tcW w:w="839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-1.44</w:t>
            </w:r>
          </w:p>
        </w:tc>
        <w:tc>
          <w:tcPr>
            <w:tcW w:w="862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0.13</w:t>
            </w:r>
          </w:p>
        </w:tc>
        <w:tc>
          <w:tcPr>
            <w:tcW w:w="84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0.79</w:t>
            </w:r>
          </w:p>
        </w:tc>
        <w:tc>
          <w:tcPr>
            <w:tcW w:w="91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0.33</w:t>
            </w:r>
          </w:p>
        </w:tc>
        <w:tc>
          <w:tcPr>
            <w:tcW w:w="79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0.19</w:t>
            </w:r>
          </w:p>
        </w:tc>
        <w:tc>
          <w:tcPr>
            <w:tcW w:w="84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0.56</w:t>
            </w:r>
          </w:p>
        </w:tc>
        <w:tc>
          <w:tcPr>
            <w:tcW w:w="97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3.05</w:t>
            </w:r>
          </w:p>
        </w:tc>
        <w:tc>
          <w:tcPr>
            <w:tcW w:w="95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/>
                <w:bCs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/>
                <w:bCs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0.01</w:t>
            </w:r>
          </w:p>
        </w:tc>
      </w:tr>
      <w:tr>
        <w:trPr>
          <w:trHeight w:val="480" w:hRule="atLeast"/>
        </w:trPr>
        <w:tc>
          <w:tcPr>
            <w:tcW w:w="1068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start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Arid</w:t>
            </w:r>
          </w:p>
        </w:tc>
        <w:tc>
          <w:tcPr>
            <w:tcW w:w="1026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Saline</w:t>
            </w:r>
          </w:p>
        </w:tc>
        <w:tc>
          <w:tcPr>
            <w:tcW w:w="851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-0.52</w:t>
            </w:r>
          </w:p>
        </w:tc>
        <w:tc>
          <w:tcPr>
            <w:tcW w:w="797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0.43</w:t>
            </w:r>
          </w:p>
        </w:tc>
        <w:tc>
          <w:tcPr>
            <w:tcW w:w="839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ascii="Times New Roman" w:hAnsi="Times New Roman"/>
                <w:kern w:val="0"/>
                <w:sz w:val="18"/>
                <w:szCs w:val="18"/>
                <w:lang w:val="en-US" w:eastAsia="en-US" w:bidi="ar-SA"/>
              </w:rPr>
              <w:t>-1.60</w:t>
            </w:r>
          </w:p>
        </w:tc>
        <w:tc>
          <w:tcPr>
            <w:tcW w:w="862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0.10</w:t>
            </w:r>
          </w:p>
        </w:tc>
        <w:tc>
          <w:tcPr>
            <w:tcW w:w="840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1.47</w:t>
            </w:r>
          </w:p>
        </w:tc>
        <w:tc>
          <w:tcPr>
            <w:tcW w:w="916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0.12</w:t>
            </w:r>
          </w:p>
        </w:tc>
        <w:tc>
          <w:tcPr>
            <w:tcW w:w="796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-0.61</w:t>
            </w:r>
          </w:p>
        </w:tc>
        <w:tc>
          <w:tcPr>
            <w:tcW w:w="841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0.33</w:t>
            </w:r>
          </w:p>
        </w:tc>
        <w:tc>
          <w:tcPr>
            <w:tcW w:w="970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1.11</w:t>
            </w:r>
          </w:p>
        </w:tc>
        <w:tc>
          <w:tcPr>
            <w:tcW w:w="953" w:type="dxa"/>
            <w:tcBorders>
              <w:bottom w:val="single" w:sz="12" w:space="0" w:color="595959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Calibri" w:cs="Calibri"/>
                <w:b w:val="false"/>
                <w:bCs w:val="false"/>
                <w:i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</w:pPr>
            <w:r>
              <w:rPr>
                <w:rFonts w:eastAsia="Calibri" w:cs="Calibri" w:ascii="Times New Roman" w:hAnsi="Times New Roman"/>
                <w:b w:val="false"/>
                <w:bCs w:val="false"/>
                <w:i w:val="false"/>
                <w:iCs w:val="false"/>
                <w:kern w:val="0"/>
                <w:sz w:val="18"/>
                <w:szCs w:val="18"/>
                <w:lang w:val="en-US" w:eastAsia="en-US" w:bidi="ar-SA"/>
              </w:rPr>
              <w:t>0.21</w:t>
            </w:r>
          </w:p>
        </w:tc>
      </w:tr>
    </w:tbl>
    <w:p>
      <w:pPr>
        <w:pStyle w:val="Normal"/>
        <w:spacing w:lineRule="auto" w:line="276" w:before="0" w:after="0"/>
        <w:jc w:val="start"/>
        <w:rPr>
          <w:rFonts w:ascii="Times New Roman" w:hAnsi="Times New Roman" w:cs="Calibri"/>
          <w:b/>
          <w:bCs/>
          <w:lang w:val="en-US"/>
        </w:rPr>
      </w:pPr>
      <w:r>
        <w:rPr>
          <w:rFonts w:cs="Calibri" w:ascii="Times New Roman" w:hAnsi="Times New Roman"/>
          <w:b/>
          <w:bCs/>
          <w:lang w:val="en-US"/>
        </w:rPr>
      </w:r>
    </w:p>
    <w:sectPr>
      <w:type w:val="nextPage"/>
      <w:pgSz w:w="12240" w:h="15840"/>
      <w:pgMar w:left="720" w:right="720" w:gutter="0" w:header="0" w:top="720" w:footer="0" w:bottom="72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 w:characterSet="windows-1252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00" w:characterSet="windows-1252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Liberation Sans">
    <w:altName w:val="Arial"/>
    <w:charset w:val="00" w:characterSet="windows-1252"/>
    <w:family w:val="roman"/>
    <w:pitch w:val="variable"/>
    <w:embedRegular r:id="rId14" w:fontKey="{0E014A78-CABC-4EF0-12AC-5CD89AEFDE0E}"/>
  </w:font>
</w:fonts>
</file>

<file path=word/settings.xml><?xml version="1.0" encoding="utf-8"?>
<w:settings xmlns:w="http://schemas.openxmlformats.org/wordprocessingml/2006/main">
  <w:zoom w:percent="110"/>
  <w:embedTrueTypeFonts/>
  <w:defaultTabStop w:val="709"/>
  <w:autoHyphenation w:val="true"/>
  <w:hyphenationZone w:val="425"/>
  <w:compat>
    <w:doNotBreakWrappedTables/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es-C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es-CL" w:eastAsia="zh-CN" w:bidi="hi-IN"/>
    </w:rPr>
  </w:style>
  <w:style w:type="character" w:styleId="DefaultParagraphFont">
    <w:name w:val="Default Paragraph Font"/>
    <w:qFormat/>
    <w:rPr/>
  </w:style>
  <w:style w:type="character" w:styleId="En-tteCar">
    <w:name w:val="En-tête Car"/>
    <w:basedOn w:val="DefaultParagraphFont"/>
    <w:qFormat/>
    <w:rPr>
      <w:rFonts w:cs="Mangal"/>
      <w:szCs w:val="21"/>
    </w:rPr>
  </w:style>
  <w:style w:type="character" w:styleId="PieddepageCar">
    <w:name w:val="Pied de page Car"/>
    <w:basedOn w:val="DefaultParagraphFont"/>
    <w:qFormat/>
    <w:rPr>
      <w:rFonts w:cs="Mangal"/>
      <w:szCs w:val="21"/>
    </w:rPr>
  </w:style>
  <w:style w:type="paragraph" w:styleId="Ttulo">
    <w:name w:val="Título"/>
    <w:basedOn w:val="Standard"/>
    <w:next w:val="Textbody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Standard"/>
    <w:qFormat/>
    <w:pPr>
      <w:suppressLineNumbers/>
    </w:pPr>
    <w:rPr/>
  </w:style>
  <w:style w:type="paragraph" w:styleId="Standard">
    <w:name w:val="Standard"/>
    <w:qFormat/>
    <w:pPr>
      <w:widowControl/>
      <w:suppressAutoHyphens w:val="true"/>
      <w:overflowPunct w:val="false"/>
      <w:bidi w:val="0"/>
      <w:spacing w:before="0" w:after="0"/>
      <w:jc w:val="star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es-CL" w:eastAsia="zh-CN" w:bidi="hi-IN"/>
    </w:rPr>
  </w:style>
  <w:style w:type="paragraph" w:styleId="Textbody">
    <w:name w:val="Text body"/>
    <w:basedOn w:val="Standard"/>
    <w:qFormat/>
    <w:pPr>
      <w:spacing w:lineRule="auto" w:line="276" w:before="0" w:after="140"/>
    </w:pPr>
    <w:rPr/>
  </w:style>
  <w:style w:type="paragraph" w:styleId="Caption1">
    <w:name w:val="caption1"/>
    <w:basedOn w:val="Standard"/>
    <w:qFormat/>
    <w:pPr>
      <w:suppressLineNumbers/>
      <w:spacing w:before="120" w:after="120"/>
    </w:pPr>
    <w:rPr>
      <w:i/>
      <w:iCs/>
    </w:rPr>
  </w:style>
  <w:style w:type="paragraph" w:styleId="Cabeceraypie">
    <w:name w:val="Cabecera y pie"/>
    <w:basedOn w:val="Normal"/>
    <w:qFormat/>
    <w:pPr/>
    <w:rPr/>
  </w:style>
  <w:style w:type="paragraph" w:styleId="Header">
    <w:name w:val="Header"/>
    <w:basedOn w:val="Normal"/>
    <w:link w:val="En-tteCar"/>
    <w:pPr>
      <w:tabs>
        <w:tab w:val="clear" w:pos="709"/>
        <w:tab w:val="center" w:pos="4419" w:leader="none"/>
        <w:tab w:val="right" w:pos="8838" w:leader="none"/>
      </w:tabs>
    </w:pPr>
    <w:rPr>
      <w:rFonts w:cs="Mangal"/>
      <w:szCs w:val="21"/>
    </w:rPr>
  </w:style>
  <w:style w:type="paragraph" w:styleId="Footer">
    <w:name w:val="Footer"/>
    <w:basedOn w:val="Normal"/>
    <w:link w:val="PieddepageCar"/>
    <w:pPr>
      <w:tabs>
        <w:tab w:val="clear" w:pos="709"/>
        <w:tab w:val="center" w:pos="4419" w:leader="none"/>
        <w:tab w:val="right" w:pos="8838" w:leader="none"/>
      </w:tabs>
    </w:pPr>
    <w:rPr>
      <w:rFonts w:cs="Mangal"/>
      <w:szCs w:val="21"/>
    </w:rPr>
  </w:style>
  <w:style w:type="paragraph" w:styleId="Contenidodelatabla">
    <w:name w:val="Contenido de la tabla"/>
    <w:basedOn w:val="Normal"/>
    <w:qFormat/>
    <w:pPr>
      <w:widowControl w:val="false"/>
      <w:suppressLineNumbers/>
    </w:pPr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Application>LibreOffice/7.6.4.1$Windows_X86_64 LibreOffice_project/e19e193f88cd6c0525a17fb7a176ed8e6a3e2aa1</Application>
  <AppVersion>15.0000</AppVersion>
  <Pages>3</Pages>
  <Words>264</Words>
  <Characters>1403</Characters>
  <CharactersWithSpaces>1555</CharactersWithSpaces>
  <Paragraphs>172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2023-12-04T21:25:00Z</dcterms:created>
  <dc:creator/>
  <dc:description/>
  <dc:language>es-CL</dc:language>
  <cp:lastModifiedBy/>
  <cp:lastPrinted>2024-01-08T19:56:46Z</cp:lastPrinted>
  <dcterms:modified xsi:type="dcterms:W3CDTF">2024-02-18T02:26:12Z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