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214F085F" w14:textId="4D195BE8" w:rsidR="00011726" w:rsidRDefault="00C4114E" w:rsidP="00011726">
      <w:pPr>
        <w:tabs>
          <w:tab w:val="left" w:pos="3010"/>
        </w:tabs>
        <w:rPr>
          <w:rFonts w:ascii="Times New Roman" w:hAnsi="Times New Roman" w:cs="Times New Roman"/>
          <w:b/>
          <w:sz w:val="24"/>
        </w:rPr>
      </w:pPr>
      <w:r>
        <w:rPr>
          <w:rFonts w:ascii="Times New Roman" w:hAnsi="Times New Roman" w:cs="Times New Roman"/>
          <w:b/>
          <w:sz w:val="24"/>
        </w:rPr>
        <w:t>S1</w:t>
      </w:r>
      <w:r w:rsidR="00011726" w:rsidRPr="00A8361C">
        <w:rPr>
          <w:rFonts w:ascii="Times New Roman" w:hAnsi="Times New Roman" w:cs="Times New Roman"/>
          <w:b/>
          <w:sz w:val="24"/>
        </w:rPr>
        <w:t xml:space="preserve"> </w:t>
      </w:r>
      <w:r>
        <w:rPr>
          <w:rFonts w:ascii="Times New Roman" w:hAnsi="Times New Roman" w:cs="Times New Roman"/>
          <w:b/>
          <w:sz w:val="24"/>
        </w:rPr>
        <w:t>S</w:t>
      </w:r>
      <w:r w:rsidR="001501E4">
        <w:rPr>
          <w:rFonts w:ascii="Times New Roman" w:hAnsi="Times New Roman" w:cs="Times New Roman"/>
          <w:b/>
          <w:sz w:val="24"/>
        </w:rPr>
        <w:t>ection</w:t>
      </w:r>
      <w:r>
        <w:rPr>
          <w:rFonts w:ascii="Times New Roman" w:hAnsi="Times New Roman" w:cs="Times New Roman"/>
          <w:b/>
          <w:sz w:val="24"/>
        </w:rPr>
        <w:t>.</w:t>
      </w:r>
      <w:r w:rsidR="00011726">
        <w:rPr>
          <w:rFonts w:ascii="Times New Roman" w:hAnsi="Times New Roman" w:cs="Times New Roman"/>
          <w:b/>
          <w:sz w:val="24"/>
        </w:rPr>
        <w:t xml:space="preserve"> </w:t>
      </w:r>
      <w:r w:rsidR="00011726" w:rsidRPr="00A8361C">
        <w:rPr>
          <w:rFonts w:ascii="Times New Roman" w:hAnsi="Times New Roman" w:cs="Times New Roman"/>
          <w:b/>
          <w:sz w:val="24"/>
        </w:rPr>
        <w:t>Sensitivity analysis using RITA 2</w:t>
      </w:r>
      <w:r>
        <w:rPr>
          <w:rFonts w:ascii="Times New Roman" w:hAnsi="Times New Roman" w:cs="Times New Roman"/>
          <w:b/>
          <w:sz w:val="24"/>
        </w:rPr>
        <w:t>.</w:t>
      </w:r>
    </w:p>
    <w:p w14:paraId="7000EEB0" w14:textId="77777777" w:rsidR="00011726" w:rsidRDefault="00011726" w:rsidP="00011726">
      <w:pPr>
        <w:spacing w:after="0" w:line="360" w:lineRule="auto"/>
        <w:rPr>
          <w:rFonts w:ascii="Times New Roman" w:eastAsia="Times New Roman" w:hAnsi="Times New Roman" w:cs="Times New Roman"/>
          <w:sz w:val="24"/>
          <w:szCs w:val="24"/>
          <w:lang w:val="en" w:eastAsia="en-ZA"/>
        </w:rPr>
      </w:pPr>
      <w:r>
        <w:rPr>
          <w:rFonts w:ascii="Times New Roman" w:eastAsia="Times New Roman" w:hAnsi="Times New Roman" w:cs="Times New Roman"/>
          <w:sz w:val="24"/>
          <w:szCs w:val="24"/>
          <w:lang w:val="en" w:eastAsia="en-ZA"/>
        </w:rPr>
        <w:t>In a sensitivity analysis performed, participants who were recent by LAg and had unsuppressed viral load (</w:t>
      </w:r>
      <w:r w:rsidRPr="00441C3A">
        <w:rPr>
          <w:rFonts w:ascii="Times New Roman" w:eastAsia="Times New Roman" w:hAnsi="Times New Roman" w:cs="Times New Roman"/>
          <w:sz w:val="24"/>
          <w:szCs w:val="24"/>
          <w:lang w:val="en" w:eastAsia="en-ZA"/>
        </w:rPr>
        <w:t>&gt;1000 copies</w:t>
      </w:r>
      <w:r>
        <w:rPr>
          <w:rFonts w:ascii="Times New Roman" w:eastAsia="Times New Roman" w:hAnsi="Times New Roman" w:cs="Times New Roman"/>
          <w:sz w:val="24"/>
          <w:szCs w:val="24"/>
          <w:lang w:val="en" w:eastAsia="en-ZA"/>
        </w:rPr>
        <w:t>/mL) and no exposure to ART were classified as recently infected; participants were classified as long–term infected if they were identified as long–term infected by LAg test or if they had suppressed viral load (≤</w:t>
      </w:r>
      <w:r w:rsidRPr="00441C3A">
        <w:rPr>
          <w:rFonts w:ascii="Times New Roman" w:eastAsia="Times New Roman" w:hAnsi="Times New Roman" w:cs="Times New Roman"/>
          <w:sz w:val="24"/>
          <w:szCs w:val="24"/>
          <w:lang w:val="en" w:eastAsia="en-ZA"/>
        </w:rPr>
        <w:t>1000 copies</w:t>
      </w:r>
      <w:r>
        <w:rPr>
          <w:rFonts w:ascii="Times New Roman" w:eastAsia="Times New Roman" w:hAnsi="Times New Roman" w:cs="Times New Roman"/>
          <w:sz w:val="24"/>
          <w:szCs w:val="24"/>
          <w:lang w:val="en" w:eastAsia="en-ZA"/>
        </w:rPr>
        <w:t>/mL) or if they were virally unsuppressed but self–reported exposure to ART</w:t>
      </w:r>
      <w:r>
        <w:rPr>
          <w:rFonts w:ascii="Times New Roman" w:eastAsia="Times New Roman" w:hAnsi="Times New Roman" w:cs="Times New Roman"/>
          <w:sz w:val="24"/>
          <w:szCs w:val="24"/>
          <w:lang w:val="en" w:eastAsia="en-ZA"/>
        </w:rPr>
        <w:fldChar w:fldCharType="begin">
          <w:fldData xml:space="preserve">PEVuZE5vdGU+PENpdGU+PEF1dGhvcj5LaW08L0F1dGhvcj48WWVhcj4yMDE4PC9ZZWFyPjxSZWNO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</w:fldData>
        </w:fldChar>
      </w:r>
      <w:r>
        <w:rPr>
          <w:rFonts w:ascii="Times New Roman" w:eastAsia="Times New Roman" w:hAnsi="Times New Roman" w:cs="Times New Roman"/>
          <w:sz w:val="24"/>
          <w:szCs w:val="24"/>
          <w:lang w:val="en" w:eastAsia="en-ZA"/>
        </w:rPr>
        <w:instrText xml:space="preserve"> ADDIN EN.CITE </w:instrText>
      </w:r>
      <w:r>
        <w:rPr>
          <w:rFonts w:ascii="Times New Roman" w:eastAsia="Times New Roman" w:hAnsi="Times New Roman" w:cs="Times New Roman"/>
          <w:sz w:val="24"/>
          <w:szCs w:val="24"/>
          <w:lang w:val="en" w:eastAsia="en-ZA"/>
        </w:rPr>
        <w:fldChar w:fldCharType="begin">
          <w:fldData xml:space="preserve">PEVuZE5vdGU+PENpdGU+PEF1dGhvcj5LaW08L0F1dGhvcj48WWVhcj4yMDE4PC9ZZWFyPjxSZWNO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</w:fldData>
        </w:fldChar>
      </w:r>
      <w:r>
        <w:rPr>
          <w:rFonts w:ascii="Times New Roman" w:eastAsia="Times New Roman" w:hAnsi="Times New Roman" w:cs="Times New Roman"/>
          <w:sz w:val="24"/>
          <w:szCs w:val="24"/>
          <w:lang w:val="en" w:eastAsia="en-ZA"/>
        </w:rPr>
        <w:instrText xml:space="preserve"> ADDIN EN.CITE.DATA </w:instrText>
      </w:r>
      <w:r>
        <w:rPr>
          <w:rFonts w:ascii="Times New Roman" w:eastAsia="Times New Roman" w:hAnsi="Times New Roman" w:cs="Times New Roman"/>
          <w:sz w:val="24"/>
          <w:szCs w:val="24"/>
          <w:lang w:val="en" w:eastAsia="en-ZA"/>
        </w:rPr>
      </w:r>
      <w:r>
        <w:rPr>
          <w:rFonts w:ascii="Times New Roman" w:eastAsia="Times New Roman" w:hAnsi="Times New Roman" w:cs="Times New Roman"/>
          <w:sz w:val="24"/>
          <w:szCs w:val="24"/>
          <w:lang w:val="en" w:eastAsia="en-ZA"/>
        </w:rPr>
        <w:fldChar w:fldCharType="end"/>
      </w:r>
      <w:r>
        <w:rPr>
          <w:rFonts w:ascii="Times New Roman" w:eastAsia="Times New Roman" w:hAnsi="Times New Roman" w:cs="Times New Roman"/>
          <w:sz w:val="24"/>
          <w:szCs w:val="24"/>
          <w:lang w:val="en" w:eastAsia="en-ZA"/>
        </w:rPr>
      </w:r>
      <w:r>
        <w:rPr>
          <w:rFonts w:ascii="Times New Roman" w:eastAsia="Times New Roman" w:hAnsi="Times New Roman" w:cs="Times New Roman"/>
          <w:sz w:val="24"/>
          <w:szCs w:val="24"/>
          <w:lang w:val="en" w:eastAsia="en-ZA"/>
        </w:rPr>
        <w:fldChar w:fldCharType="separate"/>
      </w:r>
      <w:r>
        <w:rPr>
          <w:rFonts w:ascii="Times New Roman" w:eastAsia="Times New Roman" w:hAnsi="Times New Roman" w:cs="Times New Roman"/>
          <w:noProof/>
          <w:sz w:val="24"/>
          <w:szCs w:val="24"/>
          <w:lang w:val="en" w:eastAsia="en-ZA"/>
        </w:rPr>
        <w:t>[</w:t>
      </w:r>
      <w:hyperlink w:anchor="_ENREF_49" w:tooltip="Kim, 2018 #354" w:history="1">
        <w:r>
          <w:rPr>
            <w:rFonts w:ascii="Times New Roman" w:eastAsia="Times New Roman" w:hAnsi="Times New Roman" w:cs="Times New Roman"/>
            <w:noProof/>
            <w:sz w:val="24"/>
            <w:szCs w:val="24"/>
            <w:lang w:val="en" w:eastAsia="en-ZA"/>
          </w:rPr>
          <w:t>49</w:t>
        </w:r>
      </w:hyperlink>
      <w:r>
        <w:rPr>
          <w:rFonts w:ascii="Times New Roman" w:eastAsia="Times New Roman" w:hAnsi="Times New Roman" w:cs="Times New Roman"/>
          <w:noProof/>
          <w:sz w:val="24"/>
          <w:szCs w:val="24"/>
          <w:lang w:val="en" w:eastAsia="en-ZA"/>
        </w:rPr>
        <w:t>]</w:t>
      </w:r>
      <w:r>
        <w:rPr>
          <w:rFonts w:ascii="Times New Roman" w:eastAsia="Times New Roman" w:hAnsi="Times New Roman" w:cs="Times New Roman"/>
          <w:sz w:val="24"/>
          <w:szCs w:val="24"/>
          <w:lang w:val="en" w:eastAsia="en-ZA"/>
        </w:rPr>
        <w:fldChar w:fldCharType="end"/>
      </w:r>
      <w:r w:rsidRPr="00441C3A">
        <w:rPr>
          <w:rFonts w:ascii="Times New Roman" w:eastAsia="Times New Roman" w:hAnsi="Times New Roman" w:cs="Times New Roman"/>
          <w:sz w:val="24"/>
          <w:szCs w:val="24"/>
          <w:lang w:val="en" w:eastAsia="en-ZA"/>
        </w:rPr>
        <w:t>.</w:t>
      </w:r>
      <w:r>
        <w:rPr>
          <w:rFonts w:ascii="Times New Roman" w:eastAsia="Times New Roman" w:hAnsi="Times New Roman" w:cs="Times New Roman"/>
          <w:sz w:val="24"/>
          <w:szCs w:val="24"/>
          <w:lang w:val="en" w:eastAsia="en-ZA"/>
        </w:rPr>
        <w:t xml:space="preserve">  </w:t>
      </w:r>
    </w:p>
    <w:p w14:paraId="6ED1CF65" w14:textId="77777777" w:rsidR="00011726" w:rsidRDefault="00011726" w:rsidP="00011726">
      <w:pPr>
        <w:spacing w:after="0" w:line="360" w:lineRule="auto"/>
        <w:rPr>
          <w:rFonts w:ascii="Times New Roman" w:hAnsi="Times New Roman" w:cs="Times New Roman"/>
          <w:sz w:val="24"/>
        </w:rPr>
      </w:pPr>
    </w:p>
    <w:p w14:paraId="020E4078" w14:textId="77777777" w:rsidR="00011726" w:rsidRDefault="00011726" w:rsidP="00011726">
      <w:pPr>
        <w:spacing w:after="0" w:line="360" w:lineRule="auto"/>
        <w:rPr>
          <w:rFonts w:ascii="Times New Roman" w:hAnsi="Times New Roman" w:cs="Times New Roman"/>
          <w:sz w:val="24"/>
        </w:rPr>
      </w:pPr>
      <w:r>
        <w:rPr>
          <w:rFonts w:ascii="Times New Roman" w:hAnsi="Times New Roman" w:cs="Times New Roman"/>
          <w:sz w:val="24"/>
        </w:rPr>
        <w:t>In this analysis, incidence was 0.9% (95% CI: 0.7%–1.1%) in the overall sample. Incidence rate was the same between younger (15–24 years) (0.9%, 95% CI: 0.7%–1.2%) and older (35–49 years) (0.9%, 95% CI: 0.6–1.1%) women, but incidence stayed lower among follow–up ANC visit attendees (0.4%, 95%CI: 0.2%–0.5%) compared with</w:t>
      </w:r>
      <w:r w:rsidDel="00B953D1">
        <w:rPr>
          <w:rFonts w:ascii="Times New Roman" w:hAnsi="Times New Roman" w:cs="Times New Roman"/>
          <w:sz w:val="24"/>
        </w:rPr>
        <w:t xml:space="preserve"> </w:t>
      </w:r>
      <w:r>
        <w:rPr>
          <w:rFonts w:ascii="Times New Roman" w:hAnsi="Times New Roman" w:cs="Times New Roman"/>
          <w:sz w:val="24"/>
        </w:rPr>
        <w:t>first ANC visit attendees (1.6%, 95% CI: 1.2%–2.0%).</w:t>
      </w:r>
    </w:p>
    <w:p w14:paraId="77CBE8EC" w14:textId="77777777" w:rsidR="00011726" w:rsidRDefault="00011726" w:rsidP="00011726">
      <w:pPr>
        <w:spacing w:after="0" w:line="360" w:lineRule="auto"/>
        <w:rPr>
          <w:rFonts w:ascii="Times New Roman" w:hAnsi="Times New Roman" w:cs="Times New Roman"/>
          <w:b/>
          <w:i/>
          <w:sz w:val="24"/>
        </w:rPr>
      </w:pPr>
    </w:p>
    <w:p w14:paraId="64B3A1D1" w14:textId="77777777" w:rsidR="00011726" w:rsidRPr="00B837A1" w:rsidRDefault="00011726" w:rsidP="00011726">
      <w:pPr>
        <w:spacing w:after="0" w:line="360" w:lineRule="auto"/>
        <w:rPr>
          <w:rFonts w:ascii="Times New Roman" w:hAnsi="Times New Roman" w:cs="Times New Roman"/>
          <w:sz w:val="24"/>
          <w:szCs w:val="20"/>
        </w:rPr>
      </w:pPr>
      <w:r>
        <w:rPr>
          <w:rFonts w:ascii="Times New Roman" w:hAnsi="Times New Roman" w:cs="Times New Roman"/>
          <w:sz w:val="24"/>
          <w:szCs w:val="20"/>
        </w:rPr>
        <w:t xml:space="preserve">Estimating </w:t>
      </w:r>
      <w:r w:rsidRPr="00B837A1">
        <w:rPr>
          <w:rFonts w:ascii="Times New Roman" w:hAnsi="Times New Roman" w:cs="Times New Roman"/>
          <w:sz w:val="24"/>
          <w:szCs w:val="20"/>
        </w:rPr>
        <w:t xml:space="preserve">incidence </w:t>
      </w:r>
      <w:r>
        <w:rPr>
          <w:rFonts w:ascii="Times New Roman" w:hAnsi="Times New Roman" w:cs="Times New Roman"/>
          <w:sz w:val="24"/>
          <w:szCs w:val="20"/>
        </w:rPr>
        <w:t xml:space="preserve">with the above (RITA 2) strategy reduced incidence significantly.  RITA 2 considers all women exposed to ART as long–term infected. This results in substantial underestimation of incidence among PMTCT women as all known HIV positive women are initiated on ART at first ANC visit in the PMTCT programme.  </w:t>
      </w:r>
    </w:p>
    <w:p w14:paraId="5A53B80D" w14:textId="77777777" w:rsidR="00011726" w:rsidRDefault="00011726" w:rsidP="00011726"/>
    <w:sectPr w:rsidR="00011726">
      <w:footerReference w:type="default" r:id="rId6"/>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70E3CEBE" w14:textId="77777777" w:rsidR="00A900B6" w:rsidRDefault="00A900B6" w:rsidP="009A2981">
      <w:pPr>
        <w:spacing w:after="0" w:line="240" w:lineRule="auto"/>
      </w:pPr>
      <w:r>
        <w:separator/>
      </w:r>
    </w:p>
  </w:endnote>
  <w:endnote w:type="continuationSeparator" w:id="0">
    <w:p w14:paraId="256E117A" w14:textId="77777777" w:rsidR="00A900B6" w:rsidRDefault="00A900B6" w:rsidP="009A298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658681982"/>
      <w:docPartObj>
        <w:docPartGallery w:val="Page Numbers (Bottom of Page)"/>
        <w:docPartUnique/>
      </w:docPartObj>
    </w:sdtPr>
    <w:sdtEndPr>
      <w:rPr>
        <w:noProof/>
      </w:rPr>
    </w:sdtEndPr>
    <w:sdtContent>
      <w:p w14:paraId="66364E4B" w14:textId="77777777" w:rsidR="009A2981" w:rsidRDefault="009A2981">
        <w:pPr>
          <w:pStyle w:val="Footer"/>
          <w:jc w:val="right"/>
        </w:pPr>
        <w:r>
          <w:fldChar w:fldCharType="begin"/>
        </w:r>
        <w:r>
          <w:instrText xml:space="preserve"> PAGE   \* MERGEFORMAT </w:instrText>
        </w:r>
        <w:r>
          <w:fldChar w:fldCharType="separate"/>
        </w:r>
        <w:r>
          <w:rPr>
            <w:noProof/>
          </w:rPr>
          <w:t>2</w:t>
        </w:r>
        <w:r>
          <w:rPr>
            <w:noProof/>
          </w:rPr>
          <w:fldChar w:fldCharType="end"/>
        </w:r>
      </w:p>
    </w:sdtContent>
  </w:sdt>
  <w:p w14:paraId="4C66801E" w14:textId="77777777" w:rsidR="009A2981" w:rsidRDefault="009A2981">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448DB7DE" w14:textId="77777777" w:rsidR="00A900B6" w:rsidRDefault="00A900B6" w:rsidP="009A2981">
      <w:pPr>
        <w:spacing w:after="0" w:line="240" w:lineRule="auto"/>
      </w:pPr>
      <w:r>
        <w:separator/>
      </w:r>
    </w:p>
  </w:footnote>
  <w:footnote w:type="continuationSeparator" w:id="0">
    <w:p w14:paraId="4DB1993B" w14:textId="77777777" w:rsidR="00A900B6" w:rsidRDefault="00A900B6" w:rsidP="009A2981">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30"/>
  <w:proofState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A1CAD"/>
    <w:rsid w:val="00011726"/>
    <w:rsid w:val="001501E4"/>
    <w:rsid w:val="001B5541"/>
    <w:rsid w:val="003607CF"/>
    <w:rsid w:val="00461884"/>
    <w:rsid w:val="00696888"/>
    <w:rsid w:val="006E300A"/>
    <w:rsid w:val="0079736F"/>
    <w:rsid w:val="00801881"/>
    <w:rsid w:val="008A1CAD"/>
    <w:rsid w:val="008B2806"/>
    <w:rsid w:val="009A2981"/>
    <w:rsid w:val="00A900B6"/>
    <w:rsid w:val="00C4114E"/>
    <w:rsid w:val="00E43BBB"/>
  </w:rsids>
  <m:mathPr>
    <m:mathFont m:val="Cambria Math"/>
    <m:brkBin m:val="before"/>
    <m:brkBinSub m:val="--"/>
    <m:smallFrac m:val="0"/>
    <m:dispDef/>
    <m:lMargin m:val="0"/>
    <m:rMargin m:val="0"/>
    <m:defJc m:val="centerGroup"/>
    <m:wrapIndent m:val="1440"/>
    <m:intLim m:val="subSup"/>
    <m:naryLim m:val="undOvr"/>
  </m:mathPr>
  <w:themeFontLang w:val="en-Z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72CE763"/>
  <w15:chartTrackingRefBased/>
  <w15:docId w15:val="{D04CB031-0266-4B58-8C3A-402A9676B7D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ZA"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1CAD"/>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A1CA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EndNoteBibliography">
    <w:name w:val="EndNote Bibliography"/>
    <w:basedOn w:val="Normal"/>
    <w:link w:val="EndNoteBibliographyChar"/>
    <w:rsid w:val="008A1CAD"/>
    <w:pPr>
      <w:spacing w:line="240" w:lineRule="auto"/>
    </w:pPr>
    <w:rPr>
      <w:rFonts w:ascii="Calibri" w:hAnsi="Calibri" w:cs="Calibri"/>
      <w:noProof/>
      <w:lang w:val="en-US"/>
    </w:rPr>
  </w:style>
  <w:style w:type="character" w:customStyle="1" w:styleId="EndNoteBibliographyChar">
    <w:name w:val="EndNote Bibliography Char"/>
    <w:basedOn w:val="DefaultParagraphFont"/>
    <w:link w:val="EndNoteBibliography"/>
    <w:rsid w:val="008A1CAD"/>
    <w:rPr>
      <w:rFonts w:ascii="Calibri" w:hAnsi="Calibri" w:cs="Calibri"/>
      <w:noProof/>
      <w:lang w:val="en-US"/>
    </w:rPr>
  </w:style>
  <w:style w:type="paragraph" w:styleId="Header">
    <w:name w:val="header"/>
    <w:basedOn w:val="Normal"/>
    <w:link w:val="HeaderChar"/>
    <w:uiPriority w:val="99"/>
    <w:unhideWhenUsed/>
    <w:rsid w:val="009A2981"/>
    <w:pPr>
      <w:tabs>
        <w:tab w:val="center" w:pos="4513"/>
        <w:tab w:val="right" w:pos="9026"/>
      </w:tabs>
      <w:spacing w:after="0" w:line="240" w:lineRule="auto"/>
    </w:pPr>
  </w:style>
  <w:style w:type="character" w:customStyle="1" w:styleId="HeaderChar">
    <w:name w:val="Header Char"/>
    <w:basedOn w:val="DefaultParagraphFont"/>
    <w:link w:val="Header"/>
    <w:uiPriority w:val="99"/>
    <w:rsid w:val="009A2981"/>
  </w:style>
  <w:style w:type="paragraph" w:styleId="Footer">
    <w:name w:val="footer"/>
    <w:basedOn w:val="Normal"/>
    <w:link w:val="FooterChar"/>
    <w:uiPriority w:val="99"/>
    <w:unhideWhenUsed/>
    <w:rsid w:val="009A2981"/>
    <w:pPr>
      <w:tabs>
        <w:tab w:val="center" w:pos="4513"/>
        <w:tab w:val="right" w:pos="9026"/>
      </w:tabs>
      <w:spacing w:after="0" w:line="240" w:lineRule="auto"/>
    </w:pPr>
  </w:style>
  <w:style w:type="character" w:customStyle="1" w:styleId="FooterChar">
    <w:name w:val="Footer Char"/>
    <w:basedOn w:val="DefaultParagraphFont"/>
    <w:link w:val="Footer"/>
    <w:uiPriority w:val="99"/>
    <w:rsid w:val="009A298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1</Pages>
  <Words>189</Words>
  <Characters>1079</Characters>
  <Application>Microsoft Office Word</Application>
  <DocSecurity>0</DocSecurity>
  <Lines>8</Lines>
  <Paragraphs>2</Paragraphs>
  <ScaleCrop>false</ScaleCrop>
  <HeadingPairs>
    <vt:vector size="2" baseType="variant">
      <vt:variant>
        <vt:lpstr>Title</vt:lpstr>
      </vt:variant>
      <vt:variant>
        <vt:i4>1</vt:i4>
      </vt:variant>
    </vt:vector>
  </HeadingPairs>
  <TitlesOfParts>
    <vt:vector size="1" baseType="lpstr">
      <vt:lpstr/>
    </vt:vector>
  </TitlesOfParts>
  <Company>NHLS</Company>
  <LinksUpToDate>false</LinksUpToDate>
  <CharactersWithSpaces>1266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Selamawit Woldesenbet</dc:creator>
  <cp:keywords/>
  <dc:description/>
  <cp:lastModifiedBy>chn off30</cp:lastModifiedBy>
  <cp:revision>9</cp:revision>
  <dcterms:created xsi:type="dcterms:W3CDTF">2020-08-24T15:06:00Z</dcterms:created>
  <dcterms:modified xsi:type="dcterms:W3CDTF">2021-04-03T01:33:00Z</dcterms:modified>
</cp:coreProperties>
</file>