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7C4" w:rsidRPr="00BF694D" w:rsidRDefault="006247C4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  <w:r w:rsidRPr="00BF694D">
        <w:rPr>
          <w:rFonts w:asciiTheme="minorHAnsi" w:hAnsiTheme="minorHAnsi"/>
          <w:b/>
          <w:sz w:val="20"/>
        </w:rPr>
        <w:t xml:space="preserve">Supplemental Table 1 </w:t>
      </w:r>
      <w:r w:rsidRPr="00BF694D">
        <w:rPr>
          <w:rFonts w:asciiTheme="minorHAnsi" w:hAnsiTheme="minorHAnsi"/>
          <w:sz w:val="20"/>
        </w:rPr>
        <w:t>Study drug–related adverse events and serious adverse events in MOR-002 and MOR-100.</w:t>
      </w:r>
    </w:p>
    <w:p w:rsidR="006247C4" w:rsidRPr="00BF694D" w:rsidRDefault="006247C4" w:rsidP="006247C4">
      <w:pPr>
        <w:pStyle w:val="Body"/>
        <w:spacing w:after="0" w:line="240" w:lineRule="auto"/>
        <w:rPr>
          <w:rFonts w:asciiTheme="minorHAnsi" w:hAnsiTheme="minorHAnsi"/>
          <w:sz w:val="20"/>
        </w:rPr>
      </w:pPr>
    </w:p>
    <w:tbl>
      <w:tblPr>
        <w:tblW w:w="5000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870"/>
        <w:gridCol w:w="1349"/>
        <w:gridCol w:w="1351"/>
        <w:gridCol w:w="3078"/>
      </w:tblGrid>
      <w:tr w:rsidR="006247C4" w:rsidRPr="00BF694D" w:rsidTr="003D1731">
        <w:trPr>
          <w:trHeight w:val="495"/>
        </w:trPr>
        <w:tc>
          <w:tcPr>
            <w:tcW w:w="2006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247C4" w:rsidRPr="00BF694D" w:rsidRDefault="006247C4" w:rsidP="006247C4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proofErr w:type="gramStart"/>
            <w:r w:rsidRPr="00BF694D">
              <w:rPr>
                <w:rFonts w:asciiTheme="minorHAnsi" w:hAnsiTheme="minorHAnsi"/>
                <w:b/>
                <w:sz w:val="20"/>
              </w:rPr>
              <w:t>n</w:t>
            </w:r>
            <w:proofErr w:type="gramEnd"/>
            <w:r w:rsidRPr="00BF694D">
              <w:rPr>
                <w:rFonts w:asciiTheme="minorHAnsi" w:hAnsiTheme="minorHAnsi"/>
                <w:b/>
                <w:sz w:val="20"/>
              </w:rPr>
              <w:t xml:space="preserve"> (%)</w:t>
            </w:r>
          </w:p>
        </w:tc>
        <w:tc>
          <w:tcPr>
            <w:tcW w:w="69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b/>
                <w:sz w:val="20"/>
              </w:rPr>
              <w:t xml:space="preserve">MOR-002 </w:t>
            </w:r>
            <w:r w:rsidR="003D1731" w:rsidRPr="00BF694D">
              <w:rPr>
                <w:rFonts w:asciiTheme="minorHAnsi" w:hAnsiTheme="minorHAnsi"/>
                <w:b/>
                <w:sz w:val="20"/>
              </w:rPr>
              <w:br/>
            </w:r>
            <w:r w:rsidRPr="00BF694D">
              <w:rPr>
                <w:rFonts w:asciiTheme="minorHAnsi" w:hAnsiTheme="minorHAnsi"/>
                <w:b/>
                <w:sz w:val="20"/>
              </w:rPr>
              <w:t>(n = 20)</w:t>
            </w:r>
          </w:p>
        </w:tc>
        <w:tc>
          <w:tcPr>
            <w:tcW w:w="700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b/>
                <w:sz w:val="20"/>
              </w:rPr>
              <w:t xml:space="preserve">MOR-100 </w:t>
            </w:r>
            <w:r w:rsidR="003D1731" w:rsidRPr="00BF694D">
              <w:rPr>
                <w:rFonts w:asciiTheme="minorHAnsi" w:hAnsiTheme="minorHAnsi"/>
                <w:b/>
                <w:sz w:val="20"/>
              </w:rPr>
              <w:br/>
            </w:r>
            <w:r w:rsidRPr="00BF694D">
              <w:rPr>
                <w:rFonts w:asciiTheme="minorHAnsi" w:hAnsiTheme="minorHAnsi"/>
                <w:b/>
                <w:sz w:val="20"/>
              </w:rPr>
              <w:t>(n = 17)</w:t>
            </w:r>
          </w:p>
        </w:tc>
        <w:tc>
          <w:tcPr>
            <w:tcW w:w="1595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b/>
                <w:sz w:val="20"/>
              </w:rPr>
              <w:t>MOR-002/MOR-100 Combined (n = 20)</w:t>
            </w:r>
          </w:p>
        </w:tc>
      </w:tr>
      <w:tr w:rsidR="006247C4" w:rsidRPr="00BF694D" w:rsidTr="003D1731">
        <w:trPr>
          <w:trHeight w:val="198"/>
        </w:trPr>
        <w:tc>
          <w:tcPr>
            <w:tcW w:w="5000" w:type="pct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247C4" w:rsidRPr="00BF694D" w:rsidRDefault="006A2F82" w:rsidP="006247C4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b/>
                <w:sz w:val="20"/>
              </w:rPr>
              <w:t>Adverse events (≥</w:t>
            </w:r>
            <w:r w:rsidR="006F6576">
              <w:rPr>
                <w:rFonts w:asciiTheme="minorHAnsi" w:hAnsiTheme="minorHAnsi"/>
                <w:b/>
                <w:sz w:val="20"/>
              </w:rPr>
              <w:t xml:space="preserve"> </w:t>
            </w:r>
            <w:bookmarkStart w:id="0" w:name="_GoBack"/>
            <w:bookmarkEnd w:id="0"/>
            <w:r w:rsidR="006247C4" w:rsidRPr="00BF694D">
              <w:rPr>
                <w:rFonts w:asciiTheme="minorHAnsi" w:hAnsiTheme="minorHAnsi"/>
                <w:b/>
                <w:sz w:val="20"/>
              </w:rPr>
              <w:t>15% of patients)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Pyrexia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5 (25.0)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7 (41.2)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9 (45.0)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Headache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5 (25.0)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5 (29.4)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8 (40.0)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Blood immunoglobulin E increase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5 (29.4)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6 (30.0)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Diarrhea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4 (23.5)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5 (25.0)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Rash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(17.6)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5 (25.0)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Catheter site extravasation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(11.8)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4 (20.0)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Pain in extremity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(11.8)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4 (20.0)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Maculopapular rash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4 (20.0)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4 (20.0)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Vomiting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4 (20.0)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Abdominal pain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Fatigue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(17.6)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Flushing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 xml:space="preserve">Infusion-related </w:t>
            </w:r>
            <w:proofErr w:type="spellStart"/>
            <w:r w:rsidRPr="00BF694D">
              <w:rPr>
                <w:rFonts w:asciiTheme="minorHAnsi" w:hAnsiTheme="minorHAnsi"/>
                <w:sz w:val="20"/>
              </w:rPr>
              <w:t>reaction</w:t>
            </w:r>
            <w:r w:rsidRPr="00BF694D">
              <w:rPr>
                <w:rFonts w:asciiTheme="minorHAnsi" w:hAnsiTheme="minorHAnsi"/>
                <w:sz w:val="20"/>
                <w:vertAlign w:val="superscript"/>
              </w:rPr>
              <w:t>a</w:t>
            </w:r>
            <w:proofErr w:type="spellEnd"/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(11.8)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Pruritus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(17.6)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3 (15.0)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Upper abdominal pain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</w:tr>
      <w:tr w:rsidR="006247C4" w:rsidRPr="00BF694D" w:rsidTr="00BF694D">
        <w:trPr>
          <w:trHeight w:val="301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247C4" w:rsidRPr="00BF694D" w:rsidRDefault="006247C4" w:rsidP="006247C4">
            <w:pPr>
              <w:pStyle w:val="Body"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b/>
                <w:sz w:val="20"/>
              </w:rPr>
              <w:t>Serious adverse events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Infusion site reaction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(11.8)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Pyrexia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(11.8)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2 (10.0)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Abscess drainage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Catheter site infection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Flushing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Hypertension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 xml:space="preserve">Infusion-related </w:t>
            </w:r>
            <w:proofErr w:type="spellStart"/>
            <w:r w:rsidRPr="00BF694D">
              <w:rPr>
                <w:rFonts w:asciiTheme="minorHAnsi" w:hAnsiTheme="minorHAnsi"/>
                <w:sz w:val="20"/>
              </w:rPr>
              <w:t>reaction</w:t>
            </w:r>
            <w:r w:rsidRPr="00BF694D">
              <w:rPr>
                <w:rFonts w:asciiTheme="minorHAnsi" w:hAnsiTheme="minorHAnsi"/>
                <w:sz w:val="20"/>
                <w:vertAlign w:val="superscript"/>
              </w:rPr>
              <w:t>a</w:t>
            </w:r>
            <w:proofErr w:type="spellEnd"/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Infusion site inflammation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Malaise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lastRenderedPageBreak/>
              <w:t>Rash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Rash maculopapular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Tachycardia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(5.9)</w:t>
            </w:r>
          </w:p>
        </w:tc>
        <w:tc>
          <w:tcPr>
            <w:tcW w:w="15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  <w:tr w:rsidR="006247C4" w:rsidRPr="00BF694D" w:rsidTr="00BF694D">
        <w:trPr>
          <w:trHeight w:val="301"/>
        </w:trPr>
        <w:tc>
          <w:tcPr>
            <w:tcW w:w="200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368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ind w:left="288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Type I hypersensitivity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59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247C4" w:rsidRPr="00BF694D" w:rsidRDefault="006247C4" w:rsidP="006247C4">
            <w:pPr>
              <w:pStyle w:val="Body"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BF694D">
              <w:rPr>
                <w:rFonts w:asciiTheme="minorHAnsi" w:hAnsiTheme="minorHAnsi"/>
                <w:sz w:val="20"/>
              </w:rPr>
              <w:t>1 (5.0)</w:t>
            </w:r>
          </w:p>
        </w:tc>
      </w:tr>
    </w:tbl>
    <w:p w:rsidR="006247C4" w:rsidRPr="00BF694D" w:rsidRDefault="006247C4" w:rsidP="006247C4">
      <w:pPr>
        <w:pStyle w:val="Body"/>
        <w:widowControl w:val="0"/>
        <w:spacing w:after="0" w:line="240" w:lineRule="auto"/>
        <w:rPr>
          <w:rFonts w:asciiTheme="minorHAnsi" w:hAnsiTheme="minorHAnsi"/>
          <w:sz w:val="20"/>
        </w:rPr>
      </w:pPr>
    </w:p>
    <w:p w:rsidR="006247C4" w:rsidRPr="00BF694D" w:rsidRDefault="006247C4" w:rsidP="006247C4">
      <w:pPr>
        <w:pStyle w:val="Body"/>
        <w:spacing w:after="0" w:line="240" w:lineRule="auto"/>
        <w:rPr>
          <w:rFonts w:asciiTheme="minorHAnsi" w:hAnsiTheme="minorHAnsi"/>
          <w:b/>
          <w:sz w:val="18"/>
        </w:rPr>
      </w:pPr>
      <w:proofErr w:type="spellStart"/>
      <w:proofErr w:type="gramStart"/>
      <w:r w:rsidRPr="00BF694D">
        <w:rPr>
          <w:rFonts w:asciiTheme="minorHAnsi" w:hAnsiTheme="minorHAnsi"/>
          <w:sz w:val="18"/>
          <w:vertAlign w:val="superscript"/>
        </w:rPr>
        <w:t>a</w:t>
      </w:r>
      <w:proofErr w:type="spellEnd"/>
      <w:proofErr w:type="gramEnd"/>
      <w:r w:rsidRPr="00BF694D">
        <w:rPr>
          <w:rFonts w:asciiTheme="minorHAnsi" w:hAnsiTheme="minorHAnsi"/>
          <w:sz w:val="18"/>
          <w:vertAlign w:val="superscript"/>
        </w:rPr>
        <w:t xml:space="preserve"> </w:t>
      </w:r>
      <w:r w:rsidRPr="00BF694D">
        <w:rPr>
          <w:rFonts w:asciiTheme="minorHAnsi" w:hAnsiTheme="minorHAnsi"/>
          <w:sz w:val="18"/>
        </w:rPr>
        <w:t>Infusion-related reaction indicates a drug-related AE or SAE that occurred during infusion</w:t>
      </w:r>
      <w:r w:rsidRPr="00BF694D">
        <w:rPr>
          <w:rFonts w:asciiTheme="minorHAnsi" w:hAnsiTheme="minorHAnsi"/>
          <w:b/>
          <w:sz w:val="18"/>
        </w:rPr>
        <w:t xml:space="preserve"> </w:t>
      </w: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p w:rsidR="003D1731" w:rsidRPr="00BF694D" w:rsidRDefault="003D1731" w:rsidP="006247C4">
      <w:pPr>
        <w:pStyle w:val="Body"/>
        <w:spacing w:after="0" w:line="240" w:lineRule="auto"/>
        <w:rPr>
          <w:rFonts w:asciiTheme="minorHAnsi" w:hAnsiTheme="minorHAnsi"/>
          <w:b/>
          <w:sz w:val="20"/>
        </w:rPr>
      </w:pPr>
    </w:p>
    <w:sectPr w:rsidR="003D1731" w:rsidRPr="00BF694D" w:rsidSect="00261A4D"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7C4"/>
    <w:rsid w:val="00261A4D"/>
    <w:rsid w:val="003D1731"/>
    <w:rsid w:val="006247C4"/>
    <w:rsid w:val="006A2F82"/>
    <w:rsid w:val="006F6576"/>
    <w:rsid w:val="00785AE9"/>
    <w:rsid w:val="00BF694D"/>
    <w:rsid w:val="00EF4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669193-921A-4249-A41A-E3BDC48DB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247C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47C4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47C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ahoma" w:eastAsiaTheme="minorHAnsi" w:hAnsi="Tahoma" w:cs="Tahoma"/>
      <w:sz w:val="16"/>
      <w:szCs w:val="16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6247C4"/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styleId="BodyText">
    <w:name w:val="Body Text"/>
    <w:link w:val="BodyTextChar"/>
    <w:rsid w:val="006247C4"/>
    <w:pPr>
      <w:pBdr>
        <w:top w:val="nil"/>
        <w:left w:val="nil"/>
        <w:bottom w:val="nil"/>
        <w:right w:val="nil"/>
        <w:between w:val="nil"/>
        <w:bar w:val="nil"/>
      </w:pBdr>
      <w:spacing w:after="120"/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customStyle="1" w:styleId="Body">
    <w:name w:val="Body"/>
    <w:rsid w:val="006247C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customStyle="1" w:styleId="TableParagraph">
    <w:name w:val="Table Paragraph"/>
    <w:rsid w:val="006247C4"/>
    <w:pPr>
      <w:pBdr>
        <w:top w:val="nil"/>
        <w:left w:val="nil"/>
        <w:bottom w:val="nil"/>
        <w:right w:val="nil"/>
        <w:between w:val="nil"/>
        <w:bar w:val="nil"/>
      </w:pBdr>
      <w:spacing w:before="13" w:after="0" w:line="240" w:lineRule="auto"/>
      <w:ind w:left="399"/>
      <w:jc w:val="center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BioMarin Pharmaceutical Inc.</Company>
  <LinksUpToDate>false</LinksUpToDate>
  <CharactersWithSpaces>1465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Clague</dc:creator>
  <cp:keywords/>
  <dc:description/>
  <cp:lastModifiedBy>Gillian Clague</cp:lastModifiedBy>
  <cp:revision>6</cp:revision>
  <dcterms:created xsi:type="dcterms:W3CDTF">2018-02-22T18:07:00Z</dcterms:created>
  <dcterms:modified xsi:type="dcterms:W3CDTF">2018-02-22T18:52:00Z</dcterms:modified>
</cp:coreProperties>
</file>