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847" w:rsidRPr="00AD3F83" w:rsidRDefault="00CF4847" w:rsidP="00AD3F83">
      <w:pPr>
        <w:pStyle w:val="Body"/>
        <w:spacing w:after="0" w:line="240" w:lineRule="auto"/>
        <w:rPr>
          <w:rFonts w:asciiTheme="minorHAnsi" w:hAnsiTheme="minorHAnsi"/>
          <w:sz w:val="20"/>
        </w:rPr>
      </w:pPr>
      <w:r w:rsidRPr="00AD3F83">
        <w:rPr>
          <w:rFonts w:asciiTheme="minorHAnsi" w:hAnsiTheme="minorHAnsi"/>
          <w:b/>
          <w:sz w:val="20"/>
        </w:rPr>
        <w:t>Supplemental Table 5</w:t>
      </w:r>
      <w:r w:rsidRPr="00AD3F83">
        <w:rPr>
          <w:rFonts w:asciiTheme="minorHAnsi" w:hAnsiTheme="minorHAnsi"/>
          <w:sz w:val="20"/>
        </w:rPr>
        <w:t xml:space="preserve"> Incidence of hypersensitivity AEs in IgE-negative patients (safety population) by TAb response group usin</w:t>
      </w:r>
      <w:r w:rsidR="00AD3F83" w:rsidRPr="00AD3F83">
        <w:rPr>
          <w:rFonts w:asciiTheme="minorHAnsi" w:hAnsiTheme="minorHAnsi"/>
          <w:sz w:val="20"/>
        </w:rPr>
        <w:t>g MedDRA SMQs by preferred term.</w:t>
      </w:r>
    </w:p>
    <w:p w:rsidR="00AD3F83" w:rsidRPr="003D1731" w:rsidRDefault="00AD3F83" w:rsidP="00AD3F83">
      <w:pPr>
        <w:pStyle w:val="Body"/>
        <w:spacing w:after="0" w:line="240" w:lineRule="auto"/>
        <w:rPr>
          <w:rFonts w:asciiTheme="minorHAnsi" w:hAnsiTheme="minorHAnsi"/>
        </w:rPr>
      </w:pPr>
    </w:p>
    <w:tbl>
      <w:tblPr>
        <w:tblW w:w="5000" w:type="pc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ook w:val="04A0" w:firstRow="1" w:lastRow="0" w:firstColumn="1" w:lastColumn="0" w:noHBand="0" w:noVBand="1"/>
      </w:tblPr>
      <w:tblGrid>
        <w:gridCol w:w="3515"/>
        <w:gridCol w:w="1386"/>
        <w:gridCol w:w="1280"/>
        <w:gridCol w:w="273"/>
        <w:gridCol w:w="1751"/>
        <w:gridCol w:w="1598"/>
        <w:gridCol w:w="321"/>
        <w:gridCol w:w="1492"/>
        <w:gridCol w:w="1632"/>
      </w:tblGrid>
      <w:tr w:rsidR="00CF4847" w:rsidRPr="003D1731" w:rsidTr="00AD3F83">
        <w:trPr>
          <w:trHeight w:val="430"/>
        </w:trPr>
        <w:tc>
          <w:tcPr>
            <w:tcW w:w="1327" w:type="pct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006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b/>
                <w:sz w:val="20"/>
              </w:rPr>
              <w:t>MOR-002</w:t>
            </w:r>
            <w:r w:rsidRPr="00AD3F83">
              <w:rPr>
                <w:rFonts w:asciiTheme="minorHAnsi" w:hAnsiTheme="minorHAnsi"/>
                <w:sz w:val="20"/>
              </w:rPr>
              <w:br/>
            </w:r>
            <w:r w:rsidRPr="00AD3F83">
              <w:rPr>
                <w:rFonts w:asciiTheme="minorHAnsi" w:hAnsiTheme="minorHAnsi"/>
                <w:b/>
                <w:sz w:val="20"/>
              </w:rPr>
              <w:t>(n = 20)</w:t>
            </w:r>
          </w:p>
        </w:tc>
        <w:tc>
          <w:tcPr>
            <w:tcW w:w="103" w:type="pct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264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b/>
                <w:sz w:val="20"/>
              </w:rPr>
              <w:t>MOR-100</w:t>
            </w:r>
            <w:r w:rsidRPr="00AD3F83">
              <w:rPr>
                <w:rFonts w:asciiTheme="minorHAnsi" w:hAnsiTheme="minorHAnsi"/>
                <w:sz w:val="20"/>
              </w:rPr>
              <w:br/>
            </w:r>
            <w:r w:rsidRPr="00AD3F83">
              <w:rPr>
                <w:rFonts w:asciiTheme="minorHAnsi" w:hAnsiTheme="minorHAnsi"/>
                <w:b/>
                <w:sz w:val="20"/>
              </w:rPr>
              <w:t>(n = 17)</w:t>
            </w:r>
          </w:p>
        </w:tc>
        <w:tc>
          <w:tcPr>
            <w:tcW w:w="121" w:type="pct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179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b/>
                <w:sz w:val="20"/>
              </w:rPr>
              <w:t>MOR-002/MOR-100</w:t>
            </w:r>
            <w:r w:rsidRPr="00AD3F83">
              <w:rPr>
                <w:rFonts w:asciiTheme="minorHAnsi" w:hAnsiTheme="minorHAnsi"/>
                <w:sz w:val="20"/>
              </w:rPr>
              <w:br/>
            </w:r>
            <w:r w:rsidRPr="00AD3F83">
              <w:rPr>
                <w:rFonts w:asciiTheme="minorHAnsi" w:hAnsiTheme="minorHAnsi"/>
                <w:b/>
                <w:sz w:val="20"/>
              </w:rPr>
              <w:t>(n = 17)</w:t>
            </w:r>
          </w:p>
        </w:tc>
      </w:tr>
      <w:tr w:rsidR="00CF4847" w:rsidRPr="003D1731" w:rsidTr="00AD3F83">
        <w:trPr>
          <w:trHeight w:val="100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006" w:type="pct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b/>
                <w:sz w:val="20"/>
              </w:rPr>
              <w:t>TAb Titer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264" w:type="pct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b/>
                <w:sz w:val="20"/>
              </w:rPr>
              <w:t>TAb Titer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1179" w:type="pct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b/>
                <w:sz w:val="20"/>
              </w:rPr>
              <w:t>TAb Titer</w:t>
            </w:r>
          </w:p>
        </w:tc>
      </w:tr>
      <w:tr w:rsidR="00CF4847" w:rsidRPr="003D1731" w:rsidTr="00AD3F83">
        <w:trPr>
          <w:trHeight w:val="256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Mean TAb titer</w:t>
            </w:r>
          </w:p>
        </w:tc>
        <w:tc>
          <w:tcPr>
            <w:tcW w:w="523" w:type="pct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81788C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≤</w:t>
            </w:r>
            <w:r w:rsidR="00280A1C">
              <w:rPr>
                <w:rFonts w:asciiTheme="minorHAnsi" w:hAnsiTheme="minorHAnsi"/>
                <w:sz w:val="20"/>
              </w:rPr>
              <w:t xml:space="preserve"> </w:t>
            </w:r>
            <w:r w:rsidR="00CF4847" w:rsidRPr="00AD3F83">
              <w:rPr>
                <w:rFonts w:asciiTheme="minorHAnsi" w:hAnsiTheme="minorHAnsi"/>
                <w:sz w:val="20"/>
              </w:rPr>
              <w:t>67,686</w:t>
            </w:r>
            <w:r w:rsidR="00CF4847" w:rsidRPr="00AD3F83">
              <w:rPr>
                <w:rFonts w:asciiTheme="minorHAnsi" w:hAnsiTheme="minorHAnsi"/>
                <w:sz w:val="20"/>
                <w:vertAlign w:val="superscript"/>
              </w:rPr>
              <w:t>a</w:t>
            </w:r>
          </w:p>
        </w:tc>
        <w:tc>
          <w:tcPr>
            <w:tcW w:w="483" w:type="pct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81788C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&gt;</w:t>
            </w:r>
            <w:r w:rsidR="00280A1C">
              <w:rPr>
                <w:rFonts w:asciiTheme="minorHAnsi" w:hAnsiTheme="minorHAnsi"/>
                <w:sz w:val="20"/>
              </w:rPr>
              <w:t xml:space="preserve"> </w:t>
            </w:r>
            <w:r w:rsidR="00CF4847" w:rsidRPr="00AD3F83">
              <w:rPr>
                <w:rFonts w:asciiTheme="minorHAnsi" w:hAnsiTheme="minorHAnsi"/>
                <w:sz w:val="20"/>
              </w:rPr>
              <w:t>67,686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81788C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≤</w:t>
            </w:r>
            <w:r w:rsidR="00280A1C">
              <w:rPr>
                <w:rFonts w:asciiTheme="minorHAnsi" w:hAnsiTheme="minorHAnsi"/>
                <w:sz w:val="20"/>
              </w:rPr>
              <w:t xml:space="preserve"> </w:t>
            </w:r>
            <w:r w:rsidR="00CF4847" w:rsidRPr="00AD3F83">
              <w:rPr>
                <w:rFonts w:asciiTheme="minorHAnsi" w:hAnsiTheme="minorHAnsi"/>
                <w:sz w:val="20"/>
              </w:rPr>
              <w:t>1,264,644</w:t>
            </w:r>
            <w:r w:rsidR="00CF4847" w:rsidRPr="00AD3F83">
              <w:rPr>
                <w:rFonts w:asciiTheme="minorHAnsi" w:hAnsiTheme="minorHAnsi"/>
                <w:sz w:val="20"/>
                <w:vertAlign w:val="superscript"/>
              </w:rPr>
              <w:t>b</w:t>
            </w:r>
          </w:p>
        </w:tc>
        <w:tc>
          <w:tcPr>
            <w:tcW w:w="603" w:type="pct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81788C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&gt;</w:t>
            </w:r>
            <w:r w:rsidR="00280A1C">
              <w:rPr>
                <w:rFonts w:asciiTheme="minorHAnsi" w:hAnsiTheme="minorHAnsi"/>
                <w:sz w:val="20"/>
              </w:rPr>
              <w:t xml:space="preserve"> </w:t>
            </w:r>
            <w:r w:rsidR="00CF4847" w:rsidRPr="00AD3F83">
              <w:rPr>
                <w:rFonts w:asciiTheme="minorHAnsi" w:hAnsiTheme="minorHAnsi"/>
                <w:sz w:val="20"/>
              </w:rPr>
              <w:t>1,264,644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81788C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≤</w:t>
            </w:r>
            <w:r w:rsidR="00280A1C">
              <w:rPr>
                <w:rFonts w:asciiTheme="minorHAnsi" w:hAnsiTheme="minorHAnsi"/>
                <w:sz w:val="20"/>
              </w:rPr>
              <w:t xml:space="preserve"> </w:t>
            </w:r>
            <w:r w:rsidR="00CF4847" w:rsidRPr="00AD3F83">
              <w:rPr>
                <w:rFonts w:asciiTheme="minorHAnsi" w:hAnsiTheme="minorHAnsi"/>
                <w:sz w:val="20"/>
              </w:rPr>
              <w:t>730,651</w:t>
            </w:r>
            <w:r w:rsidR="00CF4847" w:rsidRPr="00AD3F83">
              <w:rPr>
                <w:rFonts w:asciiTheme="minorHAnsi" w:hAnsiTheme="minorHAnsi"/>
                <w:sz w:val="20"/>
                <w:vertAlign w:val="superscript"/>
              </w:rPr>
              <w:t>c</w:t>
            </w:r>
          </w:p>
        </w:tc>
        <w:tc>
          <w:tcPr>
            <w:tcW w:w="615" w:type="pct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81788C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&gt;</w:t>
            </w:r>
            <w:r w:rsidR="00280A1C">
              <w:rPr>
                <w:rFonts w:asciiTheme="minorHAnsi" w:hAnsiTheme="minorHAnsi"/>
                <w:sz w:val="20"/>
              </w:rPr>
              <w:t xml:space="preserve"> </w:t>
            </w:r>
            <w:r w:rsidR="00CF4847" w:rsidRPr="00AD3F83">
              <w:rPr>
                <w:rFonts w:asciiTheme="minorHAnsi" w:hAnsiTheme="minorHAnsi"/>
                <w:sz w:val="20"/>
              </w:rPr>
              <w:t>730,651</w:t>
            </w:r>
          </w:p>
        </w:tc>
      </w:tr>
      <w:tr w:rsidR="00CF4847" w:rsidRPr="003D1731" w:rsidTr="00AD3F83">
        <w:trPr>
          <w:trHeight w:val="256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No. of IgE-negative patients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11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7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11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3</w:t>
            </w:r>
          </w:p>
        </w:tc>
      </w:tr>
      <w:tr w:rsidR="00CF4847" w:rsidRPr="003D1731" w:rsidTr="00AD3F83">
        <w:trPr>
          <w:trHeight w:val="732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81788C" w:rsidP="00AD3F83">
            <w:pPr>
              <w:pStyle w:val="Body"/>
              <w:keepNext/>
              <w:keepLines/>
              <w:spacing w:after="0" w:line="240" w:lineRule="auto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Patients with ≥</w:t>
            </w:r>
            <w:r w:rsidR="00280A1C">
              <w:rPr>
                <w:rFonts w:asciiTheme="minorHAnsi" w:hAnsiTheme="minorHAnsi"/>
                <w:sz w:val="20"/>
              </w:rPr>
              <w:t xml:space="preserve"> </w:t>
            </w:r>
            <w:r w:rsidR="00CF4847" w:rsidRPr="00AD3F83">
              <w:rPr>
                <w:rFonts w:asciiTheme="minorHAnsi" w:hAnsiTheme="minorHAnsi"/>
                <w:sz w:val="20"/>
              </w:rPr>
              <w:t>1 reported PT from the broad angioedema or anaphylaxis reaction SMQ, n (%)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(9.1)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2 (28.6)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9 (75.0)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9 (81.8)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(33.3)</w:t>
            </w:r>
          </w:p>
        </w:tc>
      </w:tr>
      <w:tr w:rsidR="00CF4847" w:rsidRPr="003D1731" w:rsidTr="00AD3F83">
        <w:trPr>
          <w:trHeight w:val="523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81788C" w:rsidP="00AD3F83">
            <w:pPr>
              <w:pStyle w:val="Body"/>
              <w:keepNext/>
              <w:keepLines/>
              <w:spacing w:after="0" w:line="240" w:lineRule="auto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Patients with ≥</w:t>
            </w:r>
            <w:r w:rsidR="00280A1C">
              <w:rPr>
                <w:rFonts w:asciiTheme="minorHAnsi" w:hAnsiTheme="minorHAnsi"/>
                <w:sz w:val="20"/>
              </w:rPr>
              <w:t xml:space="preserve"> </w:t>
            </w:r>
            <w:r w:rsidR="00CF4847" w:rsidRPr="00AD3F83">
              <w:rPr>
                <w:rFonts w:asciiTheme="minorHAnsi" w:hAnsiTheme="minorHAnsi"/>
                <w:sz w:val="20"/>
              </w:rPr>
              <w:t>1 AE from the anaphylaxis reaction SMQ, n (%)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</w:tr>
      <w:tr w:rsidR="00CF4847" w:rsidRPr="003D1731" w:rsidTr="00AD3F83">
        <w:trPr>
          <w:trHeight w:val="469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81788C" w:rsidP="00AD3F83">
            <w:pPr>
              <w:pStyle w:val="Body"/>
              <w:keepNext/>
              <w:keepLines/>
              <w:spacing w:after="0" w:line="240" w:lineRule="auto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Patients with ≥</w:t>
            </w:r>
            <w:r w:rsidR="00280A1C">
              <w:rPr>
                <w:rFonts w:asciiTheme="minorHAnsi" w:hAnsiTheme="minorHAnsi"/>
                <w:sz w:val="20"/>
              </w:rPr>
              <w:t xml:space="preserve"> </w:t>
            </w:r>
            <w:r w:rsidR="00CF4847" w:rsidRPr="00AD3F83">
              <w:rPr>
                <w:rFonts w:asciiTheme="minorHAnsi" w:hAnsiTheme="minorHAnsi"/>
                <w:sz w:val="20"/>
              </w:rPr>
              <w:t>1 AE from the angioedema SMQ, n (%)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(9.1)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2 (28.6)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9 (75.0)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9 (81.8)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(33.3)</w:t>
            </w:r>
          </w:p>
        </w:tc>
      </w:tr>
      <w:tr w:rsidR="00CF4847" w:rsidRPr="003D1731" w:rsidTr="0081788C">
        <w:trPr>
          <w:trHeight w:val="270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ind w:firstLine="480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Drug hypersensitivity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(9.1)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(9.1)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</w:tr>
      <w:tr w:rsidR="00CF4847" w:rsidRPr="003D1731" w:rsidTr="0081788C">
        <w:trPr>
          <w:trHeight w:val="270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ind w:firstLine="480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Eye swelling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2 (16.7)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2 (18.2)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</w:tr>
      <w:tr w:rsidR="00CF4847" w:rsidRPr="003D1731" w:rsidTr="0081788C">
        <w:trPr>
          <w:trHeight w:val="270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ind w:firstLine="480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Local swelling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2 (16.7)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2 (18.2)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</w:tr>
      <w:tr w:rsidR="00CF4847" w:rsidRPr="003D1731" w:rsidTr="0081788C">
        <w:trPr>
          <w:trHeight w:val="270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ind w:firstLine="480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Nasal obstruction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(14.3)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3 (25.0)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4 (36.4)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</w:tr>
      <w:tr w:rsidR="00CF4847" w:rsidRPr="003D1731" w:rsidTr="0081788C">
        <w:trPr>
          <w:trHeight w:val="270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ind w:firstLine="480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Pharyngeal edema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(9.1)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(9.1)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</w:tr>
      <w:tr w:rsidR="00CF4847" w:rsidRPr="003D1731" w:rsidTr="0081788C">
        <w:trPr>
          <w:trHeight w:val="270"/>
        </w:trPr>
        <w:tc>
          <w:tcPr>
            <w:tcW w:w="1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ind w:firstLine="480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Urticaria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2 (16.7)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2 (18.2)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</w:tr>
      <w:tr w:rsidR="00CF4847" w:rsidRPr="003D1731" w:rsidTr="0081788C">
        <w:trPr>
          <w:trHeight w:val="270"/>
        </w:trPr>
        <w:tc>
          <w:tcPr>
            <w:tcW w:w="1327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ind w:firstLine="480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Wheezing</w:t>
            </w:r>
          </w:p>
        </w:tc>
        <w:tc>
          <w:tcPr>
            <w:tcW w:w="523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(14.3)</w:t>
            </w:r>
          </w:p>
        </w:tc>
        <w:tc>
          <w:tcPr>
            <w:tcW w:w="103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3 (25.0)</w:t>
            </w:r>
          </w:p>
        </w:tc>
        <w:tc>
          <w:tcPr>
            <w:tcW w:w="603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21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keepNext/>
              <w:keepLines/>
              <w:rPr>
                <w:rFonts w:asciiTheme="minorHAnsi" w:hAnsiTheme="minorHAnsi"/>
                <w:sz w:val="20"/>
                <w:szCs w:val="22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3 (27.3)</w:t>
            </w:r>
          </w:p>
        </w:tc>
        <w:tc>
          <w:tcPr>
            <w:tcW w:w="615" w:type="pc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F4847" w:rsidRPr="00AD3F83" w:rsidRDefault="00CF4847" w:rsidP="00AD3F83">
            <w:pPr>
              <w:pStyle w:val="Body"/>
              <w:keepNext/>
              <w:keepLines/>
              <w:spacing w:after="0" w:line="240" w:lineRule="auto"/>
              <w:jc w:val="center"/>
              <w:rPr>
                <w:rFonts w:asciiTheme="minorHAnsi" w:hAnsiTheme="minorHAnsi"/>
                <w:sz w:val="20"/>
              </w:rPr>
            </w:pPr>
            <w:r w:rsidRPr="00AD3F83">
              <w:rPr>
                <w:rFonts w:asciiTheme="minorHAnsi" w:hAnsiTheme="minorHAnsi"/>
                <w:sz w:val="20"/>
              </w:rPr>
              <w:t>1 (33.3)</w:t>
            </w:r>
          </w:p>
        </w:tc>
      </w:tr>
    </w:tbl>
    <w:p w:rsidR="00CF4847" w:rsidRPr="003D1731" w:rsidRDefault="00CF4847" w:rsidP="00AD3F83">
      <w:pPr>
        <w:pStyle w:val="Body"/>
        <w:widowControl w:val="0"/>
        <w:spacing w:after="0" w:line="240" w:lineRule="auto"/>
        <w:rPr>
          <w:rFonts w:asciiTheme="minorHAnsi" w:hAnsiTheme="minorHAnsi"/>
        </w:rPr>
      </w:pPr>
    </w:p>
    <w:p w:rsidR="00CF4847" w:rsidRPr="00AD3F83" w:rsidRDefault="00CF4847" w:rsidP="00AD3F83">
      <w:pPr>
        <w:pStyle w:val="Body"/>
        <w:spacing w:after="0" w:line="240" w:lineRule="auto"/>
        <w:rPr>
          <w:rFonts w:asciiTheme="minorHAnsi" w:hAnsiTheme="minorHAnsi"/>
          <w:sz w:val="18"/>
        </w:rPr>
      </w:pPr>
      <w:r w:rsidRPr="00AD3F83">
        <w:rPr>
          <w:rFonts w:asciiTheme="minorHAnsi" w:hAnsiTheme="minorHAnsi"/>
          <w:sz w:val="18"/>
        </w:rPr>
        <w:t>AE, adverse event; IgE, immunoglobulin E; MedDRA, Medical Dictionary for Regulatory Activities; PT, preferred term; SMQ, standardized MedDRA query; TAb, total antibodies.</w:t>
      </w:r>
    </w:p>
    <w:p w:rsidR="00CF4847" w:rsidRPr="00AD3F83" w:rsidRDefault="00CF4847" w:rsidP="00AD3F83">
      <w:pPr>
        <w:pStyle w:val="Body"/>
        <w:spacing w:after="0" w:line="240" w:lineRule="auto"/>
        <w:rPr>
          <w:rFonts w:asciiTheme="minorHAnsi" w:hAnsiTheme="minorHAnsi"/>
          <w:sz w:val="18"/>
        </w:rPr>
      </w:pPr>
      <w:r w:rsidRPr="00AD3F83">
        <w:rPr>
          <w:rFonts w:asciiTheme="minorHAnsi" w:hAnsiTheme="minorHAnsi"/>
          <w:sz w:val="18"/>
        </w:rPr>
        <w:t>Potential hypersensitivity AEs were identified using the broad anaphylactic reaction algorithm SMQ and the broad angioedema SMQ.</w:t>
      </w:r>
    </w:p>
    <w:p w:rsidR="00CF4847" w:rsidRPr="00AD3F83" w:rsidRDefault="00AD3F83" w:rsidP="00AD3F83">
      <w:pPr>
        <w:pStyle w:val="Body"/>
        <w:spacing w:after="0" w:line="240" w:lineRule="auto"/>
        <w:rPr>
          <w:rFonts w:asciiTheme="minorHAnsi" w:hAnsiTheme="minorHAnsi"/>
          <w:sz w:val="18"/>
        </w:rPr>
      </w:pPr>
      <w:r>
        <w:rPr>
          <w:rFonts w:asciiTheme="minorHAnsi" w:hAnsiTheme="minorHAnsi"/>
          <w:sz w:val="18"/>
        </w:rPr>
        <w:t>Patients with ≥</w:t>
      </w:r>
      <w:r w:rsidR="00280A1C">
        <w:rPr>
          <w:rFonts w:asciiTheme="minorHAnsi" w:hAnsiTheme="minorHAnsi"/>
          <w:sz w:val="18"/>
        </w:rPr>
        <w:t xml:space="preserve"> </w:t>
      </w:r>
      <w:bookmarkStart w:id="0" w:name="_GoBack"/>
      <w:bookmarkEnd w:id="0"/>
      <w:r w:rsidR="00CF4847" w:rsidRPr="00AD3F83">
        <w:rPr>
          <w:rFonts w:asciiTheme="minorHAnsi" w:hAnsiTheme="minorHAnsi"/>
          <w:sz w:val="18"/>
        </w:rPr>
        <w:t>1 AE within a MedDRA PT were counted once. PTs coded by MedDRA version 16.1. Includes only scheduled visits.</w:t>
      </w:r>
    </w:p>
    <w:p w:rsidR="00CF4847" w:rsidRPr="00AD3F83" w:rsidRDefault="00CF4847" w:rsidP="00AD3F83">
      <w:pPr>
        <w:pStyle w:val="Body"/>
        <w:spacing w:after="0" w:line="240" w:lineRule="auto"/>
        <w:rPr>
          <w:rFonts w:asciiTheme="minorHAnsi" w:hAnsiTheme="minorHAnsi"/>
          <w:sz w:val="18"/>
        </w:rPr>
      </w:pPr>
      <w:r w:rsidRPr="00AD3F83">
        <w:rPr>
          <w:rFonts w:asciiTheme="minorHAnsi" w:hAnsiTheme="minorHAnsi"/>
          <w:sz w:val="18"/>
          <w:vertAlign w:val="superscript"/>
        </w:rPr>
        <w:t>a</w:t>
      </w:r>
      <w:r w:rsidRPr="00AD3F83">
        <w:rPr>
          <w:rFonts w:asciiTheme="minorHAnsi" w:hAnsiTheme="minorHAnsi"/>
          <w:sz w:val="18"/>
        </w:rPr>
        <w:t xml:space="preserve"> Mean TAb titer postbaseline to end of study MOR-002.</w:t>
      </w:r>
    </w:p>
    <w:p w:rsidR="00CF4847" w:rsidRPr="00AD3F83" w:rsidRDefault="00CF4847" w:rsidP="00AD3F83">
      <w:pPr>
        <w:pStyle w:val="Body"/>
        <w:spacing w:after="0" w:line="240" w:lineRule="auto"/>
        <w:rPr>
          <w:rFonts w:asciiTheme="minorHAnsi" w:hAnsiTheme="minorHAnsi"/>
          <w:sz w:val="18"/>
        </w:rPr>
      </w:pPr>
      <w:r w:rsidRPr="00AD3F83">
        <w:rPr>
          <w:rFonts w:asciiTheme="minorHAnsi" w:hAnsiTheme="minorHAnsi"/>
          <w:sz w:val="18"/>
          <w:vertAlign w:val="superscript"/>
        </w:rPr>
        <w:t>b</w:t>
      </w:r>
      <w:r w:rsidRPr="00AD3F83">
        <w:rPr>
          <w:rFonts w:asciiTheme="minorHAnsi" w:hAnsiTheme="minorHAnsi"/>
          <w:sz w:val="18"/>
        </w:rPr>
        <w:t xml:space="preserve"> Mean TAb titer postbaseline week 192 of study MOR-100.</w:t>
      </w:r>
    </w:p>
    <w:p w:rsidR="00785AE9" w:rsidRPr="00AD3F83" w:rsidRDefault="00CF4847" w:rsidP="00AD3F83">
      <w:pPr>
        <w:pStyle w:val="Body"/>
        <w:spacing w:after="0" w:line="240" w:lineRule="auto"/>
        <w:rPr>
          <w:rFonts w:asciiTheme="minorHAnsi" w:hAnsiTheme="minorHAnsi"/>
          <w:sz w:val="18"/>
        </w:rPr>
      </w:pPr>
      <w:r w:rsidRPr="00AD3F83">
        <w:rPr>
          <w:rFonts w:asciiTheme="minorHAnsi" w:hAnsiTheme="minorHAnsi"/>
          <w:sz w:val="18"/>
          <w:vertAlign w:val="superscript"/>
        </w:rPr>
        <w:t>c</w:t>
      </w:r>
      <w:r w:rsidRPr="00AD3F83">
        <w:rPr>
          <w:rFonts w:asciiTheme="minorHAnsi" w:hAnsiTheme="minorHAnsi"/>
          <w:sz w:val="18"/>
        </w:rPr>
        <w:t xml:space="preserve"> Mean TAb titer postbaseline of study MOR-00</w:t>
      </w:r>
      <w:r w:rsidR="00AD3F83">
        <w:rPr>
          <w:rFonts w:asciiTheme="minorHAnsi" w:hAnsiTheme="minorHAnsi"/>
          <w:sz w:val="18"/>
        </w:rPr>
        <w:t>2 to week 192 of study MOR-100.</w:t>
      </w:r>
    </w:p>
    <w:sectPr w:rsidR="00785AE9" w:rsidRPr="00AD3F83" w:rsidSect="00787184">
      <w:pgSz w:w="15840" w:h="12240" w:orient="landscape"/>
      <w:pgMar w:top="1296" w:right="1296" w:bottom="1296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4847"/>
    <w:rsid w:val="00280A1C"/>
    <w:rsid w:val="00785AE9"/>
    <w:rsid w:val="00787184"/>
    <w:rsid w:val="0081788C"/>
    <w:rsid w:val="00AD3F83"/>
    <w:rsid w:val="00CF4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90D11B3-E171-4E7E-BE7D-CC23CCB26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CF484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4847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484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ahoma" w:eastAsiaTheme="minorHAnsi" w:hAnsi="Tahoma" w:cs="Tahoma"/>
      <w:sz w:val="16"/>
      <w:szCs w:val="16"/>
      <w:bdr w:val="none" w:sz="0" w:space="0" w:color="auto"/>
    </w:rPr>
  </w:style>
  <w:style w:type="character" w:customStyle="1" w:styleId="BalloonTextChar1">
    <w:name w:val="Balloon Text Char1"/>
    <w:basedOn w:val="DefaultParagraphFont"/>
    <w:uiPriority w:val="99"/>
    <w:semiHidden/>
    <w:rsid w:val="00CF4847"/>
    <w:rPr>
      <w:rFonts w:ascii="Segoe UI" w:eastAsia="Arial Unicode MS" w:hAnsi="Segoe UI" w:cs="Segoe UI"/>
      <w:sz w:val="18"/>
      <w:szCs w:val="18"/>
      <w:bdr w:val="nil"/>
    </w:rPr>
  </w:style>
  <w:style w:type="character" w:customStyle="1" w:styleId="BodyTextChar">
    <w:name w:val="Body Text Char"/>
    <w:basedOn w:val="DefaultParagraphFont"/>
    <w:link w:val="BodyText"/>
    <w:rsid w:val="00CF4847"/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paragraph" w:styleId="BodyText">
    <w:name w:val="Body Text"/>
    <w:link w:val="BodyTextChar"/>
    <w:rsid w:val="00CF4847"/>
    <w:pPr>
      <w:pBdr>
        <w:top w:val="nil"/>
        <w:left w:val="nil"/>
        <w:bottom w:val="nil"/>
        <w:right w:val="nil"/>
        <w:between w:val="nil"/>
        <w:bar w:val="nil"/>
      </w:pBdr>
      <w:spacing w:after="120"/>
    </w:pPr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character" w:customStyle="1" w:styleId="BodyTextChar1">
    <w:name w:val="Body Text Char1"/>
    <w:basedOn w:val="DefaultParagraphFont"/>
    <w:uiPriority w:val="99"/>
    <w:semiHidden/>
    <w:rsid w:val="00CF4847"/>
    <w:rPr>
      <w:rFonts w:ascii="Times New Roman" w:eastAsia="Arial Unicode MS" w:hAnsi="Times New Roman" w:cs="Times New Roman"/>
      <w:sz w:val="24"/>
      <w:szCs w:val="24"/>
      <w:bdr w:val="nil"/>
    </w:rPr>
  </w:style>
  <w:style w:type="paragraph" w:customStyle="1" w:styleId="Body">
    <w:name w:val="Body"/>
    <w:rsid w:val="00CF4847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eastAsia="en-GB"/>
    </w:rPr>
  </w:style>
  <w:style w:type="paragraph" w:customStyle="1" w:styleId="TableParagraph">
    <w:name w:val="Table Paragraph"/>
    <w:rsid w:val="00CF4847"/>
    <w:pPr>
      <w:pBdr>
        <w:top w:val="nil"/>
        <w:left w:val="nil"/>
        <w:bottom w:val="nil"/>
        <w:right w:val="nil"/>
        <w:between w:val="nil"/>
        <w:bar w:val="nil"/>
      </w:pBdr>
      <w:spacing w:before="13" w:after="0" w:line="240" w:lineRule="auto"/>
      <w:ind w:left="399"/>
      <w:jc w:val="center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BioMarin Pharmaceutical Inc.</Company>
  <LinksUpToDate>false</LinksUpToDate>
  <CharactersWithSpaces>1641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Clague</dc:creator>
  <cp:keywords/>
  <dc:description/>
  <cp:lastModifiedBy>Gillian Clague</cp:lastModifiedBy>
  <cp:revision>4</cp:revision>
  <dcterms:created xsi:type="dcterms:W3CDTF">2018-02-22T18:21:00Z</dcterms:created>
  <dcterms:modified xsi:type="dcterms:W3CDTF">2018-02-22T18:54:00Z</dcterms:modified>
</cp:coreProperties>
</file>