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2214" w:rsidRDefault="00CD2214" w:rsidP="00CD2214">
      <w:pPr>
        <w:pStyle w:val="Caption"/>
        <w:keepNext/>
        <w:spacing w:line="480" w:lineRule="auto"/>
        <w:jc w:val="center"/>
      </w:pPr>
      <w:r w:rsidRPr="00081D64">
        <w:rPr>
          <w:rFonts w:ascii="Arial" w:hAnsi="Arial" w:cs="Arial"/>
          <w:noProof/>
          <w:color w:val="000000" w:themeColor="text1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51FD36" wp14:editId="3B6BE4DF">
                <wp:simplePos x="0" y="0"/>
                <wp:positionH relativeFrom="column">
                  <wp:posOffset>4283489</wp:posOffset>
                </wp:positionH>
                <wp:positionV relativeFrom="paragraph">
                  <wp:posOffset>4112895</wp:posOffset>
                </wp:positionV>
                <wp:extent cx="298174" cy="188844"/>
                <wp:effectExtent l="0" t="0" r="0" b="190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8174" cy="18884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D2214" w:rsidRDefault="00CD2214" w:rsidP="00CD2214">
                            <w:r>
                              <w:t>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351FD3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37.3pt;margin-top:323.85pt;width:23.5pt;height:14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" filled="f" stroked="f">
                <v:textbox>
                  <w:txbxContent>
                    <w:p w:rsidR="00CD2214" w:rsidRDefault="00CD2214" w:rsidP="00CD2214">
                      <w: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color w:val="000000" w:themeColor="text1"/>
          <w:sz w:val="20"/>
          <w:szCs w:val="20"/>
        </w:rPr>
        <w:drawing>
          <wp:inline distT="0" distB="0" distL="0" distR="0" wp14:anchorId="35381A33" wp14:editId="4451F28A">
            <wp:extent cx="5468112" cy="6108192"/>
            <wp:effectExtent l="0" t="0" r="0" b="698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029"/>
                    <a:stretch/>
                  </pic:blipFill>
                  <pic:spPr bwMode="auto">
                    <a:xfrm>
                      <a:off x="0" y="0"/>
                      <a:ext cx="5468112" cy="61081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D2214" w:rsidRPr="006417C4" w:rsidRDefault="0093667C" w:rsidP="00CD2214">
      <w:pPr>
        <w:pStyle w:val="Caption"/>
        <w:spacing w:line="48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S4 </w:t>
      </w:r>
      <w:r w:rsidR="00CD2214" w:rsidRPr="006417C4">
        <w:rPr>
          <w:rFonts w:ascii="Arial" w:hAnsi="Arial" w:cs="Arial"/>
          <w:color w:val="000000" w:themeColor="text1"/>
          <w:sz w:val="20"/>
          <w:szCs w:val="20"/>
        </w:rPr>
        <w:t>Fig</w:t>
      </w:r>
      <w:bookmarkStart w:id="0" w:name="_GoBack"/>
      <w:bookmarkEnd w:id="0"/>
      <w:r w:rsidR="00CD2214" w:rsidRPr="006417C4">
        <w:rPr>
          <w:rFonts w:ascii="Arial" w:hAnsi="Arial" w:cs="Arial"/>
          <w:color w:val="000000" w:themeColor="text1"/>
          <w:sz w:val="20"/>
          <w:szCs w:val="20"/>
        </w:rPr>
        <w:t>. Phenotypic analysis of At4g19370 (MWL-2) single T-DNA knockout line mutants and MWL-2 overexpression lines.</w:t>
      </w:r>
    </w:p>
    <w:p w:rsidR="00CD2214" w:rsidRPr="000F3B03" w:rsidRDefault="00CD2214" w:rsidP="00CD2214">
      <w:pPr>
        <w:spacing w:line="480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color w:val="000000" w:themeColor="text1"/>
          <w:sz w:val="20"/>
          <w:szCs w:val="20"/>
        </w:rPr>
        <w:t>(A)</w:t>
      </w:r>
      <w:r w:rsidRPr="001E402B">
        <w:rPr>
          <w:rFonts w:ascii="Arial" w:hAnsi="Arial" w:cs="Arial"/>
          <w:color w:val="000000" w:themeColor="text1"/>
          <w:sz w:val="20"/>
          <w:szCs w:val="20"/>
        </w:rPr>
        <w:t xml:space="preserve"> RT-PCR detection of endogenous </w:t>
      </w:r>
      <w:r>
        <w:rPr>
          <w:rFonts w:ascii="Arial" w:hAnsi="Arial" w:cs="Arial"/>
          <w:i/>
          <w:sz w:val="20"/>
          <w:szCs w:val="20"/>
        </w:rPr>
        <w:t>MWL-2</w:t>
      </w:r>
      <w:r w:rsidRPr="001E402B">
        <w:rPr>
          <w:rFonts w:ascii="Arial" w:hAnsi="Arial" w:cs="Arial"/>
          <w:sz w:val="20"/>
          <w:szCs w:val="20"/>
        </w:rPr>
        <w:t xml:space="preserve"> </w:t>
      </w:r>
      <w:r w:rsidRPr="001E402B">
        <w:rPr>
          <w:rFonts w:ascii="Arial" w:hAnsi="Arial" w:cs="Arial"/>
          <w:color w:val="000000" w:themeColor="text1"/>
          <w:sz w:val="20"/>
          <w:szCs w:val="20"/>
        </w:rPr>
        <w:t xml:space="preserve">transcript in the wildtype (WT) plants and absence in the </w:t>
      </w:r>
      <w:r>
        <w:rPr>
          <w:rFonts w:ascii="Arial" w:hAnsi="Arial" w:cs="Arial"/>
          <w:color w:val="000000" w:themeColor="text1"/>
          <w:sz w:val="20"/>
          <w:szCs w:val="20"/>
        </w:rPr>
        <w:t>single</w:t>
      </w:r>
      <w:r w:rsidRPr="001E402B">
        <w:rPr>
          <w:rFonts w:ascii="Arial" w:hAnsi="Arial" w:cs="Arial"/>
          <w:color w:val="000000" w:themeColor="text1"/>
          <w:sz w:val="20"/>
          <w:szCs w:val="20"/>
        </w:rPr>
        <w:t xml:space="preserve"> knockout mutant</w:t>
      </w:r>
      <w:r>
        <w:rPr>
          <w:rFonts w:ascii="Arial" w:hAnsi="Arial" w:cs="Arial"/>
          <w:color w:val="000000" w:themeColor="text1"/>
          <w:sz w:val="20"/>
          <w:szCs w:val="20"/>
        </w:rPr>
        <w:t>. (B)</w:t>
      </w:r>
      <w:r w:rsidDel="00CE48F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Semi-quantitative RT-PCR analysis of </w:t>
      </w:r>
      <w:r>
        <w:rPr>
          <w:rFonts w:ascii="Arial" w:hAnsi="Arial" w:cs="Arial"/>
          <w:i/>
          <w:color w:val="000000" w:themeColor="text1"/>
          <w:sz w:val="20"/>
          <w:szCs w:val="20"/>
        </w:rPr>
        <w:t>MWL-2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overexpression lines 1 to 3 showing detection of </w:t>
      </w:r>
      <w:r w:rsidRPr="00081D64">
        <w:rPr>
          <w:rFonts w:ascii="Arial" w:hAnsi="Arial" w:cs="Arial"/>
          <w:i/>
          <w:color w:val="000000" w:themeColor="text1"/>
          <w:sz w:val="20"/>
          <w:szCs w:val="20"/>
        </w:rPr>
        <w:t>MWL-2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transgene in the transgenic lines except for OE1 which could be indicative of </w:t>
      </w:r>
      <w:r w:rsidRPr="00212CB3">
        <w:rPr>
          <w:rFonts w:ascii="Arial" w:hAnsi="Arial" w:cs="Arial"/>
          <w:color w:val="000000" w:themeColor="text1"/>
          <w:sz w:val="20"/>
          <w:szCs w:val="20"/>
        </w:rPr>
        <w:t>positional effect (position in the genome), or co-suppression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dominant repression. </w:t>
      </w:r>
      <w:r w:rsidRPr="001E402B">
        <w:rPr>
          <w:rFonts w:ascii="Arial" w:hAnsi="Arial" w:cs="Arial"/>
          <w:color w:val="000000" w:themeColor="text1"/>
          <w:sz w:val="20"/>
          <w:szCs w:val="20"/>
        </w:rPr>
        <w:t>Actin2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was used as a </w:t>
      </w:r>
      <w:r>
        <w:rPr>
          <w:rFonts w:ascii="Arial" w:hAnsi="Arial" w:cs="Arial"/>
          <w:color w:val="000000" w:themeColor="text1"/>
          <w:sz w:val="20"/>
          <w:szCs w:val="20"/>
        </w:rPr>
        <w:lastRenderedPageBreak/>
        <w:t xml:space="preserve">control gene and RT-PCR was performed on stem tissue. Actin2 and MWL-2 gene-specific </w:t>
      </w:r>
      <w:r w:rsidRPr="001E402B">
        <w:rPr>
          <w:rFonts w:ascii="Arial" w:hAnsi="Arial" w:cs="Arial"/>
          <w:color w:val="000000" w:themeColor="text1"/>
          <w:sz w:val="20"/>
          <w:szCs w:val="20"/>
        </w:rPr>
        <w:t xml:space="preserve">oligonucleotide sequences can be found in </w:t>
      </w:r>
      <w:r>
        <w:rPr>
          <w:rFonts w:ascii="Arial" w:hAnsi="Arial" w:cs="Arial"/>
          <w:color w:val="000000" w:themeColor="text1"/>
          <w:sz w:val="20"/>
          <w:szCs w:val="20"/>
        </w:rPr>
        <w:fldChar w:fldCharType="begin"/>
      </w:r>
      <w:r>
        <w:rPr>
          <w:rFonts w:ascii="Arial" w:hAnsi="Arial" w:cs="Arial"/>
          <w:color w:val="000000" w:themeColor="text1"/>
          <w:sz w:val="20"/>
          <w:szCs w:val="20"/>
        </w:rPr>
        <w:instrText xml:space="preserve"> REF _Ref420440061 \h </w:instrText>
      </w:r>
      <w:r>
        <w:rPr>
          <w:rFonts w:ascii="Arial" w:hAnsi="Arial" w:cs="Arial"/>
          <w:color w:val="000000" w:themeColor="text1"/>
          <w:sz w:val="20"/>
          <w:szCs w:val="20"/>
        </w:rPr>
      </w:r>
      <w:r>
        <w:rPr>
          <w:rFonts w:ascii="Arial" w:hAnsi="Arial" w:cs="Arial"/>
          <w:color w:val="000000" w:themeColor="text1"/>
          <w:sz w:val="20"/>
          <w:szCs w:val="20"/>
        </w:rPr>
        <w:fldChar w:fldCharType="separate"/>
      </w:r>
      <w:r w:rsidRPr="00AF0BDC">
        <w:rPr>
          <w:rFonts w:ascii="Arial" w:hAnsi="Arial" w:cs="Arial"/>
          <w:sz w:val="20"/>
          <w:szCs w:val="20"/>
        </w:rPr>
        <w:t>Table S</w:t>
      </w:r>
      <w:r>
        <w:rPr>
          <w:rFonts w:ascii="Arial" w:hAnsi="Arial" w:cs="Arial"/>
          <w:noProof/>
          <w:sz w:val="20"/>
          <w:szCs w:val="20"/>
        </w:rPr>
        <w:t>1</w:t>
      </w:r>
      <w:r>
        <w:rPr>
          <w:rFonts w:ascii="Arial" w:hAnsi="Arial" w:cs="Arial"/>
          <w:color w:val="000000" w:themeColor="text1"/>
          <w:sz w:val="20"/>
          <w:szCs w:val="20"/>
        </w:rPr>
        <w:fldChar w:fldCharType="end"/>
      </w:r>
      <w:r>
        <w:rPr>
          <w:rFonts w:ascii="Arial" w:hAnsi="Arial" w:cs="Arial"/>
          <w:color w:val="000000" w:themeColor="text1"/>
          <w:sz w:val="20"/>
          <w:szCs w:val="20"/>
        </w:rPr>
        <w:t xml:space="preserve">. </w:t>
      </w:r>
      <w:r w:rsidRPr="000F3B03">
        <w:rPr>
          <w:rFonts w:ascii="Arial" w:hAnsi="Arial" w:cs="Arial"/>
          <w:sz w:val="20"/>
          <w:szCs w:val="20"/>
        </w:rPr>
        <w:t>Rosette size</w:t>
      </w:r>
      <w:r>
        <w:rPr>
          <w:rFonts w:ascii="Arial" w:hAnsi="Arial" w:cs="Arial"/>
          <w:sz w:val="20"/>
          <w:szCs w:val="20"/>
        </w:rPr>
        <w:t xml:space="preserve"> (C) and mass (D</w:t>
      </w:r>
      <w:r w:rsidRPr="000F3B03">
        <w:rPr>
          <w:rFonts w:ascii="Arial" w:hAnsi="Arial" w:cs="Arial"/>
          <w:sz w:val="20"/>
          <w:szCs w:val="20"/>
        </w:rPr>
        <w:t xml:space="preserve">) of </w:t>
      </w:r>
      <w:r>
        <w:rPr>
          <w:rFonts w:ascii="Arial" w:hAnsi="Arial" w:cs="Arial"/>
          <w:i/>
          <w:sz w:val="20"/>
          <w:szCs w:val="20"/>
        </w:rPr>
        <w:t>MWL-2</w:t>
      </w:r>
      <w:r w:rsidRPr="000F3B0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single T-DNA knockout line</w:t>
      </w:r>
      <w:r w:rsidRPr="000F3B03">
        <w:rPr>
          <w:rFonts w:ascii="Arial" w:hAnsi="Arial" w:cs="Arial"/>
          <w:sz w:val="20"/>
          <w:szCs w:val="20"/>
        </w:rPr>
        <w:t xml:space="preserve"> and overexpression lines 1-3 relative to (WT) control line at four weeks.</w:t>
      </w:r>
      <w:r>
        <w:rPr>
          <w:rFonts w:ascii="Arial" w:hAnsi="Arial" w:cs="Arial"/>
          <w:sz w:val="20"/>
          <w:szCs w:val="20"/>
        </w:rPr>
        <w:t xml:space="preserve"> </w:t>
      </w:r>
      <w:r w:rsidRPr="000F3B03">
        <w:rPr>
          <w:rFonts w:ascii="Arial" w:hAnsi="Arial" w:cs="Arial"/>
          <w:sz w:val="20"/>
          <w:szCs w:val="20"/>
        </w:rPr>
        <w:t xml:space="preserve">Qualitative </w:t>
      </w:r>
      <w:r>
        <w:rPr>
          <w:rFonts w:ascii="Arial" w:hAnsi="Arial" w:cs="Arial"/>
          <w:sz w:val="20"/>
          <w:szCs w:val="20"/>
        </w:rPr>
        <w:t>(E</w:t>
      </w:r>
      <w:r w:rsidRPr="000F3B03">
        <w:rPr>
          <w:rFonts w:ascii="Arial" w:hAnsi="Arial" w:cs="Arial"/>
          <w:sz w:val="20"/>
          <w:szCs w:val="20"/>
        </w:rPr>
        <w:t>) and quantitative</w:t>
      </w:r>
      <w:r>
        <w:rPr>
          <w:rFonts w:ascii="Arial" w:hAnsi="Arial" w:cs="Arial"/>
          <w:sz w:val="20"/>
          <w:szCs w:val="20"/>
        </w:rPr>
        <w:t xml:space="preserve"> (F</w:t>
      </w:r>
      <w:r w:rsidRPr="000F3B03">
        <w:rPr>
          <w:rFonts w:ascii="Arial" w:hAnsi="Arial" w:cs="Arial"/>
          <w:sz w:val="20"/>
          <w:szCs w:val="20"/>
        </w:rPr>
        <w:t xml:space="preserve">) stem length of </w:t>
      </w:r>
      <w:r>
        <w:rPr>
          <w:rFonts w:ascii="Arial" w:hAnsi="Arial" w:cs="Arial"/>
          <w:i/>
          <w:sz w:val="20"/>
          <w:szCs w:val="20"/>
        </w:rPr>
        <w:t>MWL-2</w:t>
      </w:r>
      <w:r w:rsidRPr="000F3B0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single T-DNA knockout line</w:t>
      </w:r>
      <w:r w:rsidRPr="000F3B03">
        <w:rPr>
          <w:rFonts w:ascii="Arial" w:hAnsi="Arial" w:cs="Arial"/>
          <w:sz w:val="20"/>
          <w:szCs w:val="20"/>
        </w:rPr>
        <w:t xml:space="preserve"> and overexpression lines relative to WT control at six weeks.</w:t>
      </w:r>
      <w:r>
        <w:rPr>
          <w:rFonts w:ascii="Arial" w:hAnsi="Arial" w:cs="Arial"/>
          <w:sz w:val="20"/>
          <w:szCs w:val="20"/>
        </w:rPr>
        <w:t xml:space="preserve"> </w:t>
      </w:r>
      <w:r w:rsidRPr="000F3B03">
        <w:rPr>
          <w:rFonts w:ascii="Arial" w:hAnsi="Arial" w:cs="Arial"/>
          <w:sz w:val="20"/>
          <w:szCs w:val="20"/>
        </w:rPr>
        <w:t>For rosette mass n</w:t>
      </w:r>
      <w:r>
        <w:rPr>
          <w:rFonts w:ascii="Arial" w:hAnsi="Arial" w:cs="Arial"/>
          <w:sz w:val="20"/>
          <w:szCs w:val="20"/>
        </w:rPr>
        <w:t xml:space="preserve"> </w:t>
      </w:r>
      <w:r w:rsidRPr="000F3B03">
        <w:rPr>
          <w:rFonts w:ascii="Arial" w:hAnsi="Arial" w:cs="Arial"/>
          <w:sz w:val="20"/>
          <w:szCs w:val="20"/>
        </w:rPr>
        <w:t xml:space="preserve">= 3 and </w:t>
      </w:r>
      <w:r>
        <w:rPr>
          <w:rFonts w:ascii="Arial" w:hAnsi="Arial" w:cs="Arial"/>
          <w:sz w:val="20"/>
          <w:szCs w:val="20"/>
        </w:rPr>
        <w:t xml:space="preserve">for </w:t>
      </w:r>
      <w:r w:rsidRPr="000F3B03">
        <w:rPr>
          <w:rFonts w:ascii="Arial" w:hAnsi="Arial" w:cs="Arial"/>
          <w:sz w:val="20"/>
          <w:szCs w:val="20"/>
        </w:rPr>
        <w:t>quantitative stem length n = 66. E</w:t>
      </w:r>
      <w:r w:rsidRPr="000F3B03">
        <w:rPr>
          <w:rFonts w:ascii="Arial" w:hAnsi="Arial" w:cs="Arial"/>
          <w:noProof/>
          <w:sz w:val="20"/>
          <w:szCs w:val="20"/>
        </w:rPr>
        <w:t>rror bars indicate the standard error while significant differen</w:t>
      </w:r>
      <w:r>
        <w:rPr>
          <w:rFonts w:ascii="Arial" w:hAnsi="Arial" w:cs="Arial"/>
          <w:noProof/>
          <w:sz w:val="20"/>
          <w:szCs w:val="20"/>
        </w:rPr>
        <w:t>ce</w:t>
      </w:r>
      <w:r w:rsidRPr="000F3B03">
        <w:rPr>
          <w:rFonts w:ascii="Arial" w:hAnsi="Arial" w:cs="Arial"/>
          <w:noProof/>
          <w:sz w:val="20"/>
          <w:szCs w:val="20"/>
        </w:rPr>
        <w:t xml:space="preserve"> from the WT based on </w:t>
      </w:r>
      <w:r>
        <w:rPr>
          <w:rFonts w:ascii="Arial" w:hAnsi="Arial" w:cs="Arial"/>
          <w:noProof/>
          <w:sz w:val="20"/>
          <w:szCs w:val="20"/>
        </w:rPr>
        <w:t xml:space="preserve">a </w:t>
      </w:r>
      <w:r w:rsidRPr="000F3B03">
        <w:rPr>
          <w:rFonts w:ascii="Arial" w:hAnsi="Arial" w:cs="Arial"/>
          <w:noProof/>
          <w:sz w:val="20"/>
          <w:szCs w:val="20"/>
        </w:rPr>
        <w:t>two-tailed Student’s t-test (</w:t>
      </w:r>
      <w:r w:rsidRPr="000F3B03">
        <w:rPr>
          <w:rFonts w:ascii="Arial" w:hAnsi="Arial" w:cs="Arial"/>
          <w:i/>
          <w:noProof/>
          <w:sz w:val="20"/>
          <w:szCs w:val="20"/>
        </w:rPr>
        <w:t>P</w:t>
      </w:r>
      <w:r w:rsidRPr="000F3B03">
        <w:rPr>
          <w:rFonts w:ascii="Arial" w:hAnsi="Arial" w:cs="Arial"/>
          <w:noProof/>
          <w:sz w:val="20"/>
          <w:szCs w:val="20"/>
        </w:rPr>
        <w:t xml:space="preserve">-value </w:t>
      </w:r>
      <w:r>
        <w:rPr>
          <w:rFonts w:ascii="Arial" w:hAnsi="Arial" w:cs="Arial"/>
          <w:noProof/>
          <w:sz w:val="20"/>
          <w:szCs w:val="20"/>
        </w:rPr>
        <w:t>≤</w:t>
      </w:r>
      <w:r w:rsidRPr="000F3B03">
        <w:rPr>
          <w:rFonts w:ascii="Arial" w:hAnsi="Arial" w:cs="Arial"/>
          <w:noProof/>
          <w:sz w:val="20"/>
          <w:szCs w:val="20"/>
        </w:rPr>
        <w:t xml:space="preserve"> 0.05) is indicated by *.</w:t>
      </w:r>
      <w:r w:rsidRPr="000F3B03">
        <w:rPr>
          <w:rFonts w:ascii="Arial" w:hAnsi="Arial" w:cs="Arial"/>
          <w:sz w:val="20"/>
          <w:szCs w:val="20"/>
        </w:rPr>
        <w:t xml:space="preserve"> </w:t>
      </w:r>
      <w:r w:rsidRPr="000F3B03">
        <w:rPr>
          <w:rFonts w:ascii="Arial" w:hAnsi="Arial" w:cs="Arial"/>
          <w:noProof/>
          <w:color w:val="000000" w:themeColor="text1"/>
          <w:sz w:val="20"/>
          <w:szCs w:val="20"/>
        </w:rPr>
        <w:t>Scale bar, 3</w:t>
      </w:r>
      <w:r>
        <w:rPr>
          <w:rFonts w:ascii="Arial" w:hAnsi="Arial" w:cs="Arial"/>
          <w:noProof/>
          <w:color w:val="000000" w:themeColor="text1"/>
          <w:sz w:val="20"/>
          <w:szCs w:val="20"/>
        </w:rPr>
        <w:t xml:space="preserve"> </w:t>
      </w:r>
      <w:r w:rsidRPr="000F3B03">
        <w:rPr>
          <w:rFonts w:ascii="Arial" w:hAnsi="Arial" w:cs="Arial"/>
          <w:noProof/>
          <w:color w:val="000000" w:themeColor="text1"/>
          <w:sz w:val="20"/>
          <w:szCs w:val="20"/>
        </w:rPr>
        <w:t>cm.</w:t>
      </w:r>
      <w:r w:rsidRPr="000F3B03">
        <w:rPr>
          <w:rFonts w:ascii="Arial" w:hAnsi="Arial" w:cs="Arial"/>
          <w:sz w:val="20"/>
          <w:szCs w:val="20"/>
        </w:rPr>
        <w:t xml:space="preserve"> No significant differences were seen in the growth and development of the single mutant and transgenic OE lines in comparison to the WT controls</w:t>
      </w:r>
      <w:r>
        <w:rPr>
          <w:rFonts w:ascii="Arial" w:hAnsi="Arial" w:cs="Arial"/>
          <w:sz w:val="20"/>
          <w:szCs w:val="20"/>
        </w:rPr>
        <w:t xml:space="preserve"> except for OE-Line 2</w:t>
      </w:r>
      <w:r w:rsidRPr="000F3B03">
        <w:rPr>
          <w:rFonts w:ascii="Arial" w:hAnsi="Arial" w:cs="Arial"/>
          <w:sz w:val="20"/>
          <w:szCs w:val="20"/>
        </w:rPr>
        <w:t xml:space="preserve">. </w:t>
      </w:r>
    </w:p>
    <w:p w:rsidR="00A571FF" w:rsidRDefault="00A571FF"/>
    <w:sectPr w:rsidR="00A571F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214"/>
    <w:rsid w:val="0093667C"/>
    <w:rsid w:val="00A571FF"/>
    <w:rsid w:val="00CD2214"/>
    <w:rsid w:val="00FF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922C62E-30F9-4246-9007-9412FCE6E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2214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FF6578"/>
    <w:pPr>
      <w:keepNext/>
      <w:keepLines/>
      <w:spacing w:before="480" w:after="240"/>
      <w:jc w:val="center"/>
      <w:outlineLvl w:val="0"/>
    </w:pPr>
    <w:rPr>
      <w:rFonts w:ascii="Arial" w:eastAsiaTheme="majorEastAsia" w:hAnsi="Arial" w:cs="Arial"/>
      <w:b/>
      <w:bCs/>
      <w:color w:val="000000" w:themeColor="text1"/>
      <w:sz w:val="28"/>
      <w:szCs w:val="18"/>
      <w:shd w:val="clear" w:color="auto" w:fill="FFFFFF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FF6578"/>
    <w:pPr>
      <w:keepNext/>
      <w:keepLines/>
      <w:spacing w:before="160" w:after="120"/>
      <w:outlineLvl w:val="1"/>
    </w:pPr>
    <w:rPr>
      <w:rFonts w:ascii="Arial" w:eastAsiaTheme="majorEastAsia" w:hAnsi="Arial" w:cstheme="majorBidi"/>
      <w:sz w:val="26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semiHidden/>
    <w:unhideWhenUsed/>
    <w:qFormat/>
    <w:rsid w:val="00FF6578"/>
    <w:pPr>
      <w:keepNext/>
      <w:keepLines/>
      <w:spacing w:before="160" w:after="120"/>
      <w:outlineLvl w:val="2"/>
    </w:pPr>
    <w:rPr>
      <w:rFonts w:ascii="Arial" w:eastAsiaTheme="majorEastAsia" w:hAnsi="Arial" w:cstheme="majorBidi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F6578"/>
    <w:rPr>
      <w:rFonts w:ascii="Arial" w:eastAsiaTheme="majorEastAsia" w:hAnsi="Arial" w:cs="Arial"/>
      <w:b/>
      <w:bCs/>
      <w:color w:val="000000" w:themeColor="text1"/>
      <w:sz w:val="2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rsid w:val="00FF6578"/>
    <w:rPr>
      <w:rFonts w:ascii="Arial" w:eastAsiaTheme="majorEastAsia" w:hAnsi="Arial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F6578"/>
    <w:rPr>
      <w:rFonts w:ascii="Arial" w:eastAsiaTheme="majorEastAsia" w:hAnsi="Arial" w:cstheme="majorBidi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CD2214"/>
    <w:pPr>
      <w:spacing w:line="240" w:lineRule="auto"/>
    </w:pPr>
    <w:rPr>
      <w:b/>
      <w:bCs/>
      <w:color w:val="5B9BD5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206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Ritesh Mewalal</dc:creator>
  <cp:keywords/>
  <dc:description/>
  <cp:lastModifiedBy>Ritesh Mewalal</cp:lastModifiedBy>
  <cp:revision>1</cp:revision>
  <dcterms:created xsi:type="dcterms:W3CDTF">2016-02-18T03:58:00Z</dcterms:created>
  <dcterms:modified xsi:type="dcterms:W3CDTF">2016-02-18T04:34:00Z</dcterms:modified>
</cp:coreProperties>
</file>