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DA4A7" w14:textId="77777777" w:rsidR="00747D01" w:rsidRPr="00793DC6" w:rsidRDefault="00747D01" w:rsidP="00747D01">
      <w:pPr>
        <w:pStyle w:val="Heading2"/>
        <w:jc w:val="both"/>
      </w:pPr>
      <w:r w:rsidRPr="00793DC6">
        <w:t>Supplementary tables and figures</w:t>
      </w:r>
    </w:p>
    <w:p w14:paraId="1C7C5A59" w14:textId="77777777" w:rsidR="00747D01" w:rsidRPr="00852B83" w:rsidRDefault="00747D01" w:rsidP="00747D01">
      <w:pPr>
        <w:jc w:val="both"/>
        <w:rPr>
          <w:rFonts w:ascii="Calibri" w:eastAsia="Calibri" w:hAnsi="Calibri" w:cs="Times New Roman"/>
        </w:rPr>
      </w:pPr>
      <w:r>
        <w:rPr>
          <w:noProof/>
          <w:lang w:eastAsia="en-ZA"/>
        </w:rPr>
        <w:drawing>
          <wp:inline distT="0" distB="0" distL="0" distR="0" wp14:anchorId="57F96784" wp14:editId="1605071A">
            <wp:extent cx="5715000" cy="1181100"/>
            <wp:effectExtent l="0" t="0" r="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lari_Epol_dupli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18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8FF513" w14:textId="77777777" w:rsidR="00747D01" w:rsidRPr="00A07CFC" w:rsidRDefault="00747D01" w:rsidP="00747D01">
      <w:pPr>
        <w:jc w:val="both"/>
      </w:pPr>
      <w:r>
        <w:rPr>
          <w:b/>
          <w:bCs/>
        </w:rPr>
        <w:t>Figure</w:t>
      </w:r>
      <w:r w:rsidRPr="00A07CFC">
        <w:rPr>
          <w:b/>
          <w:bCs/>
        </w:rPr>
        <w:t xml:space="preserve"> S</w:t>
      </w:r>
      <w:r>
        <w:rPr>
          <w:b/>
          <w:bCs/>
        </w:rPr>
        <w:t>1</w:t>
      </w:r>
      <w:r w:rsidRPr="00A07CFC">
        <w:rPr>
          <w:b/>
          <w:bCs/>
        </w:rPr>
        <w:t>:</w:t>
      </w:r>
      <w:r w:rsidRPr="00A07CFC">
        <w:t xml:space="preserve"> Gene duplication information for </w:t>
      </w:r>
      <w:r w:rsidRPr="00A07CFC">
        <w:rPr>
          <w:i/>
          <w:iCs/>
        </w:rPr>
        <w:t xml:space="preserve">E. polonica </w:t>
      </w:r>
      <w:r w:rsidRPr="00A07CFC">
        <w:t xml:space="preserve">and </w:t>
      </w:r>
      <w:r w:rsidRPr="00A07CFC">
        <w:rPr>
          <w:i/>
          <w:iCs/>
        </w:rPr>
        <w:t xml:space="preserve">E. laricicola </w:t>
      </w:r>
      <w:r w:rsidRPr="00A07CFC">
        <w:t>(</w:t>
      </w:r>
      <w:r>
        <w:rPr>
          <w:color w:val="4472C4" w:themeColor="accent1"/>
        </w:rPr>
        <w:t xml:space="preserve">amino acid </w:t>
      </w:r>
      <w:r w:rsidRPr="00A07CFC">
        <w:t>percentage similarity</w:t>
      </w:r>
      <w:r>
        <w:t xml:space="preserve"> shown in the upper right grouping of block</w:t>
      </w:r>
      <w:r w:rsidRPr="00A07CFC">
        <w:t xml:space="preserve"> and number of differences</w:t>
      </w:r>
      <w:r>
        <w:t xml:space="preserve"> shown in the lower left grouping of blocks</w:t>
      </w:r>
      <w:r w:rsidRPr="00A07CFC">
        <w:t>)</w:t>
      </w:r>
      <w:r>
        <w:t>. Colours indicate level of similarity, with red most similar, and purple less similar.</w:t>
      </w:r>
    </w:p>
    <w:p w14:paraId="69A2B86F" w14:textId="77777777" w:rsidR="00747D01" w:rsidRPr="00852B83" w:rsidRDefault="00747D01" w:rsidP="00747D01">
      <w:pPr>
        <w:jc w:val="both"/>
      </w:pPr>
    </w:p>
    <w:p w14:paraId="228A6BB1" w14:textId="77777777" w:rsidR="00747D01" w:rsidRDefault="00747D01" w:rsidP="00747D01">
      <w:pPr>
        <w:jc w:val="both"/>
        <w:rPr>
          <w:lang w:val="en-US"/>
        </w:rPr>
      </w:pPr>
    </w:p>
    <w:p w14:paraId="33523853" w14:textId="77777777" w:rsidR="00747D01" w:rsidRDefault="00747D01" w:rsidP="00747D01">
      <w:pPr>
        <w:jc w:val="both"/>
      </w:pPr>
    </w:p>
    <w:p w14:paraId="74478584" w14:textId="77777777" w:rsidR="00747D01" w:rsidRDefault="00747D01" w:rsidP="00747D01">
      <w:pPr>
        <w:jc w:val="both"/>
      </w:pPr>
    </w:p>
    <w:p w14:paraId="76DA1016" w14:textId="77777777" w:rsidR="00747D01" w:rsidRDefault="00747D01" w:rsidP="00747D01">
      <w:pPr>
        <w:jc w:val="both"/>
      </w:pPr>
    </w:p>
    <w:p w14:paraId="26A81501" w14:textId="77777777" w:rsidR="00747D01" w:rsidRDefault="00747D01" w:rsidP="00747D01">
      <w:pPr>
        <w:jc w:val="both"/>
      </w:pPr>
    </w:p>
    <w:p w14:paraId="193A8854" w14:textId="77777777" w:rsidR="00747D01" w:rsidRDefault="00747D01" w:rsidP="00747D01">
      <w:pPr>
        <w:jc w:val="both"/>
      </w:pPr>
    </w:p>
    <w:p w14:paraId="758CC47F" w14:textId="77777777" w:rsidR="00747D01" w:rsidRDefault="00747D01" w:rsidP="00747D01">
      <w:pPr>
        <w:jc w:val="both"/>
      </w:pPr>
    </w:p>
    <w:p w14:paraId="345B2F01" w14:textId="77777777" w:rsidR="00747D01" w:rsidRDefault="00747D01" w:rsidP="00747D01">
      <w:pPr>
        <w:jc w:val="center"/>
        <w:rPr>
          <w:lang w:val="en-US"/>
        </w:rPr>
      </w:pPr>
      <w:r>
        <w:rPr>
          <w:noProof/>
          <w:lang w:eastAsia="en-ZA"/>
        </w:rPr>
        <w:lastRenderedPageBreak/>
        <w:drawing>
          <wp:inline distT="0" distB="0" distL="0" distR="0" wp14:anchorId="59EE233F" wp14:editId="1FCB0793">
            <wp:extent cx="3399858" cy="9362888"/>
            <wp:effectExtent l="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Picture 40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158" t="4463" r="7644" b="8134"/>
                    <a:stretch/>
                  </pic:blipFill>
                  <pic:spPr bwMode="auto">
                    <a:xfrm>
                      <a:off x="0" y="0"/>
                      <a:ext cx="3412041" cy="9396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26FE60" w14:textId="77777777" w:rsidR="00747D01" w:rsidRDefault="00747D01" w:rsidP="00747D01">
      <w:pPr>
        <w:jc w:val="both"/>
      </w:pPr>
      <w:r w:rsidRPr="00A07CFC">
        <w:rPr>
          <w:b/>
          <w:bCs/>
        </w:rPr>
        <w:lastRenderedPageBreak/>
        <w:t>Figure S</w:t>
      </w:r>
      <w:r>
        <w:rPr>
          <w:b/>
          <w:bCs/>
        </w:rPr>
        <w:t>2</w:t>
      </w:r>
      <w:r w:rsidRPr="00A07CFC">
        <w:rPr>
          <w:b/>
          <w:bCs/>
        </w:rPr>
        <w:t>:</w:t>
      </w:r>
      <w:r w:rsidRPr="00A07CFC">
        <w:t xml:space="preserve"> </w:t>
      </w:r>
      <w:r>
        <w:t xml:space="preserve">Ancestral history of </w:t>
      </w:r>
      <w:r>
        <w:rPr>
          <w:i/>
          <w:iCs/>
        </w:rPr>
        <w:t xml:space="preserve">CDO 1-4 </w:t>
      </w:r>
      <w:r>
        <w:t xml:space="preserve">genes using a </w:t>
      </w:r>
      <w:r w:rsidRPr="00A07CFC">
        <w:t>Wagner parsimony analysis</w:t>
      </w:r>
      <w:r>
        <w:t xml:space="preserve"> in Count. Gene loss events are represented by orange blocks, and gene gains by green blocks. The </w:t>
      </w:r>
      <w:r w:rsidRPr="00841752">
        <w:rPr>
          <w:i/>
          <w:iCs/>
        </w:rPr>
        <w:t>CDO</w:t>
      </w:r>
      <w:r>
        <w:t xml:space="preserve"> presence is evidenced through purple blocks at each node and at the terminal nodes.</w:t>
      </w:r>
    </w:p>
    <w:p w14:paraId="4CB03CE8" w14:textId="77777777" w:rsidR="00747D01" w:rsidRDefault="00747D01"/>
    <w:sectPr w:rsidR="00747D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D01"/>
    <w:rsid w:val="00747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574024E"/>
  <w15:chartTrackingRefBased/>
  <w15:docId w15:val="{9BBDBDAD-1E48-4007-9125-AD11421C0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7D01"/>
    <w:pPr>
      <w:spacing w:after="200" w:line="480" w:lineRule="auto"/>
    </w:pPr>
    <w:rPr>
      <w:rFonts w:ascii="Arial" w:hAnsi="Arial" w:cs="Arial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47D01"/>
    <w:pPr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47D01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</Words>
  <Characters>527</Characters>
  <Application>Microsoft Office Word</Application>
  <DocSecurity>0</DocSecurity>
  <Lines>4</Lines>
  <Paragraphs>1</Paragraphs>
  <ScaleCrop>false</ScaleCrop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Soal</dc:creator>
  <cp:keywords/>
  <dc:description/>
  <cp:lastModifiedBy>Nicole Soal</cp:lastModifiedBy>
  <cp:revision>1</cp:revision>
  <dcterms:created xsi:type="dcterms:W3CDTF">2021-12-20T13:39:00Z</dcterms:created>
  <dcterms:modified xsi:type="dcterms:W3CDTF">2021-12-20T13:40:00Z</dcterms:modified>
</cp:coreProperties>
</file>