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6B3B" w:rsidRPr="00606B3B" w:rsidRDefault="005E42F0" w:rsidP="00606B3B">
      <w:pPr>
        <w:rPr>
          <w:b/>
          <w:lang w:val="en-US"/>
        </w:rPr>
      </w:pPr>
      <w:r w:rsidRPr="005E42F0">
        <w:t xml:space="preserve"> </w:t>
      </w:r>
      <w:r w:rsidR="00606B3B" w:rsidRPr="00606B3B">
        <w:rPr>
          <w:b/>
          <w:lang w:val="en-US"/>
        </w:rPr>
        <w:t>The influence of diclofenac on P-</w:t>
      </w:r>
      <w:proofErr w:type="spellStart"/>
      <w:r w:rsidR="00606B3B" w:rsidRPr="00606B3B">
        <w:rPr>
          <w:b/>
          <w:lang w:val="en-US"/>
        </w:rPr>
        <w:t>aminohippuric</w:t>
      </w:r>
      <w:proofErr w:type="spellEnd"/>
      <w:r w:rsidR="00606B3B" w:rsidRPr="00606B3B">
        <w:rPr>
          <w:b/>
          <w:lang w:val="en-US"/>
        </w:rPr>
        <w:t xml:space="preserve"> acid and </w:t>
      </w:r>
      <w:proofErr w:type="spellStart"/>
      <w:r w:rsidR="00606B3B" w:rsidRPr="00606B3B">
        <w:rPr>
          <w:b/>
          <w:lang w:val="en-US"/>
        </w:rPr>
        <w:t>iohexol</w:t>
      </w:r>
      <w:proofErr w:type="spellEnd"/>
      <w:r w:rsidR="00606B3B" w:rsidRPr="00606B3B">
        <w:rPr>
          <w:b/>
          <w:lang w:val="en-US"/>
        </w:rPr>
        <w:t xml:space="preserve"> transport in chickens, as a further study on the toxicity of the drug in vultures.</w:t>
      </w:r>
    </w:p>
    <w:p w:rsidR="00606B3B" w:rsidRPr="00606B3B" w:rsidRDefault="00606B3B" w:rsidP="00606B3B">
      <w:pPr>
        <w:rPr>
          <w:lang w:val="en-US"/>
        </w:rPr>
      </w:pPr>
      <w:r w:rsidRPr="00606B3B">
        <w:rPr>
          <w:lang w:val="en-US"/>
        </w:rPr>
        <w:t xml:space="preserve">  </w:t>
      </w:r>
    </w:p>
    <w:p w:rsidR="00606B3B" w:rsidRPr="00606B3B" w:rsidRDefault="00606B3B" w:rsidP="00606B3B">
      <w:pPr>
        <w:rPr>
          <w:b/>
          <w:lang w:val="en-US"/>
        </w:rPr>
      </w:pPr>
      <w:r w:rsidRPr="00606B3B">
        <w:rPr>
          <w:lang w:val="en-US"/>
        </w:rPr>
        <w:t>B Nethathe</w:t>
      </w:r>
      <w:r w:rsidRPr="00606B3B">
        <w:rPr>
          <w:vertAlign w:val="superscript"/>
          <w:lang w:val="en-US"/>
        </w:rPr>
        <w:t>1,2</w:t>
      </w:r>
      <w:r w:rsidRPr="00606B3B">
        <w:rPr>
          <w:lang w:val="en-US"/>
        </w:rPr>
        <w:t>, J Chipangura</w:t>
      </w:r>
      <w:r w:rsidRPr="00606B3B">
        <w:rPr>
          <w:vertAlign w:val="superscript"/>
          <w:lang w:val="en-US"/>
        </w:rPr>
        <w:t>2</w:t>
      </w:r>
      <w:r w:rsidRPr="00606B3B">
        <w:rPr>
          <w:lang w:val="en-US"/>
        </w:rPr>
        <w:t>, IZ Hassan</w:t>
      </w:r>
      <w:r w:rsidRPr="00606B3B">
        <w:rPr>
          <w:vertAlign w:val="superscript"/>
          <w:lang w:val="en-US"/>
        </w:rPr>
        <w:t>1</w:t>
      </w:r>
      <w:r w:rsidRPr="00606B3B">
        <w:rPr>
          <w:lang w:val="en-US"/>
        </w:rPr>
        <w:t>, N Duncan</w:t>
      </w:r>
      <w:r w:rsidRPr="00606B3B">
        <w:rPr>
          <w:vertAlign w:val="superscript"/>
          <w:lang w:val="en-US"/>
        </w:rPr>
        <w:t>3</w:t>
      </w:r>
      <w:r w:rsidRPr="00606B3B">
        <w:rPr>
          <w:lang w:val="en-US"/>
        </w:rPr>
        <w:t>, EO Adawaren</w:t>
      </w:r>
      <w:r w:rsidRPr="00606B3B">
        <w:rPr>
          <w:vertAlign w:val="superscript"/>
          <w:lang w:val="en-US"/>
        </w:rPr>
        <w:t>1</w:t>
      </w:r>
      <w:r w:rsidRPr="00606B3B">
        <w:rPr>
          <w:lang w:val="en-US"/>
        </w:rPr>
        <w:t>, LN Havenga</w:t>
      </w:r>
      <w:r w:rsidRPr="00606B3B">
        <w:rPr>
          <w:vertAlign w:val="superscript"/>
          <w:lang w:val="en-US"/>
        </w:rPr>
        <w:t>4</w:t>
      </w:r>
      <w:r w:rsidRPr="00606B3B">
        <w:rPr>
          <w:lang w:val="en-US"/>
        </w:rPr>
        <w:t>, V Naidoo</w:t>
      </w:r>
      <w:r w:rsidRPr="00606B3B">
        <w:rPr>
          <w:vertAlign w:val="superscript"/>
          <w:lang w:val="en-US"/>
        </w:rPr>
        <w:t>1</w:t>
      </w:r>
    </w:p>
    <w:p w:rsidR="00606B3B" w:rsidRPr="00606B3B" w:rsidRDefault="00606B3B" w:rsidP="00606B3B">
      <w:pPr>
        <w:rPr>
          <w:lang w:val="en-US"/>
        </w:rPr>
      </w:pPr>
      <w:r w:rsidRPr="00606B3B">
        <w:rPr>
          <w:vertAlign w:val="superscript"/>
          <w:lang w:val="en-US"/>
        </w:rPr>
        <w:t xml:space="preserve">1 </w:t>
      </w:r>
      <w:r w:rsidRPr="00606B3B">
        <w:rPr>
          <w:lang w:val="en-US"/>
        </w:rPr>
        <w:t>Department of Paraclinical Sciences, Faculty of Veterinary Science, University of Pretoria, Pretoria, South Africa.</w:t>
      </w:r>
    </w:p>
    <w:p w:rsidR="00606B3B" w:rsidRPr="00606B3B" w:rsidRDefault="00606B3B" w:rsidP="00606B3B">
      <w:pPr>
        <w:rPr>
          <w:lang w:val="en-US"/>
        </w:rPr>
      </w:pPr>
      <w:r w:rsidRPr="00606B3B">
        <w:rPr>
          <w:vertAlign w:val="superscript"/>
          <w:lang w:val="en-US"/>
        </w:rPr>
        <w:t>2</w:t>
      </w:r>
      <w:r w:rsidRPr="00606B3B">
        <w:rPr>
          <w:lang w:val="en-US"/>
        </w:rPr>
        <w:t xml:space="preserve"> Department of Food Science and Technology, School of Agriculture, University of Venda for Science and Technology, Limpopo, South Africa</w:t>
      </w:r>
    </w:p>
    <w:p w:rsidR="00606B3B" w:rsidRPr="00606B3B" w:rsidRDefault="00606B3B" w:rsidP="00606B3B">
      <w:pPr>
        <w:rPr>
          <w:lang w:val="en-US"/>
        </w:rPr>
      </w:pPr>
      <w:r w:rsidRPr="00606B3B">
        <w:rPr>
          <w:vertAlign w:val="superscript"/>
          <w:lang w:val="en-US"/>
        </w:rPr>
        <w:t>3</w:t>
      </w:r>
      <w:r w:rsidRPr="00606B3B">
        <w:rPr>
          <w:lang w:val="en-US"/>
        </w:rPr>
        <w:t xml:space="preserve"> Department of Pathology, Faculty of Veterinary Science, University of Pretoria, Pretoria, South Africa.</w:t>
      </w:r>
    </w:p>
    <w:p w:rsidR="00606B3B" w:rsidRPr="00606B3B" w:rsidRDefault="00606B3B" w:rsidP="00606B3B">
      <w:pPr>
        <w:rPr>
          <w:lang w:val="en-US"/>
        </w:rPr>
      </w:pPr>
      <w:r w:rsidRPr="00606B3B">
        <w:rPr>
          <w:vertAlign w:val="superscript"/>
          <w:lang w:val="en-US"/>
        </w:rPr>
        <w:t xml:space="preserve">4 </w:t>
      </w:r>
      <w:r w:rsidRPr="00606B3B">
        <w:rPr>
          <w:lang w:val="en-US"/>
        </w:rPr>
        <w:t>Department of Anatomy and Physiology, Faculty of Veterinary Science, University of Pretoria, Pretoria, South Africa.</w:t>
      </w:r>
    </w:p>
    <w:p w:rsidR="00606B3B" w:rsidRPr="00606B3B" w:rsidRDefault="00606B3B" w:rsidP="00606B3B">
      <w:pPr>
        <w:rPr>
          <w:lang w:val="en-US"/>
        </w:rPr>
      </w:pPr>
      <w:r w:rsidRPr="00606B3B">
        <w:rPr>
          <w:lang w:val="en-US"/>
        </w:rPr>
        <w:t>Corresponding author: Bono Nethathe</w:t>
      </w:r>
      <w:r w:rsidRPr="00606B3B">
        <w:rPr>
          <w:vertAlign w:val="superscript"/>
          <w:lang w:val="en-US"/>
        </w:rPr>
        <w:t>1</w:t>
      </w:r>
    </w:p>
    <w:p w:rsidR="00606B3B" w:rsidRDefault="00606B3B" w:rsidP="005E42F0"/>
    <w:p w:rsidR="005E42F0" w:rsidRDefault="005E42F0" w:rsidP="005E42F0">
      <w:r>
        <w:rPr>
          <w:noProof/>
          <w:lang w:eastAsia="en-ZA"/>
        </w:rPr>
        <w:drawing>
          <wp:inline distT="0" distB="0" distL="0" distR="0">
            <wp:extent cx="5731510" cy="4298633"/>
            <wp:effectExtent l="0" t="0" r="2540" b="6985"/>
            <wp:docPr id="3" name="Picture 3" descr="C:\Users\bono.nethathe\AppData\Local\Microsoft\Windows\INetCacheContent.Word\Figure 1 - kidney 10X.tif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ono.nethathe\AppData\Local\Microsoft\Windows\INetCacheContent.Word\Figure 1 - kidney 10X.tif (1).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31510" cy="4298633"/>
                    </a:xfrm>
                    <a:prstGeom prst="rect">
                      <a:avLst/>
                    </a:prstGeom>
                    <a:noFill/>
                    <a:ln>
                      <a:noFill/>
                    </a:ln>
                  </pic:spPr>
                </pic:pic>
              </a:graphicData>
            </a:graphic>
          </wp:inline>
        </w:drawing>
      </w:r>
    </w:p>
    <w:p w:rsidR="005E42F0" w:rsidRDefault="006E34C0" w:rsidP="005E42F0">
      <w:r>
        <w:t>Supplementary Fig</w:t>
      </w:r>
      <w:r w:rsidR="005E42F0" w:rsidRPr="005E42F0">
        <w:t xml:space="preserve"> 1: Kidney (10x magnification). The picture shows scattered purple, pink globular urates within renal tubules. Also visible are dilated tubules containing sloughed degenerated renal tubular epithelial cells. Glomeruli have been replaced by amorphous pink mass of urates surrounded by macrophages. </w:t>
      </w:r>
    </w:p>
    <w:p w:rsidR="005E42F0" w:rsidRDefault="005E42F0" w:rsidP="005E42F0"/>
    <w:p w:rsidR="005E42F0" w:rsidRPr="005E42F0" w:rsidRDefault="005E42F0" w:rsidP="005E42F0">
      <w:r>
        <w:rPr>
          <w:noProof/>
          <w:lang w:eastAsia="en-ZA"/>
        </w:rPr>
        <w:drawing>
          <wp:inline distT="0" distB="0" distL="0" distR="0">
            <wp:extent cx="5731510" cy="4298633"/>
            <wp:effectExtent l="0" t="0" r="2540" b="6985"/>
            <wp:docPr id="4" name="Picture 4" descr="C:\Users\bono.nethathe\AppData\Local\Microsoft\Windows\INetCacheContent.Word\Figure 2 -Kidney 20X.ti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ono.nethathe\AppData\Local\Microsoft\Windows\INetCacheContent.Word\Figure 2 -Kidney 20X.tif.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31510" cy="4298633"/>
                    </a:xfrm>
                    <a:prstGeom prst="rect">
                      <a:avLst/>
                    </a:prstGeom>
                    <a:noFill/>
                    <a:ln>
                      <a:noFill/>
                    </a:ln>
                  </pic:spPr>
                </pic:pic>
              </a:graphicData>
            </a:graphic>
          </wp:inline>
        </w:drawing>
      </w:r>
    </w:p>
    <w:p w:rsidR="005E42F0" w:rsidRDefault="006E34C0" w:rsidP="005E42F0">
      <w:r>
        <w:t>Supplementary Fig</w:t>
      </w:r>
      <w:r w:rsidR="005E42F0" w:rsidRPr="005E42F0">
        <w:t xml:space="preserve"> 2: Kidney (20x magnification). Shows urates filling the tubule lumen</w:t>
      </w:r>
      <w:r w:rsidR="005E42F0">
        <w:t>.</w:t>
      </w:r>
    </w:p>
    <w:p w:rsidR="005E42F0" w:rsidRDefault="005E42F0" w:rsidP="005E42F0"/>
    <w:p w:rsidR="005E42F0" w:rsidRDefault="005E42F0" w:rsidP="005E42F0">
      <w:r>
        <w:rPr>
          <w:noProof/>
          <w:lang w:eastAsia="en-ZA"/>
        </w:rPr>
        <w:lastRenderedPageBreak/>
        <w:drawing>
          <wp:inline distT="0" distB="0" distL="0" distR="0">
            <wp:extent cx="5731510" cy="4298633"/>
            <wp:effectExtent l="0" t="0" r="2540" b="6985"/>
            <wp:docPr id="5" name="Picture 5" descr="C:\Users\bono.nethathe\AppData\Local\Microsoft\Windows\INetCacheContent.Word\Figure 3 - kidney 40 X1.ti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ono.nethathe\AppData\Local\Microsoft\Windows\INetCacheContent.Word\Figure 3 - kidney 40 X1.tif.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31510" cy="4298633"/>
                    </a:xfrm>
                    <a:prstGeom prst="rect">
                      <a:avLst/>
                    </a:prstGeom>
                    <a:noFill/>
                    <a:ln>
                      <a:noFill/>
                    </a:ln>
                  </pic:spPr>
                </pic:pic>
              </a:graphicData>
            </a:graphic>
          </wp:inline>
        </w:drawing>
      </w:r>
    </w:p>
    <w:p w:rsidR="005E42F0" w:rsidRDefault="006E34C0" w:rsidP="005E42F0">
      <w:r>
        <w:t>Supplementary Fig</w:t>
      </w:r>
      <w:r w:rsidR="005E42F0" w:rsidRPr="005E42F0">
        <w:t xml:space="preserve"> 3: Kidney (40x magnification). Spicules of uric acid can be seen filling the renal tubule lumen</w:t>
      </w:r>
      <w:r w:rsidR="005E42F0">
        <w:t>.</w:t>
      </w:r>
    </w:p>
    <w:p w:rsidR="005E42F0" w:rsidRDefault="005E42F0" w:rsidP="005E42F0"/>
    <w:p w:rsidR="005E42F0" w:rsidRDefault="005E42F0" w:rsidP="005E42F0">
      <w:r>
        <w:rPr>
          <w:noProof/>
          <w:lang w:eastAsia="en-ZA"/>
        </w:rPr>
        <w:lastRenderedPageBreak/>
        <w:drawing>
          <wp:inline distT="0" distB="0" distL="0" distR="0">
            <wp:extent cx="5731510" cy="4298633"/>
            <wp:effectExtent l="0" t="0" r="2540" b="6985"/>
            <wp:docPr id="6" name="Picture 6" descr="C:\Users\bono.nethathe\AppData\Local\Microsoft\Windows\INetCacheContent.Word\Figure 4 - Kidney 40X.ti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ono.nethathe\AppData\Local\Microsoft\Windows\INetCacheContent.Word\Figure 4 - Kidney 40X.tif.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1510" cy="4298633"/>
                    </a:xfrm>
                    <a:prstGeom prst="rect">
                      <a:avLst/>
                    </a:prstGeom>
                    <a:noFill/>
                    <a:ln>
                      <a:noFill/>
                    </a:ln>
                  </pic:spPr>
                </pic:pic>
              </a:graphicData>
            </a:graphic>
          </wp:inline>
        </w:drawing>
      </w:r>
    </w:p>
    <w:p w:rsidR="005E42F0" w:rsidRDefault="006E34C0" w:rsidP="005E42F0">
      <w:r>
        <w:t>Supplementary Fig</w:t>
      </w:r>
      <w:r w:rsidR="005E42F0" w:rsidRPr="005E42F0">
        <w:t xml:space="preserve"> 4: Kidney (40x magnification). Urates filling a renal tubule. Also evident is the loss of scattered renal tubular epithelial cells around the periphery.</w:t>
      </w:r>
    </w:p>
    <w:p w:rsidR="00606B3B" w:rsidRDefault="00606B3B" w:rsidP="005E42F0"/>
    <w:p w:rsidR="00606B3B" w:rsidRPr="00606B3B" w:rsidRDefault="00606B3B" w:rsidP="00606B3B">
      <w:pPr>
        <w:rPr>
          <w:lang w:val="en-US"/>
        </w:rPr>
      </w:pPr>
      <w:r w:rsidRPr="00606B3B">
        <w:drawing>
          <wp:inline distT="0" distB="0" distL="0" distR="0" wp14:anchorId="26CE7FD9" wp14:editId="5B0B7F1F">
            <wp:extent cx="4572000" cy="2743200"/>
            <wp:effectExtent l="0" t="0" r="0" b="0"/>
            <wp:docPr id="8289" name="Chart 8289">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06B3B" w:rsidRDefault="006E34C0" w:rsidP="00606B3B">
      <w:bookmarkStart w:id="0" w:name="_Toc18590179"/>
      <w:bookmarkStart w:id="1" w:name="_Toc18660082"/>
      <w:bookmarkStart w:id="2" w:name="_Toc21616316"/>
      <w:bookmarkStart w:id="3" w:name="_Toc21699399"/>
      <w:r>
        <w:t>Supplementary Fig 5</w:t>
      </w:r>
      <w:r w:rsidR="00606B3B" w:rsidRPr="00606B3B">
        <w:t>: Diclofenac plasma vs time profile for bird 9189 and 9190 following dosing at 10 mg/kg (Sampling points based on PAH administration times).</w:t>
      </w:r>
      <w:bookmarkEnd w:id="0"/>
      <w:bookmarkEnd w:id="1"/>
      <w:bookmarkEnd w:id="2"/>
      <w:bookmarkEnd w:id="3"/>
    </w:p>
    <w:p w:rsidR="006E34C0" w:rsidRDefault="006E34C0" w:rsidP="00606B3B"/>
    <w:p w:rsidR="006E34C0" w:rsidRPr="006E34C0" w:rsidRDefault="006E34C0" w:rsidP="006E34C0">
      <w:pPr>
        <w:rPr>
          <w:lang w:val="en-US"/>
        </w:rPr>
      </w:pPr>
      <w:r w:rsidRPr="006E34C0">
        <w:lastRenderedPageBreak/>
        <w:drawing>
          <wp:inline distT="0" distB="0" distL="0" distR="0" wp14:anchorId="45782762" wp14:editId="2D8BA442">
            <wp:extent cx="5749925" cy="3581021"/>
            <wp:effectExtent l="0" t="0" r="3175" b="635"/>
            <wp:docPr id="820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6"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77194" cy="3598004"/>
                    </a:xfrm>
                    <a:prstGeom prst="rect">
                      <a:avLst/>
                    </a:prstGeom>
                    <a:noFill/>
                    <a:ln>
                      <a:noFill/>
                    </a:ln>
                    <a:effectLst/>
                  </pic:spPr>
                </pic:pic>
              </a:graphicData>
            </a:graphic>
          </wp:inline>
        </w:drawing>
      </w:r>
    </w:p>
    <w:p w:rsidR="006E34C0" w:rsidRPr="006E34C0" w:rsidRDefault="006E34C0" w:rsidP="006E34C0">
      <w:pPr>
        <w:rPr>
          <w:lang w:val="en-US"/>
        </w:rPr>
      </w:pPr>
      <w:r w:rsidRPr="006E34C0">
        <mc:AlternateContent>
          <mc:Choice Requires="wps">
            <w:drawing>
              <wp:anchor distT="0" distB="0" distL="114300" distR="114300" simplePos="0" relativeHeight="251659264" behindDoc="0" locked="0" layoutInCell="1" allowOverlap="1" wp14:anchorId="612940A8" wp14:editId="06A24E38">
                <wp:simplePos x="0" y="0"/>
                <wp:positionH relativeFrom="column">
                  <wp:posOffset>419100</wp:posOffset>
                </wp:positionH>
                <wp:positionV relativeFrom="paragraph">
                  <wp:posOffset>775335</wp:posOffset>
                </wp:positionV>
                <wp:extent cx="304800" cy="371475"/>
                <wp:effectExtent l="0" t="0" r="19050" b="28575"/>
                <wp:wrapNone/>
                <wp:docPr id="2" name="Rectangle 2"/>
                <wp:cNvGraphicFramePr/>
                <a:graphic xmlns:a="http://schemas.openxmlformats.org/drawingml/2006/main">
                  <a:graphicData uri="http://schemas.microsoft.com/office/word/2010/wordprocessingShape">
                    <wps:wsp>
                      <wps:cNvSpPr/>
                      <wps:spPr>
                        <a:xfrm>
                          <a:off x="0" y="0"/>
                          <a:ext cx="30480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34C0" w:rsidRPr="004A6DAB" w:rsidRDefault="006E34C0" w:rsidP="006E34C0">
                            <w:pPr>
                              <w:jc w:val="center"/>
                              <w:rPr>
                                <w:b/>
                              </w:rPr>
                            </w:pPr>
                            <w:r w:rsidRPr="004A6DAB">
                              <w:rPr>
                                <w:b/>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2940A8" id="Rectangle 2" o:spid="_x0000_s1026" style="position:absolute;margin-left:33pt;margin-top:61.05pt;width:24pt;height:2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" fillcolor="window" strokecolor="windowText" strokeweight="1pt">
                <v:textbox>
                  <w:txbxContent>
                    <w:p w:rsidR="006E34C0" w:rsidRPr="004A6DAB" w:rsidRDefault="006E34C0" w:rsidP="006E34C0">
                      <w:pPr>
                        <w:jc w:val="center"/>
                        <w:rPr>
                          <w:b/>
                        </w:rPr>
                      </w:pPr>
                      <w:r w:rsidRPr="004A6DAB">
                        <w:rPr>
                          <w:b/>
                        </w:rPr>
                        <w:t>B</w:t>
                      </w:r>
                    </w:p>
                  </w:txbxContent>
                </v:textbox>
              </v:rect>
            </w:pict>
          </mc:Fallback>
        </mc:AlternateContent>
      </w:r>
      <w:r w:rsidRPr="006E34C0">
        <w:rPr>
          <w:lang w:val="en-US"/>
        </w:rPr>
        <w:t xml:space="preserve">    </w:t>
      </w:r>
    </w:p>
    <w:p w:rsidR="006E34C0" w:rsidRPr="006E34C0" w:rsidRDefault="006E34C0" w:rsidP="006E34C0">
      <w:pPr>
        <w:rPr>
          <w:lang w:val="en-US"/>
        </w:rPr>
      </w:pPr>
      <w:r w:rsidRPr="006E34C0">
        <mc:AlternateContent>
          <mc:Choice Requires="wps">
            <w:drawing>
              <wp:anchor distT="0" distB="0" distL="114300" distR="114300" simplePos="0" relativeHeight="251660288" behindDoc="0" locked="0" layoutInCell="1" allowOverlap="1" wp14:anchorId="1B9F5E03" wp14:editId="4BE65E40">
                <wp:simplePos x="0" y="0"/>
                <wp:positionH relativeFrom="column">
                  <wp:posOffset>3009900</wp:posOffset>
                </wp:positionH>
                <wp:positionV relativeFrom="paragraph">
                  <wp:posOffset>438150</wp:posOffset>
                </wp:positionV>
                <wp:extent cx="1600200" cy="838200"/>
                <wp:effectExtent l="0" t="0" r="0" b="0"/>
                <wp:wrapNone/>
                <wp:docPr id="8288" name="Rectangle 8288"/>
                <wp:cNvGraphicFramePr/>
                <a:graphic xmlns:a="http://schemas.openxmlformats.org/drawingml/2006/main">
                  <a:graphicData uri="http://schemas.microsoft.com/office/word/2010/wordprocessingShape">
                    <wps:wsp>
                      <wps:cNvSpPr/>
                      <wps:spPr>
                        <a:xfrm>
                          <a:off x="0" y="0"/>
                          <a:ext cx="1600200" cy="838200"/>
                        </a:xfrm>
                        <a:prstGeom prst="rect">
                          <a:avLst/>
                        </a:prstGeom>
                        <a:noFill/>
                        <a:ln>
                          <a:noFill/>
                        </a:ln>
                        <a:effectLst/>
                      </wps:spPr>
                      <wps:txbx>
                        <w:txbxContent>
                          <w:p w:rsidR="006E34C0" w:rsidRPr="00EF5DA2" w:rsidRDefault="006E34C0" w:rsidP="006E34C0">
                            <w:pPr>
                              <w:jc w:val="center"/>
                            </w:pPr>
                            <w:r w:rsidRPr="00EF5DA2">
                              <w:t>Diclofenac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9F5E03" id="Rectangle 8288" o:spid="_x0000_s1027" style="position:absolute;margin-left:237pt;margin-top:34.5pt;width:126pt;height:6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" filled="f" stroked="f">
                <v:textbox>
                  <w:txbxContent>
                    <w:p w:rsidR="006E34C0" w:rsidRPr="00EF5DA2" w:rsidRDefault="006E34C0" w:rsidP="006E34C0">
                      <w:pPr>
                        <w:jc w:val="center"/>
                      </w:pPr>
                      <w:r w:rsidRPr="00EF5DA2">
                        <w:t>Diclofenac</w:t>
                      </w:r>
                    </w:p>
                  </w:txbxContent>
                </v:textbox>
              </v:rect>
            </w:pict>
          </mc:Fallback>
        </mc:AlternateContent>
      </w:r>
      <w:r w:rsidRPr="006E34C0">
        <w:drawing>
          <wp:inline distT="0" distB="0" distL="0" distR="0" wp14:anchorId="5FBA89D3" wp14:editId="124655EC">
            <wp:extent cx="5754673" cy="3026782"/>
            <wp:effectExtent l="0" t="0" r="0" b="2540"/>
            <wp:docPr id="8203" name="Picture 8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1739" cy="3030498"/>
                    </a:xfrm>
                    <a:prstGeom prst="rect">
                      <a:avLst/>
                    </a:prstGeom>
                    <a:noFill/>
                  </pic:spPr>
                </pic:pic>
              </a:graphicData>
            </a:graphic>
          </wp:inline>
        </w:drawing>
      </w:r>
    </w:p>
    <w:p w:rsidR="006E34C0" w:rsidRPr="006E34C0" w:rsidRDefault="006E34C0" w:rsidP="006E34C0">
      <w:bookmarkStart w:id="4" w:name="_Toc18590180"/>
      <w:bookmarkStart w:id="5" w:name="_Toc18660083"/>
      <w:bookmarkStart w:id="6" w:name="_Toc21616317"/>
      <w:bookmarkStart w:id="7" w:name="_Toc21699400"/>
      <w:r>
        <w:t xml:space="preserve">Supplementary </w:t>
      </w:r>
      <w:bookmarkStart w:id="8" w:name="_GoBack"/>
      <w:bookmarkEnd w:id="8"/>
      <w:r>
        <w:t>Fig 6</w:t>
      </w:r>
      <w:r w:rsidRPr="006E34C0">
        <w:t>: A) Representative of chromatogram of pure diclofenac standard and B) spiked faecal sample with 100 µg/ml of diclofenac</w:t>
      </w:r>
      <w:bookmarkEnd w:id="4"/>
      <w:bookmarkEnd w:id="5"/>
      <w:bookmarkEnd w:id="6"/>
      <w:bookmarkEnd w:id="7"/>
    </w:p>
    <w:p w:rsidR="006E34C0" w:rsidRPr="00606B3B" w:rsidRDefault="006E34C0" w:rsidP="00606B3B"/>
    <w:p w:rsidR="00606B3B" w:rsidRPr="005E42F0" w:rsidRDefault="00606B3B" w:rsidP="005E42F0"/>
    <w:p w:rsidR="00FD7D11" w:rsidRDefault="00FD7D11"/>
    <w:sectPr w:rsidR="00FD7D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240E3"/>
    <w:multiLevelType w:val="hybridMultilevel"/>
    <w:tmpl w:val="B8D8C4FC"/>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2F0"/>
    <w:rsid w:val="005E42F0"/>
    <w:rsid w:val="00606B3B"/>
    <w:rsid w:val="006E34C0"/>
    <w:rsid w:val="009D6979"/>
    <w:rsid w:val="00FD7D1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B3ECC"/>
  <w15:chartTrackingRefBased/>
  <w15:docId w15:val="{297D3923-3F7D-49DA-B3FB-68267401F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6.png"/><Relationship Id="rId5" Type="http://schemas.openxmlformats.org/officeDocument/2006/relationships/image" Target="media/image1.jpeg"/><Relationship Id="rId10" Type="http://schemas.openxmlformats.org/officeDocument/2006/relationships/image" Target="media/image5.wmf"/><Relationship Id="rId4" Type="http://schemas.openxmlformats.org/officeDocument/2006/relationships/webSettings" Target="web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E:\Copy%20of%20BONO%20DICLOFNAC%20CHICKEN%20PLASMA%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x>
            <c:strRef>
              <c:f>Sheet1!$P$46</c:f>
              <c:strCache>
                <c:ptCount val="1"/>
                <c:pt idx="0">
                  <c:v>9189</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Sheet1!$O$47:$O$52</c:f>
              <c:numCache>
                <c:formatCode>General</c:formatCode>
                <c:ptCount val="6"/>
                <c:pt idx="0">
                  <c:v>0</c:v>
                </c:pt>
                <c:pt idx="1">
                  <c:v>2</c:v>
                </c:pt>
                <c:pt idx="2">
                  <c:v>6</c:v>
                </c:pt>
                <c:pt idx="3">
                  <c:v>8</c:v>
                </c:pt>
                <c:pt idx="4">
                  <c:v>12</c:v>
                </c:pt>
                <c:pt idx="5">
                  <c:v>24</c:v>
                </c:pt>
              </c:numCache>
            </c:numRef>
          </c:xVal>
          <c:yVal>
            <c:numRef>
              <c:f>Sheet1!$P$47:$P$52</c:f>
              <c:numCache>
                <c:formatCode>General</c:formatCode>
                <c:ptCount val="6"/>
                <c:pt idx="1">
                  <c:v>1.46</c:v>
                </c:pt>
                <c:pt idx="2">
                  <c:v>0.85</c:v>
                </c:pt>
                <c:pt idx="3">
                  <c:v>0.53</c:v>
                </c:pt>
                <c:pt idx="4">
                  <c:v>0.23</c:v>
                </c:pt>
              </c:numCache>
            </c:numRef>
          </c:yVal>
          <c:smooth val="1"/>
          <c:extLst>
            <c:ext xmlns:c16="http://schemas.microsoft.com/office/drawing/2014/chart" uri="{C3380CC4-5D6E-409C-BE32-E72D297353CC}">
              <c16:uniqueId val="{00000000-D144-4CB0-9AA8-513B96D8EE30}"/>
            </c:ext>
          </c:extLst>
        </c:ser>
        <c:ser>
          <c:idx val="1"/>
          <c:order val="1"/>
          <c:tx>
            <c:strRef>
              <c:f>Sheet1!$Q$46</c:f>
              <c:strCache>
                <c:ptCount val="1"/>
                <c:pt idx="0">
                  <c:v>9190</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Sheet1!$O$47:$O$52</c:f>
              <c:numCache>
                <c:formatCode>General</c:formatCode>
                <c:ptCount val="6"/>
                <c:pt idx="0">
                  <c:v>0</c:v>
                </c:pt>
                <c:pt idx="1">
                  <c:v>2</c:v>
                </c:pt>
                <c:pt idx="2">
                  <c:v>6</c:v>
                </c:pt>
                <c:pt idx="3">
                  <c:v>8</c:v>
                </c:pt>
                <c:pt idx="4">
                  <c:v>12</c:v>
                </c:pt>
                <c:pt idx="5">
                  <c:v>24</c:v>
                </c:pt>
              </c:numCache>
            </c:numRef>
          </c:xVal>
          <c:yVal>
            <c:numRef>
              <c:f>Sheet1!$Q$47:$Q$52</c:f>
              <c:numCache>
                <c:formatCode>General</c:formatCode>
                <c:ptCount val="6"/>
                <c:pt idx="1">
                  <c:v>3.95</c:v>
                </c:pt>
                <c:pt idx="2">
                  <c:v>0.37</c:v>
                </c:pt>
              </c:numCache>
            </c:numRef>
          </c:yVal>
          <c:smooth val="1"/>
          <c:extLst>
            <c:ext xmlns:c16="http://schemas.microsoft.com/office/drawing/2014/chart" uri="{C3380CC4-5D6E-409C-BE32-E72D297353CC}">
              <c16:uniqueId val="{00000001-D144-4CB0-9AA8-513B96D8EE30}"/>
            </c:ext>
          </c:extLst>
        </c:ser>
        <c:dLbls>
          <c:showLegendKey val="0"/>
          <c:showVal val="0"/>
          <c:showCatName val="0"/>
          <c:showSerName val="0"/>
          <c:showPercent val="0"/>
          <c:showBubbleSize val="0"/>
        </c:dLbls>
        <c:axId val="656201112"/>
        <c:axId val="656201896"/>
      </c:scatterChart>
      <c:valAx>
        <c:axId val="656201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a:t>
                </a:r>
                <a:r>
                  <a:rPr lang="en-US" baseline="0"/>
                  <a:t> (h)</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6201896"/>
        <c:crosses val="autoZero"/>
        <c:crossBetween val="midCat"/>
      </c:valAx>
      <c:valAx>
        <c:axId val="65620189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conc (ug/ml)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620111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16</TotalTime>
  <Pages>5</Pages>
  <Words>265</Words>
  <Characters>1513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Bono Nethathe</dc:creator>
  <cp:keywords/>
  <dc:description/>
  <cp:lastModifiedBy>Bono Nethathe</cp:lastModifiedBy>
  <cp:revision>2</cp:revision>
  <dcterms:created xsi:type="dcterms:W3CDTF">2021-04-12T13:01:00Z</dcterms:created>
  <dcterms:modified xsi:type="dcterms:W3CDTF">2021-04-12T19:39:00Z</dcterms:modified>
</cp:coreProperties>
</file>