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032" w:rsidRPr="00463032" w:rsidRDefault="00463032" w:rsidP="00463032">
      <w:pPr>
        <w:keepNext/>
        <w:keepLines/>
        <w:spacing w:before="200" w:line="276" w:lineRule="auto"/>
        <w:outlineLvl w:val="1"/>
        <w:rPr>
          <w:rFonts w:ascii="Arial" w:eastAsia="Times New Roman" w:hAnsi="Arial" w:cs="Times New Roman"/>
          <w:b/>
          <w:bCs/>
          <w:sz w:val="26"/>
          <w:szCs w:val="26"/>
        </w:rPr>
      </w:pPr>
      <w:r w:rsidRPr="00463032">
        <w:rPr>
          <w:rFonts w:ascii="Arial" w:eastAsia="Times New Roman" w:hAnsi="Arial" w:cs="Times New Roman"/>
          <w:b/>
          <w:bCs/>
          <w:sz w:val="26"/>
          <w:szCs w:val="26"/>
        </w:rPr>
        <w:t>Development of a fluorescent cell biological evaluation technique to detect intra-</w:t>
      </w:r>
      <w:proofErr w:type="spellStart"/>
      <w:r w:rsidRPr="00463032">
        <w:rPr>
          <w:rFonts w:ascii="Arial" w:eastAsia="Times New Roman" w:hAnsi="Arial" w:cs="Times New Roman"/>
          <w:b/>
          <w:bCs/>
          <w:sz w:val="26"/>
          <w:szCs w:val="26"/>
        </w:rPr>
        <w:t>erythrocytic</w:t>
      </w:r>
      <w:proofErr w:type="spellEnd"/>
      <w:r w:rsidRPr="00463032">
        <w:rPr>
          <w:rFonts w:ascii="Arial" w:eastAsia="Times New Roman" w:hAnsi="Arial" w:cs="Times New Roman"/>
          <w:b/>
          <w:bCs/>
          <w:sz w:val="26"/>
          <w:szCs w:val="26"/>
        </w:rPr>
        <w:t xml:space="preserve"> </w:t>
      </w:r>
      <w:r w:rsidRPr="00463032">
        <w:rPr>
          <w:rFonts w:ascii="Arial" w:eastAsia="Times New Roman" w:hAnsi="Arial" w:cs="Times New Roman"/>
          <w:b/>
          <w:bCs/>
          <w:i/>
          <w:sz w:val="26"/>
          <w:szCs w:val="26"/>
        </w:rPr>
        <w:t xml:space="preserve">B. </w:t>
      </w:r>
      <w:proofErr w:type="spellStart"/>
      <w:r w:rsidRPr="00463032">
        <w:rPr>
          <w:rFonts w:ascii="Arial" w:eastAsia="Times New Roman" w:hAnsi="Arial" w:cs="Times New Roman"/>
          <w:b/>
          <w:bCs/>
          <w:i/>
          <w:sz w:val="26"/>
          <w:szCs w:val="26"/>
        </w:rPr>
        <w:t>divergens</w:t>
      </w:r>
      <w:proofErr w:type="spellEnd"/>
      <w:r w:rsidRPr="00463032">
        <w:rPr>
          <w:rFonts w:ascii="Arial" w:eastAsia="Times New Roman" w:hAnsi="Arial" w:cs="Times New Roman"/>
          <w:b/>
          <w:bCs/>
          <w:sz w:val="26"/>
          <w:szCs w:val="26"/>
        </w:rPr>
        <w:t xml:space="preserve"> parasites</w:t>
      </w:r>
    </w:p>
    <w:p w:rsidR="00463032" w:rsidRPr="00463032" w:rsidRDefault="00463032" w:rsidP="00463032">
      <w:pPr>
        <w:spacing w:after="200" w:line="276" w:lineRule="auto"/>
        <w:rPr>
          <w:rFonts w:ascii="Calibri" w:eastAsia="Calibri" w:hAnsi="Calibri" w:cs="Times New Roman"/>
          <w:sz w:val="22"/>
          <w:szCs w:val="22"/>
        </w:rPr>
      </w:pPr>
    </w:p>
    <w:p w:rsidR="00463032" w:rsidRPr="00463032" w:rsidRDefault="00463032" w:rsidP="00463032">
      <w:pPr>
        <w:spacing w:after="200" w:line="480" w:lineRule="auto"/>
        <w:ind w:firstLine="720"/>
        <w:jc w:val="both"/>
        <w:rPr>
          <w:rFonts w:ascii="Arial" w:eastAsia="Calibri" w:hAnsi="Arial" w:cs="Arial"/>
          <w:sz w:val="22"/>
          <w:szCs w:val="22"/>
        </w:rPr>
      </w:pPr>
      <w:r w:rsidRPr="00463032">
        <w:rPr>
          <w:rFonts w:ascii="Arial" w:eastAsia="Calibri" w:hAnsi="Arial" w:cs="Arial"/>
          <w:sz w:val="22"/>
          <w:szCs w:val="22"/>
        </w:rPr>
        <w:t xml:space="preserve">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cytometry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(using SYBR Green I fluorescence as nuclear marker) sensitively and accurately discriminated </w:t>
      </w:r>
      <w:proofErr w:type="spellStart"/>
      <w:r w:rsidRPr="00463032">
        <w:rPr>
          <w:rFonts w:ascii="Arial" w:eastAsia="Calibri" w:hAnsi="Arial" w:cs="Arial"/>
          <w:i/>
          <w:sz w:val="22"/>
          <w:szCs w:val="22"/>
        </w:rPr>
        <w:t>Babesia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infected erythrocytes from their uninfected partners (Fig 1A). A 1:100 SYBR Green I (10 000x SYBR Green I)</w:t>
      </w:r>
      <w:proofErr w:type="gramStart"/>
      <w:r w:rsidRPr="00463032">
        <w:rPr>
          <w:rFonts w:ascii="Arial" w:eastAsia="Calibri" w:hAnsi="Arial" w:cs="Arial"/>
          <w:sz w:val="22"/>
          <w:szCs w:val="22"/>
        </w:rPr>
        <w:t>:PBS</w:t>
      </w:r>
      <w:proofErr w:type="gramEnd"/>
      <w:r w:rsidRPr="00463032">
        <w:rPr>
          <w:rFonts w:ascii="Arial" w:eastAsia="Calibri" w:hAnsi="Arial" w:cs="Arial"/>
          <w:sz w:val="22"/>
          <w:szCs w:val="22"/>
        </w:rPr>
        <w:t xml:space="preserve"> solution was able to discriminate uninfected from three separate infected erythrocyte populations with the highest resolution (Fig 1A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2</w:t>
      </w:r>
      <w:r w:rsidRPr="00463032">
        <w:rPr>
          <w:rFonts w:ascii="Arial" w:eastAsia="Calibri" w:hAnsi="Arial" w:cs="Arial"/>
          <w:sz w:val="22"/>
          <w:szCs w:val="22"/>
        </w:rPr>
        <w:t>; A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3</w:t>
      </w:r>
      <w:r w:rsidRPr="00463032">
        <w:rPr>
          <w:rFonts w:ascii="Arial" w:eastAsia="Calibri" w:hAnsi="Arial" w:cs="Arial"/>
          <w:sz w:val="22"/>
          <w:szCs w:val="22"/>
        </w:rPr>
        <w:t xml:space="preserve">). However, the use of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glutaraldehyde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as fixative at both SYBR Green I concentrations, resulted in a marked decrease in resolution compared to the unfixed samples (Fig 1A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4</w:t>
      </w:r>
      <w:r w:rsidRPr="00463032">
        <w:rPr>
          <w:rFonts w:ascii="Arial" w:eastAsia="Calibri" w:hAnsi="Arial" w:cs="Arial"/>
          <w:sz w:val="22"/>
          <w:szCs w:val="22"/>
        </w:rPr>
        <w:t>; A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5</w:t>
      </w:r>
      <w:r w:rsidRPr="00463032">
        <w:rPr>
          <w:rFonts w:ascii="Arial" w:eastAsia="Calibri" w:hAnsi="Arial" w:cs="Arial"/>
          <w:sz w:val="22"/>
          <w:szCs w:val="22"/>
        </w:rPr>
        <w:t xml:space="preserve"> and Fig 1C). Asynchronous, unfixed, stained </w:t>
      </w:r>
      <w:r w:rsidRPr="00463032">
        <w:rPr>
          <w:rFonts w:ascii="Arial" w:eastAsia="Calibri" w:hAnsi="Arial" w:cs="Arial"/>
          <w:i/>
          <w:sz w:val="22"/>
          <w:szCs w:val="22"/>
        </w:rPr>
        <w:t xml:space="preserve">P. </w:t>
      </w:r>
      <w:proofErr w:type="spellStart"/>
      <w:r w:rsidRPr="00463032">
        <w:rPr>
          <w:rFonts w:ascii="Arial" w:eastAsia="Calibri" w:hAnsi="Arial" w:cs="Arial"/>
          <w:i/>
          <w:sz w:val="22"/>
          <w:szCs w:val="22"/>
        </w:rPr>
        <w:t>falciparum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was used as positive control as distinct populations have been validated previously using a similar approach (Fig 1A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6</w:t>
      </w:r>
      <w:r w:rsidRPr="00463032">
        <w:rPr>
          <w:rFonts w:ascii="Arial" w:eastAsia="Calibri" w:hAnsi="Arial" w:cs="Arial"/>
          <w:sz w:val="22"/>
          <w:szCs w:val="22"/>
        </w:rPr>
        <w:t>)</w:t>
      </w:r>
      <w:r w:rsidRPr="00463032">
        <w:rPr>
          <w:rFonts w:ascii="Arial" w:eastAsia="Calibri" w:hAnsi="Arial" w:cs="Arial"/>
          <w:sz w:val="22"/>
          <w:szCs w:val="22"/>
        </w:rPr>
        <w:fldChar w:fldCharType="begin">
          <w:fldData xml:space="preserve">PEVuZE5vdGU+PENpdGU+PEF1dGhvcj5HcmltYmVyZzwvQXV0aG9yPjxZZWFyPjIwMDg8L1llYXI+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</w:fldData>
        </w:fldChar>
      </w:r>
      <w:r w:rsidRPr="00463032">
        <w:rPr>
          <w:rFonts w:ascii="Arial" w:eastAsia="Calibri" w:hAnsi="Arial" w:cs="Arial"/>
          <w:sz w:val="22"/>
          <w:szCs w:val="22"/>
        </w:rPr>
        <w:instrText xml:space="preserve"> ADDIN EN.CITE </w:instrText>
      </w:r>
      <w:r w:rsidRPr="00463032">
        <w:rPr>
          <w:rFonts w:ascii="Arial" w:eastAsia="Calibri" w:hAnsi="Arial" w:cs="Arial"/>
          <w:sz w:val="22"/>
          <w:szCs w:val="22"/>
        </w:rPr>
        <w:fldChar w:fldCharType="begin">
          <w:fldData xml:space="preserve">PEVuZE5vdGU+PENpdGU+PEF1dGhvcj5HcmltYmVyZzwvQXV0aG9yPjxZZWFyPjIwMDg8L1llYXI+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</w:fldData>
        </w:fldChar>
      </w:r>
      <w:r w:rsidRPr="00463032">
        <w:rPr>
          <w:rFonts w:ascii="Arial" w:eastAsia="Calibri" w:hAnsi="Arial" w:cs="Arial"/>
          <w:sz w:val="22"/>
          <w:szCs w:val="22"/>
        </w:rPr>
        <w:instrText xml:space="preserve"> ADDIN EN.CITE.DATA </w:instrText>
      </w:r>
      <w:r w:rsidRPr="00463032">
        <w:rPr>
          <w:rFonts w:ascii="Arial" w:eastAsia="Calibri" w:hAnsi="Arial" w:cs="Arial"/>
          <w:sz w:val="22"/>
          <w:szCs w:val="22"/>
        </w:rPr>
      </w:r>
      <w:r w:rsidRPr="00463032">
        <w:rPr>
          <w:rFonts w:ascii="Arial" w:eastAsia="Calibri" w:hAnsi="Arial" w:cs="Arial"/>
          <w:sz w:val="22"/>
          <w:szCs w:val="22"/>
        </w:rPr>
        <w:fldChar w:fldCharType="end"/>
      </w:r>
      <w:r w:rsidRPr="00463032">
        <w:rPr>
          <w:rFonts w:ascii="Arial" w:eastAsia="Calibri" w:hAnsi="Arial" w:cs="Arial"/>
          <w:sz w:val="22"/>
          <w:szCs w:val="22"/>
        </w:rPr>
      </w:r>
      <w:r w:rsidRPr="00463032">
        <w:rPr>
          <w:rFonts w:ascii="Arial" w:eastAsia="Calibri" w:hAnsi="Arial" w:cs="Arial"/>
          <w:sz w:val="22"/>
          <w:szCs w:val="22"/>
        </w:rPr>
        <w:fldChar w:fldCharType="separate"/>
      </w:r>
      <w:r w:rsidRPr="00463032">
        <w:rPr>
          <w:rFonts w:ascii="Arial" w:eastAsia="Calibri" w:hAnsi="Arial" w:cs="Arial"/>
          <w:noProof/>
          <w:sz w:val="22"/>
          <w:szCs w:val="22"/>
        </w:rPr>
        <w:t>[</w:t>
      </w:r>
      <w:hyperlink w:anchor="_ENREF_17" w:tooltip="Grimberg, 2008 #51" w:history="1">
        <w:r w:rsidRPr="00463032">
          <w:rPr>
            <w:rFonts w:ascii="Arial" w:eastAsia="Calibri" w:hAnsi="Arial" w:cs="Arial"/>
            <w:noProof/>
            <w:sz w:val="22"/>
            <w:szCs w:val="22"/>
          </w:rPr>
          <w:t>17</w:t>
        </w:r>
      </w:hyperlink>
      <w:r w:rsidRPr="00463032">
        <w:rPr>
          <w:rFonts w:ascii="Arial" w:eastAsia="Calibri" w:hAnsi="Arial" w:cs="Arial"/>
          <w:noProof/>
          <w:sz w:val="22"/>
          <w:szCs w:val="22"/>
        </w:rPr>
        <w:t>,</w:t>
      </w:r>
      <w:hyperlink w:anchor="_ENREF_18" w:tooltip="Izumiyama, 2009 #52" w:history="1">
        <w:r w:rsidRPr="00463032">
          <w:rPr>
            <w:rFonts w:ascii="Arial" w:eastAsia="Calibri" w:hAnsi="Arial" w:cs="Arial"/>
            <w:noProof/>
            <w:sz w:val="22"/>
            <w:szCs w:val="22"/>
          </w:rPr>
          <w:t>18</w:t>
        </w:r>
      </w:hyperlink>
      <w:r w:rsidRPr="00463032">
        <w:rPr>
          <w:rFonts w:ascii="Arial" w:eastAsia="Calibri" w:hAnsi="Arial" w:cs="Arial"/>
          <w:noProof/>
          <w:sz w:val="22"/>
          <w:szCs w:val="22"/>
        </w:rPr>
        <w:t>]</w:t>
      </w:r>
      <w:r w:rsidRPr="00463032">
        <w:rPr>
          <w:rFonts w:ascii="Arial" w:eastAsia="Calibri" w:hAnsi="Arial" w:cs="Arial"/>
          <w:sz w:val="22"/>
          <w:szCs w:val="22"/>
        </w:rPr>
        <w:fldChar w:fldCharType="end"/>
      </w:r>
      <w:r w:rsidRPr="00463032">
        <w:rPr>
          <w:rFonts w:ascii="Arial" w:eastAsia="Calibri" w:hAnsi="Arial" w:cs="Arial"/>
          <w:sz w:val="22"/>
          <w:szCs w:val="22"/>
        </w:rPr>
        <w:t>.</w:t>
      </w:r>
    </w:p>
    <w:p w:rsidR="00463032" w:rsidRPr="00463032" w:rsidRDefault="00463032" w:rsidP="00463032">
      <w:pPr>
        <w:spacing w:after="200" w:line="480" w:lineRule="auto"/>
        <w:ind w:firstLine="720"/>
        <w:jc w:val="both"/>
        <w:rPr>
          <w:rFonts w:ascii="Arial" w:eastAsia="Calibri" w:hAnsi="Arial" w:cs="Arial"/>
          <w:sz w:val="22"/>
          <w:szCs w:val="22"/>
        </w:rPr>
      </w:pPr>
      <w:r w:rsidRPr="00463032">
        <w:rPr>
          <w:rFonts w:ascii="Arial" w:eastAsia="Calibri" w:hAnsi="Arial" w:cs="Arial"/>
          <w:sz w:val="22"/>
          <w:szCs w:val="22"/>
        </w:rPr>
        <w:t xml:space="preserve">The optimal staining procedure (1:100 SYBR Green I solution with unfixed parasites) was also optimal to accurately determine the </w:t>
      </w:r>
      <w:proofErr w:type="gramStart"/>
      <w:r w:rsidRPr="00463032">
        <w:rPr>
          <w:rFonts w:ascii="Arial" w:eastAsia="Calibri" w:hAnsi="Arial" w:cs="Arial"/>
          <w:sz w:val="22"/>
          <w:szCs w:val="22"/>
        </w:rPr>
        <w:t>percentage infected</w:t>
      </w:r>
      <w:proofErr w:type="gramEnd"/>
      <w:r w:rsidRPr="00463032">
        <w:rPr>
          <w:rFonts w:ascii="Arial" w:eastAsia="Calibri" w:hAnsi="Arial" w:cs="Arial"/>
          <w:sz w:val="22"/>
          <w:szCs w:val="22"/>
        </w:rPr>
        <w:t xml:space="preserve"> erythrocytes (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parasitemia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) of </w:t>
      </w:r>
      <w:r w:rsidRPr="00463032">
        <w:rPr>
          <w:rFonts w:ascii="Arial" w:eastAsia="Calibri" w:hAnsi="Arial" w:cs="Arial"/>
          <w:i/>
          <w:sz w:val="22"/>
          <w:szCs w:val="22"/>
        </w:rPr>
        <w:t xml:space="preserve">B. </w:t>
      </w:r>
      <w:proofErr w:type="spellStart"/>
      <w:r w:rsidRPr="00463032">
        <w:rPr>
          <w:rFonts w:ascii="Arial" w:eastAsia="Calibri" w:hAnsi="Arial" w:cs="Arial"/>
          <w:i/>
          <w:sz w:val="22"/>
          <w:szCs w:val="22"/>
        </w:rPr>
        <w:t>divergens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cultures (Fig 1B). Even though a 1:100 concentration of the fluorescent dye was more informative with regards to population resolution,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parasitemia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could still be accurately detected with a 10-fold dilution of SYBR Green I from 1:100 to 1:1000 (Fig 1B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 xml:space="preserve">1; </w:t>
      </w:r>
      <w:r w:rsidRPr="00463032">
        <w:rPr>
          <w:rFonts w:ascii="Arial" w:eastAsia="Calibri" w:hAnsi="Arial" w:cs="Arial"/>
          <w:sz w:val="22"/>
          <w:szCs w:val="22"/>
        </w:rPr>
        <w:t>B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2</w:t>
      </w:r>
      <w:r w:rsidRPr="00463032">
        <w:rPr>
          <w:rFonts w:ascii="Arial" w:eastAsia="Calibri" w:hAnsi="Arial" w:cs="Arial"/>
          <w:sz w:val="22"/>
          <w:szCs w:val="22"/>
        </w:rPr>
        <w:t xml:space="preserve">). Fixation of </w:t>
      </w:r>
      <w:r w:rsidRPr="00463032">
        <w:rPr>
          <w:rFonts w:ascii="Arial" w:eastAsia="Calibri" w:hAnsi="Arial" w:cs="Arial"/>
          <w:i/>
          <w:sz w:val="22"/>
          <w:szCs w:val="22"/>
        </w:rPr>
        <w:t xml:space="preserve">B. </w:t>
      </w:r>
      <w:proofErr w:type="spellStart"/>
      <w:r w:rsidRPr="00463032">
        <w:rPr>
          <w:rFonts w:ascii="Arial" w:eastAsia="Calibri" w:hAnsi="Arial" w:cs="Arial"/>
          <w:i/>
          <w:sz w:val="22"/>
          <w:szCs w:val="22"/>
        </w:rPr>
        <w:t>divergens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parasites detrimentally affected the ability to determine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parasitemia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accurately by 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cytometry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, resulting in a significant 2-fold reduction in reported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parasitemia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under these conditions (Fig 1B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4</w:t>
      </w:r>
      <w:r w:rsidRPr="00463032">
        <w:rPr>
          <w:rFonts w:ascii="Arial" w:eastAsia="Calibri" w:hAnsi="Arial" w:cs="Arial"/>
          <w:sz w:val="22"/>
          <w:szCs w:val="22"/>
        </w:rPr>
        <w:t>; B</w:t>
      </w:r>
      <w:r w:rsidRPr="00463032">
        <w:rPr>
          <w:rFonts w:ascii="Arial" w:eastAsia="Calibri" w:hAnsi="Arial" w:cs="Arial"/>
          <w:sz w:val="22"/>
          <w:szCs w:val="22"/>
          <w:vertAlign w:val="subscript"/>
        </w:rPr>
        <w:t>5</w:t>
      </w:r>
      <w:r w:rsidRPr="00463032">
        <w:rPr>
          <w:rFonts w:ascii="Arial" w:eastAsia="Calibri" w:hAnsi="Arial" w:cs="Arial"/>
          <w:sz w:val="22"/>
          <w:szCs w:val="22"/>
        </w:rPr>
        <w:t xml:space="preserve"> and Fig 1C).</w:t>
      </w:r>
    </w:p>
    <w:p w:rsidR="00F77D75" w:rsidRDefault="00463032" w:rsidP="00463032">
      <w:pPr>
        <w:spacing w:after="200" w:line="480" w:lineRule="auto"/>
        <w:ind w:firstLine="720"/>
        <w:jc w:val="both"/>
      </w:pPr>
      <w:r w:rsidRPr="00463032">
        <w:rPr>
          <w:rFonts w:ascii="Arial" w:eastAsia="Calibri" w:hAnsi="Arial" w:cs="Arial"/>
          <w:sz w:val="22"/>
          <w:szCs w:val="22"/>
        </w:rPr>
        <w:t xml:space="preserve">The 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cytometric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assay was subsequently verified as alternative method of determining parasitic proliferation compared to light microscopy, by analyzing asynchronous </w:t>
      </w:r>
      <w:r w:rsidRPr="00463032">
        <w:rPr>
          <w:rFonts w:ascii="Arial" w:eastAsia="Calibri" w:hAnsi="Arial" w:cs="Arial"/>
          <w:i/>
          <w:sz w:val="22"/>
          <w:szCs w:val="22"/>
        </w:rPr>
        <w:t xml:space="preserve">B. </w:t>
      </w:r>
      <w:proofErr w:type="spellStart"/>
      <w:r w:rsidRPr="00463032">
        <w:rPr>
          <w:rFonts w:ascii="Arial" w:eastAsia="Calibri" w:hAnsi="Arial" w:cs="Arial"/>
          <w:i/>
          <w:sz w:val="22"/>
          <w:szCs w:val="22"/>
        </w:rPr>
        <w:t>divergens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samples in triplicate with both light microscopy and 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cytometry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>. A strong linear correlation (R</w:t>
      </w:r>
      <w:r w:rsidRPr="00463032">
        <w:rPr>
          <w:rFonts w:ascii="Arial" w:eastAsia="Calibri" w:hAnsi="Arial" w:cs="Arial"/>
          <w:sz w:val="22"/>
          <w:szCs w:val="22"/>
          <w:vertAlign w:val="superscript"/>
        </w:rPr>
        <w:t xml:space="preserve">2 </w:t>
      </w:r>
      <w:r w:rsidRPr="00463032">
        <w:rPr>
          <w:rFonts w:ascii="Arial" w:eastAsia="Calibri" w:hAnsi="Arial" w:cs="Arial"/>
          <w:sz w:val="22"/>
          <w:szCs w:val="22"/>
        </w:rPr>
        <w:t xml:space="preserve">= 0.98) was observed between the microscopic and 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cytometric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analyses (unfixed cells, 1:100 SYBR Green I dilution) based on the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parasitemia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obtained either with light microscopy or determined with the BD FACS Aria I flow </w:t>
      </w:r>
      <w:proofErr w:type="spellStart"/>
      <w:r w:rsidRPr="00463032">
        <w:rPr>
          <w:rFonts w:ascii="Arial" w:eastAsia="Calibri" w:hAnsi="Arial" w:cs="Arial"/>
          <w:sz w:val="22"/>
          <w:szCs w:val="22"/>
        </w:rPr>
        <w:t>cytometer</w:t>
      </w:r>
      <w:proofErr w:type="spellEnd"/>
      <w:r w:rsidRPr="00463032">
        <w:rPr>
          <w:rFonts w:ascii="Arial" w:eastAsia="Calibri" w:hAnsi="Arial" w:cs="Arial"/>
          <w:sz w:val="22"/>
          <w:szCs w:val="22"/>
        </w:rPr>
        <w:t xml:space="preserve"> (Fig 1</w:t>
      </w:r>
      <w:bookmarkStart w:id="0" w:name="_GoBack"/>
      <w:bookmarkEnd w:id="0"/>
      <w:r w:rsidRPr="00463032">
        <w:rPr>
          <w:rFonts w:ascii="Arial" w:eastAsia="Calibri" w:hAnsi="Arial" w:cs="Arial"/>
          <w:sz w:val="22"/>
          <w:szCs w:val="22"/>
        </w:rPr>
        <w:t>D).</w:t>
      </w:r>
    </w:p>
    <w:sectPr w:rsidR="00F77D75" w:rsidSect="00463032">
      <w:pgSz w:w="11900" w:h="16840"/>
      <w:pgMar w:top="851" w:right="1800" w:bottom="568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63032"/>
    <w:rsid w:val="00463032"/>
  </w:rsids>
  <m:mathPr>
    <m:mathFont m:val="Arial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34F6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Lyn-Marie Birkholtz</dc:creator>
  <cp:keywords/>
  <cp:lastModifiedBy>Lyn-Marie Birkholtz</cp:lastModifiedBy>
  <cp:revision>1</cp:revision>
  <dcterms:created xsi:type="dcterms:W3CDTF">2015-03-25T07:35:00Z</dcterms:created>
  <dcterms:modified xsi:type="dcterms:W3CDTF">2015-03-25T07:36:00Z</dcterms:modified>
</cp:coreProperties>
</file>