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80145" w:rsidRPr="001C2646" w:rsidRDefault="00980145" w:rsidP="00980145">
      <w:pPr>
        <w:pStyle w:val="Body"/>
        <w:spacing w:after="0" w:line="240" w:lineRule="auto"/>
        <w:rPr>
          <w:rFonts w:asciiTheme="minorHAnsi" w:hAnsiTheme="minorHAnsi"/>
          <w:sz w:val="20"/>
        </w:rPr>
      </w:pPr>
      <w:r w:rsidRPr="001C2646">
        <w:rPr>
          <w:rFonts w:asciiTheme="minorHAnsi" w:hAnsiTheme="minorHAnsi"/>
          <w:b/>
          <w:bCs/>
          <w:sz w:val="20"/>
        </w:rPr>
        <w:t xml:space="preserve">Supplemental Table 3 </w:t>
      </w:r>
      <w:r w:rsidRPr="001C2646">
        <w:rPr>
          <w:rFonts w:asciiTheme="minorHAnsi" w:hAnsiTheme="minorHAnsi"/>
          <w:bCs/>
          <w:sz w:val="20"/>
        </w:rPr>
        <w:t xml:space="preserve">Patients who developed elosulfase alfa TAb, NAb, and IgE during MOR-002 and MOR-100. </w:t>
      </w:r>
    </w:p>
    <w:p w:rsidR="00980145" w:rsidRPr="001C2646" w:rsidRDefault="00980145" w:rsidP="00980145">
      <w:pPr>
        <w:pStyle w:val="Body"/>
        <w:spacing w:after="0" w:line="240" w:lineRule="auto"/>
        <w:rPr>
          <w:rFonts w:asciiTheme="minorHAnsi" w:hAnsiTheme="minorHAnsi"/>
          <w:sz w:val="20"/>
        </w:rPr>
      </w:pPr>
    </w:p>
    <w:tbl>
      <w:tblPr>
        <w:tblW w:w="9522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D0DDEF"/>
        <w:tblLayout w:type="fixed"/>
        <w:tblLook w:val="04A0" w:firstRow="1" w:lastRow="0" w:firstColumn="1" w:lastColumn="0" w:noHBand="0" w:noVBand="1"/>
      </w:tblPr>
      <w:tblGrid>
        <w:gridCol w:w="1332"/>
        <w:gridCol w:w="2340"/>
        <w:gridCol w:w="1710"/>
        <w:gridCol w:w="2250"/>
        <w:gridCol w:w="1890"/>
      </w:tblGrid>
      <w:tr w:rsidR="00980145" w:rsidRPr="001C2646" w:rsidTr="00716B5E">
        <w:trPr>
          <w:trHeight w:val="300"/>
        </w:trPr>
        <w:tc>
          <w:tcPr>
            <w:tcW w:w="133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716B5E">
            <w:pPr>
              <w:pStyle w:val="TableParagraph"/>
              <w:keepNext/>
              <w:keepLines/>
              <w:spacing w:before="0"/>
              <w:ind w:left="0"/>
              <w:jc w:val="left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b/>
                <w:bCs/>
                <w:sz w:val="20"/>
                <w:szCs w:val="22"/>
              </w:rPr>
              <w:t>Study</w:t>
            </w:r>
          </w:p>
        </w:tc>
        <w:tc>
          <w:tcPr>
            <w:tcW w:w="234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716B5E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b/>
                <w:bCs/>
                <w:sz w:val="20"/>
                <w:szCs w:val="22"/>
              </w:rPr>
              <w:t>Visit</w:t>
            </w:r>
          </w:p>
        </w:tc>
        <w:tc>
          <w:tcPr>
            <w:tcW w:w="171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716B5E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b/>
                <w:bCs/>
                <w:sz w:val="20"/>
                <w:szCs w:val="22"/>
              </w:rPr>
              <w:t>TAb, n/N (%)</w:t>
            </w:r>
          </w:p>
        </w:tc>
        <w:tc>
          <w:tcPr>
            <w:tcW w:w="225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716B5E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b/>
                <w:bCs/>
                <w:sz w:val="20"/>
                <w:szCs w:val="22"/>
              </w:rPr>
              <w:t>NAb, n/N (%)</w:t>
            </w:r>
          </w:p>
        </w:tc>
        <w:tc>
          <w:tcPr>
            <w:tcW w:w="189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716B5E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b/>
                <w:bCs/>
                <w:sz w:val="20"/>
                <w:szCs w:val="22"/>
              </w:rPr>
              <w:t>IgE, n/N (%)</w:t>
            </w:r>
          </w:p>
        </w:tc>
      </w:tr>
      <w:tr w:rsidR="00980145" w:rsidRPr="001C2646" w:rsidTr="001C2646">
        <w:trPr>
          <w:trHeight w:val="291"/>
        </w:trPr>
        <w:tc>
          <w:tcPr>
            <w:tcW w:w="1332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716B5E">
            <w:pPr>
              <w:pStyle w:val="TableParagraph"/>
              <w:keepNext/>
              <w:keepLines/>
              <w:spacing w:before="0"/>
              <w:ind w:left="0"/>
              <w:jc w:val="left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MOR-002</w:t>
            </w:r>
          </w:p>
        </w:tc>
        <w:tc>
          <w:tcPr>
            <w:tcW w:w="234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Baseline</w:t>
            </w:r>
          </w:p>
        </w:tc>
        <w:tc>
          <w:tcPr>
            <w:tcW w:w="171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3/20 (15.0)</w:t>
            </w:r>
            <w:r w:rsidRPr="001C2646">
              <w:rPr>
                <w:rFonts w:asciiTheme="minorHAnsi" w:hAnsiTheme="minorHAnsi"/>
                <w:sz w:val="20"/>
                <w:szCs w:val="22"/>
                <w:vertAlign w:val="superscript"/>
              </w:rPr>
              <w:t>a</w:t>
            </w:r>
          </w:p>
        </w:tc>
        <w:tc>
          <w:tcPr>
            <w:tcW w:w="225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0/16 (0.0)</w:t>
            </w:r>
          </w:p>
        </w:tc>
        <w:tc>
          <w:tcPr>
            <w:tcW w:w="189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0/20 (0.0)</w:t>
            </w:r>
          </w:p>
        </w:tc>
      </w:tr>
      <w:tr w:rsidR="00980145" w:rsidRPr="001C2646" w:rsidTr="001C2646">
        <w:trPr>
          <w:trHeight w:val="291"/>
        </w:trPr>
        <w:tc>
          <w:tcPr>
            <w:tcW w:w="1332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</w:tcPr>
          <w:p w:rsidR="00980145" w:rsidRPr="001C2646" w:rsidRDefault="00980145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Week 3</w:t>
            </w: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4/20 (20.0)</w:t>
            </w:r>
          </w:p>
        </w:tc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0/19 (0.0)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0/20 (0.0)</w:t>
            </w:r>
          </w:p>
        </w:tc>
      </w:tr>
      <w:tr w:rsidR="00980145" w:rsidRPr="001C2646" w:rsidTr="001C2646">
        <w:trPr>
          <w:trHeight w:val="291"/>
        </w:trPr>
        <w:tc>
          <w:tcPr>
            <w:tcW w:w="1332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</w:tcPr>
          <w:p w:rsidR="00980145" w:rsidRPr="001C2646" w:rsidRDefault="00980145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Week 6</w:t>
            </w: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16/20 (80.0)</w:t>
            </w:r>
          </w:p>
        </w:tc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8/19 (42.1)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0/20 (0.0)</w:t>
            </w:r>
          </w:p>
        </w:tc>
      </w:tr>
      <w:tr w:rsidR="00980145" w:rsidRPr="001C2646" w:rsidTr="001C2646">
        <w:trPr>
          <w:trHeight w:val="291"/>
        </w:trPr>
        <w:tc>
          <w:tcPr>
            <w:tcW w:w="1332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</w:tcPr>
          <w:p w:rsidR="00980145" w:rsidRPr="001C2646" w:rsidRDefault="00980145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Week 9</w:t>
            </w: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19/20 (95.0)</w:t>
            </w:r>
          </w:p>
        </w:tc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5/20 (25.0)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0/20 (0.0)</w:t>
            </w:r>
          </w:p>
        </w:tc>
      </w:tr>
      <w:tr w:rsidR="00980145" w:rsidRPr="001C2646" w:rsidTr="001C2646">
        <w:trPr>
          <w:trHeight w:val="291"/>
        </w:trPr>
        <w:tc>
          <w:tcPr>
            <w:tcW w:w="1332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</w:tcPr>
          <w:p w:rsidR="00980145" w:rsidRPr="001C2646" w:rsidRDefault="00980145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Week 12</w:t>
            </w: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19/20 (95.0)</w:t>
            </w:r>
          </w:p>
        </w:tc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4/20 (20.0)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1/20 (5.0)</w:t>
            </w:r>
          </w:p>
        </w:tc>
      </w:tr>
      <w:tr w:rsidR="00980145" w:rsidRPr="001C2646" w:rsidTr="001C2646">
        <w:trPr>
          <w:trHeight w:val="291"/>
        </w:trPr>
        <w:tc>
          <w:tcPr>
            <w:tcW w:w="1332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</w:tcPr>
          <w:p w:rsidR="00980145" w:rsidRPr="001C2646" w:rsidRDefault="00980145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Week 18</w:t>
            </w: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17/17 (100.0)</w:t>
            </w:r>
          </w:p>
        </w:tc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3/17 (17.6)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0/17 (0.0)</w:t>
            </w:r>
          </w:p>
        </w:tc>
      </w:tr>
      <w:tr w:rsidR="00980145" w:rsidRPr="001C2646" w:rsidTr="001C2646">
        <w:trPr>
          <w:trHeight w:val="291"/>
        </w:trPr>
        <w:tc>
          <w:tcPr>
            <w:tcW w:w="1332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</w:tcPr>
          <w:p w:rsidR="00980145" w:rsidRPr="001C2646" w:rsidRDefault="00980145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Week 24</w:t>
            </w: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18/18 (100.0)</w:t>
            </w:r>
          </w:p>
        </w:tc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4/17 (23.5)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0/17 (0.0)</w:t>
            </w:r>
          </w:p>
        </w:tc>
      </w:tr>
      <w:tr w:rsidR="00980145" w:rsidRPr="001C2646" w:rsidTr="001C2646">
        <w:trPr>
          <w:trHeight w:val="291"/>
        </w:trPr>
        <w:tc>
          <w:tcPr>
            <w:tcW w:w="1332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</w:tcPr>
          <w:p w:rsidR="00980145" w:rsidRPr="001C2646" w:rsidRDefault="00980145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Week 30</w:t>
            </w: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18/18 (100.0)</w:t>
            </w:r>
          </w:p>
        </w:tc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5/18 (27.8)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0/18 (0.0)</w:t>
            </w:r>
          </w:p>
        </w:tc>
      </w:tr>
      <w:tr w:rsidR="00980145" w:rsidRPr="001C2646" w:rsidTr="001C2646">
        <w:trPr>
          <w:trHeight w:val="291"/>
        </w:trPr>
        <w:tc>
          <w:tcPr>
            <w:tcW w:w="1332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</w:tcPr>
          <w:p w:rsidR="00980145" w:rsidRPr="001C2646" w:rsidRDefault="00980145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Week 36</w:t>
            </w: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18/18 (100.0)</w:t>
            </w:r>
          </w:p>
        </w:tc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7/18 (38.9)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0/18 (0.0)</w:t>
            </w:r>
          </w:p>
        </w:tc>
      </w:tr>
      <w:tr w:rsidR="00980145" w:rsidRPr="001C2646" w:rsidTr="001C2646">
        <w:trPr>
          <w:trHeight w:val="291"/>
        </w:trPr>
        <w:tc>
          <w:tcPr>
            <w:tcW w:w="1332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</w:tcPr>
          <w:p w:rsidR="00980145" w:rsidRPr="001C2646" w:rsidRDefault="00980145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Week 48</w:t>
            </w: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18/18 (100.0)</w:t>
            </w:r>
          </w:p>
        </w:tc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5/18 (27.8)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1/18 (5.6)</w:t>
            </w:r>
          </w:p>
        </w:tc>
      </w:tr>
      <w:tr w:rsidR="00980145" w:rsidRPr="001C2646" w:rsidTr="001C2646">
        <w:trPr>
          <w:trHeight w:val="291"/>
        </w:trPr>
        <w:tc>
          <w:tcPr>
            <w:tcW w:w="1332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</w:tcPr>
          <w:p w:rsidR="00980145" w:rsidRPr="001C2646" w:rsidRDefault="00980145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Week 60</w:t>
            </w: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17/17 (100.0)</w:t>
            </w:r>
          </w:p>
        </w:tc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8/17 (47.1)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0/15 (0.0)</w:t>
            </w:r>
          </w:p>
        </w:tc>
      </w:tr>
      <w:tr w:rsidR="00980145" w:rsidRPr="001C2646" w:rsidTr="001C2646">
        <w:trPr>
          <w:trHeight w:val="291"/>
        </w:trPr>
        <w:tc>
          <w:tcPr>
            <w:tcW w:w="1332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</w:tcPr>
          <w:p w:rsidR="00980145" w:rsidRPr="001C2646" w:rsidRDefault="00980145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Week 72</w:t>
            </w: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18/18 (100.0)</w:t>
            </w:r>
          </w:p>
        </w:tc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8/18 (44.4)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1/18 (5.6)</w:t>
            </w:r>
          </w:p>
        </w:tc>
      </w:tr>
      <w:tr w:rsidR="00980145" w:rsidRPr="001C2646" w:rsidTr="001C2646">
        <w:trPr>
          <w:trHeight w:val="291"/>
        </w:trPr>
        <w:tc>
          <w:tcPr>
            <w:tcW w:w="1332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</w:tcPr>
          <w:p w:rsidR="00980145" w:rsidRPr="001C2646" w:rsidRDefault="00980145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Week 84</w:t>
            </w: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1/1 (100.0)</w:t>
            </w:r>
          </w:p>
        </w:tc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0/1 (0.0)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0/1 (0.0)</w:t>
            </w:r>
          </w:p>
        </w:tc>
      </w:tr>
      <w:tr w:rsidR="00980145" w:rsidRPr="001C2646" w:rsidTr="001C2646">
        <w:trPr>
          <w:trHeight w:val="291"/>
        </w:trPr>
        <w:tc>
          <w:tcPr>
            <w:tcW w:w="1332" w:type="dxa"/>
            <w:vMerge/>
            <w:tcBorders>
              <w:top w:val="single" w:sz="4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980145" w:rsidRPr="001C2646" w:rsidRDefault="00980145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Overall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20/20 (100.0)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9/20 (45.0)</w:t>
            </w:r>
          </w:p>
        </w:tc>
        <w:tc>
          <w:tcPr>
            <w:tcW w:w="189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2/20 (10.0)</w:t>
            </w:r>
          </w:p>
        </w:tc>
      </w:tr>
      <w:tr w:rsidR="00980145" w:rsidRPr="001C2646" w:rsidTr="001C2646">
        <w:trPr>
          <w:trHeight w:val="291"/>
        </w:trPr>
        <w:tc>
          <w:tcPr>
            <w:tcW w:w="1332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716B5E">
            <w:pPr>
              <w:pStyle w:val="TableParagraph"/>
              <w:keepNext/>
              <w:keepLines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/>
              <w:ind w:left="0"/>
              <w:jc w:val="left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MOR-100</w:t>
            </w:r>
          </w:p>
        </w:tc>
        <w:tc>
          <w:tcPr>
            <w:tcW w:w="234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Week 0</w:t>
            </w:r>
          </w:p>
        </w:tc>
        <w:tc>
          <w:tcPr>
            <w:tcW w:w="171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17/17 (100.0)</w:t>
            </w:r>
          </w:p>
        </w:tc>
        <w:tc>
          <w:tcPr>
            <w:tcW w:w="225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11/17 (64.7)</w:t>
            </w:r>
          </w:p>
        </w:tc>
        <w:tc>
          <w:tcPr>
            <w:tcW w:w="189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1/17 (5.9)</w:t>
            </w:r>
          </w:p>
        </w:tc>
      </w:tr>
      <w:tr w:rsidR="00980145" w:rsidRPr="001C2646" w:rsidTr="001C2646">
        <w:trPr>
          <w:trHeight w:val="291"/>
        </w:trPr>
        <w:tc>
          <w:tcPr>
            <w:tcW w:w="1332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80145" w:rsidRPr="001C2646" w:rsidRDefault="00980145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Week 12</w:t>
            </w: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17/17 (100.0)</w:t>
            </w:r>
          </w:p>
        </w:tc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11/17 (64.7)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1/17 (5.9)</w:t>
            </w:r>
          </w:p>
        </w:tc>
      </w:tr>
      <w:tr w:rsidR="00980145" w:rsidRPr="001C2646" w:rsidTr="001C2646">
        <w:trPr>
          <w:trHeight w:val="291"/>
        </w:trPr>
        <w:tc>
          <w:tcPr>
            <w:tcW w:w="1332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80145" w:rsidRPr="001C2646" w:rsidRDefault="00980145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Week 24</w:t>
            </w: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17/17 (100.0)</w:t>
            </w:r>
          </w:p>
        </w:tc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12/17 (70.6)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1/17 (5.9)</w:t>
            </w:r>
          </w:p>
        </w:tc>
      </w:tr>
      <w:tr w:rsidR="00980145" w:rsidRPr="001C2646" w:rsidTr="001C2646">
        <w:trPr>
          <w:trHeight w:val="291"/>
        </w:trPr>
        <w:tc>
          <w:tcPr>
            <w:tcW w:w="1332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80145" w:rsidRPr="001C2646" w:rsidRDefault="00980145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Week 36</w:t>
            </w: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17/17 (100.0)</w:t>
            </w:r>
          </w:p>
        </w:tc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15/17 (88.2)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0/17 (0.0)</w:t>
            </w:r>
          </w:p>
        </w:tc>
      </w:tr>
      <w:tr w:rsidR="00980145" w:rsidRPr="001C2646" w:rsidTr="001C2646">
        <w:trPr>
          <w:trHeight w:val="291"/>
        </w:trPr>
        <w:tc>
          <w:tcPr>
            <w:tcW w:w="1332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80145" w:rsidRPr="001C2646" w:rsidRDefault="00980145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Week 48</w:t>
            </w: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16/16 (100.0)</w:t>
            </w:r>
          </w:p>
        </w:tc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14/16 (87.5)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0/16 (0.0)</w:t>
            </w:r>
          </w:p>
        </w:tc>
      </w:tr>
      <w:tr w:rsidR="00980145" w:rsidRPr="001C2646" w:rsidTr="001C2646">
        <w:trPr>
          <w:trHeight w:val="291"/>
        </w:trPr>
        <w:tc>
          <w:tcPr>
            <w:tcW w:w="1332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80145" w:rsidRPr="001C2646" w:rsidRDefault="00980145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Week 60</w:t>
            </w: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17/17 (100.0)</w:t>
            </w:r>
          </w:p>
        </w:tc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14/17 (82.4)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0/17 (0.0)</w:t>
            </w:r>
          </w:p>
        </w:tc>
      </w:tr>
      <w:tr w:rsidR="00980145" w:rsidRPr="001C2646" w:rsidTr="001C2646">
        <w:trPr>
          <w:trHeight w:val="291"/>
        </w:trPr>
        <w:tc>
          <w:tcPr>
            <w:tcW w:w="1332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80145" w:rsidRPr="001C2646" w:rsidRDefault="00980145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Week 72</w:t>
            </w: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12/12 (100.0)</w:t>
            </w:r>
          </w:p>
        </w:tc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11/12 (91.7)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0/12 (0.0)</w:t>
            </w:r>
          </w:p>
        </w:tc>
      </w:tr>
      <w:tr w:rsidR="00980145" w:rsidRPr="001C2646" w:rsidTr="001C2646">
        <w:trPr>
          <w:trHeight w:val="291"/>
        </w:trPr>
        <w:tc>
          <w:tcPr>
            <w:tcW w:w="1332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80145" w:rsidRPr="001C2646" w:rsidRDefault="00980145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Week 84</w:t>
            </w: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15/15 (100.0)</w:t>
            </w:r>
          </w:p>
        </w:tc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14/15 (93.3)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0/15 (0.0)</w:t>
            </w:r>
          </w:p>
        </w:tc>
      </w:tr>
      <w:tr w:rsidR="00980145" w:rsidRPr="001C2646" w:rsidTr="001C2646">
        <w:trPr>
          <w:trHeight w:val="291"/>
        </w:trPr>
        <w:tc>
          <w:tcPr>
            <w:tcW w:w="1332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80145" w:rsidRPr="001C2646" w:rsidRDefault="00980145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Week 96</w:t>
            </w: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17/17 (100.0)</w:t>
            </w:r>
          </w:p>
        </w:tc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15/17 (88.2)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1/16 (6.3)</w:t>
            </w:r>
          </w:p>
        </w:tc>
      </w:tr>
      <w:tr w:rsidR="00980145" w:rsidRPr="001C2646" w:rsidTr="001C2646">
        <w:trPr>
          <w:trHeight w:val="291"/>
        </w:trPr>
        <w:tc>
          <w:tcPr>
            <w:tcW w:w="1332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80145" w:rsidRPr="001C2646" w:rsidRDefault="00980145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Week 108</w:t>
            </w: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14/14 (100.0)</w:t>
            </w:r>
          </w:p>
        </w:tc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11/14 (78.6)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0/12 (0.0)</w:t>
            </w:r>
          </w:p>
        </w:tc>
      </w:tr>
      <w:tr w:rsidR="00980145" w:rsidRPr="001C2646" w:rsidTr="001C2646">
        <w:trPr>
          <w:trHeight w:val="291"/>
        </w:trPr>
        <w:tc>
          <w:tcPr>
            <w:tcW w:w="1332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80145" w:rsidRPr="001C2646" w:rsidRDefault="00980145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Week 120</w:t>
            </w: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17/17 (100.0)</w:t>
            </w:r>
          </w:p>
        </w:tc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12/17 (70.6)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0/16 (0.0)</w:t>
            </w:r>
          </w:p>
        </w:tc>
      </w:tr>
      <w:tr w:rsidR="00980145" w:rsidRPr="001C2646" w:rsidTr="001C2646">
        <w:trPr>
          <w:trHeight w:val="291"/>
        </w:trPr>
        <w:tc>
          <w:tcPr>
            <w:tcW w:w="1332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80145" w:rsidRPr="001C2646" w:rsidRDefault="00980145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Week 132</w:t>
            </w: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15/15 (100.0)</w:t>
            </w:r>
          </w:p>
        </w:tc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10/15 (66.7)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1/15 (6.7)</w:t>
            </w:r>
          </w:p>
        </w:tc>
      </w:tr>
      <w:tr w:rsidR="00980145" w:rsidRPr="001C2646" w:rsidTr="001C2646">
        <w:trPr>
          <w:trHeight w:val="291"/>
        </w:trPr>
        <w:tc>
          <w:tcPr>
            <w:tcW w:w="1332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80145" w:rsidRPr="001C2646" w:rsidRDefault="00980145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Week 144</w:t>
            </w: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16/16 (100.0)</w:t>
            </w:r>
          </w:p>
        </w:tc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15/16 (93.8)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0/16 (0.0)</w:t>
            </w:r>
          </w:p>
        </w:tc>
      </w:tr>
      <w:tr w:rsidR="00980145" w:rsidRPr="001C2646" w:rsidTr="001C2646">
        <w:trPr>
          <w:trHeight w:val="291"/>
        </w:trPr>
        <w:tc>
          <w:tcPr>
            <w:tcW w:w="1332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80145" w:rsidRPr="001C2646" w:rsidRDefault="00980145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Week 168</w:t>
            </w: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16/16 (100.0)</w:t>
            </w:r>
          </w:p>
        </w:tc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12/16 (75.0)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0/16 (0.0)</w:t>
            </w:r>
          </w:p>
        </w:tc>
      </w:tr>
      <w:tr w:rsidR="00980145" w:rsidRPr="001C2646" w:rsidTr="001C2646">
        <w:trPr>
          <w:trHeight w:val="291"/>
        </w:trPr>
        <w:tc>
          <w:tcPr>
            <w:tcW w:w="1332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80145" w:rsidRPr="001C2646" w:rsidRDefault="00980145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Week 192</w:t>
            </w: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7/7 (100.0)</w:t>
            </w:r>
          </w:p>
        </w:tc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4/7 (57.1)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0/7 (0.0)</w:t>
            </w:r>
          </w:p>
        </w:tc>
      </w:tr>
      <w:tr w:rsidR="00980145" w:rsidRPr="001C2646" w:rsidTr="001C2646">
        <w:trPr>
          <w:trHeight w:val="291"/>
        </w:trPr>
        <w:tc>
          <w:tcPr>
            <w:tcW w:w="1332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716B5E">
            <w:pPr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Overall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17/17 (100.0)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15/16 (93.8)</w:t>
            </w:r>
          </w:p>
        </w:tc>
        <w:tc>
          <w:tcPr>
            <w:tcW w:w="1890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80145" w:rsidRPr="001C2646" w:rsidRDefault="00980145" w:rsidP="00980145">
            <w:pPr>
              <w:pStyle w:val="TableParagraph"/>
              <w:keepNext/>
              <w:keepLines/>
              <w:spacing w:before="0"/>
              <w:ind w:left="0"/>
              <w:rPr>
                <w:rFonts w:asciiTheme="minorHAnsi" w:hAnsiTheme="minorHAnsi"/>
                <w:sz w:val="20"/>
                <w:szCs w:val="22"/>
              </w:rPr>
            </w:pPr>
            <w:r w:rsidRPr="001C2646">
              <w:rPr>
                <w:rFonts w:asciiTheme="minorHAnsi" w:hAnsiTheme="minorHAnsi"/>
                <w:sz w:val="20"/>
                <w:szCs w:val="22"/>
              </w:rPr>
              <w:t>3/17 (17.7)</w:t>
            </w:r>
          </w:p>
        </w:tc>
      </w:tr>
    </w:tbl>
    <w:p w:rsidR="00980145" w:rsidRPr="001C2646" w:rsidRDefault="00980145" w:rsidP="00980145">
      <w:pPr>
        <w:pStyle w:val="BodyText"/>
        <w:widowControl w:val="0"/>
        <w:spacing w:before="4" w:after="0" w:line="240" w:lineRule="auto"/>
        <w:rPr>
          <w:rFonts w:asciiTheme="minorHAnsi" w:hAnsiTheme="minorHAnsi"/>
          <w:b/>
          <w:bCs/>
          <w:sz w:val="20"/>
        </w:rPr>
      </w:pPr>
    </w:p>
    <w:p w:rsidR="00980145" w:rsidRPr="001C2646" w:rsidRDefault="00980145" w:rsidP="00980145">
      <w:pPr>
        <w:pStyle w:val="Body"/>
        <w:spacing w:after="0" w:line="240" w:lineRule="auto"/>
        <w:rPr>
          <w:rFonts w:asciiTheme="minorHAnsi" w:hAnsiTheme="minorHAnsi"/>
          <w:sz w:val="18"/>
          <w:szCs w:val="20"/>
        </w:rPr>
      </w:pPr>
      <w:r w:rsidRPr="001C2646">
        <w:rPr>
          <w:rFonts w:asciiTheme="minorHAnsi" w:hAnsiTheme="minorHAnsi"/>
          <w:bCs/>
          <w:sz w:val="18"/>
        </w:rPr>
        <w:t xml:space="preserve">IgE, immunoglobulin E; NAb, </w:t>
      </w:r>
      <w:r w:rsidRPr="001C2646">
        <w:rPr>
          <w:rFonts w:asciiTheme="minorHAnsi" w:hAnsiTheme="minorHAnsi"/>
          <w:sz w:val="18"/>
          <w:szCs w:val="20"/>
        </w:rPr>
        <w:t>neutralizing antibodies; TAb, total antibodies.</w:t>
      </w:r>
    </w:p>
    <w:p w:rsidR="00980145" w:rsidRPr="001C2646" w:rsidRDefault="00980145" w:rsidP="00980145">
      <w:pPr>
        <w:pStyle w:val="Body"/>
        <w:spacing w:after="0" w:line="240" w:lineRule="auto"/>
        <w:rPr>
          <w:rFonts w:asciiTheme="minorHAnsi" w:hAnsiTheme="minorHAnsi"/>
          <w:sz w:val="18"/>
          <w:szCs w:val="20"/>
        </w:rPr>
      </w:pPr>
      <w:r w:rsidRPr="001C2646">
        <w:rPr>
          <w:rFonts w:asciiTheme="minorHAnsi" w:hAnsiTheme="minorHAnsi"/>
          <w:sz w:val="18"/>
          <w:szCs w:val="20"/>
          <w:vertAlign w:val="superscript"/>
        </w:rPr>
        <w:t>a</w:t>
      </w:r>
      <w:r w:rsidRPr="001C2646">
        <w:rPr>
          <w:rFonts w:asciiTheme="minorHAnsi" w:hAnsiTheme="minorHAnsi"/>
          <w:sz w:val="18"/>
          <w:szCs w:val="20"/>
        </w:rPr>
        <w:t xml:space="preserve"> TAb positivity prior to elosulfase alfa exposure may have been due to previous exposure to a similar antigen or false positives result</w:t>
      </w:r>
      <w:r w:rsidR="00F250C2">
        <w:rPr>
          <w:rFonts w:asciiTheme="minorHAnsi" w:hAnsiTheme="minorHAnsi"/>
          <w:sz w:val="18"/>
          <w:szCs w:val="20"/>
        </w:rPr>
        <w:t>ing from high assay sensitivity</w:t>
      </w:r>
      <w:bookmarkStart w:id="0" w:name="_GoBack"/>
      <w:bookmarkEnd w:id="0"/>
    </w:p>
    <w:p w:rsidR="00980145" w:rsidRPr="001C2646" w:rsidRDefault="00980145" w:rsidP="00980145">
      <w:pPr>
        <w:pStyle w:val="Body"/>
        <w:spacing w:after="0" w:line="240" w:lineRule="auto"/>
        <w:rPr>
          <w:rFonts w:asciiTheme="minorHAnsi" w:hAnsiTheme="minorHAnsi"/>
          <w:bCs/>
          <w:sz w:val="20"/>
        </w:rPr>
      </w:pPr>
    </w:p>
    <w:p w:rsidR="00980145" w:rsidRPr="001C2646" w:rsidRDefault="00980145" w:rsidP="00980145">
      <w:pPr>
        <w:rPr>
          <w:rFonts w:asciiTheme="minorHAnsi" w:hAnsiTheme="minorHAnsi"/>
          <w:sz w:val="20"/>
          <w:szCs w:val="22"/>
        </w:rPr>
      </w:pPr>
    </w:p>
    <w:p w:rsidR="00980145" w:rsidRPr="001C2646" w:rsidRDefault="00980145" w:rsidP="00980145">
      <w:pPr>
        <w:rPr>
          <w:rFonts w:asciiTheme="minorHAnsi" w:hAnsiTheme="minorHAnsi"/>
          <w:sz w:val="20"/>
          <w:szCs w:val="22"/>
        </w:rPr>
      </w:pPr>
    </w:p>
    <w:p w:rsidR="00980145" w:rsidRPr="001C2646" w:rsidRDefault="00980145" w:rsidP="00980145">
      <w:pPr>
        <w:rPr>
          <w:sz w:val="22"/>
        </w:rPr>
      </w:pPr>
    </w:p>
    <w:p w:rsidR="00785AE9" w:rsidRPr="001C2646" w:rsidRDefault="00785AE9">
      <w:pPr>
        <w:rPr>
          <w:sz w:val="22"/>
        </w:rPr>
      </w:pPr>
    </w:p>
    <w:sectPr w:rsidR="00785AE9" w:rsidRPr="001C2646" w:rsidSect="00FE5B90">
      <w:pgSz w:w="12240" w:h="15840"/>
      <w:pgMar w:top="1296" w:right="1296" w:bottom="1296" w:left="1296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12FCB" w:rsidRDefault="00112FCB" w:rsidP="00980145">
      <w:r>
        <w:separator/>
      </w:r>
    </w:p>
  </w:endnote>
  <w:endnote w:type="continuationSeparator" w:id="0">
    <w:p w:rsidR="00112FCB" w:rsidRDefault="00112FCB" w:rsidP="009801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12FCB" w:rsidRDefault="00112FCB" w:rsidP="00980145">
      <w:r>
        <w:separator/>
      </w:r>
    </w:p>
  </w:footnote>
  <w:footnote w:type="continuationSeparator" w:id="0">
    <w:p w:rsidR="00112FCB" w:rsidRDefault="00112FCB" w:rsidP="0098014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0145"/>
    <w:rsid w:val="00112FCB"/>
    <w:rsid w:val="001C2646"/>
    <w:rsid w:val="003B1EE2"/>
    <w:rsid w:val="007545A7"/>
    <w:rsid w:val="00785AE9"/>
    <w:rsid w:val="00980145"/>
    <w:rsid w:val="00AD7168"/>
    <w:rsid w:val="00F250C2"/>
    <w:rsid w:val="00FE5B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3C9BA2F-6B4A-479F-8DDD-ABA9717BBE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980145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4"/>
      <w:szCs w:val="24"/>
      <w:bdr w:val="n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80145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80145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Tahoma" w:eastAsiaTheme="minorHAnsi" w:hAnsi="Tahoma" w:cs="Tahoma"/>
      <w:sz w:val="16"/>
      <w:szCs w:val="16"/>
      <w:bdr w:val="none" w:sz="0" w:space="0" w:color="auto"/>
    </w:rPr>
  </w:style>
  <w:style w:type="character" w:customStyle="1" w:styleId="BalloonTextChar1">
    <w:name w:val="Balloon Text Char1"/>
    <w:basedOn w:val="DefaultParagraphFont"/>
    <w:uiPriority w:val="99"/>
    <w:semiHidden/>
    <w:rsid w:val="00980145"/>
    <w:rPr>
      <w:rFonts w:ascii="Segoe UI" w:eastAsia="Arial Unicode MS" w:hAnsi="Segoe UI" w:cs="Segoe UI"/>
      <w:sz w:val="18"/>
      <w:szCs w:val="18"/>
      <w:bdr w:val="nil"/>
    </w:rPr>
  </w:style>
  <w:style w:type="character" w:customStyle="1" w:styleId="BodyTextChar">
    <w:name w:val="Body Text Char"/>
    <w:basedOn w:val="DefaultParagraphFont"/>
    <w:link w:val="BodyText"/>
    <w:rsid w:val="00980145"/>
    <w:rPr>
      <w:rFonts w:ascii="Times New Roman" w:eastAsia="Arial Unicode MS" w:hAnsi="Times New Roman" w:cs="Arial Unicode MS"/>
      <w:color w:val="000000"/>
      <w:u w:color="000000"/>
      <w:bdr w:val="nil"/>
      <w:lang w:eastAsia="en-GB"/>
    </w:rPr>
  </w:style>
  <w:style w:type="paragraph" w:styleId="BodyText">
    <w:name w:val="Body Text"/>
    <w:link w:val="BodyTextChar"/>
    <w:rsid w:val="00980145"/>
    <w:pPr>
      <w:pBdr>
        <w:top w:val="nil"/>
        <w:left w:val="nil"/>
        <w:bottom w:val="nil"/>
        <w:right w:val="nil"/>
        <w:between w:val="nil"/>
        <w:bar w:val="nil"/>
      </w:pBdr>
      <w:spacing w:after="120"/>
    </w:pPr>
    <w:rPr>
      <w:rFonts w:ascii="Times New Roman" w:eastAsia="Arial Unicode MS" w:hAnsi="Times New Roman" w:cs="Arial Unicode MS"/>
      <w:color w:val="000000"/>
      <w:u w:color="000000"/>
      <w:bdr w:val="nil"/>
      <w:lang w:eastAsia="en-GB"/>
    </w:rPr>
  </w:style>
  <w:style w:type="character" w:customStyle="1" w:styleId="BodyTextChar1">
    <w:name w:val="Body Text Char1"/>
    <w:basedOn w:val="DefaultParagraphFont"/>
    <w:uiPriority w:val="99"/>
    <w:semiHidden/>
    <w:rsid w:val="00980145"/>
    <w:rPr>
      <w:rFonts w:ascii="Times New Roman" w:eastAsia="Arial Unicode MS" w:hAnsi="Times New Roman" w:cs="Times New Roman"/>
      <w:sz w:val="24"/>
      <w:szCs w:val="24"/>
      <w:bdr w:val="nil"/>
    </w:rPr>
  </w:style>
  <w:style w:type="paragraph" w:customStyle="1" w:styleId="Body">
    <w:name w:val="Body"/>
    <w:rsid w:val="00980145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Arial Unicode MS"/>
      <w:color w:val="000000"/>
      <w:u w:color="000000"/>
      <w:bdr w:val="nil"/>
      <w:lang w:eastAsia="en-GB"/>
    </w:rPr>
  </w:style>
  <w:style w:type="paragraph" w:customStyle="1" w:styleId="TableParagraph">
    <w:name w:val="Table Paragraph"/>
    <w:rsid w:val="00980145"/>
    <w:pPr>
      <w:pBdr>
        <w:top w:val="nil"/>
        <w:left w:val="nil"/>
        <w:bottom w:val="nil"/>
        <w:right w:val="nil"/>
        <w:between w:val="nil"/>
        <w:bar w:val="nil"/>
      </w:pBdr>
      <w:spacing w:before="13" w:after="0" w:line="240" w:lineRule="auto"/>
      <w:ind w:left="399"/>
      <w:jc w:val="center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98014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80145"/>
    <w:rPr>
      <w:rFonts w:ascii="Times New Roman" w:eastAsia="Arial Unicode MS" w:hAnsi="Times New Roman" w:cs="Times New Roman"/>
      <w:sz w:val="24"/>
      <w:szCs w:val="24"/>
      <w:bdr w:val="nil"/>
    </w:rPr>
  </w:style>
  <w:style w:type="paragraph" w:styleId="Footer">
    <w:name w:val="footer"/>
    <w:basedOn w:val="Normal"/>
    <w:link w:val="FooterChar"/>
    <w:uiPriority w:val="99"/>
    <w:unhideWhenUsed/>
    <w:rsid w:val="0098014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80145"/>
    <w:rPr>
      <w:rFonts w:ascii="Times New Roman" w:eastAsia="Arial Unicode MS" w:hAnsi="Times New Roman" w:cs="Times New Roman"/>
      <w:sz w:val="24"/>
      <w:szCs w:val="24"/>
      <w:bdr w:val="n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274</Words>
  <Characters>1563</Characters>
  <Application>Microsoft Office Word</Application>
  <DocSecurity>0</DocSecurity>
  <Lines>13</Lines>
  <Paragraphs>3</Paragraphs>
  <ScaleCrop>false</ScaleCrop>
  <Company>BioMarin Pharmaceutical Inc.</Company>
  <LinksUpToDate>false</LinksUpToDate>
  <CharactersWithSpaces>1834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Gillian Clague</dc:creator>
  <cp:keywords/>
  <dc:description/>
  <cp:lastModifiedBy>Gillian Clague</cp:lastModifiedBy>
  <cp:revision>4</cp:revision>
  <dcterms:created xsi:type="dcterms:W3CDTF">2018-02-22T18:29:00Z</dcterms:created>
  <dcterms:modified xsi:type="dcterms:W3CDTF">2018-02-22T18:52:00Z</dcterms:modified>
</cp:coreProperties>
</file>