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D44A7E" w14:textId="0923ADE3" w:rsidR="009A6D94" w:rsidRPr="000E70FB" w:rsidRDefault="009E2CBD">
      <w:pPr>
        <w:rPr>
          <w:rFonts w:ascii="Times New Roman" w:hAnsi="Times New Roman" w:cs="Times New Roman"/>
          <w:b/>
          <w:bCs/>
        </w:rPr>
      </w:pPr>
      <w:r w:rsidRPr="009E2CBD">
        <w:rPr>
          <w:rFonts w:ascii="Times New Roman" w:hAnsi="Times New Roman" w:cs="Times New Roman"/>
          <w:b/>
          <w:bCs/>
        </w:rPr>
        <w:t xml:space="preserve">Supplementary </w:t>
      </w:r>
      <w:r w:rsidR="009A6D94" w:rsidRPr="000E70FB">
        <w:rPr>
          <w:rFonts w:ascii="Times New Roman" w:hAnsi="Times New Roman" w:cs="Times New Roman"/>
          <w:b/>
          <w:bCs/>
        </w:rPr>
        <w:t xml:space="preserve">Table </w:t>
      </w:r>
      <w:r>
        <w:rPr>
          <w:rFonts w:ascii="Times New Roman" w:hAnsi="Times New Roman" w:cs="Times New Roman"/>
          <w:b/>
          <w:bCs/>
        </w:rPr>
        <w:t>3</w:t>
      </w:r>
      <w:r w:rsidR="005C6CF0">
        <w:rPr>
          <w:rFonts w:ascii="Times New Roman" w:hAnsi="Times New Roman" w:cs="Times New Roman"/>
          <w:b/>
          <w:bCs/>
        </w:rPr>
        <w:t>.</w:t>
      </w:r>
      <w:bookmarkStart w:id="0" w:name="_GoBack"/>
      <w:bookmarkEnd w:id="0"/>
      <w:r w:rsidR="009A6D94" w:rsidRPr="000E70FB">
        <w:rPr>
          <w:rFonts w:ascii="Times New Roman" w:hAnsi="Times New Roman" w:cs="Times New Roman"/>
          <w:b/>
          <w:bCs/>
        </w:rPr>
        <w:t xml:space="preserve"> </w:t>
      </w:r>
      <w:r w:rsidR="00A43CDD" w:rsidRPr="000E70FB">
        <w:rPr>
          <w:rFonts w:ascii="Times New Roman" w:hAnsi="Times New Roman" w:cs="Times New Roman"/>
          <w:b/>
          <w:bCs/>
        </w:rPr>
        <w:t xml:space="preserve">Objectives, participants, </w:t>
      </w:r>
      <w:r w:rsidR="0027298D" w:rsidRPr="000E70FB">
        <w:rPr>
          <w:rFonts w:ascii="Times New Roman" w:hAnsi="Times New Roman" w:cs="Times New Roman"/>
          <w:b/>
          <w:bCs/>
        </w:rPr>
        <w:t>interventions</w:t>
      </w:r>
      <w:r w:rsidR="0027298D">
        <w:rPr>
          <w:rFonts w:ascii="Times New Roman" w:hAnsi="Times New Roman" w:cs="Times New Roman"/>
          <w:b/>
          <w:bCs/>
        </w:rPr>
        <w:t xml:space="preserve"> </w:t>
      </w:r>
      <w:r w:rsidR="00A43CDD" w:rsidRPr="000E70FB">
        <w:rPr>
          <w:rFonts w:ascii="Times New Roman" w:hAnsi="Times New Roman" w:cs="Times New Roman"/>
          <w:b/>
          <w:bCs/>
        </w:rPr>
        <w:t>and r</w:t>
      </w:r>
      <w:r w:rsidR="009A6D94" w:rsidRPr="000E70FB">
        <w:rPr>
          <w:rFonts w:ascii="Times New Roman" w:hAnsi="Times New Roman" w:cs="Times New Roman"/>
          <w:b/>
          <w:bCs/>
        </w:rPr>
        <w:t xml:space="preserve">esults </w:t>
      </w:r>
      <w:r w:rsidR="00A43CDD" w:rsidRPr="000E70FB">
        <w:rPr>
          <w:rFonts w:ascii="Times New Roman" w:hAnsi="Times New Roman" w:cs="Times New Roman"/>
          <w:b/>
          <w:bCs/>
        </w:rPr>
        <w:t xml:space="preserve">of </w:t>
      </w:r>
      <w:r w:rsidR="00DA4B82" w:rsidRPr="000E70FB">
        <w:rPr>
          <w:rFonts w:ascii="Times New Roman" w:hAnsi="Times New Roman" w:cs="Times New Roman"/>
          <w:b/>
          <w:bCs/>
        </w:rPr>
        <w:t xml:space="preserve">the studies </w:t>
      </w:r>
      <w:r w:rsidR="00A43CDD" w:rsidRPr="000E70FB">
        <w:rPr>
          <w:rFonts w:ascii="Times New Roman" w:hAnsi="Times New Roman" w:cs="Times New Roman"/>
          <w:b/>
          <w:bCs/>
        </w:rPr>
        <w:t>included</w:t>
      </w:r>
      <w:r w:rsidR="009A6D94" w:rsidRPr="000E70FB">
        <w:rPr>
          <w:rFonts w:ascii="Times New Roman" w:hAnsi="Times New Roman" w:cs="Times New Roman"/>
          <w:b/>
          <w:bCs/>
        </w:rPr>
        <w:t xml:space="preserve"> </w:t>
      </w:r>
      <w:r w:rsidR="00A43CDD" w:rsidRPr="000E70FB">
        <w:rPr>
          <w:rFonts w:ascii="Times New Roman" w:hAnsi="Times New Roman" w:cs="Times New Roman"/>
          <w:b/>
          <w:bCs/>
        </w:rPr>
        <w:t xml:space="preserve">in the systematic review </w:t>
      </w:r>
    </w:p>
    <w:tbl>
      <w:tblPr>
        <w:tblStyle w:val="TableGrid1"/>
        <w:tblW w:w="5000" w:type="pct"/>
        <w:tblLayout w:type="fixed"/>
        <w:tblLook w:val="04A0" w:firstRow="1" w:lastRow="0" w:firstColumn="1" w:lastColumn="0" w:noHBand="0" w:noVBand="1"/>
      </w:tblPr>
      <w:tblGrid>
        <w:gridCol w:w="603"/>
        <w:gridCol w:w="1553"/>
        <w:gridCol w:w="2069"/>
        <w:gridCol w:w="1809"/>
        <w:gridCol w:w="1809"/>
        <w:gridCol w:w="1809"/>
        <w:gridCol w:w="4522"/>
      </w:tblGrid>
      <w:tr w:rsidR="009A6D94" w:rsidRPr="000E70FB" w14:paraId="3AF02F47" w14:textId="77777777" w:rsidTr="00F83C27">
        <w:trPr>
          <w:trHeight w:val="841"/>
          <w:tblHeader/>
        </w:trPr>
        <w:tc>
          <w:tcPr>
            <w:tcW w:w="213" w:type="pct"/>
          </w:tcPr>
          <w:p w14:paraId="09B3EDA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b/>
                <w:sz w:val="22"/>
              </w:rPr>
            </w:pPr>
            <w:r w:rsidRPr="000E70FB">
              <w:rPr>
                <w:rFonts w:ascii="Times New Roman" w:hAnsi="Times New Roman" w:cs="Times New Roman"/>
                <w:b/>
                <w:sz w:val="22"/>
              </w:rPr>
              <w:t xml:space="preserve">No. </w:t>
            </w:r>
          </w:p>
        </w:tc>
        <w:tc>
          <w:tcPr>
            <w:tcW w:w="548" w:type="pct"/>
          </w:tcPr>
          <w:p w14:paraId="582E0949" w14:textId="0481CB56" w:rsidR="009A6D94" w:rsidRPr="000E70FB" w:rsidRDefault="009A6D94" w:rsidP="00F83C27">
            <w:pPr>
              <w:rPr>
                <w:rFonts w:ascii="Times New Roman" w:hAnsi="Times New Roman" w:cs="Times New Roman"/>
                <w:b/>
                <w:sz w:val="22"/>
              </w:rPr>
            </w:pPr>
            <w:r w:rsidRPr="000E70FB">
              <w:rPr>
                <w:rFonts w:ascii="Times New Roman" w:hAnsi="Times New Roman" w:cs="Times New Roman"/>
                <w:b/>
                <w:sz w:val="22"/>
              </w:rPr>
              <w:t xml:space="preserve">Author </w:t>
            </w:r>
          </w:p>
        </w:tc>
        <w:tc>
          <w:tcPr>
            <w:tcW w:w="730" w:type="pct"/>
          </w:tcPr>
          <w:p w14:paraId="79271A4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b/>
                <w:sz w:val="22"/>
              </w:rPr>
            </w:pPr>
            <w:r w:rsidRPr="000E70FB">
              <w:rPr>
                <w:rFonts w:ascii="Times New Roman" w:hAnsi="Times New Roman" w:cs="Times New Roman"/>
                <w:b/>
                <w:sz w:val="22"/>
              </w:rPr>
              <w:t>Objective(s)</w:t>
            </w:r>
          </w:p>
        </w:tc>
        <w:tc>
          <w:tcPr>
            <w:tcW w:w="638" w:type="pct"/>
          </w:tcPr>
          <w:p w14:paraId="6C28BB3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b/>
                <w:sz w:val="22"/>
              </w:rPr>
            </w:pPr>
            <w:r w:rsidRPr="000E70FB">
              <w:rPr>
                <w:rFonts w:ascii="Times New Roman" w:hAnsi="Times New Roman" w:cs="Times New Roman"/>
                <w:b/>
                <w:sz w:val="22"/>
              </w:rPr>
              <w:t>Participants (sample size)</w:t>
            </w:r>
          </w:p>
        </w:tc>
        <w:tc>
          <w:tcPr>
            <w:tcW w:w="638" w:type="pct"/>
          </w:tcPr>
          <w:p w14:paraId="71A2EC2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b/>
                <w:sz w:val="22"/>
              </w:rPr>
            </w:pPr>
            <w:r w:rsidRPr="000E70FB">
              <w:rPr>
                <w:rFonts w:ascii="Times New Roman" w:hAnsi="Times New Roman" w:cs="Times New Roman"/>
                <w:b/>
                <w:sz w:val="22"/>
              </w:rPr>
              <w:t>Control group (sample size)</w:t>
            </w:r>
          </w:p>
        </w:tc>
        <w:tc>
          <w:tcPr>
            <w:tcW w:w="638" w:type="pct"/>
          </w:tcPr>
          <w:p w14:paraId="124A261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b/>
                <w:sz w:val="22"/>
              </w:rPr>
            </w:pPr>
            <w:r w:rsidRPr="000E70FB">
              <w:rPr>
                <w:rFonts w:ascii="Times New Roman" w:hAnsi="Times New Roman" w:cs="Times New Roman"/>
                <w:b/>
                <w:sz w:val="22"/>
              </w:rPr>
              <w:t>Intervention(s); Comparison</w:t>
            </w:r>
          </w:p>
        </w:tc>
        <w:tc>
          <w:tcPr>
            <w:tcW w:w="1595" w:type="pct"/>
          </w:tcPr>
          <w:p w14:paraId="41A390A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b/>
                <w:sz w:val="22"/>
              </w:rPr>
            </w:pPr>
            <w:r w:rsidRPr="000E70FB">
              <w:rPr>
                <w:rFonts w:ascii="Times New Roman" w:hAnsi="Times New Roman" w:cs="Times New Roman"/>
                <w:b/>
                <w:sz w:val="22"/>
              </w:rPr>
              <w:t>Results</w:t>
            </w:r>
          </w:p>
        </w:tc>
      </w:tr>
      <w:tr w:rsidR="009A6D94" w:rsidRPr="000E70FB" w14:paraId="06370014" w14:textId="77777777" w:rsidTr="00F83C27">
        <w:trPr>
          <w:trHeight w:val="416"/>
        </w:trPr>
        <w:tc>
          <w:tcPr>
            <w:tcW w:w="213" w:type="pct"/>
          </w:tcPr>
          <w:p w14:paraId="2B5298E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  <w:vertAlign w:val="subscript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1</w:t>
            </w:r>
          </w:p>
        </w:tc>
        <w:tc>
          <w:tcPr>
            <w:tcW w:w="548" w:type="pct"/>
          </w:tcPr>
          <w:p w14:paraId="1ABF9A4D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Patel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[54]</w:t>
            </w:r>
          </w:p>
        </w:tc>
        <w:tc>
          <w:tcPr>
            <w:tcW w:w="730" w:type="pct"/>
          </w:tcPr>
          <w:p w14:paraId="438F360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The association between Pentavalent rotavirus vaccine (RV5) vaccination and rotavirus diarrhoea requiring overnight admission or intravenous hydration in Nicaragua</w:t>
            </w:r>
          </w:p>
        </w:tc>
        <w:tc>
          <w:tcPr>
            <w:tcW w:w="638" w:type="pct"/>
          </w:tcPr>
          <w:p w14:paraId="6819151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Cases: Children with acute diarrhoea requiring hydration with laboratory-confirmed rotavirus (n=285), </w:t>
            </w:r>
          </w:p>
          <w:p w14:paraId="254A1B8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38" w:type="pct"/>
          </w:tcPr>
          <w:p w14:paraId="270F92B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Neighbourhood controls: children eligible to receive RV5 (n=840) </w:t>
            </w:r>
          </w:p>
          <w:p w14:paraId="1B7B590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Hospital controls: children eligible to receive RV5 (n=690)</w:t>
            </w:r>
          </w:p>
        </w:tc>
        <w:tc>
          <w:tcPr>
            <w:tcW w:w="638" w:type="pct"/>
          </w:tcPr>
          <w:p w14:paraId="6614563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RV5; None </w:t>
            </w:r>
          </w:p>
        </w:tc>
        <w:tc>
          <w:tcPr>
            <w:tcW w:w="1595" w:type="pct"/>
          </w:tcPr>
          <w:p w14:paraId="353D281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Three doses of RV5: Lower risk of rotavirus diarrhoea requiring overnight admission or intravenous hydration (OR 0.54; 95% CI 0.36, 0.82).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Of the 285 rotavirus cases, 191 (67%) were severe and 54 (19%) were very severe.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RV5 vaccinations lowered the risk of severe (OR 0.42; 95% CI 0.26, 0.70) and very severe rotavirus diarrhoea (OR 0.23; 95% CI 0.08, 0.61).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effectiveness: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Hospitalisation: 46% (95% CI 18, 64); Severe rotavirus diarrhoea: 58% (95% CI 30, 74)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Very severe rotavirus diarrhoea: 77% (95% CI 39, 92) </w:t>
            </w:r>
          </w:p>
        </w:tc>
      </w:tr>
      <w:tr w:rsidR="009A6D94" w:rsidRPr="000E70FB" w14:paraId="375A6B34" w14:textId="77777777" w:rsidTr="00F83C27">
        <w:trPr>
          <w:trHeight w:val="271"/>
        </w:trPr>
        <w:tc>
          <w:tcPr>
            <w:tcW w:w="213" w:type="pct"/>
          </w:tcPr>
          <w:p w14:paraId="070AA1F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2</w:t>
            </w:r>
          </w:p>
        </w:tc>
        <w:tc>
          <w:tcPr>
            <w:tcW w:w="548" w:type="pct"/>
          </w:tcPr>
          <w:p w14:paraId="3DF411AA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Mast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 [52]</w:t>
            </w:r>
          </w:p>
        </w:tc>
        <w:tc>
          <w:tcPr>
            <w:tcW w:w="730" w:type="pct"/>
          </w:tcPr>
          <w:p w14:paraId="5756828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To evaluate the public health impact of routine universal vaccination with RV5 in Nicaragua</w:t>
            </w:r>
          </w:p>
        </w:tc>
        <w:tc>
          <w:tcPr>
            <w:tcW w:w="638" w:type="pct"/>
          </w:tcPr>
          <w:p w14:paraId="2CDAFBE5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 younger than five who hospitalized with acute gastroenteritis (n=502) </w:t>
            </w:r>
          </w:p>
          <w:p w14:paraId="67FE3B2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Children, older than six weeks, positive for rotavirus, eligible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to have received one dose of vaccine (n=300).</w:t>
            </w:r>
          </w:p>
        </w:tc>
        <w:tc>
          <w:tcPr>
            <w:tcW w:w="638" w:type="pct"/>
          </w:tcPr>
          <w:p w14:paraId="1F306BD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Hospital controls (n=1894) Community controls (n=1685)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effectiveness: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Hospital controls (n=792)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Community controls (n=851)</w:t>
            </w:r>
          </w:p>
        </w:tc>
        <w:tc>
          <w:tcPr>
            <w:tcW w:w="638" w:type="pct"/>
          </w:tcPr>
          <w:p w14:paraId="1FA6BA3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RV5; None</w:t>
            </w:r>
          </w:p>
        </w:tc>
        <w:tc>
          <w:tcPr>
            <w:tcW w:w="1595" w:type="pct"/>
          </w:tcPr>
          <w:p w14:paraId="5A422A3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Severe rotavirus disease: 87% (95% CI 74, 93) for community controls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64% (95% CI 44, 78) for hospital controls 76% (95% CI 63, 84) when the groups were combined</w:t>
            </w:r>
          </w:p>
        </w:tc>
      </w:tr>
      <w:tr w:rsidR="009A6D94" w:rsidRPr="000E70FB" w14:paraId="380379A2" w14:textId="77777777" w:rsidTr="00F83C27">
        <w:tc>
          <w:tcPr>
            <w:tcW w:w="213" w:type="pct"/>
          </w:tcPr>
          <w:p w14:paraId="22CF80F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3</w:t>
            </w:r>
          </w:p>
        </w:tc>
        <w:tc>
          <w:tcPr>
            <w:tcW w:w="548" w:type="pct"/>
          </w:tcPr>
          <w:p w14:paraId="0D931365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Gagneur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[53] </w:t>
            </w:r>
          </w:p>
        </w:tc>
        <w:tc>
          <w:tcPr>
            <w:tcW w:w="730" w:type="pct"/>
          </w:tcPr>
          <w:p w14:paraId="5E5BBBB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Trends in hospitalizations for rotavirus diarrhoea in infants younger than 2 years old before and after implementing a rotavirus vaccination campaign in France </w:t>
            </w:r>
          </w:p>
        </w:tc>
        <w:tc>
          <w:tcPr>
            <w:tcW w:w="638" w:type="pct"/>
          </w:tcPr>
          <w:p w14:paraId="003E4EC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Infants younger than 2 years with diarrhoea: with a positive rotavirus stool specimen (n=4798, of whom 4684 received at least one dose of RV5) </w:t>
            </w:r>
          </w:p>
        </w:tc>
        <w:tc>
          <w:tcPr>
            <w:tcW w:w="638" w:type="pct"/>
          </w:tcPr>
          <w:p w14:paraId="715FF6B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Surveillance study</w:t>
            </w:r>
          </w:p>
        </w:tc>
        <w:tc>
          <w:tcPr>
            <w:tcW w:w="638" w:type="pct"/>
          </w:tcPr>
          <w:p w14:paraId="0988919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RV5; None </w:t>
            </w:r>
          </w:p>
        </w:tc>
        <w:tc>
          <w:tcPr>
            <w:tcW w:w="1595" w:type="pct"/>
          </w:tcPr>
          <w:p w14:paraId="57461E4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Hospitalizations reduced by a factor of 2.04 (1.56, 2.66) during the last epidemic season (2008/2009) Relative risk for hospitalizations for rotavirus diarrhoea dropped by 98% (95% CI 83, 100)</w:t>
            </w:r>
          </w:p>
        </w:tc>
      </w:tr>
      <w:tr w:rsidR="009A6D94" w:rsidRPr="000E70FB" w14:paraId="710E422C" w14:textId="77777777" w:rsidTr="00F83C27">
        <w:trPr>
          <w:trHeight w:val="3364"/>
        </w:trPr>
        <w:tc>
          <w:tcPr>
            <w:tcW w:w="213" w:type="pct"/>
          </w:tcPr>
          <w:p w14:paraId="785E036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4</w:t>
            </w:r>
          </w:p>
          <w:p w14:paraId="49B5988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6A954A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9223E53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1BDC8F2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18D2E11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6D127F9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9B5487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AAB3A8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5F139C3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2241DD2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3CF2AC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DA8811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46DFC3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548" w:type="pct"/>
          </w:tcPr>
          <w:p w14:paraId="1A70C8A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Staat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al.,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[55]</w:t>
            </w:r>
          </w:p>
          <w:p w14:paraId="73CE9B3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826549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1871D9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787C8D5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F30611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E0923F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FB5A38D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6505CD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0406B7C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730" w:type="pct"/>
          </w:tcPr>
          <w:p w14:paraId="10C59AD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complete and partial vaccination with the RV5 to prevent acute rotavirus gastroenteritis (AGE) hospitalizations and emergency department visits during the first 3 rotavirus seasons after vaccine introduction in the USA</w:t>
            </w:r>
          </w:p>
        </w:tc>
        <w:tc>
          <w:tcPr>
            <w:tcW w:w="638" w:type="pct"/>
          </w:tcPr>
          <w:p w14:paraId="07D14D5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 older than 52 days. </w:t>
            </w:r>
          </w:p>
          <w:p w14:paraId="039107C2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positive for rotavirus (n=184)</w:t>
            </w:r>
          </w:p>
        </w:tc>
        <w:tc>
          <w:tcPr>
            <w:tcW w:w="638" w:type="pct"/>
          </w:tcPr>
          <w:p w14:paraId="6DE3485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rotavirus-negative but with AGE (n=613)</w:t>
            </w:r>
          </w:p>
          <w:p w14:paraId="435AE12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 with Acute Respiratory Infection (ARI) (n=675) </w:t>
            </w:r>
          </w:p>
          <w:p w14:paraId="107DAF1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38" w:type="pct"/>
          </w:tcPr>
          <w:p w14:paraId="40B348E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RV5; None </w:t>
            </w:r>
          </w:p>
          <w:p w14:paraId="39013C5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F7558D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3DEB5A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21ECB24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107EF32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142F7F5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12F553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FE4BEF9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057F45C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EA5A05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3040AE9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D234B3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0E0923C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0FAF0009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595" w:type="pct"/>
          </w:tcPr>
          <w:p w14:paraId="47A1123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vs AGE controls: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 dose of RV5: 74% (95% CI 37, 90)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doses of RV5: 88% (95% CI 66, 96)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 87% (95% CI 71, 94)</w:t>
            </w:r>
          </w:p>
          <w:p w14:paraId="0944A39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br/>
              <w:t>Vaccine effectiveness vs ARI controls: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 dose RV5: 73% (95% CI 43, 88)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doses of RV5: 88% (95% CI 68, 95)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 85% (95% CI 72, 91)</w:t>
            </w:r>
          </w:p>
          <w:p w14:paraId="2945C3D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477922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2A2DF992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0CC1A0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</w:tr>
      <w:tr w:rsidR="009A6D94" w:rsidRPr="000E70FB" w14:paraId="3309D2E0" w14:textId="77777777" w:rsidTr="00F83C27">
        <w:tc>
          <w:tcPr>
            <w:tcW w:w="213" w:type="pct"/>
          </w:tcPr>
          <w:p w14:paraId="4B0D797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5</w:t>
            </w:r>
          </w:p>
        </w:tc>
        <w:tc>
          <w:tcPr>
            <w:tcW w:w="548" w:type="pct"/>
          </w:tcPr>
          <w:p w14:paraId="5EF977D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Vesikari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>[50]</w:t>
            </w:r>
          </w:p>
        </w:tc>
        <w:tc>
          <w:tcPr>
            <w:tcW w:w="730" w:type="pct"/>
          </w:tcPr>
          <w:p w14:paraId="2378248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To establish the influence of RV5 vaccination and genotype on AGE cases requiring hospitalization in children from Finland</w:t>
            </w:r>
          </w:p>
        </w:tc>
        <w:tc>
          <w:tcPr>
            <w:tcW w:w="638" w:type="pct"/>
          </w:tcPr>
          <w:p w14:paraId="66E9AE57" w14:textId="77777777" w:rsidR="009E6727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younger than 16 admitted for AGE</w:t>
            </w:r>
          </w:p>
          <w:p w14:paraId="7D2C3489" w14:textId="317B7A93" w:rsidR="009A6D94" w:rsidRDefault="009E6727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R</w:t>
            </w:r>
            <w:r w:rsidR="009A6D94" w:rsidRPr="000E70FB">
              <w:rPr>
                <w:rFonts w:ascii="Times New Roman" w:hAnsi="Times New Roman" w:cs="Times New Roman"/>
                <w:sz w:val="22"/>
              </w:rPr>
              <w:t>otavirus positive (n=127)</w:t>
            </w:r>
          </w:p>
          <w:p w14:paraId="531D9D84" w14:textId="6EC52A56" w:rsidR="005C2B17" w:rsidRPr="000E70FB" w:rsidRDefault="005C2B17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Cases</w:t>
            </w:r>
            <w:r w:rsidR="009E6727">
              <w:rPr>
                <w:rFonts w:ascii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hAnsi="Times New Roman" w:cs="Times New Roman"/>
                <w:sz w:val="22"/>
              </w:rPr>
              <w:t>vaccine effectiveness analysis (n=7)</w:t>
            </w:r>
          </w:p>
        </w:tc>
        <w:tc>
          <w:tcPr>
            <w:tcW w:w="638" w:type="pct"/>
          </w:tcPr>
          <w:p w14:paraId="3230A852" w14:textId="7FB95C2E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admitted for AGE but rotavirus negative (n=</w:t>
            </w:r>
            <w:r w:rsidR="005C2B17">
              <w:rPr>
                <w:rFonts w:ascii="Times New Roman" w:hAnsi="Times New Roman" w:cs="Times New Roman"/>
                <w:sz w:val="22"/>
              </w:rPr>
              <w:t>73</w:t>
            </w:r>
            <w:r w:rsidRPr="000E70FB">
              <w:rPr>
                <w:rFonts w:ascii="Times New Roman" w:hAnsi="Times New Roman" w:cs="Times New Roman"/>
                <w:sz w:val="22"/>
              </w:rPr>
              <w:t>)</w:t>
            </w:r>
          </w:p>
        </w:tc>
        <w:tc>
          <w:tcPr>
            <w:tcW w:w="638" w:type="pct"/>
          </w:tcPr>
          <w:p w14:paraId="0FB623B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RV5; None </w:t>
            </w:r>
          </w:p>
        </w:tc>
        <w:tc>
          <w:tcPr>
            <w:tcW w:w="1595" w:type="pct"/>
          </w:tcPr>
          <w:p w14:paraId="5983DED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effectiveness: 3 doses of RV5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Hospitalization: 92.1% (95% CI 50, 98.7). Hospitalizations for rotavirus AGE decreased by 78% in the post-vaccination period (2009–2012) compared to the pre-vaccination (2001–2006) period. Most cases occurred in children under 5 years</w:t>
            </w:r>
          </w:p>
        </w:tc>
      </w:tr>
      <w:tr w:rsidR="009A6D94" w:rsidRPr="000E70FB" w14:paraId="7D1A2838" w14:textId="77777777" w:rsidTr="00F83C27">
        <w:tc>
          <w:tcPr>
            <w:tcW w:w="213" w:type="pct"/>
          </w:tcPr>
          <w:p w14:paraId="1AEBA84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6</w:t>
            </w:r>
          </w:p>
        </w:tc>
        <w:tc>
          <w:tcPr>
            <w:tcW w:w="548" w:type="pct"/>
          </w:tcPr>
          <w:p w14:paraId="5DA2870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Roué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[56]</w:t>
            </w:r>
          </w:p>
        </w:tc>
        <w:tc>
          <w:tcPr>
            <w:tcW w:w="730" w:type="pct"/>
          </w:tcPr>
          <w:p w14:paraId="3F22E0F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To establish the influence of RV5 vaccination on AGE requiring hospitalization in preterm infants enrolled in the IVANHOE study and to establish vaccine coverage and safety in this population in France </w:t>
            </w:r>
          </w:p>
        </w:tc>
        <w:tc>
          <w:tcPr>
            <w:tcW w:w="638" w:type="pct"/>
          </w:tcPr>
          <w:p w14:paraId="381D8A9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younger than 3 years old, born prematurely (before 37 weeks) (n=217)</w:t>
            </w:r>
          </w:p>
        </w:tc>
        <w:tc>
          <w:tcPr>
            <w:tcW w:w="638" w:type="pct"/>
          </w:tcPr>
          <w:p w14:paraId="605AD6C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Cohort study</w:t>
            </w:r>
          </w:p>
        </w:tc>
        <w:tc>
          <w:tcPr>
            <w:tcW w:w="638" w:type="pct"/>
          </w:tcPr>
          <w:p w14:paraId="17EDE61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RV5; None </w:t>
            </w:r>
          </w:p>
        </w:tc>
        <w:tc>
          <w:tcPr>
            <w:tcW w:w="1595" w:type="pct"/>
          </w:tcPr>
          <w:p w14:paraId="1CA18FE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Of the 217 infants, 41.9% received all three doses of the RV5 vaccine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Vaccine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safety in premature infants is the same as for term infants.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In the vaccinated group, hospitalisations reduced by a factor of 2.6 (95% CI 1.3, 5.2) during the first two epidemic seasons following vaccine introduction and by a factor of 11 (95% CI 3.5, 34.8) during the third season</w:t>
            </w:r>
          </w:p>
        </w:tc>
      </w:tr>
      <w:tr w:rsidR="009A6D94" w:rsidRPr="000E70FB" w14:paraId="446ABC38" w14:textId="77777777" w:rsidTr="00F83C27">
        <w:tc>
          <w:tcPr>
            <w:tcW w:w="213" w:type="pct"/>
          </w:tcPr>
          <w:p w14:paraId="6F85D8F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7</w:t>
            </w:r>
          </w:p>
        </w:tc>
        <w:tc>
          <w:tcPr>
            <w:tcW w:w="548" w:type="pct"/>
          </w:tcPr>
          <w:p w14:paraId="7CE24A6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Leshem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>[51]</w:t>
            </w:r>
          </w:p>
        </w:tc>
        <w:tc>
          <w:tcPr>
            <w:tcW w:w="730" w:type="pct"/>
          </w:tcPr>
          <w:p w14:paraId="104E6D2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RV5 vaccination in preventing rotavirus-associated Emergency Department (ED)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visits and hospitalizations. To describe age, dose, ethnicity, and strain-specific vaccine effectiveness in Israel</w:t>
            </w:r>
          </w:p>
        </w:tc>
        <w:tc>
          <w:tcPr>
            <w:tcW w:w="638" w:type="pct"/>
          </w:tcPr>
          <w:p w14:paraId="2BBE292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Surveillance study: children younger than five years old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Vaccine effectiveness: children older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than six months Cases: children hospitalized or visiting the ED with AGE and rotavirus positive (n=185)</w:t>
            </w:r>
          </w:p>
        </w:tc>
        <w:tc>
          <w:tcPr>
            <w:tcW w:w="638" w:type="pct"/>
          </w:tcPr>
          <w:p w14:paraId="393D17D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Children admitted for AGE but rotavirus negative (n=330)</w:t>
            </w:r>
          </w:p>
        </w:tc>
        <w:tc>
          <w:tcPr>
            <w:tcW w:w="638" w:type="pct"/>
          </w:tcPr>
          <w:p w14:paraId="77C8F4D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RV5; None </w:t>
            </w:r>
          </w:p>
        </w:tc>
        <w:tc>
          <w:tcPr>
            <w:tcW w:w="1595" w:type="pct"/>
          </w:tcPr>
          <w:p w14:paraId="7366A6F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 63% (95% CI 38, 78)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6-11 months: 64% (95% CI 21, 84)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12-23 months: 71% (95% CI 39, 86) Hospitalization: 59% (95% CI 23,78)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ED visit: 67% (95% CI 11, 88)</w:t>
            </w:r>
          </w:p>
          <w:p w14:paraId="4421168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</w:tr>
      <w:tr w:rsidR="009A6D94" w:rsidRPr="000E70FB" w14:paraId="7760E384" w14:textId="77777777" w:rsidTr="00F83C27">
        <w:trPr>
          <w:trHeight w:val="557"/>
        </w:trPr>
        <w:tc>
          <w:tcPr>
            <w:tcW w:w="213" w:type="pct"/>
          </w:tcPr>
          <w:p w14:paraId="4DC3957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8</w:t>
            </w:r>
          </w:p>
        </w:tc>
        <w:tc>
          <w:tcPr>
            <w:tcW w:w="548" w:type="pct"/>
          </w:tcPr>
          <w:p w14:paraId="634B0B3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Muhsen</w:t>
            </w:r>
            <w:proofErr w:type="spellEnd"/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 et al. </w:t>
            </w:r>
            <w:r w:rsidRPr="000E70FB">
              <w:rPr>
                <w:rFonts w:ascii="Times New Roman" w:hAnsi="Times New Roman" w:cs="Times New Roman"/>
                <w:sz w:val="22"/>
              </w:rPr>
              <w:t>[48]</w:t>
            </w:r>
          </w:p>
        </w:tc>
        <w:tc>
          <w:tcPr>
            <w:tcW w:w="730" w:type="pct"/>
          </w:tcPr>
          <w:p w14:paraId="50FA344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Effectiveness of the RV5 universal vaccination programme in preventing rotavirus AGE hospitalization between 2011 and 2015 in Israel, a high-income country</w:t>
            </w:r>
          </w:p>
        </w:tc>
        <w:tc>
          <w:tcPr>
            <w:tcW w:w="638" w:type="pct"/>
          </w:tcPr>
          <w:p w14:paraId="29B3F52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 (0 to 59 months) hospitalized due to diarrhoea. Cases: children at least 2 months of age and rotavirus positive (n=98) </w:t>
            </w:r>
          </w:p>
        </w:tc>
        <w:tc>
          <w:tcPr>
            <w:tcW w:w="638" w:type="pct"/>
          </w:tcPr>
          <w:p w14:paraId="77D010C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admitted for AGE but rotavirus negative (n=628)</w:t>
            </w:r>
          </w:p>
        </w:tc>
        <w:tc>
          <w:tcPr>
            <w:tcW w:w="638" w:type="pct"/>
          </w:tcPr>
          <w:p w14:paraId="0420DD6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RV5; None </w:t>
            </w:r>
          </w:p>
        </w:tc>
        <w:tc>
          <w:tcPr>
            <w:tcW w:w="1595" w:type="pct"/>
          </w:tcPr>
          <w:p w14:paraId="7BDA0E3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6-59 months: 77% (95% CI 49, 90)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6-23 months: 86% (95% CI 65, 94) Incomplete schedule: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6-59 months: 72% (95% CI 28, 89)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6-23 months: 75% (95% CI 30, 91)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Genotypes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G1P [8]:79% (95% CI 45,92)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RVGE: 69% (95% CI 11,89) </w:t>
            </w:r>
          </w:p>
        </w:tc>
      </w:tr>
      <w:tr w:rsidR="009A6D94" w:rsidRPr="000E70FB" w14:paraId="5486001F" w14:textId="77777777" w:rsidTr="00F83C27">
        <w:tc>
          <w:tcPr>
            <w:tcW w:w="213" w:type="pct"/>
          </w:tcPr>
          <w:p w14:paraId="5B05495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9</w:t>
            </w:r>
          </w:p>
        </w:tc>
        <w:tc>
          <w:tcPr>
            <w:tcW w:w="548" w:type="pct"/>
          </w:tcPr>
          <w:p w14:paraId="74DBA1B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Bonkoungou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[49]</w:t>
            </w:r>
          </w:p>
        </w:tc>
        <w:tc>
          <w:tcPr>
            <w:tcW w:w="730" w:type="pct"/>
          </w:tcPr>
          <w:p w14:paraId="28D6CC4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Effectiveness of the RV5 vaccine in Burkina Faso</w:t>
            </w:r>
          </w:p>
        </w:tc>
        <w:tc>
          <w:tcPr>
            <w:tcW w:w="638" w:type="pct"/>
          </w:tcPr>
          <w:p w14:paraId="5367BCF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younger than 5 (n=1043) Cases: children at least 6 months old, eligible to have received rotavirus vaccine, rotavirus positive (n=227)</w:t>
            </w:r>
          </w:p>
        </w:tc>
        <w:tc>
          <w:tcPr>
            <w:tcW w:w="638" w:type="pct"/>
          </w:tcPr>
          <w:p w14:paraId="4DCA707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Same age as cases and rotavirus negative (n=761) </w:t>
            </w:r>
          </w:p>
        </w:tc>
        <w:tc>
          <w:tcPr>
            <w:tcW w:w="638" w:type="pct"/>
          </w:tcPr>
          <w:p w14:paraId="6A4A037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RV5; None</w:t>
            </w:r>
          </w:p>
        </w:tc>
        <w:tc>
          <w:tcPr>
            <w:tcW w:w="1595" w:type="pct"/>
          </w:tcPr>
          <w:p w14:paraId="3473AB7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Reduced hospital admissions positive for rotavirus: 2014: 36% (154/422), 2015: 22% (71/323), 2016: 20% (61/298)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Reduced hospital admissions of infants with rotavirus 2014: 38% (94/250), 2015: 21% (32/153), 2016: 17% (26/149)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effectiveness: 3 doses of RV5: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Age: 6-11months: 58% (95% CI 10, 81) Older than 12 months: 19% (95% CI 78, 63)</w:t>
            </w:r>
          </w:p>
        </w:tc>
      </w:tr>
      <w:tr w:rsidR="009A6D94" w:rsidRPr="000E70FB" w14:paraId="60BD0E90" w14:textId="77777777" w:rsidTr="00F83C27">
        <w:trPr>
          <w:trHeight w:val="2681"/>
        </w:trPr>
        <w:tc>
          <w:tcPr>
            <w:tcW w:w="213" w:type="pct"/>
          </w:tcPr>
          <w:p w14:paraId="33BF83D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10</w:t>
            </w:r>
          </w:p>
        </w:tc>
        <w:tc>
          <w:tcPr>
            <w:tcW w:w="548" w:type="pct"/>
          </w:tcPr>
          <w:p w14:paraId="5530F1F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Li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[72]</w:t>
            </w:r>
          </w:p>
        </w:tc>
        <w:tc>
          <w:tcPr>
            <w:tcW w:w="730" w:type="pct"/>
          </w:tcPr>
          <w:p w14:paraId="51BF996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the Lamb Rotavirus (LLR) vaccine to prevent laboratory-confirmed gastroenteritis in children 2–59 months of age in China </w:t>
            </w:r>
          </w:p>
        </w:tc>
        <w:tc>
          <w:tcPr>
            <w:tcW w:w="638" w:type="pct"/>
          </w:tcPr>
          <w:p w14:paraId="3E6CC3E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2 to 59 months old Cases: rotavirus positive (n=598)</w:t>
            </w:r>
          </w:p>
        </w:tc>
        <w:tc>
          <w:tcPr>
            <w:tcW w:w="638" w:type="pct"/>
          </w:tcPr>
          <w:p w14:paraId="6DA3892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Same aged children: rotavirus negative (n=1766)</w:t>
            </w:r>
          </w:p>
        </w:tc>
        <w:tc>
          <w:tcPr>
            <w:tcW w:w="638" w:type="pct"/>
          </w:tcPr>
          <w:p w14:paraId="35D22F2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LLR vaccine; None</w:t>
            </w:r>
          </w:p>
        </w:tc>
        <w:tc>
          <w:tcPr>
            <w:tcW w:w="1595" w:type="pct"/>
          </w:tcPr>
          <w:p w14:paraId="5B68DB9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effectiveness: 1 dose of LLR vs. no vaccine: 34.9% (95% CI 5.3, 55.3) Severe gastroenteritis: 87.7% (95% CI 32.7, 97.8)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Age: 2-35 months: 36.2% (95% CI 4.7, 57.3) Genotype G9: 40.8% (95% CI 7.8, 61.9)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Compared to unvaccinated children, vaccinated children were less likely to have watery stool (OR = 0.42) and have diarrhoea longer than 5 days (OR = 0.47)</w:t>
            </w:r>
          </w:p>
        </w:tc>
      </w:tr>
      <w:tr w:rsidR="009A6D94" w:rsidRPr="000E70FB" w14:paraId="726DC195" w14:textId="77777777" w:rsidTr="00F83C27">
        <w:trPr>
          <w:trHeight w:val="4427"/>
        </w:trPr>
        <w:tc>
          <w:tcPr>
            <w:tcW w:w="213" w:type="pct"/>
          </w:tcPr>
          <w:p w14:paraId="4FE49AE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11</w:t>
            </w:r>
          </w:p>
        </w:tc>
        <w:tc>
          <w:tcPr>
            <w:tcW w:w="548" w:type="pct"/>
          </w:tcPr>
          <w:p w14:paraId="10187687" w14:textId="77777777" w:rsidR="009A6D94" w:rsidRPr="000E70FB" w:rsidRDefault="009A6D94" w:rsidP="00F83C27">
            <w:pPr>
              <w:tabs>
                <w:tab w:val="left" w:pos="1057"/>
              </w:tabs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Fu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[73]</w:t>
            </w:r>
          </w:p>
        </w:tc>
        <w:tc>
          <w:tcPr>
            <w:tcW w:w="730" w:type="pct"/>
          </w:tcPr>
          <w:p w14:paraId="1587D94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Effectiveness of the LLR prevent rotavirus gastroenteritis in children 2–35 months of age</w:t>
            </w:r>
          </w:p>
        </w:tc>
        <w:tc>
          <w:tcPr>
            <w:tcW w:w="638" w:type="pct"/>
          </w:tcPr>
          <w:p w14:paraId="17A6860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2–35 months old with watery vomiting and watery diarrhoea. Cases: rotavirus positive (n=3130)</w:t>
            </w:r>
          </w:p>
          <w:p w14:paraId="6A6FA3B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38" w:type="pct"/>
          </w:tcPr>
          <w:p w14:paraId="57E864A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Randomly selected children aged 2–35 months without gastroenteritis (n=3607)</w:t>
            </w:r>
          </w:p>
        </w:tc>
        <w:tc>
          <w:tcPr>
            <w:tcW w:w="638" w:type="pct"/>
          </w:tcPr>
          <w:p w14:paraId="096ACF03" w14:textId="77777777" w:rsidR="009A6D94" w:rsidRPr="000E70FB" w:rsidRDefault="009A6D94" w:rsidP="00F83C27">
            <w:pPr>
              <w:tabs>
                <w:tab w:val="left" w:pos="1374"/>
              </w:tabs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LLR vaccine; None </w:t>
            </w:r>
          </w:p>
          <w:p w14:paraId="6194663A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1522AB7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6E19D43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6FF035B2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6D48F282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228C676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F66BB5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595" w:type="pct"/>
          </w:tcPr>
          <w:p w14:paraId="232E0745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effectiveness: 1 dose of LLR: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Age:9–11 months old: 44.3% (95% CI 28.4, 56.7)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12-17 months old: 52.8% (95% CI 40.8, 62.3)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18-35 months old: 51.8% (95% CI 11.6, 73.8) </w:t>
            </w:r>
          </w:p>
          <w:p w14:paraId="37D9B5E9" w14:textId="77777777" w:rsidR="009A6D94" w:rsidRPr="000E70FB" w:rsidRDefault="009A6D94" w:rsidP="00F83C27">
            <w:pPr>
              <w:tabs>
                <w:tab w:val="left" w:pos="1551"/>
              </w:tabs>
              <w:rPr>
                <w:rFonts w:ascii="Times New Roman" w:hAnsi="Times New Roman" w:cs="Times New Roman"/>
                <w:sz w:val="22"/>
              </w:rPr>
            </w:pPr>
          </w:p>
          <w:p w14:paraId="36248F4D" w14:textId="77777777" w:rsidR="009A6D94" w:rsidRPr="000E70FB" w:rsidRDefault="009A6D94" w:rsidP="00F83C27">
            <w:pPr>
              <w:tabs>
                <w:tab w:val="left" w:pos="2680"/>
              </w:tabs>
              <w:rPr>
                <w:rFonts w:ascii="Times New Roman" w:hAnsi="Times New Roman" w:cs="Times New Roman"/>
                <w:sz w:val="22"/>
              </w:rPr>
            </w:pPr>
          </w:p>
          <w:p w14:paraId="339A46C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09A16E9" w14:textId="77777777" w:rsidR="009A6D94" w:rsidRPr="000E70FB" w:rsidRDefault="009A6D94" w:rsidP="00F83C27">
            <w:pPr>
              <w:tabs>
                <w:tab w:val="left" w:pos="3356"/>
              </w:tabs>
              <w:rPr>
                <w:rFonts w:ascii="Times New Roman" w:hAnsi="Times New Roman" w:cs="Times New Roman"/>
                <w:sz w:val="22"/>
              </w:rPr>
            </w:pPr>
          </w:p>
        </w:tc>
      </w:tr>
      <w:tr w:rsidR="009A6D94" w:rsidRPr="000E70FB" w14:paraId="311D0C98" w14:textId="77777777" w:rsidTr="00F83C27">
        <w:trPr>
          <w:trHeight w:val="3957"/>
        </w:trPr>
        <w:tc>
          <w:tcPr>
            <w:tcW w:w="213" w:type="pct"/>
          </w:tcPr>
          <w:p w14:paraId="77A8624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2</w:t>
            </w:r>
          </w:p>
          <w:p w14:paraId="11CED5B3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6E8E56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6FB5952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2427F939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2C90C385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8A9878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2AC21BF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3B6BFB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4E5E783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2EF5532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2A4396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213A0C6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AFA1D3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83E918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1360DE4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063B15B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548" w:type="pct"/>
          </w:tcPr>
          <w:p w14:paraId="23BDE15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Desai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>[65]</w:t>
            </w:r>
          </w:p>
          <w:p w14:paraId="467B36E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FF60365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1BED44D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876850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5DB569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A956C9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172D9C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E1A99AA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1D85E2D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45BB13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CAA486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6BA92EF9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47BFB32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360870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1928030A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2F0949A9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730" w:type="pct"/>
          </w:tcPr>
          <w:p w14:paraId="125BA69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Effectiveness of rotavirus vaccines in preventing hospitalization due to rotavirus in children 8 weeks to 3 years of age</w:t>
            </w:r>
          </w:p>
        </w:tc>
        <w:tc>
          <w:tcPr>
            <w:tcW w:w="638" w:type="pct"/>
          </w:tcPr>
          <w:p w14:paraId="6113ED83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8 weeks to 3 years old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children hospitalised for AGE, rotavirus positive (n=42)</w:t>
            </w:r>
          </w:p>
          <w:p w14:paraId="548BACE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0D760759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04048F7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3E01840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B33D82A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6EF89D3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2B5597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12372E4A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69F7757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5634DD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DAE46F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38" w:type="pct"/>
          </w:tcPr>
          <w:p w14:paraId="01E5300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Controls: age matched; rotavirus negative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Hospital controls (n=80) Community controls (n=73) </w:t>
            </w:r>
          </w:p>
          <w:p w14:paraId="506F214D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25D74BF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665491D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556B9F6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1CCEF209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4A27FEEA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  <w:p w14:paraId="7B6B20F5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38" w:type="pct"/>
          </w:tcPr>
          <w:p w14:paraId="57DC61E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 &amp; RV5; None </w:t>
            </w:r>
          </w:p>
        </w:tc>
        <w:tc>
          <w:tcPr>
            <w:tcW w:w="1595" w:type="pct"/>
          </w:tcPr>
          <w:p w14:paraId="3CA56B9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  <w:highlight w:val="yellow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At least 1 dose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 vs. hospitalized controls: 94.3% (95% CI 55.4, 99.3; p=0.006)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 vs. community controls: 96.9% (59.4, 99.8; p=0.008)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Partial vaccination: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 vs. hospitalized controls: 93.2% (41.4, 99.2)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 vs. community controls: 93.8% (23, 99.5)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Full vaccination: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 vs. hospitalized controls: 96.3% (28.9, 99.8)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 vs. community controls 99.1% (78.1, 99.9)</w:t>
            </w:r>
          </w:p>
        </w:tc>
      </w:tr>
      <w:tr w:rsidR="009A6D94" w:rsidRPr="000E70FB" w14:paraId="73F0C49B" w14:textId="77777777" w:rsidTr="00F83C27">
        <w:tc>
          <w:tcPr>
            <w:tcW w:w="213" w:type="pct"/>
          </w:tcPr>
          <w:p w14:paraId="4278F86A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13</w:t>
            </w:r>
          </w:p>
        </w:tc>
        <w:tc>
          <w:tcPr>
            <w:tcW w:w="548" w:type="pct"/>
          </w:tcPr>
          <w:p w14:paraId="35DEC22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Raes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[70]</w:t>
            </w:r>
          </w:p>
        </w:tc>
        <w:tc>
          <w:tcPr>
            <w:tcW w:w="730" w:type="pct"/>
          </w:tcPr>
          <w:p w14:paraId="3DCAAB6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Effect of rotavirus vaccines on rotavirus-hospitalizations in children younger than 5 years old before and after the introduction of generalized vaccination in Belgium</w:t>
            </w:r>
          </w:p>
        </w:tc>
        <w:tc>
          <w:tcPr>
            <w:tcW w:w="638" w:type="pct"/>
          </w:tcPr>
          <w:p w14:paraId="231F785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 less than or equal to 5 years old, hospitalised, rotavirus positive </w:t>
            </w:r>
          </w:p>
          <w:p w14:paraId="0957C812" w14:textId="77777777" w:rsidR="009A6D94" w:rsidRPr="000E70FB" w:rsidRDefault="009A6D94" w:rsidP="00F83C2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  <w:lang w:val="en-US"/>
              </w:rPr>
              <w:t xml:space="preserve">In </w:t>
            </w:r>
            <w:r w:rsidRPr="000E70FB">
              <w:rPr>
                <w:rFonts w:ascii="Times New Roman" w:hAnsi="Times New Roman" w:cs="Times New Roman"/>
                <w:sz w:val="22"/>
              </w:rPr>
              <w:t>Pre</w:t>
            </w:r>
            <w:r w:rsidRPr="000E70FB">
              <w:rPr>
                <w:rFonts w:ascii="Times New Roman" w:hAnsi="Times New Roman" w:cs="Times New Roman"/>
                <w:sz w:val="22"/>
                <w:lang w:val="en-US"/>
              </w:rPr>
              <w:t>-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vaccination (June 2004–May 2006) and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postvaccination</w:t>
            </w:r>
            <w:proofErr w:type="spellEnd"/>
          </w:p>
          <w:p w14:paraId="07A30BB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(June 2007–May 2009) periods</w:t>
            </w:r>
          </w:p>
          <w:p w14:paraId="1504652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 </w:t>
            </w:r>
          </w:p>
        </w:tc>
        <w:tc>
          <w:tcPr>
            <w:tcW w:w="638" w:type="pct"/>
          </w:tcPr>
          <w:p w14:paraId="64A8AF6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None</w:t>
            </w:r>
          </w:p>
        </w:tc>
        <w:tc>
          <w:tcPr>
            <w:tcW w:w="638" w:type="pct"/>
          </w:tcPr>
          <w:p w14:paraId="365DEB6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 &amp; RV5; None </w:t>
            </w:r>
          </w:p>
        </w:tc>
        <w:tc>
          <w:tcPr>
            <w:tcW w:w="1595" w:type="pct"/>
          </w:tcPr>
          <w:p w14:paraId="4C1C478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Rotavirus hospitalizations declined among children 2 to 24 months from 716 (pre-vaccine) to 249 (post-vaccine).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Hospitalizations declined by 65% (95% CI 62, 69) in the first year. Hospitalizations further decreased by 140 (80%, 95% CI 77, 83) in the second year post vaccination.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Younger than 2 months: 1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st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 year post-vaccine: hospitalizations declined by 50% (95% CI 36, 64)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nd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post-vaccine: hospitalizations declined by 64% (95% CI 49, 76)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Older than 24 months: 1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st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post-vaccine: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hospitalizations declined by 20% (95% CI 14, 28)  2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nd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post-vaccine: hospitalizations declined by 64% (95% CI 56, 72)</w:t>
            </w:r>
          </w:p>
        </w:tc>
      </w:tr>
      <w:tr w:rsidR="009A6D94" w:rsidRPr="000E70FB" w14:paraId="6379465C" w14:textId="77777777" w:rsidTr="00F83C27">
        <w:trPr>
          <w:trHeight w:val="700"/>
        </w:trPr>
        <w:tc>
          <w:tcPr>
            <w:tcW w:w="213" w:type="pct"/>
          </w:tcPr>
          <w:p w14:paraId="76B361D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14</w:t>
            </w:r>
          </w:p>
        </w:tc>
        <w:tc>
          <w:tcPr>
            <w:tcW w:w="548" w:type="pct"/>
          </w:tcPr>
          <w:p w14:paraId="5ABD9F4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Castilla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>[64]</w:t>
            </w:r>
          </w:p>
        </w:tc>
        <w:tc>
          <w:tcPr>
            <w:tcW w:w="730" w:type="pct"/>
          </w:tcPr>
          <w:p w14:paraId="3793E10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Effectiveness of rotavirus vaccination in children 3–59 months old in preventing rotavirus AGE and hospital admissions </w:t>
            </w:r>
          </w:p>
        </w:tc>
        <w:tc>
          <w:tcPr>
            <w:tcW w:w="638" w:type="pct"/>
          </w:tcPr>
          <w:p w14:paraId="3F2C7D8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3–59 months seeking medical care for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(n=756) </w:t>
            </w:r>
          </w:p>
        </w:tc>
        <w:tc>
          <w:tcPr>
            <w:tcW w:w="638" w:type="pct"/>
          </w:tcPr>
          <w:p w14:paraId="28D9199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seeking medical care for AGE but rotavirus negative (n=6036)</w:t>
            </w:r>
          </w:p>
        </w:tc>
        <w:tc>
          <w:tcPr>
            <w:tcW w:w="638" w:type="pct"/>
          </w:tcPr>
          <w:p w14:paraId="2BB74C0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 &amp; RV2; None</w:t>
            </w:r>
          </w:p>
        </w:tc>
        <w:tc>
          <w:tcPr>
            <w:tcW w:w="1595" w:type="pct"/>
          </w:tcPr>
          <w:p w14:paraId="31ECC61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At least one dose: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3-59 months: 78% (95% CI 70, 84)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RV1: 76% (95% CI, 63, 85)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RV5: 80% (95% CI 69, 87)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Complete vaccination vs. not vaccinated: 78% (95% CI 68, 85)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doses of RV1: 75% (95% CI 60, 85)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 81% (95% CI 68, 89)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&gt;24 months: 61%; 95% CI 0, 84)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Age &lt;24 months: 80%; 95% CI 70, 86). Preventing hospitalizations: 83% (95% CI 65, 93) Preventing outpatient cases: 75% (95% CI: 62, 83) </w:t>
            </w:r>
          </w:p>
        </w:tc>
      </w:tr>
      <w:tr w:rsidR="009A6D94" w:rsidRPr="000E70FB" w14:paraId="402AA630" w14:textId="77777777" w:rsidTr="00F83C27">
        <w:tc>
          <w:tcPr>
            <w:tcW w:w="213" w:type="pct"/>
          </w:tcPr>
          <w:p w14:paraId="3E8D32F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15</w:t>
            </w:r>
          </w:p>
        </w:tc>
        <w:tc>
          <w:tcPr>
            <w:tcW w:w="548" w:type="pct"/>
          </w:tcPr>
          <w:p w14:paraId="49E98ED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Payne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[63]</w:t>
            </w:r>
          </w:p>
        </w:tc>
        <w:tc>
          <w:tcPr>
            <w:tcW w:w="730" w:type="pct"/>
          </w:tcPr>
          <w:p w14:paraId="2018B44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To assess RV5 and RV1 vaccine effectiveness in preventing rotavirus AGE hospitalization and emergency department (ED) visits among US children &lt;5 years of age over 2 consecutive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rotavirus seasons in USA</w:t>
            </w:r>
          </w:p>
        </w:tc>
        <w:tc>
          <w:tcPr>
            <w:tcW w:w="638" w:type="pct"/>
          </w:tcPr>
          <w:p w14:paraId="6EC8E52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Children younger than 5 years old with AGE. Either hospitalised or in the ED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(n=359)</w:t>
            </w:r>
          </w:p>
        </w:tc>
        <w:tc>
          <w:tcPr>
            <w:tcW w:w="638" w:type="pct"/>
          </w:tcPr>
          <w:p w14:paraId="2C0BEF7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with AGE, rotavirus negative (n=1811)</w:t>
            </w:r>
          </w:p>
        </w:tc>
        <w:tc>
          <w:tcPr>
            <w:tcW w:w="638" w:type="pct"/>
          </w:tcPr>
          <w:p w14:paraId="60EDC00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 &amp; RV5; None</w:t>
            </w:r>
          </w:p>
        </w:tc>
        <w:tc>
          <w:tcPr>
            <w:tcW w:w="1595" w:type="pct"/>
          </w:tcPr>
          <w:p w14:paraId="1BEBCD2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 84% (95% CI 78, 88)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2 doses of RV1: 70% (95% CI 39, 86) </w:t>
            </w:r>
          </w:p>
        </w:tc>
      </w:tr>
      <w:tr w:rsidR="009A6D94" w:rsidRPr="000E70FB" w14:paraId="031F3C51" w14:textId="77777777" w:rsidTr="00F83C27">
        <w:tc>
          <w:tcPr>
            <w:tcW w:w="213" w:type="pct"/>
          </w:tcPr>
          <w:p w14:paraId="3F3668C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16</w:t>
            </w:r>
          </w:p>
        </w:tc>
        <w:tc>
          <w:tcPr>
            <w:tcW w:w="548" w:type="pct"/>
          </w:tcPr>
          <w:p w14:paraId="255ECFB2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Cortese</w:t>
            </w:r>
            <w:proofErr w:type="spellEnd"/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 et al. </w:t>
            </w:r>
            <w:r w:rsidRPr="000E70FB">
              <w:rPr>
                <w:rFonts w:ascii="Times New Roman" w:hAnsi="Times New Roman" w:cs="Times New Roman"/>
                <w:sz w:val="22"/>
              </w:rPr>
              <w:t>[71]</w:t>
            </w:r>
          </w:p>
        </w:tc>
        <w:tc>
          <w:tcPr>
            <w:tcW w:w="730" w:type="pct"/>
          </w:tcPr>
          <w:p w14:paraId="4152AFF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the 2-dose RV1 and 3-doses RV5 series against rotavirus disease resulting in hospitalization, emergency department or inpatient care USA</w:t>
            </w:r>
          </w:p>
        </w:tc>
        <w:tc>
          <w:tcPr>
            <w:tcW w:w="638" w:type="pct"/>
          </w:tcPr>
          <w:p w14:paraId="1C364BF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older than 8 months presenting to the hospital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(n=165)</w:t>
            </w:r>
          </w:p>
        </w:tc>
        <w:tc>
          <w:tcPr>
            <w:tcW w:w="638" w:type="pct"/>
          </w:tcPr>
          <w:p w14:paraId="6A0CE80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older than 8 months presenting to the hospital with AGE, rotavirus negative (n=428)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Community controls (n=5489)</w:t>
            </w:r>
          </w:p>
        </w:tc>
        <w:tc>
          <w:tcPr>
            <w:tcW w:w="638" w:type="pct"/>
          </w:tcPr>
          <w:p w14:paraId="0C2ED95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 &amp; RV2; None</w:t>
            </w:r>
          </w:p>
        </w:tc>
        <w:tc>
          <w:tcPr>
            <w:tcW w:w="1595" w:type="pct"/>
          </w:tcPr>
          <w:p w14:paraId="7C55D02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&gt;8 months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RV1: 91% (95% CI 80, 95)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RV5 92% (95% CI 75, 97)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12-23 months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RV1: 91% (95% CI 75, 96)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Genotypes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RV1_G2P 94% (95% CI 78, 98)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RV1_G1P 89% (95% CI 70, 96). </w:t>
            </w:r>
          </w:p>
        </w:tc>
      </w:tr>
      <w:tr w:rsidR="009A6D94" w:rsidRPr="000E70FB" w14:paraId="5734A83F" w14:textId="77777777" w:rsidTr="00F83C27">
        <w:tc>
          <w:tcPr>
            <w:tcW w:w="213" w:type="pct"/>
          </w:tcPr>
          <w:p w14:paraId="6059A24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17</w:t>
            </w:r>
          </w:p>
        </w:tc>
        <w:tc>
          <w:tcPr>
            <w:tcW w:w="548" w:type="pct"/>
          </w:tcPr>
          <w:p w14:paraId="69B44AA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Chang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>[62]</w:t>
            </w:r>
          </w:p>
        </w:tc>
        <w:tc>
          <w:tcPr>
            <w:tcW w:w="730" w:type="pct"/>
          </w:tcPr>
          <w:p w14:paraId="449FC71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RV1 and RV5 against rotavirus AGE resulting in hospitalization among children in Taiwan</w:t>
            </w:r>
          </w:p>
        </w:tc>
        <w:tc>
          <w:tcPr>
            <w:tcW w:w="638" w:type="pct"/>
          </w:tcPr>
          <w:p w14:paraId="40A6D8C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 8–35 months hospitalized with AGE; Cases: rotavirus positive (n=184) </w:t>
            </w:r>
          </w:p>
        </w:tc>
        <w:tc>
          <w:tcPr>
            <w:tcW w:w="638" w:type="pct"/>
          </w:tcPr>
          <w:p w14:paraId="5BD77FC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Hospital controls: non-AGE, rotavirus negative (n=909)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AGE, rotavirus negative (n=904)</w:t>
            </w:r>
          </w:p>
        </w:tc>
        <w:tc>
          <w:tcPr>
            <w:tcW w:w="638" w:type="pct"/>
          </w:tcPr>
          <w:p w14:paraId="754D7FD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 &amp; RV5; None </w:t>
            </w:r>
          </w:p>
        </w:tc>
        <w:tc>
          <w:tcPr>
            <w:tcW w:w="1595" w:type="pct"/>
          </w:tcPr>
          <w:p w14:paraId="392EE5DA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doses of RV1: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RV-negative AGE: 90.4% (95% CI 70.3, 98.1)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vs. RV-negative non-AGE: 92.5% (95% CI 77.1, 98.5)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RV-negative AGE: 96.8% (95% CI 82.3, 100)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vs. RV-negative non-AGE: 97.1% (95% CI 84, 100) </w:t>
            </w:r>
          </w:p>
        </w:tc>
      </w:tr>
      <w:tr w:rsidR="009A6D94" w:rsidRPr="000E70FB" w14:paraId="1D24AD49" w14:textId="77777777" w:rsidTr="00F83C27">
        <w:trPr>
          <w:trHeight w:val="700"/>
        </w:trPr>
        <w:tc>
          <w:tcPr>
            <w:tcW w:w="213" w:type="pct"/>
          </w:tcPr>
          <w:p w14:paraId="1A2760B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18</w:t>
            </w:r>
          </w:p>
        </w:tc>
        <w:tc>
          <w:tcPr>
            <w:tcW w:w="548" w:type="pct"/>
          </w:tcPr>
          <w:p w14:paraId="73B7030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Marlow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 et al. </w:t>
            </w:r>
            <w:r w:rsidRPr="000E70FB">
              <w:rPr>
                <w:rFonts w:ascii="Times New Roman" w:hAnsi="Times New Roman" w:cs="Times New Roman"/>
                <w:sz w:val="22"/>
              </w:rPr>
              <w:t>[61]</w:t>
            </w:r>
          </w:p>
        </w:tc>
        <w:tc>
          <w:tcPr>
            <w:tcW w:w="730" w:type="pct"/>
          </w:tcPr>
          <w:p w14:paraId="4EFD2C7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in Coimbra: a low vaccine coverage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setting Portugal </w:t>
            </w:r>
          </w:p>
        </w:tc>
        <w:tc>
          <w:tcPr>
            <w:tcW w:w="638" w:type="pct"/>
          </w:tcPr>
          <w:p w14:paraId="619FBF2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 8 weeks ≤36 months, with AGE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positive (n=542)</w:t>
            </w:r>
          </w:p>
        </w:tc>
        <w:tc>
          <w:tcPr>
            <w:tcW w:w="638" w:type="pct"/>
          </w:tcPr>
          <w:p w14:paraId="4875008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 8 weeks ≤36 months, with AGE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negative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(n=1099)</w:t>
            </w:r>
          </w:p>
        </w:tc>
        <w:tc>
          <w:tcPr>
            <w:tcW w:w="638" w:type="pct"/>
          </w:tcPr>
          <w:p w14:paraId="4BA302B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RV1 &amp; RV5; None </w:t>
            </w:r>
          </w:p>
        </w:tc>
        <w:tc>
          <w:tcPr>
            <w:tcW w:w="1595" w:type="pct"/>
          </w:tcPr>
          <w:p w14:paraId="47AB994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At least 1 dose of either RV1 or RV5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AGE: 83.7% (95% CI 73.9, 89.8)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against hospital admission: 96.1% (95% CI 83.8, 99.1)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Full course of either RV1 or RV5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against attendance: 83% (95% CI 71.8, 89.7) against admission: 97.5% (95% CI 81.4, 99.7) </w:t>
            </w:r>
          </w:p>
        </w:tc>
      </w:tr>
      <w:tr w:rsidR="009A6D94" w:rsidRPr="000E70FB" w14:paraId="7105723C" w14:textId="77777777" w:rsidTr="00F83C27">
        <w:tc>
          <w:tcPr>
            <w:tcW w:w="213" w:type="pct"/>
          </w:tcPr>
          <w:p w14:paraId="2318979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19</w:t>
            </w:r>
          </w:p>
        </w:tc>
        <w:tc>
          <w:tcPr>
            <w:tcW w:w="548" w:type="pct"/>
          </w:tcPr>
          <w:p w14:paraId="017C866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Payne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[68]</w:t>
            </w:r>
          </w:p>
        </w:tc>
        <w:tc>
          <w:tcPr>
            <w:tcW w:w="730" w:type="pct"/>
          </w:tcPr>
          <w:p w14:paraId="213CCB4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  of RV5 and RV1 in preventing rotavirus AGE hospitalization and emergency department (ED) visits among US children during 2 rotavirus seasons (2012 and 2013)</w:t>
            </w:r>
          </w:p>
        </w:tc>
        <w:tc>
          <w:tcPr>
            <w:tcW w:w="638" w:type="pct"/>
          </w:tcPr>
          <w:p w14:paraId="344F1C9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younger than 8 years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positive, RV5 (n=402), RV1 (n=100)</w:t>
            </w:r>
          </w:p>
        </w:tc>
        <w:tc>
          <w:tcPr>
            <w:tcW w:w="638" w:type="pct"/>
          </w:tcPr>
          <w:p w14:paraId="5A07A76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younger than 8 years, rotavirus negative, RV5 (n=2559), RV1 (n=804)</w:t>
            </w:r>
          </w:p>
        </w:tc>
        <w:tc>
          <w:tcPr>
            <w:tcW w:w="638" w:type="pct"/>
          </w:tcPr>
          <w:p w14:paraId="72ACF50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RV5 &amp; RV1; None </w:t>
            </w:r>
          </w:p>
        </w:tc>
        <w:tc>
          <w:tcPr>
            <w:tcW w:w="1595" w:type="pct"/>
          </w:tcPr>
          <w:p w14:paraId="7040623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 80% (95% CI 74, 84)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doses of RV1: 80% (95% CI 68, 88)</w:t>
            </w:r>
          </w:p>
        </w:tc>
      </w:tr>
      <w:tr w:rsidR="009A6D94" w:rsidRPr="000E70FB" w14:paraId="1EF9D08E" w14:textId="77777777" w:rsidTr="00F83C27">
        <w:tc>
          <w:tcPr>
            <w:tcW w:w="213" w:type="pct"/>
          </w:tcPr>
          <w:p w14:paraId="78FC4AE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20</w:t>
            </w:r>
          </w:p>
        </w:tc>
        <w:tc>
          <w:tcPr>
            <w:tcW w:w="548" w:type="pct"/>
          </w:tcPr>
          <w:p w14:paraId="01D34BE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Mohammed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[69]</w:t>
            </w:r>
          </w:p>
        </w:tc>
        <w:tc>
          <w:tcPr>
            <w:tcW w:w="730" w:type="pct"/>
          </w:tcPr>
          <w:p w14:paraId="2214973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RV1 and RV5: incomplete, complete and mixed regimens against rotavirus infection, association with severity of disease USA</w:t>
            </w:r>
          </w:p>
        </w:tc>
        <w:tc>
          <w:tcPr>
            <w:tcW w:w="638" w:type="pct"/>
          </w:tcPr>
          <w:p w14:paraId="0AFAFEB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born after March 1, 2009, presenting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(n=215)</w:t>
            </w:r>
          </w:p>
        </w:tc>
        <w:tc>
          <w:tcPr>
            <w:tcW w:w="638" w:type="pct"/>
          </w:tcPr>
          <w:p w14:paraId="5A099C9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born after March 1, 2009, presenting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negative (n=493)</w:t>
            </w:r>
          </w:p>
        </w:tc>
        <w:tc>
          <w:tcPr>
            <w:tcW w:w="638" w:type="pct"/>
          </w:tcPr>
          <w:p w14:paraId="3DCA752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 &amp; RV5; None</w:t>
            </w:r>
          </w:p>
        </w:tc>
        <w:tc>
          <w:tcPr>
            <w:tcW w:w="1595" w:type="pct"/>
          </w:tcPr>
          <w:p w14:paraId="1AFE0B0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&gt;12 months: more likely to have rotavirus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Severity score &gt;11, twice as likely to be rotavirus positive.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Prior rotavirus vaccination decreased the mean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Vesikari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score, p &lt; 0.0001.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Complete vaccination with either RV1 or RV5, protected (OR: 0.21, 95% CI 0.14, 0.31, p &lt; 0.0001) </w:t>
            </w:r>
          </w:p>
        </w:tc>
      </w:tr>
      <w:tr w:rsidR="009A6D94" w:rsidRPr="000E70FB" w14:paraId="39F64589" w14:textId="77777777" w:rsidTr="00F83C27">
        <w:tc>
          <w:tcPr>
            <w:tcW w:w="213" w:type="pct"/>
          </w:tcPr>
          <w:p w14:paraId="70C2963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21</w:t>
            </w:r>
          </w:p>
        </w:tc>
        <w:tc>
          <w:tcPr>
            <w:tcW w:w="548" w:type="pct"/>
          </w:tcPr>
          <w:p w14:paraId="740A033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Yeung et al.[58]</w:t>
            </w:r>
          </w:p>
        </w:tc>
        <w:tc>
          <w:tcPr>
            <w:tcW w:w="730" w:type="pct"/>
          </w:tcPr>
          <w:p w14:paraId="3F2A2E3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RV1 and RV1 in preventing rotavirus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AGE in Hong Kong, China </w:t>
            </w:r>
          </w:p>
        </w:tc>
        <w:tc>
          <w:tcPr>
            <w:tcW w:w="638" w:type="pct"/>
          </w:tcPr>
          <w:p w14:paraId="503C011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Children, 1 month to 5 years,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within 48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hours of hospitalisation (n=126)</w:t>
            </w:r>
          </w:p>
        </w:tc>
        <w:tc>
          <w:tcPr>
            <w:tcW w:w="638" w:type="pct"/>
          </w:tcPr>
          <w:p w14:paraId="2901EA8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Children, 1 month to 5 years, rotavirus negative (n=278)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</w:p>
        </w:tc>
        <w:tc>
          <w:tcPr>
            <w:tcW w:w="638" w:type="pct"/>
          </w:tcPr>
          <w:p w14:paraId="498E1DF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RV1 &amp; RV5; None </w:t>
            </w:r>
          </w:p>
        </w:tc>
        <w:tc>
          <w:tcPr>
            <w:tcW w:w="1595" w:type="pct"/>
          </w:tcPr>
          <w:p w14:paraId="6C209B6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At least 1 dose of either vaccine: 92% (95% CI 75, 98).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matched: 96% (95% CI 72, 100)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Age and admission date matched: 89% (95% CI 51, 97) </w:t>
            </w:r>
          </w:p>
        </w:tc>
      </w:tr>
      <w:tr w:rsidR="009A6D94" w:rsidRPr="000E70FB" w14:paraId="08414BF2" w14:textId="77777777" w:rsidTr="00F83C27">
        <w:tc>
          <w:tcPr>
            <w:tcW w:w="213" w:type="pct"/>
          </w:tcPr>
          <w:p w14:paraId="37D67C8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22</w:t>
            </w:r>
          </w:p>
        </w:tc>
        <w:tc>
          <w:tcPr>
            <w:tcW w:w="548" w:type="pct"/>
          </w:tcPr>
          <w:p w14:paraId="3A730B4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Immergluck</w:t>
            </w:r>
            <w:proofErr w:type="spellEnd"/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 et al. </w:t>
            </w:r>
            <w:r w:rsidRPr="000E70FB">
              <w:rPr>
                <w:rFonts w:ascii="Times New Roman" w:hAnsi="Times New Roman" w:cs="Times New Roman"/>
                <w:sz w:val="22"/>
              </w:rPr>
              <w:t>[59]</w:t>
            </w:r>
          </w:p>
        </w:tc>
        <w:tc>
          <w:tcPr>
            <w:tcW w:w="730" w:type="pct"/>
          </w:tcPr>
          <w:p w14:paraId="6A844EE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the RV1 and RV5 vaccines USA</w:t>
            </w:r>
          </w:p>
        </w:tc>
        <w:tc>
          <w:tcPr>
            <w:tcW w:w="638" w:type="pct"/>
          </w:tcPr>
          <w:p w14:paraId="70D4B36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Children, ≥8 months, presenting to the ED with AGE Cases: rotavirus positive (n=98) </w:t>
            </w:r>
          </w:p>
        </w:tc>
        <w:tc>
          <w:tcPr>
            <w:tcW w:w="638" w:type="pct"/>
          </w:tcPr>
          <w:p w14:paraId="2AF3B0C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Children, ≥8 months, presenting to the ED with AGE Cases: rotavirus negative (n=175) </w:t>
            </w:r>
          </w:p>
        </w:tc>
        <w:tc>
          <w:tcPr>
            <w:tcW w:w="638" w:type="pct"/>
          </w:tcPr>
          <w:p w14:paraId="61D11F2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 &amp; RV5; None</w:t>
            </w:r>
          </w:p>
        </w:tc>
        <w:tc>
          <w:tcPr>
            <w:tcW w:w="1595" w:type="pct"/>
          </w:tcPr>
          <w:p w14:paraId="2EA4EDB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8-23 months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doses of RV1: 84% (95% CI 38, 96)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3 doses of RV5: 80% (95% CI 27, 95)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&gt;24 months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doses of RV1: 82% (95% CI 41, 95) among 3 doses of RV5: 87% (95% CI 22, 98)</w:t>
            </w:r>
          </w:p>
        </w:tc>
      </w:tr>
      <w:tr w:rsidR="009A6D94" w:rsidRPr="000E70FB" w14:paraId="21BFDC3C" w14:textId="77777777" w:rsidTr="00F83C27">
        <w:tc>
          <w:tcPr>
            <w:tcW w:w="213" w:type="pct"/>
          </w:tcPr>
          <w:p w14:paraId="4C0B460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23</w:t>
            </w:r>
          </w:p>
        </w:tc>
        <w:tc>
          <w:tcPr>
            <w:tcW w:w="548" w:type="pct"/>
          </w:tcPr>
          <w:p w14:paraId="678B30F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Gastañaduy</w:t>
            </w:r>
            <w:proofErr w:type="spellEnd"/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 et al. </w:t>
            </w:r>
            <w:r w:rsidRPr="000E70FB">
              <w:rPr>
                <w:rFonts w:ascii="Times New Roman" w:hAnsi="Times New Roman" w:cs="Times New Roman"/>
                <w:sz w:val="22"/>
              </w:rPr>
              <w:t>[60]</w:t>
            </w:r>
          </w:p>
        </w:tc>
        <w:tc>
          <w:tcPr>
            <w:tcW w:w="730" w:type="pct"/>
          </w:tcPr>
          <w:p w14:paraId="61E2888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RV1 and RV5 against rotavirus diarrhoea requiring emergency department (ED) care or hospitalization in Guatemala</w:t>
            </w:r>
          </w:p>
        </w:tc>
        <w:tc>
          <w:tcPr>
            <w:tcW w:w="638" w:type="pct"/>
          </w:tcPr>
          <w:p w14:paraId="4A9CE5E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eligible children (born after June 2009), presenting to the ED or hospital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(n=213)</w:t>
            </w:r>
          </w:p>
        </w:tc>
        <w:tc>
          <w:tcPr>
            <w:tcW w:w="638" w:type="pct"/>
          </w:tcPr>
          <w:p w14:paraId="002DC67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Two control groups: children, non-AGE, rotavirus negative (n=657)</w:t>
            </w:r>
          </w:p>
          <w:p w14:paraId="77235F0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 with AGE, rotavirus negative (n=334) </w:t>
            </w:r>
          </w:p>
        </w:tc>
        <w:tc>
          <w:tcPr>
            <w:tcW w:w="638" w:type="pct"/>
          </w:tcPr>
          <w:p w14:paraId="2301784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 &amp; RV5; None </w:t>
            </w:r>
          </w:p>
        </w:tc>
        <w:tc>
          <w:tcPr>
            <w:tcW w:w="1595" w:type="pct"/>
          </w:tcPr>
          <w:p w14:paraId="0A70BAE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to 3 doses of either RV1 or RV5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hospital controls: 74% (95% CI 58, 84)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vs. test-negative controls: 52% (95% CI 26, 69)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Vaccine effectiveness was similar across age groups and vaccine type </w:t>
            </w:r>
          </w:p>
        </w:tc>
      </w:tr>
      <w:tr w:rsidR="009A6D94" w:rsidRPr="000E70FB" w14:paraId="13D3ECE8" w14:textId="77777777" w:rsidTr="00F83C27">
        <w:tc>
          <w:tcPr>
            <w:tcW w:w="213" w:type="pct"/>
          </w:tcPr>
          <w:p w14:paraId="58709DD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24</w:t>
            </w:r>
          </w:p>
        </w:tc>
        <w:tc>
          <w:tcPr>
            <w:tcW w:w="548" w:type="pct"/>
          </w:tcPr>
          <w:p w14:paraId="7365571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Ali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[67]</w:t>
            </w:r>
          </w:p>
        </w:tc>
        <w:tc>
          <w:tcPr>
            <w:tcW w:w="730" w:type="pct"/>
          </w:tcPr>
          <w:p w14:paraId="11CA05F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Surveillance study: Rotavirus infections in a Lebanese paediatric population, younger than five years</w:t>
            </w:r>
          </w:p>
        </w:tc>
        <w:tc>
          <w:tcPr>
            <w:tcW w:w="638" w:type="pct"/>
          </w:tcPr>
          <w:p w14:paraId="0E537FA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&lt;5 years, admitted for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(n=428)</w:t>
            </w:r>
          </w:p>
        </w:tc>
        <w:tc>
          <w:tcPr>
            <w:tcW w:w="638" w:type="pct"/>
          </w:tcPr>
          <w:p w14:paraId="345579A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&lt;5 years, admitted for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negative (n=986)</w:t>
            </w:r>
          </w:p>
        </w:tc>
        <w:tc>
          <w:tcPr>
            <w:tcW w:w="638" w:type="pct"/>
          </w:tcPr>
          <w:p w14:paraId="4E2977F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 &amp; RV5; None </w:t>
            </w:r>
          </w:p>
        </w:tc>
        <w:tc>
          <w:tcPr>
            <w:tcW w:w="1595" w:type="pct"/>
          </w:tcPr>
          <w:p w14:paraId="27EB958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Median duration of hospitalization was 4 days.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RV negative subjects were more likely to be RV vaccinated (21%) compared to the RV positive subjects (11.3%) (P&lt;0.001), vaccine breakthrough rate of 18.8%.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RV1: RV5 (7.8:1)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RV1 and RV5: 68.4% (95% CI 49.6, 80.2)</w:t>
            </w:r>
          </w:p>
        </w:tc>
      </w:tr>
      <w:tr w:rsidR="009A6D94" w:rsidRPr="000E70FB" w14:paraId="5F6358AC" w14:textId="77777777" w:rsidTr="00F83C27">
        <w:tc>
          <w:tcPr>
            <w:tcW w:w="213" w:type="pct"/>
          </w:tcPr>
          <w:p w14:paraId="44342EB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25</w:t>
            </w:r>
          </w:p>
        </w:tc>
        <w:tc>
          <w:tcPr>
            <w:tcW w:w="548" w:type="pct"/>
          </w:tcPr>
          <w:p w14:paraId="20F1D3D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Yoshiyuki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>[57]</w:t>
            </w:r>
          </w:p>
        </w:tc>
        <w:tc>
          <w:tcPr>
            <w:tcW w:w="730" w:type="pct"/>
          </w:tcPr>
          <w:p w14:paraId="7857B38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RV1 and RV5 against rotavirus hospitalisation in northern Japan, where there is a burden of rotavirus disease </w:t>
            </w:r>
          </w:p>
        </w:tc>
        <w:tc>
          <w:tcPr>
            <w:tcW w:w="638" w:type="pct"/>
          </w:tcPr>
          <w:p w14:paraId="578ED0C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8-59 weeks,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(n=55) </w:t>
            </w:r>
          </w:p>
        </w:tc>
        <w:tc>
          <w:tcPr>
            <w:tcW w:w="638" w:type="pct"/>
          </w:tcPr>
          <w:p w14:paraId="1CED406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8-59 weeks, with AGE, rotavirus negative (n=189)</w:t>
            </w:r>
          </w:p>
        </w:tc>
        <w:tc>
          <w:tcPr>
            <w:tcW w:w="638" w:type="pct"/>
          </w:tcPr>
          <w:p w14:paraId="54CDB4B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 or RV5; None </w:t>
            </w:r>
          </w:p>
        </w:tc>
        <w:tc>
          <w:tcPr>
            <w:tcW w:w="1595" w:type="pct"/>
          </w:tcPr>
          <w:p w14:paraId="729BD5B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Either RV1 or RV5: 70.4% (95% CI 36.0, 86.4)</w:t>
            </w:r>
          </w:p>
        </w:tc>
      </w:tr>
      <w:tr w:rsidR="009A6D94" w:rsidRPr="000E70FB" w14:paraId="52A03F57" w14:textId="77777777" w:rsidTr="00F83C27">
        <w:tc>
          <w:tcPr>
            <w:tcW w:w="213" w:type="pct"/>
          </w:tcPr>
          <w:p w14:paraId="014DB48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26</w:t>
            </w:r>
          </w:p>
        </w:tc>
        <w:tc>
          <w:tcPr>
            <w:tcW w:w="548" w:type="pct"/>
          </w:tcPr>
          <w:p w14:paraId="1D124933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Zaki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[14]</w:t>
            </w:r>
          </w:p>
        </w:tc>
        <w:tc>
          <w:tcPr>
            <w:tcW w:w="730" w:type="pct"/>
          </w:tcPr>
          <w:p w14:paraId="618EF3E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rotavirus vaccines in reducing hospitalisations for rotavirus AGE in Saudi Arabia, before and after rotavirus vaccines were added to the national vaccination schedule</w:t>
            </w:r>
          </w:p>
        </w:tc>
        <w:tc>
          <w:tcPr>
            <w:tcW w:w="638" w:type="pct"/>
          </w:tcPr>
          <w:p w14:paraId="4430E4F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Two groups (n=730):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Group 1: patients admitted to hospital 1 year before the vaccine was introduced to the national vaccination schedule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Group 2: patients admitted to the hospital 3 years post-vaccine</w:t>
            </w:r>
          </w:p>
        </w:tc>
        <w:tc>
          <w:tcPr>
            <w:tcW w:w="638" w:type="pct"/>
          </w:tcPr>
          <w:p w14:paraId="22CC9E5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None</w:t>
            </w:r>
          </w:p>
        </w:tc>
        <w:tc>
          <w:tcPr>
            <w:tcW w:w="638" w:type="pct"/>
          </w:tcPr>
          <w:p w14:paraId="1EE240F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 &amp; RV5; None </w:t>
            </w:r>
          </w:p>
        </w:tc>
        <w:tc>
          <w:tcPr>
            <w:tcW w:w="1595" w:type="pct"/>
          </w:tcPr>
          <w:p w14:paraId="68E2749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Prevalence of rotavirus-positive gastroenteritis dropped from 38.5% in group 1 to 13.2% in group 2 (P = 0.0001).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Median age of rotavirus infection (P = 0.003)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Pre-vaccine period: 16 (95% CI 12, 36) months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post-vaccine period: 44 (95% CI 21, 56) </w:t>
            </w:r>
          </w:p>
        </w:tc>
      </w:tr>
      <w:tr w:rsidR="009A6D94" w:rsidRPr="000E70FB" w14:paraId="598C60DB" w14:textId="77777777" w:rsidTr="00F83C27">
        <w:tc>
          <w:tcPr>
            <w:tcW w:w="213" w:type="pct"/>
          </w:tcPr>
          <w:p w14:paraId="68AACF0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27</w:t>
            </w:r>
          </w:p>
        </w:tc>
        <w:tc>
          <w:tcPr>
            <w:tcW w:w="548" w:type="pct"/>
          </w:tcPr>
          <w:p w14:paraId="7BD6663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Araki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[66]</w:t>
            </w:r>
          </w:p>
        </w:tc>
        <w:tc>
          <w:tcPr>
            <w:tcW w:w="730" w:type="pct"/>
          </w:tcPr>
          <w:p w14:paraId="6B1C17C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and duration of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protection of RV1 and RV5 against rotavirus AGE, RVGE severity and RV genotype among children aged &lt;3 years in Japan</w:t>
            </w:r>
          </w:p>
        </w:tc>
        <w:tc>
          <w:tcPr>
            <w:tcW w:w="638" w:type="pct"/>
          </w:tcPr>
          <w:p w14:paraId="2FCA332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Children, ≥ 2 months to &lt;3 years, presenting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(n=487) </w:t>
            </w:r>
          </w:p>
        </w:tc>
        <w:tc>
          <w:tcPr>
            <w:tcW w:w="638" w:type="pct"/>
          </w:tcPr>
          <w:p w14:paraId="7B18EF4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Children, ≥ 2 months to &lt;3 years, presenting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with AGE, rotavirus negative (n=925)</w:t>
            </w:r>
          </w:p>
        </w:tc>
        <w:tc>
          <w:tcPr>
            <w:tcW w:w="638" w:type="pct"/>
          </w:tcPr>
          <w:p w14:paraId="06A052A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RV1 or RV5; None </w:t>
            </w:r>
          </w:p>
        </w:tc>
        <w:tc>
          <w:tcPr>
            <w:tcW w:w="1595" w:type="pct"/>
          </w:tcPr>
          <w:p w14:paraId="4F8FC52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rotavirus AGE: 80.0% (95% CI 72.8, 85.5)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RV1: 80.6% (95% CI 70.7, 87.1)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RV5: 80.4% (95% CI 69.1, 87.6)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Duration of protection: against AGE &gt;70% up to 2 years after vaccination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effectiveness increased with severity of AGE: 97.3% (95% CI 88.8, 99.3).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RV1 and RV5 similar effectiveness against G1P [8] and G2P[4]</w:t>
            </w:r>
          </w:p>
        </w:tc>
      </w:tr>
      <w:tr w:rsidR="009A6D94" w:rsidRPr="000E70FB" w14:paraId="542D4844" w14:textId="77777777" w:rsidTr="00F83C27">
        <w:tc>
          <w:tcPr>
            <w:tcW w:w="213" w:type="pct"/>
          </w:tcPr>
          <w:p w14:paraId="796CA80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28</w:t>
            </w:r>
          </w:p>
        </w:tc>
        <w:tc>
          <w:tcPr>
            <w:tcW w:w="548" w:type="pct"/>
          </w:tcPr>
          <w:p w14:paraId="5876A853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Justino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[40]</w:t>
            </w:r>
          </w:p>
        </w:tc>
        <w:tc>
          <w:tcPr>
            <w:tcW w:w="730" w:type="pct"/>
          </w:tcPr>
          <w:p w14:paraId="5B24503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(VE) against severe rotavirus gastroenteritis (RVGE)</w:t>
            </w:r>
          </w:p>
          <w:p w14:paraId="1B25520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hospitalizations in Brazil </w:t>
            </w:r>
          </w:p>
          <w:p w14:paraId="01C985E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38" w:type="pct"/>
          </w:tcPr>
          <w:p w14:paraId="2B23C0B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&gt; 12 weeks, hospitalized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(n=538) </w:t>
            </w:r>
          </w:p>
        </w:tc>
        <w:tc>
          <w:tcPr>
            <w:tcW w:w="638" w:type="pct"/>
          </w:tcPr>
          <w:p w14:paraId="15A4403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Hospital controls: no AGE, children matched to cases by date of birth (n=507) Neighbourhood controls: children, no signs of gastroenteritis, from the same neighbourhood as the case (n=346)</w:t>
            </w:r>
          </w:p>
        </w:tc>
        <w:tc>
          <w:tcPr>
            <w:tcW w:w="638" w:type="pct"/>
          </w:tcPr>
          <w:p w14:paraId="5940366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RV1; None</w:t>
            </w:r>
          </w:p>
          <w:p w14:paraId="0F73DEA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595" w:type="pct"/>
          </w:tcPr>
          <w:p w14:paraId="6B310F8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rotavirus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vs. neighbourhood controls: 75.8% (95% CI 58.1, 86.0)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3 to 11 months 95.7% (95% CI, 67.8, 99.4)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&gt;12months 65.1% (95% CI, 37.2, 80.6)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hospital controls: 40.0% (95% CI 14.2, 58.1)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Age 3 to 11 months: 55.6% (95% CI, 12.3, 77.5)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&gt;12 months: 32.1% (95% CI 3.7, 55.5) Genotypes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G2P [4]: 82.0% of AGE hospitalizations. Vaccine effectiveness for G2P [4]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neighbourhood controls: 75.4% (95% CI 56.7, 86.0)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hospital controls: 38.9% (95% CI: 11.1, 58.0)</w:t>
            </w:r>
          </w:p>
        </w:tc>
      </w:tr>
      <w:tr w:rsidR="009A6D94" w:rsidRPr="000E70FB" w14:paraId="2EF4E8DD" w14:textId="77777777" w:rsidTr="00F83C27">
        <w:tc>
          <w:tcPr>
            <w:tcW w:w="213" w:type="pct"/>
          </w:tcPr>
          <w:p w14:paraId="683A48B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29</w:t>
            </w:r>
          </w:p>
        </w:tc>
        <w:tc>
          <w:tcPr>
            <w:tcW w:w="548" w:type="pct"/>
          </w:tcPr>
          <w:p w14:paraId="1F04A9E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Braeckman</w:t>
            </w:r>
            <w:proofErr w:type="spellEnd"/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 et al. </w:t>
            </w:r>
            <w:r w:rsidRPr="000E70FB">
              <w:rPr>
                <w:rFonts w:ascii="Times New Roman" w:hAnsi="Times New Roman" w:cs="Times New Roman"/>
                <w:sz w:val="22"/>
              </w:rPr>
              <w:t>[39]</w:t>
            </w:r>
          </w:p>
        </w:tc>
        <w:tc>
          <w:tcPr>
            <w:tcW w:w="730" w:type="pct"/>
          </w:tcPr>
          <w:p w14:paraId="10F64AA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in preventing admission to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hospital for rotavirus AGE among young children in Belgium. The study also assessed the burden of rotavirus disease, distribution of rotavirus genotypes, and co-infections with other common intestinal viruses</w:t>
            </w:r>
          </w:p>
        </w:tc>
        <w:tc>
          <w:tcPr>
            <w:tcW w:w="638" w:type="pct"/>
          </w:tcPr>
          <w:p w14:paraId="539A8C5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 who had received at least one dose of any rotavirus vaccine,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&gt; 14 weeks, presenting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(n=215)</w:t>
            </w:r>
          </w:p>
        </w:tc>
        <w:tc>
          <w:tcPr>
            <w:tcW w:w="638" w:type="pct"/>
          </w:tcPr>
          <w:p w14:paraId="6B06846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 matched to cases by date of birth, not admitted for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AGE, rotavirus negative (n=276) </w:t>
            </w:r>
          </w:p>
        </w:tc>
        <w:tc>
          <w:tcPr>
            <w:tcW w:w="638" w:type="pct"/>
          </w:tcPr>
          <w:p w14:paraId="74122FF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RV1; None </w:t>
            </w:r>
          </w:p>
        </w:tc>
        <w:tc>
          <w:tcPr>
            <w:tcW w:w="1595" w:type="pct"/>
          </w:tcPr>
          <w:p w14:paraId="78C815B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doses of RV1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AGE: 90% (95% CI 81, 95)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admission: 90% (95% CI 79, 96)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against severe rotavirus: 91% (80% to 96%)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moderate to mild: 66% (−31% to 91%)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against co-infections (adenovirus,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astrovirus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and/or norovirus): 86% (95% CI 52, 96)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at least 1 dose of RV1 against admission: 91% (95% CI 82, 95).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Genotypes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G2P[4]: 85% (95% CI 64, 94)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against G1P [8] 95% (95% CI 78, 99)  </w:t>
            </w:r>
          </w:p>
        </w:tc>
      </w:tr>
      <w:tr w:rsidR="009A6D94" w:rsidRPr="000E70FB" w14:paraId="6617B27D" w14:textId="77777777" w:rsidTr="00F83C27">
        <w:tc>
          <w:tcPr>
            <w:tcW w:w="213" w:type="pct"/>
          </w:tcPr>
          <w:p w14:paraId="04963DB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30</w:t>
            </w:r>
          </w:p>
        </w:tc>
        <w:tc>
          <w:tcPr>
            <w:tcW w:w="548" w:type="pct"/>
          </w:tcPr>
          <w:p w14:paraId="12CAE17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Patel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[38]</w:t>
            </w:r>
          </w:p>
        </w:tc>
        <w:tc>
          <w:tcPr>
            <w:tcW w:w="730" w:type="pct"/>
          </w:tcPr>
          <w:p w14:paraId="0C37498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2 doses of RV1 against hospital admissions for rotavirus in Bolivia</w:t>
            </w:r>
          </w:p>
        </w:tc>
        <w:tc>
          <w:tcPr>
            <w:tcW w:w="638" w:type="pct"/>
          </w:tcPr>
          <w:p w14:paraId="400B75B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&gt; 8 weeks, presenting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(n=400)</w:t>
            </w:r>
          </w:p>
        </w:tc>
        <w:tc>
          <w:tcPr>
            <w:tcW w:w="638" w:type="pct"/>
          </w:tcPr>
          <w:p w14:paraId="12B09D0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Hospital controls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Children, &gt; 8 weeks, presenting with AGE, rotavirus negative (n=718)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Children, not with AGE (n=1200)</w:t>
            </w:r>
          </w:p>
        </w:tc>
        <w:tc>
          <w:tcPr>
            <w:tcW w:w="638" w:type="pct"/>
          </w:tcPr>
          <w:p w14:paraId="1C8475A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RV1; None</w:t>
            </w:r>
          </w:p>
        </w:tc>
        <w:tc>
          <w:tcPr>
            <w:tcW w:w="1595" w:type="pct"/>
          </w:tcPr>
          <w:p w14:paraId="20A1466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RV1 against hospital admission: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rotavirus negative controls: 69% (95% CI 54, 79)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non-diarrhoea controls: 77% (95% CI 65, 84)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one dose of RV1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rotavirus negative controls: 36%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vs. non-diarrhoea controls: 56%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Protection was sustained through two years of life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Hospital admissions: children under 1 year (64% and 77%) and over 1 year of age (72% and 76%). RV1 provided significant protection against diverse serotypes of Rotavirus </w:t>
            </w:r>
          </w:p>
        </w:tc>
      </w:tr>
      <w:tr w:rsidR="009A6D94" w:rsidRPr="000E70FB" w14:paraId="19A38521" w14:textId="77777777" w:rsidTr="00F83C27">
        <w:tc>
          <w:tcPr>
            <w:tcW w:w="213" w:type="pct"/>
          </w:tcPr>
          <w:p w14:paraId="36275F0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31</w:t>
            </w:r>
          </w:p>
        </w:tc>
        <w:tc>
          <w:tcPr>
            <w:tcW w:w="548" w:type="pct"/>
          </w:tcPr>
          <w:p w14:paraId="1F75151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Cotes-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Cantillo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[45]</w:t>
            </w:r>
          </w:p>
        </w:tc>
        <w:tc>
          <w:tcPr>
            <w:tcW w:w="730" w:type="pct"/>
          </w:tcPr>
          <w:p w14:paraId="69B6D7C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RV1 in preventing rotavirus AGE admissions to emergency departments (ED) in Colombia</w:t>
            </w:r>
          </w:p>
        </w:tc>
        <w:tc>
          <w:tcPr>
            <w:tcW w:w="638" w:type="pct"/>
          </w:tcPr>
          <w:p w14:paraId="26804DD3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Children, &gt; 8 weeks, presenting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(n=193) </w:t>
            </w:r>
          </w:p>
        </w:tc>
        <w:tc>
          <w:tcPr>
            <w:tcW w:w="638" w:type="pct"/>
          </w:tcPr>
          <w:p w14:paraId="2336666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Children, &gt; 8 weeks, presenting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with AGE, rotavirus negative (n=858) </w:t>
            </w:r>
          </w:p>
        </w:tc>
        <w:tc>
          <w:tcPr>
            <w:tcW w:w="638" w:type="pct"/>
          </w:tcPr>
          <w:p w14:paraId="7903539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RV1; None</w:t>
            </w:r>
          </w:p>
        </w:tc>
        <w:tc>
          <w:tcPr>
            <w:tcW w:w="1595" w:type="pct"/>
          </w:tcPr>
          <w:p w14:paraId="0FAA76F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RV1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Age 6-11 months 79.19% (95% CI 23.7, 94.32)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Age &gt;12 months: −39.75% (95% CI −270.67, 47.24)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overnight hospitalizations: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Age 6-11 months: 84.42% (95% CI 22.68, 96.86)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Age &gt;12 months: −79.49% (95% CI, −555.8 to 51.08) </w:t>
            </w:r>
          </w:p>
        </w:tc>
      </w:tr>
      <w:tr w:rsidR="009A6D94" w:rsidRPr="000E70FB" w14:paraId="3F917747" w14:textId="77777777" w:rsidTr="00F83C27">
        <w:tc>
          <w:tcPr>
            <w:tcW w:w="213" w:type="pct"/>
          </w:tcPr>
          <w:p w14:paraId="313705D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32</w:t>
            </w:r>
          </w:p>
        </w:tc>
        <w:tc>
          <w:tcPr>
            <w:tcW w:w="548" w:type="pct"/>
          </w:tcPr>
          <w:p w14:paraId="26E74A64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Ichihara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[36]</w:t>
            </w:r>
          </w:p>
        </w:tc>
        <w:tc>
          <w:tcPr>
            <w:tcW w:w="730" w:type="pct"/>
          </w:tcPr>
          <w:p w14:paraId="121DB6E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RV1 in preventing hospitalization for rotavirus AGE in Brazil and genotype-specific vaccine effectiveness by time since second vaccine dose </w:t>
            </w:r>
          </w:p>
        </w:tc>
        <w:tc>
          <w:tcPr>
            <w:tcW w:w="638" w:type="pct"/>
          </w:tcPr>
          <w:p w14:paraId="18FE3D7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4 to 24 months,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(n=215) </w:t>
            </w:r>
          </w:p>
        </w:tc>
        <w:tc>
          <w:tcPr>
            <w:tcW w:w="638" w:type="pct"/>
          </w:tcPr>
          <w:p w14:paraId="6C89DD7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 rotavirus negative matched by age and sex to cases (n=1961)</w:t>
            </w:r>
          </w:p>
        </w:tc>
        <w:tc>
          <w:tcPr>
            <w:tcW w:w="638" w:type="pct"/>
          </w:tcPr>
          <w:p w14:paraId="000318F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RV1; None</w:t>
            </w:r>
          </w:p>
        </w:tc>
        <w:tc>
          <w:tcPr>
            <w:tcW w:w="1595" w:type="pct"/>
          </w:tcPr>
          <w:p w14:paraId="11E2A99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 doses of RV1: 76% (95% CI 58, 86) lasting for two years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after adjusting for confounders: 72% (95% CI 44, 85)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Genotypes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G1P [8]: 89% (95% CI 78, 95)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G2P [4]: 76% (95% CI 64, 84)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all G1: 74% (95% CI 35, 90)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all G2: 76% (95% CI 63, 84)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all non G1/G2 genotypes: 63% (95% CI 27, 99).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1 dose of RV1: 62% (95% CI 39, 97). </w:t>
            </w:r>
          </w:p>
        </w:tc>
      </w:tr>
      <w:tr w:rsidR="009A6D94" w:rsidRPr="000E70FB" w14:paraId="192B146E" w14:textId="77777777" w:rsidTr="00F83C27">
        <w:tc>
          <w:tcPr>
            <w:tcW w:w="213" w:type="pct"/>
          </w:tcPr>
          <w:p w14:paraId="4A99A98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t>33</w:t>
            </w:r>
          </w:p>
        </w:tc>
        <w:tc>
          <w:tcPr>
            <w:tcW w:w="548" w:type="pct"/>
          </w:tcPr>
          <w:p w14:paraId="0409BA8D" w14:textId="77777777" w:rsidR="009A6D94" w:rsidRPr="000E70FB" w:rsidRDefault="009A6D94" w:rsidP="00F83C27">
            <w:pPr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t>Groome</w:t>
            </w:r>
            <w:proofErr w:type="spellEnd"/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color w:val="000000" w:themeColor="text1"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[37]</w:t>
            </w:r>
          </w:p>
        </w:tc>
        <w:tc>
          <w:tcPr>
            <w:tcW w:w="730" w:type="pct"/>
          </w:tcPr>
          <w:p w14:paraId="0446552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Vaccine effectiveness of RV 1 in preventing admission for rotavirus AGE in children younger than 2 years in a high HIV setting, where infants are 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lastRenderedPageBreak/>
              <w:t xml:space="preserve">HIV exposed in South Africa </w:t>
            </w:r>
          </w:p>
        </w:tc>
        <w:tc>
          <w:tcPr>
            <w:tcW w:w="638" w:type="pct"/>
          </w:tcPr>
          <w:p w14:paraId="193E10F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lastRenderedPageBreak/>
              <w:t>Children, 18 weeks to 23 months, admitted with AGE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Cases: rotavirus positive (n=540)</w:t>
            </w:r>
          </w:p>
        </w:tc>
        <w:tc>
          <w:tcPr>
            <w:tcW w:w="638" w:type="pct"/>
          </w:tcPr>
          <w:p w14:paraId="7D1D8C0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Children, 18 weeks to 23 months, admitted with AGE and respiratory infection, rotavirus negative (n=1434) </w:t>
            </w:r>
          </w:p>
        </w:tc>
        <w:tc>
          <w:tcPr>
            <w:tcW w:w="638" w:type="pct"/>
          </w:tcPr>
          <w:p w14:paraId="7190C5A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59FB4FA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2 doses of RV1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vs rotavirus-negative controls: 57% (95% CI 40, 68) (similar to respiratory controls)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Age 12-23 months: 60% (95% CI 21, 80)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Age: 18 weeks -22 months: 66% (95% CI 46, 79)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Age: 18 weeks to 23 months: 63%(95% CI 45, 75)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lastRenderedPageBreak/>
              <w:t>Adjusted: 18 weeks-11 months: 54% (95% CI 32, 68)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Adjusted: 12-23 months: 61% (95% CI 35, 77)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HIV exposed: 64% (95% CI 34, 80)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HIV unexposed: 54% (95% CI 31, 69)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1 dose of RV1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 xml:space="preserve">vs. rotavirus negative controls: 40% (95% CI 16, 57) (similar to respiratory controls) 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Age 12-23 months: 41% (95% CI -17, 71)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>Age: 18 weeks -22 months: 60% (95% CI 34 to 76)</w:t>
            </w:r>
            <w:r w:rsidRPr="000E70FB">
              <w:rPr>
                <w:rFonts w:ascii="Times New Roman" w:hAnsi="Times New Roman" w:cs="Times New Roman"/>
                <w:color w:val="000000" w:themeColor="text1"/>
                <w:sz w:val="22"/>
              </w:rPr>
              <w:br/>
              <w:t xml:space="preserve">Age: 18 weeks to 23 months: 54% (95% CI 31 to 69) </w:t>
            </w:r>
          </w:p>
        </w:tc>
      </w:tr>
      <w:tr w:rsidR="009A6D94" w:rsidRPr="000E70FB" w14:paraId="25A7D011" w14:textId="77777777" w:rsidTr="00F83C27">
        <w:tc>
          <w:tcPr>
            <w:tcW w:w="213" w:type="pct"/>
          </w:tcPr>
          <w:p w14:paraId="24BB8F3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34</w:t>
            </w:r>
          </w:p>
        </w:tc>
        <w:tc>
          <w:tcPr>
            <w:tcW w:w="548" w:type="pct"/>
          </w:tcPr>
          <w:p w14:paraId="4A72D161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Bar-Zeev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 et al. </w:t>
            </w:r>
            <w:r w:rsidRPr="000E70FB">
              <w:rPr>
                <w:rFonts w:ascii="Times New Roman" w:hAnsi="Times New Roman" w:cs="Times New Roman"/>
                <w:sz w:val="22"/>
              </w:rPr>
              <w:t>[35]</w:t>
            </w:r>
          </w:p>
        </w:tc>
        <w:tc>
          <w:tcPr>
            <w:tcW w:w="730" w:type="pct"/>
          </w:tcPr>
          <w:p w14:paraId="31D7554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a complete series of RV1 against rotavirus diarrhoea hospitalisation in Malawi </w:t>
            </w:r>
          </w:p>
        </w:tc>
        <w:tc>
          <w:tcPr>
            <w:tcW w:w="638" w:type="pct"/>
          </w:tcPr>
          <w:p w14:paraId="2CEE380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&lt;5years, presenting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(n=118)</w:t>
            </w:r>
          </w:p>
        </w:tc>
        <w:tc>
          <w:tcPr>
            <w:tcW w:w="638" w:type="pct"/>
          </w:tcPr>
          <w:p w14:paraId="49E7BB0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Hospital controls: presenting with AGE, rotavirus negative (n=317)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Community controls (n=380)</w:t>
            </w:r>
          </w:p>
        </w:tc>
        <w:tc>
          <w:tcPr>
            <w:tcW w:w="638" w:type="pct"/>
          </w:tcPr>
          <w:p w14:paraId="59FF09F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282EC77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Pre-vaccination program: 79/157 (50%) rotavirus positive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2 years Post-vaccination program: 52/170 (31%) rotavirus positive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Incidence of hospital admission: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2012: 269/ 100 000; 2013: 284/100 00; 2014: 153/ 100 000, incidence dropped by 43.2% (95% CI 18, 60.7)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Vaccine effectiveness  of 2 doses of RV1: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rotavirus-negative individuals: 64% (95% CI</w:t>
            </w:r>
            <w:r w:rsidRPr="000E70FB" w:rsidDel="00414F45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sz w:val="22"/>
              </w:rPr>
              <w:t>24, 83)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vs. community controls: 63% (95% CI 23, 83)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was more effective against genotype G1 than against G2 and G12</w:t>
            </w:r>
          </w:p>
        </w:tc>
      </w:tr>
      <w:tr w:rsidR="009A6D94" w:rsidRPr="000E70FB" w14:paraId="463FBC20" w14:textId="77777777" w:rsidTr="00F83C27">
        <w:tc>
          <w:tcPr>
            <w:tcW w:w="213" w:type="pct"/>
          </w:tcPr>
          <w:p w14:paraId="31E5E4D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35</w:t>
            </w:r>
          </w:p>
        </w:tc>
        <w:tc>
          <w:tcPr>
            <w:tcW w:w="548" w:type="pct"/>
          </w:tcPr>
          <w:p w14:paraId="5B8986BD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Doll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[43]</w:t>
            </w:r>
          </w:p>
        </w:tc>
        <w:tc>
          <w:tcPr>
            <w:tcW w:w="730" w:type="pct"/>
          </w:tcPr>
          <w:p w14:paraId="4602F10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effectiveness of RV1 in preventing rotavirus emergency visits and hospitalizations among young children in Canada, examine the effect of increasing vaccination coverage on the prevalence of paediatric rotavirus over time</w:t>
            </w:r>
          </w:p>
        </w:tc>
        <w:tc>
          <w:tcPr>
            <w:tcW w:w="638" w:type="pct"/>
          </w:tcPr>
          <w:p w14:paraId="79E66B3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Children, 8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weeks to &lt;3 years, presenting with AGE, diarrhoea, vomiting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(n=32)</w:t>
            </w:r>
          </w:p>
        </w:tc>
        <w:tc>
          <w:tcPr>
            <w:tcW w:w="638" w:type="pct"/>
          </w:tcPr>
          <w:p w14:paraId="17AD1C7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Children, 8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weeks to &lt;3 years, presenting with AGE, diarrhoea, vomiting, rotavirus negative: (n=342)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Surveillance (n=866)</w:t>
            </w:r>
          </w:p>
        </w:tc>
        <w:tc>
          <w:tcPr>
            <w:tcW w:w="638" w:type="pct"/>
          </w:tcPr>
          <w:p w14:paraId="6729CD4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RV1; None </w:t>
            </w:r>
          </w:p>
        </w:tc>
        <w:tc>
          <w:tcPr>
            <w:tcW w:w="1595" w:type="pct"/>
          </w:tcPr>
          <w:p w14:paraId="49B52B0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2012-13 season vs. 2013-14 season: reduced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prevalence of 70.1% (95% CI 21.9, 88.6)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 1% increase in 2 dose RV1 coverage in children 1 year of age: reduced prevalence of 3.8% (95% CI 1.8, 5.8)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Reduced prevalence of rotavirus homotypic strain: 2011–12 season: 77% (95% CI 68, 89) vs. 2013–14 season: 8% (95% CI 0, 36)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effectiveness of 2 dose RV1: 91.2% (95% CI 61.6, 98.0)</w:t>
            </w:r>
          </w:p>
        </w:tc>
      </w:tr>
      <w:tr w:rsidR="009A6D94" w:rsidRPr="000E70FB" w14:paraId="3BB2FB51" w14:textId="77777777" w:rsidTr="00F83C27">
        <w:tc>
          <w:tcPr>
            <w:tcW w:w="213" w:type="pct"/>
          </w:tcPr>
          <w:p w14:paraId="1620EDA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36</w:t>
            </w:r>
          </w:p>
        </w:tc>
        <w:tc>
          <w:tcPr>
            <w:tcW w:w="548" w:type="pct"/>
          </w:tcPr>
          <w:p w14:paraId="08499A8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Benhafid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[44]</w:t>
            </w:r>
          </w:p>
        </w:tc>
        <w:tc>
          <w:tcPr>
            <w:tcW w:w="730" w:type="pct"/>
          </w:tcPr>
          <w:p w14:paraId="0AB8E5E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RV1 in reducing the prevalence of children hospitalized with rotavirus diarrhoea; describe rotavirus genotype and prevalence before and after the introduction of vaccination in Morocco </w:t>
            </w:r>
          </w:p>
        </w:tc>
        <w:tc>
          <w:tcPr>
            <w:tcW w:w="638" w:type="pct"/>
          </w:tcPr>
          <w:p w14:paraId="7257F09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 5 years, diarrhoea positive,</w:t>
            </w:r>
          </w:p>
          <w:p w14:paraId="32B56A0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Diarrhoea positive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Pre-vaccine:  (n=1861)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post-vaccine: (n=533)</w:t>
            </w:r>
          </w:p>
          <w:p w14:paraId="74B18FF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Rotavirus positive cases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Pre-vaccine: Cases (n=766)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Post-vaccine: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Cases (n=128)</w:t>
            </w:r>
          </w:p>
        </w:tc>
        <w:tc>
          <w:tcPr>
            <w:tcW w:w="638" w:type="pct"/>
          </w:tcPr>
          <w:p w14:paraId="5AEC04F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None </w:t>
            </w:r>
          </w:p>
        </w:tc>
        <w:tc>
          <w:tcPr>
            <w:tcW w:w="638" w:type="pct"/>
          </w:tcPr>
          <w:p w14:paraId="2B88423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2562005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Pre-vaccine (2006 to 2010): 1861 children hospitalized with AGE; 766 (41%) rotaviruses positive.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proofErr w:type="gramStart"/>
            <w:r w:rsidRPr="000E70FB">
              <w:rPr>
                <w:rFonts w:ascii="Times New Roman" w:hAnsi="Times New Roman" w:cs="Times New Roman"/>
                <w:sz w:val="22"/>
              </w:rPr>
              <w:t>post-vaccine</w:t>
            </w:r>
            <w:proofErr w:type="gramEnd"/>
            <w:r w:rsidRPr="000E70FB">
              <w:rPr>
                <w:rFonts w:ascii="Times New Roman" w:hAnsi="Times New Roman" w:cs="Times New Roman"/>
                <w:sz w:val="22"/>
              </w:rPr>
              <w:t xml:space="preserve"> (2011 to 2013): 533 children hospitalized with AGE, 128 (24%) rotavirus positive.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Overall decline in prevalence of 41.5%</w:t>
            </w:r>
          </w:p>
        </w:tc>
      </w:tr>
      <w:tr w:rsidR="009A6D94" w:rsidRPr="000E70FB" w14:paraId="5F101463" w14:textId="77777777" w:rsidTr="00F83C27">
        <w:tc>
          <w:tcPr>
            <w:tcW w:w="213" w:type="pct"/>
          </w:tcPr>
          <w:p w14:paraId="5C602EB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37</w:t>
            </w:r>
          </w:p>
        </w:tc>
        <w:tc>
          <w:tcPr>
            <w:tcW w:w="548" w:type="pct"/>
          </w:tcPr>
          <w:p w14:paraId="70EDDA1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Sahakyan</w:t>
            </w:r>
            <w:proofErr w:type="spellEnd"/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 et al. </w:t>
            </w:r>
            <w:r w:rsidRPr="000E70FB">
              <w:rPr>
                <w:rFonts w:ascii="Times New Roman" w:hAnsi="Times New Roman" w:cs="Times New Roman"/>
                <w:sz w:val="22"/>
              </w:rPr>
              <w:t>[31]</w:t>
            </w:r>
          </w:p>
        </w:tc>
        <w:tc>
          <w:tcPr>
            <w:tcW w:w="730" w:type="pct"/>
          </w:tcPr>
          <w:p w14:paraId="6FD528A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RV1 on reducing disease burden in Armenia </w:t>
            </w:r>
          </w:p>
        </w:tc>
        <w:tc>
          <w:tcPr>
            <w:tcW w:w="638" w:type="pct"/>
          </w:tcPr>
          <w:p w14:paraId="5F858FC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0–59 months, with diarrhoea.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positive, between 6 months and 2 years old </w:t>
            </w:r>
          </w:p>
        </w:tc>
        <w:tc>
          <w:tcPr>
            <w:tcW w:w="638" w:type="pct"/>
          </w:tcPr>
          <w:p w14:paraId="21E9513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0–59 months, with diarrhoea, rotavirus negative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</w:p>
        </w:tc>
        <w:tc>
          <w:tcPr>
            <w:tcW w:w="638" w:type="pct"/>
          </w:tcPr>
          <w:p w14:paraId="0EDD338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570E6A4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1st year post-vaccination: 48% reduction in  rotavirus hospitalizations in infants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nd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&amp; 3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rd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years post-vaccinations: ≥75% reduction in rotavirus hospitalizations in infants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Hospitalisations reduced by ≥30% in non-vaccinated children in 3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rd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post-vaccine introduction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Hospitalizations reduced 69% in children aged &lt;5 years.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effectiveness  of 2 doses of RV1 against hospitalization: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6–23 months: 62% (95% CI 36, 77)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Aged 6–11 months: 68% (95% CI 24, 86)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12-23 months: 60% (95% CI 20, 80)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severe rotavirus disease: 79% (95% CI 55, 90)</w:t>
            </w:r>
          </w:p>
        </w:tc>
      </w:tr>
      <w:tr w:rsidR="009A6D94" w:rsidRPr="000E70FB" w14:paraId="1742B6D4" w14:textId="77777777" w:rsidTr="00F83C27">
        <w:trPr>
          <w:trHeight w:val="983"/>
        </w:trPr>
        <w:tc>
          <w:tcPr>
            <w:tcW w:w="213" w:type="pct"/>
          </w:tcPr>
          <w:p w14:paraId="06EAF7B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38</w:t>
            </w:r>
          </w:p>
        </w:tc>
        <w:tc>
          <w:tcPr>
            <w:tcW w:w="548" w:type="pct"/>
          </w:tcPr>
          <w:p w14:paraId="7F2D70C8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Gheorghita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[32]</w:t>
            </w:r>
          </w:p>
        </w:tc>
        <w:tc>
          <w:tcPr>
            <w:tcW w:w="730" w:type="pct"/>
          </w:tcPr>
          <w:p w14:paraId="0D4C91E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RV1 in Moldova, impact of RV1 introduction on rotavirus-associated hospitalizations in Moldova  </w:t>
            </w:r>
          </w:p>
        </w:tc>
        <w:tc>
          <w:tcPr>
            <w:tcW w:w="638" w:type="pct"/>
          </w:tcPr>
          <w:p w14:paraId="4D87393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younger than 5 years, presenting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positive, older than 6 months (n=100)</w:t>
            </w:r>
          </w:p>
        </w:tc>
        <w:tc>
          <w:tcPr>
            <w:tcW w:w="638" w:type="pct"/>
          </w:tcPr>
          <w:p w14:paraId="57ABDAE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Children, younger than 5 years, presenting with AGE, rotavirus negative (n=875) </w:t>
            </w:r>
          </w:p>
        </w:tc>
        <w:tc>
          <w:tcPr>
            <w:tcW w:w="638" w:type="pct"/>
          </w:tcPr>
          <w:p w14:paraId="76FAF3B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14658F9A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Hospitalization for positive rotavirus declined, also in unvaccinated children: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st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post-vaccine: 45% to 25% (rate reduction, 36%; 95% CI 26, 44)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nd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post-vaccine: 14% (rate reduction, 67%; 95% CI 48, 88)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The highest reduction in hospitalizations of infants younger than 1 year old.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effectiveness of 2 doses of RV1: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against hospitalization: 79% (95% CI 62, 88) against severe disease: 84% (95% CI, 64, 83) </w:t>
            </w:r>
          </w:p>
        </w:tc>
      </w:tr>
      <w:tr w:rsidR="009A6D94" w:rsidRPr="000E70FB" w14:paraId="76D44EF5" w14:textId="77777777" w:rsidTr="00F83C27">
        <w:tc>
          <w:tcPr>
            <w:tcW w:w="213" w:type="pct"/>
          </w:tcPr>
          <w:p w14:paraId="756C991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39</w:t>
            </w:r>
          </w:p>
        </w:tc>
        <w:tc>
          <w:tcPr>
            <w:tcW w:w="548" w:type="pct"/>
          </w:tcPr>
          <w:p w14:paraId="623ACCE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Gastañaduy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>[60]</w:t>
            </w:r>
          </w:p>
        </w:tc>
        <w:tc>
          <w:tcPr>
            <w:tcW w:w="730" w:type="pct"/>
          </w:tcPr>
          <w:p w14:paraId="04D4360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RV1 in preventing rotavirus diarrhoea requiring hospitalization in Botswana</w:t>
            </w:r>
          </w:p>
        </w:tc>
        <w:tc>
          <w:tcPr>
            <w:tcW w:w="638" w:type="pct"/>
          </w:tcPr>
          <w:p w14:paraId="5C2A730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≥ 4 months hospitalised with diarrhoea and/or vomiting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(n=242) </w:t>
            </w:r>
          </w:p>
        </w:tc>
        <w:tc>
          <w:tcPr>
            <w:tcW w:w="638" w:type="pct"/>
          </w:tcPr>
          <w:p w14:paraId="638BB95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≥4 months, hospitalised with diarrhoea and/or vomiting, rotavirus negative (n=368)</w:t>
            </w:r>
          </w:p>
        </w:tc>
        <w:tc>
          <w:tcPr>
            <w:tcW w:w="638" w:type="pct"/>
          </w:tcPr>
          <w:p w14:paraId="0253459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RV1; None</w:t>
            </w:r>
          </w:p>
        </w:tc>
        <w:tc>
          <w:tcPr>
            <w:tcW w:w="1595" w:type="pct"/>
          </w:tcPr>
          <w:p w14:paraId="4FA1375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2 doses of RV1 against hospitalization: 54% (95% CI 23, 73)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 dose of RV1: 48% (95% CI 1, 72)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G2P [4]: 59% (95% CI 4, 83)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Nutrition status &amp; 2 doses of RV1: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no undernutrition: 75% (95% CI 41, 89)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moderate or severe undernutrition: -28% (95% CI -309% to 60%) (P = 0.02)</w:t>
            </w:r>
          </w:p>
        </w:tc>
      </w:tr>
      <w:tr w:rsidR="009A6D94" w:rsidRPr="000E70FB" w14:paraId="2447BAFB" w14:textId="77777777" w:rsidTr="00F83C27">
        <w:tc>
          <w:tcPr>
            <w:tcW w:w="213" w:type="pct"/>
          </w:tcPr>
          <w:p w14:paraId="49E5FBB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40</w:t>
            </w:r>
          </w:p>
        </w:tc>
        <w:tc>
          <w:tcPr>
            <w:tcW w:w="548" w:type="pct"/>
          </w:tcPr>
          <w:p w14:paraId="16F7BA3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Bar-Zeev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[34]</w:t>
            </w:r>
          </w:p>
        </w:tc>
        <w:tc>
          <w:tcPr>
            <w:tcW w:w="730" w:type="pct"/>
          </w:tcPr>
          <w:p w14:paraId="38AF6BB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RV1 and rotavirus prevalence in diarrheal stool and hospitalization incidence before and after rotavirus vaccine introduction in Malawi</w:t>
            </w:r>
          </w:p>
        </w:tc>
        <w:tc>
          <w:tcPr>
            <w:tcW w:w="638" w:type="pct"/>
          </w:tcPr>
          <w:p w14:paraId="3CC3BA2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&lt;5 years, presenting with AGE, HIV positive or exposed or stunted.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(n=241)  </w:t>
            </w:r>
          </w:p>
        </w:tc>
        <w:tc>
          <w:tcPr>
            <w:tcW w:w="638" w:type="pct"/>
          </w:tcPr>
          <w:p w14:paraId="3BCA056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&lt;5 years, presenting with AGE, HIV positive or exposed or stunted, rotavirus negative (n=692)</w:t>
            </w:r>
          </w:p>
        </w:tc>
        <w:tc>
          <w:tcPr>
            <w:tcW w:w="638" w:type="pct"/>
          </w:tcPr>
          <w:p w14:paraId="503DE49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7178043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&lt;12 months: 70.6% (95% CI 33.6, 87.0)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12 to 24 months: 31.7% (95% CI −140.6, 80.6)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effectiveness  not influenced by nutritional status (P=0.12) or HIV exposure (P=0.91)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well nourished: 78.1% (95% CI 5.6, 94.9) in stunted: 27.8% (95% CI -99.5, 73.9)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HIV unexposed: 60.5% (95% CI 13.3, 82.0)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HIV exposed: 42.2% (95% CI, −106.9, 83.8)</w:t>
            </w:r>
          </w:p>
        </w:tc>
      </w:tr>
      <w:tr w:rsidR="009A6D94" w:rsidRPr="000E70FB" w14:paraId="13F1DC54" w14:textId="77777777" w:rsidTr="00F83C27">
        <w:tc>
          <w:tcPr>
            <w:tcW w:w="213" w:type="pct"/>
          </w:tcPr>
          <w:p w14:paraId="6EDCFDC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41</w:t>
            </w:r>
          </w:p>
        </w:tc>
        <w:tc>
          <w:tcPr>
            <w:tcW w:w="548" w:type="pct"/>
          </w:tcPr>
          <w:p w14:paraId="2F00D040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Beres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[41]</w:t>
            </w:r>
          </w:p>
        </w:tc>
        <w:tc>
          <w:tcPr>
            <w:tcW w:w="730" w:type="pct"/>
          </w:tcPr>
          <w:p w14:paraId="4D4204F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the RV1 vaccine in Lusaka province Zambia </w:t>
            </w:r>
          </w:p>
        </w:tc>
        <w:tc>
          <w:tcPr>
            <w:tcW w:w="638" w:type="pct"/>
          </w:tcPr>
          <w:p w14:paraId="78C61A4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0 to 59 months, presenting with diarrhoea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(n=125)</w:t>
            </w:r>
          </w:p>
        </w:tc>
        <w:tc>
          <w:tcPr>
            <w:tcW w:w="638" w:type="pct"/>
          </w:tcPr>
          <w:p w14:paraId="62EBE53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0 to 59 months, presenting with diarrhoea, rotavirus negative (n=404)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Surveillance, children with vaccination cards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(n=1506)</w:t>
            </w:r>
          </w:p>
        </w:tc>
        <w:tc>
          <w:tcPr>
            <w:tcW w:w="638" w:type="pct"/>
          </w:tcPr>
          <w:p w14:paraId="0EC683A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RV1; None or pentavalent vaccine (DTP-Hib-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HepB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>)</w:t>
            </w:r>
          </w:p>
        </w:tc>
        <w:tc>
          <w:tcPr>
            <w:tcW w:w="1595" w:type="pct"/>
          </w:tcPr>
          <w:p w14:paraId="70B6128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2 doses of RV1: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&gt;6months: 26% (95% CI, −30, 58)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hospitalization: 56% (95% CI, −34, 86)</w:t>
            </w:r>
          </w:p>
        </w:tc>
      </w:tr>
      <w:tr w:rsidR="009A6D94" w:rsidRPr="000E70FB" w14:paraId="46401FB3" w14:textId="77777777" w:rsidTr="00F83C27">
        <w:tc>
          <w:tcPr>
            <w:tcW w:w="213" w:type="pct"/>
          </w:tcPr>
          <w:p w14:paraId="409E2BC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42</w:t>
            </w:r>
          </w:p>
        </w:tc>
        <w:tc>
          <w:tcPr>
            <w:tcW w:w="548" w:type="pct"/>
          </w:tcPr>
          <w:p w14:paraId="0F033489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Zaman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[30]</w:t>
            </w:r>
          </w:p>
        </w:tc>
        <w:tc>
          <w:tcPr>
            <w:tcW w:w="730" w:type="pct"/>
          </w:tcPr>
          <w:p w14:paraId="0903362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Effectiveness of a rotavirus vaccination program in reducing the risk of presenting with rotavirus AGE in vaccination eligible children in Bangladesh </w:t>
            </w:r>
          </w:p>
        </w:tc>
        <w:tc>
          <w:tcPr>
            <w:tcW w:w="638" w:type="pct"/>
          </w:tcPr>
          <w:p w14:paraId="5B421DF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&lt;2 years, eligible for vaccination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72 villages in vaccine areas with 6527 eligible children </w:t>
            </w:r>
          </w:p>
        </w:tc>
        <w:tc>
          <w:tcPr>
            <w:tcW w:w="638" w:type="pct"/>
          </w:tcPr>
          <w:p w14:paraId="12852AE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72 villages in non-vaccine areas with 5791 eligible children</w:t>
            </w:r>
          </w:p>
        </w:tc>
        <w:tc>
          <w:tcPr>
            <w:tcW w:w="638" w:type="pct"/>
          </w:tcPr>
          <w:p w14:paraId="19CAEDE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1914990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Incidence of rotavirus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non-vaccine villages: 4.10/ 100 person-years vaccine villages: 2.8/ 100 100 person-years Overall effectiveness: 29.0% (95% CI 11.3, 43.1)</w:t>
            </w:r>
          </w:p>
        </w:tc>
      </w:tr>
      <w:tr w:rsidR="009A6D94" w:rsidRPr="000E70FB" w14:paraId="29944EF0" w14:textId="77777777" w:rsidTr="00F83C27">
        <w:tc>
          <w:tcPr>
            <w:tcW w:w="213" w:type="pct"/>
          </w:tcPr>
          <w:p w14:paraId="250CF4AA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43</w:t>
            </w:r>
          </w:p>
        </w:tc>
        <w:tc>
          <w:tcPr>
            <w:tcW w:w="548" w:type="pct"/>
          </w:tcPr>
          <w:p w14:paraId="7D12E10A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Wandera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[28]</w:t>
            </w:r>
          </w:p>
        </w:tc>
        <w:tc>
          <w:tcPr>
            <w:tcW w:w="730" w:type="pct"/>
          </w:tcPr>
          <w:p w14:paraId="5850412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Effectiveness  of a rotavirus vaccination program in Western Kenya on rotavirus AGE and distribution of strains</w:t>
            </w:r>
          </w:p>
        </w:tc>
        <w:tc>
          <w:tcPr>
            <w:tcW w:w="638" w:type="pct"/>
          </w:tcPr>
          <w:p w14:paraId="19E167F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&lt;5 years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Cases: rotavirus positive (n=323) </w:t>
            </w:r>
          </w:p>
        </w:tc>
        <w:tc>
          <w:tcPr>
            <w:tcW w:w="638" w:type="pct"/>
          </w:tcPr>
          <w:p w14:paraId="775F2C6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None</w:t>
            </w:r>
          </w:p>
        </w:tc>
        <w:tc>
          <w:tcPr>
            <w:tcW w:w="638" w:type="pct"/>
          </w:tcPr>
          <w:p w14:paraId="1938316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1BCD2F1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Hospitalizations due to rotavirus AGE declined by 48% (95% CI 27, 64)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st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decline: 40%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nd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decline: 51%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Dominant strain changed from GIP (8) to G2P (4) after the introduction of the vaccine</w:t>
            </w:r>
          </w:p>
        </w:tc>
      </w:tr>
      <w:tr w:rsidR="009A6D94" w:rsidRPr="000E70FB" w14:paraId="445008BE" w14:textId="77777777" w:rsidTr="00F83C27">
        <w:tc>
          <w:tcPr>
            <w:tcW w:w="213" w:type="pct"/>
          </w:tcPr>
          <w:p w14:paraId="39A50EE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44</w:t>
            </w:r>
          </w:p>
        </w:tc>
        <w:tc>
          <w:tcPr>
            <w:tcW w:w="548" w:type="pct"/>
          </w:tcPr>
          <w:p w14:paraId="0C3972D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Restivo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>[47]</w:t>
            </w:r>
          </w:p>
        </w:tc>
        <w:tc>
          <w:tcPr>
            <w:tcW w:w="730" w:type="pct"/>
          </w:tcPr>
          <w:p w14:paraId="12F82B9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  <w:highlight w:val="yellow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Impact of vaccination coverage on rotavirus AGE hospitalization rates in Sicily Italy, after the first five-years universal rotavirus vaccination, to evaluate changes in hospitalization in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different age-groups and Provinces</w:t>
            </w:r>
          </w:p>
        </w:tc>
        <w:tc>
          <w:tcPr>
            <w:tcW w:w="638" w:type="pct"/>
          </w:tcPr>
          <w:p w14:paraId="55AC957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Children, 0 to 59 months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Pre-vaccination (2009 - 2012) Post vaccination (2013 - 2017)</w:t>
            </w:r>
          </w:p>
        </w:tc>
        <w:tc>
          <w:tcPr>
            <w:tcW w:w="638" w:type="pct"/>
          </w:tcPr>
          <w:p w14:paraId="58EE179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None</w:t>
            </w:r>
          </w:p>
        </w:tc>
        <w:tc>
          <w:tcPr>
            <w:tcW w:w="638" w:type="pct"/>
          </w:tcPr>
          <w:p w14:paraId="410C129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0732D63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Pre-vaccination hospitalizations: 394/ 100 000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post-vaccination hospitalizations: 200/ 100 000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49.2% overall reduction in hospitalizations. Reductions in hospitalization by age: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0 to 11 months (-61.4%)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12-23 months (-51.2%)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24-35 months (-48.8%)</w:t>
            </w:r>
          </w:p>
        </w:tc>
      </w:tr>
      <w:tr w:rsidR="009A6D94" w:rsidRPr="000E70FB" w14:paraId="641790D6" w14:textId="77777777" w:rsidTr="00F83C27">
        <w:tc>
          <w:tcPr>
            <w:tcW w:w="213" w:type="pct"/>
            <w:shd w:val="clear" w:color="auto" w:fill="auto"/>
          </w:tcPr>
          <w:p w14:paraId="4D6C2CE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45</w:t>
            </w:r>
          </w:p>
        </w:tc>
        <w:tc>
          <w:tcPr>
            <w:tcW w:w="548" w:type="pct"/>
            <w:shd w:val="clear" w:color="auto" w:fill="auto"/>
          </w:tcPr>
          <w:p w14:paraId="4A045A03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Mpabalwani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[29]</w:t>
            </w:r>
          </w:p>
        </w:tc>
        <w:tc>
          <w:tcPr>
            <w:tcW w:w="730" w:type="pct"/>
            <w:shd w:val="clear" w:color="auto" w:fill="auto"/>
          </w:tcPr>
          <w:p w14:paraId="23FDFDB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Impact of rotavirus vaccine on hospitalisations for rotavirus AGE in children &lt;5 years in the first four years after introducing the vaccine in Zambia</w:t>
            </w:r>
          </w:p>
        </w:tc>
        <w:tc>
          <w:tcPr>
            <w:tcW w:w="638" w:type="pct"/>
            <w:shd w:val="clear" w:color="auto" w:fill="auto"/>
          </w:tcPr>
          <w:p w14:paraId="61FBC43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&lt;5 years, hospitalised for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Pre-vaccine: Jan 2009-Dec 2011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Post-vaccine: Jan 2013-Dec 2016</w:t>
            </w:r>
          </w:p>
        </w:tc>
        <w:tc>
          <w:tcPr>
            <w:tcW w:w="638" w:type="pct"/>
            <w:shd w:val="clear" w:color="auto" w:fill="auto"/>
          </w:tcPr>
          <w:p w14:paraId="12A2CD7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None</w:t>
            </w:r>
          </w:p>
        </w:tc>
        <w:tc>
          <w:tcPr>
            <w:tcW w:w="638" w:type="pct"/>
            <w:shd w:val="clear" w:color="auto" w:fill="auto"/>
          </w:tcPr>
          <w:p w14:paraId="0AB2230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  <w:shd w:val="clear" w:color="auto" w:fill="auto"/>
          </w:tcPr>
          <w:p w14:paraId="6EF5BB1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Pre-vaccine hospitalizations: 40%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Post-vaccine hospitalizations: 29%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Significant reduction (p &lt; 0.001)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Rotavirus positivity decreased from 2013 to 2015, and increased to 37% in 2016.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Post-vaccine years (2012 to 2016), fewer tests conducted (median decline: 34% range: 20 to 43) and lower positivity (median decline: 52% range: 30 to 65)</w:t>
            </w:r>
          </w:p>
        </w:tc>
      </w:tr>
      <w:tr w:rsidR="009A6D94" w:rsidRPr="000E70FB" w14:paraId="78F37B56" w14:textId="77777777" w:rsidTr="00F83C27">
        <w:tc>
          <w:tcPr>
            <w:tcW w:w="213" w:type="pct"/>
          </w:tcPr>
          <w:p w14:paraId="771C4B2A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46</w:t>
            </w:r>
          </w:p>
        </w:tc>
        <w:tc>
          <w:tcPr>
            <w:tcW w:w="548" w:type="pct"/>
          </w:tcPr>
          <w:p w14:paraId="137C79E7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Jani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[42]</w:t>
            </w:r>
          </w:p>
        </w:tc>
        <w:tc>
          <w:tcPr>
            <w:tcW w:w="730" w:type="pct"/>
          </w:tcPr>
          <w:p w14:paraId="295D5F4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RV in preventing hospitalisations, and impact on detection rate before and after the vaccine was introduced in mainland Tanzania</w:t>
            </w:r>
          </w:p>
        </w:tc>
        <w:tc>
          <w:tcPr>
            <w:tcW w:w="638" w:type="pct"/>
          </w:tcPr>
          <w:p w14:paraId="7E1CB76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 5 years, presenting with AGE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(n=154)</w:t>
            </w:r>
          </w:p>
        </w:tc>
        <w:tc>
          <w:tcPr>
            <w:tcW w:w="638" w:type="pct"/>
          </w:tcPr>
          <w:p w14:paraId="2EB5B6E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 5 years, presenting with AGE, rotavirus negative (n=670)</w:t>
            </w:r>
          </w:p>
        </w:tc>
        <w:tc>
          <w:tcPr>
            <w:tcW w:w="638" w:type="pct"/>
          </w:tcPr>
          <w:p w14:paraId="0C3586F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7C87988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Positivity declined after the vaccine was introduced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Vaccine efficacy of &gt;/1 RV1 dose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hospitalization among children 5 to 23 months: 53% (95% CI -14, 81)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against hospitalization with intravenous rehydration: 66% (95% CI 9, 87) </w:t>
            </w:r>
          </w:p>
        </w:tc>
      </w:tr>
      <w:tr w:rsidR="009A6D94" w:rsidRPr="000E70FB" w14:paraId="279FC64A" w14:textId="77777777" w:rsidTr="00F83C27">
        <w:tc>
          <w:tcPr>
            <w:tcW w:w="213" w:type="pct"/>
          </w:tcPr>
          <w:p w14:paraId="2FCF7BA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47</w:t>
            </w:r>
          </w:p>
        </w:tc>
        <w:tc>
          <w:tcPr>
            <w:tcW w:w="548" w:type="pct"/>
          </w:tcPr>
          <w:p w14:paraId="45C8187A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Mujuru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[26]</w:t>
            </w:r>
          </w:p>
        </w:tc>
        <w:tc>
          <w:tcPr>
            <w:tcW w:w="730" w:type="pct"/>
          </w:tcPr>
          <w:p w14:paraId="285FD37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routine RV1 vaccination in Zimbabwe</w:t>
            </w:r>
          </w:p>
        </w:tc>
        <w:tc>
          <w:tcPr>
            <w:tcW w:w="638" w:type="pct"/>
          </w:tcPr>
          <w:p w14:paraId="7F41541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&gt; 6 months, &lt; 5 years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(n=903)</w:t>
            </w:r>
          </w:p>
        </w:tc>
        <w:tc>
          <w:tcPr>
            <w:tcW w:w="638" w:type="pct"/>
          </w:tcPr>
          <w:p w14:paraId="08434BC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&gt; 6 months, &lt; 5 years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negative (n=2685)</w:t>
            </w:r>
          </w:p>
        </w:tc>
        <w:tc>
          <w:tcPr>
            <w:tcW w:w="638" w:type="pct"/>
          </w:tcPr>
          <w:p w14:paraId="18BFA45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RV1; None</w:t>
            </w:r>
          </w:p>
        </w:tc>
        <w:tc>
          <w:tcPr>
            <w:tcW w:w="1595" w:type="pct"/>
          </w:tcPr>
          <w:p w14:paraId="0B11095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2 doses of RV1: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hospitalization, any severity: 61% (95% CI 21, 81)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against severe disease: 68% (95% CI 13, 88) Nutritional status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stunted infants: 45% (95% CI -148, 88) normal height for age: 71% (95% CI 29, 88) </w:t>
            </w:r>
          </w:p>
        </w:tc>
      </w:tr>
      <w:tr w:rsidR="009A6D94" w:rsidRPr="000E70FB" w14:paraId="2E2678F7" w14:textId="77777777" w:rsidTr="00F83C27">
        <w:tc>
          <w:tcPr>
            <w:tcW w:w="213" w:type="pct"/>
          </w:tcPr>
          <w:p w14:paraId="3786D88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48</w:t>
            </w:r>
          </w:p>
        </w:tc>
        <w:tc>
          <w:tcPr>
            <w:tcW w:w="548" w:type="pct"/>
          </w:tcPr>
          <w:p w14:paraId="4B2C9B9D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Maguire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[27]</w:t>
            </w:r>
          </w:p>
        </w:tc>
        <w:tc>
          <w:tcPr>
            <w:tcW w:w="730" w:type="pct"/>
          </w:tcPr>
          <w:p w14:paraId="095AAC3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RV1, surveillance of rotavirus disease, epidemiology, and genotypic profiles in Australia</w:t>
            </w:r>
          </w:p>
        </w:tc>
        <w:tc>
          <w:tcPr>
            <w:tcW w:w="638" w:type="pct"/>
          </w:tcPr>
          <w:p w14:paraId="768D1C6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&gt; 6 months eligible for vaccination.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(n=3587), 2010-2017</w:t>
            </w:r>
          </w:p>
        </w:tc>
        <w:tc>
          <w:tcPr>
            <w:tcW w:w="638" w:type="pct"/>
          </w:tcPr>
          <w:p w14:paraId="1E86BF1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Cased matched controls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10 controls for each case</w:t>
            </w:r>
          </w:p>
        </w:tc>
        <w:tc>
          <w:tcPr>
            <w:tcW w:w="638" w:type="pct"/>
          </w:tcPr>
          <w:p w14:paraId="325E510A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RV1; None</w:t>
            </w:r>
          </w:p>
        </w:tc>
        <w:tc>
          <w:tcPr>
            <w:tcW w:w="1595" w:type="pct"/>
          </w:tcPr>
          <w:p w14:paraId="6757CB7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2 doses of RV1: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6 to 11 months: 88.6%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1 to 3 years: 83.7%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Age: 4 to 9 years: 78.7%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st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of vaccination: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5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th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to 10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th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post-vaccination: 77.05%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Equine like G3P [8] (48%) and G8P [8] (23%) were most common genotypes in case patients &gt;/6 months.</w:t>
            </w:r>
          </w:p>
        </w:tc>
      </w:tr>
      <w:tr w:rsidR="009A6D94" w:rsidRPr="000E70FB" w14:paraId="7A97E9CF" w14:textId="77777777" w:rsidTr="00F83C27">
        <w:tc>
          <w:tcPr>
            <w:tcW w:w="213" w:type="pct"/>
          </w:tcPr>
          <w:p w14:paraId="14FB6D8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49</w:t>
            </w:r>
          </w:p>
        </w:tc>
        <w:tc>
          <w:tcPr>
            <w:tcW w:w="548" w:type="pct"/>
          </w:tcPr>
          <w:p w14:paraId="0CA6A18D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Gikonyo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[46]</w:t>
            </w:r>
          </w:p>
        </w:tc>
        <w:tc>
          <w:tcPr>
            <w:tcW w:w="730" w:type="pct"/>
          </w:tcPr>
          <w:p w14:paraId="6F90643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Impact of RV1 vaccination on the prevalence, age and seasonal distribution of rotavirus gastroenteritis in urban, Nairobi County, Kenya</w:t>
            </w:r>
          </w:p>
        </w:tc>
        <w:tc>
          <w:tcPr>
            <w:tcW w:w="638" w:type="pct"/>
          </w:tcPr>
          <w:p w14:paraId="116111C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Children, &lt; 5 years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Cases: rotavirus positive (n=323), 2015-2017</w:t>
            </w:r>
          </w:p>
        </w:tc>
        <w:tc>
          <w:tcPr>
            <w:tcW w:w="638" w:type="pct"/>
          </w:tcPr>
          <w:p w14:paraId="53F3047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None</w:t>
            </w:r>
          </w:p>
        </w:tc>
        <w:tc>
          <w:tcPr>
            <w:tcW w:w="638" w:type="pct"/>
          </w:tcPr>
          <w:p w14:paraId="2CFFEE0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RV1; None </w:t>
            </w:r>
          </w:p>
        </w:tc>
        <w:tc>
          <w:tcPr>
            <w:tcW w:w="1595" w:type="pct"/>
          </w:tcPr>
          <w:p w14:paraId="715C3CD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Rotavirus infections detected in 49/323 faecal samples, prevalence = 15.2%.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In 2015, 21/95 (22.1%) samples were rotavirus positive.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In 2016, 17/115 (14.8%) samples were rotavirus positive.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In 2017, 11/ 113 (10%) samples were rotavirus positive.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Age distribution of rotavirus prevalence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 ≤ 6 months: 8.5%, 7 to 12 months: 27.4%, 13 to 24 months: 41.4%, 25 to 36 months: 16.4%, 36 to 65: 6.3%.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Rotavirus diarrhoea was more common in wet and cold months, highest prevalence in August (24.5%), July and March (12.3%), April (10.2%).</w:t>
            </w:r>
          </w:p>
        </w:tc>
      </w:tr>
      <w:tr w:rsidR="009A6D94" w:rsidRPr="000E70FB" w14:paraId="13D3BADC" w14:textId="77777777" w:rsidTr="00F83C27">
        <w:tc>
          <w:tcPr>
            <w:tcW w:w="213" w:type="pct"/>
          </w:tcPr>
          <w:p w14:paraId="30F1B06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50</w:t>
            </w:r>
          </w:p>
        </w:tc>
        <w:tc>
          <w:tcPr>
            <w:tcW w:w="548" w:type="pct"/>
          </w:tcPr>
          <w:p w14:paraId="4308F8D2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Bompangue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 xml:space="preserve">et al. </w:t>
            </w:r>
            <w:r w:rsidRPr="000E70FB">
              <w:rPr>
                <w:rFonts w:ascii="Times New Roman" w:hAnsi="Times New Roman" w:cs="Times New Roman"/>
                <w:sz w:val="22"/>
              </w:rPr>
              <w:t>[74]</w:t>
            </w:r>
          </w:p>
        </w:tc>
        <w:tc>
          <w:tcPr>
            <w:tcW w:w="730" w:type="pct"/>
          </w:tcPr>
          <w:p w14:paraId="4A3E59D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Temporal pattern of cholera outbreaks, number of cases per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health zone in Kinshasa Province DRC, before and after interventions were implemented</w:t>
            </w:r>
          </w:p>
        </w:tc>
        <w:tc>
          <w:tcPr>
            <w:tcW w:w="638" w:type="pct"/>
          </w:tcPr>
          <w:p w14:paraId="550A81B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Any person &gt;/2 years, cholera cases (2017 to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2018), n=1712</w:t>
            </w:r>
          </w:p>
        </w:tc>
        <w:tc>
          <w:tcPr>
            <w:tcW w:w="638" w:type="pct"/>
          </w:tcPr>
          <w:p w14:paraId="0F1F7B8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None</w:t>
            </w:r>
          </w:p>
        </w:tc>
        <w:tc>
          <w:tcPr>
            <w:tcW w:w="638" w:type="pct"/>
          </w:tcPr>
          <w:p w14:paraId="45D21A3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Grid approach: Emergency water supply,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Household water treatment, safe storage, home disinfection, hygiene promotion; None </w:t>
            </w:r>
          </w:p>
        </w:tc>
        <w:tc>
          <w:tcPr>
            <w:tcW w:w="1595" w:type="pct"/>
          </w:tcPr>
          <w:p w14:paraId="2845AB9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 xml:space="preserve">Weekly cholera cases dropped by an average of 57% after 2 weeks and 86% after 4 weeks of interventions. The total weekly cases dropped </w:t>
            </w: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by 71</w:t>
            </w:r>
            <w:proofErr w:type="gramStart"/>
            <w:r w:rsidRPr="000E70FB">
              <w:rPr>
                <w:rFonts w:ascii="Times New Roman" w:hAnsi="Times New Roman" w:cs="Times New Roman"/>
                <w:sz w:val="22"/>
              </w:rPr>
              <w:t>% ,</w:t>
            </w:r>
            <w:proofErr w:type="gramEnd"/>
            <w:r w:rsidRPr="000E70FB">
              <w:rPr>
                <w:rFonts w:ascii="Times New Roman" w:hAnsi="Times New Roman" w:cs="Times New Roman"/>
                <w:sz w:val="22"/>
              </w:rPr>
              <w:t xml:space="preserve"> following the peak of the outbreak.</w:t>
            </w:r>
          </w:p>
        </w:tc>
      </w:tr>
      <w:tr w:rsidR="009A6D94" w:rsidRPr="000E70FB" w14:paraId="05F6926D" w14:textId="77777777" w:rsidTr="00F83C27">
        <w:tc>
          <w:tcPr>
            <w:tcW w:w="213" w:type="pct"/>
          </w:tcPr>
          <w:p w14:paraId="3CB453F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51</w:t>
            </w:r>
          </w:p>
        </w:tc>
        <w:tc>
          <w:tcPr>
            <w:tcW w:w="548" w:type="pct"/>
          </w:tcPr>
          <w:p w14:paraId="6D057CC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Ali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[80]</w:t>
            </w:r>
          </w:p>
        </w:tc>
        <w:tc>
          <w:tcPr>
            <w:tcW w:w="730" w:type="pct"/>
          </w:tcPr>
          <w:p w14:paraId="0691910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The impact of the mass vaccination campaign on the spatial patterns of typhoid fever using Geographic Information System (GIS) methodologies</w:t>
            </w:r>
          </w:p>
        </w:tc>
        <w:tc>
          <w:tcPr>
            <w:tcW w:w="638" w:type="pct"/>
          </w:tcPr>
          <w:p w14:paraId="19766BC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Persons aged two years and older, living in the area where Vi vaccine was given (n=37763)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st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post-vaccine (n=37 578)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nd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 vaccine (n=36 376)</w:t>
            </w:r>
          </w:p>
        </w:tc>
        <w:tc>
          <w:tcPr>
            <w:tcW w:w="638" w:type="pct"/>
          </w:tcPr>
          <w:p w14:paraId="6F1172C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Persons who got a single dose of the inactivated hepatitis A vaccine, outside of the Vi vaccine area</w:t>
            </w:r>
          </w:p>
        </w:tc>
        <w:tc>
          <w:tcPr>
            <w:tcW w:w="638" w:type="pct"/>
          </w:tcPr>
          <w:p w14:paraId="0B6D330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Vi polysaccharide; Inactivated hepatitis A vaccine</w:t>
            </w:r>
          </w:p>
        </w:tc>
        <w:tc>
          <w:tcPr>
            <w:tcW w:w="1595" w:type="pct"/>
          </w:tcPr>
          <w:p w14:paraId="774C762D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Typhoid was randomly distributed in the pre-vaccine period. Following mass vaccination, control clusters were the high-risk areas for typhoid, low-risk areas were dominated by Vi clusters. Control clusters surrounded by Vi clusters also had low risk for typhoid fevers.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Pre-vaccination incidences: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Salmonella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typhi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(S.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typhi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): 194/100 000 Salmonella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paratyphi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(S.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paratyphi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): 104/100 000 </w:t>
            </w:r>
          </w:p>
          <w:p w14:paraId="4B5E913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1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st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post-vaccination: incidence of S.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typhi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dropped, incidence of S.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paratyphi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similar to pre-vaccination period.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2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nd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 post-vaccination period: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S.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typhi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>: 190/100 000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S.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paratyphi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>: 170/100 000</w:t>
            </w:r>
          </w:p>
        </w:tc>
      </w:tr>
      <w:tr w:rsidR="009A6D94" w:rsidRPr="000E70FB" w14:paraId="0A70C19C" w14:textId="77777777" w:rsidTr="00F83C27">
        <w:trPr>
          <w:trHeight w:val="2087"/>
        </w:trPr>
        <w:tc>
          <w:tcPr>
            <w:tcW w:w="213" w:type="pct"/>
          </w:tcPr>
          <w:p w14:paraId="5F5C1B1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52</w:t>
            </w:r>
          </w:p>
        </w:tc>
        <w:tc>
          <w:tcPr>
            <w:tcW w:w="548" w:type="pct"/>
          </w:tcPr>
          <w:p w14:paraId="6B8823B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Pollock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[79]</w:t>
            </w:r>
          </w:p>
        </w:tc>
        <w:tc>
          <w:tcPr>
            <w:tcW w:w="730" w:type="pct"/>
          </w:tcPr>
          <w:p w14:paraId="60CFD01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Association between Loch Katrine sourced water with the local incidence of cryptosporidiosis in Scotland </w:t>
            </w:r>
          </w:p>
        </w:tc>
        <w:tc>
          <w:tcPr>
            <w:tcW w:w="638" w:type="pct"/>
          </w:tcPr>
          <w:p w14:paraId="1F6EF8A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Community members with cryptosporidiosis (n=395)</w:t>
            </w:r>
          </w:p>
        </w:tc>
        <w:tc>
          <w:tcPr>
            <w:tcW w:w="638" w:type="pct"/>
          </w:tcPr>
          <w:p w14:paraId="7F468AB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None</w:t>
            </w:r>
          </w:p>
        </w:tc>
        <w:tc>
          <w:tcPr>
            <w:tcW w:w="638" w:type="pct"/>
          </w:tcPr>
          <w:p w14:paraId="5043889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Enhanced water filtration/ No enhanced filtration/ non-Loch Katrine areas</w:t>
            </w:r>
          </w:p>
        </w:tc>
        <w:tc>
          <w:tcPr>
            <w:tcW w:w="1595" w:type="pct"/>
          </w:tcPr>
          <w:p w14:paraId="49DBA5B4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Incidence of cryptosporidiosis associated with, unfiltered Loch Katrine drinking water supplied to the home (OR, 1.86, 95% CI 1.11, 3.11)</w:t>
            </w:r>
          </w:p>
        </w:tc>
      </w:tr>
      <w:tr w:rsidR="009A6D94" w:rsidRPr="000E70FB" w14:paraId="127018B8" w14:textId="77777777" w:rsidTr="00F83C27">
        <w:tc>
          <w:tcPr>
            <w:tcW w:w="213" w:type="pct"/>
          </w:tcPr>
          <w:p w14:paraId="22C041A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53</w:t>
            </w:r>
          </w:p>
        </w:tc>
        <w:tc>
          <w:tcPr>
            <w:tcW w:w="548" w:type="pct"/>
          </w:tcPr>
          <w:p w14:paraId="44A2B406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Khatib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[78]</w:t>
            </w:r>
          </w:p>
        </w:tc>
        <w:tc>
          <w:tcPr>
            <w:tcW w:w="730" w:type="pct"/>
          </w:tcPr>
          <w:p w14:paraId="30E131A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Effectiveness of oral cholera vaccination in high-risk populations to estimate the indirect (herd) protection Tanzania </w:t>
            </w:r>
          </w:p>
        </w:tc>
        <w:tc>
          <w:tcPr>
            <w:tcW w:w="638" w:type="pct"/>
          </w:tcPr>
          <w:p w14:paraId="4A3ACDF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People 2 years and older Vaccine eligible (n=48178)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Received the vaccine (n=23921) </w:t>
            </w:r>
          </w:p>
        </w:tc>
        <w:tc>
          <w:tcPr>
            <w:tcW w:w="638" w:type="pct"/>
          </w:tcPr>
          <w:p w14:paraId="4CFBCDE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None</w:t>
            </w:r>
          </w:p>
        </w:tc>
        <w:tc>
          <w:tcPr>
            <w:tcW w:w="638" w:type="pct"/>
          </w:tcPr>
          <w:p w14:paraId="7316DC9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Two doses of a killed whole-cell B-subunit cholera vaccine; None </w:t>
            </w:r>
          </w:p>
        </w:tc>
        <w:tc>
          <w:tcPr>
            <w:tcW w:w="1595" w:type="pct"/>
          </w:tcPr>
          <w:p w14:paraId="4F19D6F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Vaccine effectiveness of doses of cholera vaccine: 79% (95% CI 47, 92) 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Reduced risk of cholera for people living in neighbourhoods of high vaccine coverage. Herd immunity was also found </w:t>
            </w:r>
          </w:p>
          <w:p w14:paraId="2D578AAF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</w:p>
        </w:tc>
      </w:tr>
      <w:tr w:rsidR="009A6D94" w:rsidRPr="000E70FB" w14:paraId="3FF125BD" w14:textId="77777777" w:rsidTr="00F83C27">
        <w:tc>
          <w:tcPr>
            <w:tcW w:w="213" w:type="pct"/>
          </w:tcPr>
          <w:p w14:paraId="717106B5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54</w:t>
            </w:r>
          </w:p>
        </w:tc>
        <w:tc>
          <w:tcPr>
            <w:tcW w:w="548" w:type="pct"/>
          </w:tcPr>
          <w:p w14:paraId="181B52FB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Wierzba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[76]</w:t>
            </w:r>
          </w:p>
        </w:tc>
        <w:tc>
          <w:tcPr>
            <w:tcW w:w="730" w:type="pct"/>
          </w:tcPr>
          <w:p w14:paraId="6B4B1929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Effectiveness of cholera vaccine for local staff, cold chain equipment staff and logistics staff to prevent clinically significant cholera in India </w:t>
            </w:r>
          </w:p>
        </w:tc>
        <w:tc>
          <w:tcPr>
            <w:tcW w:w="638" w:type="pct"/>
          </w:tcPr>
          <w:p w14:paraId="3B1119A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Patients, &gt; 1 year, with acute diarrhoea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 xml:space="preserve">Cases, cholera positive (n=44) </w:t>
            </w:r>
          </w:p>
        </w:tc>
        <w:tc>
          <w:tcPr>
            <w:tcW w:w="638" w:type="pct"/>
          </w:tcPr>
          <w:p w14:paraId="1A11FAE8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Patients, &gt; 1 year, with acute diarrhoea, cholera negative (n=366)</w:t>
            </w:r>
          </w:p>
        </w:tc>
        <w:tc>
          <w:tcPr>
            <w:tcW w:w="638" w:type="pct"/>
          </w:tcPr>
          <w:p w14:paraId="3ED3449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Two (2) dose cholera vaccine; None </w:t>
            </w:r>
          </w:p>
        </w:tc>
        <w:tc>
          <w:tcPr>
            <w:tcW w:w="1595" w:type="pct"/>
          </w:tcPr>
          <w:p w14:paraId="49FB121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2 doses of cholera vaccine: 69.0% (95% CI 14.5, 88.8%)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Single dose: 33%, test for trend, p = 0.0091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Incidence of cholera: 2.42/100 000 population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</w:r>
            <w:r w:rsidRPr="000E70FB" w:rsidDel="00571C64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9A6D94" w:rsidRPr="000E70FB" w14:paraId="1F4C6B3A" w14:textId="77777777" w:rsidTr="00F83C27">
        <w:tc>
          <w:tcPr>
            <w:tcW w:w="213" w:type="pct"/>
          </w:tcPr>
          <w:p w14:paraId="21419E67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55</w:t>
            </w:r>
          </w:p>
        </w:tc>
        <w:tc>
          <w:tcPr>
            <w:tcW w:w="548" w:type="pct"/>
          </w:tcPr>
          <w:p w14:paraId="6D66879E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Franke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[77]</w:t>
            </w:r>
          </w:p>
        </w:tc>
        <w:tc>
          <w:tcPr>
            <w:tcW w:w="730" w:type="pct"/>
          </w:tcPr>
          <w:p w14:paraId="116DAD1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Effectiveness and duration of 2 doses and 1 dose of cholera vaccine </w:t>
            </w:r>
          </w:p>
        </w:tc>
        <w:tc>
          <w:tcPr>
            <w:tcW w:w="638" w:type="pct"/>
          </w:tcPr>
          <w:p w14:paraId="3795119C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Participants ≥12 months, positive for Vibrio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cholerae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01 (n=178)    </w:t>
            </w:r>
          </w:p>
        </w:tc>
        <w:tc>
          <w:tcPr>
            <w:tcW w:w="638" w:type="pct"/>
          </w:tcPr>
          <w:p w14:paraId="6CD15C7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4 community controls selected for each case, from the same area (n=706)</w:t>
            </w:r>
          </w:p>
        </w:tc>
        <w:tc>
          <w:tcPr>
            <w:tcW w:w="638" w:type="pct"/>
          </w:tcPr>
          <w:p w14:paraId="36D65146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Killed, bivalent, whole-cell oral cholera vaccine; None</w:t>
            </w:r>
          </w:p>
        </w:tc>
        <w:tc>
          <w:tcPr>
            <w:tcW w:w="1595" w:type="pct"/>
          </w:tcPr>
          <w:p w14:paraId="56F8BBE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of 2 doses of cholera vaccine over 4-years: 76% (95% CI 59, 86). Vaccine effectiveness of a single dose: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1</w:t>
            </w:r>
            <w:r w:rsidRPr="000E70FB">
              <w:rPr>
                <w:rFonts w:ascii="Times New Roman" w:hAnsi="Times New Roman" w:cs="Times New Roman"/>
                <w:sz w:val="22"/>
                <w:vertAlign w:val="superscript"/>
              </w:rPr>
              <w:t>st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year: 79% (95% CI 43, 93)</w:t>
            </w:r>
            <w:r w:rsidRPr="000E70FB">
              <w:rPr>
                <w:rFonts w:ascii="Times New Roman" w:hAnsi="Times New Roman" w:cs="Times New Roman"/>
                <w:sz w:val="22"/>
              </w:rPr>
              <w:br/>
              <w:t>Dropped zero by the end of 2nd year</w:t>
            </w:r>
          </w:p>
        </w:tc>
      </w:tr>
      <w:tr w:rsidR="009A6D94" w:rsidRPr="000E70FB" w14:paraId="3399D4B2" w14:textId="77777777" w:rsidTr="00F83C27">
        <w:tc>
          <w:tcPr>
            <w:tcW w:w="213" w:type="pct"/>
          </w:tcPr>
          <w:p w14:paraId="51BA444B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lastRenderedPageBreak/>
              <w:t>56</w:t>
            </w:r>
          </w:p>
        </w:tc>
        <w:tc>
          <w:tcPr>
            <w:tcW w:w="548" w:type="pct"/>
          </w:tcPr>
          <w:p w14:paraId="71DAE23C" w14:textId="77777777" w:rsidR="009A6D94" w:rsidRPr="000E70FB" w:rsidRDefault="009A6D94" w:rsidP="00F83C27">
            <w:pPr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Luquero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0E70FB">
              <w:rPr>
                <w:rFonts w:ascii="Times New Roman" w:hAnsi="Times New Roman" w:cs="Times New Roman"/>
                <w:i/>
                <w:iCs/>
                <w:sz w:val="22"/>
              </w:rPr>
              <w:t>et al.</w:t>
            </w:r>
            <w:r w:rsidRPr="000E70FB">
              <w:rPr>
                <w:rFonts w:ascii="Times New Roman" w:hAnsi="Times New Roman" w:cs="Times New Roman"/>
                <w:sz w:val="22"/>
              </w:rPr>
              <w:t xml:space="preserve"> [75]</w:t>
            </w:r>
          </w:p>
        </w:tc>
        <w:tc>
          <w:tcPr>
            <w:tcW w:w="730" w:type="pct"/>
          </w:tcPr>
          <w:p w14:paraId="752614B3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 xml:space="preserve">Effectiveness of the   </w:t>
            </w: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Shanchol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vaccine in response to a cholera outbreak in an African country</w:t>
            </w:r>
          </w:p>
        </w:tc>
        <w:tc>
          <w:tcPr>
            <w:tcW w:w="638" w:type="pct"/>
          </w:tcPr>
          <w:p w14:paraId="50F50F70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Suspected cholera patients, &gt; 12 years. Cases: cholera positive (n=40)</w:t>
            </w:r>
          </w:p>
        </w:tc>
        <w:tc>
          <w:tcPr>
            <w:tcW w:w="638" w:type="pct"/>
          </w:tcPr>
          <w:p w14:paraId="645E11A1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Neighbours, same age and sex as cases who did not seek care for diarrhoea during the outbreak (n=160)</w:t>
            </w:r>
          </w:p>
        </w:tc>
        <w:tc>
          <w:tcPr>
            <w:tcW w:w="638" w:type="pct"/>
          </w:tcPr>
          <w:p w14:paraId="07D73472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0E70FB">
              <w:rPr>
                <w:rFonts w:ascii="Times New Roman" w:hAnsi="Times New Roman" w:cs="Times New Roman"/>
                <w:sz w:val="22"/>
              </w:rPr>
              <w:t>Shanchol</w:t>
            </w:r>
            <w:proofErr w:type="spellEnd"/>
            <w:r w:rsidRPr="000E70FB">
              <w:rPr>
                <w:rFonts w:ascii="Times New Roman" w:hAnsi="Times New Roman" w:cs="Times New Roman"/>
                <w:sz w:val="22"/>
              </w:rPr>
              <w:t xml:space="preserve"> vaccine 2 dose cholera vaccine; None</w:t>
            </w:r>
          </w:p>
        </w:tc>
        <w:tc>
          <w:tcPr>
            <w:tcW w:w="1595" w:type="pct"/>
          </w:tcPr>
          <w:p w14:paraId="66039C8E" w14:textId="77777777" w:rsidR="009A6D94" w:rsidRPr="000E70FB" w:rsidRDefault="009A6D94" w:rsidP="00F83C27">
            <w:pPr>
              <w:spacing w:after="160" w:line="259" w:lineRule="auto"/>
              <w:rPr>
                <w:rFonts w:ascii="Times New Roman" w:hAnsi="Times New Roman" w:cs="Times New Roman"/>
                <w:sz w:val="22"/>
              </w:rPr>
            </w:pPr>
            <w:r w:rsidRPr="000E70FB">
              <w:rPr>
                <w:rFonts w:ascii="Times New Roman" w:hAnsi="Times New Roman" w:cs="Times New Roman"/>
                <w:sz w:val="22"/>
              </w:rPr>
              <w:t>Vaccine effectiveness with 2 complete doses: 86.6%; 95% CI 56.7, 95.8 (P = 0.001)</w:t>
            </w:r>
          </w:p>
        </w:tc>
      </w:tr>
    </w:tbl>
    <w:p w14:paraId="2F8173BA" w14:textId="77777777" w:rsidR="009A6D94" w:rsidRPr="000E70FB" w:rsidRDefault="009A6D94" w:rsidP="009A6D94">
      <w:pPr>
        <w:rPr>
          <w:rFonts w:ascii="Times New Roman" w:hAnsi="Times New Roman" w:cs="Times New Roman"/>
        </w:rPr>
      </w:pPr>
    </w:p>
    <w:p w14:paraId="35E4C67F" w14:textId="77777777" w:rsidR="009A6D94" w:rsidRPr="000E70FB" w:rsidRDefault="009A6D94">
      <w:pPr>
        <w:rPr>
          <w:rFonts w:ascii="Times New Roman" w:hAnsi="Times New Roman" w:cs="Times New Roman"/>
        </w:rPr>
      </w:pPr>
    </w:p>
    <w:sectPr w:rsidR="009A6D94" w:rsidRPr="000E70FB" w:rsidSect="00501D8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2799"/>
  </w:docVars>
  <w:rsids>
    <w:rsidRoot w:val="0079303C"/>
    <w:rsid w:val="00002F34"/>
    <w:rsid w:val="0000420F"/>
    <w:rsid w:val="00004628"/>
    <w:rsid w:val="00005E16"/>
    <w:rsid w:val="000076A2"/>
    <w:rsid w:val="00010513"/>
    <w:rsid w:val="000105AB"/>
    <w:rsid w:val="00010A71"/>
    <w:rsid w:val="000111CA"/>
    <w:rsid w:val="000146F1"/>
    <w:rsid w:val="00017B99"/>
    <w:rsid w:val="000200B6"/>
    <w:rsid w:val="00020A9E"/>
    <w:rsid w:val="00021BF6"/>
    <w:rsid w:val="00021E9E"/>
    <w:rsid w:val="000233A9"/>
    <w:rsid w:val="00023584"/>
    <w:rsid w:val="0002441A"/>
    <w:rsid w:val="00024690"/>
    <w:rsid w:val="000253F4"/>
    <w:rsid w:val="00025C91"/>
    <w:rsid w:val="000301EC"/>
    <w:rsid w:val="0003055B"/>
    <w:rsid w:val="00033FAD"/>
    <w:rsid w:val="000341A2"/>
    <w:rsid w:val="000362DA"/>
    <w:rsid w:val="00037884"/>
    <w:rsid w:val="00043423"/>
    <w:rsid w:val="0004496D"/>
    <w:rsid w:val="000465A3"/>
    <w:rsid w:val="00050853"/>
    <w:rsid w:val="00051A0E"/>
    <w:rsid w:val="00051AD6"/>
    <w:rsid w:val="00051C60"/>
    <w:rsid w:val="00051FC9"/>
    <w:rsid w:val="0005242B"/>
    <w:rsid w:val="000529A4"/>
    <w:rsid w:val="00056C8C"/>
    <w:rsid w:val="000618EC"/>
    <w:rsid w:val="0006204E"/>
    <w:rsid w:val="000628AA"/>
    <w:rsid w:val="000663E9"/>
    <w:rsid w:val="00070F1D"/>
    <w:rsid w:val="0007344A"/>
    <w:rsid w:val="00075666"/>
    <w:rsid w:val="000756D7"/>
    <w:rsid w:val="0007627C"/>
    <w:rsid w:val="00076B99"/>
    <w:rsid w:val="00077125"/>
    <w:rsid w:val="00084394"/>
    <w:rsid w:val="00085B04"/>
    <w:rsid w:val="00087C14"/>
    <w:rsid w:val="0009108B"/>
    <w:rsid w:val="00091698"/>
    <w:rsid w:val="00094360"/>
    <w:rsid w:val="00097873"/>
    <w:rsid w:val="000A32CE"/>
    <w:rsid w:val="000A5494"/>
    <w:rsid w:val="000A5F85"/>
    <w:rsid w:val="000A69CB"/>
    <w:rsid w:val="000A6DBE"/>
    <w:rsid w:val="000B1A67"/>
    <w:rsid w:val="000B1AF3"/>
    <w:rsid w:val="000B50C8"/>
    <w:rsid w:val="000B6EE5"/>
    <w:rsid w:val="000C02A7"/>
    <w:rsid w:val="000C364A"/>
    <w:rsid w:val="000C4116"/>
    <w:rsid w:val="000C417F"/>
    <w:rsid w:val="000C63D0"/>
    <w:rsid w:val="000C7D01"/>
    <w:rsid w:val="000D00E9"/>
    <w:rsid w:val="000D23D9"/>
    <w:rsid w:val="000D2469"/>
    <w:rsid w:val="000D3DCB"/>
    <w:rsid w:val="000D4824"/>
    <w:rsid w:val="000D5EE1"/>
    <w:rsid w:val="000D7A1A"/>
    <w:rsid w:val="000E1721"/>
    <w:rsid w:val="000E2121"/>
    <w:rsid w:val="000E25C6"/>
    <w:rsid w:val="000E26EE"/>
    <w:rsid w:val="000E2B56"/>
    <w:rsid w:val="000E2EEB"/>
    <w:rsid w:val="000E4A1F"/>
    <w:rsid w:val="000E6002"/>
    <w:rsid w:val="000E70FB"/>
    <w:rsid w:val="000E7629"/>
    <w:rsid w:val="000E7F4B"/>
    <w:rsid w:val="000F0C09"/>
    <w:rsid w:val="000F2244"/>
    <w:rsid w:val="000F3CFC"/>
    <w:rsid w:val="001000C6"/>
    <w:rsid w:val="00101270"/>
    <w:rsid w:val="00101D8E"/>
    <w:rsid w:val="00101E32"/>
    <w:rsid w:val="0010326A"/>
    <w:rsid w:val="00104FC6"/>
    <w:rsid w:val="001054AF"/>
    <w:rsid w:val="0010573D"/>
    <w:rsid w:val="001058B4"/>
    <w:rsid w:val="0010721D"/>
    <w:rsid w:val="00110B1D"/>
    <w:rsid w:val="00112872"/>
    <w:rsid w:val="00114875"/>
    <w:rsid w:val="00115553"/>
    <w:rsid w:val="00115B2D"/>
    <w:rsid w:val="001163A7"/>
    <w:rsid w:val="001226DB"/>
    <w:rsid w:val="00123D6C"/>
    <w:rsid w:val="00123EDF"/>
    <w:rsid w:val="00126AA7"/>
    <w:rsid w:val="001346AD"/>
    <w:rsid w:val="001352F2"/>
    <w:rsid w:val="00141721"/>
    <w:rsid w:val="00141AD3"/>
    <w:rsid w:val="00142A70"/>
    <w:rsid w:val="00143FAC"/>
    <w:rsid w:val="00144710"/>
    <w:rsid w:val="001517A1"/>
    <w:rsid w:val="00152E62"/>
    <w:rsid w:val="00153303"/>
    <w:rsid w:val="00155476"/>
    <w:rsid w:val="00155C45"/>
    <w:rsid w:val="00160233"/>
    <w:rsid w:val="00161651"/>
    <w:rsid w:val="001619DE"/>
    <w:rsid w:val="00162F76"/>
    <w:rsid w:val="00163C08"/>
    <w:rsid w:val="00164E02"/>
    <w:rsid w:val="00166750"/>
    <w:rsid w:val="00167F73"/>
    <w:rsid w:val="00170B51"/>
    <w:rsid w:val="00170BB9"/>
    <w:rsid w:val="00172D3E"/>
    <w:rsid w:val="00172F3E"/>
    <w:rsid w:val="0017684D"/>
    <w:rsid w:val="0017685F"/>
    <w:rsid w:val="00181779"/>
    <w:rsid w:val="00181E5D"/>
    <w:rsid w:val="001833DC"/>
    <w:rsid w:val="00183BC3"/>
    <w:rsid w:val="001854D0"/>
    <w:rsid w:val="001867C4"/>
    <w:rsid w:val="001875C5"/>
    <w:rsid w:val="00187A4E"/>
    <w:rsid w:val="00190AFB"/>
    <w:rsid w:val="00191057"/>
    <w:rsid w:val="001924A3"/>
    <w:rsid w:val="00192EF7"/>
    <w:rsid w:val="00193BF7"/>
    <w:rsid w:val="001A08F0"/>
    <w:rsid w:val="001A1B23"/>
    <w:rsid w:val="001A2619"/>
    <w:rsid w:val="001A4B0F"/>
    <w:rsid w:val="001A54EB"/>
    <w:rsid w:val="001A57E4"/>
    <w:rsid w:val="001A6DEE"/>
    <w:rsid w:val="001B170B"/>
    <w:rsid w:val="001B5655"/>
    <w:rsid w:val="001B5E29"/>
    <w:rsid w:val="001B64E7"/>
    <w:rsid w:val="001B68A0"/>
    <w:rsid w:val="001B6CFE"/>
    <w:rsid w:val="001B6DF7"/>
    <w:rsid w:val="001B6E64"/>
    <w:rsid w:val="001C2094"/>
    <w:rsid w:val="001C3D95"/>
    <w:rsid w:val="001C575F"/>
    <w:rsid w:val="001C6D52"/>
    <w:rsid w:val="001C6F71"/>
    <w:rsid w:val="001D0BDB"/>
    <w:rsid w:val="001E1ECC"/>
    <w:rsid w:val="001E52B9"/>
    <w:rsid w:val="001E5FB6"/>
    <w:rsid w:val="001E61CE"/>
    <w:rsid w:val="001E6925"/>
    <w:rsid w:val="001E76A9"/>
    <w:rsid w:val="001F139B"/>
    <w:rsid w:val="001F6390"/>
    <w:rsid w:val="001F76C8"/>
    <w:rsid w:val="001F7713"/>
    <w:rsid w:val="002008A6"/>
    <w:rsid w:val="00202C6A"/>
    <w:rsid w:val="00203D94"/>
    <w:rsid w:val="00204646"/>
    <w:rsid w:val="002074D3"/>
    <w:rsid w:val="00210024"/>
    <w:rsid w:val="0021078D"/>
    <w:rsid w:val="00211610"/>
    <w:rsid w:val="002122FD"/>
    <w:rsid w:val="002131B6"/>
    <w:rsid w:val="002152AE"/>
    <w:rsid w:val="0021662B"/>
    <w:rsid w:val="00216870"/>
    <w:rsid w:val="0021784B"/>
    <w:rsid w:val="00220091"/>
    <w:rsid w:val="00220370"/>
    <w:rsid w:val="002207CE"/>
    <w:rsid w:val="002212D7"/>
    <w:rsid w:val="00223C05"/>
    <w:rsid w:val="00225711"/>
    <w:rsid w:val="00230791"/>
    <w:rsid w:val="00231585"/>
    <w:rsid w:val="002429BE"/>
    <w:rsid w:val="00245E5C"/>
    <w:rsid w:val="00247408"/>
    <w:rsid w:val="0025274C"/>
    <w:rsid w:val="00252CA6"/>
    <w:rsid w:val="00252D2B"/>
    <w:rsid w:val="002539F6"/>
    <w:rsid w:val="00253F2B"/>
    <w:rsid w:val="00255547"/>
    <w:rsid w:val="00256356"/>
    <w:rsid w:val="002566F1"/>
    <w:rsid w:val="0025768F"/>
    <w:rsid w:val="00257F50"/>
    <w:rsid w:val="00261938"/>
    <w:rsid w:val="00264DC9"/>
    <w:rsid w:val="00266B1B"/>
    <w:rsid w:val="002710AF"/>
    <w:rsid w:val="0027298D"/>
    <w:rsid w:val="00272A48"/>
    <w:rsid w:val="00275EDF"/>
    <w:rsid w:val="00275F6D"/>
    <w:rsid w:val="0027634D"/>
    <w:rsid w:val="002773A4"/>
    <w:rsid w:val="002812A2"/>
    <w:rsid w:val="002849DE"/>
    <w:rsid w:val="00287A60"/>
    <w:rsid w:val="00287BDE"/>
    <w:rsid w:val="00287C88"/>
    <w:rsid w:val="00294AE4"/>
    <w:rsid w:val="00295910"/>
    <w:rsid w:val="002976E4"/>
    <w:rsid w:val="002A2645"/>
    <w:rsid w:val="002A4D73"/>
    <w:rsid w:val="002B2EFA"/>
    <w:rsid w:val="002B4507"/>
    <w:rsid w:val="002C045C"/>
    <w:rsid w:val="002C56DA"/>
    <w:rsid w:val="002C6696"/>
    <w:rsid w:val="002C72D6"/>
    <w:rsid w:val="002D0F30"/>
    <w:rsid w:val="002D1735"/>
    <w:rsid w:val="002D17EC"/>
    <w:rsid w:val="002D2738"/>
    <w:rsid w:val="002D2B09"/>
    <w:rsid w:val="002D3331"/>
    <w:rsid w:val="002D3CD3"/>
    <w:rsid w:val="002D3D27"/>
    <w:rsid w:val="002D4CBE"/>
    <w:rsid w:val="002D5958"/>
    <w:rsid w:val="002D6AC5"/>
    <w:rsid w:val="002D7529"/>
    <w:rsid w:val="002E328B"/>
    <w:rsid w:val="002E3D73"/>
    <w:rsid w:val="002F3B62"/>
    <w:rsid w:val="002F591B"/>
    <w:rsid w:val="002F5956"/>
    <w:rsid w:val="002F7720"/>
    <w:rsid w:val="00300723"/>
    <w:rsid w:val="00301A94"/>
    <w:rsid w:val="00301BD1"/>
    <w:rsid w:val="003056DB"/>
    <w:rsid w:val="00305941"/>
    <w:rsid w:val="003103F5"/>
    <w:rsid w:val="00310C9E"/>
    <w:rsid w:val="00311D74"/>
    <w:rsid w:val="00313007"/>
    <w:rsid w:val="00313FD2"/>
    <w:rsid w:val="00316549"/>
    <w:rsid w:val="00321DF5"/>
    <w:rsid w:val="00325113"/>
    <w:rsid w:val="003254A3"/>
    <w:rsid w:val="00326093"/>
    <w:rsid w:val="00326E9A"/>
    <w:rsid w:val="00330B59"/>
    <w:rsid w:val="003315D4"/>
    <w:rsid w:val="003317AE"/>
    <w:rsid w:val="003317B2"/>
    <w:rsid w:val="0033391F"/>
    <w:rsid w:val="00334306"/>
    <w:rsid w:val="00335113"/>
    <w:rsid w:val="00335A3C"/>
    <w:rsid w:val="003366E9"/>
    <w:rsid w:val="0033767B"/>
    <w:rsid w:val="0033790F"/>
    <w:rsid w:val="00341350"/>
    <w:rsid w:val="003420A4"/>
    <w:rsid w:val="00343024"/>
    <w:rsid w:val="0034417B"/>
    <w:rsid w:val="00344709"/>
    <w:rsid w:val="0034602F"/>
    <w:rsid w:val="003460C6"/>
    <w:rsid w:val="00354124"/>
    <w:rsid w:val="00354CE0"/>
    <w:rsid w:val="00355E97"/>
    <w:rsid w:val="003576B0"/>
    <w:rsid w:val="0036049C"/>
    <w:rsid w:val="00364A63"/>
    <w:rsid w:val="00365A82"/>
    <w:rsid w:val="00366B71"/>
    <w:rsid w:val="003671F5"/>
    <w:rsid w:val="003731CC"/>
    <w:rsid w:val="00373D8D"/>
    <w:rsid w:val="0037518D"/>
    <w:rsid w:val="00382176"/>
    <w:rsid w:val="003829CD"/>
    <w:rsid w:val="00382D30"/>
    <w:rsid w:val="0038407A"/>
    <w:rsid w:val="00384BBD"/>
    <w:rsid w:val="00386697"/>
    <w:rsid w:val="00391CD5"/>
    <w:rsid w:val="00392D89"/>
    <w:rsid w:val="00394028"/>
    <w:rsid w:val="0039455B"/>
    <w:rsid w:val="00394823"/>
    <w:rsid w:val="00397FD6"/>
    <w:rsid w:val="003A178E"/>
    <w:rsid w:val="003A4913"/>
    <w:rsid w:val="003A576A"/>
    <w:rsid w:val="003A61C4"/>
    <w:rsid w:val="003A6C00"/>
    <w:rsid w:val="003B07FC"/>
    <w:rsid w:val="003B0DF3"/>
    <w:rsid w:val="003B2A4B"/>
    <w:rsid w:val="003B5F22"/>
    <w:rsid w:val="003B79F6"/>
    <w:rsid w:val="003B7D14"/>
    <w:rsid w:val="003C1743"/>
    <w:rsid w:val="003C192F"/>
    <w:rsid w:val="003C2477"/>
    <w:rsid w:val="003C247F"/>
    <w:rsid w:val="003C2629"/>
    <w:rsid w:val="003C35F3"/>
    <w:rsid w:val="003C479E"/>
    <w:rsid w:val="003C5E36"/>
    <w:rsid w:val="003D001B"/>
    <w:rsid w:val="003D04AF"/>
    <w:rsid w:val="003D1CA1"/>
    <w:rsid w:val="003D1E98"/>
    <w:rsid w:val="003D2504"/>
    <w:rsid w:val="003D2C1D"/>
    <w:rsid w:val="003D3235"/>
    <w:rsid w:val="003D4707"/>
    <w:rsid w:val="003D48AD"/>
    <w:rsid w:val="003D6AA6"/>
    <w:rsid w:val="003D6E26"/>
    <w:rsid w:val="003D718E"/>
    <w:rsid w:val="003D77D5"/>
    <w:rsid w:val="003D79DD"/>
    <w:rsid w:val="003E37DE"/>
    <w:rsid w:val="003E6632"/>
    <w:rsid w:val="003E67AF"/>
    <w:rsid w:val="003E6B08"/>
    <w:rsid w:val="003F11EB"/>
    <w:rsid w:val="003F13FA"/>
    <w:rsid w:val="003F23D2"/>
    <w:rsid w:val="003F53EC"/>
    <w:rsid w:val="00401005"/>
    <w:rsid w:val="00405987"/>
    <w:rsid w:val="00406CE7"/>
    <w:rsid w:val="0041135C"/>
    <w:rsid w:val="00414C2A"/>
    <w:rsid w:val="00414F45"/>
    <w:rsid w:val="00415FE9"/>
    <w:rsid w:val="00416176"/>
    <w:rsid w:val="004175E5"/>
    <w:rsid w:val="0041778A"/>
    <w:rsid w:val="00417DF1"/>
    <w:rsid w:val="00423975"/>
    <w:rsid w:val="004309A1"/>
    <w:rsid w:val="004328ED"/>
    <w:rsid w:val="00432D15"/>
    <w:rsid w:val="00433F01"/>
    <w:rsid w:val="004340CE"/>
    <w:rsid w:val="0043578B"/>
    <w:rsid w:val="00435A38"/>
    <w:rsid w:val="004376F4"/>
    <w:rsid w:val="0044316C"/>
    <w:rsid w:val="00443216"/>
    <w:rsid w:val="00444555"/>
    <w:rsid w:val="004453BD"/>
    <w:rsid w:val="004469EB"/>
    <w:rsid w:val="00446A00"/>
    <w:rsid w:val="004471AE"/>
    <w:rsid w:val="00447637"/>
    <w:rsid w:val="004479CE"/>
    <w:rsid w:val="00452138"/>
    <w:rsid w:val="00452648"/>
    <w:rsid w:val="004539EA"/>
    <w:rsid w:val="004543AC"/>
    <w:rsid w:val="00455EF1"/>
    <w:rsid w:val="00461B17"/>
    <w:rsid w:val="00462257"/>
    <w:rsid w:val="00462B13"/>
    <w:rsid w:val="00471017"/>
    <w:rsid w:val="00472A3B"/>
    <w:rsid w:val="004742E2"/>
    <w:rsid w:val="004751CE"/>
    <w:rsid w:val="0047627F"/>
    <w:rsid w:val="0048133E"/>
    <w:rsid w:val="0048356E"/>
    <w:rsid w:val="00483C19"/>
    <w:rsid w:val="00487B26"/>
    <w:rsid w:val="00490FF7"/>
    <w:rsid w:val="00491E38"/>
    <w:rsid w:val="00492007"/>
    <w:rsid w:val="00492FC3"/>
    <w:rsid w:val="00494563"/>
    <w:rsid w:val="004945AC"/>
    <w:rsid w:val="004950EF"/>
    <w:rsid w:val="004A0A75"/>
    <w:rsid w:val="004A5980"/>
    <w:rsid w:val="004A6CCC"/>
    <w:rsid w:val="004A7AB2"/>
    <w:rsid w:val="004B086C"/>
    <w:rsid w:val="004B0BB9"/>
    <w:rsid w:val="004B238B"/>
    <w:rsid w:val="004B2FEA"/>
    <w:rsid w:val="004B41F4"/>
    <w:rsid w:val="004B4CD8"/>
    <w:rsid w:val="004B6743"/>
    <w:rsid w:val="004B694B"/>
    <w:rsid w:val="004B6F9F"/>
    <w:rsid w:val="004C1A5B"/>
    <w:rsid w:val="004C2CC3"/>
    <w:rsid w:val="004C3963"/>
    <w:rsid w:val="004C456B"/>
    <w:rsid w:val="004C4FBF"/>
    <w:rsid w:val="004C50AD"/>
    <w:rsid w:val="004C5394"/>
    <w:rsid w:val="004C6AC2"/>
    <w:rsid w:val="004D2313"/>
    <w:rsid w:val="004D3396"/>
    <w:rsid w:val="004D4F2C"/>
    <w:rsid w:val="004D6F54"/>
    <w:rsid w:val="004E0152"/>
    <w:rsid w:val="004E1A63"/>
    <w:rsid w:val="004E1C63"/>
    <w:rsid w:val="004E2086"/>
    <w:rsid w:val="004E4C7F"/>
    <w:rsid w:val="004E4FB6"/>
    <w:rsid w:val="004E6B9A"/>
    <w:rsid w:val="004F0350"/>
    <w:rsid w:val="004F0914"/>
    <w:rsid w:val="004F303B"/>
    <w:rsid w:val="004F3FCC"/>
    <w:rsid w:val="004F4FAF"/>
    <w:rsid w:val="004F6E19"/>
    <w:rsid w:val="00500400"/>
    <w:rsid w:val="00501768"/>
    <w:rsid w:val="00501D89"/>
    <w:rsid w:val="00503B88"/>
    <w:rsid w:val="00503E38"/>
    <w:rsid w:val="005048F1"/>
    <w:rsid w:val="00506546"/>
    <w:rsid w:val="00507611"/>
    <w:rsid w:val="00510180"/>
    <w:rsid w:val="00515B44"/>
    <w:rsid w:val="00515C3C"/>
    <w:rsid w:val="005163F4"/>
    <w:rsid w:val="00516EE5"/>
    <w:rsid w:val="00521F8C"/>
    <w:rsid w:val="00521FD6"/>
    <w:rsid w:val="005221F8"/>
    <w:rsid w:val="0053240D"/>
    <w:rsid w:val="00535320"/>
    <w:rsid w:val="00535741"/>
    <w:rsid w:val="005401DE"/>
    <w:rsid w:val="00540802"/>
    <w:rsid w:val="005421D3"/>
    <w:rsid w:val="0054356A"/>
    <w:rsid w:val="0054481C"/>
    <w:rsid w:val="00544EB9"/>
    <w:rsid w:val="0054577D"/>
    <w:rsid w:val="0054674C"/>
    <w:rsid w:val="0055262E"/>
    <w:rsid w:val="00557278"/>
    <w:rsid w:val="005604C9"/>
    <w:rsid w:val="00561C47"/>
    <w:rsid w:val="00562428"/>
    <w:rsid w:val="0056436A"/>
    <w:rsid w:val="00564BB1"/>
    <w:rsid w:val="005652C1"/>
    <w:rsid w:val="00565D3C"/>
    <w:rsid w:val="00567D63"/>
    <w:rsid w:val="0057018D"/>
    <w:rsid w:val="005702FC"/>
    <w:rsid w:val="00570CEF"/>
    <w:rsid w:val="00571C64"/>
    <w:rsid w:val="005722E7"/>
    <w:rsid w:val="005763F9"/>
    <w:rsid w:val="00576A9B"/>
    <w:rsid w:val="00576B7E"/>
    <w:rsid w:val="00580351"/>
    <w:rsid w:val="0058169A"/>
    <w:rsid w:val="00581BC8"/>
    <w:rsid w:val="00583C46"/>
    <w:rsid w:val="00585488"/>
    <w:rsid w:val="00586BF1"/>
    <w:rsid w:val="00587D3B"/>
    <w:rsid w:val="005915F6"/>
    <w:rsid w:val="005A0BD6"/>
    <w:rsid w:val="005A135C"/>
    <w:rsid w:val="005A3C9E"/>
    <w:rsid w:val="005A49C0"/>
    <w:rsid w:val="005A5570"/>
    <w:rsid w:val="005A7149"/>
    <w:rsid w:val="005B0516"/>
    <w:rsid w:val="005B0FC2"/>
    <w:rsid w:val="005B3C36"/>
    <w:rsid w:val="005B3EF8"/>
    <w:rsid w:val="005B4498"/>
    <w:rsid w:val="005B4F21"/>
    <w:rsid w:val="005B56ED"/>
    <w:rsid w:val="005B5B6B"/>
    <w:rsid w:val="005B647D"/>
    <w:rsid w:val="005C014C"/>
    <w:rsid w:val="005C1CF0"/>
    <w:rsid w:val="005C279E"/>
    <w:rsid w:val="005C2B17"/>
    <w:rsid w:val="005C52A6"/>
    <w:rsid w:val="005C5F0B"/>
    <w:rsid w:val="005C6CF0"/>
    <w:rsid w:val="005C7688"/>
    <w:rsid w:val="005D05E4"/>
    <w:rsid w:val="005D092C"/>
    <w:rsid w:val="005D0A1A"/>
    <w:rsid w:val="005D479E"/>
    <w:rsid w:val="005D5301"/>
    <w:rsid w:val="005D5D07"/>
    <w:rsid w:val="005D6220"/>
    <w:rsid w:val="005E0307"/>
    <w:rsid w:val="005E05AC"/>
    <w:rsid w:val="005E0A40"/>
    <w:rsid w:val="005E1907"/>
    <w:rsid w:val="005E1A56"/>
    <w:rsid w:val="005E27D4"/>
    <w:rsid w:val="005E453A"/>
    <w:rsid w:val="005E4D41"/>
    <w:rsid w:val="005F23FC"/>
    <w:rsid w:val="005F2495"/>
    <w:rsid w:val="005F3803"/>
    <w:rsid w:val="005F7975"/>
    <w:rsid w:val="005F7F5A"/>
    <w:rsid w:val="006007B8"/>
    <w:rsid w:val="0060156D"/>
    <w:rsid w:val="00602531"/>
    <w:rsid w:val="00602AA3"/>
    <w:rsid w:val="00606348"/>
    <w:rsid w:val="00606481"/>
    <w:rsid w:val="00610536"/>
    <w:rsid w:val="00613062"/>
    <w:rsid w:val="00613542"/>
    <w:rsid w:val="00614F0E"/>
    <w:rsid w:val="006171A1"/>
    <w:rsid w:val="00617B18"/>
    <w:rsid w:val="0062065E"/>
    <w:rsid w:val="0062069E"/>
    <w:rsid w:val="0062323D"/>
    <w:rsid w:val="00625AAF"/>
    <w:rsid w:val="00626385"/>
    <w:rsid w:val="00627B67"/>
    <w:rsid w:val="00636ECE"/>
    <w:rsid w:val="006403FD"/>
    <w:rsid w:val="00640CB8"/>
    <w:rsid w:val="0064240C"/>
    <w:rsid w:val="00642C45"/>
    <w:rsid w:val="0064335F"/>
    <w:rsid w:val="0064366D"/>
    <w:rsid w:val="00643CEF"/>
    <w:rsid w:val="00644568"/>
    <w:rsid w:val="00646880"/>
    <w:rsid w:val="006528C8"/>
    <w:rsid w:val="006530E5"/>
    <w:rsid w:val="0065558B"/>
    <w:rsid w:val="006560B1"/>
    <w:rsid w:val="00656AF0"/>
    <w:rsid w:val="00656ED5"/>
    <w:rsid w:val="0065749B"/>
    <w:rsid w:val="00660922"/>
    <w:rsid w:val="00665176"/>
    <w:rsid w:val="0066687F"/>
    <w:rsid w:val="006676AC"/>
    <w:rsid w:val="00667722"/>
    <w:rsid w:val="00667EDF"/>
    <w:rsid w:val="00670522"/>
    <w:rsid w:val="006726BB"/>
    <w:rsid w:val="00672DBF"/>
    <w:rsid w:val="00673A6B"/>
    <w:rsid w:val="006755FD"/>
    <w:rsid w:val="006804DA"/>
    <w:rsid w:val="00682EF4"/>
    <w:rsid w:val="0068364D"/>
    <w:rsid w:val="00683D50"/>
    <w:rsid w:val="00691377"/>
    <w:rsid w:val="00692293"/>
    <w:rsid w:val="006927C2"/>
    <w:rsid w:val="00692B41"/>
    <w:rsid w:val="006945BD"/>
    <w:rsid w:val="00694A0D"/>
    <w:rsid w:val="00697C33"/>
    <w:rsid w:val="006A1949"/>
    <w:rsid w:val="006A2330"/>
    <w:rsid w:val="006A424F"/>
    <w:rsid w:val="006A51F9"/>
    <w:rsid w:val="006A769F"/>
    <w:rsid w:val="006B1C98"/>
    <w:rsid w:val="006B1CB6"/>
    <w:rsid w:val="006B36B5"/>
    <w:rsid w:val="006B4D6F"/>
    <w:rsid w:val="006B5DD7"/>
    <w:rsid w:val="006C1B37"/>
    <w:rsid w:val="006C28E0"/>
    <w:rsid w:val="006C3088"/>
    <w:rsid w:val="006C344A"/>
    <w:rsid w:val="006C3F6C"/>
    <w:rsid w:val="006C4991"/>
    <w:rsid w:val="006C6C48"/>
    <w:rsid w:val="006D30EB"/>
    <w:rsid w:val="006D323D"/>
    <w:rsid w:val="006D3423"/>
    <w:rsid w:val="006D444F"/>
    <w:rsid w:val="006D4E4C"/>
    <w:rsid w:val="006D535C"/>
    <w:rsid w:val="006D53B3"/>
    <w:rsid w:val="006D6030"/>
    <w:rsid w:val="006D604C"/>
    <w:rsid w:val="006D67A5"/>
    <w:rsid w:val="006D6E58"/>
    <w:rsid w:val="006D7707"/>
    <w:rsid w:val="006D7FAC"/>
    <w:rsid w:val="006E1120"/>
    <w:rsid w:val="006E277B"/>
    <w:rsid w:val="006E56A3"/>
    <w:rsid w:val="006E587A"/>
    <w:rsid w:val="006E5CB7"/>
    <w:rsid w:val="006E7B19"/>
    <w:rsid w:val="006F36E5"/>
    <w:rsid w:val="006F41B1"/>
    <w:rsid w:val="006F4FBD"/>
    <w:rsid w:val="006F67DF"/>
    <w:rsid w:val="006F6F16"/>
    <w:rsid w:val="007009CA"/>
    <w:rsid w:val="0070344A"/>
    <w:rsid w:val="00704FBB"/>
    <w:rsid w:val="0070545D"/>
    <w:rsid w:val="00707589"/>
    <w:rsid w:val="00710A1C"/>
    <w:rsid w:val="00711CEE"/>
    <w:rsid w:val="007139CD"/>
    <w:rsid w:val="00714ED6"/>
    <w:rsid w:val="007201B9"/>
    <w:rsid w:val="0072083A"/>
    <w:rsid w:val="00722F56"/>
    <w:rsid w:val="00723105"/>
    <w:rsid w:val="00723E2A"/>
    <w:rsid w:val="00723F45"/>
    <w:rsid w:val="0072422B"/>
    <w:rsid w:val="00726CD0"/>
    <w:rsid w:val="0073069E"/>
    <w:rsid w:val="00732DBD"/>
    <w:rsid w:val="00737A3C"/>
    <w:rsid w:val="00740270"/>
    <w:rsid w:val="0074103E"/>
    <w:rsid w:val="0074179B"/>
    <w:rsid w:val="007426B4"/>
    <w:rsid w:val="00742BA5"/>
    <w:rsid w:val="007439C3"/>
    <w:rsid w:val="007459CE"/>
    <w:rsid w:val="007526FF"/>
    <w:rsid w:val="00754924"/>
    <w:rsid w:val="00755542"/>
    <w:rsid w:val="00756A67"/>
    <w:rsid w:val="00756D5B"/>
    <w:rsid w:val="00760EB4"/>
    <w:rsid w:val="0076141B"/>
    <w:rsid w:val="00764342"/>
    <w:rsid w:val="007653BA"/>
    <w:rsid w:val="00766242"/>
    <w:rsid w:val="007669B5"/>
    <w:rsid w:val="00771316"/>
    <w:rsid w:val="00774412"/>
    <w:rsid w:val="00774F85"/>
    <w:rsid w:val="00777425"/>
    <w:rsid w:val="007810A0"/>
    <w:rsid w:val="007816FF"/>
    <w:rsid w:val="00782E5B"/>
    <w:rsid w:val="007844EA"/>
    <w:rsid w:val="00784E3F"/>
    <w:rsid w:val="00786198"/>
    <w:rsid w:val="00786C00"/>
    <w:rsid w:val="00786CAD"/>
    <w:rsid w:val="00786FD1"/>
    <w:rsid w:val="007903BA"/>
    <w:rsid w:val="00790D08"/>
    <w:rsid w:val="00792E55"/>
    <w:rsid w:val="0079303C"/>
    <w:rsid w:val="007942D8"/>
    <w:rsid w:val="00796F32"/>
    <w:rsid w:val="007A1F3E"/>
    <w:rsid w:val="007A249F"/>
    <w:rsid w:val="007A4C1F"/>
    <w:rsid w:val="007A65DC"/>
    <w:rsid w:val="007B0545"/>
    <w:rsid w:val="007B081D"/>
    <w:rsid w:val="007B17E6"/>
    <w:rsid w:val="007B1AB0"/>
    <w:rsid w:val="007B5198"/>
    <w:rsid w:val="007B6460"/>
    <w:rsid w:val="007C2B1C"/>
    <w:rsid w:val="007C2C77"/>
    <w:rsid w:val="007C4882"/>
    <w:rsid w:val="007D04C1"/>
    <w:rsid w:val="007D35C1"/>
    <w:rsid w:val="007D4DD1"/>
    <w:rsid w:val="007D5A08"/>
    <w:rsid w:val="007E44E0"/>
    <w:rsid w:val="007F19EC"/>
    <w:rsid w:val="007F2B60"/>
    <w:rsid w:val="007F6E56"/>
    <w:rsid w:val="00801BD9"/>
    <w:rsid w:val="00805940"/>
    <w:rsid w:val="00807010"/>
    <w:rsid w:val="008104CF"/>
    <w:rsid w:val="008119FE"/>
    <w:rsid w:val="00815127"/>
    <w:rsid w:val="008154F1"/>
    <w:rsid w:val="008162B8"/>
    <w:rsid w:val="008170A2"/>
    <w:rsid w:val="008209D5"/>
    <w:rsid w:val="00820E6C"/>
    <w:rsid w:val="0082133C"/>
    <w:rsid w:val="0082304B"/>
    <w:rsid w:val="00823421"/>
    <w:rsid w:val="00825343"/>
    <w:rsid w:val="00825A02"/>
    <w:rsid w:val="00826E86"/>
    <w:rsid w:val="00826FB3"/>
    <w:rsid w:val="00832CDA"/>
    <w:rsid w:val="00833C81"/>
    <w:rsid w:val="008368C1"/>
    <w:rsid w:val="00836E19"/>
    <w:rsid w:val="00836F79"/>
    <w:rsid w:val="00842B73"/>
    <w:rsid w:val="0084572E"/>
    <w:rsid w:val="00845799"/>
    <w:rsid w:val="00846647"/>
    <w:rsid w:val="00847FC7"/>
    <w:rsid w:val="00850778"/>
    <w:rsid w:val="00850BC9"/>
    <w:rsid w:val="008521D2"/>
    <w:rsid w:val="0085576A"/>
    <w:rsid w:val="0085684D"/>
    <w:rsid w:val="00860867"/>
    <w:rsid w:val="00861893"/>
    <w:rsid w:val="00862BD1"/>
    <w:rsid w:val="00863B9D"/>
    <w:rsid w:val="00864CB9"/>
    <w:rsid w:val="00867085"/>
    <w:rsid w:val="0087190E"/>
    <w:rsid w:val="00871F38"/>
    <w:rsid w:val="0087396D"/>
    <w:rsid w:val="00873F7B"/>
    <w:rsid w:val="00874598"/>
    <w:rsid w:val="00876840"/>
    <w:rsid w:val="00877A72"/>
    <w:rsid w:val="00881D5C"/>
    <w:rsid w:val="00884EF1"/>
    <w:rsid w:val="00885FE7"/>
    <w:rsid w:val="0088656F"/>
    <w:rsid w:val="00892858"/>
    <w:rsid w:val="008940F3"/>
    <w:rsid w:val="00894E52"/>
    <w:rsid w:val="00895F18"/>
    <w:rsid w:val="0089731A"/>
    <w:rsid w:val="008A1041"/>
    <w:rsid w:val="008A1FF8"/>
    <w:rsid w:val="008A68C1"/>
    <w:rsid w:val="008A70DC"/>
    <w:rsid w:val="008B0E4A"/>
    <w:rsid w:val="008B3459"/>
    <w:rsid w:val="008B4E8C"/>
    <w:rsid w:val="008C0086"/>
    <w:rsid w:val="008C5605"/>
    <w:rsid w:val="008C6D83"/>
    <w:rsid w:val="008D0946"/>
    <w:rsid w:val="008D0C1D"/>
    <w:rsid w:val="008E0400"/>
    <w:rsid w:val="008E13DF"/>
    <w:rsid w:val="008E2AAB"/>
    <w:rsid w:val="008E3554"/>
    <w:rsid w:val="008E5528"/>
    <w:rsid w:val="008E72E5"/>
    <w:rsid w:val="008F0EA9"/>
    <w:rsid w:val="008F1EB6"/>
    <w:rsid w:val="008F1EFB"/>
    <w:rsid w:val="008F2297"/>
    <w:rsid w:val="008F2AA7"/>
    <w:rsid w:val="008F4F93"/>
    <w:rsid w:val="008F5790"/>
    <w:rsid w:val="008F5EAA"/>
    <w:rsid w:val="008F6796"/>
    <w:rsid w:val="00902B34"/>
    <w:rsid w:val="00903FDA"/>
    <w:rsid w:val="0091314B"/>
    <w:rsid w:val="009165D7"/>
    <w:rsid w:val="009211BB"/>
    <w:rsid w:val="00924FAF"/>
    <w:rsid w:val="00925EBC"/>
    <w:rsid w:val="009263AD"/>
    <w:rsid w:val="009303F1"/>
    <w:rsid w:val="009307CC"/>
    <w:rsid w:val="009312DB"/>
    <w:rsid w:val="0093305F"/>
    <w:rsid w:val="009331B4"/>
    <w:rsid w:val="00934F8D"/>
    <w:rsid w:val="00936141"/>
    <w:rsid w:val="00937D3E"/>
    <w:rsid w:val="00937E9A"/>
    <w:rsid w:val="009429A3"/>
    <w:rsid w:val="009436DA"/>
    <w:rsid w:val="0094382D"/>
    <w:rsid w:val="00943A66"/>
    <w:rsid w:val="0094662B"/>
    <w:rsid w:val="0094718D"/>
    <w:rsid w:val="0095001B"/>
    <w:rsid w:val="0095133C"/>
    <w:rsid w:val="00952501"/>
    <w:rsid w:val="00952BA9"/>
    <w:rsid w:val="0095330A"/>
    <w:rsid w:val="0095394E"/>
    <w:rsid w:val="00954742"/>
    <w:rsid w:val="0095507C"/>
    <w:rsid w:val="009567C0"/>
    <w:rsid w:val="00957251"/>
    <w:rsid w:val="00957359"/>
    <w:rsid w:val="0096494C"/>
    <w:rsid w:val="00965CD2"/>
    <w:rsid w:val="009679BA"/>
    <w:rsid w:val="00967E67"/>
    <w:rsid w:val="0097003E"/>
    <w:rsid w:val="0097029D"/>
    <w:rsid w:val="00973193"/>
    <w:rsid w:val="00973A78"/>
    <w:rsid w:val="009749E1"/>
    <w:rsid w:val="00975586"/>
    <w:rsid w:val="00976F2B"/>
    <w:rsid w:val="009775B8"/>
    <w:rsid w:val="009804C0"/>
    <w:rsid w:val="009816D8"/>
    <w:rsid w:val="0098206A"/>
    <w:rsid w:val="00983E7E"/>
    <w:rsid w:val="00984CD1"/>
    <w:rsid w:val="009865BA"/>
    <w:rsid w:val="0099349E"/>
    <w:rsid w:val="009949C2"/>
    <w:rsid w:val="00994EAF"/>
    <w:rsid w:val="00996AD8"/>
    <w:rsid w:val="00997C18"/>
    <w:rsid w:val="009A05C1"/>
    <w:rsid w:val="009A1370"/>
    <w:rsid w:val="009A285C"/>
    <w:rsid w:val="009A6D94"/>
    <w:rsid w:val="009A6DE4"/>
    <w:rsid w:val="009A71CE"/>
    <w:rsid w:val="009A7526"/>
    <w:rsid w:val="009B07B6"/>
    <w:rsid w:val="009B1948"/>
    <w:rsid w:val="009B432A"/>
    <w:rsid w:val="009B48B0"/>
    <w:rsid w:val="009C504E"/>
    <w:rsid w:val="009C6F4B"/>
    <w:rsid w:val="009C7C2B"/>
    <w:rsid w:val="009D476E"/>
    <w:rsid w:val="009D59FC"/>
    <w:rsid w:val="009D61D2"/>
    <w:rsid w:val="009D6CB5"/>
    <w:rsid w:val="009D7A73"/>
    <w:rsid w:val="009E2CBD"/>
    <w:rsid w:val="009E5964"/>
    <w:rsid w:val="009E59EE"/>
    <w:rsid w:val="009E5AA9"/>
    <w:rsid w:val="009E6727"/>
    <w:rsid w:val="009E768C"/>
    <w:rsid w:val="009F5128"/>
    <w:rsid w:val="009F5FD9"/>
    <w:rsid w:val="009F615F"/>
    <w:rsid w:val="009F7DD4"/>
    <w:rsid w:val="00A0045B"/>
    <w:rsid w:val="00A00EA6"/>
    <w:rsid w:val="00A0162B"/>
    <w:rsid w:val="00A02600"/>
    <w:rsid w:val="00A0299E"/>
    <w:rsid w:val="00A04494"/>
    <w:rsid w:val="00A0461E"/>
    <w:rsid w:val="00A0519F"/>
    <w:rsid w:val="00A103FB"/>
    <w:rsid w:val="00A14DAF"/>
    <w:rsid w:val="00A1666C"/>
    <w:rsid w:val="00A16C7E"/>
    <w:rsid w:val="00A207EC"/>
    <w:rsid w:val="00A20FC0"/>
    <w:rsid w:val="00A213FD"/>
    <w:rsid w:val="00A227A5"/>
    <w:rsid w:val="00A26113"/>
    <w:rsid w:val="00A315CB"/>
    <w:rsid w:val="00A335EE"/>
    <w:rsid w:val="00A33B5B"/>
    <w:rsid w:val="00A3410F"/>
    <w:rsid w:val="00A34503"/>
    <w:rsid w:val="00A35228"/>
    <w:rsid w:val="00A429EF"/>
    <w:rsid w:val="00A43CDD"/>
    <w:rsid w:val="00A44653"/>
    <w:rsid w:val="00A44C9A"/>
    <w:rsid w:val="00A453CC"/>
    <w:rsid w:val="00A469EF"/>
    <w:rsid w:val="00A46C0D"/>
    <w:rsid w:val="00A47039"/>
    <w:rsid w:val="00A50B4B"/>
    <w:rsid w:val="00A51C20"/>
    <w:rsid w:val="00A54CFC"/>
    <w:rsid w:val="00A61DCC"/>
    <w:rsid w:val="00A62C13"/>
    <w:rsid w:val="00A6378C"/>
    <w:rsid w:val="00A64663"/>
    <w:rsid w:val="00A65DD4"/>
    <w:rsid w:val="00A66F4C"/>
    <w:rsid w:val="00A70253"/>
    <w:rsid w:val="00A70565"/>
    <w:rsid w:val="00A71EFB"/>
    <w:rsid w:val="00A721A9"/>
    <w:rsid w:val="00A74CEF"/>
    <w:rsid w:val="00A75C69"/>
    <w:rsid w:val="00A75CAD"/>
    <w:rsid w:val="00A80592"/>
    <w:rsid w:val="00A82D41"/>
    <w:rsid w:val="00A83D50"/>
    <w:rsid w:val="00A86698"/>
    <w:rsid w:val="00A872C2"/>
    <w:rsid w:val="00A8795C"/>
    <w:rsid w:val="00A87B22"/>
    <w:rsid w:val="00A90513"/>
    <w:rsid w:val="00A9108C"/>
    <w:rsid w:val="00A92050"/>
    <w:rsid w:val="00A92E28"/>
    <w:rsid w:val="00A92FE0"/>
    <w:rsid w:val="00A94C2B"/>
    <w:rsid w:val="00A9514F"/>
    <w:rsid w:val="00AA17C5"/>
    <w:rsid w:val="00AA4243"/>
    <w:rsid w:val="00AA4BA0"/>
    <w:rsid w:val="00AA59EB"/>
    <w:rsid w:val="00AB0A03"/>
    <w:rsid w:val="00AB1F34"/>
    <w:rsid w:val="00AB5EBD"/>
    <w:rsid w:val="00AB6552"/>
    <w:rsid w:val="00AB6A79"/>
    <w:rsid w:val="00AB7D48"/>
    <w:rsid w:val="00AC093C"/>
    <w:rsid w:val="00AC0DFF"/>
    <w:rsid w:val="00AC0E3C"/>
    <w:rsid w:val="00AC1830"/>
    <w:rsid w:val="00AC5DC5"/>
    <w:rsid w:val="00AC6897"/>
    <w:rsid w:val="00AC7702"/>
    <w:rsid w:val="00AD0A94"/>
    <w:rsid w:val="00AD1411"/>
    <w:rsid w:val="00AD2DB7"/>
    <w:rsid w:val="00AD643D"/>
    <w:rsid w:val="00AD78DF"/>
    <w:rsid w:val="00AD7E6D"/>
    <w:rsid w:val="00AE1194"/>
    <w:rsid w:val="00AE2342"/>
    <w:rsid w:val="00AE28FB"/>
    <w:rsid w:val="00AE4BD9"/>
    <w:rsid w:val="00AF0C1E"/>
    <w:rsid w:val="00AF197E"/>
    <w:rsid w:val="00AF212A"/>
    <w:rsid w:val="00B02A0B"/>
    <w:rsid w:val="00B040C7"/>
    <w:rsid w:val="00B04865"/>
    <w:rsid w:val="00B058E9"/>
    <w:rsid w:val="00B06A28"/>
    <w:rsid w:val="00B07F91"/>
    <w:rsid w:val="00B10DB5"/>
    <w:rsid w:val="00B10FAB"/>
    <w:rsid w:val="00B113A0"/>
    <w:rsid w:val="00B1281B"/>
    <w:rsid w:val="00B12A6A"/>
    <w:rsid w:val="00B1314D"/>
    <w:rsid w:val="00B1534D"/>
    <w:rsid w:val="00B154FE"/>
    <w:rsid w:val="00B21FC8"/>
    <w:rsid w:val="00B22471"/>
    <w:rsid w:val="00B25646"/>
    <w:rsid w:val="00B30909"/>
    <w:rsid w:val="00B30FE2"/>
    <w:rsid w:val="00B31234"/>
    <w:rsid w:val="00B3143F"/>
    <w:rsid w:val="00B316EE"/>
    <w:rsid w:val="00B320C4"/>
    <w:rsid w:val="00B34792"/>
    <w:rsid w:val="00B350B9"/>
    <w:rsid w:val="00B3520B"/>
    <w:rsid w:val="00B36751"/>
    <w:rsid w:val="00B44022"/>
    <w:rsid w:val="00B4416A"/>
    <w:rsid w:val="00B46E6F"/>
    <w:rsid w:val="00B47302"/>
    <w:rsid w:val="00B50F85"/>
    <w:rsid w:val="00B51023"/>
    <w:rsid w:val="00B5129F"/>
    <w:rsid w:val="00B5157E"/>
    <w:rsid w:val="00B52E05"/>
    <w:rsid w:val="00B53814"/>
    <w:rsid w:val="00B5409A"/>
    <w:rsid w:val="00B57B2B"/>
    <w:rsid w:val="00B609F7"/>
    <w:rsid w:val="00B62965"/>
    <w:rsid w:val="00B63F34"/>
    <w:rsid w:val="00B64591"/>
    <w:rsid w:val="00B67903"/>
    <w:rsid w:val="00B67C93"/>
    <w:rsid w:val="00B70073"/>
    <w:rsid w:val="00B70689"/>
    <w:rsid w:val="00B71F93"/>
    <w:rsid w:val="00B80987"/>
    <w:rsid w:val="00B81AA2"/>
    <w:rsid w:val="00B96FA8"/>
    <w:rsid w:val="00B97E7D"/>
    <w:rsid w:val="00BA05FB"/>
    <w:rsid w:val="00BA2A2F"/>
    <w:rsid w:val="00BA6821"/>
    <w:rsid w:val="00BB119B"/>
    <w:rsid w:val="00BB33B2"/>
    <w:rsid w:val="00BB445F"/>
    <w:rsid w:val="00BB7145"/>
    <w:rsid w:val="00BB7C38"/>
    <w:rsid w:val="00BC0E4E"/>
    <w:rsid w:val="00BC24E4"/>
    <w:rsid w:val="00BC4D15"/>
    <w:rsid w:val="00BD006B"/>
    <w:rsid w:val="00BD0B5F"/>
    <w:rsid w:val="00BD30D6"/>
    <w:rsid w:val="00BD3B09"/>
    <w:rsid w:val="00BD60E1"/>
    <w:rsid w:val="00BD6962"/>
    <w:rsid w:val="00BE0533"/>
    <w:rsid w:val="00BE16B6"/>
    <w:rsid w:val="00BE19E6"/>
    <w:rsid w:val="00BE3E91"/>
    <w:rsid w:val="00BE6564"/>
    <w:rsid w:val="00BF1071"/>
    <w:rsid w:val="00BF16EC"/>
    <w:rsid w:val="00BF2890"/>
    <w:rsid w:val="00BF2C17"/>
    <w:rsid w:val="00BF3B94"/>
    <w:rsid w:val="00BF56E4"/>
    <w:rsid w:val="00BF78B2"/>
    <w:rsid w:val="00C01061"/>
    <w:rsid w:val="00C0193B"/>
    <w:rsid w:val="00C05F43"/>
    <w:rsid w:val="00C06488"/>
    <w:rsid w:val="00C07746"/>
    <w:rsid w:val="00C11173"/>
    <w:rsid w:val="00C12B89"/>
    <w:rsid w:val="00C13945"/>
    <w:rsid w:val="00C14C15"/>
    <w:rsid w:val="00C17F8D"/>
    <w:rsid w:val="00C21795"/>
    <w:rsid w:val="00C21B82"/>
    <w:rsid w:val="00C221E7"/>
    <w:rsid w:val="00C2326A"/>
    <w:rsid w:val="00C23AB4"/>
    <w:rsid w:val="00C269AD"/>
    <w:rsid w:val="00C309A9"/>
    <w:rsid w:val="00C31859"/>
    <w:rsid w:val="00C32571"/>
    <w:rsid w:val="00C33486"/>
    <w:rsid w:val="00C336EC"/>
    <w:rsid w:val="00C339E8"/>
    <w:rsid w:val="00C34651"/>
    <w:rsid w:val="00C34B1A"/>
    <w:rsid w:val="00C36713"/>
    <w:rsid w:val="00C40834"/>
    <w:rsid w:val="00C45F41"/>
    <w:rsid w:val="00C4603F"/>
    <w:rsid w:val="00C47610"/>
    <w:rsid w:val="00C51163"/>
    <w:rsid w:val="00C55716"/>
    <w:rsid w:val="00C5760D"/>
    <w:rsid w:val="00C60ADA"/>
    <w:rsid w:val="00C6143A"/>
    <w:rsid w:val="00C62E9E"/>
    <w:rsid w:val="00C656FB"/>
    <w:rsid w:val="00C705E4"/>
    <w:rsid w:val="00C71AC5"/>
    <w:rsid w:val="00C748CB"/>
    <w:rsid w:val="00C75223"/>
    <w:rsid w:val="00C757AE"/>
    <w:rsid w:val="00C77137"/>
    <w:rsid w:val="00C813EF"/>
    <w:rsid w:val="00C81EDD"/>
    <w:rsid w:val="00C83413"/>
    <w:rsid w:val="00C835C2"/>
    <w:rsid w:val="00C86C8B"/>
    <w:rsid w:val="00C914DE"/>
    <w:rsid w:val="00C92883"/>
    <w:rsid w:val="00C93D68"/>
    <w:rsid w:val="00C942B5"/>
    <w:rsid w:val="00CA0E0B"/>
    <w:rsid w:val="00CA2373"/>
    <w:rsid w:val="00CB4426"/>
    <w:rsid w:val="00CB67B3"/>
    <w:rsid w:val="00CB7931"/>
    <w:rsid w:val="00CC00EC"/>
    <w:rsid w:val="00CC29CD"/>
    <w:rsid w:val="00CC4A26"/>
    <w:rsid w:val="00CC5D89"/>
    <w:rsid w:val="00CC6049"/>
    <w:rsid w:val="00CC6478"/>
    <w:rsid w:val="00CC68EA"/>
    <w:rsid w:val="00CC6B07"/>
    <w:rsid w:val="00CC6BD6"/>
    <w:rsid w:val="00CC72B9"/>
    <w:rsid w:val="00CD27AC"/>
    <w:rsid w:val="00CD3549"/>
    <w:rsid w:val="00CD3910"/>
    <w:rsid w:val="00CD4BE7"/>
    <w:rsid w:val="00CD5468"/>
    <w:rsid w:val="00CD5B55"/>
    <w:rsid w:val="00CD7AF0"/>
    <w:rsid w:val="00CE014F"/>
    <w:rsid w:val="00CE2E34"/>
    <w:rsid w:val="00CE2FD7"/>
    <w:rsid w:val="00CE3BAC"/>
    <w:rsid w:val="00CE566D"/>
    <w:rsid w:val="00CE6058"/>
    <w:rsid w:val="00CE7524"/>
    <w:rsid w:val="00CF0CA2"/>
    <w:rsid w:val="00CF0FBA"/>
    <w:rsid w:val="00CF49A6"/>
    <w:rsid w:val="00CF58F6"/>
    <w:rsid w:val="00CF6C1C"/>
    <w:rsid w:val="00CF7678"/>
    <w:rsid w:val="00CF7F07"/>
    <w:rsid w:val="00D006F0"/>
    <w:rsid w:val="00D017CC"/>
    <w:rsid w:val="00D038BC"/>
    <w:rsid w:val="00D04295"/>
    <w:rsid w:val="00D04DF6"/>
    <w:rsid w:val="00D066E0"/>
    <w:rsid w:val="00D07444"/>
    <w:rsid w:val="00D07B83"/>
    <w:rsid w:val="00D11903"/>
    <w:rsid w:val="00D11DDE"/>
    <w:rsid w:val="00D14602"/>
    <w:rsid w:val="00D160EF"/>
    <w:rsid w:val="00D172D1"/>
    <w:rsid w:val="00D173EF"/>
    <w:rsid w:val="00D22992"/>
    <w:rsid w:val="00D246FD"/>
    <w:rsid w:val="00D256DC"/>
    <w:rsid w:val="00D25F9C"/>
    <w:rsid w:val="00D25FDA"/>
    <w:rsid w:val="00D26560"/>
    <w:rsid w:val="00D26A5D"/>
    <w:rsid w:val="00D2790D"/>
    <w:rsid w:val="00D30E83"/>
    <w:rsid w:val="00D31292"/>
    <w:rsid w:val="00D33649"/>
    <w:rsid w:val="00D36C47"/>
    <w:rsid w:val="00D42166"/>
    <w:rsid w:val="00D4561C"/>
    <w:rsid w:val="00D45F00"/>
    <w:rsid w:val="00D46235"/>
    <w:rsid w:val="00D47DF9"/>
    <w:rsid w:val="00D5129C"/>
    <w:rsid w:val="00D520CB"/>
    <w:rsid w:val="00D573DE"/>
    <w:rsid w:val="00D60C7A"/>
    <w:rsid w:val="00D61B30"/>
    <w:rsid w:val="00D63297"/>
    <w:rsid w:val="00D63617"/>
    <w:rsid w:val="00D63AE5"/>
    <w:rsid w:val="00D64368"/>
    <w:rsid w:val="00D65948"/>
    <w:rsid w:val="00D66643"/>
    <w:rsid w:val="00D66B7A"/>
    <w:rsid w:val="00D67EB1"/>
    <w:rsid w:val="00D67F41"/>
    <w:rsid w:val="00D70557"/>
    <w:rsid w:val="00D7219A"/>
    <w:rsid w:val="00D73273"/>
    <w:rsid w:val="00D769B1"/>
    <w:rsid w:val="00D77790"/>
    <w:rsid w:val="00D80AB6"/>
    <w:rsid w:val="00D83375"/>
    <w:rsid w:val="00D83B4A"/>
    <w:rsid w:val="00D858B7"/>
    <w:rsid w:val="00D876C3"/>
    <w:rsid w:val="00D90389"/>
    <w:rsid w:val="00D93BFD"/>
    <w:rsid w:val="00D946EC"/>
    <w:rsid w:val="00DA0E23"/>
    <w:rsid w:val="00DA0EC3"/>
    <w:rsid w:val="00DA14AB"/>
    <w:rsid w:val="00DA38E0"/>
    <w:rsid w:val="00DA3A27"/>
    <w:rsid w:val="00DA4B82"/>
    <w:rsid w:val="00DA571A"/>
    <w:rsid w:val="00DA749C"/>
    <w:rsid w:val="00DA7565"/>
    <w:rsid w:val="00DB489A"/>
    <w:rsid w:val="00DB4D37"/>
    <w:rsid w:val="00DB6F91"/>
    <w:rsid w:val="00DC0D53"/>
    <w:rsid w:val="00DC2749"/>
    <w:rsid w:val="00DC657B"/>
    <w:rsid w:val="00DD1CE0"/>
    <w:rsid w:val="00DD26C8"/>
    <w:rsid w:val="00DD4EF8"/>
    <w:rsid w:val="00DD52FF"/>
    <w:rsid w:val="00DD6C39"/>
    <w:rsid w:val="00DD77DF"/>
    <w:rsid w:val="00DE04F3"/>
    <w:rsid w:val="00DE2649"/>
    <w:rsid w:val="00DE5B3A"/>
    <w:rsid w:val="00DE5E1E"/>
    <w:rsid w:val="00DE6F43"/>
    <w:rsid w:val="00DE6FEE"/>
    <w:rsid w:val="00DF11ED"/>
    <w:rsid w:val="00DF1EDC"/>
    <w:rsid w:val="00DF684E"/>
    <w:rsid w:val="00E01DA4"/>
    <w:rsid w:val="00E02C0B"/>
    <w:rsid w:val="00E030CC"/>
    <w:rsid w:val="00E03C1E"/>
    <w:rsid w:val="00E10D72"/>
    <w:rsid w:val="00E15471"/>
    <w:rsid w:val="00E209CC"/>
    <w:rsid w:val="00E209CE"/>
    <w:rsid w:val="00E22955"/>
    <w:rsid w:val="00E22DDA"/>
    <w:rsid w:val="00E2389A"/>
    <w:rsid w:val="00E23BED"/>
    <w:rsid w:val="00E26FC1"/>
    <w:rsid w:val="00E27847"/>
    <w:rsid w:val="00E33AC4"/>
    <w:rsid w:val="00E45A6F"/>
    <w:rsid w:val="00E471F6"/>
    <w:rsid w:val="00E50427"/>
    <w:rsid w:val="00E5202C"/>
    <w:rsid w:val="00E53F29"/>
    <w:rsid w:val="00E54EC9"/>
    <w:rsid w:val="00E56D05"/>
    <w:rsid w:val="00E579DC"/>
    <w:rsid w:val="00E579E5"/>
    <w:rsid w:val="00E61D95"/>
    <w:rsid w:val="00E649EC"/>
    <w:rsid w:val="00E64BFA"/>
    <w:rsid w:val="00E70F45"/>
    <w:rsid w:val="00E7103F"/>
    <w:rsid w:val="00E75479"/>
    <w:rsid w:val="00E7607E"/>
    <w:rsid w:val="00E7609B"/>
    <w:rsid w:val="00E7758F"/>
    <w:rsid w:val="00E8081B"/>
    <w:rsid w:val="00E80D6F"/>
    <w:rsid w:val="00E83D4A"/>
    <w:rsid w:val="00E84489"/>
    <w:rsid w:val="00E84D17"/>
    <w:rsid w:val="00E84FB8"/>
    <w:rsid w:val="00E8720B"/>
    <w:rsid w:val="00E9282E"/>
    <w:rsid w:val="00E943BE"/>
    <w:rsid w:val="00E94919"/>
    <w:rsid w:val="00E94DF5"/>
    <w:rsid w:val="00E96668"/>
    <w:rsid w:val="00EA0818"/>
    <w:rsid w:val="00EA0D55"/>
    <w:rsid w:val="00EA2565"/>
    <w:rsid w:val="00EA3D5B"/>
    <w:rsid w:val="00EA57C8"/>
    <w:rsid w:val="00EA7575"/>
    <w:rsid w:val="00EA7F34"/>
    <w:rsid w:val="00EB1D95"/>
    <w:rsid w:val="00EB295E"/>
    <w:rsid w:val="00EB351C"/>
    <w:rsid w:val="00EB38DE"/>
    <w:rsid w:val="00EB4E9A"/>
    <w:rsid w:val="00EB66E1"/>
    <w:rsid w:val="00EB6B46"/>
    <w:rsid w:val="00EB7D31"/>
    <w:rsid w:val="00EB7D34"/>
    <w:rsid w:val="00EC09D6"/>
    <w:rsid w:val="00EC119D"/>
    <w:rsid w:val="00EC31EC"/>
    <w:rsid w:val="00EC3CF8"/>
    <w:rsid w:val="00EC6F9C"/>
    <w:rsid w:val="00ED35A2"/>
    <w:rsid w:val="00ED4B5B"/>
    <w:rsid w:val="00ED5193"/>
    <w:rsid w:val="00ED6154"/>
    <w:rsid w:val="00ED652F"/>
    <w:rsid w:val="00ED75A1"/>
    <w:rsid w:val="00ED7F15"/>
    <w:rsid w:val="00EE0032"/>
    <w:rsid w:val="00EE0C2A"/>
    <w:rsid w:val="00EE241E"/>
    <w:rsid w:val="00EE2D95"/>
    <w:rsid w:val="00EE5EA2"/>
    <w:rsid w:val="00EF061F"/>
    <w:rsid w:val="00EF07AF"/>
    <w:rsid w:val="00EF2928"/>
    <w:rsid w:val="00EF527C"/>
    <w:rsid w:val="00EF6C5A"/>
    <w:rsid w:val="00EF7E7E"/>
    <w:rsid w:val="00EF7FFB"/>
    <w:rsid w:val="00F028DE"/>
    <w:rsid w:val="00F04F49"/>
    <w:rsid w:val="00F0557E"/>
    <w:rsid w:val="00F12432"/>
    <w:rsid w:val="00F12468"/>
    <w:rsid w:val="00F14188"/>
    <w:rsid w:val="00F164FE"/>
    <w:rsid w:val="00F17B20"/>
    <w:rsid w:val="00F17C32"/>
    <w:rsid w:val="00F2183F"/>
    <w:rsid w:val="00F2545C"/>
    <w:rsid w:val="00F25C7A"/>
    <w:rsid w:val="00F261B4"/>
    <w:rsid w:val="00F32CC6"/>
    <w:rsid w:val="00F33004"/>
    <w:rsid w:val="00F36315"/>
    <w:rsid w:val="00F370A3"/>
    <w:rsid w:val="00F40406"/>
    <w:rsid w:val="00F415B6"/>
    <w:rsid w:val="00F42F36"/>
    <w:rsid w:val="00F45461"/>
    <w:rsid w:val="00F45F94"/>
    <w:rsid w:val="00F47056"/>
    <w:rsid w:val="00F47F8B"/>
    <w:rsid w:val="00F521F9"/>
    <w:rsid w:val="00F54309"/>
    <w:rsid w:val="00F5622E"/>
    <w:rsid w:val="00F56555"/>
    <w:rsid w:val="00F566E6"/>
    <w:rsid w:val="00F600E2"/>
    <w:rsid w:val="00F627E4"/>
    <w:rsid w:val="00F634B6"/>
    <w:rsid w:val="00F636C8"/>
    <w:rsid w:val="00F63C7B"/>
    <w:rsid w:val="00F64F06"/>
    <w:rsid w:val="00F66F57"/>
    <w:rsid w:val="00F6785B"/>
    <w:rsid w:val="00F6799E"/>
    <w:rsid w:val="00F71EA6"/>
    <w:rsid w:val="00F724D7"/>
    <w:rsid w:val="00F767F1"/>
    <w:rsid w:val="00F804D9"/>
    <w:rsid w:val="00F80CFC"/>
    <w:rsid w:val="00F81752"/>
    <w:rsid w:val="00F83523"/>
    <w:rsid w:val="00F860E2"/>
    <w:rsid w:val="00F90A87"/>
    <w:rsid w:val="00F911AE"/>
    <w:rsid w:val="00F943C9"/>
    <w:rsid w:val="00F967C6"/>
    <w:rsid w:val="00F9686B"/>
    <w:rsid w:val="00F9758B"/>
    <w:rsid w:val="00FA1A85"/>
    <w:rsid w:val="00FA28FA"/>
    <w:rsid w:val="00FA3106"/>
    <w:rsid w:val="00FA379F"/>
    <w:rsid w:val="00FA61E2"/>
    <w:rsid w:val="00FB06E7"/>
    <w:rsid w:val="00FB1395"/>
    <w:rsid w:val="00FB1C24"/>
    <w:rsid w:val="00FB74AC"/>
    <w:rsid w:val="00FB7EF6"/>
    <w:rsid w:val="00FC3DA7"/>
    <w:rsid w:val="00FC6387"/>
    <w:rsid w:val="00FC7987"/>
    <w:rsid w:val="00FD01FD"/>
    <w:rsid w:val="00FD034B"/>
    <w:rsid w:val="00FD072E"/>
    <w:rsid w:val="00FD156F"/>
    <w:rsid w:val="00FD20C8"/>
    <w:rsid w:val="00FD3816"/>
    <w:rsid w:val="00FD3C12"/>
    <w:rsid w:val="00FD6467"/>
    <w:rsid w:val="00FE1CC0"/>
    <w:rsid w:val="00FE1FF1"/>
    <w:rsid w:val="00FE396D"/>
    <w:rsid w:val="00FE4DF3"/>
    <w:rsid w:val="00FE641A"/>
    <w:rsid w:val="00FE6700"/>
    <w:rsid w:val="00FE719B"/>
    <w:rsid w:val="00FF0174"/>
    <w:rsid w:val="00FF198C"/>
    <w:rsid w:val="00FF3DA2"/>
    <w:rsid w:val="00FF40C1"/>
    <w:rsid w:val="00FF44C6"/>
    <w:rsid w:val="00FF4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AD6D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79303C"/>
  </w:style>
  <w:style w:type="table" w:customStyle="1" w:styleId="TableGrid1">
    <w:name w:val="Table Grid1"/>
    <w:basedOn w:val="TableNormal"/>
    <w:next w:val="TableGrid"/>
    <w:uiPriority w:val="39"/>
    <w:rsid w:val="0079303C"/>
    <w:pPr>
      <w:spacing w:after="0" w:line="240" w:lineRule="auto"/>
    </w:pPr>
    <w:rPr>
      <w:sz w:val="1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7930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22D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2D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2D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2D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2DD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2D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DDA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79303C"/>
  </w:style>
  <w:style w:type="table" w:customStyle="1" w:styleId="TableGrid1">
    <w:name w:val="Table Grid1"/>
    <w:basedOn w:val="TableNormal"/>
    <w:next w:val="TableGrid"/>
    <w:uiPriority w:val="39"/>
    <w:rsid w:val="0079303C"/>
    <w:pPr>
      <w:spacing w:after="0" w:line="240" w:lineRule="auto"/>
    </w:pPr>
    <w:rPr>
      <w:sz w:val="1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7930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22D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2D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2D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2D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2DD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2D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D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2799</TotalTime>
  <Pages>24</Pages>
  <Words>5794</Words>
  <Characters>30888</Characters>
  <Application>Microsoft Office Word</Application>
  <DocSecurity>0</DocSecurity>
  <Lines>2206</Lines>
  <Paragraphs>495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SoPH-EH</dc:creator>
  <cp:keywords/>
  <dc:description/>
  <cp:lastModifiedBy>MLAPINIG</cp:lastModifiedBy>
  <cp:revision>109</cp:revision>
  <dcterms:created xsi:type="dcterms:W3CDTF">2021-07-07T14:10:00Z</dcterms:created>
  <dcterms:modified xsi:type="dcterms:W3CDTF">2022-04-08T03:32:00Z</dcterms:modified>
</cp:coreProperties>
</file>