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7EEE6" w14:textId="77777777" w:rsidR="00654E8F" w:rsidRPr="001549D3" w:rsidRDefault="00654E8F" w:rsidP="0001436A">
      <w:pPr>
        <w:pStyle w:val="SupplementaryMaterial"/>
        <w:rPr>
          <w:b w:val="0"/>
        </w:rPr>
      </w:pPr>
      <w:r w:rsidRPr="001549D3">
        <w:t>Supplementary Material</w:t>
      </w:r>
    </w:p>
    <w:p w14:paraId="3BD5A427" w14:textId="08F660CA" w:rsidR="00EA3D3C" w:rsidRDefault="00654E8F" w:rsidP="0001436A">
      <w:pPr>
        <w:pStyle w:val="Heading1"/>
      </w:pPr>
      <w:r w:rsidRPr="00994A3D">
        <w:t>Supplementary Data</w:t>
      </w:r>
    </w:p>
    <w:p w14:paraId="6EEBE811" w14:textId="03832323" w:rsidR="002F58D7" w:rsidRDefault="002F58D7" w:rsidP="002F58D7">
      <w:pPr>
        <w:pStyle w:val="Heading2"/>
      </w:pPr>
      <w:r>
        <w:t>Investigation of specificity of conventional PCR primer pairs</w:t>
      </w:r>
    </w:p>
    <w:p w14:paraId="4394B136" w14:textId="77777777" w:rsidR="002F58D7" w:rsidRDefault="002F58D7" w:rsidP="00643794">
      <w:pPr>
        <w:jc w:val="both"/>
      </w:pPr>
      <w:r>
        <w:t xml:space="preserve">For the </w:t>
      </w:r>
      <w:r w:rsidRPr="002F58D7">
        <w:rPr>
          <w:i/>
        </w:rPr>
        <w:t>in silico</w:t>
      </w:r>
      <w:r>
        <w:t xml:space="preserve"> PCR, a literature study was performed to collect all published conventional PCR primer sequences (Supplementary Table S1). Since no</w:t>
      </w:r>
      <w:r w:rsidRPr="002F58D7">
        <w:rPr>
          <w:i/>
        </w:rPr>
        <w:t xml:space="preserve"> selv</w:t>
      </w:r>
      <w:r>
        <w:t xml:space="preserve"> specific primer pairs for PCR were described in literature, cloning primers described in literature were used for </w:t>
      </w:r>
      <w:r w:rsidRPr="002F58D7">
        <w:rPr>
          <w:i/>
        </w:rPr>
        <w:t>selv</w:t>
      </w:r>
      <w:r>
        <w:t xml:space="preserve"> (by removing the 5’ end restriction sites underlined in the corresponding sequences) (Supplementary Table S1).</w:t>
      </w:r>
    </w:p>
    <w:p w14:paraId="3A5F2BE0" w14:textId="2E65233F" w:rsidR="002F58D7" w:rsidRDefault="002F58D7" w:rsidP="00643794">
      <w:pPr>
        <w:jc w:val="both"/>
      </w:pPr>
      <w:r>
        <w:t xml:space="preserve">All primers were </w:t>
      </w:r>
      <w:r w:rsidRPr="002F58D7">
        <w:rPr>
          <w:i/>
        </w:rPr>
        <w:t>in silico</w:t>
      </w:r>
      <w:r>
        <w:t xml:space="preserve"> investigated for their specificity to the target gene (and, if not yet known, their amplicon size) by aligning the primer pairs against the NCBI nucleotide collection for </w:t>
      </w:r>
      <w:r w:rsidRPr="002F58D7">
        <w:rPr>
          <w:i/>
        </w:rPr>
        <w:t>S. aureus</w:t>
      </w:r>
      <w:r>
        <w:t xml:space="preserve"> (taxid: 1280) using Primer-BLAST. Besides the criteria previously described </w:t>
      </w:r>
      <w:r>
        <w:fldChar w:fldCharType="begin" w:fldLock="1"/>
      </w:r>
      <w:r>
        <w:instrText>ADDIN CSL_CITATION {"citationItems":[{"id":"ITEM-1","itemData":{"DOI":"10.1186/s12859-018-2313-0","ISSN":"1471-2105","PMID":"30180800","abstract":"Background: Viral infection by dengue virus is a major public health problem in tropical countries. Early diagnosis and detection are increasingly based on quantitative reverse transcriptase real-time polymerase chain reaction (RT-qPCR) directed against genomic regions conserved between different isolates. Genetic variation can however result in mismatches of primers and probes with their targeted nucleic acid regions. Whole genome sequencing allows to characterize and track such changes, which in turn enables to evaluate, optimize, and (re-)design novel and existing RT-qPCR methods. The immense amount of available sequence data renders this however a labour-intensive and complex task. Results: We present a bioinformatics approach that enables in silico evaluation of primers and probes intended for routinely employed RT-qPCR methods. This approach is based on analysing large amounts of publically available whole genome data, by first employing BLASTN to mine the genomic regions targeted by the RT-qPCR method(s), and afterwards using BLASTN-SHORT to evaluate whether primers and probes will anneal based on a set of simple in silico criteria. Using dengue virus as a case study, we evaluated 18 published RT-qPCR methods using more than 3000 publically available genomes in the NCBI Virus Variation Resource, and provide a systematic overview of method performance based on in silico sensitivity and specificity. Conclusions: We provide a comprehensive overview of dengue virus RT-qPCR method performance that will aid appropriate method selection allowing to take specific measures that aim to contain and prevent viral spread in afflicted regions. Notably, we find that primer-template mismatches at their 3' end may represent a general issue for dengue virus RT-qPCR detection methods that merits more attention in their development process. Our approach is also available as a public tool, and demonstrates how utilizing genomic data can provide meaningful insights in an applied public health setting such as the detection of viral species in human diagnostics.","author":[{"dropping-particle":"","family":"Vanneste","given":"Kevin","non-dropping-particle":"","parse-names":false,"suffix":""},{"dropping-particle":"","family":"Garlant","given":"Linda","non-dropping-particle":"","parse-names":false,"suffix":""},{"dropping-particle":"","family":"Broeders","given":"Sylvia","non-dropping-particle":"","parse-names":false,"suffix":""},{"dropping-particle":"","family":"Gucht","given":"Steven","non-dropping-particle":"Van","parse-names":false,"suffix":""},{"dropping-particle":"","family":"Roosens","given":"Nancy H.","non-dropping-particle":"","parse-names":false,"suffix":""}],"container-title":"BMC Bioinformatics","id":"ITEM-1","issue":"1","issued":{"date-parts":[["2018","12","4"]]},"page":"312","publisher":"BMC Bioinformatics","title":"Application of whole genome data for in silico evaluation of primers and probes routinely employed for the detection of viral species by RT-qPCR using dengue virus as a case study","type":"article-journal","volume":"19"},"uris":["http://www.mendeley.com/documents/?uuid=cd8e767e-7f3c-409c-b037-69d6ffd5b889"]}],"mendeley":{"formattedCitation":"(Vanneste et al., 2018)","plainTextFormattedCitation":"(Vanneste et al., 2018)","previouslyFormattedCitation":"(Vanneste et al., 2018)"},"properties":{"noteIndex":0},"schema":"https://github.com/citation-style-language/schema/raw/master/csl-citation.json"}</w:instrText>
      </w:r>
      <w:r>
        <w:fldChar w:fldCharType="separate"/>
      </w:r>
      <w:r w:rsidRPr="002F58D7">
        <w:rPr>
          <w:noProof/>
        </w:rPr>
        <w:t>(Vanneste et al., 2018)</w:t>
      </w:r>
      <w:r>
        <w:fldChar w:fldCharType="end"/>
      </w:r>
      <w:r>
        <w:t xml:space="preserve">, default parameters were applied that assessed whether a primer pair allowed the formation of an </w:t>
      </w:r>
      <w:r w:rsidRPr="002F58D7">
        <w:rPr>
          <w:i/>
        </w:rPr>
        <w:t>in silico</w:t>
      </w:r>
      <w:r>
        <w:t xml:space="preserve"> amplicon. A primer pair was determined to be specific when it allowed </w:t>
      </w:r>
      <w:r w:rsidRPr="002F58D7">
        <w:rPr>
          <w:i/>
        </w:rPr>
        <w:t>in silico</w:t>
      </w:r>
      <w:r>
        <w:t xml:space="preserve"> detection of its target gene with the expected amplicon size, and without aspecific detection of another Staphylococcal gene. When the obtained amplicon size for some primer pairs was (slightly) different compared to the one that was indicated in the respective study, it was indicated in the Supplementary Table S1. This difference in amplicon size was overall very limited, being lower than the variation (15%) that is accepted by sensitive electrophoresis methods determining amplicon size </w:t>
      </w:r>
      <w:r>
        <w:fldChar w:fldCharType="begin" w:fldLock="1"/>
      </w:r>
      <w:r>
        <w:instrText>ADDIN CSL_CITATION {"citationItems":[{"id":"ITEM-1","itemData":{"author":[{"dropping-particle":"","family":"Agilent Technologies","given":"","non-dropping-particle":"","parse-names":false,"suffix":""}],"id":"ITEM-1","issued":{"date-parts":[["2015"]]},"page":"1-4","title":"Assay Quick Guide for 4200 TapeStation System","type":"article-journal","volume":"3"},"uris":["http://www.mendeley.com/documents/?uuid=6c81c7ca-7c1e-4c41-9c6a-f6548971727e"]}],"mendeley":{"formattedCitation":"(Agilent Technologies, 2015)","plainTextFormattedCitation":"(Agilent Technologies, 2015)","previouslyFormattedCitation":"(Agilent Technologies, 2015)"},"properties":{"noteIndex":0},"schema":"https://github.com/citation-style-language/schema/raw/master/csl-citation.json"}</w:instrText>
      </w:r>
      <w:r>
        <w:fldChar w:fldCharType="separate"/>
      </w:r>
      <w:r w:rsidRPr="002F58D7">
        <w:rPr>
          <w:noProof/>
        </w:rPr>
        <w:t>(Agilent Technologies, 2015)</w:t>
      </w:r>
      <w:r>
        <w:fldChar w:fldCharType="end"/>
      </w:r>
      <w:r>
        <w:t>.</w:t>
      </w:r>
    </w:p>
    <w:p w14:paraId="7023003F" w14:textId="77777777" w:rsidR="002F58D7" w:rsidRDefault="002F58D7" w:rsidP="00643794">
      <w:pPr>
        <w:jc w:val="both"/>
      </w:pPr>
      <w:r>
        <w:t xml:space="preserve">89.03% or 138 of 155 primer sets specifically detected the target gene without annealing to another Staphylococcal gene (with similar amplicon size). Thirteen of 17 aspecific primer pairs (shown in grey and light green in Supplementary Table S1) targeted non-conservative </w:t>
      </w:r>
      <w:r w:rsidRPr="002F58D7">
        <w:rPr>
          <w:i/>
        </w:rPr>
        <w:t>se</w:t>
      </w:r>
      <w:r>
        <w:t xml:space="preserve"> gene regions, leading to (i) False positive detection of </w:t>
      </w:r>
      <w:r w:rsidRPr="002F58D7">
        <w:rPr>
          <w:i/>
        </w:rPr>
        <w:t>se</w:t>
      </w:r>
      <w:r>
        <w:t xml:space="preserve"> genes described in literature to be highly similar in their nucleotide sequence (n: 9); or (ii) False positive detection of other Staphylococcal (</w:t>
      </w:r>
      <w:r w:rsidRPr="002F58D7">
        <w:rPr>
          <w:i/>
        </w:rPr>
        <w:t>se</w:t>
      </w:r>
      <w:r>
        <w:t>) genes without demonstrated sequence similarity (n: 4). The remaining four aspecific primer pairs were determined to not target any Staphylococcal gene according to the preset criteria.</w:t>
      </w:r>
    </w:p>
    <w:p w14:paraId="58E7ACF0" w14:textId="5B86356A" w:rsidR="002F58D7" w:rsidRDefault="002F58D7" w:rsidP="00643794">
      <w:pPr>
        <w:jc w:val="both"/>
      </w:pPr>
      <w:r>
        <w:t xml:space="preserve">Because conventional PCR detection does not enable the discrimination between </w:t>
      </w:r>
      <w:r w:rsidRPr="002F58D7">
        <w:rPr>
          <w:i/>
        </w:rPr>
        <w:t>selu</w:t>
      </w:r>
      <w:r>
        <w:t xml:space="preserve">, </w:t>
      </w:r>
      <w:r w:rsidRPr="002F58D7">
        <w:rPr>
          <w:i/>
        </w:rPr>
        <w:t>selu2</w:t>
      </w:r>
      <w:r>
        <w:t xml:space="preserve"> and pseudogenes </w:t>
      </w:r>
      <w:r w:rsidRPr="002F58D7">
        <w:rPr>
          <w:i/>
        </w:rPr>
        <w:t>Ψent1</w:t>
      </w:r>
      <w:r>
        <w:t xml:space="preserve"> and </w:t>
      </w:r>
      <w:r w:rsidRPr="002F58D7">
        <w:rPr>
          <w:i/>
        </w:rPr>
        <w:t>Ψent2</w:t>
      </w:r>
      <w:r>
        <w:t xml:space="preserve"> due to high sequence similarity </w:t>
      </w:r>
      <w:r>
        <w:fldChar w:fldCharType="begin" w:fldLock="1"/>
      </w:r>
      <w:r w:rsidR="00643794">
        <w:instrText>ADDIN CSL_CITATION {"citationItems":[{"id":"ITEM-1","itemData":{"DOI":"10.3390/proteomes4010008","ISSN":"2227-7382","abstract":"Staphylococcus aureus is an important model organism and pathogen. This S. aureus proteome overview details shared and specific proteins and selected virulence-relevant protein complexes from representative strains of all three major clades. To determine the strain distribution and major clades we used a refined strain comparison combining ribosomal RNA, MLST markers, and looking at highly-conserved regions shared between strains. This analysis shows three sub-clades (A-C) for S. aureus. As calculations are complex and strain annotation is quite time consuming we compare here key representatives of each clade with each other: model strains COL, USA300, Newman, and HG001 (clade A), model strain N315 and Mu50 (clade B) and ED133 and MRSA252 (clade C). We look at these individual proteomes and compare them to a background of 64 S. aureus strains. There are overall 13,284 S. aureus proteins not part of the core proteome which are involved in different strain-specific or more general complexes requiring detailed annotation and new experimental data to be accurately delineated. By comparison of the eight representative strains, we identify strain-specific proteins (e.g., 18 in COL, 105 in N315 and 44 in Newman) that characterize each strain and analyze pathogenicity islands if they contain such strain-specific proteins. We identify strain-specific protein repertoires involved in virulence, in cell wall metabolism, and phosphorylation. Finally we compare and analyze protein complexes conserved and well-characterized among S. aureus (a total of 103 complexes), as well as predict and analyze several individual protein complexes, including structure modeling in the three clades.","author":[{"dropping-particle":"","family":"Liang","given":"Chunguang","non-dropping-particle":"","parse-names":false,"suffix":""},{"dropping-particle":"","family":"Schaack","given":"Dominik","non-dropping-particle":"","parse-names":false,"suffix":""},{"dropping-particle":"","family":"Srivastava","given":"Mugdha","non-dropping-particle":"","parse-names":false,"suffix":""},{"dropping-particle":"","family":"Gupta","given":"Shishir","non-dropping-particle":"","parse-names":false,"suffix":""},{"dropping-particle":"","family":"Sarukhanyan","given":"Edita","non-dropping-particle":"","parse-names":false,"suffix":""},{"dropping-particle":"","family":"Giese","given":"Anne","non-dropping-particle":"","parse-names":false,"suffix":""},{"dropping-particle":"","family":"Pagels","given":"Martin","non-dropping-particle":"","parse-names":false,"suffix":""},{"dropping-particle":"","family":"Romanov","given":"Natalie","non-dropping-particle":"","parse-names":false,"suffix":""},{"dropping-particle":"","family":"Pané-Farré","given":"Jan","non-dropping-particle":"","parse-names":false,"suffix":""},{"dropping-particle":"","family":"Fuchs","given":"Stephan","non-dropping-particle":"","parse-names":false,"suffix":""},{"dropping-particle":"","family":"Dandekar","given":"Thomas","non-dropping-particle":"","parse-names":false,"suffix":""}],"container-title":"Proteomes","id":"ITEM-1","issue":"1","issued":{"date-parts":[["2016","2","19"]]},"page":"8","title":"A Staphylococcus aureus Proteome Overview: Shared and Specific Proteins and Protein Complexes from Representative Strains of All Three Clades","type":"article-journal","volume":"4"},"uris":["http://www.mendeley.com/documents/?uuid=32b6b550-a4db-43c1-9115-9487168ca24b"]},{"id":"ITEM-2","itemData":{"DOI":"10.1371/journal.pone.0009525","ISSN":"1932-6203","PMID":"20221434","abstract":"Background: Staphylococcus aureus secretes numerous exotoxins which may exhibit superantigenic properties. Whereas the virulence of several of them is well documented, their exact biological effects are not fully understood. Exotoxins may influence the immune and inflammatory state of various organs, including the sinonasal mucosa: their possible involvement in chronic rhinosinusitis has been suggested and is one of the main trends in current research. The aim of this study was to investigate whether the presence of any of the 22 currently known staphylococcal exotoxin genes could be correlated with chronic rhinosinusitis. Methodology/Principal Findings: We conducted a prospective, multi-centred European study, analysing 93 Staphylococcus aureus positive swabs taken from the middle meatus of patients suffering from chronic rhinosinusitis, with or without nasal polyposis, and controls. Strains were systematically tested for the presence of the 22 currently known exotoxin genes and genotyped according to their agr groups. No direct correlation was observed between chronic rhinosinusitis, with or without nasal polyposis, and either agr groups or the presence of the most studied exotoxins genes (egc, sea, seb, pvl, exfoliatins or tsst-1). However, genes for enterotoxins P and Q were frequently observed in nasal polyposis for the first time, but absent in the control group. The number of exotoxin genes detected was not statistically different among the 3 patient groups. Conclusions/Significance: Unlike many previous studies have been suggesting, we did not find any evident correlation between staphylococcal exotoxin genes and the presence or severity of chronic rhinosinusitis with or without nasal polyposis. © 2010 Heymans et al.","author":[{"dropping-particle":"","family":"Heymans","given":"Frédéric","non-dropping-particle":"","parse-names":false,"suffix":""},{"dropping-particle":"","family":"Fischer","given":"Adrien","non-dropping-particle":"","parse-names":false,"suffix":""},{"dropping-particle":"","family":"Stow","given":"Nicholas W.","non-dropping-particle":"","parse-names":false,"suffix":""},{"dropping-particle":"","family":"Girard","given":"Myriam","non-dropping-particle":"","parse-names":false,"suffix":""},{"dropping-particle":"","family":"Vourexakis","given":"Zacharias","non-dropping-particle":"","parse-names":false,"suffix":""},{"dropping-particle":"Des","family":"Courtis","given":"Antoine","non-dropping-particle":"","parse-names":false,"suffix":""},{"dropping-particle":"","family":"Renzi","given":"Gesuele","non-dropping-particle":"","parse-names":false,"suffix":""},{"dropping-particle":"","family":"Huggler","given":"Elzbieta","non-dropping-particle":"","parse-names":false,"suffix":""},{"dropping-particle":"","family":"Vlaminck","given":"Stefan","non-dropping-particle":"","parse-names":false,"suffix":""},{"dropping-particle":"","family":"Bonfils","given":"Pierre","non-dropping-particle":"","parse-names":false,"suffix":""},{"dropping-particle":"","family":"Mladina","given":"Ranko","non-dropping-particle":"","parse-names":false,"suffix":""},{"dropping-particle":"","family":"Lund","given":"Valerie","non-dropping-particle":"","parse-names":false,"suffix":""},{"dropping-particle":"","family":"Schrenzel","given":"Jacques","non-dropping-particle":"","parse-names":false,"suffix":""},{"dropping-particle":"","family":"François","given":"Patrice","non-dropping-particle":"","parse-names":false,"suffix":""},{"dropping-particle":"","family":"Lacroix","given":"Jean Silvain","non-dropping-particle":"","parse-names":false,"suffix":""}],"container-title":"PLoS ONE","editor":[{"dropping-particle":"","family":"Cohen","given":"Noam","non-dropping-particle":"","parse-names":false,"suffix":""}],"id":"ITEM-2","issue":"3","issued":{"date-parts":[["2010","3","5"]]},"page":"e9525","title":"Screening for Staphylococcal Superantigen Genes Shows No Correlation with the Presence or the Severity of Chronic Rhinosinusitis and Nasal Polyposis","type":"article-journal","volume":"5"},"uris":["http://www.mendeley.com/documents/?uuid=b8181d8b-d5e3-4471-b381-595959cfa736"]}],"mendeley":{"formattedCitation":"(Heymans et al., 2010; Liang et al., 2016)","plainTextFormattedCitation":"(Heymans et al., 2010; Liang et al., 2016)","previouslyFormattedCitation":"(Heymans et al., 2010; Liang et al., 2016)"},"properties":{"noteIndex":0},"schema":"https://github.com/citation-style-language/schema/raw/master/csl-citation.json"}</w:instrText>
      </w:r>
      <w:r>
        <w:fldChar w:fldCharType="separate"/>
      </w:r>
      <w:r w:rsidRPr="002F58D7">
        <w:rPr>
          <w:noProof/>
        </w:rPr>
        <w:t>(Heymans et al., 2010; Liang et al., 2016)</w:t>
      </w:r>
      <w:r>
        <w:fldChar w:fldCharType="end"/>
      </w:r>
      <w:r>
        <w:t xml:space="preserve">, their detection is generally followed by DNA Sanger sequencing for confirmation </w:t>
      </w:r>
      <w:r w:rsidR="00643794">
        <w:fldChar w:fldCharType="begin" w:fldLock="1"/>
      </w:r>
      <w:r w:rsidR="00643794">
        <w:instrText>ADDIN CSL_CITATION {"citationItems":[{"id":"ITEM-1","itemData":{"DOI":"10.1099/jmm.0.46948-0","ISSN":"0022-2615","PMID":"17244802","abstract":"The egc locus of Staphylococus aureus harbours two enterotoxin genes ( seg and sei ) and three enterotoxin-like genes ( selm , seln and selo ). Between the sei and seln genes are located two pseudogenes, ψent1 and ψent2 , or the selu or selu v gene. While these two alternative sei–seln intergenic regions can be distinguished by PCR, to date, DNA sequencing has been the only confirmatory option because of the very high degree of sequence similarity between egc loci bearing the pseudogenes and the selu or selu v gene. In silico restriction enzyme digestion of genomic regions encompassing the egc locus from the 3′ end of the sei gene through the 5′ first quarter of the seln gene allowed pseudogene- and selu - or selu v -bearing egc loci to be distinguished by PCR-RFLP. Experimental application of these findings demonstrated that endonuclease Hin dIII cleaved PCR amplimers bearing pseudogenes but not those with a selu or selu v gene, while selu - or selu v -bearing amplimers were susceptible to cleavage by endonuclease Hph I, but not by endonuclease Hin dIII. The restriction enzyme Bcc I cleaved selu - or selu v -harbouring amplimers at a unique restriction site created by their signature 15 bp insertion compared with pseudogene-bearing amplimers, thereby allowing distinction of these egc loci. PCR-RFLP analysis using these restriction enzymes provides a rapid, easy to interpret alternative to DNA sequencing for verification of PCR findings on the nature of an egc locus type, and can also be used for the primary identification of the intergenic sei–seln egc locus type.","author":[{"dropping-particle":"","family":"Collery","given":"Mark M.","non-dropping-particle":"","parse-names":false,"suffix":""},{"dropping-particle":"","family":"Smyth","given":"Cyril J.","non-dropping-particle":"","parse-names":false,"suffix":""}],"container-title":"Journal of Medical Microbiology","id":"ITEM-1","issue":"2","issued":{"date-parts":[["2007","2","1"]]},"page":"208-216","title":"Rapid differentiation of Staphylococcus aureus isolates harbouring egc loci with pseudogenes ψent1 and ψent2 and the selu or selu v gene using PCR-RFLP","type":"article-journal","volume":"56"},"uris":["http://www.mendeley.com/documents/?uuid=464d42e6-1473-4291-a3c1-7f1f528c7881"]}],"mendeley":{"formattedCitation":"(Collery and Smyth, 2007)","plainTextFormattedCitation":"(Collery and Smyth, 2007)","previouslyFormattedCitation":"(Collery and Smyth, 2007)"},"properties":{"noteIndex":0},"schema":"https://github.com/citation-style-language/schema/raw/master/csl-citation.json"}</w:instrText>
      </w:r>
      <w:r w:rsidR="00643794">
        <w:fldChar w:fldCharType="separate"/>
      </w:r>
      <w:r w:rsidR="00643794" w:rsidRPr="00643794">
        <w:rPr>
          <w:noProof/>
        </w:rPr>
        <w:t>(Collery and Smyth, 2007)</w:t>
      </w:r>
      <w:r w:rsidR="00643794">
        <w:fldChar w:fldCharType="end"/>
      </w:r>
      <w:r>
        <w:t xml:space="preserve">. In other words, no primer pairs were found in literature that enabled detection of </w:t>
      </w:r>
      <w:r w:rsidRPr="00643794">
        <w:rPr>
          <w:i/>
        </w:rPr>
        <w:t>selu</w:t>
      </w:r>
      <w:r>
        <w:t xml:space="preserve"> and </w:t>
      </w:r>
      <w:r w:rsidRPr="00643794">
        <w:rPr>
          <w:i/>
        </w:rPr>
        <w:t>selu2</w:t>
      </w:r>
      <w:r>
        <w:t xml:space="preserve"> without aspecifically detecting their precursor pseudogenes, i.e. </w:t>
      </w:r>
      <w:r w:rsidRPr="00643794">
        <w:rPr>
          <w:i/>
        </w:rPr>
        <w:t>Ψent1-2</w:t>
      </w:r>
      <w:r>
        <w:t xml:space="preserve">. Therefore, one of the aspecific primer pairs was selected for the </w:t>
      </w:r>
      <w:r w:rsidRPr="00643794">
        <w:rPr>
          <w:i/>
        </w:rPr>
        <w:t>in silico</w:t>
      </w:r>
      <w:r>
        <w:t xml:space="preserve"> PCR of </w:t>
      </w:r>
      <w:r w:rsidRPr="00643794">
        <w:rPr>
          <w:i/>
        </w:rPr>
        <w:t>selu</w:t>
      </w:r>
      <w:r>
        <w:t xml:space="preserve"> or the pseudogenes (shown in green in Supplementary Table S1; primer set selu-1). In total 139 primer pairs were thus used for the </w:t>
      </w:r>
      <w:r w:rsidRPr="00643794">
        <w:rPr>
          <w:i/>
        </w:rPr>
        <w:t>in silico</w:t>
      </w:r>
      <w:r>
        <w:t xml:space="preserve"> PCR (i.e. 89.68%). When the primer pairs indicated the presence of </w:t>
      </w:r>
      <w:r w:rsidRPr="00643794">
        <w:rPr>
          <w:i/>
        </w:rPr>
        <w:t>selu</w:t>
      </w:r>
      <w:r>
        <w:t xml:space="preserve">, </w:t>
      </w:r>
      <w:r w:rsidRPr="00643794">
        <w:rPr>
          <w:i/>
        </w:rPr>
        <w:t>selu2</w:t>
      </w:r>
      <w:r>
        <w:t xml:space="preserve">, or </w:t>
      </w:r>
      <w:r w:rsidRPr="00643794">
        <w:rPr>
          <w:i/>
        </w:rPr>
        <w:t>Ψent1-2</w:t>
      </w:r>
      <w:r>
        <w:t xml:space="preserve">, </w:t>
      </w:r>
      <w:r w:rsidRPr="00643794">
        <w:rPr>
          <w:i/>
        </w:rPr>
        <w:t>in silico</w:t>
      </w:r>
      <w:r>
        <w:t xml:space="preserve"> PCR was repeated using a primer pair (forward: 5’- TGA TAA TTA GTT TTA ACA CTA AAA TGC G-3’; reverse: 5’- CGT CTA ATT GCC ACG TTA TAT CAG T-3’;</w:t>
      </w:r>
      <w:r w:rsidR="00643794">
        <w:t xml:space="preserve"> </w:t>
      </w:r>
      <w:r w:rsidR="00643794">
        <w:fldChar w:fldCharType="begin" w:fldLock="1"/>
      </w:r>
      <w:r w:rsidR="00643794">
        <w:instrText>ADDIN CSL_CITATION {"citationItems":[{"id":"ITEM-1","itemData":{"DOI":"10.1046/j.1365-2672.2003.01957.x","ISSN":"1364-5072","PMID":"12807452","abstract":"Aims: This paper reports on a new putative enterotoxin SEU encoded by the enterotoxin gene cluster egc from Staphylococcus aureus and on a real-time polymerase chain reaction (PCR) assay for detecting the seu gene. Methods and Results: PCR and sequencing revealed a new putative enterotoxin SEU encoded by some egc clusters. The seu gene resulted from sequence divergence in the ψ ent1 and ψ ent2 pseudogenes previously described in the egc cluster (Jarraud et al. [2001] Journal of Immunology 166, 669). The presence of the seu gene was investigated in a collection of S. aureus strains by conventional PCR and by a specific 5′-nuclease PCR assay. Among the 24 strains harbouring the egc cluster, four tested positive for the seu gene. Conclusions: The existence of the seu gene adds to the number of newly described se genes and underlines the need for a better understanding of their role in the pathogenesis of S. aureus. Significance and Impact of the Study: A thorough study of the seu gene should provide further insight into the phylogenetics of the staphylococcal enterotoxins.","author":[{"dropping-particle":"","family":"Letertre","given":"Capucine","non-dropping-particle":"","parse-names":false,"suffix":""},{"dropping-particle":"","family":"Perelle","given":"Sylvie","non-dropping-particle":"","parse-names":false,"suffix":""},{"dropping-particle":"","family":"Dilasser","given":"Françoise","non-dropping-particle":"","parse-names":false,"suffix":""},{"dropping-particle":"","family":"Fach","given":"Patrick","non-dropping-particle":"","parse-names":false,"suffix":""}],"container-title":"Journal of Applied Microbiology","id":"ITEM-1","issue":"1","issued":{"date-parts":[["2003","7"]]},"page":"38-43","title":"Identification of a new putative enterotoxin SEU encoded by the egc cluster of Staphylococcus aureus","type":"article-journal","volume":"95"},"uris":["http://www.mendeley.com/documents/?uuid=ae0d50f5-b2fa-42d7-b61d-09018ac0dfc4"]}],"mendeley":{"formattedCitation":"(Letertre et al., 2003)","plainTextFormattedCitation":"(Letertre et al., 2003)","previouslyFormattedCitation":"(Letertre et al., 2003)"},"properties":{"noteIndex":0},"schema":"https://github.com/citation-style-language/schema/raw/master/csl-citation.json"}</w:instrText>
      </w:r>
      <w:r w:rsidR="00643794">
        <w:fldChar w:fldCharType="separate"/>
      </w:r>
      <w:r w:rsidR="00643794" w:rsidRPr="00643794">
        <w:rPr>
          <w:noProof/>
        </w:rPr>
        <w:t>(Letertre et al., 2003)</w:t>
      </w:r>
      <w:r w:rsidR="00643794">
        <w:fldChar w:fldCharType="end"/>
      </w:r>
      <w:r>
        <w:t xml:space="preserve">) targeting the complete gene length. The amplicon sequence was extracted and aligned against those of NCBI sequences (see Supplementary Fig. S1) harbouring </w:t>
      </w:r>
      <w:r w:rsidRPr="00643794">
        <w:rPr>
          <w:i/>
        </w:rPr>
        <w:t>selu</w:t>
      </w:r>
      <w:r>
        <w:t xml:space="preserve"> (</w:t>
      </w:r>
      <w:r w:rsidR="00643794" w:rsidRPr="00807902">
        <w:rPr>
          <w:szCs w:val="24"/>
        </w:rPr>
        <w:t>Genbank reference AY158703.1</w:t>
      </w:r>
      <w:r>
        <w:t xml:space="preserve">), </w:t>
      </w:r>
      <w:r w:rsidRPr="00643794">
        <w:rPr>
          <w:i/>
        </w:rPr>
        <w:t>selu2</w:t>
      </w:r>
      <w:r>
        <w:t xml:space="preserve"> (</w:t>
      </w:r>
      <w:r w:rsidR="00643794" w:rsidRPr="00807902">
        <w:rPr>
          <w:szCs w:val="24"/>
        </w:rPr>
        <w:t>Genbank reference MN450302.1</w:t>
      </w:r>
      <w:r>
        <w:t xml:space="preserve">), and </w:t>
      </w:r>
      <w:r w:rsidRPr="00643794">
        <w:rPr>
          <w:i/>
        </w:rPr>
        <w:t xml:space="preserve">Ψent1-2 </w:t>
      </w:r>
      <w:r>
        <w:t>(</w:t>
      </w:r>
      <w:r w:rsidR="00643794" w:rsidRPr="00807902">
        <w:rPr>
          <w:szCs w:val="24"/>
        </w:rPr>
        <w:t xml:space="preserve">Genbank reference </w:t>
      </w:r>
      <w:r w:rsidR="00720FCE">
        <w:rPr>
          <w:szCs w:val="24"/>
        </w:rPr>
        <w:t>MN450303.1</w:t>
      </w:r>
      <w:r>
        <w:t>) using CLC Sequence Viewer 8.0 with the aim to type the specific gene based on similarity with the reference sequences.</w:t>
      </w:r>
    </w:p>
    <w:p w14:paraId="49D5E3A8" w14:textId="687DDC16" w:rsidR="00643794" w:rsidRDefault="00643794" w:rsidP="00643794">
      <w:pPr>
        <w:pStyle w:val="Heading2"/>
      </w:pPr>
      <w:r>
        <w:rPr>
          <w:i/>
        </w:rPr>
        <w:lastRenderedPageBreak/>
        <w:t xml:space="preserve">In silico </w:t>
      </w:r>
      <w:r>
        <w:t xml:space="preserve">PCR to determine the </w:t>
      </w:r>
      <w:r>
        <w:rPr>
          <w:i/>
        </w:rPr>
        <w:t xml:space="preserve">se </w:t>
      </w:r>
      <w:r>
        <w:t>gene profile of the isolates</w:t>
      </w:r>
    </w:p>
    <w:p w14:paraId="034FB261" w14:textId="26E06BD5" w:rsidR="00643794" w:rsidRDefault="00643794" w:rsidP="00643794">
      <w:pPr>
        <w:jc w:val="both"/>
      </w:pPr>
      <w:r>
        <w:t xml:space="preserve">The 139 primer pairs were used in addition to conventional methods to extend </w:t>
      </w:r>
      <w:r w:rsidRPr="00643794">
        <w:rPr>
          <w:i/>
        </w:rPr>
        <w:t>se</w:t>
      </w:r>
      <w:r>
        <w:t xml:space="preserve"> gene profiling to its complete arsenal, and to verify the previously reported </w:t>
      </w:r>
      <w:r w:rsidRPr="00643794">
        <w:rPr>
          <w:i/>
        </w:rPr>
        <w:t>se</w:t>
      </w:r>
      <w:r>
        <w:t xml:space="preserve"> profile obtained from WGS data </w:t>
      </w:r>
      <w:r>
        <w:fldChar w:fldCharType="begin" w:fldLock="1"/>
      </w:r>
      <w:r w:rsidR="00C32661">
        <w:instrText>ADDIN CSL_CITATION {"citationItems":[{"id":"ITEM-1","itemData":{"DOI":"10.3389/fvets.2020.00135","ISSN":"2297-1769","abstract":"Staphylococcus aureus is a causative agent of different infectious processes, food poisoning, and autoimmune disorders. The horizontal transfer of pathogenic strains can occur from animal to human under both house and farm conditions, and the spread of strains with antibiotic resistance is an existing problem. In addition to the spread of antibiotic-resistant strains in clinics, this problem also exists in veterinary medicine. It is especially important to monitor antibiotic resistance on farms where antibiotics are the standard treatment of animals, which may trigger the spread of antibiotic-resistant strains among animals and to the human population, and these strains can also be distributed in milk products produced by these farms (milk, cheese, and butter). In this work, we investigated 21 S. aureus isolates using whole-genome sequence analysis and tried to establish a relationship between these isolates with the development of bovine mastitis in seven regions of Western Russia. An S. aureus virulence profile was identified. We identified two groups of S. aureus associated with subclinical mastitis, namely, the enterotoxin-positive and enterotoxin-negative groups. The most prevalent factor associated with bovine mastitis in Russia was cytotoxins, including hemolysins and leukocidins. Multidrug resistance strains were investigated, and antibiotic resistance genes were identified. We identified S. aureus ST 97 type as the most common type in the regions in Western Russia. To the best of our knowledge, this is the first in-depth study of a range S. aureus isolates originating from cattle infections in Russia.","author":[{"dropping-particle":"","family":"Fursova","given":"Ksenia","non-dropping-particle":"","parse-names":false,"suffix":""},{"dropping-particle":"","family":"Sorokin","given":"Anatoly","non-dropping-particle":"","parse-names":false,"suffix":""},{"dropping-particle":"","family":"Sokolov","given":"Sergey","non-dropping-particle":"","parse-names":false,"suffix":""},{"dropping-particle":"","family":"Dzhelyadin","given":"Timur","non-dropping-particle":"","parse-names":false,"suffix":""},{"dropping-particle":"","family":"Shulcheva","given":"Irina","non-dropping-particle":"","parse-names":false,"suffix":""},{"dropping-particle":"","family":"Shchannikova","given":"Margarita","non-dropping-particle":"","parse-names":false,"suffix":""},{"dropping-particle":"","family":"Nikanova","given":"Daria","non-dropping-particle":"","parse-names":false,"suffix":""},{"dropping-particle":"","family":"Artem'eva","given":"Olga","non-dropping-particle":"","parse-names":false,"suffix":""},{"dropping-particle":"","family":"Zinovieva","given":"Natalia","non-dropping-particle":"","parse-names":false,"suffix":""},{"dropping-particle":"","family":"Brovko","given":"Fedor","non-dropping-particle":"","parse-names":false,"suffix":""}],"container-title":"Frontiers in Veterinary Science","id":"ITEM-1","issue":"March","issued":{"date-parts":[["2020","3","25"]]},"page":"1-10","title":"Virulence Factors and Phylogeny of Staphylococcus aureus Associated With Bovine Mastitis in Russia Based on Genome Sequences","type":"article-journal","volume":"7"},"uris":["http://www.mendeley.com/documents/?uuid=76cf0e19-0717-49ca-954e-b4d9e4b1a4ac"]},{"id":"ITEM-2","itemData":{"DOI":"10.3389/fmicb.2020.01483","ISSN":"1664-302X","abstract":"Food contamination by staphylococcal enterotoxins (SEs) is responsible for many food poisoning outbreaks (FPOs) each year, and they represent the third leading cause of FPOs in Europe. SEs constitute a protein family with 27 proteins. However, enzyme immunoassays can only detect directly in food the five classical SEs (SEA-SEE). Thus, molecular characterization methods of strains found in food are now used for FPO investigations. Here, we describe the development and implementation of a genomic analysis tool called NAuRA (Nice automatic Research of alleles) that can detect the presence of 27 SEs genes in just one analysis- and create a database of allelic data and protein variants for harmonizing analyses. This tool uses genome assembly data and the 27 protein sequences of SEs. To include the different divergence levels between SE-coding genes, parameters of coverage and identity were generated from 10,000 simulations and a dataset of 244 assembled genomes from strains responsible for outbreaks in Europe as well as the RefSeq reference database. Based on phylogenetic inference performed using maximum-likelihood on the core genomes of the strains in this collection, we demonstrated that strains responsible for FPOs are distributed throughout the phylogenetic tree. Moreover, 71 toxin profiles were obtained using the NAuRA pipeline and these profiles do not follow the evolutionary history of strains. This study presents a pioneering method to investigate strains isolated from food at the genomic level and to analyze the diversity of all 27 SE-coding genes together.","author":[{"dropping-particle":"","family":"Merda","given":"Déborah","non-dropping-particle":"","parse-names":false,"suffix":""},{"dropping-particle":"","family":"Felten","given":"Arnaud","non-dropping-particle":"","parse-names":false,"suffix":""},{"dropping-particle":"","family":"Vingadassalon","given":"Noémie","non-dropping-particle":"","parse-names":false,"suffix":""},{"dropping-particle":"","family":"Denayer","given":"Sarah","non-dropping-particle":"","parse-names":false,"suffix":""},{"dropping-particle":"","family":"Titouche","given":"Yacine","non-dropping-particle":"","parse-names":false,"suffix":""},{"dropping-particle":"","family":"Decastelli","given":"Lucia","non-dropping-particle":"","parse-names":false,"suffix":""},{"dropping-particle":"","family":"Hickey","given":"Bernadette","non-dropping-particle":"","parse-names":false,"suffix":""},{"dropping-particle":"","family":"Kourtis","given":"Christos","non-dropping-particle":"","parse-names":false,"suffix":""},{"dropping-particle":"","family":"Daskalov","given":"Hristo","non-dropping-particle":"","parse-names":false,"suffix":""},{"dropping-particle":"","family":"Mistou","given":"Michel-Yves","non-dropping-particle":"","parse-names":false,"suffix":""},{"dropping-particle":"","family":"Hennekinne","given":"Jacques-Antoine","non-dropping-particle":"","parse-names":false,"suffix":""}],"container-title":"Frontiers in Microbiology","id":"ITEM-2","issue":"June","issued":{"date-parts":[["2020","6","30"]]},"page":"1-12","title":"NAuRA: Genomic Tool to Identify Staphylococcal Enterotoxins in Staphylococcus aureus Strains Responsible for FoodBorne Outbreaks","type":"article-journal","volume":"11"},"uris":["http://www.mendeley.com/documents/?uuid=81fd2be4-1462-4cb9-9b92-3f48a4c75757"]}],"mendeley":{"formattedCitation":"(Fursova et al., 2020; Merda et al., 2020)","plainTextFormattedCitation":"(Fursova et al., 2020; Merda et al., 2020)","previouslyFormattedCitation":"(Fursova et al., 2020; Merda et al., 2020)"},"properties":{"noteIndex":0},"schema":"https://github.com/citation-style-language/schema/raw/master/csl-citation.json"}</w:instrText>
      </w:r>
      <w:r>
        <w:fldChar w:fldCharType="separate"/>
      </w:r>
      <w:r w:rsidRPr="00C32661">
        <w:rPr>
          <w:noProof/>
        </w:rPr>
        <w:t>(Fursova et al., 2020; Merda et al., 2020)</w:t>
      </w:r>
      <w:r>
        <w:fldChar w:fldCharType="end"/>
      </w:r>
      <w:r w:rsidRPr="00C32661">
        <w:t xml:space="preserve">. </w:t>
      </w:r>
      <w:r>
        <w:t xml:space="preserve">For the </w:t>
      </w:r>
      <w:r w:rsidRPr="00643794">
        <w:rPr>
          <w:i/>
        </w:rPr>
        <w:t>in silico</w:t>
      </w:r>
      <w:r>
        <w:t xml:space="preserve"> PCR, these 139 primer pairs were aligned against the assemblies of the 13 in-house sequenced </w:t>
      </w:r>
      <w:r w:rsidRPr="00643794">
        <w:rPr>
          <w:i/>
        </w:rPr>
        <w:t>S. aureus</w:t>
      </w:r>
      <w:r w:rsidR="00C32661">
        <w:t xml:space="preserve"> isolates</w:t>
      </w:r>
      <w:r>
        <w:t xml:space="preserve"> processed with the GenElute Bacterial gDNA kit, and the downloaded assemblies of the three isolates for which WGS data were public</w:t>
      </w:r>
      <w:r w:rsidR="00C32661">
        <w:t>ly available, using Primer-</w:t>
      </w:r>
      <w:r>
        <w:t>BLAST. For the assembly, all raw reads were first</w:t>
      </w:r>
      <w:r w:rsidR="00C32661">
        <w:t xml:space="preserve"> trimmed using Trimmomatic </w:t>
      </w:r>
      <w:r w:rsidR="00C32661">
        <w:fldChar w:fldCharType="begin" w:fldLock="1"/>
      </w:r>
      <w:r w:rsidR="00C32661">
        <w:instrText>ADDIN CSL_CITATION {"citationItems":[{"id":"ITEM-1","itemData":{"DOI":"10.1093/bioinformatics/btu170","ISBN":"1367-4803","ISSN":"1460-2059","PMID":"24695404","abstract":"MOTIVATION: Although many next-generation sequencing (NGS) read preprocessing tools already existed, we could not find any tool or combination of tools that met our requirements in terms of flexibility, correct handling of paired-end data and high performance. We have developed Trimmomatic as a more flexible and efficient preprocessing tool, which could correctly handle paired-end data.\\n\\nRESULTS: The value of NGS read preprocessing is demonstrated for both reference-based and reference-free tasks. Trimmomatic is shown to produce output that is at least competitive with, and in many cases superior to, that produced by other tools, in all scenarios tested.\\n\\nAVAILABILITY AND IMPLEMENTATION: Trimmomatic is licensed under GPL V3. It is cross-platform (Java 1.5+ required) and available at http://www.usadellab.org/cms/index.php?page=trimmomatic\\n\\nCONTACT: usadel@bio1.rwth-aachen.de\\n\\nSUPPLEMENTARY INFORMATION: Supplementary data are available at Bioinformatics online.","author":[{"dropping-particle":"","family":"Bolger","given":"Anthony M.","non-dropping-particle":"","parse-names":false,"suffix":""},{"dropping-particle":"","family":"Lohse","given":"Marc","non-dropping-particle":"","parse-names":false,"suffix":""},{"dropping-particle":"","family":"Usadel","given":"Bjoern","non-dropping-particle":"","parse-names":false,"suffix":""}],"container-title":"Bioinformatics","id":"ITEM-1","issue":"15","issued":{"date-parts":[["2014","8","1"]]},"page":"2114-2120","title":"Trimmomatic: a flexible trimmer for Illumina sequence data","type":"article-journal","volume":"30"},"uris":["http://www.mendeley.com/documents/?uuid=4279043d-95fd-4d97-8085-a642b3cb9f2e"]}],"mendeley":{"formattedCitation":"(Bolger et al., 2014)","plainTextFormattedCitation":"(Bolger et al., 2014)","previouslyFormattedCitation":"(Bolger et al., 2014)"},"properties":{"noteIndex":0},"schema":"https://github.com/citation-style-language/schema/raw/master/csl-citation.json"}</w:instrText>
      </w:r>
      <w:r w:rsidR="00C32661">
        <w:fldChar w:fldCharType="separate"/>
      </w:r>
      <w:r w:rsidR="00C32661" w:rsidRPr="00C32661">
        <w:rPr>
          <w:noProof/>
        </w:rPr>
        <w:t>(Bolger et al., 2014)</w:t>
      </w:r>
      <w:r w:rsidR="00C32661">
        <w:fldChar w:fldCharType="end"/>
      </w:r>
      <w:r>
        <w:t xml:space="preserve">, i.e. ‘Illuminaclip’ set to value ‘NexteraPE-PE.fa:2:30:10’, ‘leading:10’ and ‘trailing:10’, ‘slidingwindow:4:20’, ‘minlen:40’. Trimmed reads were </w:t>
      </w:r>
      <w:r w:rsidRPr="00C32661">
        <w:rPr>
          <w:i/>
        </w:rPr>
        <w:t>de novo</w:t>
      </w:r>
      <w:r>
        <w:t xml:space="preserve"> assembled using SPAdes </w:t>
      </w:r>
      <w:r w:rsidR="00C32661">
        <w:fldChar w:fldCharType="begin" w:fldLock="1"/>
      </w:r>
      <w:r w:rsidR="00C32661">
        <w:instrText>ADDIN CSL_CITATION {"citationItems":[{"id":"ITEM-1","itemData":{"DOI":"10.1089/cmb.2012.0021","ISBN":"1066-5277","ISSN":"1066-5277","PMID":"22506599","abstract":"The lion's share of bacteria in various environments cannot be cloned in the laboratory and thus cannot be sequenced using existing technologies. A major goal of single-cell genomics is to complement gene-centric metagenomic data with whole-genome assemblies of uncultivated organisms. Assembly of single-cell data is challenging because of highly non-uniform read coverage as well as elevated levels of sequencing errors and chimeric reads. We describe SPAdes, a new assembler for both single-cell and standard (multicell) assembly, and demonstrate that it improves on the recently released E+V-SC assembler (specialized for single-cell data) and on popular assemblers Velvet and SoapDeNovo (for multicell data). SPAdes generates single-cell assemblies, providing information about genomes of uncultivatable bacteria that vastly exceeds what may be obtained via traditional metagenomics studies. SPAdes is available online ( http://bioinf.spbau.ru/spades ). It is distributed as open source software.","author":[{"dropping-particle":"","family":"Bankevich","given":"Anton","non-dropping-particle":"","parse-names":false,"suffix":""},{"dropping-particle":"","family":"Nurk","given":"Sergey","non-dropping-particle":"","parse-names":false,"suffix":""},{"dropping-particle":"","family":"Antipov","given":"Dmitry","non-dropping-particle":"","parse-names":false,"suffix":""},{"dropping-particle":"","family":"Gurevich","given":"Alexey A.","non-dropping-particle":"","parse-names":false,"suffix":""},{"dropping-particle":"","family":"Dvorkin","given":"Mikhail","non-dropping-particle":"","parse-names":false,"suffix":""},{"dropping-particle":"","family":"Kulikov","given":"Alexander S.","non-dropping-particle":"","parse-names":false,"suffix":""},{"dropping-particle":"","family":"Lesin","given":"Valery M.","non-dropping-particle":"","parse-names":false,"suffix":""},{"dropping-particle":"","family":"Nikolenko","given":"Sergey I.","non-dropping-particle":"","parse-names":false,"suffix":""},{"dropping-particle":"","family":"Pham","given":"Son","non-dropping-particle":"","parse-names":false,"suffix":""},{"dropping-particle":"","family":"Prjibelski","given":"Andrey D.","non-dropping-particle":"","parse-names":false,"suffix":""},{"dropping-particle":"V.","family":"Pyshkin","given":"Alexey","non-dropping-particle":"","parse-names":false,"suffix":""},{"dropping-particle":"V.","family":"Sirotkin","given":"Alexander","non-dropping-particle":"","parse-names":false,"suffix":""},{"dropping-particle":"","family":"Vyahhi","given":"Nikolay","non-dropping-particle":"","parse-names":false,"suffix":""},{"dropping-particle":"","family":"Tesler","given":"Glenn","non-dropping-particle":"","parse-names":false,"suffix":""},{"dropping-particle":"","family":"Alekseyev","given":"Max A.","non-dropping-particle":"","parse-names":false,"suffix":""},{"dropping-particle":"","family":"Pevzner","given":"Pavel A.","non-dropping-particle":"","parse-names":false,"suffix":""}],"container-title":"Journal of Computational Biology","id":"ITEM-1","issue":"5","issued":{"date-parts":[["2012","5"]]},"page":"455-477","title":"SPAdes: A New Genome Assembly Algorithm and Its Applications to Single-Cell Sequencing","type":"article-journal","volume":"19"},"uris":["http://www.mendeley.com/documents/?uuid=13de436a-06a1-41b2-9f36-01b9c522801b"]}],"mendeley":{"formattedCitation":"(Bankevich et al., 2012)","plainTextFormattedCitation":"(Bankevich et al., 2012)","previouslyFormattedCitation":"(Bankevich et al., 2012)"},"properties":{"noteIndex":0},"schema":"https://github.com/citation-style-language/schema/raw/master/csl-citation.json"}</w:instrText>
      </w:r>
      <w:r w:rsidR="00C32661">
        <w:fldChar w:fldCharType="separate"/>
      </w:r>
      <w:r w:rsidR="00C32661" w:rsidRPr="00C32661">
        <w:rPr>
          <w:noProof/>
        </w:rPr>
        <w:t>(Bankevich et al., 2012)</w:t>
      </w:r>
      <w:r w:rsidR="00C32661">
        <w:fldChar w:fldCharType="end"/>
      </w:r>
      <w:r>
        <w:t xml:space="preserve"> setting the ‘--careful’ and ‘--cov-cutoff 10’ options. Contigs below 1000 bp in length were removed using Seqtk seq</w:t>
      </w:r>
      <w:r w:rsidR="00C32661">
        <w:rPr>
          <w:rStyle w:val="FootnoteReference"/>
        </w:rPr>
        <w:footnoteReference w:id="1"/>
      </w:r>
      <w:r w:rsidR="00C32661">
        <w:t xml:space="preserve"> </w:t>
      </w:r>
      <w:r>
        <w:t xml:space="preserve">using the ‘-L’ option. The obtained </w:t>
      </w:r>
      <w:r w:rsidRPr="00C32661">
        <w:rPr>
          <w:i/>
        </w:rPr>
        <w:t>se</w:t>
      </w:r>
      <w:r>
        <w:t xml:space="preserve"> gene profile per isolate based on the </w:t>
      </w:r>
      <w:r w:rsidRPr="00C32661">
        <w:rPr>
          <w:i/>
        </w:rPr>
        <w:t>in silico</w:t>
      </w:r>
      <w:r>
        <w:t xml:space="preserve"> PCR is depicted in Supplementary table S4.</w:t>
      </w:r>
    </w:p>
    <w:p w14:paraId="237ADC14" w14:textId="77777777" w:rsidR="00643794" w:rsidRDefault="00643794" w:rsidP="00643794">
      <w:pPr>
        <w:jc w:val="both"/>
      </w:pPr>
      <w:r>
        <w:t>Except for 14 (</w:t>
      </w:r>
      <w:r w:rsidRPr="00C32661">
        <w:rPr>
          <w:i/>
        </w:rPr>
        <w:t>selx</w:t>
      </w:r>
      <w:r>
        <w:t xml:space="preserve"> in TIAC1991, TIAC1993, TIAC1994, TIAC3152, SAMN02391177, SAMN02403200, and SAMN13134218; </w:t>
      </w:r>
      <w:r w:rsidRPr="00C32661">
        <w:rPr>
          <w:i/>
        </w:rPr>
        <w:t>sec</w:t>
      </w:r>
      <w:r>
        <w:t xml:space="preserve">, </w:t>
      </w:r>
      <w:r w:rsidRPr="00C32661">
        <w:rPr>
          <w:i/>
        </w:rPr>
        <w:t>seg</w:t>
      </w:r>
      <w:r>
        <w:t xml:space="preserve"> and </w:t>
      </w:r>
      <w:r w:rsidRPr="00C32661">
        <w:rPr>
          <w:i/>
        </w:rPr>
        <w:t>selx</w:t>
      </w:r>
      <w:r>
        <w:t xml:space="preserve"> in TIAC1992; </w:t>
      </w:r>
      <w:r w:rsidRPr="00C32661">
        <w:rPr>
          <w:i/>
        </w:rPr>
        <w:t>sem</w:t>
      </w:r>
      <w:r>
        <w:t xml:space="preserve"> and </w:t>
      </w:r>
      <w:r w:rsidRPr="00C32661">
        <w:rPr>
          <w:i/>
        </w:rPr>
        <w:t>seo</w:t>
      </w:r>
      <w:r>
        <w:t xml:space="preserve"> in TIAC3462; and </w:t>
      </w:r>
      <w:r w:rsidRPr="00C32661">
        <w:rPr>
          <w:i/>
        </w:rPr>
        <w:t>seq</w:t>
      </w:r>
      <w:r>
        <w:t xml:space="preserve"> and </w:t>
      </w:r>
      <w:r w:rsidRPr="00C32661">
        <w:rPr>
          <w:i/>
        </w:rPr>
        <w:t>selx</w:t>
      </w:r>
      <w:r>
        <w:t xml:space="preserve"> in TIAC3972) of the in total 432 (i.e. 27 genes for each of the 16 isolates) observations, all primer pairs rendered identical results concerning the presence/absence of</w:t>
      </w:r>
      <w:r w:rsidRPr="00C32661">
        <w:rPr>
          <w:i/>
        </w:rPr>
        <w:t xml:space="preserve"> se</w:t>
      </w:r>
      <w:r>
        <w:t xml:space="preserve"> genes in each isolate (Supplementary Table S4). These 14 observations were related to 16 primer pairs (see Supplementary Table S4: sec-3/5/10/12, seg-2/7/8/9/10, sem-1/3, seo1/2, seq-6, and selx-1/3). Manual alignment of the 16 primer pairs with the assemblies indicated that the inconsistent detection of these 14 genes resulted from: (i) An assembly fragmentation (in 2 observations, i.e. four and five of the ten used primer pairs for </w:t>
      </w:r>
      <w:r w:rsidRPr="00C32661">
        <w:rPr>
          <w:i/>
        </w:rPr>
        <w:t>sec</w:t>
      </w:r>
      <w:r>
        <w:t xml:space="preserve"> and </w:t>
      </w:r>
      <w:r w:rsidRPr="00C32661">
        <w:rPr>
          <w:i/>
        </w:rPr>
        <w:t>seg</w:t>
      </w:r>
      <w:r>
        <w:t xml:space="preserve"> in TIAC1992, respectively, annealed on segregated contigs); or (ii) A higher nucleotide variation than accepted by the predefined criteria (in 12 observations, i.e. for two of the three and five used primer pairs detecting </w:t>
      </w:r>
      <w:r w:rsidRPr="00C32661">
        <w:rPr>
          <w:i/>
        </w:rPr>
        <w:t>sem</w:t>
      </w:r>
      <w:r>
        <w:t xml:space="preserve"> and </w:t>
      </w:r>
      <w:r w:rsidRPr="00C32661">
        <w:rPr>
          <w:i/>
        </w:rPr>
        <w:t>seo</w:t>
      </w:r>
      <w:r>
        <w:t xml:space="preserve"> in TIAC3462, respectively; for one of the six and three used primer pairs detecting </w:t>
      </w:r>
      <w:r w:rsidRPr="00C32661">
        <w:rPr>
          <w:i/>
        </w:rPr>
        <w:t>seq</w:t>
      </w:r>
      <w:r>
        <w:t xml:space="preserve"> in TIAC3972,  and </w:t>
      </w:r>
      <w:r w:rsidRPr="00C32661">
        <w:rPr>
          <w:i/>
        </w:rPr>
        <w:t xml:space="preserve">selx </w:t>
      </w:r>
      <w:r>
        <w:t xml:space="preserve">in TIAC1991, TIAC1992, TIAC1993, TIAC1994, SAMN02391177, and SAMN13134218, respectively; and for two of the three used primer pairs detecting </w:t>
      </w:r>
      <w:r w:rsidRPr="00C32661">
        <w:rPr>
          <w:i/>
        </w:rPr>
        <w:t>selx</w:t>
      </w:r>
      <w:r>
        <w:t xml:space="preserve"> in TIAC3152, TIAC3972, and SAMN02403200). In other words, besides the 9 primer pairs that did not lead to an </w:t>
      </w:r>
      <w:r w:rsidRPr="00C32661">
        <w:rPr>
          <w:i/>
        </w:rPr>
        <w:t>in silico</w:t>
      </w:r>
      <w:r>
        <w:t xml:space="preserve"> product because of assembly fragmentation (i.e. sec-3/5/10/12 and seg-2/7/8/9/10), seven of the 16 primer pairs (5.04% of the 139 used primer pairs, i.e. sem-1/3, seo-1/2, seq-6, and selx-1/3) were determined to specifically detect their target gene, but did not consistently do so when present across the 16 isolates, due to their annealing to non-conservative gene regions (see Supplementary Table S1 marked in yellow). However, since other gene-specific primer pairs were able to detect these 14 genes, they were considered present within the respective isolates (see Materials and Methods in the main manuscript).</w:t>
      </w:r>
    </w:p>
    <w:p w14:paraId="3F7137E5" w14:textId="0FD85977" w:rsidR="00643794" w:rsidRPr="00643794" w:rsidRDefault="00643794" w:rsidP="00643794">
      <w:pPr>
        <w:jc w:val="both"/>
      </w:pPr>
      <w:r>
        <w:t xml:space="preserve">Since it was indicated previously that PCR is unable to distinguish between </w:t>
      </w:r>
      <w:r w:rsidRPr="00C32661">
        <w:rPr>
          <w:i/>
        </w:rPr>
        <w:t>selu</w:t>
      </w:r>
      <w:r>
        <w:t xml:space="preserve">, </w:t>
      </w:r>
      <w:r w:rsidRPr="00C32661">
        <w:rPr>
          <w:i/>
        </w:rPr>
        <w:t>selu2</w:t>
      </w:r>
      <w:r>
        <w:t xml:space="preserve"> and pseudogenes </w:t>
      </w:r>
      <w:r w:rsidRPr="00C32661">
        <w:rPr>
          <w:i/>
        </w:rPr>
        <w:t>Ψent1</w:t>
      </w:r>
      <w:r>
        <w:t xml:space="preserve"> and </w:t>
      </w:r>
      <w:r w:rsidRPr="00C32661">
        <w:rPr>
          <w:i/>
        </w:rPr>
        <w:t>Ψent2</w:t>
      </w:r>
      <w:r>
        <w:t xml:space="preserve"> </w:t>
      </w:r>
      <w:r w:rsidR="00C32661">
        <w:fldChar w:fldCharType="begin" w:fldLock="1"/>
      </w:r>
      <w:r w:rsidR="00D72566">
        <w:instrText>ADDIN CSL_CITATION {"citationItems":[{"id":"ITEM-1","itemData":{"DOI":"10.3390/proteomes4010008","ISSN":"2227-7382","abstract":"Staphylococcus aureus is an important model organism and pathogen. This S. aureus proteome overview details shared and specific proteins and selected virulence-relevant protein complexes from representative strains of all three major clades. To determine the strain distribution and major clades we used a refined strain comparison combining ribosomal RNA, MLST markers, and looking at highly-conserved regions shared between strains. This analysis shows three sub-clades (A-C) for S. aureus. As calculations are complex and strain annotation is quite time consuming we compare here key representatives of each clade with each other: model strains COL, USA300, Newman, and HG001 (clade A), model strain N315 and Mu50 (clade B) and ED133 and MRSA252 (clade C). We look at these individual proteomes and compare them to a background of 64 S. aureus strains. There are overall 13,284 S. aureus proteins not part of the core proteome which are involved in different strain-specific or more general complexes requiring detailed annotation and new experimental data to be accurately delineated. By comparison of the eight representative strains, we identify strain-specific proteins (e.g., 18 in COL, 105 in N315 and 44 in Newman) that characterize each strain and analyze pathogenicity islands if they contain such strain-specific proteins. We identify strain-specific protein repertoires involved in virulence, in cell wall metabolism, and phosphorylation. Finally we compare and analyze protein complexes conserved and well-characterized among S. aureus (a total of 103 complexes), as well as predict and analyze several individual protein complexes, including structure modeling in the three clades.","author":[{"dropping-particle":"","family":"Liang","given":"Chunguang","non-dropping-particle":"","parse-names":false,"suffix":""},{"dropping-particle":"","family":"Schaack","given":"Dominik","non-dropping-particle":"","parse-names":false,"suffix":""},{"dropping-particle":"","family":"Srivastava","given":"Mugdha","non-dropping-particle":"","parse-names":false,"suffix":""},{"dropping-particle":"","family":"Gupta","given":"Shishir","non-dropping-particle":"","parse-names":false,"suffix":""},{"dropping-particle":"","family":"Sarukhanyan","given":"Edita","non-dropping-particle":"","parse-names":false,"suffix":""},{"dropping-particle":"","family":"Giese","given":"Anne","non-dropping-particle":"","parse-names":false,"suffix":""},{"dropping-particle":"","family":"Pagels","given":"Martin","non-dropping-particle":"","parse-names":false,"suffix":""},{"dropping-particle":"","family":"Romanov","given":"Natalie","non-dropping-particle":"","parse-names":false,"suffix":""},{"dropping-particle":"","family":"Pané-Farré","given":"Jan","non-dropping-particle":"","parse-names":false,"suffix":""},{"dropping-particle":"","family":"Fuchs","given":"Stephan","non-dropping-particle":"","parse-names":false,"suffix":""},{"dropping-particle":"","family":"Dandekar","given":"Thomas","non-dropping-particle":"","parse-names":false,"suffix":""}],"container-title":"Proteomes","id":"ITEM-1","issue":"1","issued":{"date-parts":[["2016","2","19"]]},"page":"8","title":"A Staphylococcus aureus Proteome Overview: Shared and Specific Proteins and Protein Complexes from Representative Strains of All Three Clades","type":"article-journal","volume":"4"},"uris":["http://www.mendeley.com/documents/?uuid=32b6b550-a4db-43c1-9115-9487168ca24b"]},{"id":"ITEM-2","itemData":{"DOI":"10.1371/journal.pone.0009525","ISSN":"1932-6203","PMID":"20221434","abstract":"Background: Staphylococcus aureus secretes numerous exotoxins which may exhibit superantigenic properties. Whereas the virulence of several of them is well documented, their exact biological effects are not fully understood. Exotoxins may influence the immune and inflammatory state of various organs, including the sinonasal mucosa: their possible involvement in chronic rhinosinusitis has been suggested and is one of the main trends in current research. The aim of this study was to investigate whether the presence of any of the 22 currently known staphylococcal exotoxin genes could be correlated with chronic rhinosinusitis. Methodology/Principal Findings: We conducted a prospective, multi-centred European study, analysing 93 Staphylococcus aureus positive swabs taken from the middle meatus of patients suffering from chronic rhinosinusitis, with or without nasal polyposis, and controls. Strains were systematically tested for the presence of the 22 currently known exotoxin genes and genotyped according to their agr groups. No direct correlation was observed between chronic rhinosinusitis, with or without nasal polyposis, and either agr groups or the presence of the most studied exotoxins genes (egc, sea, seb, pvl, exfoliatins or tsst-1). However, genes for enterotoxins P and Q were frequently observed in nasal polyposis for the first time, but absent in the control group. The number of exotoxin genes detected was not statistically different among the 3 patient groups. Conclusions/Significance: Unlike many previous studies have been suggesting, we did not find any evident correlation between staphylococcal exotoxin genes and the presence or severity of chronic rhinosinusitis with or without nasal polyposis. © 2010 Heymans et al.","author":[{"dropping-particle":"","family":"Heymans","given":"Frédéric","non-dropping-particle":"","parse-names":false,"suffix":""},{"dropping-particle":"","family":"Fischer","given":"Adrien","non-dropping-particle":"","parse-names":false,"suffix":""},{"dropping-particle":"","family":"Stow","given":"Nicholas W.","non-dropping-particle":"","parse-names":false,"suffix":""},{"dropping-particle":"","family":"Girard","given":"Myriam","non-dropping-particle":"","parse-names":false,"suffix":""},{"dropping-particle":"","family":"Vourexakis","given":"Zacharias","non-dropping-particle":"","parse-names":false,"suffix":""},{"dropping-particle":"Des","family":"Courtis","given":"Antoine","non-dropping-particle":"","parse-names":false,"suffix":""},{"dropping-particle":"","family":"Renzi","given":"Gesuele","non-dropping-particle":"","parse-names":false,"suffix":""},{"dropping-particle":"","family":"Huggler","given":"Elzbieta","non-dropping-particle":"","parse-names":false,"suffix":""},{"dropping-particle":"","family":"Vlaminck","given":"Stefan","non-dropping-particle":"","parse-names":false,"suffix":""},{"dropping-particle":"","family":"Bonfils","given":"Pierre","non-dropping-particle":"","parse-names":false,"suffix":""},{"dropping-particle":"","family":"Mladina","given":"Ranko","non-dropping-particle":"","parse-names":false,"suffix":""},{"dropping-particle":"","family":"Lund","given":"Valerie","non-dropping-particle":"","parse-names":false,"suffix":""},{"dropping-particle":"","family":"Schrenzel","given":"Jacques","non-dropping-particle":"","parse-names":false,"suffix":""},{"dropping-particle":"","family":"François","given":"Patrice","non-dropping-particle":"","parse-names":false,"suffix":""},{"dropping-particle":"","family":"Lacroix","given":"Jean Silvain","non-dropping-particle":"","parse-names":false,"suffix":""}],"container-title":"PLoS ONE","editor":[{"dropping-particle":"","family":"Cohen","given":"Noam","non-dropping-particle":"","parse-names":false,"suffix":""}],"id":"ITEM-2","issue":"3","issued":{"date-parts":[["2010","3","5"]]},"page":"e9525","title":"Screening for Staphylococcal Superantigen Genes Shows No Correlation with the Presence or the Severity of Chronic Rhinosinusitis and Nasal Polyposis","type":"article-journal","volume":"5"},"uris":["http://www.mendeley.com/documents/?uuid=b8181d8b-d5e3-4471-b381-595959cfa736"]}],"mendeley":{"formattedCitation":"(Heymans et al., 2010; Liang et al., 2016)","plainTextFormattedCitation":"(Heymans et al., 2010; Liang et al., 2016)","previouslyFormattedCitation":"(Heymans et al., 2010; Liang et al., 2016)"},"properties":{"noteIndex":0},"schema":"https://github.com/citation-style-language/schema/raw/master/csl-citation.json"}</w:instrText>
      </w:r>
      <w:r w:rsidR="00C32661">
        <w:fldChar w:fldCharType="separate"/>
      </w:r>
      <w:r w:rsidR="00C32661" w:rsidRPr="00C32661">
        <w:rPr>
          <w:noProof/>
        </w:rPr>
        <w:t>(Heymans et al., 2010; Liang et al., 2016)</w:t>
      </w:r>
      <w:r w:rsidR="00C32661">
        <w:fldChar w:fldCharType="end"/>
      </w:r>
      <w:r>
        <w:t xml:space="preserve"> due to their high sequence similarity, the detected presence of the </w:t>
      </w:r>
      <w:r w:rsidRPr="00C32661">
        <w:rPr>
          <w:i/>
        </w:rPr>
        <w:t>selu</w:t>
      </w:r>
      <w:r>
        <w:t>/</w:t>
      </w:r>
      <w:r w:rsidRPr="00C32661">
        <w:rPr>
          <w:i/>
        </w:rPr>
        <w:t>selu2</w:t>
      </w:r>
      <w:r>
        <w:t xml:space="preserve"> gene (i.e. in the TIAC1798, TIAC1847, TIAC1848, TIAC1992, TIAC3152, TIAC3462, SAMN02391177, SAMN02403200, and SAMN13134218 isolates) was further investigated through repeating the </w:t>
      </w:r>
      <w:r w:rsidRPr="00C32661">
        <w:rPr>
          <w:i/>
        </w:rPr>
        <w:t>in silico</w:t>
      </w:r>
      <w:r>
        <w:t xml:space="preserve"> PCR using another primer set (see 1.1 Investigation of specificity of conventional PCR primer pairs) that targets the complete gene length of </w:t>
      </w:r>
      <w:r w:rsidRPr="00C32661">
        <w:rPr>
          <w:i/>
        </w:rPr>
        <w:t>selu</w:t>
      </w:r>
      <w:r>
        <w:t xml:space="preserve">, </w:t>
      </w:r>
      <w:r w:rsidRPr="00C32661">
        <w:rPr>
          <w:i/>
        </w:rPr>
        <w:t>selu2</w:t>
      </w:r>
      <w:r>
        <w:t xml:space="preserve">, and the pseudogenes. The amplicon sequences were then extracted and aligned against those of NCBI sequences with the aim to type the specific gene (Supplementary Fig. S1). Based on similarity with the reference sequences, it was determined that TIAC1798, TIAC1847, and TIAC1848 </w:t>
      </w:r>
      <w:r>
        <w:lastRenderedPageBreak/>
        <w:t xml:space="preserve">contained the </w:t>
      </w:r>
      <w:r w:rsidRPr="00C32661">
        <w:rPr>
          <w:i/>
        </w:rPr>
        <w:t>Ψent1-2</w:t>
      </w:r>
      <w:r>
        <w:t xml:space="preserve"> genes, TIAC1992, TIAC3152, SAMN02391177 and SAMN02403200 the </w:t>
      </w:r>
      <w:r w:rsidRPr="00C32661">
        <w:rPr>
          <w:i/>
        </w:rPr>
        <w:t>selu2</w:t>
      </w:r>
      <w:r>
        <w:t xml:space="preserve"> gene, and TIAC3462 and SAMN13134218 the </w:t>
      </w:r>
      <w:r w:rsidRPr="00C32661">
        <w:rPr>
          <w:i/>
        </w:rPr>
        <w:t>selu</w:t>
      </w:r>
      <w:r>
        <w:t xml:space="preserve"> gene.</w:t>
      </w:r>
    </w:p>
    <w:p w14:paraId="4D059444" w14:textId="77777777" w:rsidR="00994A3D" w:rsidRPr="00994A3D" w:rsidRDefault="00654E8F" w:rsidP="0001436A">
      <w:pPr>
        <w:pStyle w:val="Heading1"/>
      </w:pPr>
      <w:r w:rsidRPr="00994A3D">
        <w:t>Supplementary Figures and Tables</w:t>
      </w:r>
    </w:p>
    <w:p w14:paraId="6754D378" w14:textId="49569581" w:rsidR="00994A3D" w:rsidRPr="00720FCE" w:rsidRDefault="00994A3D" w:rsidP="00720FCE">
      <w:pPr>
        <w:pStyle w:val="Heading2"/>
      </w:pPr>
      <w:r w:rsidRPr="0001436A">
        <w:t>Supplementary</w:t>
      </w:r>
      <w:r w:rsidRPr="001549D3">
        <w:t xml:space="preserve"> Figures</w:t>
      </w:r>
    </w:p>
    <w:tbl>
      <w:tblPr>
        <w:tblStyle w:val="TableGrid"/>
        <w:tblW w:w="0" w:type="auto"/>
        <w:tblLook w:val="04A0" w:firstRow="1" w:lastRow="0" w:firstColumn="1" w:lastColumn="0" w:noHBand="0" w:noVBand="1"/>
      </w:tblPr>
      <w:tblGrid>
        <w:gridCol w:w="9767"/>
      </w:tblGrid>
      <w:tr w:rsidR="00D72566" w14:paraId="57AC53AA" w14:textId="77777777" w:rsidTr="00D72566">
        <w:tc>
          <w:tcPr>
            <w:tcW w:w="9767" w:type="dxa"/>
          </w:tcPr>
          <w:p w14:paraId="0E7FCB70" w14:textId="3E011382" w:rsidR="00D72566" w:rsidRDefault="00D72566" w:rsidP="00994A3D">
            <w:pPr>
              <w:keepNext/>
              <w:jc w:val="center"/>
              <w:rPr>
                <w:rFonts w:cs="Times New Roman"/>
                <w:szCs w:val="24"/>
              </w:rPr>
            </w:pPr>
            <w:r>
              <w:rPr>
                <w:noProof/>
              </w:rPr>
              <w:lastRenderedPageBreak/>
              <w:drawing>
                <wp:inline distT="0" distB="0" distL="0" distR="0" wp14:anchorId="101AFDDA" wp14:editId="2DAEFE87">
                  <wp:extent cx="5859780" cy="8155755"/>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elu alignment.jpg"/>
                          <pic:cNvPicPr/>
                        </pic:nvPicPr>
                        <pic:blipFill rotWithShape="1">
                          <a:blip r:embed="rId8" cstate="print">
                            <a:extLst>
                              <a:ext uri="{28A0092B-C50C-407E-A947-70E740481C1C}">
                                <a14:useLocalDpi xmlns:a14="http://schemas.microsoft.com/office/drawing/2010/main" val="0"/>
                              </a:ext>
                            </a:extLst>
                          </a:blip>
                          <a:srcRect/>
                          <a:stretch/>
                        </pic:blipFill>
                        <pic:spPr bwMode="auto">
                          <a:xfrm>
                            <a:off x="0" y="0"/>
                            <a:ext cx="5878827" cy="8182265"/>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13E39711" wp14:editId="1D272212">
                  <wp:extent cx="5784215" cy="8049491"/>
                  <wp:effectExtent l="0" t="0" r="6985"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elu alignment.jpg"/>
                          <pic:cNvPicPr/>
                        </pic:nvPicPr>
                        <pic:blipFill rotWithShape="1">
                          <a:blip r:embed="rId9" cstate="print">
                            <a:extLst>
                              <a:ext uri="{28A0092B-C50C-407E-A947-70E740481C1C}">
                                <a14:useLocalDpi xmlns:a14="http://schemas.microsoft.com/office/drawing/2010/main" val="0"/>
                              </a:ext>
                            </a:extLst>
                          </a:blip>
                          <a:srcRect/>
                          <a:stretch/>
                        </pic:blipFill>
                        <pic:spPr bwMode="auto">
                          <a:xfrm>
                            <a:off x="0" y="0"/>
                            <a:ext cx="5801920" cy="8074130"/>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682F82D6" wp14:editId="6EE66A74">
                  <wp:extent cx="5903520" cy="8183880"/>
                  <wp:effectExtent l="0" t="0" r="254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elu alignment.jpg"/>
                          <pic:cNvPicPr/>
                        </pic:nvPicPr>
                        <pic:blipFill rotWithShape="1">
                          <a:blip r:embed="rId10" cstate="print">
                            <a:extLst>
                              <a:ext uri="{28A0092B-C50C-407E-A947-70E740481C1C}">
                                <a14:useLocalDpi xmlns:a14="http://schemas.microsoft.com/office/drawing/2010/main" val="0"/>
                              </a:ext>
                            </a:extLst>
                          </a:blip>
                          <a:srcRect/>
                          <a:stretch/>
                        </pic:blipFill>
                        <pic:spPr bwMode="auto">
                          <a:xfrm>
                            <a:off x="0" y="0"/>
                            <a:ext cx="5931791" cy="8223071"/>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4A5631CD" wp14:editId="67C15B90">
                  <wp:extent cx="5781580" cy="324196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elu alignment.jpg"/>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5807099" cy="3256274"/>
                          </a:xfrm>
                          <a:prstGeom prst="rect">
                            <a:avLst/>
                          </a:prstGeom>
                          <a:ln>
                            <a:noFill/>
                          </a:ln>
                          <a:extLst>
                            <a:ext uri="{53640926-AAD7-44D8-BBD7-CCE9431645EC}">
                              <a14:shadowObscured xmlns:a14="http://schemas.microsoft.com/office/drawing/2010/main"/>
                            </a:ext>
                          </a:extLst>
                        </pic:spPr>
                      </pic:pic>
                    </a:graphicData>
                  </a:graphic>
                </wp:inline>
              </w:drawing>
            </w:r>
          </w:p>
        </w:tc>
      </w:tr>
    </w:tbl>
    <w:p w14:paraId="3E195AB4" w14:textId="061FD8BC" w:rsidR="00F90100" w:rsidRDefault="00994A3D" w:rsidP="00D72566">
      <w:pPr>
        <w:keepNext/>
        <w:jc w:val="both"/>
        <w:rPr>
          <w:rFonts w:cs="Times New Roman"/>
          <w:szCs w:val="24"/>
        </w:rPr>
        <w:sectPr w:rsidR="00F90100" w:rsidSect="0093429D">
          <w:headerReference w:type="even" r:id="rId12"/>
          <w:headerReference w:type="default" r:id="rId13"/>
          <w:footerReference w:type="even" r:id="rId14"/>
          <w:footerReference w:type="default" r:id="rId15"/>
          <w:headerReference w:type="first" r:id="rId16"/>
          <w:footerReference w:type="first" r:id="rId17"/>
          <w:pgSz w:w="12240" w:h="15840"/>
          <w:pgMar w:top="1138" w:right="1181" w:bottom="1138" w:left="1282" w:header="720" w:footer="720" w:gutter="0"/>
          <w:cols w:space="720"/>
          <w:titlePg/>
          <w:docGrid w:linePitch="360"/>
        </w:sectPr>
      </w:pPr>
      <w:r w:rsidRPr="0001436A">
        <w:rPr>
          <w:rFonts w:cs="Times New Roman"/>
          <w:b/>
          <w:szCs w:val="24"/>
        </w:rPr>
        <w:lastRenderedPageBreak/>
        <w:t xml:space="preserve">Supplementary Figure </w:t>
      </w:r>
      <w:r w:rsidRPr="0001436A">
        <w:rPr>
          <w:rFonts w:cs="Times New Roman"/>
          <w:b/>
          <w:szCs w:val="24"/>
        </w:rPr>
        <w:fldChar w:fldCharType="begin"/>
      </w:r>
      <w:r w:rsidRPr="0001436A">
        <w:rPr>
          <w:rFonts w:cs="Times New Roman"/>
          <w:b/>
          <w:szCs w:val="24"/>
        </w:rPr>
        <w:instrText xml:space="preserve"> SEQ Figure \* ARABIC </w:instrText>
      </w:r>
      <w:r w:rsidRPr="0001436A">
        <w:rPr>
          <w:rFonts w:cs="Times New Roman"/>
          <w:b/>
          <w:szCs w:val="24"/>
        </w:rPr>
        <w:fldChar w:fldCharType="separate"/>
      </w:r>
      <w:r w:rsidR="00ED20B5">
        <w:rPr>
          <w:rFonts w:cs="Times New Roman"/>
          <w:b/>
          <w:noProof/>
          <w:szCs w:val="24"/>
        </w:rPr>
        <w:t>1</w:t>
      </w:r>
      <w:r w:rsidRPr="0001436A">
        <w:rPr>
          <w:rFonts w:cs="Times New Roman"/>
          <w:b/>
          <w:szCs w:val="24"/>
        </w:rPr>
        <w:fldChar w:fldCharType="end"/>
      </w:r>
      <w:r w:rsidRPr="0001436A">
        <w:rPr>
          <w:rFonts w:cs="Times New Roman"/>
          <w:b/>
          <w:szCs w:val="24"/>
        </w:rPr>
        <w:t>.</w:t>
      </w:r>
      <w:r w:rsidRPr="001549D3">
        <w:rPr>
          <w:rFonts w:cs="Times New Roman"/>
          <w:szCs w:val="24"/>
        </w:rPr>
        <w:t xml:space="preserve"> </w:t>
      </w:r>
      <w:r w:rsidR="00D72566" w:rsidRPr="00D72566">
        <w:rPr>
          <w:rFonts w:cs="Times New Roman"/>
          <w:szCs w:val="24"/>
        </w:rPr>
        <w:t xml:space="preserve">Since </w:t>
      </w:r>
      <w:r w:rsidR="00D72566" w:rsidRPr="00D72566">
        <w:rPr>
          <w:rFonts w:cs="Times New Roman"/>
          <w:i/>
          <w:szCs w:val="24"/>
        </w:rPr>
        <w:t>Ψent</w:t>
      </w:r>
      <w:r w:rsidR="00D72566" w:rsidRPr="00D72566">
        <w:rPr>
          <w:rFonts w:cs="Times New Roman"/>
          <w:szCs w:val="24"/>
        </w:rPr>
        <w:t xml:space="preserve">, </w:t>
      </w:r>
      <w:r w:rsidR="00D72566" w:rsidRPr="00D72566">
        <w:rPr>
          <w:rFonts w:cs="Times New Roman"/>
          <w:i/>
          <w:szCs w:val="24"/>
        </w:rPr>
        <w:t>selu</w:t>
      </w:r>
      <w:r w:rsidR="00D72566" w:rsidRPr="00D72566">
        <w:rPr>
          <w:rFonts w:cs="Times New Roman"/>
          <w:szCs w:val="24"/>
        </w:rPr>
        <w:t xml:space="preserve">, and </w:t>
      </w:r>
      <w:r w:rsidR="00D72566" w:rsidRPr="00D72566">
        <w:rPr>
          <w:rFonts w:cs="Times New Roman"/>
          <w:i/>
          <w:szCs w:val="24"/>
        </w:rPr>
        <w:t>selu2</w:t>
      </w:r>
      <w:r w:rsidR="00D72566" w:rsidRPr="00D72566">
        <w:rPr>
          <w:rFonts w:cs="Times New Roman"/>
          <w:szCs w:val="24"/>
        </w:rPr>
        <w:t xml:space="preserve"> genes are indistinguishable with PCR, a PCR primer pair covering the complete gene region (forward: 5’- TGA TAA TTA GTT TTA ACA CTA AAA TGC G-3’; reverse: 5’- CGT CTA ATT GCC ACG TTA TAT CAG T-3’; </w:t>
      </w:r>
      <w:r w:rsidR="00D72566">
        <w:rPr>
          <w:rFonts w:cs="Times New Roman"/>
          <w:szCs w:val="24"/>
        </w:rPr>
        <w:fldChar w:fldCharType="begin" w:fldLock="1"/>
      </w:r>
      <w:r w:rsidR="00C662E9">
        <w:rPr>
          <w:rFonts w:cs="Times New Roman"/>
          <w:szCs w:val="24"/>
        </w:rPr>
        <w:instrText>ADDIN CSL_CITATION {"citationItems":[{"id":"ITEM-1","itemData":{"DOI":"10.1046/j.1365-2672.2003.01957.x","ISSN":"1364-5072","PMID":"12807452","abstract":"Aims: This paper reports on a new putative enterotoxin SEU encoded by the enterotoxin gene cluster egc from Staphylococcus aureus and on a real-time polymerase chain reaction (PCR) assay for detecting the seu gene. Methods and Results: PCR and sequencing revealed a new putative enterotoxin SEU encoded by some egc clusters. The seu gene resulted from sequence divergence in the ψ ent1 and ψ ent2 pseudogenes previously described in the egc cluster (Jarraud et al. [2001] Journal of Immunology 166, 669). The presence of the seu gene was investigated in a collection of S. aureus strains by conventional PCR and by a specific 5′-nuclease PCR assay. Among the 24 strains harbouring the egc cluster, four tested positive for the seu gene. Conclusions: The existence of the seu gene adds to the number of newly described se genes and underlines the need for a better understanding of their role in the pathogenesis of S. aureus. Significance and Impact of the Study: A thorough study of the seu gene should provide further insight into the phylogenetics of the staphylococcal enterotoxins.","author":[{"dropping-particle":"","family":"Letertre","given":"Capucine","non-dropping-particle":"","parse-names":false,"suffix":""},{"dropping-particle":"","family":"Perelle","given":"Sylvie","non-dropping-particle":"","parse-names":false,"suffix":""},{"dropping-particle":"","family":"Dilasser","given":"Françoise","non-dropping-particle":"","parse-names":false,"suffix":""},{"dropping-particle":"","family":"Fach","given":"Patrick","non-dropping-particle":"","parse-names":false,"suffix":""}],"container-title":"Journal of Applied Microbiology","id":"ITEM-1","issue":"1","issued":{"date-parts":[["2003","7"]]},"page":"38-43","title":"Identification of a new putative enterotoxin SEU encoded by the egc cluster of Staphylococcus aureus","type":"article-journal","volume":"95"},"uris":["http://www.mendeley.com/documents/?uuid=ae0d50f5-b2fa-42d7-b61d-09018ac0dfc4"]}],"mendeley":{"formattedCitation":"(Letertre et al., 2003)","plainTextFormattedCitation":"(Letertre et al., 2003)","previouslyFormattedCitation":"(Letertre et al., 2003)"},"properties":{"noteIndex":0},"schema":"https://github.com/citation-style-language/schema/raw/master/csl-citation.json"}</w:instrText>
      </w:r>
      <w:r w:rsidR="00D72566">
        <w:rPr>
          <w:rFonts w:cs="Times New Roman"/>
          <w:szCs w:val="24"/>
        </w:rPr>
        <w:fldChar w:fldCharType="separate"/>
      </w:r>
      <w:r w:rsidR="00D72566" w:rsidRPr="00D72566">
        <w:rPr>
          <w:rFonts w:cs="Times New Roman"/>
          <w:noProof/>
          <w:szCs w:val="24"/>
        </w:rPr>
        <w:t>(Letertre et al., 2003)</w:t>
      </w:r>
      <w:r w:rsidR="00D72566">
        <w:rPr>
          <w:rFonts w:cs="Times New Roman"/>
          <w:szCs w:val="24"/>
        </w:rPr>
        <w:fldChar w:fldCharType="end"/>
      </w:r>
      <w:r w:rsidR="00D72566" w:rsidRPr="00D72566">
        <w:rPr>
          <w:rFonts w:cs="Times New Roman"/>
          <w:szCs w:val="24"/>
        </w:rPr>
        <w:t xml:space="preserve">) was used </w:t>
      </w:r>
      <w:r w:rsidR="00D72566" w:rsidRPr="00D72566">
        <w:rPr>
          <w:rFonts w:cs="Times New Roman"/>
          <w:i/>
          <w:szCs w:val="24"/>
        </w:rPr>
        <w:t>in silico</w:t>
      </w:r>
      <w:r w:rsidR="00D72566" w:rsidRPr="00D72566">
        <w:rPr>
          <w:rFonts w:cs="Times New Roman"/>
          <w:szCs w:val="24"/>
        </w:rPr>
        <w:t xml:space="preserve"> in isolates TIAC1798, TIAC1847, TIAC1848, TIAC1992, TIAC3152, TIAC3462, SAMN02391177, SAMN02403200, and SAMN13134218 for which the presence of these genes was indicative (i.e. detected with the </w:t>
      </w:r>
      <w:r w:rsidR="00D72566" w:rsidRPr="00D72566">
        <w:rPr>
          <w:rFonts w:cs="Times New Roman"/>
          <w:i/>
          <w:szCs w:val="24"/>
        </w:rPr>
        <w:t>in silico</w:t>
      </w:r>
      <w:r w:rsidR="00D72566" w:rsidRPr="00D72566">
        <w:rPr>
          <w:rFonts w:cs="Times New Roman"/>
          <w:szCs w:val="24"/>
        </w:rPr>
        <w:t xml:space="preserve"> PCR primer pairs). The amplicons were extracted and aligned against the amplicons of reference sequences for </w:t>
      </w:r>
      <w:r w:rsidR="00D72566" w:rsidRPr="00D72566">
        <w:rPr>
          <w:rFonts w:cs="Times New Roman"/>
          <w:i/>
          <w:szCs w:val="24"/>
        </w:rPr>
        <w:t>selu</w:t>
      </w:r>
      <w:r w:rsidR="00D72566" w:rsidRPr="00D72566">
        <w:rPr>
          <w:rFonts w:cs="Times New Roman"/>
          <w:szCs w:val="24"/>
        </w:rPr>
        <w:t xml:space="preserve"> (GenBank reference AY158703.1), </w:t>
      </w:r>
      <w:r w:rsidR="00D72566" w:rsidRPr="00D72566">
        <w:rPr>
          <w:rFonts w:cs="Times New Roman"/>
          <w:i/>
          <w:szCs w:val="24"/>
        </w:rPr>
        <w:t>selu2</w:t>
      </w:r>
      <w:r w:rsidR="00D72566" w:rsidRPr="00D72566">
        <w:rPr>
          <w:rFonts w:cs="Times New Roman"/>
          <w:szCs w:val="24"/>
        </w:rPr>
        <w:t xml:space="preserve"> (GenBank reference MN450302.1), and </w:t>
      </w:r>
      <w:r w:rsidR="00D72566" w:rsidRPr="00D72566">
        <w:rPr>
          <w:rFonts w:cs="Times New Roman"/>
          <w:i/>
          <w:szCs w:val="24"/>
        </w:rPr>
        <w:t>Ψent</w:t>
      </w:r>
      <w:r w:rsidR="00D72566" w:rsidRPr="00D72566">
        <w:rPr>
          <w:rFonts w:cs="Times New Roman"/>
          <w:szCs w:val="24"/>
        </w:rPr>
        <w:t xml:space="preserve"> (GenBank reference MN450303.1), using CLC Sequence Viewer 8.0. Based on identity of the sequences with the reference sequences, TIAC1798, TIAC1847, and TIAC1848 were identified to contain </w:t>
      </w:r>
      <w:r w:rsidR="00D72566" w:rsidRPr="00D72566">
        <w:rPr>
          <w:rFonts w:cs="Times New Roman"/>
          <w:i/>
          <w:szCs w:val="24"/>
        </w:rPr>
        <w:t>Ψent1</w:t>
      </w:r>
      <w:r w:rsidR="00D72566" w:rsidRPr="00D72566">
        <w:rPr>
          <w:rFonts w:cs="Times New Roman"/>
          <w:szCs w:val="24"/>
        </w:rPr>
        <w:t xml:space="preserve"> and </w:t>
      </w:r>
      <w:r w:rsidR="00D72566" w:rsidRPr="00D72566">
        <w:rPr>
          <w:rFonts w:cs="Times New Roman"/>
          <w:i/>
          <w:szCs w:val="24"/>
        </w:rPr>
        <w:t>Ψent2</w:t>
      </w:r>
      <w:r w:rsidR="00D72566" w:rsidRPr="00D72566">
        <w:rPr>
          <w:rFonts w:cs="Times New Roman"/>
          <w:szCs w:val="24"/>
        </w:rPr>
        <w:t xml:space="preserve"> genes, TIAC1992, TIAC3152, SAMN02403200 and SAMN02391177 to contain the </w:t>
      </w:r>
      <w:r w:rsidR="00D72566" w:rsidRPr="00D72566">
        <w:rPr>
          <w:rFonts w:cs="Times New Roman"/>
          <w:i/>
          <w:szCs w:val="24"/>
        </w:rPr>
        <w:t>selu2</w:t>
      </w:r>
      <w:r w:rsidR="00D72566" w:rsidRPr="00D72566">
        <w:rPr>
          <w:rFonts w:cs="Times New Roman"/>
          <w:szCs w:val="24"/>
        </w:rPr>
        <w:t xml:space="preserve"> gene, and TIAC3462 and SAMN13134218 to contain the </w:t>
      </w:r>
      <w:r w:rsidR="00D72566" w:rsidRPr="00D72566">
        <w:rPr>
          <w:rFonts w:cs="Times New Roman"/>
          <w:i/>
          <w:szCs w:val="24"/>
        </w:rPr>
        <w:t>selu</w:t>
      </w:r>
      <w:r w:rsidR="00D72566" w:rsidRPr="00D72566">
        <w:rPr>
          <w:rFonts w:cs="Times New Roman"/>
          <w:szCs w:val="24"/>
        </w:rPr>
        <w:t xml:space="preserve"> gene</w:t>
      </w:r>
      <w:r w:rsidRPr="001549D3">
        <w:rPr>
          <w:rFonts w:cs="Times New Roman"/>
          <w:szCs w:val="24"/>
        </w:rPr>
        <w:t xml:space="preserve">. </w:t>
      </w:r>
    </w:p>
    <w:p w14:paraId="7B65BC41" w14:textId="232875F4" w:rsidR="00DE23E8" w:rsidRDefault="00F90100" w:rsidP="00F90100">
      <w:pPr>
        <w:pStyle w:val="Heading2"/>
      </w:pPr>
      <w:r>
        <w:lastRenderedPageBreak/>
        <w:t>Supplementary Tables</w:t>
      </w:r>
    </w:p>
    <w:p w14:paraId="6241D96C" w14:textId="7A95CF6B" w:rsidR="00F90100" w:rsidRDefault="00F90100" w:rsidP="00F90100">
      <w:pPr>
        <w:pStyle w:val="Caption"/>
      </w:pPr>
      <w:r>
        <w:t xml:space="preserve">Table </w:t>
      </w:r>
      <w:r w:rsidR="00A069BC">
        <w:t>S</w:t>
      </w:r>
      <w:r w:rsidR="004304AF">
        <w:fldChar w:fldCharType="begin"/>
      </w:r>
      <w:r w:rsidR="004304AF">
        <w:instrText xml:space="preserve"> SEQ Table \* ARABIC </w:instrText>
      </w:r>
      <w:r w:rsidR="004304AF">
        <w:fldChar w:fldCharType="separate"/>
      </w:r>
      <w:r w:rsidR="009E0F3F">
        <w:rPr>
          <w:noProof/>
        </w:rPr>
        <w:t>1</w:t>
      </w:r>
      <w:r w:rsidR="004304AF">
        <w:rPr>
          <w:noProof/>
        </w:rPr>
        <w:fldChar w:fldCharType="end"/>
      </w:r>
      <w:r>
        <w:t xml:space="preserve">. All conventional PCR primer pairs available in literature for the detection of </w:t>
      </w:r>
      <w:r>
        <w:rPr>
          <w:i/>
        </w:rPr>
        <w:t xml:space="preserve">se </w:t>
      </w:r>
      <w:r>
        <w:t>genes</w:t>
      </w:r>
    </w:p>
    <w:tbl>
      <w:tblPr>
        <w:tblW w:w="13590" w:type="dxa"/>
        <w:tblInd w:w="-95" w:type="dxa"/>
        <w:tblLayout w:type="fixed"/>
        <w:tblLook w:val="04A0" w:firstRow="1" w:lastRow="0" w:firstColumn="1" w:lastColumn="0" w:noHBand="0" w:noVBand="1"/>
      </w:tblPr>
      <w:tblGrid>
        <w:gridCol w:w="630"/>
        <w:gridCol w:w="720"/>
        <w:gridCol w:w="3690"/>
        <w:gridCol w:w="3780"/>
        <w:gridCol w:w="1620"/>
        <w:gridCol w:w="1620"/>
        <w:gridCol w:w="1530"/>
      </w:tblGrid>
      <w:tr w:rsidR="00F90100" w:rsidRPr="006C34E3" w14:paraId="46A59ADB" w14:textId="77777777" w:rsidTr="00C662E9">
        <w:trPr>
          <w:trHeight w:val="288"/>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096633" w14:textId="77777777" w:rsidR="00F90100" w:rsidRPr="006C34E3" w:rsidRDefault="00F90100" w:rsidP="00F90100">
            <w:pPr>
              <w:spacing w:before="0" w:after="0"/>
              <w:jc w:val="center"/>
              <w:rPr>
                <w:rFonts w:eastAsia="Times New Roman" w:cs="Times New Roman"/>
                <w:b/>
                <w:bCs/>
                <w:sz w:val="16"/>
                <w:szCs w:val="16"/>
              </w:rPr>
            </w:pPr>
            <w:r w:rsidRPr="006C34E3">
              <w:rPr>
                <w:rFonts w:eastAsia="Times New Roman" w:cs="Times New Roman"/>
                <w:b/>
                <w:bCs/>
                <w:sz w:val="16"/>
                <w:szCs w:val="16"/>
              </w:rPr>
              <w:t>Gene</w:t>
            </w:r>
          </w:p>
        </w:tc>
        <w:tc>
          <w:tcPr>
            <w:tcW w:w="720" w:type="dxa"/>
            <w:tcBorders>
              <w:top w:val="single" w:sz="4" w:space="0" w:color="auto"/>
              <w:left w:val="nil"/>
              <w:bottom w:val="single" w:sz="4" w:space="0" w:color="auto"/>
              <w:right w:val="single" w:sz="4" w:space="0" w:color="auto"/>
            </w:tcBorders>
            <w:shd w:val="clear" w:color="auto" w:fill="auto"/>
            <w:noWrap/>
            <w:vAlign w:val="center"/>
            <w:hideMark/>
          </w:tcPr>
          <w:p w14:paraId="3CA26C13" w14:textId="77777777" w:rsidR="00F90100" w:rsidRPr="006C34E3" w:rsidRDefault="00F90100" w:rsidP="00F90100">
            <w:pPr>
              <w:spacing w:before="0" w:after="0"/>
              <w:jc w:val="center"/>
              <w:rPr>
                <w:rFonts w:eastAsia="Times New Roman" w:cs="Times New Roman"/>
                <w:b/>
                <w:bCs/>
                <w:sz w:val="16"/>
                <w:szCs w:val="16"/>
              </w:rPr>
            </w:pPr>
            <w:r w:rsidRPr="006C34E3">
              <w:rPr>
                <w:rFonts w:eastAsia="Times New Roman" w:cs="Times New Roman"/>
                <w:b/>
                <w:bCs/>
                <w:sz w:val="16"/>
                <w:szCs w:val="16"/>
              </w:rPr>
              <w:t>Primer set</w:t>
            </w:r>
          </w:p>
        </w:tc>
        <w:tc>
          <w:tcPr>
            <w:tcW w:w="3690" w:type="dxa"/>
            <w:tcBorders>
              <w:top w:val="single" w:sz="4" w:space="0" w:color="auto"/>
              <w:left w:val="nil"/>
              <w:bottom w:val="single" w:sz="4" w:space="0" w:color="auto"/>
              <w:right w:val="single" w:sz="4" w:space="0" w:color="auto"/>
            </w:tcBorders>
            <w:shd w:val="clear" w:color="auto" w:fill="auto"/>
            <w:noWrap/>
            <w:vAlign w:val="center"/>
            <w:hideMark/>
          </w:tcPr>
          <w:p w14:paraId="3E18DB8F" w14:textId="77777777" w:rsidR="00F90100" w:rsidRPr="006C34E3" w:rsidRDefault="00F90100" w:rsidP="00F90100">
            <w:pPr>
              <w:spacing w:before="0" w:after="0"/>
              <w:jc w:val="center"/>
              <w:rPr>
                <w:rFonts w:eastAsia="Times New Roman" w:cs="Times New Roman"/>
                <w:b/>
                <w:bCs/>
                <w:sz w:val="16"/>
                <w:szCs w:val="16"/>
              </w:rPr>
            </w:pPr>
            <w:r w:rsidRPr="006C34E3">
              <w:rPr>
                <w:rFonts w:eastAsia="Times New Roman" w:cs="Times New Roman"/>
                <w:b/>
                <w:bCs/>
                <w:sz w:val="16"/>
                <w:szCs w:val="16"/>
              </w:rPr>
              <w:t>Forward primer sequence 5'-3'</w:t>
            </w:r>
          </w:p>
        </w:tc>
        <w:tc>
          <w:tcPr>
            <w:tcW w:w="3780" w:type="dxa"/>
            <w:tcBorders>
              <w:top w:val="single" w:sz="4" w:space="0" w:color="auto"/>
              <w:left w:val="nil"/>
              <w:bottom w:val="single" w:sz="4" w:space="0" w:color="auto"/>
              <w:right w:val="single" w:sz="4" w:space="0" w:color="auto"/>
            </w:tcBorders>
            <w:shd w:val="clear" w:color="auto" w:fill="auto"/>
            <w:noWrap/>
            <w:vAlign w:val="center"/>
            <w:hideMark/>
          </w:tcPr>
          <w:p w14:paraId="5AABE1CD" w14:textId="77777777" w:rsidR="00F90100" w:rsidRPr="006C34E3" w:rsidRDefault="00F90100" w:rsidP="00F90100">
            <w:pPr>
              <w:spacing w:before="0" w:after="0"/>
              <w:ind w:left="-1137" w:firstLine="1137"/>
              <w:jc w:val="center"/>
              <w:rPr>
                <w:rFonts w:eastAsia="Times New Roman" w:cs="Times New Roman"/>
                <w:b/>
                <w:bCs/>
                <w:sz w:val="16"/>
                <w:szCs w:val="16"/>
                <w:lang w:val="fr-FR"/>
              </w:rPr>
            </w:pPr>
            <w:r w:rsidRPr="006C34E3">
              <w:rPr>
                <w:rFonts w:eastAsia="Times New Roman" w:cs="Times New Roman"/>
                <w:b/>
                <w:bCs/>
                <w:sz w:val="16"/>
                <w:szCs w:val="16"/>
                <w:lang w:val="fr-FR"/>
              </w:rPr>
              <w:t>Reverse primer sequence 5'-3'</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14:paraId="0F02620C" w14:textId="77777777" w:rsidR="00F90100" w:rsidRPr="006C34E3" w:rsidRDefault="00F90100" w:rsidP="00F90100">
            <w:pPr>
              <w:spacing w:before="0" w:after="0"/>
              <w:jc w:val="center"/>
              <w:rPr>
                <w:rFonts w:eastAsia="Times New Roman" w:cs="Times New Roman"/>
                <w:b/>
                <w:bCs/>
                <w:sz w:val="16"/>
                <w:szCs w:val="16"/>
              </w:rPr>
            </w:pPr>
            <w:r w:rsidRPr="006C34E3">
              <w:rPr>
                <w:rFonts w:eastAsia="Times New Roman" w:cs="Times New Roman"/>
                <w:b/>
                <w:bCs/>
                <w:sz w:val="16"/>
                <w:szCs w:val="16"/>
              </w:rPr>
              <w:t>Theoretic amplicon size (bp)</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14:paraId="69782167" w14:textId="77777777" w:rsidR="00F90100" w:rsidRPr="006C34E3" w:rsidRDefault="00F90100" w:rsidP="00F90100">
            <w:pPr>
              <w:spacing w:before="0" w:after="0"/>
              <w:jc w:val="center"/>
              <w:rPr>
                <w:rFonts w:eastAsia="Times New Roman" w:cs="Times New Roman"/>
                <w:b/>
                <w:bCs/>
                <w:color w:val="000000"/>
                <w:sz w:val="16"/>
                <w:szCs w:val="16"/>
              </w:rPr>
            </w:pPr>
            <w:r w:rsidRPr="006C34E3">
              <w:rPr>
                <w:rFonts w:eastAsia="Times New Roman" w:cs="Times New Roman"/>
                <w:b/>
                <w:bCs/>
                <w:color w:val="000000"/>
                <w:sz w:val="16"/>
                <w:szCs w:val="16"/>
              </w:rPr>
              <w:t>Remark</w:t>
            </w:r>
          </w:p>
        </w:tc>
        <w:tc>
          <w:tcPr>
            <w:tcW w:w="1530" w:type="dxa"/>
            <w:tcBorders>
              <w:top w:val="single" w:sz="4" w:space="0" w:color="auto"/>
              <w:left w:val="nil"/>
              <w:bottom w:val="single" w:sz="4" w:space="0" w:color="auto"/>
              <w:right w:val="single" w:sz="4" w:space="0" w:color="auto"/>
            </w:tcBorders>
            <w:shd w:val="clear" w:color="auto" w:fill="auto"/>
            <w:noWrap/>
            <w:vAlign w:val="center"/>
            <w:hideMark/>
          </w:tcPr>
          <w:p w14:paraId="40A64B5A" w14:textId="77777777" w:rsidR="00F90100" w:rsidRPr="006C34E3" w:rsidRDefault="00F90100" w:rsidP="00F90100">
            <w:pPr>
              <w:spacing w:before="0" w:after="0"/>
              <w:jc w:val="center"/>
              <w:rPr>
                <w:rFonts w:eastAsia="Times New Roman" w:cs="Times New Roman"/>
                <w:b/>
                <w:bCs/>
                <w:color w:val="000000"/>
                <w:sz w:val="16"/>
                <w:szCs w:val="16"/>
              </w:rPr>
            </w:pPr>
            <w:r w:rsidRPr="006C34E3">
              <w:rPr>
                <w:rFonts w:eastAsia="Times New Roman" w:cs="Times New Roman"/>
                <w:b/>
                <w:bCs/>
                <w:color w:val="000000"/>
                <w:sz w:val="16"/>
                <w:szCs w:val="16"/>
              </w:rPr>
              <w:t>Literature</w:t>
            </w:r>
          </w:p>
        </w:tc>
      </w:tr>
      <w:tr w:rsidR="00F90100" w:rsidRPr="006C34E3" w14:paraId="67BE233A"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5A329142"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sea</w:t>
            </w:r>
          </w:p>
        </w:tc>
        <w:tc>
          <w:tcPr>
            <w:tcW w:w="720" w:type="dxa"/>
            <w:tcBorders>
              <w:top w:val="nil"/>
              <w:left w:val="nil"/>
              <w:bottom w:val="single" w:sz="4" w:space="0" w:color="auto"/>
              <w:right w:val="single" w:sz="4" w:space="0" w:color="auto"/>
            </w:tcBorders>
            <w:shd w:val="clear" w:color="auto" w:fill="auto"/>
            <w:noWrap/>
            <w:vAlign w:val="center"/>
            <w:hideMark/>
          </w:tcPr>
          <w:p w14:paraId="60FB78A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sea-1</w:t>
            </w:r>
          </w:p>
        </w:tc>
        <w:tc>
          <w:tcPr>
            <w:tcW w:w="3690" w:type="dxa"/>
            <w:tcBorders>
              <w:top w:val="nil"/>
              <w:left w:val="nil"/>
              <w:bottom w:val="single" w:sz="4" w:space="0" w:color="auto"/>
              <w:right w:val="single" w:sz="4" w:space="0" w:color="auto"/>
            </w:tcBorders>
            <w:shd w:val="clear" w:color="auto" w:fill="auto"/>
            <w:noWrap/>
            <w:vAlign w:val="center"/>
            <w:hideMark/>
          </w:tcPr>
          <w:p w14:paraId="2A516DA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CCT TTG GAA ACG GTT AAA ACG</w:t>
            </w:r>
          </w:p>
        </w:tc>
        <w:tc>
          <w:tcPr>
            <w:tcW w:w="3780" w:type="dxa"/>
            <w:tcBorders>
              <w:top w:val="nil"/>
              <w:left w:val="nil"/>
              <w:bottom w:val="single" w:sz="4" w:space="0" w:color="auto"/>
              <w:right w:val="single" w:sz="4" w:space="0" w:color="auto"/>
            </w:tcBorders>
            <w:shd w:val="clear" w:color="auto" w:fill="auto"/>
            <w:noWrap/>
            <w:vAlign w:val="center"/>
            <w:hideMark/>
          </w:tcPr>
          <w:p w14:paraId="10E93DB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TCT GAA CCT TCC CAT CAA AAA C</w:t>
            </w:r>
          </w:p>
        </w:tc>
        <w:tc>
          <w:tcPr>
            <w:tcW w:w="1620" w:type="dxa"/>
            <w:tcBorders>
              <w:top w:val="nil"/>
              <w:left w:val="nil"/>
              <w:bottom w:val="single" w:sz="4" w:space="0" w:color="auto"/>
              <w:right w:val="single" w:sz="4" w:space="0" w:color="auto"/>
            </w:tcBorders>
            <w:shd w:val="clear" w:color="auto" w:fill="auto"/>
            <w:noWrap/>
            <w:vAlign w:val="center"/>
            <w:hideMark/>
          </w:tcPr>
          <w:p w14:paraId="5EF28F3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127</w:t>
            </w:r>
          </w:p>
        </w:tc>
        <w:tc>
          <w:tcPr>
            <w:tcW w:w="1620" w:type="dxa"/>
            <w:tcBorders>
              <w:top w:val="nil"/>
              <w:left w:val="nil"/>
              <w:bottom w:val="single" w:sz="4" w:space="0" w:color="auto"/>
              <w:right w:val="single" w:sz="4" w:space="0" w:color="auto"/>
            </w:tcBorders>
            <w:shd w:val="clear" w:color="auto" w:fill="auto"/>
            <w:noWrap/>
            <w:vAlign w:val="center"/>
            <w:hideMark/>
          </w:tcPr>
          <w:p w14:paraId="1A6C3D9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583AE2F" w14:textId="6662508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{"citationItems":[{"id":"ITEM-1","itemData":{"DOI":"10.1128/JCM.36.9.2548-2553.1998","ISSN":"0095-1137","PMID":"9705390","abstract":"Two multiplex PCR enzyme immunoassays (PCR-EIAs) were developed for Staphylococcus aureus exotoxin gene screening as an alternative to the conventional biological assays, which depend on detectable amounts of toxins produced. One set of oligonucleotide primers and probes was designed to search for enterotoxin A to E genes ( entA , entB , entC , entD , and entE ), and the other one was designed to detect the staphylococcal exfoliative toxin genes ( eta and etb ) and the toxic shock syndrome toxin 1 gene ( tst ). Oligonucleotide primers were used as published previously, modified or newly developed to meet the requirements of both good size-distinguishable amplification bands of multiplex PCR and the temperature limit of the uracil DNA glycosylase system for carryover protection. Amplification products were visualized by agarose gel electrophoresis, and specificity was controlled with the aid of a DNA EIA system using oligonucleotide probes derived from the sequences of the S. aureus toxin genes. PCR procedures were performed by using template nucleic acids extracted from a panel of S. aureus reference strains and from a collection of 50 clinical strains. The PCR results were compared with those of immunological toxin production assays. This multiplex PCR-EIA system offers an alternative method for the rapid, sensitive, specific, and simultaneous detection of the clinically important exotoxin potency of isolated S. aureus strains for diagnostic purposes as well as research studies.","author":[{"dropping-particle":"","family":"Becker","given":"Karsten","non-dropping-particle":"","parse-names":false,"suffix":""},{"dropping-particle":"","family":"Roth","given":"Ricarda","non-dropping-particle":"","parse-names":false,"suffix":""},{"dropping-particle":"","family":"Peters","given":"Georg","non-dropping-particle":"","parse-names":false,"suffix":""}],"container-title":"Journal of Clinical Microbiology","id":"ITEM-1","issue":"9","issued":{"date-parts":[["1998","9"]]},"page":"2548-2553","title":"Rapid and Specific Detection of Toxigenic Staphylococcus aureus : Use of Two Multiplex PCR Enzyme Immunoassays for Amplification and Hybridization of Staphylococcal Enterotoxin Genes, Exfoliative Toxin Genes, and Toxic Shock Syndrome Toxin 1 Gene","type":"article-journal","volume":"36"},"uris":["http://www.mendeley.com/documents/?uuid=4920ea92-c89c-41c6-8976-82596172d750"]}],"mendeley":{"formattedCitation":"(Becker et al., 1998)","plainTextFormattedCitation":"(Becker et al., 1998)","previouslyFormattedCitation":"(Becker et al., 1998)"},"properties":{"noteIndex":0},"schema":"https://github.com/citation-style-language/schema/raw/master/csl-citation.json"}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(Becker et al., 1998)</w:t>
            </w:r>
            <w:r w:rsidRPr="006C34E3">
              <w:rPr>
                <w:rFonts w:eastAsia="Times New Roman" w:cs="Times New Roman"/>
                <w:color w:val="000000"/>
                <w:sz w:val="16"/>
                <w:szCs w:val="16"/>
              </w:rPr>
              <w:fldChar w:fldCharType="end"/>
            </w:r>
          </w:p>
        </w:tc>
      </w:tr>
      <w:tr w:rsidR="00F90100" w:rsidRPr="006C34E3" w14:paraId="49CFCF71" w14:textId="77777777" w:rsidTr="00C662E9">
        <w:trPr>
          <w:trHeight w:val="288"/>
        </w:trPr>
        <w:tc>
          <w:tcPr>
            <w:tcW w:w="630" w:type="dxa"/>
            <w:vMerge/>
            <w:tcBorders>
              <w:left w:val="single" w:sz="4" w:space="0" w:color="auto"/>
              <w:right w:val="single" w:sz="4" w:space="0" w:color="auto"/>
            </w:tcBorders>
            <w:vAlign w:val="center"/>
            <w:hideMark/>
          </w:tcPr>
          <w:p w14:paraId="045A6654"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B145A7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sea-2</w:t>
            </w:r>
          </w:p>
        </w:tc>
        <w:tc>
          <w:tcPr>
            <w:tcW w:w="3690" w:type="dxa"/>
            <w:tcBorders>
              <w:top w:val="nil"/>
              <w:left w:val="nil"/>
              <w:bottom w:val="single" w:sz="4" w:space="0" w:color="auto"/>
              <w:right w:val="single" w:sz="4" w:space="0" w:color="auto"/>
            </w:tcBorders>
            <w:shd w:val="clear" w:color="auto" w:fill="auto"/>
            <w:noWrap/>
            <w:vAlign w:val="center"/>
            <w:hideMark/>
          </w:tcPr>
          <w:p w14:paraId="76DF58A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ATG TAT GGA GGT GTA AC</w:t>
            </w:r>
          </w:p>
        </w:tc>
        <w:tc>
          <w:tcPr>
            <w:tcW w:w="3780" w:type="dxa"/>
            <w:tcBorders>
              <w:top w:val="nil"/>
              <w:left w:val="nil"/>
              <w:bottom w:val="single" w:sz="4" w:space="0" w:color="auto"/>
              <w:right w:val="single" w:sz="4" w:space="0" w:color="auto"/>
            </w:tcBorders>
            <w:shd w:val="clear" w:color="auto" w:fill="auto"/>
            <w:noWrap/>
            <w:vAlign w:val="center"/>
            <w:hideMark/>
          </w:tcPr>
          <w:p w14:paraId="7159CFB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AAC CGA AGG TTC TGT</w:t>
            </w:r>
          </w:p>
        </w:tc>
        <w:tc>
          <w:tcPr>
            <w:tcW w:w="1620" w:type="dxa"/>
            <w:tcBorders>
              <w:top w:val="nil"/>
              <w:left w:val="nil"/>
              <w:bottom w:val="single" w:sz="4" w:space="0" w:color="auto"/>
              <w:right w:val="single" w:sz="4" w:space="0" w:color="auto"/>
            </w:tcBorders>
            <w:shd w:val="clear" w:color="auto" w:fill="auto"/>
            <w:noWrap/>
            <w:vAlign w:val="center"/>
            <w:hideMark/>
          </w:tcPr>
          <w:p w14:paraId="1D81BA6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270</w:t>
            </w:r>
          </w:p>
        </w:tc>
        <w:tc>
          <w:tcPr>
            <w:tcW w:w="1620" w:type="dxa"/>
            <w:tcBorders>
              <w:top w:val="nil"/>
              <w:left w:val="nil"/>
              <w:bottom w:val="single" w:sz="4" w:space="0" w:color="auto"/>
              <w:right w:val="single" w:sz="4" w:space="0" w:color="auto"/>
            </w:tcBorders>
            <w:shd w:val="clear" w:color="auto" w:fill="auto"/>
            <w:noWrap/>
            <w:vAlign w:val="center"/>
            <w:hideMark/>
          </w:tcPr>
          <w:p w14:paraId="14D8DA1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E3246B7" w14:textId="7A27FB3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{"citationItems":[{"id":"ITEM-1","itemData":{"DOI":"10.1128/AEM.66.4.1347-1353.2000","ISBN":"1159516162","ISSN":"0099-2240","PMID":"10742210","abstract":"We describe here the development of a single-reaction multiplex PCR assay for the enterotoxin genes from Staphylococcus aureus that utilizes a universal toxin gene primer in combination with toxin-specific primers to amplify characteristic toxin gene products. In combination with a new DNA purification method, the assay can detect enterotoxin genes A to E from a pure culture within 3 to 4 h. The test was used to characterize a diverse set of environmental S. aureus isolates, and a 99% correlation with toxin typing using standard immunological tests was found. The design of the assay allows it to be extended to include both newly characterized and as-yet-unknown toxin genes.","author":[{"dropping-particle":"","family":"Sharma","given":"Naresh K.","non-dropping-particle":"","parse-names":false,"suffix":""},{"dropping-particle":"","family":"Rees","given":"Catherine E. D.","non-dropping-particle":"","parse-names":false,"suffix":""},{"dropping-particle":"","family":"Dodd","given":"Christine E. R.","non-dropping-particle":"","parse-names":false,"suffix":""}],"container-title":"Applied and Environmental Microbiology","id":"ITEM-1","issue":"4","issued":{"date-parts":[["2000","4"]]},"page":"1347-1353","title":"Development of a Single-Reaction Multiplex PCR Toxin Typing Assay for Staphylococcus aureus Strains","type":"article-journal","volume":"66"},"uris":["http://www.mendeley.com/documents/?uuid=837f2478-e0d2-497a-9286-ee28290d960a"]}],"mendeley":{"formattedCitation":"(Sharma et al., 2000)","plainTextFormattedCitation":"(Sharma et al., 2000)","previouslyFormattedCitation":"(Sharma et al., 2000)"},"properties":{"noteIndex":0},"schema":"https://github.com/citation-style-language/schema/raw/master/csl-citation.json"}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(Sharma et al., 2000)</w:t>
            </w:r>
            <w:r w:rsidRPr="006C34E3">
              <w:rPr>
                <w:rFonts w:eastAsia="Times New Roman" w:cs="Times New Roman"/>
                <w:color w:val="000000"/>
                <w:sz w:val="16"/>
                <w:szCs w:val="16"/>
              </w:rPr>
              <w:fldChar w:fldCharType="end"/>
            </w:r>
          </w:p>
        </w:tc>
      </w:tr>
      <w:tr w:rsidR="00F90100" w:rsidRPr="006C34E3" w14:paraId="2BB22EAE" w14:textId="77777777" w:rsidTr="00C662E9">
        <w:trPr>
          <w:trHeight w:val="288"/>
        </w:trPr>
        <w:tc>
          <w:tcPr>
            <w:tcW w:w="630" w:type="dxa"/>
            <w:vMerge/>
            <w:tcBorders>
              <w:left w:val="single" w:sz="4" w:space="0" w:color="auto"/>
              <w:right w:val="single" w:sz="4" w:space="0" w:color="auto"/>
            </w:tcBorders>
            <w:vAlign w:val="center"/>
            <w:hideMark/>
          </w:tcPr>
          <w:p w14:paraId="445610A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4C967A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sea-3</w:t>
            </w:r>
          </w:p>
        </w:tc>
        <w:tc>
          <w:tcPr>
            <w:tcW w:w="3690" w:type="dxa"/>
            <w:tcBorders>
              <w:top w:val="nil"/>
              <w:left w:val="nil"/>
              <w:bottom w:val="single" w:sz="4" w:space="0" w:color="auto"/>
              <w:right w:val="single" w:sz="4" w:space="0" w:color="auto"/>
            </w:tcBorders>
            <w:shd w:val="clear" w:color="auto" w:fill="auto"/>
            <w:noWrap/>
            <w:vAlign w:val="center"/>
            <w:hideMark/>
          </w:tcPr>
          <w:p w14:paraId="2D9B3A9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CAG CAT ACT ATA TTG TTT AAA GGC</w:t>
            </w:r>
          </w:p>
        </w:tc>
        <w:tc>
          <w:tcPr>
            <w:tcW w:w="3780" w:type="dxa"/>
            <w:tcBorders>
              <w:top w:val="nil"/>
              <w:left w:val="nil"/>
              <w:bottom w:val="single" w:sz="4" w:space="0" w:color="auto"/>
              <w:right w:val="single" w:sz="4" w:space="0" w:color="auto"/>
            </w:tcBorders>
            <w:shd w:val="clear" w:color="auto" w:fill="auto"/>
            <w:noWrap/>
            <w:vAlign w:val="center"/>
            <w:hideMark/>
          </w:tcPr>
          <w:p w14:paraId="37240F3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CCT CTG AAC CTT CCC ATC</w:t>
            </w:r>
          </w:p>
        </w:tc>
        <w:tc>
          <w:tcPr>
            <w:tcW w:w="1620" w:type="dxa"/>
            <w:tcBorders>
              <w:top w:val="nil"/>
              <w:left w:val="nil"/>
              <w:bottom w:val="single" w:sz="4" w:space="0" w:color="auto"/>
              <w:right w:val="single" w:sz="4" w:space="0" w:color="auto"/>
            </w:tcBorders>
            <w:shd w:val="clear" w:color="auto" w:fill="auto"/>
            <w:noWrap/>
            <w:vAlign w:val="center"/>
            <w:hideMark/>
          </w:tcPr>
          <w:p w14:paraId="7D68B90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400</w:t>
            </w:r>
          </w:p>
        </w:tc>
        <w:tc>
          <w:tcPr>
            <w:tcW w:w="1620" w:type="dxa"/>
            <w:tcBorders>
              <w:top w:val="nil"/>
              <w:left w:val="nil"/>
              <w:bottom w:val="single" w:sz="4" w:space="0" w:color="auto"/>
              <w:right w:val="single" w:sz="4" w:space="0" w:color="auto"/>
            </w:tcBorders>
            <w:shd w:val="clear" w:color="auto" w:fill="auto"/>
            <w:noWrap/>
            <w:vAlign w:val="center"/>
            <w:hideMark/>
          </w:tcPr>
          <w:p w14:paraId="358FFC2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FC9CC5E" w14:textId="4510226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{"citationItems":[{"id":"ITEM-1","itemData":{"DOI":"10.1016/j.vetmic.2010.06.021","ISSN":"03781135","PMID":"20667668","abstract":"The coagulase-negative staphylococci (CNS) are the most prevalent mastitis pathogen group yet their virulence characteristics have not been well described. We investigated the presence of 19 classical and newly described staphylococcal superantigen (SAg) genes in CNS isolates from bovine intramammary infections (IMI). A total of 263 CNS representing 11 different Staphylococcus spp. were examined, and 31.2% (n= 82) of CNS isolates had one or more SAg genes; there were 21 different SAg gene combinations. The most prevalent combination of SAg genes (seb, seln and selq; n= 45) was found in S. chromogenes, S. xylosus, S. haemolyticus, S. sciuri subsp. carnaticus, S. simulans and S. succinus. The genes for SAgs appear to be widely distributed amongst CNS isolated from bovine IMI. © 2010 Elsevier B.V.","author":[{"dropping-particle":"","family":"Park","given":"Joo Youn","non-dropping-particle":"","parse-names":false,"suffix":""},{"dropping-particle":"","family":"Fox","given":"Lawrence K.","non-dropping-particle":"","parse-names":false,"suffix":""},{"dropping-particle":"","family":"Seo","given":"Keun Seok","non-dropping-particle":"","parse-names":false,"suffix":""},{"dropping-particle":"","family":"McGuire","given":"Mark A.","non-dropping-particle":"","parse-names":false,"suffix":""},{"dropping-particle":"","family":"Park","given":"Yong Ho","non-dropping-particle":"","parse-names":false,"suffix":""},{"dropping-particle":"","family":"Rurangirwa","given":"Fred R.","non-dropping-particle":"","parse-names":false,"suffix":""},{"dropping-particle":"","family":"Sischo","given":"William M.","non-dropping-particle":"","parse-names":false,"suffix":""},{"dropping-particle":"","family":"Bohach","given":"Gregory A.","non-dropping-particle":"","parse-names":false,"suffix":""}],"container-title":"Veterinary Microbiology","id":"ITEM-1","issue":"1-2","issued":{"date-parts":[["2011"]]},"page":"149-154","publisher":"Elsevier B.V.","title":"Detection of classical and newly described staphylococcal superantigen genes in coagulase-negative staphylococci isolated from bovine intramammary infections","type":"article-journal","volume":"147"},"uris":["http://www.mendeley.com/documents/?uuid=9afd5eb4-7cc0-44e6-a295-72bf1ca90bc5"]}],"mendeley":{"formattedCitation":"(Park et al., 2011)","plainTextFormattedCitation":"(Park et al., 2011)","previouslyFormattedCitation":"(Park et al., 2011)"},"properties":{"noteIndex":0},"schema":"https://github.com/citation-style-language/schema/raw/master/csl-citation.json"}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(Park et al., 2011)</w:t>
            </w:r>
            <w:r w:rsidRPr="006C34E3">
              <w:rPr>
                <w:rFonts w:eastAsia="Times New Roman" w:cs="Times New Roman"/>
                <w:color w:val="000000"/>
                <w:sz w:val="16"/>
                <w:szCs w:val="16"/>
              </w:rPr>
              <w:fldChar w:fldCharType="end"/>
            </w:r>
          </w:p>
        </w:tc>
      </w:tr>
      <w:tr w:rsidR="00F90100" w:rsidRPr="006C34E3" w14:paraId="2EA719F6" w14:textId="77777777" w:rsidTr="00C662E9">
        <w:trPr>
          <w:trHeight w:val="288"/>
        </w:trPr>
        <w:tc>
          <w:tcPr>
            <w:tcW w:w="630" w:type="dxa"/>
            <w:vMerge/>
            <w:tcBorders>
              <w:left w:val="single" w:sz="4" w:space="0" w:color="auto"/>
              <w:right w:val="single" w:sz="4" w:space="0" w:color="auto"/>
            </w:tcBorders>
            <w:vAlign w:val="center"/>
            <w:hideMark/>
          </w:tcPr>
          <w:p w14:paraId="6DB59EDA"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B9C02A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sea-4</w:t>
            </w:r>
          </w:p>
        </w:tc>
        <w:tc>
          <w:tcPr>
            <w:tcW w:w="3690" w:type="dxa"/>
            <w:tcBorders>
              <w:top w:val="nil"/>
              <w:left w:val="nil"/>
              <w:bottom w:val="single" w:sz="4" w:space="0" w:color="auto"/>
              <w:right w:val="single" w:sz="4" w:space="0" w:color="auto"/>
            </w:tcBorders>
            <w:shd w:val="clear" w:color="auto" w:fill="auto"/>
            <w:noWrap/>
            <w:vAlign w:val="center"/>
            <w:hideMark/>
          </w:tcPr>
          <w:p w14:paraId="5B1E015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TTG GAA ACG GTT AAA ACG AA</w:t>
            </w:r>
          </w:p>
        </w:tc>
        <w:tc>
          <w:tcPr>
            <w:tcW w:w="3780" w:type="dxa"/>
            <w:tcBorders>
              <w:top w:val="nil"/>
              <w:left w:val="nil"/>
              <w:bottom w:val="single" w:sz="4" w:space="0" w:color="auto"/>
              <w:right w:val="single" w:sz="4" w:space="0" w:color="auto"/>
            </w:tcBorders>
            <w:shd w:val="clear" w:color="auto" w:fill="auto"/>
            <w:noWrap/>
            <w:vAlign w:val="center"/>
            <w:hideMark/>
          </w:tcPr>
          <w:p w14:paraId="2926C75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CCT TCC CAT CAA AAA CA</w:t>
            </w:r>
          </w:p>
        </w:tc>
        <w:tc>
          <w:tcPr>
            <w:tcW w:w="1620" w:type="dxa"/>
            <w:tcBorders>
              <w:top w:val="nil"/>
              <w:left w:val="nil"/>
              <w:bottom w:val="single" w:sz="4" w:space="0" w:color="auto"/>
              <w:right w:val="single" w:sz="4" w:space="0" w:color="auto"/>
            </w:tcBorders>
            <w:shd w:val="clear" w:color="auto" w:fill="auto"/>
            <w:noWrap/>
            <w:vAlign w:val="center"/>
            <w:hideMark/>
          </w:tcPr>
          <w:p w14:paraId="4FB93E4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120</w:t>
            </w:r>
          </w:p>
        </w:tc>
        <w:tc>
          <w:tcPr>
            <w:tcW w:w="1620" w:type="dxa"/>
            <w:tcBorders>
              <w:top w:val="nil"/>
              <w:left w:val="nil"/>
              <w:bottom w:val="single" w:sz="4" w:space="0" w:color="auto"/>
              <w:right w:val="single" w:sz="4" w:space="0" w:color="auto"/>
            </w:tcBorders>
            <w:shd w:val="clear" w:color="auto" w:fill="auto"/>
            <w:noWrap/>
            <w:vAlign w:val="center"/>
            <w:hideMark/>
          </w:tcPr>
          <w:p w14:paraId="1097DB94"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CCF7ACF" w14:textId="500ECA48"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{"citationItems":[{"id":"ITEM-1","itemData":{"DOI":"10.1128/jcm.29.3.426-430.1991","ISSN":"00951137","PMID":"2037659","abstract":"Eight pairs of synthetic oligonucleotide primers were used in a polymerase chain reaction (PCR) protocol to detect genes for staphylococcal enterotoxins A to E, exfoliative toxins A and B, and toxic shock syndrome toxin 1 in Staphylococcus aureus strains isolated from clinical specimens and contaminated foods. Primers were targeted to internal regions of the toxin genes, and amplification fragments were detected after the PCR by agarose gel electrophoresis. Unequivocal discrimination of toxin genes was obtained by the PCR by using nucleic acids extracted from 88 strains of S. aureus whose toxigenicity was established biologically and immunologically. In immunological assays, two strains of S. aureus produced equivocal results for production of enterotoxin C or toxic shock syndrome toxin 1, giving an overall concordance between phenotypic and genotypic identification of 97.7%. Primer specificity was established in the PCR by using nucleic acids from known toxin-producing bacterial pathogens and from nontoxigenic S. aureus. Strains of Streptococcus spp., including some producers of pyrogenic exotoxin A carrying the speA gene, were negative by the PCR designed to detect staphylococcal toxins. The detection limits were established for all the staphylococcal toxin genes within their respective PCR protocols. The identification of staphylococcal toxin genes in strains of S. aureus by the PCR offers a very specific, sensitive, relatively rapid, and inexpensive alternative to traditional immunological assays which depend on adequate gene expression for reliability and sensitivity.","author":[{"dropping-particle":"","family":"Johnson","given":"W. M.","non-dropping-particle":"","parse-names":false,"suffix":""},{"dropping-particle":"","family":"Tyler","given":"S. D.","non-dropping-particle":"","parse-names":false,"suffix":""},{"dropping-particle":"","family":"Ewan","given":"E. P.","non-dropping-particle":"","parse-names":false,"suffix":""},{"dropping-particle":"","family":"Ashton","given":"F. E.","non-dropping-particle":"","parse-names":false,"suffix":""},{"dropping-particle":"","family":"Pollard","given":"D. R.","non-dropping-particle":"","parse-names":false,"suffix":""},{"dropping-particle":"","family":"Rozee","given":"K. R.","non-dropping-particle":"","parse-names":false,"suffix":""}],"container-title":"Journal of Clinical Microbiology","id":"ITEM-1","issue":"3","issued":{"date-parts":[["1991"]]},"page":"426-430","title":"Detection of genes for enterotoxins, exfoliative toxins, and toxic shock syndrome toxin 1 in Staphylococcus aureus by the polymerase chain reaction","type":"article-journal","volume":"29"},"uris":["http://www.mendeley.com/documents/?uuid=6cd21d50-b015-46de-ae8a-e0719fc0471f"]}],"mendeley":{"formattedCitation":"(Johnson et al., 1991)","plainTextFormattedCitation":"(Johnson et al., 1991)","previouslyFormattedCitation":"(Johnson et al., 1991)"},"properties":{"noteIndex":0},"schema":"https://github.com/citation-style-language/schema/raw/master/csl-citation.json"}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(Johnson et al., 1991)</w:t>
            </w:r>
            <w:r w:rsidRPr="006C34E3">
              <w:rPr>
                <w:rFonts w:eastAsia="Times New Roman" w:cs="Times New Roman"/>
                <w:color w:val="000000"/>
                <w:sz w:val="16"/>
                <w:szCs w:val="16"/>
              </w:rPr>
              <w:fldChar w:fldCharType="end"/>
            </w:r>
          </w:p>
        </w:tc>
      </w:tr>
      <w:tr w:rsidR="00F90100" w:rsidRPr="006C34E3" w14:paraId="3DCAC04F" w14:textId="77777777" w:rsidTr="00C662E9">
        <w:trPr>
          <w:trHeight w:val="288"/>
        </w:trPr>
        <w:tc>
          <w:tcPr>
            <w:tcW w:w="630" w:type="dxa"/>
            <w:vMerge/>
            <w:tcBorders>
              <w:left w:val="single" w:sz="4" w:space="0" w:color="auto"/>
              <w:right w:val="single" w:sz="4" w:space="0" w:color="auto"/>
            </w:tcBorders>
            <w:vAlign w:val="center"/>
            <w:hideMark/>
          </w:tcPr>
          <w:p w14:paraId="5B9BC623"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20D096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sea-5</w:t>
            </w:r>
          </w:p>
        </w:tc>
        <w:tc>
          <w:tcPr>
            <w:tcW w:w="3690" w:type="dxa"/>
            <w:tcBorders>
              <w:top w:val="nil"/>
              <w:left w:val="nil"/>
              <w:bottom w:val="single" w:sz="4" w:space="0" w:color="auto"/>
              <w:right w:val="single" w:sz="4" w:space="0" w:color="auto"/>
            </w:tcBorders>
            <w:shd w:val="clear" w:color="auto" w:fill="auto"/>
            <w:vAlign w:val="center"/>
            <w:hideMark/>
          </w:tcPr>
          <w:p w14:paraId="492E825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AAA AGT CTG AAT TGC AGG GAA CA</w:t>
            </w:r>
          </w:p>
        </w:tc>
        <w:tc>
          <w:tcPr>
            <w:tcW w:w="3780" w:type="dxa"/>
            <w:tcBorders>
              <w:top w:val="nil"/>
              <w:left w:val="nil"/>
              <w:bottom w:val="single" w:sz="4" w:space="0" w:color="auto"/>
              <w:right w:val="single" w:sz="4" w:space="0" w:color="auto"/>
            </w:tcBorders>
            <w:shd w:val="clear" w:color="auto" w:fill="auto"/>
            <w:noWrap/>
            <w:vAlign w:val="center"/>
            <w:hideMark/>
          </w:tcPr>
          <w:p w14:paraId="184B403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CAA ATA AAT CGT AAT TAA CCG AAG GTT C</w:t>
            </w:r>
          </w:p>
        </w:tc>
        <w:tc>
          <w:tcPr>
            <w:tcW w:w="1620" w:type="dxa"/>
            <w:tcBorders>
              <w:top w:val="nil"/>
              <w:left w:val="nil"/>
              <w:bottom w:val="single" w:sz="4" w:space="0" w:color="auto"/>
              <w:right w:val="single" w:sz="4" w:space="0" w:color="auto"/>
            </w:tcBorders>
            <w:shd w:val="clear" w:color="auto" w:fill="auto"/>
            <w:noWrap/>
            <w:vAlign w:val="center"/>
            <w:hideMark/>
          </w:tcPr>
          <w:p w14:paraId="19EB4B1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560</w:t>
            </w:r>
          </w:p>
        </w:tc>
        <w:tc>
          <w:tcPr>
            <w:tcW w:w="1620" w:type="dxa"/>
            <w:tcBorders>
              <w:top w:val="nil"/>
              <w:left w:val="nil"/>
              <w:bottom w:val="single" w:sz="4" w:space="0" w:color="auto"/>
              <w:right w:val="single" w:sz="4" w:space="0" w:color="auto"/>
            </w:tcBorders>
            <w:shd w:val="clear" w:color="auto" w:fill="auto"/>
            <w:noWrap/>
            <w:vAlign w:val="center"/>
            <w:hideMark/>
          </w:tcPr>
          <w:p w14:paraId="72AC3AF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45E3958" w14:textId="640E815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29C46091" w14:textId="77777777" w:rsidTr="00C662E9">
        <w:trPr>
          <w:trHeight w:val="288"/>
        </w:trPr>
        <w:tc>
          <w:tcPr>
            <w:tcW w:w="630" w:type="dxa"/>
            <w:vMerge/>
            <w:tcBorders>
              <w:left w:val="single" w:sz="4" w:space="0" w:color="auto"/>
              <w:right w:val="single" w:sz="4" w:space="0" w:color="auto"/>
            </w:tcBorders>
            <w:vAlign w:val="center"/>
            <w:hideMark/>
          </w:tcPr>
          <w:p w14:paraId="26405A4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0DD4763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sea-6</w:t>
            </w:r>
          </w:p>
        </w:tc>
        <w:tc>
          <w:tcPr>
            <w:tcW w:w="3690" w:type="dxa"/>
            <w:tcBorders>
              <w:top w:val="nil"/>
              <w:left w:val="nil"/>
              <w:bottom w:val="single" w:sz="4" w:space="0" w:color="auto"/>
              <w:right w:val="single" w:sz="4" w:space="0" w:color="auto"/>
            </w:tcBorders>
            <w:shd w:val="clear" w:color="000000" w:fill="E7E6E6"/>
            <w:noWrap/>
            <w:vAlign w:val="center"/>
            <w:hideMark/>
          </w:tcPr>
          <w:p w14:paraId="2AC7F1B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CTG TTC AGG AGT TGG ATC TTC</w:t>
            </w:r>
          </w:p>
        </w:tc>
        <w:tc>
          <w:tcPr>
            <w:tcW w:w="3780" w:type="dxa"/>
            <w:tcBorders>
              <w:top w:val="nil"/>
              <w:left w:val="nil"/>
              <w:bottom w:val="single" w:sz="4" w:space="0" w:color="auto"/>
              <w:right w:val="single" w:sz="4" w:space="0" w:color="auto"/>
            </w:tcBorders>
            <w:shd w:val="clear" w:color="000000" w:fill="E7E6E6"/>
            <w:noWrap/>
            <w:vAlign w:val="center"/>
            <w:hideMark/>
          </w:tcPr>
          <w:p w14:paraId="5390321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CTT GAG CAC CAA ATA AAT CG</w:t>
            </w:r>
          </w:p>
        </w:tc>
        <w:tc>
          <w:tcPr>
            <w:tcW w:w="1620" w:type="dxa"/>
            <w:tcBorders>
              <w:top w:val="nil"/>
              <w:left w:val="nil"/>
              <w:bottom w:val="single" w:sz="4" w:space="0" w:color="auto"/>
              <w:right w:val="single" w:sz="4" w:space="0" w:color="auto"/>
            </w:tcBorders>
            <w:shd w:val="clear" w:color="000000" w:fill="E7E6E6"/>
            <w:noWrap/>
            <w:vAlign w:val="center"/>
            <w:hideMark/>
          </w:tcPr>
          <w:p w14:paraId="5DDDD8C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156</w:t>
            </w:r>
          </w:p>
        </w:tc>
        <w:tc>
          <w:tcPr>
            <w:tcW w:w="1620" w:type="dxa"/>
            <w:tcBorders>
              <w:top w:val="nil"/>
              <w:left w:val="nil"/>
              <w:bottom w:val="single" w:sz="4" w:space="0" w:color="auto"/>
              <w:right w:val="single" w:sz="4" w:space="0" w:color="auto"/>
            </w:tcBorders>
            <w:shd w:val="clear" w:color="000000" w:fill="E7E6E6"/>
            <w:noWrap/>
            <w:vAlign w:val="center"/>
            <w:hideMark/>
          </w:tcPr>
          <w:p w14:paraId="22D1DD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Aspecific detection of highly similar </w:t>
            </w:r>
            <w:r w:rsidRPr="006C34E3">
              <w:rPr>
                <w:rFonts w:eastAsia="Times New Roman" w:cs="Times New Roman"/>
                <w:i/>
                <w:iCs/>
                <w:sz w:val="16"/>
                <w:szCs w:val="16"/>
              </w:rPr>
              <w:t xml:space="preserve">sep </w:t>
            </w:r>
            <w:r w:rsidRPr="006C34E3">
              <w:rPr>
                <w:rFonts w:eastAsia="Times New Roman" w:cs="Times New Roman"/>
                <w:sz w:val="16"/>
                <w:szCs w:val="16"/>
              </w:rPr>
              <w:t xml:space="preserve">and </w:t>
            </w:r>
            <w:r w:rsidRPr="006C34E3">
              <w:rPr>
                <w:rFonts w:eastAsia="Times New Roman" w:cs="Times New Roman"/>
                <w:i/>
                <w:iCs/>
                <w:sz w:val="16"/>
                <w:szCs w:val="16"/>
              </w:rPr>
              <w:t xml:space="preserve">see </w:t>
            </w:r>
            <w:r w:rsidRPr="006C34E3">
              <w:rPr>
                <w:rFonts w:eastAsia="Times New Roman" w:cs="Times New Roman"/>
                <w:iCs/>
                <w:sz w:val="16"/>
                <w:szCs w:val="16"/>
              </w:rPr>
              <w:t>genes</w:t>
            </w:r>
          </w:p>
        </w:tc>
        <w:tc>
          <w:tcPr>
            <w:tcW w:w="1530" w:type="dxa"/>
            <w:tcBorders>
              <w:top w:val="nil"/>
              <w:left w:val="nil"/>
              <w:bottom w:val="single" w:sz="4" w:space="0" w:color="auto"/>
              <w:right w:val="single" w:sz="4" w:space="0" w:color="auto"/>
            </w:tcBorders>
            <w:shd w:val="clear" w:color="000000" w:fill="E7E6E6"/>
            <w:noWrap/>
            <w:vAlign w:val="center"/>
            <w:hideMark/>
          </w:tcPr>
          <w:p w14:paraId="682D37D9" w14:textId="6CE4FF6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{"citationItems":[{"id":"ITEM-1","itemData":{"DOI":"10.1111/jam.12364","ISSN":"13645072","PMID":"24119042","abstract":"Aims: To develop a multiplex PCR assay coupled with selective enrichment step to detect major virulence-associated genes of enterotoxigenic Stap-hylococcus aureus and evaluate the same directly on contaminated food samples. Methods and Results: The most important virulence-associated genes of Staph. aureus, which are commonly related to food safety issues, are targeted in this study. They include five major enterotoxigenic genes-sea, seb, sec, seg and sei, tst-which encodes TSST-1, mecA-which confer methicillin resistance and coa-for the enzyme coagulase along with an internal amplification control (IAC) to rule out false-negative result. A modified mannitol salt broth (MSB) supplemented with sodium pyruvate was used for selective enrichment of Staph. aureus from food samples prior to PCR. Evaluation of efficiency of different media revealed that enrichment of samples in modified MSB followed by PCR resulted in specific, sensitive and effective amplification of the targeted genes in comparison with other enrichment media. Incorporation of bovine serum albumin (BSA) as PCR enhancer improved the intensity of amplicons. The standardized multiplex PCR (mPCR) format was able to detect all the target genes at a bacterial load of 106 CFU ml-1 in any sample. The PCR results were unequivocally correlated with the conventional methods when the mPCR format was assessed on a total of 91 Staph. aureus isolates. The entire assay was found to be effectual when evaluated on naturally contaminated food samples. Conclusions: The combinatorial approach involving selective enrichment followed by mPCR developed in this study was found to be effective for the detection of toxigenic Staph. aureus directly from various food sources. Significance and Impact of the Study: The developed format would find a promising application in early detection of food contaminations as well as in the diagnosis of food poisoning due to Staph. aureus. © 2013 The Society for Applied Microbiology.","author":[{"dropping-particle":"","family":"Nagaraj","given":"S.","non-dropping-particle":"","parse-names":false,"suffix":""},{"dropping-particle":"","family":"Ramlal","given":"S.","non-dropping-particle":"","parse-names":false,"suffix":""},{"dropping-particle":"","family":"Sripathy","given":"M.H.","non-dropping-particle":"","parse-names":false,"suffix":""},{"dropping-particle":"","family":"Batra","given":"H.V.","non-dropping-particle":"","parse-names":false,"suffix":""}],"container-title":"Journal of Applied Microbiology","id":"ITEM-1","issue":"2","issued":{"date-parts":[["2014","2"]]},"page":"435-446","title":"Development and evaluation of a novel combinatorial selective enrichment and multiplex PCR technique for molecular detection of major virulence-associated genes of enterotoxigenic Staphylococcus aureus in food samples","type":"article-journal","volume":"116"},"uris":["http://www.mendeley.com/documents/?uuid=6974d7f1-8cbe-4860-8489-1903075b4d5b"]}],"mendeley":{"formattedCitation":"(Nagaraj et al., 2014)","plainTextFormattedCitation":"(Nagaraj et al., 2014)","previouslyFormattedCitation":"(Nagaraj et al., 2014)"},"properties":{"noteIndex":0},"schema":"https://github.com/citation-style-language/schema/raw/master/csl-citation.json"}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(Nagaraj et al., 2014)</w:t>
            </w:r>
            <w:r w:rsidRPr="006C34E3">
              <w:rPr>
                <w:rFonts w:eastAsia="Times New Roman" w:cs="Times New Roman"/>
                <w:color w:val="000000"/>
                <w:sz w:val="16"/>
                <w:szCs w:val="16"/>
              </w:rPr>
              <w:fldChar w:fldCharType="end"/>
            </w:r>
          </w:p>
        </w:tc>
      </w:tr>
      <w:tr w:rsidR="00F90100" w:rsidRPr="006C34E3" w14:paraId="6F65F945" w14:textId="77777777" w:rsidTr="00C662E9">
        <w:trPr>
          <w:trHeight w:val="288"/>
        </w:trPr>
        <w:tc>
          <w:tcPr>
            <w:tcW w:w="630" w:type="dxa"/>
            <w:vMerge/>
            <w:tcBorders>
              <w:left w:val="single" w:sz="4" w:space="0" w:color="auto"/>
              <w:right w:val="single" w:sz="4" w:space="0" w:color="auto"/>
            </w:tcBorders>
            <w:vAlign w:val="center"/>
            <w:hideMark/>
          </w:tcPr>
          <w:p w14:paraId="6DB9614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BD4FED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sea-7</w:t>
            </w:r>
          </w:p>
        </w:tc>
        <w:tc>
          <w:tcPr>
            <w:tcW w:w="3690" w:type="dxa"/>
            <w:tcBorders>
              <w:top w:val="nil"/>
              <w:left w:val="nil"/>
              <w:bottom w:val="single" w:sz="4" w:space="0" w:color="auto"/>
              <w:right w:val="single" w:sz="4" w:space="0" w:color="auto"/>
            </w:tcBorders>
            <w:shd w:val="clear" w:color="auto" w:fill="auto"/>
            <w:noWrap/>
            <w:vAlign w:val="center"/>
            <w:hideMark/>
          </w:tcPr>
          <w:p w14:paraId="35422EB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GCA GGG AAC AGC TTT AGG C</w:t>
            </w:r>
          </w:p>
        </w:tc>
        <w:tc>
          <w:tcPr>
            <w:tcW w:w="3780" w:type="dxa"/>
            <w:tcBorders>
              <w:top w:val="nil"/>
              <w:left w:val="nil"/>
              <w:bottom w:val="single" w:sz="4" w:space="0" w:color="auto"/>
              <w:right w:val="single" w:sz="4" w:space="0" w:color="auto"/>
            </w:tcBorders>
            <w:shd w:val="clear" w:color="auto" w:fill="auto"/>
            <w:noWrap/>
            <w:vAlign w:val="center"/>
            <w:hideMark/>
          </w:tcPr>
          <w:p w14:paraId="4705FE0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CTG TAG AAG TAT GAA ACA CG</w:t>
            </w:r>
          </w:p>
        </w:tc>
        <w:tc>
          <w:tcPr>
            <w:tcW w:w="1620" w:type="dxa"/>
            <w:tcBorders>
              <w:top w:val="nil"/>
              <w:left w:val="nil"/>
              <w:bottom w:val="single" w:sz="4" w:space="0" w:color="auto"/>
              <w:right w:val="single" w:sz="4" w:space="0" w:color="auto"/>
            </w:tcBorders>
            <w:shd w:val="clear" w:color="auto" w:fill="auto"/>
            <w:noWrap/>
            <w:vAlign w:val="center"/>
            <w:hideMark/>
          </w:tcPr>
          <w:p w14:paraId="4BEE9E6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520</w:t>
            </w:r>
          </w:p>
        </w:tc>
        <w:tc>
          <w:tcPr>
            <w:tcW w:w="1620" w:type="dxa"/>
            <w:tcBorders>
              <w:top w:val="nil"/>
              <w:left w:val="nil"/>
              <w:bottom w:val="single" w:sz="4" w:space="0" w:color="auto"/>
              <w:right w:val="single" w:sz="4" w:space="0" w:color="auto"/>
            </w:tcBorders>
            <w:shd w:val="clear" w:color="auto" w:fill="auto"/>
            <w:noWrap/>
            <w:vAlign w:val="center"/>
            <w:hideMark/>
          </w:tcPr>
          <w:p w14:paraId="1C3F525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446E903" w14:textId="2E79433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532A71F9" w14:textId="77777777" w:rsidTr="00C662E9">
        <w:trPr>
          <w:trHeight w:val="288"/>
        </w:trPr>
        <w:tc>
          <w:tcPr>
            <w:tcW w:w="630" w:type="dxa"/>
            <w:vMerge/>
            <w:tcBorders>
              <w:left w:val="single" w:sz="4" w:space="0" w:color="auto"/>
              <w:right w:val="single" w:sz="4" w:space="0" w:color="auto"/>
            </w:tcBorders>
            <w:vAlign w:val="center"/>
            <w:hideMark/>
          </w:tcPr>
          <w:p w14:paraId="3618BC76"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6E02C00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sea-8</w:t>
            </w:r>
          </w:p>
        </w:tc>
        <w:tc>
          <w:tcPr>
            <w:tcW w:w="3690" w:type="dxa"/>
            <w:tcBorders>
              <w:top w:val="nil"/>
              <w:left w:val="nil"/>
              <w:bottom w:val="single" w:sz="4" w:space="0" w:color="auto"/>
              <w:right w:val="single" w:sz="4" w:space="0" w:color="auto"/>
            </w:tcBorders>
            <w:shd w:val="clear" w:color="000000" w:fill="E7E6E6"/>
            <w:noWrap/>
            <w:vAlign w:val="center"/>
            <w:hideMark/>
          </w:tcPr>
          <w:p w14:paraId="7A8D991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GGT TAT CAA TGT GCG GGT GG</w:t>
            </w:r>
          </w:p>
        </w:tc>
        <w:tc>
          <w:tcPr>
            <w:tcW w:w="3780" w:type="dxa"/>
            <w:tcBorders>
              <w:top w:val="nil"/>
              <w:left w:val="nil"/>
              <w:bottom w:val="single" w:sz="4" w:space="0" w:color="auto"/>
              <w:right w:val="single" w:sz="4" w:space="0" w:color="auto"/>
            </w:tcBorders>
            <w:shd w:val="clear" w:color="000000" w:fill="E7E6E6"/>
            <w:noWrap/>
            <w:vAlign w:val="center"/>
            <w:hideMark/>
          </w:tcPr>
          <w:p w14:paraId="2538065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CGG CAC TTT TTT CTC TTC GG</w:t>
            </w:r>
          </w:p>
        </w:tc>
        <w:tc>
          <w:tcPr>
            <w:tcW w:w="1620" w:type="dxa"/>
            <w:tcBorders>
              <w:top w:val="nil"/>
              <w:left w:val="nil"/>
              <w:bottom w:val="single" w:sz="4" w:space="0" w:color="auto"/>
              <w:right w:val="single" w:sz="4" w:space="0" w:color="auto"/>
            </w:tcBorders>
            <w:shd w:val="clear" w:color="000000" w:fill="E7E6E6"/>
            <w:noWrap/>
            <w:vAlign w:val="center"/>
            <w:hideMark/>
          </w:tcPr>
          <w:p w14:paraId="715712F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102</w:t>
            </w:r>
          </w:p>
        </w:tc>
        <w:tc>
          <w:tcPr>
            <w:tcW w:w="1620" w:type="dxa"/>
            <w:tcBorders>
              <w:top w:val="nil"/>
              <w:left w:val="nil"/>
              <w:bottom w:val="single" w:sz="4" w:space="0" w:color="auto"/>
              <w:right w:val="single" w:sz="4" w:space="0" w:color="auto"/>
            </w:tcBorders>
            <w:shd w:val="clear" w:color="000000" w:fill="E7E6E6"/>
            <w:noWrap/>
            <w:vAlign w:val="center"/>
            <w:hideMark/>
          </w:tcPr>
          <w:p w14:paraId="34804B4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Aspecific detection of highly similar </w:t>
            </w:r>
            <w:r w:rsidRPr="006C34E3">
              <w:rPr>
                <w:rFonts w:eastAsia="Times New Roman" w:cs="Times New Roman"/>
                <w:i/>
                <w:iCs/>
                <w:sz w:val="16"/>
                <w:szCs w:val="16"/>
              </w:rPr>
              <w:t xml:space="preserve">see </w:t>
            </w:r>
            <w:r w:rsidRPr="006C34E3">
              <w:rPr>
                <w:rFonts w:eastAsia="Times New Roman" w:cs="Times New Roman"/>
                <w:iCs/>
                <w:sz w:val="16"/>
                <w:szCs w:val="16"/>
              </w:rPr>
              <w:t>gene</w:t>
            </w:r>
          </w:p>
        </w:tc>
        <w:tc>
          <w:tcPr>
            <w:tcW w:w="1530" w:type="dxa"/>
            <w:tcBorders>
              <w:top w:val="nil"/>
              <w:left w:val="nil"/>
              <w:bottom w:val="single" w:sz="4" w:space="0" w:color="auto"/>
              <w:right w:val="single" w:sz="4" w:space="0" w:color="auto"/>
            </w:tcBorders>
            <w:shd w:val="clear" w:color="000000" w:fill="E7E6E6"/>
            <w:noWrap/>
            <w:vAlign w:val="center"/>
            <w:hideMark/>
          </w:tcPr>
          <w:p w14:paraId="38D4B4D7" w14:textId="1F76200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{"citationItems":[{"id":"ITEM-1","itemData":{"DOI":"10.1128/jb.171.8.4507-4510.1989","ISBN":"1111111111","ISSN":"00219193","PMID":"2473979","abstract":"The nucleotide sequence of the structural gene for staphylococcal enterotoxin type C3 (entC3) was determined. This gene contains 798-base-pair open reading frame that encodes a protein of 266 amino acid residues. Sequence analysis suggests that staphylococcal enterotoxin type C3 is synthesized in a precursor form that is processed to yield a mature extracellular form of 238 amino acid residues (molecular weight, 27,438). The entC3 gene is closely related to the gene for staphylococcal enterotoxin type C1, with 98% nucleotide sequence identity. Sequence comparisons between the entC3, entC1, and entB genes suggest that an ancestral entC1-like gene was formed by recombination between the entC3 and entB genes.","author":[{"dropping-particle":"","family":"Couch","given":"J. L.","non-dropping-particle":"","parse-names":false,"suffix":""},{"dropping-particle":"","family":"Betley","given":"M. J.","non-dropping-particle":"","parse-names":false,"suffix":""}],"container-title":"Journal of Bacteriology","id":"ITEM-1","issue":"8","issued":{"date-parts":[["1989"]]},"page":"4507-4510","title":"Nucleotide sequence of the type C3 staphylococcal enterotoxin gene suggests that intergenic recombination causes antigenic variation","type":"article-journal","volume":"171"},"uris":["http://www.mendeley.com/documents/?uuid=519f1ffb-2ac5-4da5-8b90-e85be8b9f5f1"]}],"mendeley":{"formattedCitation":"(Couch and Betley, 1989)","plainTextFormattedCitation":"(Couch and Betley, 1989)","previouslyFormattedCitation":"(Couch and Betley, 1989)"},"properties":{"noteIndex":0},"schema":"https://github.com/citation-style-language/schema/raw/master/csl-citation.json"}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(Couch and Betley, 1989)</w:t>
            </w:r>
            <w:r w:rsidRPr="006C34E3">
              <w:rPr>
                <w:rFonts w:eastAsia="Times New Roman" w:cs="Times New Roman"/>
                <w:color w:val="000000"/>
                <w:sz w:val="16"/>
                <w:szCs w:val="16"/>
              </w:rPr>
              <w:fldChar w:fldCharType="end"/>
            </w:r>
          </w:p>
        </w:tc>
      </w:tr>
      <w:tr w:rsidR="00F90100" w:rsidRPr="006C34E3" w14:paraId="119A8AEC" w14:textId="77777777" w:rsidTr="00C662E9">
        <w:trPr>
          <w:trHeight w:val="288"/>
        </w:trPr>
        <w:tc>
          <w:tcPr>
            <w:tcW w:w="630" w:type="dxa"/>
            <w:vMerge/>
            <w:tcBorders>
              <w:left w:val="single" w:sz="4" w:space="0" w:color="auto"/>
              <w:right w:val="single" w:sz="4" w:space="0" w:color="auto"/>
            </w:tcBorders>
            <w:vAlign w:val="center"/>
            <w:hideMark/>
          </w:tcPr>
          <w:p w14:paraId="1E633D7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6038E5A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sea-9</w:t>
            </w:r>
          </w:p>
        </w:tc>
        <w:tc>
          <w:tcPr>
            <w:tcW w:w="3690" w:type="dxa"/>
            <w:tcBorders>
              <w:top w:val="nil"/>
              <w:left w:val="nil"/>
              <w:bottom w:val="single" w:sz="4" w:space="0" w:color="auto"/>
              <w:right w:val="single" w:sz="4" w:space="0" w:color="auto"/>
            </w:tcBorders>
            <w:shd w:val="clear" w:color="000000" w:fill="E7E6E6"/>
            <w:noWrap/>
            <w:vAlign w:val="center"/>
            <w:hideMark/>
          </w:tcPr>
          <w:p w14:paraId="01CFFE9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GGT TAT CAA TGT GCG GGT GG</w:t>
            </w:r>
          </w:p>
        </w:tc>
        <w:tc>
          <w:tcPr>
            <w:tcW w:w="3780" w:type="dxa"/>
            <w:tcBorders>
              <w:top w:val="nil"/>
              <w:left w:val="nil"/>
              <w:bottom w:val="single" w:sz="4" w:space="0" w:color="auto"/>
              <w:right w:val="single" w:sz="4" w:space="0" w:color="auto"/>
            </w:tcBorders>
            <w:shd w:val="clear" w:color="auto" w:fill="E7E6E6"/>
            <w:noWrap/>
            <w:vAlign w:val="center"/>
            <w:hideMark/>
          </w:tcPr>
          <w:p w14:paraId="236660B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CGG CAC TTT TTT CTC TTC GG</w:t>
            </w:r>
          </w:p>
        </w:tc>
        <w:tc>
          <w:tcPr>
            <w:tcW w:w="1620" w:type="dxa"/>
            <w:tcBorders>
              <w:top w:val="nil"/>
              <w:left w:val="nil"/>
              <w:bottom w:val="single" w:sz="4" w:space="0" w:color="auto"/>
              <w:right w:val="single" w:sz="4" w:space="0" w:color="auto"/>
            </w:tcBorders>
            <w:shd w:val="clear" w:color="000000" w:fill="E7E6E6"/>
            <w:noWrap/>
            <w:vAlign w:val="center"/>
            <w:hideMark/>
          </w:tcPr>
          <w:p w14:paraId="2999040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102</w:t>
            </w:r>
          </w:p>
        </w:tc>
        <w:tc>
          <w:tcPr>
            <w:tcW w:w="1620" w:type="dxa"/>
            <w:tcBorders>
              <w:top w:val="nil"/>
              <w:left w:val="nil"/>
              <w:bottom w:val="single" w:sz="4" w:space="0" w:color="auto"/>
              <w:right w:val="single" w:sz="4" w:space="0" w:color="auto"/>
            </w:tcBorders>
            <w:shd w:val="clear" w:color="000000" w:fill="E7E6E6"/>
            <w:noWrap/>
            <w:vAlign w:val="center"/>
            <w:hideMark/>
          </w:tcPr>
          <w:p w14:paraId="6E3B7BB1" w14:textId="77777777" w:rsidR="00F90100" w:rsidRPr="006C34E3" w:rsidRDefault="00F90100" w:rsidP="00F90100">
            <w:pPr>
              <w:spacing w:before="0" w:after="0"/>
              <w:jc w:val="center"/>
              <w:rPr>
                <w:rFonts w:eastAsia="Arial" w:cs="Times New Roman"/>
                <w:color w:val="58595B"/>
                <w:sz w:val="20"/>
              </w:rPr>
            </w:pPr>
            <w:r w:rsidRPr="006C34E3">
              <w:rPr>
                <w:rFonts w:eastAsia="Times New Roman" w:cs="Times New Roman"/>
                <w:sz w:val="16"/>
                <w:szCs w:val="16"/>
              </w:rPr>
              <w:t xml:space="preserve">Aspecific detection of highly similar </w:t>
            </w:r>
            <w:r w:rsidRPr="006C34E3">
              <w:rPr>
                <w:rFonts w:eastAsia="Times New Roman" w:cs="Times New Roman"/>
                <w:i/>
                <w:iCs/>
                <w:sz w:val="16"/>
                <w:szCs w:val="16"/>
              </w:rPr>
              <w:t>see</w:t>
            </w:r>
            <w:r w:rsidRPr="006C34E3">
              <w:rPr>
                <w:rFonts w:eastAsia="Times New Roman" w:cs="Times New Roman"/>
                <w:sz w:val="16"/>
                <w:szCs w:val="16"/>
              </w:rPr>
              <w:t xml:space="preserve"> gene; Used by EURL-CPS</w:t>
            </w:r>
          </w:p>
        </w:tc>
        <w:tc>
          <w:tcPr>
            <w:tcW w:w="1530" w:type="dxa"/>
            <w:tcBorders>
              <w:top w:val="nil"/>
              <w:left w:val="nil"/>
              <w:bottom w:val="single" w:sz="4" w:space="0" w:color="auto"/>
              <w:right w:val="single" w:sz="4" w:space="0" w:color="auto"/>
            </w:tcBorders>
            <w:shd w:val="clear" w:color="000000" w:fill="E7E6E6"/>
            <w:noWrap/>
            <w:vAlign w:val="center"/>
            <w:hideMark/>
          </w:tcPr>
          <w:p w14:paraId="7B0533A0" w14:textId="7A5530C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{"citationItems":[{"id":"ITEM-1","itemData":{"DOI":"10.1128/JCM.38.3.1032-1035.2000","ISSN":"0095-1137","PMID":"10698991","abstract":"A multiplex PCR assay for detection of genes for staphylococcal enterotoxins A to E ( entA , entB , entC , entD , and entE ), toxic shock syndrome toxin 1 ( tst ), exfoliative toxins A and B ( etaA and etaB ), and intrinsic methicillin resistance ( mecA ) was developed. Detection of femA was used as an internal positive control. The multiplex PCR assay combined the primers for sea to see and femA in one set and those for eta , etb , tst , mecA , and femA in the other set. Validation of the assay was performed using 176 human isolates of Staphylococcus aureus . This assay offers a very specific, quick, reliable, and inexpensive alternative to conventional PCR assays used in clinical laboratories to identify various staphylococcal toxin genes.","author":[{"dropping-particle":"","family":"Mehrotra","given":"Manisha","non-dropping-particle":"","parse-names":false,"suffix":""},{"dropping-particle":"","family":"Wang","given":"Gehua","non-dropping-particle":"","parse-names":false,"suffix":""},{"dropping-particle":"","family":"Johnson","given":"Wendy M.","non-dropping-particle":"","parse-names":false,"suffix":""}],"container-title":"Journal of Clinical Microbiology","id":"ITEM-1","issue":"3","issued":{"date-parts":[["2000","3"]]},"page":"1032-1035","title":"Multiplex PCR for Detection of Genes for Staphylococcus aureus Enterotoxins, Exfoliative Toxins, Toxic Shock Syndrome Toxin 1, and Methicillin Resistance","type":"article-journal","volume":"38"},"uris":["http://www.mendeley.com/documents/?uuid=a76480ad-cab3-40cb-a0c4-28af1ee8fe04"]},{"id":"ITEM-2","itemData":{"DOI":"10.3389/fmicb.2015.00882","ISSN":"1664-302X","abstract":"Staphylococcal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MLVA","type":"article-journal","volume":"6"},"uris":["http://www.mendeley.com/documents/?uuid=fc1715b7-49a3-4430-b1bf-38feeadd5075"]}],"mendeley":{"formattedCitation":"(Mehrotra et al., 2000; Roussel et al., 2015)","plainTextFormattedCitation":"(Mehrotra et al., 2000; Roussel et al., 2015)","previouslyFormattedCitation":"(Mehrotra et al., 2000;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(Mehrotra et al., 2000; Roussel et al., 2015)</w:t>
            </w:r>
            <w:r w:rsidRPr="006C34E3">
              <w:rPr>
                <w:rFonts w:eastAsia="Times New Roman" w:cs="Times New Roman"/>
                <w:color w:val="000000"/>
                <w:sz w:val="16"/>
                <w:szCs w:val="16"/>
              </w:rPr>
              <w:fldChar w:fldCharType="end"/>
            </w:r>
          </w:p>
        </w:tc>
      </w:tr>
      <w:tr w:rsidR="00F90100" w:rsidRPr="006C34E3" w14:paraId="13CAFA6D" w14:textId="77777777" w:rsidTr="00C662E9">
        <w:trPr>
          <w:trHeight w:val="288"/>
        </w:trPr>
        <w:tc>
          <w:tcPr>
            <w:tcW w:w="630" w:type="dxa"/>
            <w:vMerge/>
            <w:tcBorders>
              <w:left w:val="single" w:sz="4" w:space="0" w:color="auto"/>
              <w:right w:val="single" w:sz="4" w:space="0" w:color="auto"/>
            </w:tcBorders>
            <w:vAlign w:val="center"/>
            <w:hideMark/>
          </w:tcPr>
          <w:p w14:paraId="70D034B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E82EDB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sea-10</w:t>
            </w:r>
          </w:p>
        </w:tc>
        <w:tc>
          <w:tcPr>
            <w:tcW w:w="3690" w:type="dxa"/>
            <w:tcBorders>
              <w:top w:val="nil"/>
              <w:left w:val="nil"/>
              <w:bottom w:val="single" w:sz="4" w:space="0" w:color="auto"/>
              <w:right w:val="single" w:sz="4" w:space="0" w:color="auto"/>
            </w:tcBorders>
            <w:shd w:val="clear" w:color="auto" w:fill="auto"/>
            <w:noWrap/>
            <w:vAlign w:val="center"/>
            <w:hideMark/>
          </w:tcPr>
          <w:p w14:paraId="7FE5E63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CAG CAT ACT ATA TTG TTT AAA G</w:t>
            </w:r>
          </w:p>
        </w:tc>
        <w:tc>
          <w:tcPr>
            <w:tcW w:w="3780" w:type="dxa"/>
            <w:tcBorders>
              <w:top w:val="nil"/>
              <w:left w:val="nil"/>
              <w:bottom w:val="single" w:sz="4" w:space="0" w:color="auto"/>
              <w:right w:val="single" w:sz="4" w:space="0" w:color="auto"/>
            </w:tcBorders>
            <w:shd w:val="clear" w:color="auto" w:fill="auto"/>
            <w:noWrap/>
            <w:vAlign w:val="center"/>
            <w:hideMark/>
          </w:tcPr>
          <w:p w14:paraId="31BE6F8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TCT TAA TAG TGT ATT TGA ATT CT</w:t>
            </w:r>
          </w:p>
        </w:tc>
        <w:tc>
          <w:tcPr>
            <w:tcW w:w="1620" w:type="dxa"/>
            <w:tcBorders>
              <w:top w:val="nil"/>
              <w:left w:val="nil"/>
              <w:bottom w:val="single" w:sz="4" w:space="0" w:color="auto"/>
              <w:right w:val="single" w:sz="4" w:space="0" w:color="auto"/>
            </w:tcBorders>
            <w:shd w:val="clear" w:color="auto" w:fill="auto"/>
            <w:noWrap/>
            <w:vAlign w:val="center"/>
            <w:hideMark/>
          </w:tcPr>
          <w:p w14:paraId="71C95EE3"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489</w:t>
            </w:r>
          </w:p>
        </w:tc>
        <w:tc>
          <w:tcPr>
            <w:tcW w:w="1620" w:type="dxa"/>
            <w:tcBorders>
              <w:top w:val="nil"/>
              <w:left w:val="nil"/>
              <w:bottom w:val="single" w:sz="4" w:space="0" w:color="auto"/>
              <w:right w:val="single" w:sz="4" w:space="0" w:color="auto"/>
            </w:tcBorders>
            <w:shd w:val="clear" w:color="auto" w:fill="auto"/>
            <w:noWrap/>
            <w:vAlign w:val="center"/>
            <w:hideMark/>
          </w:tcPr>
          <w:p w14:paraId="554A2A4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19455498" w14:textId="422E76E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54CDF7E4" w14:textId="77777777" w:rsidTr="00C662E9">
        <w:trPr>
          <w:trHeight w:val="288"/>
        </w:trPr>
        <w:tc>
          <w:tcPr>
            <w:tcW w:w="630" w:type="dxa"/>
            <w:vMerge/>
            <w:tcBorders>
              <w:left w:val="single" w:sz="4" w:space="0" w:color="auto"/>
              <w:right w:val="single" w:sz="4" w:space="0" w:color="auto"/>
            </w:tcBorders>
            <w:vAlign w:val="center"/>
          </w:tcPr>
          <w:p w14:paraId="6CF5EBB4"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E7E6E6"/>
            <w:noWrap/>
            <w:vAlign w:val="center"/>
          </w:tcPr>
          <w:p w14:paraId="31605CD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sea-11</w:t>
            </w:r>
          </w:p>
        </w:tc>
        <w:tc>
          <w:tcPr>
            <w:tcW w:w="3690" w:type="dxa"/>
            <w:tcBorders>
              <w:top w:val="nil"/>
              <w:left w:val="nil"/>
              <w:bottom w:val="single" w:sz="4" w:space="0" w:color="auto"/>
              <w:right w:val="single" w:sz="4" w:space="0" w:color="auto"/>
            </w:tcBorders>
            <w:shd w:val="clear" w:color="auto" w:fill="E7E6E6"/>
            <w:noWrap/>
            <w:vAlign w:val="center"/>
          </w:tcPr>
          <w:p w14:paraId="58D7698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TAA GGA GGT GGT GCC TAT GG</w:t>
            </w:r>
          </w:p>
        </w:tc>
        <w:tc>
          <w:tcPr>
            <w:tcW w:w="3780" w:type="dxa"/>
            <w:tcBorders>
              <w:top w:val="nil"/>
              <w:left w:val="nil"/>
              <w:bottom w:val="single" w:sz="4" w:space="0" w:color="auto"/>
              <w:right w:val="single" w:sz="4" w:space="0" w:color="auto"/>
            </w:tcBorders>
            <w:shd w:val="clear" w:color="auto" w:fill="E7E6E6"/>
            <w:noWrap/>
            <w:vAlign w:val="center"/>
          </w:tcPr>
          <w:p w14:paraId="5AF7E7F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CGA AAC CAG CCA AAG TT</w:t>
            </w:r>
          </w:p>
        </w:tc>
        <w:tc>
          <w:tcPr>
            <w:tcW w:w="1620" w:type="dxa"/>
            <w:tcBorders>
              <w:top w:val="nil"/>
              <w:left w:val="nil"/>
              <w:bottom w:val="single" w:sz="4" w:space="0" w:color="auto"/>
              <w:right w:val="single" w:sz="4" w:space="0" w:color="auto"/>
            </w:tcBorders>
            <w:shd w:val="clear" w:color="auto" w:fill="E7E6E6"/>
            <w:noWrap/>
            <w:vAlign w:val="center"/>
          </w:tcPr>
          <w:p w14:paraId="738B9220"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180</w:t>
            </w:r>
          </w:p>
        </w:tc>
        <w:tc>
          <w:tcPr>
            <w:tcW w:w="1620" w:type="dxa"/>
            <w:tcBorders>
              <w:top w:val="nil"/>
              <w:left w:val="nil"/>
              <w:bottom w:val="single" w:sz="4" w:space="0" w:color="auto"/>
              <w:right w:val="single" w:sz="4" w:space="0" w:color="auto"/>
            </w:tcBorders>
            <w:shd w:val="clear" w:color="auto" w:fill="E7E6E6"/>
            <w:noWrap/>
            <w:vAlign w:val="center"/>
          </w:tcPr>
          <w:p w14:paraId="4C71BED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Aspecific detection of putative Staphylococcal holin-like toxin</w:t>
            </w:r>
          </w:p>
        </w:tc>
        <w:tc>
          <w:tcPr>
            <w:tcW w:w="1530" w:type="dxa"/>
            <w:tcBorders>
              <w:top w:val="nil"/>
              <w:left w:val="nil"/>
              <w:bottom w:val="single" w:sz="4" w:space="0" w:color="auto"/>
              <w:right w:val="single" w:sz="4" w:space="0" w:color="auto"/>
            </w:tcBorders>
            <w:shd w:val="clear" w:color="auto" w:fill="E7E6E6"/>
            <w:noWrap/>
            <w:vAlign w:val="center"/>
          </w:tcPr>
          <w:p w14:paraId="42B27F64" w14:textId="19A7F1F5"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(Cremonesi et al., 2005)</w:t>
            </w:r>
            <w:r w:rsidRPr="006C34E3">
              <w:rPr>
                <w:rFonts w:eastAsia="Times New Roman" w:cs="Times New Roman"/>
                <w:color w:val="000000"/>
                <w:sz w:val="16"/>
                <w:szCs w:val="16"/>
              </w:rPr>
              <w:fldChar w:fldCharType="end"/>
            </w:r>
          </w:p>
        </w:tc>
      </w:tr>
      <w:tr w:rsidR="00F90100" w:rsidRPr="006C34E3" w14:paraId="44987DE7" w14:textId="77777777" w:rsidTr="00C662E9">
        <w:trPr>
          <w:trHeight w:val="288"/>
        </w:trPr>
        <w:tc>
          <w:tcPr>
            <w:tcW w:w="630" w:type="dxa"/>
            <w:vMerge/>
            <w:tcBorders>
              <w:left w:val="single" w:sz="4" w:space="0" w:color="auto"/>
              <w:bottom w:val="single" w:sz="4" w:space="0" w:color="000000"/>
              <w:right w:val="single" w:sz="4" w:space="0" w:color="auto"/>
            </w:tcBorders>
            <w:vAlign w:val="center"/>
          </w:tcPr>
          <w:p w14:paraId="7CABDA7D"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67E9E67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sea-12</w:t>
            </w:r>
          </w:p>
        </w:tc>
        <w:tc>
          <w:tcPr>
            <w:tcW w:w="3690" w:type="dxa"/>
            <w:tcBorders>
              <w:top w:val="nil"/>
              <w:left w:val="nil"/>
              <w:bottom w:val="single" w:sz="4" w:space="0" w:color="auto"/>
              <w:right w:val="single" w:sz="4" w:space="0" w:color="auto"/>
            </w:tcBorders>
            <w:shd w:val="clear" w:color="auto" w:fill="auto"/>
            <w:noWrap/>
            <w:vAlign w:val="center"/>
          </w:tcPr>
          <w:p w14:paraId="133C5DF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AAA GTC CCG ATC AAT TTA TGG CT</w:t>
            </w:r>
          </w:p>
        </w:tc>
        <w:tc>
          <w:tcPr>
            <w:tcW w:w="3780" w:type="dxa"/>
            <w:tcBorders>
              <w:top w:val="nil"/>
              <w:left w:val="nil"/>
              <w:bottom w:val="single" w:sz="4" w:space="0" w:color="auto"/>
              <w:right w:val="single" w:sz="4" w:space="0" w:color="auto"/>
            </w:tcBorders>
            <w:shd w:val="clear" w:color="auto" w:fill="auto"/>
            <w:noWrap/>
            <w:vAlign w:val="center"/>
          </w:tcPr>
          <w:p w14:paraId="0DEEBA8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GTA ATT AAC CGA AGG TTC TGT AGA</w:t>
            </w:r>
          </w:p>
        </w:tc>
        <w:tc>
          <w:tcPr>
            <w:tcW w:w="1620" w:type="dxa"/>
            <w:tcBorders>
              <w:top w:val="nil"/>
              <w:left w:val="nil"/>
              <w:bottom w:val="single" w:sz="4" w:space="0" w:color="auto"/>
              <w:right w:val="single" w:sz="4" w:space="0" w:color="auto"/>
            </w:tcBorders>
            <w:shd w:val="clear" w:color="auto" w:fill="auto"/>
            <w:noWrap/>
            <w:vAlign w:val="center"/>
          </w:tcPr>
          <w:p w14:paraId="1A76C468"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219</w:t>
            </w:r>
          </w:p>
        </w:tc>
        <w:tc>
          <w:tcPr>
            <w:tcW w:w="1620" w:type="dxa"/>
            <w:tcBorders>
              <w:top w:val="nil"/>
              <w:left w:val="nil"/>
              <w:bottom w:val="single" w:sz="4" w:space="0" w:color="auto"/>
              <w:right w:val="single" w:sz="4" w:space="0" w:color="auto"/>
            </w:tcBorders>
            <w:shd w:val="clear" w:color="auto" w:fill="auto"/>
            <w:noWrap/>
            <w:vAlign w:val="center"/>
          </w:tcPr>
          <w:p w14:paraId="59598AD1"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5B2F673D" w14:textId="06A9C7D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{"citationItems":[{"id":"ITEM-1","itemData":{"DOI":"10.1007/BF00240750","ISSN":"01757598","PMID":"1368918","abstract":"By comparison with the DNA sequences coding for Staphylococcus aureus enterotoxins (ents) A, B, C, D and E, oligonucleotides unique to the entA, entD and entE genes were synthesized and used as polymerase-chain-reaction (PCR) primers for the specific detection of type A, D or E enterotoxigenic S. aureus. The relative molecular weights of the PCR products amplified with these primers were 210, 333 and 456 bp, respectively. Despite the high relatedness among these S. aureus enterotoxin genes, each primer pair allows specific detection with total discrimination from other types of enterotoxigenic S. aureus. DNA from non-enterotoxigenic S. aureus or from non-S. aureus would not interfere with the PCR results either. Primers designed for entE detection allow the discrimination of entE strains that when assayed by a serological method might be classified as entA-producing strains. Study of the detection sensitivity showed that by using these primers, DNA from 100 cells of enterotoxigenic S. aureus could be detected unambiguously. When these oligonucleotide primers were used for the detection of S. aureus in foods, 100-101 cells per gram of food could be detected and the naturally contaminating microflora in the food sample did not interfere with the detection. © 1992 Springer-Verlag.","author":[{"dropping-particle":"","family":"Tsen","given":"Hau Yang","non-dropping-particle":"","parse-names":false,"suffix":""},{"dropping-particle":"","family":"Chen","given":"Tong Rong","non-dropping-particle":"","parse-names":false,"suffix":""}],"container-title":"Applied Microbiology and Biotechnology","id":"ITEM-1","issue":"5","issued":{"date-parts":[["1992"]]},"page":"685-690","title":"Use of the polymerase chain reaction for specific detection of type A, D and E enterotoxigenic Staphylococcus aureus in foods","type":"article-journal","volume":"37"},"uris":["http://www.mendeley.com/documents/?uuid=f1106928-64a1-4b68-93a1-d76c2ddabefb"]}],"mendeley":{"formattedCitation":"(Tsen and Chen, 1992)","plainTextFormattedCitation":"(Tsen and Chen, 1992)","previouslyFormattedCitation":"(Tsen and Chen, 1992)"},"properties":{"noteIndex":0},"schema":"https://github.com/citation-style-language/schema/raw/master/csl-citation.json"}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(Tsen and Chen, 1992)</w:t>
            </w:r>
            <w:r w:rsidRPr="006C34E3">
              <w:rPr>
                <w:rFonts w:eastAsia="Times New Roman" w:cs="Times New Roman"/>
                <w:color w:val="000000"/>
                <w:sz w:val="16"/>
                <w:szCs w:val="16"/>
              </w:rPr>
              <w:fldChar w:fldCharType="end"/>
            </w:r>
          </w:p>
        </w:tc>
      </w:tr>
      <w:tr w:rsidR="00F90100" w:rsidRPr="006C34E3" w14:paraId="38BB3F05"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922F297"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seb</w:t>
            </w:r>
          </w:p>
        </w:tc>
        <w:tc>
          <w:tcPr>
            <w:tcW w:w="720" w:type="dxa"/>
            <w:tcBorders>
              <w:top w:val="nil"/>
              <w:left w:val="nil"/>
              <w:bottom w:val="single" w:sz="4" w:space="0" w:color="auto"/>
              <w:right w:val="single" w:sz="4" w:space="0" w:color="auto"/>
            </w:tcBorders>
            <w:shd w:val="clear" w:color="auto" w:fill="auto"/>
            <w:noWrap/>
            <w:vAlign w:val="center"/>
            <w:hideMark/>
          </w:tcPr>
          <w:p w14:paraId="3CC1655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seb-1</w:t>
            </w:r>
          </w:p>
        </w:tc>
        <w:tc>
          <w:tcPr>
            <w:tcW w:w="3690" w:type="dxa"/>
            <w:tcBorders>
              <w:top w:val="nil"/>
              <w:left w:val="nil"/>
              <w:bottom w:val="single" w:sz="4" w:space="0" w:color="auto"/>
              <w:right w:val="single" w:sz="4" w:space="0" w:color="auto"/>
            </w:tcBorders>
            <w:shd w:val="clear" w:color="auto" w:fill="auto"/>
            <w:noWrap/>
            <w:vAlign w:val="center"/>
            <w:hideMark/>
          </w:tcPr>
          <w:p w14:paraId="625AB12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GAT CCT AAA CCA GAT GAG TT</w:t>
            </w:r>
          </w:p>
        </w:tc>
        <w:tc>
          <w:tcPr>
            <w:tcW w:w="3780" w:type="dxa"/>
            <w:tcBorders>
              <w:top w:val="nil"/>
              <w:left w:val="nil"/>
              <w:bottom w:val="single" w:sz="4" w:space="0" w:color="auto"/>
              <w:right w:val="single" w:sz="4" w:space="0" w:color="auto"/>
            </w:tcBorders>
            <w:shd w:val="clear" w:color="auto" w:fill="auto"/>
            <w:noWrap/>
            <w:vAlign w:val="center"/>
            <w:hideMark/>
          </w:tcPr>
          <w:p w14:paraId="4C4BBFA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TTT CGT TTG TCA GTT TGA TG</w:t>
            </w:r>
          </w:p>
        </w:tc>
        <w:tc>
          <w:tcPr>
            <w:tcW w:w="1620" w:type="dxa"/>
            <w:tcBorders>
              <w:top w:val="nil"/>
              <w:left w:val="nil"/>
              <w:bottom w:val="single" w:sz="4" w:space="0" w:color="auto"/>
              <w:right w:val="single" w:sz="4" w:space="0" w:color="auto"/>
            </w:tcBorders>
            <w:shd w:val="clear" w:color="auto" w:fill="auto"/>
            <w:noWrap/>
            <w:vAlign w:val="center"/>
            <w:hideMark/>
          </w:tcPr>
          <w:p w14:paraId="110414E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326</w:t>
            </w:r>
          </w:p>
        </w:tc>
        <w:tc>
          <w:tcPr>
            <w:tcW w:w="1620" w:type="dxa"/>
            <w:tcBorders>
              <w:top w:val="nil"/>
              <w:left w:val="nil"/>
              <w:bottom w:val="single" w:sz="4" w:space="0" w:color="auto"/>
              <w:right w:val="single" w:sz="4" w:space="0" w:color="auto"/>
            </w:tcBorders>
            <w:shd w:val="clear" w:color="auto" w:fill="auto"/>
            <w:noWrap/>
            <w:vAlign w:val="center"/>
            <w:hideMark/>
          </w:tcPr>
          <w:p w14:paraId="64A2B45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0ED3FF3" w14:textId="0179A134"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{"citationItems":[{"id":"ITEM-1","itemData":{"DOI":"10.1111/j.1745-4565.2010.00218.x","ISBN":"9182124736","ISSN":"01496085","abstract":"Staphylococcal enterotoxin B (SEB), toxic shock syndrome, the superantigens are responsible for diseases such as staphylococcal food poisoning and toxic shock syndrome. An easy and quick system is desirable to detect toxin-producing strains. In this report, we described standardization of a novel multiplex-polymerase chain reaction (PCR) assay for simultaneous detection of four important genes associated with the Staphylococcus aureus. viz., SEB. , Tsst. , genus-specific nuclease (nuc. ) and Fem. genes along with an internal amplification control (IAC), which has now become mandatory in diagnostic PCRs, particularly when tested on environmental or food samples. This mPCR method is sensitive enough to detect cells as low as 103 cfu/mL or /g of the food samples. When evaluated on 136 food and environmental samples, the system detected 4 SEB. -positive S. aureus. strains. The S. aureus. strains that have been identified to contain the SEB. gene in the mPCR were unequivocally detected for the toxin expression by the TECRA kit. mPCR produced a 100% correlation with conventional identification method. As SEB. and Tsst. are qualified as biowarfare molecules, this system is of immense help in detecting them during emergencies of biological war and suspected outbreaks of S. aureus. food poisoning directly from the food and environmental samples. © 2010, Wiley Periodicals, Inc.","author":[{"dropping-particle":"","family":"Shylaja","given":"R.","non-dropping-particle":"","parse-names":false,"suffix":""},{"dropping-particle":"","family":"Murali","given":"H.S.","non-dropping-particle":"","parse-names":false,"suffix":""},{"dropping-particle":"","family":"Batra","given":"H.V.","non-dropping-particle":"","parse-names":false,"suffix":""},{"dropping-particle":"","family":"Bawa","given":"A.S.","non-dropping-particle":"","parse-names":false,"suffix":""}],"container-title":"Journal of Food Safety","id":"ITEM-1","issue":"2","issued":{"date-parts":[["2010","5"]]},"page":"443-454","title":"A novel multiplex PCR system for the detection of Staphylococcal enterotoxin B, tsst, nuc and fem genes of Staphylococcus aureus in food system","type":"article-journal","volume":"30"},"uris":["http://www.mendeley.com/documents/?uuid=29b39c50-99d4-4bf4-b904-88bfd355edea"]}],"mendeley":{"formattedCitation":"(Shylaja et al., 2010)","plainTextFormattedCitation":"(Shylaja et al., 2010)","previouslyFormattedCitation":"(Shylaja et al., 2010)"},"properties":{"noteIndex":0},"schema":"https://github.com/citation-style-language/schema/raw/master/csl-citation.json"}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(Shylaja et al., 2010)</w:t>
            </w:r>
            <w:r w:rsidRPr="006C34E3">
              <w:rPr>
                <w:rFonts w:eastAsia="Times New Roman" w:cs="Times New Roman"/>
                <w:color w:val="000000"/>
                <w:sz w:val="16"/>
                <w:szCs w:val="16"/>
              </w:rPr>
              <w:fldChar w:fldCharType="end"/>
            </w:r>
          </w:p>
        </w:tc>
      </w:tr>
      <w:tr w:rsidR="00F90100" w:rsidRPr="006C34E3" w14:paraId="0ED24E15"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026D725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BC75C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seb-2</w:t>
            </w:r>
          </w:p>
        </w:tc>
        <w:tc>
          <w:tcPr>
            <w:tcW w:w="3690" w:type="dxa"/>
            <w:tcBorders>
              <w:top w:val="nil"/>
              <w:left w:val="nil"/>
              <w:bottom w:val="single" w:sz="4" w:space="0" w:color="auto"/>
              <w:right w:val="single" w:sz="4" w:space="0" w:color="auto"/>
            </w:tcBorders>
            <w:shd w:val="clear" w:color="auto" w:fill="auto"/>
            <w:noWrap/>
            <w:vAlign w:val="center"/>
            <w:hideMark/>
          </w:tcPr>
          <w:p w14:paraId="6A365FD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TCG CAT CAA ACT GAC AAA CG</w:t>
            </w:r>
          </w:p>
        </w:tc>
        <w:tc>
          <w:tcPr>
            <w:tcW w:w="3780" w:type="dxa"/>
            <w:tcBorders>
              <w:top w:val="nil"/>
              <w:left w:val="nil"/>
              <w:bottom w:val="single" w:sz="4" w:space="0" w:color="auto"/>
              <w:right w:val="single" w:sz="4" w:space="0" w:color="auto"/>
            </w:tcBorders>
            <w:shd w:val="clear" w:color="auto" w:fill="auto"/>
            <w:noWrap/>
            <w:vAlign w:val="center"/>
            <w:hideMark/>
          </w:tcPr>
          <w:p w14:paraId="4308C5E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GCA GGT ACT CTA TAA GTG CCT GC</w:t>
            </w:r>
          </w:p>
        </w:tc>
        <w:tc>
          <w:tcPr>
            <w:tcW w:w="1620" w:type="dxa"/>
            <w:tcBorders>
              <w:top w:val="nil"/>
              <w:left w:val="nil"/>
              <w:bottom w:val="single" w:sz="4" w:space="0" w:color="auto"/>
              <w:right w:val="single" w:sz="4" w:space="0" w:color="auto"/>
            </w:tcBorders>
            <w:shd w:val="clear" w:color="auto" w:fill="auto"/>
            <w:noWrap/>
            <w:vAlign w:val="center"/>
            <w:hideMark/>
          </w:tcPr>
          <w:p w14:paraId="429D0B3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477</w:t>
            </w:r>
          </w:p>
        </w:tc>
        <w:tc>
          <w:tcPr>
            <w:tcW w:w="1620" w:type="dxa"/>
            <w:tcBorders>
              <w:top w:val="nil"/>
              <w:left w:val="nil"/>
              <w:bottom w:val="single" w:sz="4" w:space="0" w:color="auto"/>
              <w:right w:val="single" w:sz="4" w:space="0" w:color="auto"/>
            </w:tcBorders>
            <w:shd w:val="clear" w:color="auto" w:fill="auto"/>
            <w:noWrap/>
            <w:vAlign w:val="center"/>
            <w:hideMark/>
          </w:tcPr>
          <w:p w14:paraId="1DC4A7E2"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1C694D97" w14:textId="69D82BE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{"citationItems":[{"id":"ITEM-1","itemData":{"DOI":"10.1128/JCM.36.9.2548-2553.1998","ISSN":"0095-1137","PMID":"9705390","abstract":"Two multiplex PCR enzyme immunoassays (PCR-EIAs) were developed for Staphylococcus aureus exotoxin gene screening as an alternative to the conventional biological assays, which depend on detectable amounts of toxins produced. One set of oligonucleotide primers and probes was designed to search for enterotoxin A to E genes ( entA , entB , entC , entD , and entE ), and the other one was designed to detect the staphylococcal exfoliative toxin genes ( eta and etb ) and the toxic shock syndrome toxin 1 gene ( tst ). Oligonucleotide primers were used as published previously, modified or newly developed to meet the requirements of both good size-distinguishable amplification bands of multiplex PCR and the temperature limit of the uracil DNA glycosylase system for carryover protection. Amplification products were visualized by agarose gel electrophoresis, and specificity was controlled with the aid of a DNA EIA system using oligonucleotide probes derived from the sequences of the S. aureus toxin genes. PCR procedures were performed by using template nucleic acids extracted from a panel of S. aureus reference strains and from a collection of 50 clinical strains. The PCR results were compared with those of immunological toxin production assays. This multiplex PCR-EIA system offers an alternative method for the rapid, sensitive, specific, and simultaneous detection of the clinically important exotoxin potency of isolated S. aureus strains for diagnostic purposes as well as research studies.","author":[{"dropping-particle":"","family":"Becker","given":"Karsten","non-dropping-particle":"","parse-names":false,"suffix":""},{"dropping-particle":"","family":"Roth","given":"Ricarda","non-dropping-particle":"","parse-names":false,"suffix":""},{"dropping-particle":"","family":"Peters","given":"Georg","non-dropping-particle":"","parse-names":false,"suffix":""}],"container-title":"Journal of Clinical Microbiology","id":"ITEM-1","issue":"9","issued":{"date-parts":[["1998","9"]]},"page":"2548-2553","title":"Rapid and Specific Detection of Toxigenic Staphylococcus aureus : Use of Two Multiplex PCR Enzyme Immunoassays for Amplification and Hybridization of Staphylococcal Enterotoxin Genes, Exfoliative Toxin Genes, and Toxic Shock Syndrome Toxin 1 Gene","type":"article-journal","volume":"36"},"uris":["http://www.mendeley.com/documents/?uuid=4920ea92-c89c-41c6-8976-82596172d750"]}],"mendeley":{"formattedCitation":"(Becker et al., 1998)","plainTextFormattedCitation":"(Becker et al., 1998)","previouslyFormattedCitation":"(Becker et al., 1998)"},"properties":{"noteIndex":0},"schema":"https://github.com/citation-style-language/schema/raw/master/csl-citation.json"}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(Becker et al., 1998)</w:t>
            </w:r>
            <w:r w:rsidRPr="006C34E3">
              <w:rPr>
                <w:rFonts w:eastAsia="Times New Roman" w:cs="Times New Roman"/>
                <w:color w:val="000000"/>
                <w:sz w:val="16"/>
                <w:szCs w:val="16"/>
              </w:rPr>
              <w:fldChar w:fldCharType="end"/>
            </w:r>
          </w:p>
        </w:tc>
      </w:tr>
      <w:tr w:rsidR="00F90100" w:rsidRPr="006C34E3" w14:paraId="52BDF8BB"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50A464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636288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seb-3</w:t>
            </w:r>
          </w:p>
        </w:tc>
        <w:tc>
          <w:tcPr>
            <w:tcW w:w="3690" w:type="dxa"/>
            <w:tcBorders>
              <w:top w:val="nil"/>
              <w:left w:val="nil"/>
              <w:bottom w:val="single" w:sz="4" w:space="0" w:color="auto"/>
              <w:right w:val="single" w:sz="4" w:space="0" w:color="auto"/>
            </w:tcBorders>
            <w:shd w:val="clear" w:color="auto" w:fill="auto"/>
            <w:noWrap/>
            <w:vAlign w:val="center"/>
            <w:hideMark/>
          </w:tcPr>
          <w:p w14:paraId="46BD484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ATG TAT GGA GGT GTA AC</w:t>
            </w:r>
          </w:p>
        </w:tc>
        <w:tc>
          <w:tcPr>
            <w:tcW w:w="3780" w:type="dxa"/>
            <w:tcBorders>
              <w:top w:val="nil"/>
              <w:left w:val="nil"/>
              <w:bottom w:val="single" w:sz="4" w:space="0" w:color="auto"/>
              <w:right w:val="single" w:sz="4" w:space="0" w:color="auto"/>
            </w:tcBorders>
            <w:shd w:val="clear" w:color="auto" w:fill="auto"/>
            <w:noWrap/>
            <w:vAlign w:val="center"/>
            <w:hideMark/>
          </w:tcPr>
          <w:p w14:paraId="668B0DC8" w14:textId="77777777" w:rsidR="00F90100" w:rsidRPr="00634D63" w:rsidRDefault="00F90100" w:rsidP="00F90100">
            <w:pPr>
              <w:spacing w:before="0" w:after="0"/>
              <w:jc w:val="center"/>
              <w:rPr>
                <w:rFonts w:eastAsia="Times New Roman" w:cs="Times New Roman"/>
                <w:sz w:val="16"/>
                <w:szCs w:val="16"/>
                <w:lang w:val="de-DE"/>
              </w:rPr>
            </w:pPr>
            <w:r w:rsidRPr="00634D63">
              <w:rPr>
                <w:rFonts w:eastAsia="Times New Roman" w:cs="Times New Roman"/>
                <w:sz w:val="16"/>
                <w:szCs w:val="16"/>
                <w:lang w:val="de-DE"/>
              </w:rPr>
              <w:t>ATA GTG ACG AGT TAG GTA</w:t>
            </w:r>
          </w:p>
        </w:tc>
        <w:tc>
          <w:tcPr>
            <w:tcW w:w="1620" w:type="dxa"/>
            <w:tcBorders>
              <w:top w:val="nil"/>
              <w:left w:val="nil"/>
              <w:bottom w:val="single" w:sz="4" w:space="0" w:color="auto"/>
              <w:right w:val="single" w:sz="4" w:space="0" w:color="auto"/>
            </w:tcBorders>
            <w:shd w:val="clear" w:color="auto" w:fill="auto"/>
            <w:noWrap/>
            <w:vAlign w:val="center"/>
            <w:hideMark/>
          </w:tcPr>
          <w:p w14:paraId="7F9C95C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165</w:t>
            </w:r>
          </w:p>
        </w:tc>
        <w:tc>
          <w:tcPr>
            <w:tcW w:w="1620" w:type="dxa"/>
            <w:tcBorders>
              <w:top w:val="nil"/>
              <w:left w:val="nil"/>
              <w:bottom w:val="single" w:sz="4" w:space="0" w:color="auto"/>
              <w:right w:val="single" w:sz="4" w:space="0" w:color="auto"/>
            </w:tcBorders>
            <w:shd w:val="clear" w:color="auto" w:fill="auto"/>
            <w:noWrap/>
            <w:vAlign w:val="center"/>
            <w:hideMark/>
          </w:tcPr>
          <w:p w14:paraId="352A271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D2A81B0" w14:textId="6CA0FD5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{"citationItems":[{"id":"ITEM-1","itemData":{"DOI":"10.1128/AEM.66.4.1347-1353.2000","ISBN":"1159516162","ISSN":"0099-2240","PMID":"10742210","abstract":"We describe here the development of a single-reaction multiplex PCR assay for the enterotoxin genes from Staphylococcus aureus that utilizes a universal toxin gene primer in combination with toxin-specific primers to amplify characteristic toxin gene products. In combination with a new DNA purification method, the assay can detect enterotoxin genes A to E from a pure culture within 3 to 4 h. The test was used to characterize a diverse set of environmental S. aureus isolates, and a 99% correlation with toxin typing using standard immunological tests was found. The design of the assay allows it to be extended to include both newly characterized and as-yet-unknown toxin genes.","author":[{"dropping-particle":"","family":"Sharma","given":"Naresh K.","non-dropping-particle":"","parse-names":false,"suffix":""},{"dropping-particle":"","family":"Rees","given":"Catherine E. D.","non-dropping-particle":"","parse-names":false,"suffix":""},{"dropping-particle":"","family":"Dodd","given":"Christine E. R.","non-dropping-particle":"","parse-names":false,"suffix":""}],"container-title":"Applied and Environmental Microbiology","id":"ITEM-1","issue":"4","issued":{"date-parts":[["2000","4"]]},"page":"1347-1353","title":"Development of a Single-Reaction Multiplex PCR Toxin Typing Assay for Staphylococcus aureus Strains","type":"article-journal","volume":"66"},"uris":["http://www.mendeley.com/documents/?uuid=837f2478-e0d2-497a-9286-ee28290d960a"]}],"mendeley":{"formattedCitation":"(Sharma et al., 2000)","plainTextFormattedCitation":"(Sharma et al., 2000)","previouslyFormattedCitation":"(Sharma et al., 2000)"},"properties":{"noteIndex":0},"schema":"https://github.com/citation-style-language/schema/raw/master/csl-citation.json"}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(Sharma et al., 2000)</w:t>
            </w:r>
            <w:r w:rsidRPr="006C34E3">
              <w:rPr>
                <w:rFonts w:eastAsia="Times New Roman" w:cs="Times New Roman"/>
                <w:color w:val="000000"/>
                <w:sz w:val="16"/>
                <w:szCs w:val="16"/>
              </w:rPr>
              <w:fldChar w:fldCharType="end"/>
            </w:r>
          </w:p>
        </w:tc>
      </w:tr>
      <w:tr w:rsidR="00F90100" w:rsidRPr="006C34E3" w14:paraId="357A0AA6"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5CFBF5D3"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9127BF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seb-4</w:t>
            </w:r>
          </w:p>
        </w:tc>
        <w:tc>
          <w:tcPr>
            <w:tcW w:w="3690" w:type="dxa"/>
            <w:tcBorders>
              <w:top w:val="nil"/>
              <w:left w:val="nil"/>
              <w:bottom w:val="single" w:sz="4" w:space="0" w:color="auto"/>
              <w:right w:val="single" w:sz="4" w:space="0" w:color="auto"/>
            </w:tcBorders>
            <w:shd w:val="clear" w:color="auto" w:fill="auto"/>
            <w:noWrap/>
            <w:vAlign w:val="center"/>
            <w:hideMark/>
          </w:tcPr>
          <w:p w14:paraId="652A842D"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GTA TGG TGG TGT AAC TGA GCA</w:t>
            </w:r>
          </w:p>
        </w:tc>
        <w:tc>
          <w:tcPr>
            <w:tcW w:w="3780" w:type="dxa"/>
            <w:tcBorders>
              <w:top w:val="nil"/>
              <w:left w:val="nil"/>
              <w:bottom w:val="single" w:sz="4" w:space="0" w:color="auto"/>
              <w:right w:val="single" w:sz="4" w:space="0" w:color="auto"/>
            </w:tcBorders>
            <w:shd w:val="clear" w:color="auto" w:fill="auto"/>
            <w:noWrap/>
            <w:vAlign w:val="center"/>
            <w:hideMark/>
          </w:tcPr>
          <w:p w14:paraId="2B1D9D3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TCA ATC TTC ACA TCT TTA GAA TCA</w:t>
            </w:r>
          </w:p>
        </w:tc>
        <w:tc>
          <w:tcPr>
            <w:tcW w:w="1620" w:type="dxa"/>
            <w:tcBorders>
              <w:top w:val="nil"/>
              <w:left w:val="nil"/>
              <w:bottom w:val="single" w:sz="4" w:space="0" w:color="auto"/>
              <w:right w:val="single" w:sz="4" w:space="0" w:color="auto"/>
            </w:tcBorders>
            <w:shd w:val="clear" w:color="auto" w:fill="auto"/>
            <w:noWrap/>
            <w:vAlign w:val="center"/>
            <w:hideMark/>
          </w:tcPr>
          <w:p w14:paraId="2A2461C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351</w:t>
            </w:r>
          </w:p>
        </w:tc>
        <w:tc>
          <w:tcPr>
            <w:tcW w:w="1620" w:type="dxa"/>
            <w:tcBorders>
              <w:top w:val="nil"/>
              <w:left w:val="nil"/>
              <w:bottom w:val="single" w:sz="4" w:space="0" w:color="auto"/>
              <w:right w:val="single" w:sz="4" w:space="0" w:color="auto"/>
            </w:tcBorders>
            <w:shd w:val="clear" w:color="auto" w:fill="auto"/>
            <w:noWrap/>
            <w:vAlign w:val="center"/>
            <w:hideMark/>
          </w:tcPr>
          <w:p w14:paraId="50C6F3BE"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7B819690" w14:textId="2AEBA49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{"citationItems":[{"id":"ITEM-1","itemData":{"DOI":"10.1016/j.vetmic.2010.06.021","ISSN":"03781135","PMID":"20667668","abstract":"The coagulase-negative staphylococci (CNS) are the most prevalent mastitis pathogen group yet their virulence characteristics have not been well described. We investigated the presence of 19 classical and newly described staphylococcal superantigen (SAg) genes in CNS isolates from bovine intramammary infections (IMI). A total of 263 CNS representing 11 different Staphylococcus spp. were examined, and 31.2% (n= 82) of CNS isolates had one or more SAg genes; there were 21 different SAg gene combinations. The most prevalent combination of SAg genes (seb, seln and selq; n= 45) was found in S. chromogenes, S. xylosus, S. haemolyticus, S. sciuri subsp. carnaticus, S. simulans and S. succinus. The genes for SAgs appear to be widely distributed amongst CNS isolated from bovine IMI. © 2010 Elsevier B.V.","author":[{"dropping-particle":"","family":"Park","given":"Joo Youn","non-dropping-particle":"","parse-names":false,"suffix":""},{"dropping-particle":"","family":"Fox","given":"Lawrence K.","non-dropping-particle":"","parse-names":false,"suffix":""},{"dropping-particle":"","family":"Seo","given":"Keun Seok","non-dropping-particle":"","parse-names":false,"suffix":""},{"dropping-particle":"","family":"McGuire","given":"Mark A.","non-dropping-particle":"","parse-names":false,"suffix":""},{"dropping-particle":"","family":"Park","given":"Yong Ho","non-dropping-particle":"","parse-names":false,"suffix":""},{"dropping-particle":"","family":"Rurangirwa","given":"Fred R.","non-dropping-particle":"","parse-names":false,"suffix":""},{"dropping-particle":"","family":"Sischo","given":"William M.","non-dropping-particle":"","parse-names":false,"suffix":""},{"dropping-particle":"","family":"Bohach","given":"Gregory A.","non-dropping-particle":"","parse-names":false,"suffix":""}],"container-title":"Veterinary Microbiology","id":"ITEM-1","issue":"1-2","issued":{"date-parts":[["2011"]]},"page":"149-154","publisher":"Elsevier B.V.","title":"Detection of classical and newly described staphylococcal superantigen genes in coagulase-negative staphylococci isolated from bovine intramammary infections","type":"article-journal","volume":"147"},"uris":["http://www.mendeley.com/documents/?uuid=9afd5eb4-7cc0-44e6-a295-72bf1ca90bc5"]}],"mendeley":{"formattedCitation":"(Park et al., 2011)","plainTextFormattedCitation":"(Park et al., 2011)","previouslyFormattedCitation":"(Park et al., 2011)"},"properties":{"noteIndex":0},"schema":"https://github.com/citation-style-language/schema/raw/master/csl-citation.json"}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(Park et al., 2011)</w:t>
            </w:r>
            <w:r w:rsidRPr="006C34E3">
              <w:rPr>
                <w:rFonts w:eastAsia="Times New Roman" w:cs="Times New Roman"/>
                <w:color w:val="000000"/>
                <w:sz w:val="16"/>
                <w:szCs w:val="16"/>
              </w:rPr>
              <w:fldChar w:fldCharType="end"/>
            </w:r>
          </w:p>
        </w:tc>
      </w:tr>
      <w:tr w:rsidR="00F90100" w:rsidRPr="006C34E3" w14:paraId="135EA255"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5F7515B"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BF8DBB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seb-5</w:t>
            </w:r>
          </w:p>
        </w:tc>
        <w:tc>
          <w:tcPr>
            <w:tcW w:w="3690" w:type="dxa"/>
            <w:tcBorders>
              <w:top w:val="nil"/>
              <w:left w:val="nil"/>
              <w:bottom w:val="single" w:sz="4" w:space="0" w:color="auto"/>
              <w:right w:val="single" w:sz="4" w:space="0" w:color="auto"/>
            </w:tcBorders>
            <w:shd w:val="clear" w:color="auto" w:fill="auto"/>
            <w:noWrap/>
            <w:vAlign w:val="center"/>
            <w:hideMark/>
          </w:tcPr>
          <w:p w14:paraId="3512A6AC"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GTA TGG TGG TGT AAC TGA GC</w:t>
            </w:r>
          </w:p>
        </w:tc>
        <w:tc>
          <w:tcPr>
            <w:tcW w:w="3780" w:type="dxa"/>
            <w:tcBorders>
              <w:top w:val="nil"/>
              <w:left w:val="nil"/>
              <w:bottom w:val="single" w:sz="4" w:space="0" w:color="auto"/>
              <w:right w:val="single" w:sz="4" w:space="0" w:color="auto"/>
            </w:tcBorders>
            <w:shd w:val="clear" w:color="auto" w:fill="auto"/>
            <w:noWrap/>
            <w:vAlign w:val="center"/>
            <w:hideMark/>
          </w:tcPr>
          <w:p w14:paraId="2790D320" w14:textId="77777777" w:rsidR="00F90100" w:rsidRPr="00634D63" w:rsidRDefault="00F90100" w:rsidP="00F90100">
            <w:pPr>
              <w:spacing w:before="0" w:after="0"/>
              <w:jc w:val="center"/>
              <w:rPr>
                <w:rFonts w:eastAsia="Times New Roman" w:cs="Times New Roman"/>
                <w:color w:val="000000"/>
                <w:sz w:val="16"/>
                <w:szCs w:val="16"/>
              </w:rPr>
            </w:pPr>
            <w:r w:rsidRPr="00634D63">
              <w:rPr>
                <w:rFonts w:eastAsia="Times New Roman" w:cs="Times New Roman"/>
                <w:color w:val="000000"/>
                <w:sz w:val="16"/>
                <w:szCs w:val="16"/>
              </w:rPr>
              <w:t>CCA AAT AGT GAC GAG TTA GG</w:t>
            </w:r>
          </w:p>
        </w:tc>
        <w:tc>
          <w:tcPr>
            <w:tcW w:w="1620" w:type="dxa"/>
            <w:tcBorders>
              <w:top w:val="nil"/>
              <w:left w:val="nil"/>
              <w:bottom w:val="single" w:sz="4" w:space="0" w:color="auto"/>
              <w:right w:val="single" w:sz="4" w:space="0" w:color="auto"/>
            </w:tcBorders>
            <w:shd w:val="clear" w:color="auto" w:fill="auto"/>
            <w:noWrap/>
            <w:vAlign w:val="center"/>
            <w:hideMark/>
          </w:tcPr>
          <w:p w14:paraId="7A0046C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164</w:t>
            </w:r>
          </w:p>
        </w:tc>
        <w:tc>
          <w:tcPr>
            <w:tcW w:w="1620" w:type="dxa"/>
            <w:tcBorders>
              <w:top w:val="nil"/>
              <w:left w:val="nil"/>
              <w:bottom w:val="single" w:sz="4" w:space="0" w:color="auto"/>
              <w:right w:val="single" w:sz="4" w:space="0" w:color="auto"/>
            </w:tcBorders>
            <w:shd w:val="clear" w:color="auto" w:fill="auto"/>
            <w:noWrap/>
            <w:vAlign w:val="center"/>
            <w:hideMark/>
          </w:tcPr>
          <w:p w14:paraId="77A7CCB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7B6601C3" w14:textId="7BD3E545"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{"citationItems":[{"id":"ITEM-1","itemData":{"DOI":"10.1128/JCM.38.3.1032-1035.2000","ISSN":"0095-1137","PMID":"10698991","abstract":"A multiplex PCR assay for detection of genes for staphylococcal enterotoxins A to E ( entA , entB , entC , entD , and entE ), toxic shock syndrome toxin 1 ( tst ), exfoliative toxins A and B ( etaA and etaB ), and intrinsic methicillin resistance ( mecA ) was developed. Detection of femA was used as an internal positive control. The multiplex PCR assay combined the primers for sea to see and femA in one set and those for eta , etb , tst , mecA , and femA in the other set. Validation of the assay was performed using 176 human isolates of Staphylococcus aureus . This assay offers a very specific, quick, reliable, and inexpensive alternative to conventional PCR assays used in clinical laboratories to identify various staphylococcal toxin genes.","author":[{"dropping-particle":"","family":"Mehrotra","given":"Manisha","non-dropping-particle":"","parse-names":false,"suffix":""},{"dropping-particle":"","family":"Wang","given":"Gehua","non-dropping-particle":"","parse-names":false,"suffix":""},{"dropping-particle":"","family":"Johnson","given":"Wendy M.","non-dropping-particle":"","parse-names":false,"suffix":""}],"container-title":"Journal of Clinical Microbiology","id":"ITEM-1","issue":"3","issued":{"date-parts":[["2000","3"]]},"page":"1032-1035","title":"Multiplex PCR for Detection of Genes for Staphylococcus aureus Enterotoxins, Exfoliative Toxins, Toxic Shock Syndrome Toxin 1, and Methicillin Resistance","type":"article-journal","volume":"38"},"uris":["http://www.mendeley.com/documents/?uuid=a76480ad-cab3-40cb-a0c4-28af1ee8fe04"]},{"id":"ITEM-2","itemData":{"DOI":"10.3389/fmicb.2015.00882","ISSN":"1664-302X","abstract":"Staphylococcal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MLVA","type":"article-journal","volume":"6"},"uris":["http://www.mendeley.com/documents/?uuid=fc1715b7-49a3-4430-b1bf-38feeadd5075"]}],"mendeley":{"formattedCitation":"(Mehrotra et al., 2000; Roussel et al., 2015)","plainTextFormattedCitation":"(Mehrotra et al., 2000; Roussel et al., 2015)","previouslyFormattedCitation":"(Mehrotra et al., 2000;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(Mehrotra et al., 2000; Roussel et al., 2015)</w:t>
            </w:r>
            <w:r w:rsidRPr="006C34E3">
              <w:rPr>
                <w:rFonts w:eastAsia="Times New Roman" w:cs="Times New Roman"/>
                <w:color w:val="000000"/>
                <w:sz w:val="16"/>
                <w:szCs w:val="16"/>
              </w:rPr>
              <w:fldChar w:fldCharType="end"/>
            </w:r>
          </w:p>
        </w:tc>
      </w:tr>
      <w:tr w:rsidR="00F90100" w:rsidRPr="006C34E3" w14:paraId="508C0CDA"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086608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E32307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seb-6</w:t>
            </w:r>
          </w:p>
        </w:tc>
        <w:tc>
          <w:tcPr>
            <w:tcW w:w="3690" w:type="dxa"/>
            <w:tcBorders>
              <w:top w:val="nil"/>
              <w:left w:val="nil"/>
              <w:bottom w:val="single" w:sz="4" w:space="0" w:color="auto"/>
              <w:right w:val="single" w:sz="4" w:space="0" w:color="auto"/>
            </w:tcBorders>
            <w:shd w:val="clear" w:color="auto" w:fill="auto"/>
            <w:noWrap/>
            <w:vAlign w:val="center"/>
            <w:hideMark/>
          </w:tcPr>
          <w:p w14:paraId="56798CF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TGA TGA TAA TCA TGT ATC AGC A</w:t>
            </w:r>
          </w:p>
        </w:tc>
        <w:tc>
          <w:tcPr>
            <w:tcW w:w="3780" w:type="dxa"/>
            <w:tcBorders>
              <w:top w:val="nil"/>
              <w:left w:val="nil"/>
              <w:bottom w:val="single" w:sz="4" w:space="0" w:color="auto"/>
              <w:right w:val="single" w:sz="4" w:space="0" w:color="auto"/>
            </w:tcBorders>
            <w:shd w:val="clear" w:color="auto" w:fill="auto"/>
            <w:noWrap/>
            <w:vAlign w:val="center"/>
            <w:hideMark/>
          </w:tcPr>
          <w:p w14:paraId="1021836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ACG GCG ACA CAG TAA CTA TCC A</w:t>
            </w:r>
          </w:p>
        </w:tc>
        <w:tc>
          <w:tcPr>
            <w:tcW w:w="1620" w:type="dxa"/>
            <w:tcBorders>
              <w:top w:val="nil"/>
              <w:left w:val="nil"/>
              <w:bottom w:val="single" w:sz="4" w:space="0" w:color="auto"/>
              <w:right w:val="single" w:sz="4" w:space="0" w:color="auto"/>
            </w:tcBorders>
            <w:shd w:val="clear" w:color="auto" w:fill="auto"/>
            <w:noWrap/>
            <w:vAlign w:val="center"/>
            <w:hideMark/>
          </w:tcPr>
          <w:p w14:paraId="70BAA53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851</w:t>
            </w:r>
          </w:p>
        </w:tc>
        <w:tc>
          <w:tcPr>
            <w:tcW w:w="1620" w:type="dxa"/>
            <w:tcBorders>
              <w:top w:val="nil"/>
              <w:left w:val="nil"/>
              <w:bottom w:val="single" w:sz="4" w:space="0" w:color="auto"/>
              <w:right w:val="single" w:sz="4" w:space="0" w:color="auto"/>
            </w:tcBorders>
            <w:shd w:val="clear" w:color="auto" w:fill="auto"/>
            <w:noWrap/>
            <w:vAlign w:val="center"/>
            <w:hideMark/>
          </w:tcPr>
          <w:p w14:paraId="4360FB8F"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7A9F6900" w14:textId="5EB915D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{"citationItems":[{"id":"ITEM-1","itemData":{"DOI":"10.3390/toxins8060169","ISSN":"2072-6651","PMID":"27258311","abstract":"Ingestion of staphylococcal enterotoxins preformed by Staphylococcus aureus in food leads to staphylococcal food poisoning, the most prevalent foodborne intoxication worldwide. There are five major staphylococcal enterotoxins: SEA, SEB, SEC, SED, and SEE. While variants of these toxins have been described and were linked to specific hosts or levels or enterotoxin production, data on sequence variation is still limited. In this study, we aim to extend the knowledge on promoter and gene variants of the major enterotoxins SEB, SEC, and SED. To this end, we determined seb, sec, and sed promoter and gene sequences of a well-characterized set of enterotoxigenic Staphylococcus aureus strains originating from foodborne outbreaks, human infections, human nasal colonization, rabbits, and cattle. New nucleotide sequence variants were detected for all three enterotoxins and a novel amino acid sequence variant of SED was detected in a strain associated with human nasal colonization. While the seb promoter and gene sequences exhibited a high degree of variability, the sec and sed promoter and gene were more conserved. Interestingly, a truncated variant of sed was detected in all tested sed harboring rabbit strains. The generated data represents a further step towards improved understanding of strain-specific differences in enterotoxin expression and host-specific variation in enterotoxin sequences.","author":[{"dropping-particle":"","family":"Johler","given":"Sophia","non-dropping-particle":"","parse-names":false,"suffix":""},{"dropping-particle":"","family":"Sihto","given":"Henna-Maria","non-dropping-particle":"","parse-names":false,"suffix":""},{"dropping-particle":"","family":"Macori","given":"Guerrino","non-dropping-particle":"","parse-names":false,"suffix":""},{"dropping-particle":"","family":"Stephan","given":"Roger","non-dropping-particle":"","parse-names":false,"suffix":""}],"container-title":"Toxins","id":"ITEM-1","issue":"6","issued":{"date-parts":[["2016","6","1"]]},"page":"169","title":"Sequence Variability in Staphylococcal Enterotoxin Genes seb, sec, and sed","type":"article-journal","volume":"8"},"uris":["http://www.mendeley.com/documents/?uuid=d68cca5d-8e85-4314-a30c-6b17e28c7ea3"]}],"mendeley":{"formattedCitation":"(Johler et al., 2016)","plainTextFormattedCitation":"(Johler et al., 2016)","previouslyFormattedCitation":"(Johler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(Johler et al., 2016)</w:t>
            </w:r>
            <w:r w:rsidRPr="006C34E3">
              <w:rPr>
                <w:rFonts w:eastAsia="Times New Roman" w:cs="Times New Roman"/>
                <w:color w:val="000000"/>
                <w:sz w:val="16"/>
                <w:szCs w:val="16"/>
              </w:rPr>
              <w:fldChar w:fldCharType="end"/>
            </w:r>
          </w:p>
        </w:tc>
      </w:tr>
      <w:tr w:rsidR="00F90100" w:rsidRPr="006C34E3" w14:paraId="3C4AFFEC"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7D5D7BF"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1C277F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seb-7</w:t>
            </w:r>
          </w:p>
        </w:tc>
        <w:tc>
          <w:tcPr>
            <w:tcW w:w="3690" w:type="dxa"/>
            <w:tcBorders>
              <w:top w:val="nil"/>
              <w:left w:val="nil"/>
              <w:bottom w:val="single" w:sz="4" w:space="0" w:color="auto"/>
              <w:right w:val="single" w:sz="4" w:space="0" w:color="auto"/>
            </w:tcBorders>
            <w:shd w:val="clear" w:color="auto" w:fill="auto"/>
            <w:noWrap/>
            <w:vAlign w:val="center"/>
            <w:hideMark/>
          </w:tcPr>
          <w:p w14:paraId="2C81978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TCG CAT CAA ACT GAC AAA CG</w:t>
            </w:r>
          </w:p>
        </w:tc>
        <w:tc>
          <w:tcPr>
            <w:tcW w:w="3780" w:type="dxa"/>
            <w:tcBorders>
              <w:top w:val="nil"/>
              <w:left w:val="nil"/>
              <w:bottom w:val="single" w:sz="4" w:space="0" w:color="auto"/>
              <w:right w:val="single" w:sz="4" w:space="0" w:color="auto"/>
            </w:tcBorders>
            <w:shd w:val="clear" w:color="auto" w:fill="auto"/>
            <w:noWrap/>
            <w:vAlign w:val="center"/>
            <w:hideMark/>
          </w:tcPr>
          <w:p w14:paraId="029DCFA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GCA GGT ACT CTA TAA GTG CC</w:t>
            </w:r>
          </w:p>
        </w:tc>
        <w:tc>
          <w:tcPr>
            <w:tcW w:w="1620" w:type="dxa"/>
            <w:tcBorders>
              <w:top w:val="nil"/>
              <w:left w:val="nil"/>
              <w:bottom w:val="single" w:sz="4" w:space="0" w:color="auto"/>
              <w:right w:val="single" w:sz="4" w:space="0" w:color="auto"/>
            </w:tcBorders>
            <w:shd w:val="clear" w:color="auto" w:fill="auto"/>
            <w:noWrap/>
            <w:vAlign w:val="center"/>
            <w:hideMark/>
          </w:tcPr>
          <w:p w14:paraId="7B33544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478</w:t>
            </w:r>
          </w:p>
        </w:tc>
        <w:tc>
          <w:tcPr>
            <w:tcW w:w="1620" w:type="dxa"/>
            <w:tcBorders>
              <w:top w:val="nil"/>
              <w:left w:val="nil"/>
              <w:bottom w:val="single" w:sz="4" w:space="0" w:color="auto"/>
              <w:right w:val="single" w:sz="4" w:space="0" w:color="auto"/>
            </w:tcBorders>
            <w:shd w:val="clear" w:color="auto" w:fill="auto"/>
            <w:noWrap/>
            <w:vAlign w:val="center"/>
            <w:hideMark/>
          </w:tcPr>
          <w:p w14:paraId="7B357DF0"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4E2D560D" w14:textId="2108723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{"citationItems":[{"id":"ITEM-1","itemData":{"DOI":"10.1128/jcm.29.3.426-430.1991","ISSN":"00951137","PMID":"2037659","abstract":"Eight pairs of synthetic oligonucleotide primers were used in a polymerase chain reaction (PCR) protocol to detect genes for staphylococcal enterotoxins A to E, exfoliative toxins A and B, and toxic shock syndrome toxin 1 in Staphylococcus aureus strains isolated from clinical specimens and contaminated foods. Primers were targeted to internal regions of the toxin genes, and amplification fragments were detected after the PCR by agarose gel electrophoresis. Unequivocal discrimination of toxin genes was obtained by the PCR by using nucleic acids extracted from 88 strains of S. aureus whose toxigenicity was established biologically and immunologically. In immunological assays, two strains of S. aureus produced equivocal results for production of enterotoxin C or toxic shock syndrome toxin 1, giving an overall concordance between phenotypic and genotypic identification of 97.7%. Primer specificity was established in the PCR by using nucleic acids from known toxin-producing bacterial pathogens and from nontoxigenic S. aureus. Strains of Streptococcus spp., including some producers of pyrogenic exotoxin A carrying the speA gene, were negative by the PCR designed to detect staphylococcal toxins. The detection limits were established for all the staphylococcal toxin genes within their respective PCR protocols. The identification of staphylococcal toxin genes in strains of S. aureus by the PCR offers a very specific, sensitive, relatively rapid, and inexpensive alternative to traditional immunological assays which depend on adequate gene expression for reliability and sensitivity.","author":[{"dropping-particle":"","family":"Johnson","given":"W. M.","non-dropping-particle":"","parse-names":false,"suffix":""},{"dropping-particle":"","family":"Tyler","given":"S. D.","non-dropping-particle":"","parse-names":false,"suffix":""},{"dropping-particle":"","family":"Ewan","given":"E. P.","non-dropping-particle":"","parse-names":false,"suffix":""},{"dropping-particle":"","family":"Ashton","given":"F. E.","non-dropping-particle":"","parse-names":false,"suffix":""},{"dropping-particle":"","family":"Pollard","given":"D. R.","non-dropping-particle":"","parse-names":false,"suffix":""},{"dropping-particle":"","family":"Rozee","given":"K. R.","non-dropping-particle":"","parse-names":false,"suffix":""}],"container-title":"Journal of Clinical Microbiology","id":"ITEM-1","issue":"3","issued":{"date-parts":[["1991"]]},"page":"426-430","title":"Detection of genes for enterotoxins, exfoliative toxins, and toxic shock syndrome toxin 1 in Staphylococcus aureus by the polymerase chain reaction","type":"article-journal","volume":"29"},"uris":["http://www.mendeley.com/documents/?uuid=6cd21d50-b015-46de-ae8a-e0719fc0471f"]}],"mendeley":{"formattedCitation":"(Johnson et al., 1991)","plainTextFormattedCitation":"(Johnson et al., 1991)","previouslyFormattedCitation":"(Johnson et al., 1991)"},"properties":{"noteIndex":0},"schema":"https://github.com/citation-style-language/schema/raw/master/csl-citation.json"}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(Johnson et al., 1991)</w:t>
            </w:r>
            <w:r w:rsidRPr="006C34E3">
              <w:rPr>
                <w:rFonts w:eastAsia="Times New Roman" w:cs="Times New Roman"/>
                <w:color w:val="000000"/>
                <w:sz w:val="16"/>
                <w:szCs w:val="16"/>
              </w:rPr>
              <w:fldChar w:fldCharType="end"/>
            </w:r>
          </w:p>
        </w:tc>
      </w:tr>
      <w:tr w:rsidR="00F90100" w:rsidRPr="006C34E3" w14:paraId="42AE71D8"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448DA5A"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9ED6B7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seb-8</w:t>
            </w:r>
          </w:p>
        </w:tc>
        <w:tc>
          <w:tcPr>
            <w:tcW w:w="3690" w:type="dxa"/>
            <w:tcBorders>
              <w:top w:val="nil"/>
              <w:left w:val="nil"/>
              <w:bottom w:val="single" w:sz="4" w:space="0" w:color="auto"/>
              <w:right w:val="single" w:sz="4" w:space="0" w:color="auto"/>
            </w:tcBorders>
            <w:shd w:val="clear" w:color="auto" w:fill="auto"/>
            <w:noWrap/>
            <w:vAlign w:val="center"/>
            <w:hideMark/>
          </w:tcPr>
          <w:p w14:paraId="4440739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GTA TAA GAG ATT ATT TAT TTC ACA TG</w:t>
            </w:r>
          </w:p>
        </w:tc>
        <w:tc>
          <w:tcPr>
            <w:tcW w:w="3780" w:type="dxa"/>
            <w:tcBorders>
              <w:top w:val="nil"/>
              <w:left w:val="nil"/>
              <w:bottom w:val="single" w:sz="4" w:space="0" w:color="auto"/>
              <w:right w:val="single" w:sz="4" w:space="0" w:color="auto"/>
            </w:tcBorders>
            <w:shd w:val="clear" w:color="auto" w:fill="auto"/>
            <w:noWrap/>
            <w:vAlign w:val="center"/>
            <w:hideMark/>
          </w:tcPr>
          <w:p w14:paraId="77A067D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TAT ATT AAG TCA AAG TAT AGA AAT TG</w:t>
            </w:r>
          </w:p>
        </w:tc>
        <w:tc>
          <w:tcPr>
            <w:tcW w:w="1620" w:type="dxa"/>
            <w:tcBorders>
              <w:top w:val="nil"/>
              <w:left w:val="nil"/>
              <w:bottom w:val="single" w:sz="4" w:space="0" w:color="auto"/>
              <w:right w:val="single" w:sz="4" w:space="0" w:color="auto"/>
            </w:tcBorders>
            <w:shd w:val="clear" w:color="auto" w:fill="auto"/>
            <w:noWrap/>
            <w:vAlign w:val="center"/>
            <w:hideMark/>
          </w:tcPr>
          <w:p w14:paraId="5FBD5F9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231</w:t>
            </w:r>
          </w:p>
        </w:tc>
        <w:tc>
          <w:tcPr>
            <w:tcW w:w="1620" w:type="dxa"/>
            <w:tcBorders>
              <w:top w:val="nil"/>
              <w:left w:val="nil"/>
              <w:bottom w:val="single" w:sz="4" w:space="0" w:color="auto"/>
              <w:right w:val="single" w:sz="4" w:space="0" w:color="auto"/>
            </w:tcBorders>
            <w:shd w:val="clear" w:color="auto" w:fill="auto"/>
            <w:noWrap/>
            <w:vAlign w:val="center"/>
            <w:hideMark/>
          </w:tcPr>
          <w:p w14:paraId="7F097A5F"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9A89024" w14:textId="0EA0DE5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{"citationItems":[{"id":"ITEM-1","itemData":{"DOI":"10.1099/00222615-47-4-335","ISSN":"0022-2615","PMID":"9569000","abstract":"As well as conventional methods such as immunodiffusion, ELISA, or agglutination for the detection of toxin production in Staphylococcus aureus, amplification techniques like PCR allow a very sensitive and specific identification of the genes responsible for enterotoxin B and C, and TSST-1 production. These toxins might be a cause of the toxic shock syndrome (TSS). For that reason an easy and quick test system for determining the toxin production pattern of S. aureus isolates is desirable so that strains suspected to be toxin producers may be identified much faster and easier. In the present investigation, a new multiplex-PCR method was used that allowed single bacterial colonies grown on agar plates to be used directly in the PCR assay without preceding preparation. This procedure generated information concerning the presence of seb, sec-1 and tst genes within 4 h in a single test. To analyse the sensitivity and the specificity of this procedure, 100 methicillin-resistant S. aureus (MRSA), 50 coagulase-negative staphylococci and 50 other eubacterial isolates were tested initially with sets of single primer pairs followed by a combined multiplex-PCR. Results of this amplification technique were compared to a conventional and widely used method for toxin detection, reversed passive latex agglutination (RPLA). With the RPLA assay results as the basis, sensitivity and specificity of the seb and tst primer sets were 100%, whereas sensitivity and specificity of the sec-1 primer set were 100% and 82%, respectively. With the sec-1 primer set, two isolates were identified as carrying the corresponding toxin gene although the RPLA test did not show any detectable toxin. The multipler-PCR rapidly generated reliable information concerning the toxin-producing capacity of staphylococcal strains and could be easily integrated into a multiplex procedure described previously. The latter enabled the identification of specific PCR products for eubacteria and staphylococci as well as the detection of the coa and mecA genes.","author":[{"dropping-particle":"","family":"Schmitz","given":"F.-J.","non-dropping-particle":"","parse-names":false,"suffix":""},{"dropping-particle":"","family":"Steiert","given":"M.","non-dropping-particle":"","parse-names":false,"suffix":""},{"dropping-particle":"","family":"Hofmann","given":"B.","non-dropping-particle":"","parse-names":false,"suffix":""},{"dropping-particle":"","family":"Verhoef","given":"J.","non-dropping-particle":"","parse-names":false,"suffix":""},{"dropping-particle":"","family":"Hadding","given":"U.","non-dropping-particle":"","parse-names":false,"suffix":""},{"dropping-particle":"","family":"Heinz","given":"H.-P.","non-dropping-particle":"","parse-names":false,"suffix":""},{"dropping-particle":"","family":"Kohrer","given":"K.","non-dropping-particle":"","parse-names":false,"suffix":""}],"container-title":"Journal of Medical Microbiology","id":"ITEM-1","issue":"4","issued":{"date-parts":[["1998","4","1"]]},"page":"335-340","title":"Development of a multiplex-PCR for direct detection of the genes for enterotoxin B and C, and toxic shock syndrome toxin-1 in Staphylococcus aureus isolates","type":"article-journal","volume":"47"},"uris":["http://www.mendeley.com/documents/?uuid=b43a9697-a955-4269-bd1e-a4bf99f8e670"]}],"mendeley":{"formattedCitation":"(Schmitz et al., 1998)","plainTextFormattedCitation":"(Schmitz et al., 1998)","previouslyFormattedCitation":"(Schmitz et al., 1998)"},"properties":{"noteIndex":0},"schema":"https://github.com/citation-style-language/schema/raw/master/csl-citation.json"}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(Schmitz et al., 1998)</w:t>
            </w:r>
            <w:r w:rsidRPr="006C34E3">
              <w:rPr>
                <w:rFonts w:eastAsia="Times New Roman" w:cs="Times New Roman"/>
                <w:color w:val="000000"/>
                <w:sz w:val="16"/>
                <w:szCs w:val="16"/>
              </w:rPr>
              <w:fldChar w:fldCharType="end"/>
            </w:r>
          </w:p>
        </w:tc>
      </w:tr>
      <w:tr w:rsidR="00F90100" w:rsidRPr="006C34E3" w14:paraId="5E4FA4A9"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952513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602C4C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seb-9</w:t>
            </w:r>
          </w:p>
        </w:tc>
        <w:tc>
          <w:tcPr>
            <w:tcW w:w="3690" w:type="dxa"/>
            <w:tcBorders>
              <w:top w:val="nil"/>
              <w:left w:val="nil"/>
              <w:bottom w:val="single" w:sz="4" w:space="0" w:color="auto"/>
              <w:right w:val="single" w:sz="4" w:space="0" w:color="auto"/>
            </w:tcBorders>
            <w:shd w:val="clear" w:color="auto" w:fill="auto"/>
            <w:noWrap/>
            <w:vAlign w:val="center"/>
            <w:hideMark/>
          </w:tcPr>
          <w:p w14:paraId="53450F8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CTA TTA AGG ACA CTA AGT TAG GGA</w:t>
            </w:r>
          </w:p>
        </w:tc>
        <w:tc>
          <w:tcPr>
            <w:tcW w:w="3780" w:type="dxa"/>
            <w:tcBorders>
              <w:top w:val="nil"/>
              <w:left w:val="nil"/>
              <w:bottom w:val="single" w:sz="4" w:space="0" w:color="auto"/>
              <w:right w:val="single" w:sz="4" w:space="0" w:color="auto"/>
            </w:tcBorders>
            <w:shd w:val="clear" w:color="auto" w:fill="auto"/>
            <w:noWrap/>
            <w:vAlign w:val="center"/>
            <w:hideMark/>
          </w:tcPr>
          <w:p w14:paraId="1B711E6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ATC CCG TTT CAT AAG GCG AGT</w:t>
            </w:r>
          </w:p>
        </w:tc>
        <w:tc>
          <w:tcPr>
            <w:tcW w:w="1620" w:type="dxa"/>
            <w:tcBorders>
              <w:top w:val="nil"/>
              <w:left w:val="nil"/>
              <w:bottom w:val="single" w:sz="4" w:space="0" w:color="auto"/>
              <w:right w:val="single" w:sz="4" w:space="0" w:color="auto"/>
            </w:tcBorders>
            <w:shd w:val="clear" w:color="auto" w:fill="auto"/>
            <w:noWrap/>
            <w:vAlign w:val="center"/>
            <w:hideMark/>
          </w:tcPr>
          <w:p w14:paraId="5DA770D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404</w:t>
            </w:r>
          </w:p>
        </w:tc>
        <w:tc>
          <w:tcPr>
            <w:tcW w:w="1620" w:type="dxa"/>
            <w:tcBorders>
              <w:top w:val="nil"/>
              <w:left w:val="nil"/>
              <w:bottom w:val="single" w:sz="4" w:space="0" w:color="auto"/>
              <w:right w:val="single" w:sz="4" w:space="0" w:color="auto"/>
            </w:tcBorders>
            <w:shd w:val="clear" w:color="auto" w:fill="auto"/>
            <w:noWrap/>
            <w:vAlign w:val="center"/>
            <w:hideMark/>
          </w:tcPr>
          <w:p w14:paraId="7BA1B14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51A5586" w14:textId="3EA3052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694C5AE9"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06CBCF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69A13D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seb-10</w:t>
            </w:r>
          </w:p>
        </w:tc>
        <w:tc>
          <w:tcPr>
            <w:tcW w:w="3690" w:type="dxa"/>
            <w:tcBorders>
              <w:top w:val="nil"/>
              <w:left w:val="nil"/>
              <w:bottom w:val="single" w:sz="4" w:space="0" w:color="auto"/>
              <w:right w:val="single" w:sz="4" w:space="0" w:color="auto"/>
            </w:tcBorders>
            <w:shd w:val="clear" w:color="auto" w:fill="auto"/>
            <w:noWrap/>
            <w:vAlign w:val="center"/>
            <w:hideMark/>
          </w:tcPr>
          <w:p w14:paraId="6FF7FD3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TGC ACA AAT CGA GTA AAT TC</w:t>
            </w:r>
          </w:p>
        </w:tc>
        <w:tc>
          <w:tcPr>
            <w:tcW w:w="3780" w:type="dxa"/>
            <w:tcBorders>
              <w:top w:val="nil"/>
              <w:left w:val="nil"/>
              <w:bottom w:val="single" w:sz="4" w:space="0" w:color="auto"/>
              <w:right w:val="single" w:sz="4" w:space="0" w:color="auto"/>
            </w:tcBorders>
            <w:shd w:val="clear" w:color="auto" w:fill="auto"/>
            <w:noWrap/>
            <w:vAlign w:val="center"/>
            <w:hideMark/>
          </w:tcPr>
          <w:p w14:paraId="17BA063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CTT TTT CTT TGT CGT AA</w:t>
            </w:r>
          </w:p>
        </w:tc>
        <w:tc>
          <w:tcPr>
            <w:tcW w:w="1620" w:type="dxa"/>
            <w:tcBorders>
              <w:top w:val="nil"/>
              <w:left w:val="nil"/>
              <w:bottom w:val="single" w:sz="4" w:space="0" w:color="auto"/>
              <w:right w:val="single" w:sz="4" w:space="0" w:color="auto"/>
            </w:tcBorders>
            <w:shd w:val="clear" w:color="auto" w:fill="auto"/>
            <w:noWrap/>
            <w:vAlign w:val="center"/>
            <w:hideMark/>
          </w:tcPr>
          <w:p w14:paraId="568D40B9"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689</w:t>
            </w:r>
          </w:p>
        </w:tc>
        <w:tc>
          <w:tcPr>
            <w:tcW w:w="1620" w:type="dxa"/>
            <w:tcBorders>
              <w:top w:val="nil"/>
              <w:left w:val="nil"/>
              <w:bottom w:val="single" w:sz="4" w:space="0" w:color="auto"/>
              <w:right w:val="single" w:sz="4" w:space="0" w:color="auto"/>
            </w:tcBorders>
            <w:shd w:val="clear" w:color="auto" w:fill="auto"/>
            <w:noWrap/>
            <w:vAlign w:val="center"/>
            <w:hideMark/>
          </w:tcPr>
          <w:p w14:paraId="03F8E3C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7E464830" w14:textId="0B466C3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36E0C734"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3148980D"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sec</w:t>
            </w:r>
          </w:p>
        </w:tc>
        <w:tc>
          <w:tcPr>
            <w:tcW w:w="720" w:type="dxa"/>
            <w:tcBorders>
              <w:top w:val="nil"/>
              <w:left w:val="nil"/>
              <w:bottom w:val="single" w:sz="4" w:space="0" w:color="auto"/>
              <w:right w:val="single" w:sz="4" w:space="0" w:color="auto"/>
            </w:tcBorders>
            <w:shd w:val="clear" w:color="auto" w:fill="auto"/>
            <w:noWrap/>
            <w:vAlign w:val="center"/>
            <w:hideMark/>
          </w:tcPr>
          <w:p w14:paraId="48FE0AC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sec-1</w:t>
            </w:r>
          </w:p>
        </w:tc>
        <w:tc>
          <w:tcPr>
            <w:tcW w:w="3690" w:type="dxa"/>
            <w:tcBorders>
              <w:top w:val="nil"/>
              <w:left w:val="nil"/>
              <w:bottom w:val="single" w:sz="4" w:space="0" w:color="auto"/>
              <w:right w:val="single" w:sz="4" w:space="0" w:color="auto"/>
            </w:tcBorders>
            <w:shd w:val="clear" w:color="auto" w:fill="auto"/>
            <w:noWrap/>
            <w:vAlign w:val="center"/>
            <w:hideMark/>
          </w:tcPr>
          <w:p w14:paraId="54F06F4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CTC AAG AAC TAG ACA TAA AAG CTA GG</w:t>
            </w:r>
          </w:p>
        </w:tc>
        <w:tc>
          <w:tcPr>
            <w:tcW w:w="3780" w:type="dxa"/>
            <w:tcBorders>
              <w:top w:val="nil"/>
              <w:left w:val="nil"/>
              <w:bottom w:val="single" w:sz="4" w:space="0" w:color="auto"/>
              <w:right w:val="single" w:sz="4" w:space="0" w:color="auto"/>
            </w:tcBorders>
            <w:shd w:val="clear" w:color="auto" w:fill="auto"/>
            <w:noWrap/>
            <w:vAlign w:val="center"/>
            <w:hideMark/>
          </w:tcPr>
          <w:p w14:paraId="26E8C6D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AAA TCG GAT TAA CAT TAT CC</w:t>
            </w:r>
          </w:p>
        </w:tc>
        <w:tc>
          <w:tcPr>
            <w:tcW w:w="1620" w:type="dxa"/>
            <w:tcBorders>
              <w:top w:val="nil"/>
              <w:left w:val="nil"/>
              <w:bottom w:val="single" w:sz="4" w:space="0" w:color="auto"/>
              <w:right w:val="single" w:sz="4" w:space="0" w:color="auto"/>
            </w:tcBorders>
            <w:shd w:val="clear" w:color="auto" w:fill="auto"/>
            <w:noWrap/>
            <w:vAlign w:val="center"/>
            <w:hideMark/>
          </w:tcPr>
          <w:p w14:paraId="4B21D33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271</w:t>
            </w:r>
          </w:p>
        </w:tc>
        <w:tc>
          <w:tcPr>
            <w:tcW w:w="1620" w:type="dxa"/>
            <w:tcBorders>
              <w:top w:val="nil"/>
              <w:left w:val="nil"/>
              <w:bottom w:val="single" w:sz="4" w:space="0" w:color="auto"/>
              <w:right w:val="single" w:sz="4" w:space="0" w:color="auto"/>
            </w:tcBorders>
            <w:shd w:val="clear" w:color="auto" w:fill="auto"/>
            <w:noWrap/>
            <w:vAlign w:val="center"/>
            <w:hideMark/>
          </w:tcPr>
          <w:p w14:paraId="6BB1CBE2"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1EE79F8E" w14:textId="59E7E5C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{"citationItems":[{"id":"ITEM-1","itemData":{"DOI":"10.1128/JCM.36.9.2548-2553.1998","ISSN":"0095-1137","PMID":"9705390","abstract":"Two multiplex PCR enzyme immunoassays (PCR-EIAs) were developed for Staphylococcus aureus exotoxin gene screening as an alternative to the conventional biological assays, which depend on detectable amounts of toxins produced. One set of oligonucleotide primers and probes was designed to search for enterotoxin A to E genes ( entA , entB , entC , entD , and entE ), and the other one was designed to detect the staphylococcal exfoliative toxin genes ( eta and etb ) and the toxic shock syndrome toxin 1 gene ( tst ). Oligonucleotide primers were used as published previously, modified or newly developed to meet the requirements of both good size-distinguishable amplification bands of multiplex PCR and the temperature limit of the uracil DNA glycosylase system for carryover protection. Amplification products were visualized by agarose gel electrophoresis, and specificity was controlled with the aid of a DNA EIA system using oligonucleotide probes derived from the sequences of the S. aureus toxin genes. PCR procedures were performed by using template nucleic acids extracted from a panel of S. aureus reference strains and from a collection of 50 clinical strains. The PCR results were compared with those of immunological toxin production assays. This multiplex PCR-EIA system offers an alternative method for the rapid, sensitive, specific, and simultaneous detection of the clinically important exotoxin potency of isolated S. aureus strains for diagnostic purposes as well as research studies.","author":[{"dropping-particle":"","family":"Becker","given":"Karsten","non-dropping-particle":"","parse-names":false,"suffix":""},{"dropping-particle":"","family":"Roth","given":"Ricarda","non-dropping-particle":"","parse-names":false,"suffix":""},{"dropping-particle":"","family":"Peters","given":"Georg","non-dropping-particle":"","parse-names":false,"suffix":""}],"container-title":"Journal of Clinical Microbiology","id":"ITEM-1","issue":"9","issued":{"date-parts":[["1998","9"]]},"page":"2548-2553","title":"Rapid and Specific Detection of Toxigenic Staphylococcus aureus : Use of Two Multiplex PCR Enzyme Immunoassays for Amplification and Hybridization of Staphylococcal Enterotoxin Genes, Exfoliative Toxin Genes, and Toxic Shock Syndrome Toxin 1 Gene","type":"article-journal","volume":"36"},"uris":["http://www.mendeley.com/documents/?uuid=4920ea92-c89c-41c6-8976-82596172d750"]}],"mendeley":{"formattedCitation":"(Becker et al., 1998)","plainTextFormattedCitation":"(Becker et al., 1998)","previouslyFormattedCitation":"(Becker et al., 1998)"},"properties":{"noteIndex":0},"schema":"https://github.com/citation-style-language/schema/raw/master/csl-citation.json"}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(Becker et al., 1998)</w:t>
            </w:r>
            <w:r w:rsidRPr="006C34E3">
              <w:rPr>
                <w:rFonts w:eastAsia="Times New Roman" w:cs="Times New Roman"/>
                <w:color w:val="000000"/>
                <w:sz w:val="16"/>
                <w:szCs w:val="16"/>
              </w:rPr>
              <w:fldChar w:fldCharType="end"/>
            </w:r>
          </w:p>
        </w:tc>
      </w:tr>
      <w:tr w:rsidR="00F90100" w:rsidRPr="006C34E3" w14:paraId="34E1A007" w14:textId="77777777" w:rsidTr="00C662E9">
        <w:trPr>
          <w:trHeight w:val="288"/>
        </w:trPr>
        <w:tc>
          <w:tcPr>
            <w:tcW w:w="630" w:type="dxa"/>
            <w:vMerge/>
            <w:tcBorders>
              <w:left w:val="single" w:sz="4" w:space="0" w:color="auto"/>
              <w:right w:val="single" w:sz="4" w:space="0" w:color="auto"/>
            </w:tcBorders>
            <w:vAlign w:val="center"/>
            <w:hideMark/>
          </w:tcPr>
          <w:p w14:paraId="6846EDB4"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41A0E1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sec-2</w:t>
            </w:r>
          </w:p>
        </w:tc>
        <w:tc>
          <w:tcPr>
            <w:tcW w:w="3690" w:type="dxa"/>
            <w:tcBorders>
              <w:top w:val="nil"/>
              <w:left w:val="nil"/>
              <w:bottom w:val="single" w:sz="4" w:space="0" w:color="auto"/>
              <w:right w:val="single" w:sz="4" w:space="0" w:color="auto"/>
            </w:tcBorders>
            <w:shd w:val="clear" w:color="auto" w:fill="auto"/>
            <w:noWrap/>
            <w:vAlign w:val="center"/>
            <w:hideMark/>
          </w:tcPr>
          <w:p w14:paraId="769BAAA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ATG TAT GGA GGT GTA AC</w:t>
            </w:r>
          </w:p>
        </w:tc>
        <w:tc>
          <w:tcPr>
            <w:tcW w:w="3780" w:type="dxa"/>
            <w:tcBorders>
              <w:top w:val="nil"/>
              <w:left w:val="nil"/>
              <w:bottom w:val="single" w:sz="4" w:space="0" w:color="auto"/>
              <w:right w:val="single" w:sz="4" w:space="0" w:color="auto"/>
            </w:tcBorders>
            <w:shd w:val="clear" w:color="auto" w:fill="auto"/>
            <w:noWrap/>
            <w:vAlign w:val="center"/>
            <w:hideMark/>
          </w:tcPr>
          <w:p w14:paraId="4CEE8CC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AAG TAC ATT TTG TAA GTT CC</w:t>
            </w:r>
          </w:p>
        </w:tc>
        <w:tc>
          <w:tcPr>
            <w:tcW w:w="1620" w:type="dxa"/>
            <w:tcBorders>
              <w:top w:val="nil"/>
              <w:left w:val="nil"/>
              <w:bottom w:val="single" w:sz="4" w:space="0" w:color="auto"/>
              <w:right w:val="single" w:sz="4" w:space="0" w:color="auto"/>
            </w:tcBorders>
            <w:shd w:val="clear" w:color="auto" w:fill="auto"/>
            <w:noWrap/>
            <w:vAlign w:val="center"/>
            <w:hideMark/>
          </w:tcPr>
          <w:p w14:paraId="769B8C7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69</w:t>
            </w:r>
          </w:p>
        </w:tc>
        <w:tc>
          <w:tcPr>
            <w:tcW w:w="1620" w:type="dxa"/>
            <w:tcBorders>
              <w:top w:val="nil"/>
              <w:left w:val="nil"/>
              <w:bottom w:val="single" w:sz="4" w:space="0" w:color="auto"/>
              <w:right w:val="single" w:sz="4" w:space="0" w:color="auto"/>
            </w:tcBorders>
            <w:shd w:val="clear" w:color="auto" w:fill="auto"/>
            <w:noWrap/>
            <w:vAlign w:val="center"/>
            <w:hideMark/>
          </w:tcPr>
          <w:p w14:paraId="48690A8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0C5873B" w14:textId="55AF542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{"citationItems":[{"id":"ITEM-1","itemData":{"DOI":"10.1128/AEM.66.4.1347-1353.2000","ISBN":"1159516162","ISSN":"0099-2240","PMID":"10742210","abstract":"We describe here the development of a single-reaction multiplex PCR assay for the enterotoxin genes from Staphylococcus aureus that utilizes a universal toxin gene primer in combination with toxin-specific primers to amplify characteristic toxin gene products. In combination with a new DNA purification method, the assay can detect enterotoxin genes A to E from a pure culture within 3 to 4 h. The test was used to characterize a diverse set of environmental S. aureus isolates, and a 99% correlation with toxin typing using standard immunological tests was found. The design of the assay allows it to be extended to include both newly characterized and as-yet-unknown toxin genes.","author":[{"dropping-particle":"","family":"Sharma","given":"Naresh K.","non-dropping-particle":"","parse-names":false,"suffix":""},{"dropping-particle":"","family":"Rees","given":"Catherine E. D.","non-dropping-particle":"","parse-names":false,"suffix":""},{"dropping-particle":"","family":"Dodd","given":"Christine E. R.","non-dropping-particle":"","parse-names":false,"suffix":""}],"container-title":"Applied and Environmental Microbiology","id":"ITEM-1","issue":"4","issued":{"date-parts":[["2000","4"]]},"page":"1347-1353","title":"Development of a Single-Reaction Multiplex PCR Toxin Typing Assay for Staphylococcus aureus Strains","type":"article-journal","volume":"66"},"uris":["http://www.mendeley.com/documents/?uuid=837f2478-e0d2-497a-9286-ee28290d960a"]}],"mendeley":{"formattedCitation":"(Sharma et al., 2000)","plainTextFormattedCitation":"(Sharma et al., 2000)","previouslyFormattedCitation":"(Sharma et al., 2000)"},"properties":{"noteIndex":0},"schema":"https://github.com/citation-style-language/schema/raw/master/csl-citation.json"}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(Sharma et al., 2000)</w:t>
            </w:r>
            <w:r w:rsidRPr="006C34E3">
              <w:rPr>
                <w:rFonts w:eastAsia="Times New Roman" w:cs="Times New Roman"/>
                <w:color w:val="000000"/>
                <w:sz w:val="16"/>
                <w:szCs w:val="16"/>
              </w:rPr>
              <w:fldChar w:fldCharType="end"/>
            </w:r>
          </w:p>
        </w:tc>
      </w:tr>
      <w:tr w:rsidR="00F90100" w:rsidRPr="006C34E3" w14:paraId="6A6497A8" w14:textId="77777777" w:rsidTr="00C662E9">
        <w:trPr>
          <w:trHeight w:val="288"/>
        </w:trPr>
        <w:tc>
          <w:tcPr>
            <w:tcW w:w="630" w:type="dxa"/>
            <w:vMerge/>
            <w:tcBorders>
              <w:left w:val="single" w:sz="4" w:space="0" w:color="auto"/>
              <w:right w:val="single" w:sz="4" w:space="0" w:color="auto"/>
            </w:tcBorders>
            <w:vAlign w:val="center"/>
            <w:hideMark/>
          </w:tcPr>
          <w:p w14:paraId="4EC4EBD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399288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sec-3</w:t>
            </w:r>
          </w:p>
        </w:tc>
        <w:tc>
          <w:tcPr>
            <w:tcW w:w="3690" w:type="dxa"/>
            <w:tcBorders>
              <w:top w:val="nil"/>
              <w:left w:val="nil"/>
              <w:bottom w:val="single" w:sz="4" w:space="0" w:color="auto"/>
              <w:right w:val="single" w:sz="4" w:space="0" w:color="auto"/>
            </w:tcBorders>
            <w:shd w:val="clear" w:color="auto" w:fill="auto"/>
            <w:noWrap/>
            <w:vAlign w:val="center"/>
            <w:hideMark/>
          </w:tcPr>
          <w:p w14:paraId="55B5B8A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AGA TGC TTA GAA ATC CTC TGT</w:t>
            </w:r>
          </w:p>
        </w:tc>
        <w:tc>
          <w:tcPr>
            <w:tcW w:w="3780" w:type="dxa"/>
            <w:tcBorders>
              <w:top w:val="nil"/>
              <w:left w:val="nil"/>
              <w:bottom w:val="single" w:sz="4" w:space="0" w:color="auto"/>
              <w:right w:val="single" w:sz="4" w:space="0" w:color="auto"/>
            </w:tcBorders>
            <w:shd w:val="clear" w:color="auto" w:fill="auto"/>
            <w:noWrap/>
            <w:vAlign w:val="center"/>
            <w:hideMark/>
          </w:tcPr>
          <w:p w14:paraId="3779122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TCG GTG CTT GCC TTT TTA GGA</w:t>
            </w:r>
          </w:p>
        </w:tc>
        <w:tc>
          <w:tcPr>
            <w:tcW w:w="1620" w:type="dxa"/>
            <w:tcBorders>
              <w:top w:val="nil"/>
              <w:left w:val="nil"/>
              <w:bottom w:val="single" w:sz="4" w:space="0" w:color="auto"/>
              <w:right w:val="single" w:sz="4" w:space="0" w:color="auto"/>
            </w:tcBorders>
            <w:shd w:val="clear" w:color="auto" w:fill="auto"/>
            <w:noWrap/>
            <w:vAlign w:val="center"/>
            <w:hideMark/>
          </w:tcPr>
          <w:p w14:paraId="3ABAC40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1115</w:t>
            </w:r>
          </w:p>
        </w:tc>
        <w:tc>
          <w:tcPr>
            <w:tcW w:w="1620" w:type="dxa"/>
            <w:tcBorders>
              <w:top w:val="nil"/>
              <w:left w:val="nil"/>
              <w:bottom w:val="single" w:sz="4" w:space="0" w:color="auto"/>
              <w:right w:val="single" w:sz="4" w:space="0" w:color="auto"/>
            </w:tcBorders>
            <w:shd w:val="clear" w:color="auto" w:fill="auto"/>
            <w:noWrap/>
            <w:vAlign w:val="center"/>
            <w:hideMark/>
          </w:tcPr>
          <w:p w14:paraId="29FE1FAC"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1511E400" w14:textId="29523DEC"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{"citationItems":[{"id":"ITEM-1","itemData":{"DOI":"10.3390/toxins8060169","ISSN":"2072-6651","PMID":"27258311","abstract":"Ingestion of staphylococcal enterotoxins preformed by Staphylococcus aureus in food leads to staphylococcal food poisoning, the most prevalent foodborne intoxication worldwide. There are five major staphylococcal enterotoxins: SEA, SEB, SEC, SED, and SEE. While variants of these toxins have been described and were linked to specific hosts or levels or enterotoxin production, data on sequence variation is still limited. In this study, we aim to extend the knowledge on promoter and gene variants of the major enterotoxins SEB, SEC, and SED. To this end, we determined seb, sec, and sed promoter and gene sequences of a well-characterized set of enterotoxigenic Staphylococcus aureus strains originating from foodborne outbreaks, human infections, human nasal colonization, rabbits, and cattle. New nucleotide sequence variants were detected for all three enterotoxins and a novel amino acid sequence variant of SED was detected in a strain associated with human nasal colonization. While the seb promoter and gene sequences exhibited a high degree of variability, the sec and sed promoter and gene were more conserved. Interestingly, a truncated variant of sed was detected in all tested sed harboring rabbit strains. The generated data represents a further step towards improved understanding of strain-specific differences in enterotoxin expression and host-specific variation in enterotoxin sequences.","author":[{"dropping-particle":"","family":"Johler","given":"Sophia","non-dropping-particle":"","parse-names":false,"suffix":""},{"dropping-particle":"","family":"Sihto","given":"Henna-Maria","non-dropping-particle":"","parse-names":false,"suffix":""},{"dropping-particle":"","family":"Macori","given":"Guerrino","non-dropping-particle":"","parse-names":false,"suffix":""},{"dropping-particle":"","family":"Stephan","given":"Roger","non-dropping-particle":"","parse-names":false,"suffix":""}],"container-title":"Toxins","id":"ITEM-1","issue":"6","issued":{"date-parts":[["2016","6","1"]]},"page":"169","title":"Sequence Variability in Staphylococcal Enterotoxin Genes seb, sec, and sed","type":"article-journal","volume":"8"},"uris":["http://www.mendeley.com/documents/?uuid=d68cca5d-8e85-4314-a30c-6b17e28c7ea3"]}],"mendeley":{"formattedCitation":"(Johler et al., 2016)","plainTextFormattedCitation":"(Johler et al., 2016)","previouslyFormattedCitation":"(Johler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(Johler et al., 2016)</w:t>
            </w:r>
            <w:r w:rsidRPr="006C34E3">
              <w:rPr>
                <w:rFonts w:eastAsia="Times New Roman" w:cs="Times New Roman"/>
                <w:color w:val="000000"/>
                <w:sz w:val="16"/>
                <w:szCs w:val="16"/>
              </w:rPr>
              <w:fldChar w:fldCharType="end"/>
            </w:r>
          </w:p>
        </w:tc>
      </w:tr>
      <w:tr w:rsidR="00F90100" w:rsidRPr="006C34E3" w14:paraId="175ECC7C" w14:textId="77777777" w:rsidTr="00C662E9">
        <w:trPr>
          <w:trHeight w:val="288"/>
        </w:trPr>
        <w:tc>
          <w:tcPr>
            <w:tcW w:w="630" w:type="dxa"/>
            <w:vMerge/>
            <w:tcBorders>
              <w:left w:val="single" w:sz="4" w:space="0" w:color="auto"/>
              <w:right w:val="single" w:sz="4" w:space="0" w:color="auto"/>
            </w:tcBorders>
            <w:vAlign w:val="center"/>
            <w:hideMark/>
          </w:tcPr>
          <w:p w14:paraId="301B090F"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837560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sec-4</w:t>
            </w:r>
          </w:p>
        </w:tc>
        <w:tc>
          <w:tcPr>
            <w:tcW w:w="3690" w:type="dxa"/>
            <w:tcBorders>
              <w:top w:val="nil"/>
              <w:left w:val="nil"/>
              <w:bottom w:val="single" w:sz="4" w:space="0" w:color="auto"/>
              <w:right w:val="single" w:sz="4" w:space="0" w:color="auto"/>
            </w:tcBorders>
            <w:shd w:val="clear" w:color="auto" w:fill="auto"/>
            <w:noWrap/>
            <w:vAlign w:val="center"/>
            <w:hideMark/>
          </w:tcPr>
          <w:p w14:paraId="1DECDCC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GAC ATA AAA GCT AGG AAT TT</w:t>
            </w:r>
          </w:p>
        </w:tc>
        <w:tc>
          <w:tcPr>
            <w:tcW w:w="3780" w:type="dxa"/>
            <w:tcBorders>
              <w:top w:val="nil"/>
              <w:left w:val="nil"/>
              <w:bottom w:val="single" w:sz="4" w:space="0" w:color="auto"/>
              <w:right w:val="single" w:sz="4" w:space="0" w:color="auto"/>
            </w:tcBorders>
            <w:shd w:val="clear" w:color="auto" w:fill="auto"/>
            <w:noWrap/>
            <w:vAlign w:val="center"/>
            <w:hideMark/>
          </w:tcPr>
          <w:p w14:paraId="22DEB70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AAA TCG GAT TAA CAT TAT CC</w:t>
            </w:r>
          </w:p>
        </w:tc>
        <w:tc>
          <w:tcPr>
            <w:tcW w:w="1620" w:type="dxa"/>
            <w:tcBorders>
              <w:top w:val="nil"/>
              <w:left w:val="nil"/>
              <w:bottom w:val="single" w:sz="4" w:space="0" w:color="auto"/>
              <w:right w:val="single" w:sz="4" w:space="0" w:color="auto"/>
            </w:tcBorders>
            <w:shd w:val="clear" w:color="auto" w:fill="auto"/>
            <w:noWrap/>
            <w:vAlign w:val="center"/>
            <w:hideMark/>
          </w:tcPr>
          <w:p w14:paraId="551F6CB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257</w:t>
            </w:r>
          </w:p>
        </w:tc>
        <w:tc>
          <w:tcPr>
            <w:tcW w:w="1620" w:type="dxa"/>
            <w:tcBorders>
              <w:top w:val="nil"/>
              <w:left w:val="nil"/>
              <w:bottom w:val="single" w:sz="4" w:space="0" w:color="auto"/>
              <w:right w:val="single" w:sz="4" w:space="0" w:color="auto"/>
            </w:tcBorders>
            <w:shd w:val="clear" w:color="auto" w:fill="auto"/>
            <w:noWrap/>
            <w:vAlign w:val="center"/>
            <w:hideMark/>
          </w:tcPr>
          <w:p w14:paraId="319B8486"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3637D7CE" w14:textId="463ED62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{"citationItems":[{"id":"ITEM-1","itemData":{"DOI":"10.1128/jcm.29.3.426-430.1991","ISSN":"00951137","PMID":"2037659","abstract":"Eight pairs of synthetic oligonucleotide primers were used in a polymerase chain reaction (PCR) protocol to detect genes for staphylococcal enterotoxins A to E, exfoliative toxins A and B, and toxic shock syndrome toxin 1 in Staphylococcus aureus strains isolated from clinical specimens and contaminated foods. Primers were targeted to internal regions of the toxin genes, and amplification fragments were detected after the PCR by agarose gel electrophoresis. Unequivocal discrimination of toxin genes was obtained by the PCR by using nucleic acids extracted from 88 strains of S. aureus whose toxigenicity was established biologically and immunologically. In immunological assays, two strains of S. aureus produced equivocal results for production of enterotoxin C or toxic shock syndrome toxin 1, giving an overall concordance between phenotypic and genotypic identification of 97.7%. Primer specificity was established in the PCR by using nucleic acids from known toxin-producing bacterial pathogens and from nontoxigenic S. aureus. Strains of Streptococcus spp., including some producers of pyrogenic exotoxin A carrying the speA gene, were negative by the PCR designed to detect staphylococcal toxins. The detection limits were established for all the staphylococcal toxin genes within their respective PCR protocols. The identification of staphylococcal toxin genes in strains of S. aureus by the PCR offers a very specific, sensitive, relatively rapid, and inexpensive alternative to traditional immunological assays which depend on adequate gene expression for reliability and sensitivity.","author":[{"dropping-particle":"","family":"Johnson","given":"W. M.","non-dropping-particle":"","parse-names":false,"suffix":""},{"dropping-particle":"","family":"Tyler","given":"S. D.","non-dropping-particle":"","parse-names":false,"suffix":""},{"dropping-particle":"","family":"Ewan","given":"E. P.","non-dropping-particle":"","parse-names":false,"suffix":""},{"dropping-particle":"","family":"Ashton","given":"F. E.","non-dropping-particle":"","parse-names":false,"suffix":""},{"dropping-particle":"","family":"Pollard","given":"D. R.","non-dropping-particle":"","parse-names":false,"suffix":""},{"dropping-particle":"","family":"Rozee","given":"K. R.","non-dropping-particle":"","parse-names":false,"suffix":""}],"container-title":"Journal of Clinical Microbiology","id":"ITEM-1","issue":"3","issued":{"date-parts":[["1991"]]},"page":"426-430","title":"Detection of genes for enterotoxins, exfoliative toxins, and toxic shock syndrome toxin 1 in Staphylococcus aureus by the polymerase chain reaction","type":"article-journal","volume":"29"},"uris":["http://www.mendeley.com/documents/?uuid=6cd21d50-b015-46de-ae8a-e0719fc0471f"]}],"mendeley":{"formattedCitation":"(Johnson et al., 1991)","plainTextFormattedCitation":"(Johnson et al., 1991)","previouslyFormattedCitation":"(Johnson et al., 1991)"},"properties":{"noteIndex":0},"schema":"https://github.com/citation-style-language/schema/raw/master/csl-citation.json"}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(Johnson et al., 1991)</w:t>
            </w:r>
            <w:r w:rsidRPr="006C34E3">
              <w:rPr>
                <w:rFonts w:eastAsia="Times New Roman" w:cs="Times New Roman"/>
                <w:color w:val="000000"/>
                <w:sz w:val="16"/>
                <w:szCs w:val="16"/>
              </w:rPr>
              <w:fldChar w:fldCharType="end"/>
            </w:r>
          </w:p>
        </w:tc>
      </w:tr>
      <w:tr w:rsidR="00F90100" w:rsidRPr="006C34E3" w14:paraId="0A96AFA3" w14:textId="77777777" w:rsidTr="00C662E9">
        <w:trPr>
          <w:trHeight w:val="288"/>
        </w:trPr>
        <w:tc>
          <w:tcPr>
            <w:tcW w:w="630" w:type="dxa"/>
            <w:vMerge/>
            <w:tcBorders>
              <w:left w:val="single" w:sz="4" w:space="0" w:color="auto"/>
              <w:right w:val="single" w:sz="4" w:space="0" w:color="auto"/>
            </w:tcBorders>
            <w:vAlign w:val="center"/>
            <w:hideMark/>
          </w:tcPr>
          <w:p w14:paraId="2AD771F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63AC33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sec-5</w:t>
            </w:r>
          </w:p>
        </w:tc>
        <w:tc>
          <w:tcPr>
            <w:tcW w:w="3690" w:type="dxa"/>
            <w:tcBorders>
              <w:top w:val="nil"/>
              <w:left w:val="nil"/>
              <w:bottom w:val="single" w:sz="4" w:space="0" w:color="auto"/>
              <w:right w:val="single" w:sz="4" w:space="0" w:color="auto"/>
            </w:tcBorders>
            <w:shd w:val="clear" w:color="auto" w:fill="auto"/>
            <w:noWrap/>
            <w:vAlign w:val="center"/>
            <w:hideMark/>
          </w:tcPr>
          <w:p w14:paraId="375F728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AGA TGA AGT AGT TGA TGT GTA TGG</w:t>
            </w:r>
          </w:p>
        </w:tc>
        <w:tc>
          <w:tcPr>
            <w:tcW w:w="3780" w:type="dxa"/>
            <w:tcBorders>
              <w:top w:val="nil"/>
              <w:left w:val="nil"/>
              <w:bottom w:val="single" w:sz="4" w:space="0" w:color="auto"/>
              <w:right w:val="single" w:sz="4" w:space="0" w:color="auto"/>
            </w:tcBorders>
            <w:shd w:val="clear" w:color="auto" w:fill="auto"/>
            <w:noWrap/>
            <w:vAlign w:val="center"/>
            <w:hideMark/>
          </w:tcPr>
          <w:p w14:paraId="63B8F68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CAC ACT TTT AGA ATC AAC CG</w:t>
            </w:r>
          </w:p>
        </w:tc>
        <w:tc>
          <w:tcPr>
            <w:tcW w:w="1620" w:type="dxa"/>
            <w:tcBorders>
              <w:top w:val="nil"/>
              <w:left w:val="nil"/>
              <w:bottom w:val="single" w:sz="4" w:space="0" w:color="auto"/>
              <w:right w:val="single" w:sz="4" w:space="0" w:color="auto"/>
            </w:tcBorders>
            <w:shd w:val="clear" w:color="auto" w:fill="auto"/>
            <w:noWrap/>
            <w:vAlign w:val="center"/>
            <w:hideMark/>
          </w:tcPr>
          <w:p w14:paraId="49D5E12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451</w:t>
            </w:r>
          </w:p>
        </w:tc>
        <w:tc>
          <w:tcPr>
            <w:tcW w:w="1620" w:type="dxa"/>
            <w:tcBorders>
              <w:top w:val="nil"/>
              <w:left w:val="nil"/>
              <w:bottom w:val="single" w:sz="4" w:space="0" w:color="auto"/>
              <w:right w:val="single" w:sz="4" w:space="0" w:color="auto"/>
            </w:tcBorders>
            <w:shd w:val="clear" w:color="auto" w:fill="auto"/>
            <w:noWrap/>
            <w:vAlign w:val="center"/>
            <w:hideMark/>
          </w:tcPr>
          <w:p w14:paraId="2D2B355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DA914FA" w14:textId="34F9ADE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{"citationItems":[{"id":"ITEM-1","itemData":{"DOI":"10.1007/BF00329830","ISSN":"00263925","PMID":"2823067","abstract":"The nucleotide sequence for the structural gene entC1 encoding staphylococcal enterotoxin C1 was determined. The gene contained 801 bp and coded for a protein of 266 amino acids. Of these, 27 comprised the signal peptide. Cleavage of the signal peptide resulted in a mature protein with 239 amino acids and a calculated molecular weight of 27496. The nucleotide sequence of entC1 shared considerable homology (74% and 59%, respectively) with genes encoding enterotoxin B and streptococcal pyrogenic exotoxin A. A similar degree of amino acid homology was observed after alignment of the respective proteins. Thus, certain regions of these three toxin molecules possess structural similarities that may be responsible for shared biological properties. © 1987 Springer-Verlag.","author":[{"dropping-particle":"","family":"Bohach","given":"Gregory A.","non-dropping-particle":"","parse-names":false,"suffix":""},{"dropping-particle":"","family":"Schlievert","given":"Patrick M.","non-dropping-particle":"","parse-names":false,"suffix":""}],"container-title":"MGG Molecular &amp; General Genetics","id":"ITEM-1","issue":"1","issued":{"date-parts":[["1987"]]},"page":"15-20","title":"Nucleotide sequence of the staphylococcal enterotoxin C1 gene and relatedness to other pyrogenic toxins","type":"article-journal","volume":"209"},"uris":["http://www.mendeley.com/documents/?uuid=7df5e51b-8bec-4a05-86be-e18100476f8d"]}],"mendeley":{"formattedCitation":"(Bohach and Schlievert, 1987)","plainTextFormattedCitation":"(Bohach and Schlievert, 1987)","previouslyFormattedCitation":"(Bohach and Schlievert, 1987)"},"properties":{"noteIndex":0},"schema":"https://github.com/citation-style-language/schema/raw/master/csl-citation.json"}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(Bohach and Schlievert, 1987)</w:t>
            </w:r>
            <w:r w:rsidRPr="006C34E3">
              <w:rPr>
                <w:rFonts w:eastAsia="Times New Roman" w:cs="Times New Roman"/>
                <w:color w:val="000000"/>
                <w:sz w:val="16"/>
                <w:szCs w:val="16"/>
              </w:rPr>
              <w:fldChar w:fldCharType="end"/>
            </w:r>
          </w:p>
        </w:tc>
      </w:tr>
      <w:tr w:rsidR="00F90100" w:rsidRPr="006C34E3" w14:paraId="45E718BE" w14:textId="77777777" w:rsidTr="00C662E9">
        <w:trPr>
          <w:trHeight w:val="288"/>
        </w:trPr>
        <w:tc>
          <w:tcPr>
            <w:tcW w:w="630" w:type="dxa"/>
            <w:vMerge/>
            <w:tcBorders>
              <w:left w:val="single" w:sz="4" w:space="0" w:color="auto"/>
              <w:right w:val="single" w:sz="4" w:space="0" w:color="auto"/>
            </w:tcBorders>
            <w:vAlign w:val="center"/>
            <w:hideMark/>
          </w:tcPr>
          <w:p w14:paraId="51DCBA9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BEED31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sec-6</w:t>
            </w:r>
          </w:p>
        </w:tc>
        <w:tc>
          <w:tcPr>
            <w:tcW w:w="3690" w:type="dxa"/>
            <w:tcBorders>
              <w:top w:val="nil"/>
              <w:left w:val="nil"/>
              <w:bottom w:val="single" w:sz="4" w:space="0" w:color="auto"/>
              <w:right w:val="single" w:sz="4" w:space="0" w:color="auto"/>
            </w:tcBorders>
            <w:shd w:val="clear" w:color="auto" w:fill="auto"/>
            <w:noWrap/>
            <w:vAlign w:val="center"/>
            <w:hideMark/>
          </w:tcPr>
          <w:p w14:paraId="34245DC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CTT GTA TGT ATG GAG GAA TAA CAA AAC ATG</w:t>
            </w:r>
          </w:p>
        </w:tc>
        <w:tc>
          <w:tcPr>
            <w:tcW w:w="3780" w:type="dxa"/>
            <w:tcBorders>
              <w:top w:val="nil"/>
              <w:left w:val="nil"/>
              <w:bottom w:val="single" w:sz="4" w:space="0" w:color="auto"/>
              <w:right w:val="single" w:sz="4" w:space="0" w:color="auto"/>
            </w:tcBorders>
            <w:shd w:val="clear" w:color="auto" w:fill="auto"/>
            <w:noWrap/>
            <w:vAlign w:val="center"/>
            <w:hideMark/>
          </w:tcPr>
          <w:p w14:paraId="722ED8B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ATC ATA CCA AAA AGT ATT GCC GT</w:t>
            </w:r>
          </w:p>
        </w:tc>
        <w:tc>
          <w:tcPr>
            <w:tcW w:w="1620" w:type="dxa"/>
            <w:tcBorders>
              <w:top w:val="nil"/>
              <w:left w:val="nil"/>
              <w:bottom w:val="single" w:sz="4" w:space="0" w:color="auto"/>
              <w:right w:val="single" w:sz="4" w:space="0" w:color="auto"/>
            </w:tcBorders>
            <w:shd w:val="clear" w:color="auto" w:fill="auto"/>
            <w:noWrap/>
            <w:vAlign w:val="center"/>
            <w:hideMark/>
          </w:tcPr>
          <w:p w14:paraId="0A3C9F2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275</w:t>
            </w:r>
          </w:p>
        </w:tc>
        <w:tc>
          <w:tcPr>
            <w:tcW w:w="1620" w:type="dxa"/>
            <w:tcBorders>
              <w:top w:val="nil"/>
              <w:left w:val="nil"/>
              <w:bottom w:val="single" w:sz="4" w:space="0" w:color="auto"/>
              <w:right w:val="single" w:sz="4" w:space="0" w:color="auto"/>
            </w:tcBorders>
            <w:shd w:val="clear" w:color="auto" w:fill="auto"/>
            <w:noWrap/>
            <w:vAlign w:val="center"/>
            <w:hideMark/>
          </w:tcPr>
          <w:p w14:paraId="52B2575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1ECD529D" w14:textId="13FDE04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652EB34C" w14:textId="77777777" w:rsidTr="00C662E9">
        <w:trPr>
          <w:trHeight w:val="288"/>
        </w:trPr>
        <w:tc>
          <w:tcPr>
            <w:tcW w:w="630" w:type="dxa"/>
            <w:vMerge/>
            <w:tcBorders>
              <w:left w:val="single" w:sz="4" w:space="0" w:color="auto"/>
              <w:right w:val="single" w:sz="4" w:space="0" w:color="auto"/>
            </w:tcBorders>
            <w:vAlign w:val="center"/>
            <w:hideMark/>
          </w:tcPr>
          <w:p w14:paraId="4DAD045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018C7D3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sec-7</w:t>
            </w:r>
          </w:p>
        </w:tc>
        <w:tc>
          <w:tcPr>
            <w:tcW w:w="3690" w:type="dxa"/>
            <w:tcBorders>
              <w:top w:val="nil"/>
              <w:left w:val="nil"/>
              <w:bottom w:val="single" w:sz="4" w:space="0" w:color="auto"/>
              <w:right w:val="single" w:sz="4" w:space="0" w:color="auto"/>
            </w:tcBorders>
            <w:shd w:val="clear" w:color="000000" w:fill="E7E6E6"/>
            <w:noWrap/>
            <w:vAlign w:val="center"/>
            <w:hideMark/>
          </w:tcPr>
          <w:p w14:paraId="05AC40E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CTT GTA TGT ATG GAG GAA TAA CAA</w:t>
            </w:r>
          </w:p>
        </w:tc>
        <w:tc>
          <w:tcPr>
            <w:tcW w:w="3780" w:type="dxa"/>
            <w:tcBorders>
              <w:top w:val="nil"/>
              <w:left w:val="nil"/>
              <w:bottom w:val="single" w:sz="4" w:space="0" w:color="auto"/>
              <w:right w:val="single" w:sz="4" w:space="0" w:color="auto"/>
            </w:tcBorders>
            <w:shd w:val="clear" w:color="000000" w:fill="E7E6E6"/>
            <w:noWrap/>
            <w:vAlign w:val="center"/>
            <w:hideMark/>
          </w:tcPr>
          <w:p w14:paraId="3C42D84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TGC AGG CAT CAT ATC ATA CCA</w:t>
            </w:r>
          </w:p>
        </w:tc>
        <w:tc>
          <w:tcPr>
            <w:tcW w:w="1620" w:type="dxa"/>
            <w:tcBorders>
              <w:top w:val="nil"/>
              <w:left w:val="nil"/>
              <w:bottom w:val="single" w:sz="4" w:space="0" w:color="auto"/>
              <w:right w:val="single" w:sz="4" w:space="0" w:color="auto"/>
            </w:tcBorders>
            <w:shd w:val="clear" w:color="000000" w:fill="E7E6E6"/>
            <w:noWrap/>
            <w:vAlign w:val="center"/>
            <w:hideMark/>
          </w:tcPr>
          <w:p w14:paraId="6B6FF28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283</w:t>
            </w:r>
          </w:p>
        </w:tc>
        <w:tc>
          <w:tcPr>
            <w:tcW w:w="1620" w:type="dxa"/>
            <w:tcBorders>
              <w:top w:val="nil"/>
              <w:left w:val="nil"/>
              <w:bottom w:val="single" w:sz="4" w:space="0" w:color="auto"/>
              <w:right w:val="single" w:sz="4" w:space="0" w:color="auto"/>
            </w:tcBorders>
            <w:shd w:val="clear" w:color="000000" w:fill="E7E6E6"/>
            <w:noWrap/>
            <w:vAlign w:val="center"/>
            <w:hideMark/>
          </w:tcPr>
          <w:p w14:paraId="40B7A0E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Aspecific detection of </w:t>
            </w:r>
            <w:r w:rsidRPr="006C34E3">
              <w:rPr>
                <w:rFonts w:eastAsia="Times New Roman" w:cs="Times New Roman"/>
                <w:i/>
                <w:iCs/>
                <w:sz w:val="16"/>
                <w:szCs w:val="16"/>
              </w:rPr>
              <w:t>selz</w:t>
            </w:r>
          </w:p>
        </w:tc>
        <w:tc>
          <w:tcPr>
            <w:tcW w:w="1530" w:type="dxa"/>
            <w:tcBorders>
              <w:top w:val="nil"/>
              <w:left w:val="nil"/>
              <w:bottom w:val="single" w:sz="4" w:space="0" w:color="auto"/>
              <w:right w:val="single" w:sz="4" w:space="0" w:color="auto"/>
            </w:tcBorders>
            <w:shd w:val="clear" w:color="000000" w:fill="E7E6E6"/>
            <w:noWrap/>
            <w:vAlign w:val="center"/>
            <w:hideMark/>
          </w:tcPr>
          <w:p w14:paraId="5FA55805" w14:textId="2BFE416A"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11912A4F" w14:textId="77777777" w:rsidTr="00C662E9">
        <w:trPr>
          <w:trHeight w:val="288"/>
        </w:trPr>
        <w:tc>
          <w:tcPr>
            <w:tcW w:w="630" w:type="dxa"/>
            <w:vMerge/>
            <w:tcBorders>
              <w:left w:val="single" w:sz="4" w:space="0" w:color="auto"/>
              <w:right w:val="single" w:sz="4" w:space="0" w:color="auto"/>
            </w:tcBorders>
            <w:vAlign w:val="center"/>
            <w:hideMark/>
          </w:tcPr>
          <w:p w14:paraId="4BA151A3"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06C5AAB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sec-8</w:t>
            </w:r>
          </w:p>
        </w:tc>
        <w:tc>
          <w:tcPr>
            <w:tcW w:w="3690" w:type="dxa"/>
            <w:tcBorders>
              <w:top w:val="nil"/>
              <w:left w:val="nil"/>
              <w:bottom w:val="single" w:sz="4" w:space="0" w:color="auto"/>
              <w:right w:val="single" w:sz="4" w:space="0" w:color="auto"/>
            </w:tcBorders>
            <w:shd w:val="clear" w:color="000000" w:fill="E7E6E6"/>
            <w:noWrap/>
            <w:vAlign w:val="center"/>
            <w:hideMark/>
          </w:tcPr>
          <w:p w14:paraId="6831FEE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TCG ATT AAG AAA AGT GTA ACA GCT C</w:t>
            </w:r>
          </w:p>
        </w:tc>
        <w:tc>
          <w:tcPr>
            <w:tcW w:w="3780" w:type="dxa"/>
            <w:tcBorders>
              <w:top w:val="nil"/>
              <w:left w:val="nil"/>
              <w:bottom w:val="single" w:sz="4" w:space="0" w:color="auto"/>
              <w:right w:val="single" w:sz="4" w:space="0" w:color="auto"/>
            </w:tcBorders>
            <w:shd w:val="clear" w:color="000000" w:fill="E7E6E6"/>
            <w:noWrap/>
            <w:vAlign w:val="center"/>
            <w:hideMark/>
          </w:tcPr>
          <w:p w14:paraId="610D8D8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AGC TAG TTC CTT ATA ACA GC</w:t>
            </w:r>
          </w:p>
        </w:tc>
        <w:tc>
          <w:tcPr>
            <w:tcW w:w="1620" w:type="dxa"/>
            <w:tcBorders>
              <w:top w:val="nil"/>
              <w:left w:val="nil"/>
              <w:bottom w:val="single" w:sz="4" w:space="0" w:color="auto"/>
              <w:right w:val="single" w:sz="4" w:space="0" w:color="auto"/>
            </w:tcBorders>
            <w:shd w:val="clear" w:color="000000" w:fill="E7E6E6"/>
            <w:noWrap/>
            <w:vAlign w:val="center"/>
            <w:hideMark/>
          </w:tcPr>
          <w:p w14:paraId="5FFB868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930</w:t>
            </w:r>
          </w:p>
        </w:tc>
        <w:tc>
          <w:tcPr>
            <w:tcW w:w="1620" w:type="dxa"/>
            <w:tcBorders>
              <w:top w:val="nil"/>
              <w:left w:val="nil"/>
              <w:bottom w:val="single" w:sz="4" w:space="0" w:color="auto"/>
              <w:right w:val="single" w:sz="4" w:space="0" w:color="auto"/>
            </w:tcBorders>
            <w:shd w:val="clear" w:color="000000" w:fill="E7E6E6"/>
            <w:noWrap/>
            <w:vAlign w:val="center"/>
            <w:hideMark/>
          </w:tcPr>
          <w:p w14:paraId="4F64C70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No detection of </w:t>
            </w:r>
            <w:r w:rsidRPr="006C34E3">
              <w:rPr>
                <w:rFonts w:eastAsia="Times New Roman" w:cs="Times New Roman"/>
                <w:i/>
                <w:sz w:val="16"/>
                <w:szCs w:val="16"/>
              </w:rPr>
              <w:t xml:space="preserve">sec </w:t>
            </w:r>
            <w:r w:rsidRPr="006C34E3">
              <w:rPr>
                <w:rFonts w:eastAsia="Times New Roman" w:cs="Times New Roman"/>
                <w:sz w:val="16"/>
                <w:szCs w:val="16"/>
              </w:rPr>
              <w:t>according to preset criteria</w:t>
            </w:r>
          </w:p>
        </w:tc>
        <w:tc>
          <w:tcPr>
            <w:tcW w:w="1530" w:type="dxa"/>
            <w:tcBorders>
              <w:top w:val="nil"/>
              <w:left w:val="nil"/>
              <w:bottom w:val="single" w:sz="4" w:space="0" w:color="auto"/>
              <w:right w:val="single" w:sz="4" w:space="0" w:color="auto"/>
            </w:tcBorders>
            <w:shd w:val="clear" w:color="000000" w:fill="E7E6E6"/>
            <w:noWrap/>
            <w:vAlign w:val="center"/>
            <w:hideMark/>
          </w:tcPr>
          <w:p w14:paraId="683342A9" w14:textId="0FDF183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{"citationItems":[{"id":"ITEM-1","itemData":{"DOI":"10.1128/JB.183.1.63-70.2001","ISSN":"00219193","PMID":"11114901","abstract":"Previous studies have demonstrated that a proportion of Staphylococcus aureus isolates from bovine mastitis coproduce toxic shock syndrome toxin (TSST) and staphylococcal enterotoxin C (SEC). In this study, molecular genetic analysis of one such strain, RF122, revealed the presence of a 15,891-bp putative pathogenicity island (SaPIbov) encoding the genes for TSST (tst), the SEC bovine variant (sec-bovine), and a gene (sel) which encodes an enterotoxin-like protein. The island contains 21 open reading frames specifying hypothetical proteins longer than 60 amino acids including an integrase-like gene. The element is bordered by 74-bp direct repeats at the left and right junctions, and the integration site lies adjacent to the 3' end of the GMP synthase gene (gmps) in the S. aureus chromosome. SaPIbov contains a central region of sequence identity with the previously characterized tst pathogenicity island SaPI1 (J. A. Lindsay et al., Mol. Microbiol. 29:527-543, 1998). A closely related strain, RF120, of the same multilocus enzyme electrophoretic type, random amplified polymorphic DNA type, and ribotype, does not contain the island, implying that the element is mobile and that a recent insertion/deletion event has taken place. TSST and TSST/SEC-deficient mutants of S. aureus strain RF122 were constructed by allele replacement. In vitro bovine Vβ-specific lymphocyte expansion analysis by culture supernatants of wild-type strains and of tst and sec-bovine allele replacement mutants revealed that TSST stimulates BTB13-specific T cells whereas SEC-bovine stimulates BTB93-specific T cells. This suggests that the presence of SaPIbov may contribute to modulation of the bovine immune response.","author":[{"dropping-particle":"","family":"Fitzgerald","given":"J. R.","non-dropping-particle":"","parse-names":false,"suffix":""},{"dropping-particle":"","family":"Monday","given":"S. R.","non-dropping-particle":"","parse-names":false,"suffix":""},{"dropping-particle":"","family":"Foster","given":"T. J.","non-dropping-particle":"","parse-names":false,"suffix":""},{"dropping-particle":"","family":"Bohach","given":"G. A.","non-dropping-particle":"","parse-names":false,"suffix":""},{"dropping-particle":"","family":"Hartigan","given":"P. J.","non-dropping-particle":"","parse-names":false,"suffix":""},{"dropping-particle":"","family":"Meaney","given":"W. J.","non-dropping-particle":"","parse-names":false,"suffix":""},{"dropping-particle":"","family":"Smyth","given":"C. J.","non-dropping-particle":"","parse-names":false,"suffix":""}],"container-title":"Journal of Bacteriology","id":"ITEM-1","issue":"1","issued":{"date-parts":[["2001"]]},"page":"63-70","title":"Characterization of a putative pathogenicity island from bovine Staphylococcus aureus encoding multiple superantigens","type":"article-journal","volume":"183"},"uris":["http://www.mendeley.com/documents/?uuid=8ec1909c-f8a6-4258-a390-828858ae19fd"]}],"mendeley":{"formattedCitation":"(Fitzgerald et al., 2001)","plainTextFormattedCitation":"(Fitzgerald et al., 2001)","previouslyFormattedCitation":"(Fitzgerald et al., 2001)"},"properties":{"noteIndex":0},"schema":"https://github.com/citation-style-language/schema/raw/master/csl-citation.json"}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(Fitzgerald et al., 2001)</w:t>
            </w:r>
            <w:r w:rsidRPr="006C34E3">
              <w:rPr>
                <w:rFonts w:eastAsia="Times New Roman" w:cs="Times New Roman"/>
                <w:color w:val="000000"/>
                <w:sz w:val="16"/>
                <w:szCs w:val="16"/>
              </w:rPr>
              <w:fldChar w:fldCharType="end"/>
            </w:r>
          </w:p>
        </w:tc>
      </w:tr>
      <w:tr w:rsidR="00F90100" w:rsidRPr="006C34E3" w14:paraId="422BDEDF" w14:textId="77777777" w:rsidTr="00C662E9">
        <w:trPr>
          <w:trHeight w:val="288"/>
        </w:trPr>
        <w:tc>
          <w:tcPr>
            <w:tcW w:w="630" w:type="dxa"/>
            <w:vMerge/>
            <w:tcBorders>
              <w:left w:val="single" w:sz="4" w:space="0" w:color="auto"/>
              <w:right w:val="single" w:sz="4" w:space="0" w:color="auto"/>
            </w:tcBorders>
            <w:vAlign w:val="center"/>
            <w:hideMark/>
          </w:tcPr>
          <w:p w14:paraId="0910D52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5CE9C8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sec-9</w:t>
            </w:r>
          </w:p>
        </w:tc>
        <w:tc>
          <w:tcPr>
            <w:tcW w:w="3690" w:type="dxa"/>
            <w:tcBorders>
              <w:top w:val="nil"/>
              <w:left w:val="nil"/>
              <w:bottom w:val="single" w:sz="4" w:space="0" w:color="auto"/>
              <w:right w:val="single" w:sz="4" w:space="0" w:color="auto"/>
            </w:tcBorders>
            <w:shd w:val="clear" w:color="auto" w:fill="auto"/>
            <w:noWrap/>
            <w:vAlign w:val="center"/>
            <w:hideMark/>
          </w:tcPr>
          <w:p w14:paraId="4256B81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GTA AAG TTA CAG GTG GCA AAA CTT G</w:t>
            </w:r>
          </w:p>
        </w:tc>
        <w:tc>
          <w:tcPr>
            <w:tcW w:w="3780" w:type="dxa"/>
            <w:tcBorders>
              <w:top w:val="nil"/>
              <w:left w:val="nil"/>
              <w:bottom w:val="single" w:sz="4" w:space="0" w:color="auto"/>
              <w:right w:val="single" w:sz="4" w:space="0" w:color="auto"/>
            </w:tcBorders>
            <w:shd w:val="clear" w:color="auto" w:fill="auto"/>
            <w:noWrap/>
            <w:vAlign w:val="center"/>
            <w:hideMark/>
          </w:tcPr>
          <w:p w14:paraId="13E0F8D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ATC ATA CCA AAA AGT ATT GCC GT</w:t>
            </w:r>
          </w:p>
        </w:tc>
        <w:tc>
          <w:tcPr>
            <w:tcW w:w="1620" w:type="dxa"/>
            <w:tcBorders>
              <w:top w:val="nil"/>
              <w:left w:val="nil"/>
              <w:bottom w:val="single" w:sz="4" w:space="0" w:color="auto"/>
              <w:right w:val="single" w:sz="4" w:space="0" w:color="auto"/>
            </w:tcBorders>
            <w:shd w:val="clear" w:color="auto" w:fill="auto"/>
            <w:noWrap/>
            <w:vAlign w:val="center"/>
            <w:hideMark/>
          </w:tcPr>
          <w:p w14:paraId="38B60EB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297</w:t>
            </w:r>
          </w:p>
        </w:tc>
        <w:tc>
          <w:tcPr>
            <w:tcW w:w="1620" w:type="dxa"/>
            <w:tcBorders>
              <w:top w:val="nil"/>
              <w:left w:val="nil"/>
              <w:bottom w:val="single" w:sz="4" w:space="0" w:color="auto"/>
              <w:right w:val="single" w:sz="4" w:space="0" w:color="auto"/>
            </w:tcBorders>
            <w:shd w:val="clear" w:color="auto" w:fill="auto"/>
            <w:noWrap/>
            <w:vAlign w:val="center"/>
            <w:hideMark/>
          </w:tcPr>
          <w:p w14:paraId="3B5F637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5769B2D" w14:textId="68CC093A"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24666FF2" w14:textId="77777777" w:rsidTr="00C662E9">
        <w:trPr>
          <w:trHeight w:val="288"/>
        </w:trPr>
        <w:tc>
          <w:tcPr>
            <w:tcW w:w="630" w:type="dxa"/>
            <w:vMerge/>
            <w:tcBorders>
              <w:left w:val="single" w:sz="4" w:space="0" w:color="auto"/>
              <w:right w:val="single" w:sz="4" w:space="0" w:color="auto"/>
            </w:tcBorders>
            <w:vAlign w:val="center"/>
            <w:hideMark/>
          </w:tcPr>
          <w:p w14:paraId="2811DC7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04397B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sec-10</w:t>
            </w:r>
          </w:p>
        </w:tc>
        <w:tc>
          <w:tcPr>
            <w:tcW w:w="3690" w:type="dxa"/>
            <w:tcBorders>
              <w:top w:val="nil"/>
              <w:left w:val="nil"/>
              <w:bottom w:val="single" w:sz="4" w:space="0" w:color="auto"/>
              <w:right w:val="single" w:sz="4" w:space="0" w:color="auto"/>
            </w:tcBorders>
            <w:shd w:val="clear" w:color="auto" w:fill="auto"/>
            <w:noWrap/>
            <w:vAlign w:val="center"/>
            <w:hideMark/>
          </w:tcPr>
          <w:p w14:paraId="4C1F790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AGA TGA AGT AGT TGA TGT GTA TGG</w:t>
            </w:r>
          </w:p>
        </w:tc>
        <w:tc>
          <w:tcPr>
            <w:tcW w:w="3780" w:type="dxa"/>
            <w:tcBorders>
              <w:top w:val="nil"/>
              <w:left w:val="nil"/>
              <w:bottom w:val="single" w:sz="4" w:space="0" w:color="auto"/>
              <w:right w:val="single" w:sz="4" w:space="0" w:color="auto"/>
            </w:tcBorders>
            <w:shd w:val="clear" w:color="auto" w:fill="auto"/>
            <w:noWrap/>
            <w:vAlign w:val="center"/>
            <w:hideMark/>
          </w:tcPr>
          <w:p w14:paraId="6E72FAE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CAC ACT TTT AGA ATC AAC CG</w:t>
            </w:r>
          </w:p>
        </w:tc>
        <w:tc>
          <w:tcPr>
            <w:tcW w:w="1620" w:type="dxa"/>
            <w:tcBorders>
              <w:top w:val="nil"/>
              <w:left w:val="nil"/>
              <w:bottom w:val="single" w:sz="4" w:space="0" w:color="auto"/>
              <w:right w:val="single" w:sz="4" w:space="0" w:color="auto"/>
            </w:tcBorders>
            <w:shd w:val="clear" w:color="auto" w:fill="auto"/>
            <w:noWrap/>
            <w:vAlign w:val="center"/>
            <w:hideMark/>
          </w:tcPr>
          <w:p w14:paraId="4C1139D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451</w:t>
            </w:r>
          </w:p>
        </w:tc>
        <w:tc>
          <w:tcPr>
            <w:tcW w:w="1620" w:type="dxa"/>
            <w:tcBorders>
              <w:top w:val="nil"/>
              <w:left w:val="nil"/>
              <w:bottom w:val="single" w:sz="4" w:space="0" w:color="auto"/>
              <w:right w:val="single" w:sz="4" w:space="0" w:color="auto"/>
            </w:tcBorders>
            <w:shd w:val="clear" w:color="auto" w:fill="auto"/>
            <w:noWrap/>
            <w:vAlign w:val="center"/>
            <w:hideMark/>
          </w:tcPr>
          <w:p w14:paraId="4BE44ADD"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1018D9C1" w14:textId="5432717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{"citationItems":[{"id":"ITEM-1","itemData":{"DOI":"10.1128/JCM.38.3.1032-1035.2000","ISSN":"0095-1137","PMID":"10698991","abstract":"A multiplex PCR assay for detection of genes for staphylococcal enterotoxins A to E ( entA , entB , entC , entD , and entE ), toxic shock syndrome toxin 1 ( tst ), exfoliative toxins A and B ( etaA and etaB ), and intrinsic methicillin resistance ( mecA ) was developed. Detection of femA was used as an internal positive control. The multiplex PCR assay combined the primers for sea to see and femA in one set and those for eta , etb , tst , mecA , and femA in the other set. Validation of the assay was performed using 176 human isolates of Staphylococcus aureus . This assay offers a very specific, quick, reliable, and inexpensive alternative to conventional PCR assays used in clinical laboratories to identify various staphylococcal toxin genes.","author":[{"dropping-particle":"","family":"Mehrotra","given":"Manisha","non-dropping-particle":"","parse-names":false,"suffix":""},{"dropping-particle":"","family":"Wang","given":"Gehua","non-dropping-particle":"","parse-names":false,"suffix":""},{"dropping-particle":"","family":"Johnson","given":"Wendy M.","non-dropping-particle":"","parse-names":false,"suffix":""}],"container-title":"Journal of Clinical Microbiology","id":"ITEM-1","issue":"3","issued":{"date-parts":[["2000","3"]]},"page":"1032-1035","title":"Multiplex PCR for Detection of Genes for Staphylococcus aureus Enterotoxins, Exfoliative Toxins, Toxic Shock Syndrome Toxin 1, and Methicillin Resistance","type":"article-journal","volume":"38"},"uris":["http://www.mendeley.com/documents/?uuid=a76480ad-cab3-40cb-a0c4-28af1ee8fe04"]},{"id":"ITEM-2","itemData":{"DOI":"10.3389/fmicb.2015.00882","ISSN":"1664-302X","abstract":"Staphylococcal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MLVA","type":"article-journal","volume":"6"},"uris":["http://www.mendeley.com/documents/?uuid=fc1715b7-49a3-4430-b1bf-38feeadd5075"]}],"mendeley":{"formattedCitation":"(Mehrotra et al., 2000; Roussel et al., 2015)","plainTextFormattedCitation":"(Mehrotra et al., 2000; Roussel et al., 2015)","previouslyFormattedCitation":"(Mehrotra et al., 2000;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(Mehrotra et al., 2000; Roussel et al., 2015)</w:t>
            </w:r>
            <w:r w:rsidRPr="006C34E3">
              <w:rPr>
                <w:rFonts w:eastAsia="Times New Roman" w:cs="Times New Roman"/>
                <w:color w:val="000000"/>
                <w:sz w:val="16"/>
                <w:szCs w:val="16"/>
              </w:rPr>
              <w:fldChar w:fldCharType="end"/>
            </w:r>
          </w:p>
        </w:tc>
      </w:tr>
      <w:tr w:rsidR="00F90100" w:rsidRPr="006C34E3" w14:paraId="216B9205" w14:textId="77777777" w:rsidTr="00C662E9">
        <w:trPr>
          <w:trHeight w:val="288"/>
        </w:trPr>
        <w:tc>
          <w:tcPr>
            <w:tcW w:w="630" w:type="dxa"/>
            <w:vMerge/>
            <w:tcBorders>
              <w:left w:val="single" w:sz="4" w:space="0" w:color="auto"/>
              <w:right w:val="single" w:sz="4" w:space="0" w:color="auto"/>
            </w:tcBorders>
            <w:vAlign w:val="center"/>
            <w:hideMark/>
          </w:tcPr>
          <w:p w14:paraId="08E15E8D"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8F4ED3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sec-11</w:t>
            </w:r>
          </w:p>
        </w:tc>
        <w:tc>
          <w:tcPr>
            <w:tcW w:w="3690" w:type="dxa"/>
            <w:tcBorders>
              <w:top w:val="nil"/>
              <w:left w:val="nil"/>
              <w:bottom w:val="single" w:sz="4" w:space="0" w:color="auto"/>
              <w:right w:val="single" w:sz="4" w:space="0" w:color="auto"/>
            </w:tcBorders>
            <w:shd w:val="clear" w:color="auto" w:fill="auto"/>
            <w:noWrap/>
            <w:vAlign w:val="center"/>
            <w:hideMark/>
          </w:tcPr>
          <w:p w14:paraId="773D0DF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CTT TGA TAA TGG GAA CTT AC</w:t>
            </w:r>
          </w:p>
        </w:tc>
        <w:tc>
          <w:tcPr>
            <w:tcW w:w="3780" w:type="dxa"/>
            <w:tcBorders>
              <w:top w:val="nil"/>
              <w:left w:val="nil"/>
              <w:bottom w:val="single" w:sz="4" w:space="0" w:color="auto"/>
              <w:right w:val="single" w:sz="4" w:space="0" w:color="auto"/>
            </w:tcBorders>
            <w:shd w:val="clear" w:color="auto" w:fill="auto"/>
            <w:noWrap/>
            <w:vAlign w:val="center"/>
            <w:hideMark/>
          </w:tcPr>
          <w:p w14:paraId="7C4E161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GAT TGG TCA AAC TTA TCG CCT GG</w:t>
            </w:r>
          </w:p>
        </w:tc>
        <w:tc>
          <w:tcPr>
            <w:tcW w:w="1620" w:type="dxa"/>
            <w:tcBorders>
              <w:top w:val="nil"/>
              <w:left w:val="nil"/>
              <w:bottom w:val="single" w:sz="4" w:space="0" w:color="auto"/>
              <w:right w:val="single" w:sz="4" w:space="0" w:color="auto"/>
            </w:tcBorders>
            <w:shd w:val="clear" w:color="auto" w:fill="auto"/>
            <w:noWrap/>
            <w:vAlign w:val="center"/>
            <w:hideMark/>
          </w:tcPr>
          <w:p w14:paraId="5AB294A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270</w:t>
            </w:r>
          </w:p>
        </w:tc>
        <w:tc>
          <w:tcPr>
            <w:tcW w:w="1620" w:type="dxa"/>
            <w:tcBorders>
              <w:top w:val="nil"/>
              <w:left w:val="nil"/>
              <w:bottom w:val="single" w:sz="4" w:space="0" w:color="auto"/>
              <w:right w:val="single" w:sz="4" w:space="0" w:color="auto"/>
            </w:tcBorders>
            <w:shd w:val="clear" w:color="auto" w:fill="auto"/>
            <w:noWrap/>
            <w:vAlign w:val="center"/>
            <w:hideMark/>
          </w:tcPr>
          <w:p w14:paraId="0FFE715D"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F4FBF53" w14:textId="35B07AC4"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{"citationItems":[{"id":"ITEM-1","itemData":{"DOI":"10.1099/00222615-47-4-335","ISSN":"0022-2615","PMID":"9569000","abstract":"As well as conventional methods such as immunodiffusion, ELISA, or agglutination for the detection of toxin production in Staphylococcus aureus, amplification techniques like PCR allow a very sensitive and specific identification of the genes responsible for enterotoxin B and C, and TSST-1 production. These toxins might be a cause of the toxic shock syndrome (TSS). For that reason an easy and quick test system for determining the toxin production pattern of S. aureus isolates is desirable so that strains suspected to be toxin producers may be identified much faster and easier. In the present investigation, a new multiplex-PCR method was used that allowed single bacterial colonies grown on agar plates to be used directly in the PCR assay without preceding preparation. This procedure generated information concerning the presence of seb, sec-1 and tst genes within 4 h in a single test. To analyse the sensitivity and the specificity of this procedure, 100 methicillin-resistant S. aureus (MRSA), 50 coagulase-negative staphylococci and 50 other eubacterial isolates were tested initially with sets of single primer pairs followed by a combined multiplex-PCR. Results of this amplification technique were compared to a conventional and widely used method for toxin detection, reversed passive latex agglutination (RPLA). With the RPLA assay results as the basis, sensitivity and specificity of the seb and tst primer sets were 100%, whereas sensitivity and specificity of the sec-1 primer set were 100% and 82%, respectively. With the sec-1 primer set, two isolates were identified as carrying the corresponding toxin gene although the RPLA test did not show any detectable toxin. The multipler-PCR rapidly generated reliable information concerning the toxin-producing capacity of staphylococcal strains and could be easily integrated into a multiplex procedure described previously. The latter enabled the identification of specific PCR products for eubacteria and staphylococci as well as the detection of the coa and mecA genes.","author":[{"dropping-particle":"","family":"Schmitz","given":"F.-J.","non-dropping-particle":"","parse-names":false,"suffix":""},{"dropping-particle":"","family":"Steiert","given":"M.","non-dropping-particle":"","parse-names":false,"suffix":""},{"dropping-particle":"","family":"Hofmann","given":"B.","non-dropping-particle":"","parse-names":false,"suffix":""},{"dropping-particle":"","family":"Verhoef","given":"J.","non-dropping-particle":"","parse-names":false,"suffix":""},{"dropping-particle":"","family":"Hadding","given":"U.","non-dropping-particle":"","parse-names":false,"suffix":""},{"dropping-particle":"","family":"Heinz","given":"H.-P.","non-dropping-particle":"","parse-names":false,"suffix":""},{"dropping-particle":"","family":"Kohrer","given":"K.","non-dropping-particle":"","parse-names":false,"suffix":""}],"container-title":"Journal of Medical Microbiology","id":"ITEM-1","issue":"4","issued":{"date-parts":[["1998","4","1"]]},"page":"335-340","title":"Development of a multiplex-PCR for direct detection of the genes for enterotoxin B and C, and toxic shock syndrome toxin-1 in Staphylococcus aureus isolates","type":"article-journal","volume":"47"},"uris":["http://www.mendeley.com/documents/?uuid=b43a9697-a955-4269-bd1e-a4bf99f8e670"]}],"mendeley":{"formattedCitation":"(Schmitz et al., 1998)","plainTextFormattedCitation":"(Schmitz et al., 1998)","previouslyFormattedCitation":"(Schmitz et al., 1998)"},"properties":{"noteIndex":0},"schema":"https://github.com/citation-style-language/schema/raw/master/csl-citation.json"}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(Schmitz et al., 1998)</w:t>
            </w:r>
            <w:r w:rsidRPr="006C34E3">
              <w:rPr>
                <w:rFonts w:eastAsia="Times New Roman" w:cs="Times New Roman"/>
                <w:color w:val="000000"/>
                <w:sz w:val="16"/>
                <w:szCs w:val="16"/>
              </w:rPr>
              <w:fldChar w:fldCharType="end"/>
            </w:r>
          </w:p>
        </w:tc>
      </w:tr>
      <w:tr w:rsidR="00F90100" w:rsidRPr="006C34E3" w14:paraId="73B00926" w14:textId="77777777" w:rsidTr="00C662E9">
        <w:trPr>
          <w:trHeight w:val="288"/>
        </w:trPr>
        <w:tc>
          <w:tcPr>
            <w:tcW w:w="630" w:type="dxa"/>
            <w:vMerge/>
            <w:tcBorders>
              <w:left w:val="single" w:sz="4" w:space="0" w:color="auto"/>
              <w:bottom w:val="nil"/>
              <w:right w:val="single" w:sz="4" w:space="0" w:color="auto"/>
            </w:tcBorders>
            <w:vAlign w:val="center"/>
          </w:tcPr>
          <w:p w14:paraId="36CD8C8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0693FDA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sec-12</w:t>
            </w:r>
          </w:p>
        </w:tc>
        <w:tc>
          <w:tcPr>
            <w:tcW w:w="3690" w:type="dxa"/>
            <w:tcBorders>
              <w:top w:val="nil"/>
              <w:left w:val="nil"/>
              <w:bottom w:val="single" w:sz="4" w:space="0" w:color="auto"/>
              <w:right w:val="single" w:sz="4" w:space="0" w:color="auto"/>
            </w:tcBorders>
            <w:shd w:val="clear" w:color="auto" w:fill="auto"/>
            <w:noWrap/>
            <w:vAlign w:val="center"/>
          </w:tcPr>
          <w:p w14:paraId="7677439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ACC AGA CCC TAT GCC AGA TG</w:t>
            </w:r>
          </w:p>
        </w:tc>
        <w:tc>
          <w:tcPr>
            <w:tcW w:w="3780" w:type="dxa"/>
            <w:tcBorders>
              <w:top w:val="nil"/>
              <w:left w:val="nil"/>
              <w:bottom w:val="single" w:sz="4" w:space="0" w:color="auto"/>
              <w:right w:val="single" w:sz="4" w:space="0" w:color="auto"/>
            </w:tcBorders>
            <w:shd w:val="clear" w:color="auto" w:fill="auto"/>
            <w:noWrap/>
            <w:vAlign w:val="center"/>
          </w:tcPr>
          <w:p w14:paraId="5867DF3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TCC CAT TAT CAA AGT GGT TTC C</w:t>
            </w:r>
          </w:p>
        </w:tc>
        <w:tc>
          <w:tcPr>
            <w:tcW w:w="1620" w:type="dxa"/>
            <w:tcBorders>
              <w:top w:val="nil"/>
              <w:left w:val="nil"/>
              <w:bottom w:val="single" w:sz="4" w:space="0" w:color="auto"/>
              <w:right w:val="single" w:sz="4" w:space="0" w:color="auto"/>
            </w:tcBorders>
            <w:shd w:val="clear" w:color="auto" w:fill="auto"/>
            <w:noWrap/>
            <w:vAlign w:val="center"/>
          </w:tcPr>
          <w:p w14:paraId="23EB8DE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371</w:t>
            </w:r>
          </w:p>
        </w:tc>
        <w:tc>
          <w:tcPr>
            <w:tcW w:w="1620" w:type="dxa"/>
            <w:tcBorders>
              <w:top w:val="nil"/>
              <w:left w:val="nil"/>
              <w:bottom w:val="single" w:sz="4" w:space="0" w:color="auto"/>
              <w:right w:val="single" w:sz="4" w:space="0" w:color="auto"/>
            </w:tcBorders>
            <w:shd w:val="clear" w:color="auto" w:fill="auto"/>
            <w:noWrap/>
            <w:vAlign w:val="center"/>
          </w:tcPr>
          <w:p w14:paraId="1EAFF552"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5F62FDD0" w14:textId="7EBE3891" w:rsidR="00F90100" w:rsidRPr="006C34E3" w:rsidRDefault="00F90100" w:rsidP="00F90100">
            <w:pPr>
              <w:spacing w:before="0" w:after="0"/>
              <w:jc w:val="center"/>
              <w:rPr>
                <w:rFonts w:eastAsia="Times New Roman" w:cs="Times New Roman"/>
                <w:color w:val="000000"/>
                <w:sz w:val="16"/>
                <w:szCs w:val="16"/>
                <w:lang w:val="fr-FR"/>
              </w:rPr>
            </w:pPr>
            <w:r w:rsidRPr="006C34E3">
              <w:rPr>
                <w:rFonts w:eastAsia="Times New Roman" w:cs="Times New Roman"/>
                <w:color w:val="000000"/>
                <w:sz w:val="16"/>
                <w:szCs w:val="16"/>
                <w:lang w:val="fr-FR"/>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lang w:val="fr-FR"/>
              </w:rPr>
              <w:fldChar w:fldCharType="separate"/>
            </w:r>
            <w:r w:rsidR="00C662E9" w:rsidRPr="00C662E9">
              <w:rPr>
                <w:rFonts w:eastAsia="Times New Roman" w:cs="Times New Roman"/>
                <w:noProof/>
                <w:color w:val="000000"/>
                <w:sz w:val="16"/>
                <w:szCs w:val="16"/>
                <w:lang w:val="fr-FR"/>
              </w:rPr>
              <w:t>(Cremonesi et al., 2005)</w:t>
            </w:r>
            <w:r w:rsidRPr="006C34E3">
              <w:rPr>
                <w:rFonts w:eastAsia="Times New Roman" w:cs="Times New Roman"/>
                <w:color w:val="000000"/>
                <w:sz w:val="16"/>
                <w:szCs w:val="16"/>
                <w:lang w:val="fr-FR"/>
              </w:rPr>
              <w:fldChar w:fldCharType="end"/>
            </w:r>
          </w:p>
        </w:tc>
      </w:tr>
      <w:tr w:rsidR="00F90100" w:rsidRPr="006C34E3" w14:paraId="73932162"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435BE8EC"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sed</w:t>
            </w:r>
          </w:p>
        </w:tc>
        <w:tc>
          <w:tcPr>
            <w:tcW w:w="720" w:type="dxa"/>
            <w:tcBorders>
              <w:top w:val="nil"/>
              <w:left w:val="nil"/>
              <w:bottom w:val="single" w:sz="4" w:space="0" w:color="auto"/>
              <w:right w:val="single" w:sz="4" w:space="0" w:color="auto"/>
            </w:tcBorders>
            <w:shd w:val="clear" w:color="auto" w:fill="auto"/>
            <w:noWrap/>
            <w:vAlign w:val="center"/>
            <w:hideMark/>
          </w:tcPr>
          <w:p w14:paraId="380371C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sed-1</w:t>
            </w:r>
          </w:p>
        </w:tc>
        <w:tc>
          <w:tcPr>
            <w:tcW w:w="3690" w:type="dxa"/>
            <w:tcBorders>
              <w:top w:val="nil"/>
              <w:left w:val="nil"/>
              <w:bottom w:val="single" w:sz="4" w:space="0" w:color="auto"/>
              <w:right w:val="single" w:sz="4" w:space="0" w:color="auto"/>
            </w:tcBorders>
            <w:shd w:val="clear" w:color="auto" w:fill="auto"/>
            <w:noWrap/>
            <w:vAlign w:val="center"/>
            <w:hideMark/>
          </w:tcPr>
          <w:p w14:paraId="773113D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CTA GTT TGG TAA TAT CTC CTT TAA ACG</w:t>
            </w:r>
          </w:p>
        </w:tc>
        <w:tc>
          <w:tcPr>
            <w:tcW w:w="3780" w:type="dxa"/>
            <w:tcBorders>
              <w:top w:val="nil"/>
              <w:left w:val="nil"/>
              <w:bottom w:val="single" w:sz="4" w:space="0" w:color="auto"/>
              <w:right w:val="single" w:sz="4" w:space="0" w:color="auto"/>
            </w:tcBorders>
            <w:shd w:val="clear" w:color="auto" w:fill="auto"/>
            <w:noWrap/>
            <w:vAlign w:val="center"/>
            <w:hideMark/>
          </w:tcPr>
          <w:p w14:paraId="30D4226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TTA ATG CTA TAT CTT ATA GGG TAA ACA TC</w:t>
            </w:r>
          </w:p>
        </w:tc>
        <w:tc>
          <w:tcPr>
            <w:tcW w:w="1620" w:type="dxa"/>
            <w:tcBorders>
              <w:top w:val="nil"/>
              <w:left w:val="nil"/>
              <w:bottom w:val="single" w:sz="4" w:space="0" w:color="auto"/>
              <w:right w:val="single" w:sz="4" w:space="0" w:color="auto"/>
            </w:tcBorders>
            <w:shd w:val="clear" w:color="auto" w:fill="auto"/>
            <w:noWrap/>
            <w:vAlign w:val="center"/>
            <w:hideMark/>
          </w:tcPr>
          <w:p w14:paraId="5538EC3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319</w:t>
            </w:r>
          </w:p>
        </w:tc>
        <w:tc>
          <w:tcPr>
            <w:tcW w:w="1620" w:type="dxa"/>
            <w:tcBorders>
              <w:top w:val="nil"/>
              <w:left w:val="nil"/>
              <w:bottom w:val="single" w:sz="4" w:space="0" w:color="auto"/>
              <w:right w:val="single" w:sz="4" w:space="0" w:color="auto"/>
            </w:tcBorders>
            <w:shd w:val="clear" w:color="auto" w:fill="auto"/>
            <w:noWrap/>
            <w:vAlign w:val="center"/>
            <w:hideMark/>
          </w:tcPr>
          <w:p w14:paraId="03CBAEB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7F95733" w14:textId="594C20A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{"citationItems":[{"id":"ITEM-1","itemData":{"DOI":"10.1128/JCM.36.9.2548-2553.1998","ISSN":"0095-1137","PMID":"9705390","abstract":"Two multiplex PCR enzyme immunoassays (PCR-EIAs) were developed for Staphylococcus aureus exotoxin gene screening as an alternative to the conventional biological assays, which depend on detectable amounts of toxins produced. One set of oligonucleotide primers and probes was designed to search for enterotoxin A to E genes ( entA , entB , entC , entD , and entE ), and the other one was designed to detect the staphylococcal exfoliative toxin genes ( eta and etb ) and the toxic shock syndrome toxin 1 gene ( tst ). Oligonucleotide primers were used as published previously, modified or newly developed to meet the requirements of both good size-distinguishable amplification bands of multiplex PCR and the temperature limit of the uracil DNA glycosylase system for carryover protection. Amplification products were visualized by agarose gel electrophoresis, and specificity was controlled with the aid of a DNA EIA system using oligonucleotide probes derived from the sequences of the S. aureus toxin genes. PCR procedures were performed by using template nucleic acids extracted from a panel of S. aureus reference strains and from a collection of 50 clinical strains. The PCR results were compared with those of immunological toxin production assays. This multiplex PCR-EIA system offers an alternative method for the rapid, sensitive, specific, and simultaneous detection of the clinically important exotoxin potency of isolated S. aureus strains for diagnostic purposes as well as research studies.","author":[{"dropping-particle":"","family":"Becker","given":"Karsten","non-dropping-particle":"","parse-names":false,"suffix":""},{"dropping-particle":"","family":"Roth","given":"Ricarda","non-dropping-particle":"","parse-names":false,"suffix":""},{"dropping-particle":"","family":"Peters","given":"Georg","non-dropping-particle":"","parse-names":false,"suffix":""}],"container-title":"Journal of Clinical Microbiology","id":"ITEM-1","issue":"9","issued":{"date-parts":[["1998","9"]]},"page":"2548-2553","title":"Rapid and Specific Detection of Toxigenic Staphylococcus aureus : Use of Two Multiplex PCR Enzyme Immunoassays for Amplification and Hybridization of Staphylococcal Enterotoxin Genes, Exfoliative Toxin Genes, and Toxic Shock Syndrome Toxin 1 Gene","type":"article-journal","volume":"36"},"uris":["http://www.mendeley.com/documents/?uuid=4920ea92-c89c-41c6-8976-82596172d750"]}],"mendeley":{"formattedCitation":"(Becker et al., 1998)","plainTextFormattedCitation":"(Becker et al., 1998)","previouslyFormattedCitation":"(Becker et al., 1998)"},"properties":{"noteIndex":0},"schema":"https://github.com/citation-style-language/schema/raw/master/csl-citation.json"}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(Becker et al., 1998)</w:t>
            </w:r>
            <w:r w:rsidRPr="006C34E3">
              <w:rPr>
                <w:rFonts w:eastAsia="Times New Roman" w:cs="Times New Roman"/>
                <w:color w:val="000000"/>
                <w:sz w:val="16"/>
                <w:szCs w:val="16"/>
              </w:rPr>
              <w:fldChar w:fldCharType="end"/>
            </w:r>
          </w:p>
        </w:tc>
      </w:tr>
      <w:tr w:rsidR="00F90100" w:rsidRPr="006C34E3" w14:paraId="60F217F8" w14:textId="77777777" w:rsidTr="00C662E9">
        <w:trPr>
          <w:trHeight w:val="288"/>
        </w:trPr>
        <w:tc>
          <w:tcPr>
            <w:tcW w:w="630" w:type="dxa"/>
            <w:vMerge/>
            <w:tcBorders>
              <w:left w:val="single" w:sz="4" w:space="0" w:color="auto"/>
              <w:right w:val="single" w:sz="4" w:space="0" w:color="auto"/>
            </w:tcBorders>
            <w:vAlign w:val="center"/>
            <w:hideMark/>
          </w:tcPr>
          <w:p w14:paraId="6E748EFB"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89E200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sed-2</w:t>
            </w:r>
          </w:p>
        </w:tc>
        <w:tc>
          <w:tcPr>
            <w:tcW w:w="3690" w:type="dxa"/>
            <w:tcBorders>
              <w:top w:val="nil"/>
              <w:left w:val="nil"/>
              <w:bottom w:val="single" w:sz="4" w:space="0" w:color="auto"/>
              <w:right w:val="single" w:sz="4" w:space="0" w:color="auto"/>
            </w:tcBorders>
            <w:shd w:val="clear" w:color="auto" w:fill="auto"/>
            <w:noWrap/>
            <w:vAlign w:val="center"/>
            <w:hideMark/>
          </w:tcPr>
          <w:p w14:paraId="3540901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ATG TAT GGA GGT GTA AC</w:t>
            </w:r>
          </w:p>
        </w:tc>
        <w:tc>
          <w:tcPr>
            <w:tcW w:w="3780" w:type="dxa"/>
            <w:tcBorders>
              <w:top w:val="nil"/>
              <w:left w:val="nil"/>
              <w:bottom w:val="single" w:sz="4" w:space="0" w:color="auto"/>
              <w:right w:val="single" w:sz="4" w:space="0" w:color="auto"/>
            </w:tcBorders>
            <w:shd w:val="clear" w:color="auto" w:fill="auto"/>
            <w:noWrap/>
            <w:vAlign w:val="center"/>
            <w:hideMark/>
          </w:tcPr>
          <w:p w14:paraId="08E424B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TTC GGG AAA ATC ACC CTT AA</w:t>
            </w:r>
          </w:p>
        </w:tc>
        <w:tc>
          <w:tcPr>
            <w:tcW w:w="1620" w:type="dxa"/>
            <w:tcBorders>
              <w:top w:val="nil"/>
              <w:left w:val="nil"/>
              <w:bottom w:val="single" w:sz="4" w:space="0" w:color="auto"/>
              <w:right w:val="single" w:sz="4" w:space="0" w:color="auto"/>
            </w:tcBorders>
            <w:shd w:val="clear" w:color="auto" w:fill="auto"/>
            <w:noWrap/>
            <w:vAlign w:val="center"/>
            <w:hideMark/>
          </w:tcPr>
          <w:p w14:paraId="33602A1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306</w:t>
            </w:r>
          </w:p>
        </w:tc>
        <w:tc>
          <w:tcPr>
            <w:tcW w:w="1620" w:type="dxa"/>
            <w:tcBorders>
              <w:top w:val="nil"/>
              <w:left w:val="nil"/>
              <w:bottom w:val="single" w:sz="4" w:space="0" w:color="auto"/>
              <w:right w:val="single" w:sz="4" w:space="0" w:color="auto"/>
            </w:tcBorders>
            <w:shd w:val="clear" w:color="auto" w:fill="auto"/>
            <w:noWrap/>
            <w:vAlign w:val="center"/>
            <w:hideMark/>
          </w:tcPr>
          <w:p w14:paraId="0B3C5A87"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569A52B" w14:textId="4A9960DA"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{"citationItems":[{"id":"ITEM-1","itemData":{"DOI":"10.1128/AEM.66.4.1347-1353.2000","ISBN":"1159516162","ISSN":"0099-2240","PMID":"10742210","abstract":"We describe here the development of a single-reaction multiplex PCR assay for the enterotoxin genes from Staphylococcus aureus that utilizes a universal toxin gene primer in combination with toxin-specific primers to amplify characteristic toxin gene products. In combination with a new DNA purification method, the assay can detect enterotoxin genes A to E from a pure culture within 3 to 4 h. The test was used to characterize a diverse set of environmental S. aureus isolates, and a 99% correlation with toxin typing using standard immunological tests was found. The design of the assay allows it to be extended to include both newly characterized and as-yet-unknown toxin genes.","author":[{"dropping-particle":"","family":"Sharma","given":"Naresh K.","non-dropping-particle":"","parse-names":false,"suffix":""},{"dropping-particle":"","family":"Rees","given":"Catherine E. D.","non-dropping-particle":"","parse-names":false,"suffix":""},{"dropping-particle":"","family":"Dodd","given":"Christine E. R.","non-dropping-particle":"","parse-names":false,"suffix":""}],"container-title":"Applied and Environmental Microbiology","id":"ITEM-1","issue":"4","issued":{"date-parts":[["2000","4"]]},"page":"1347-1353","title":"Development of a Single-Reaction Multiplex PCR Toxin Typing Assay for Staphylococcus aureus Strains","type":"article-journal","volume":"66"},"uris":["http://www.mendeley.com/documents/?uuid=837f2478-e0d2-497a-9286-ee28290d960a"]}],"mendeley":{"formattedCitation":"(Sharma et al., 2000)","plainTextFormattedCitation":"(Sharma et al., 2000)","previouslyFormattedCitation":"(Sharma et al., 2000)"},"properties":{"noteIndex":0},"schema":"https://github.com/citation-style-language/schema/raw/master/csl-citation.json"}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(Sharma et al., 2000)</w:t>
            </w:r>
            <w:r w:rsidRPr="006C34E3">
              <w:rPr>
                <w:rFonts w:eastAsia="Times New Roman" w:cs="Times New Roman"/>
                <w:color w:val="000000"/>
                <w:sz w:val="16"/>
                <w:szCs w:val="16"/>
              </w:rPr>
              <w:fldChar w:fldCharType="end"/>
            </w:r>
          </w:p>
        </w:tc>
      </w:tr>
      <w:tr w:rsidR="00F90100" w:rsidRPr="006C34E3" w14:paraId="46540A76" w14:textId="77777777" w:rsidTr="00C662E9">
        <w:trPr>
          <w:trHeight w:val="288"/>
        </w:trPr>
        <w:tc>
          <w:tcPr>
            <w:tcW w:w="630" w:type="dxa"/>
            <w:vMerge/>
            <w:tcBorders>
              <w:left w:val="single" w:sz="4" w:space="0" w:color="auto"/>
              <w:right w:val="single" w:sz="4" w:space="0" w:color="auto"/>
            </w:tcBorders>
            <w:vAlign w:val="center"/>
            <w:hideMark/>
          </w:tcPr>
          <w:p w14:paraId="428E6B8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CBFB2C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sed-3</w:t>
            </w:r>
          </w:p>
        </w:tc>
        <w:tc>
          <w:tcPr>
            <w:tcW w:w="3690" w:type="dxa"/>
            <w:tcBorders>
              <w:top w:val="nil"/>
              <w:left w:val="nil"/>
              <w:bottom w:val="single" w:sz="4" w:space="0" w:color="auto"/>
              <w:right w:val="single" w:sz="4" w:space="0" w:color="auto"/>
            </w:tcBorders>
            <w:shd w:val="clear" w:color="auto" w:fill="auto"/>
            <w:noWrap/>
            <w:vAlign w:val="center"/>
            <w:hideMark/>
          </w:tcPr>
          <w:p w14:paraId="113A072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TTC GAA ATG CTG ATG GTT GT</w:t>
            </w:r>
          </w:p>
        </w:tc>
        <w:tc>
          <w:tcPr>
            <w:tcW w:w="3780" w:type="dxa"/>
            <w:tcBorders>
              <w:top w:val="nil"/>
              <w:left w:val="nil"/>
              <w:bottom w:val="single" w:sz="4" w:space="0" w:color="auto"/>
              <w:right w:val="single" w:sz="4" w:space="0" w:color="auto"/>
            </w:tcBorders>
            <w:shd w:val="clear" w:color="auto" w:fill="auto"/>
            <w:noWrap/>
            <w:vAlign w:val="center"/>
            <w:hideMark/>
          </w:tcPr>
          <w:p w14:paraId="7A317068"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AGC TAT CAT CAA TTT CTT TTC AAG C</w:t>
            </w:r>
          </w:p>
        </w:tc>
        <w:tc>
          <w:tcPr>
            <w:tcW w:w="1620" w:type="dxa"/>
            <w:tcBorders>
              <w:top w:val="nil"/>
              <w:left w:val="nil"/>
              <w:bottom w:val="single" w:sz="4" w:space="0" w:color="auto"/>
              <w:right w:val="single" w:sz="4" w:space="0" w:color="auto"/>
            </w:tcBorders>
            <w:shd w:val="clear" w:color="auto" w:fill="auto"/>
            <w:noWrap/>
            <w:vAlign w:val="center"/>
            <w:hideMark/>
          </w:tcPr>
          <w:p w14:paraId="55B22EA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1156</w:t>
            </w:r>
          </w:p>
        </w:tc>
        <w:tc>
          <w:tcPr>
            <w:tcW w:w="1620" w:type="dxa"/>
            <w:tcBorders>
              <w:top w:val="nil"/>
              <w:left w:val="nil"/>
              <w:bottom w:val="single" w:sz="4" w:space="0" w:color="auto"/>
              <w:right w:val="single" w:sz="4" w:space="0" w:color="auto"/>
            </w:tcBorders>
            <w:shd w:val="clear" w:color="auto" w:fill="auto"/>
            <w:noWrap/>
            <w:vAlign w:val="center"/>
            <w:hideMark/>
          </w:tcPr>
          <w:p w14:paraId="2FB5AE71"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67F1E7BC" w14:textId="681805A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{"citationItems":[{"id":"ITEM-1","itemData":{"DOI":"10.3390/toxins8060169","ISSN":"2072-6651","PMID":"27258311","abstract":"Ingestion of staphylococcal enterotoxins preformed by Staphylococcus aureus in food leads to staphylococcal food poisoning, the most prevalent foodborne intoxication worldwide. There are five major staphylococcal enterotoxins: SEA, SEB, SEC, SED, and SEE. While variants of these toxins have been described and were linked to specific hosts or levels or enterotoxin production, data on sequence variation is still limited. In this study, we aim to extend the knowledge on promoter and gene variants of the major enterotoxins SEB, SEC, and SED. To this end, we determined seb, sec, and sed promoter and gene sequences of a well-characterized set of enterotoxigenic Staphylococcus aureus strains originating from foodborne outbreaks, human infections, human nasal colonization, rabbits, and cattle. New nucleotide sequence variants were detected for all three enterotoxins and a novel amino acid sequence variant of SED was detected in a strain associated with human nasal colonization. While the seb promoter and gene sequences exhibited a high degree of variability, the sec and sed promoter and gene were more conserved. Interestingly, a truncated variant of sed was detected in all tested sed harboring rabbit strains. The generated data represents a further step towards improved understanding of strain-specific differences in enterotoxin expression and host-specific variation in enterotoxin sequences.","author":[{"dropping-particle":"","family":"Johler","given":"Sophia","non-dropping-particle":"","parse-names":false,"suffix":""},{"dropping-particle":"","family":"Sihto","given":"Henna-Maria","non-dropping-particle":"","parse-names":false,"suffix":""},{"dropping-particle":"","family":"Macori","given":"Guerrino","non-dropping-particle":"","parse-names":false,"suffix":""},{"dropping-particle":"","family":"Stephan","given":"Roger","non-dropping-particle":"","parse-names":false,"suffix":""}],"container-title":"Toxins","id":"ITEM-1","issue":"6","issued":{"date-parts":[["2016","6","1"]]},"page":"169","title":"Sequence Variability in Staphylococcal Enterotoxin Genes seb, sec, and sed","type":"article-journal","volume":"8"},"uris":["http://www.mendeley.com/documents/?uuid=d68cca5d-8e85-4314-a30c-6b17e28c7ea3"]}],"mendeley":{"formattedCitation":"(Johler et al., 2016)","plainTextFormattedCitation":"(Johler et al., 2016)","previouslyFormattedCitation":"(Johler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(Johler et al., 2016)</w:t>
            </w:r>
            <w:r w:rsidRPr="006C34E3">
              <w:rPr>
                <w:rFonts w:eastAsia="Times New Roman" w:cs="Times New Roman"/>
                <w:color w:val="000000"/>
                <w:sz w:val="16"/>
                <w:szCs w:val="16"/>
              </w:rPr>
              <w:fldChar w:fldCharType="end"/>
            </w:r>
          </w:p>
        </w:tc>
      </w:tr>
      <w:tr w:rsidR="00F90100" w:rsidRPr="006C34E3" w14:paraId="39203AF9" w14:textId="77777777" w:rsidTr="00C662E9">
        <w:trPr>
          <w:trHeight w:val="288"/>
        </w:trPr>
        <w:tc>
          <w:tcPr>
            <w:tcW w:w="630" w:type="dxa"/>
            <w:vMerge/>
            <w:tcBorders>
              <w:left w:val="single" w:sz="4" w:space="0" w:color="auto"/>
              <w:right w:val="single" w:sz="4" w:space="0" w:color="auto"/>
            </w:tcBorders>
            <w:vAlign w:val="center"/>
            <w:hideMark/>
          </w:tcPr>
          <w:p w14:paraId="212231AD"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7D8876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sed-4</w:t>
            </w:r>
          </w:p>
        </w:tc>
        <w:tc>
          <w:tcPr>
            <w:tcW w:w="3690" w:type="dxa"/>
            <w:tcBorders>
              <w:top w:val="nil"/>
              <w:left w:val="nil"/>
              <w:bottom w:val="single" w:sz="4" w:space="0" w:color="auto"/>
              <w:right w:val="single" w:sz="4" w:space="0" w:color="auto"/>
            </w:tcBorders>
            <w:shd w:val="clear" w:color="auto" w:fill="auto"/>
            <w:noWrap/>
            <w:vAlign w:val="center"/>
            <w:hideMark/>
          </w:tcPr>
          <w:p w14:paraId="08CF2DD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CTA GTT TGG TAA TAT CTC CT</w:t>
            </w:r>
          </w:p>
        </w:tc>
        <w:tc>
          <w:tcPr>
            <w:tcW w:w="3780" w:type="dxa"/>
            <w:tcBorders>
              <w:top w:val="nil"/>
              <w:left w:val="nil"/>
              <w:bottom w:val="single" w:sz="4" w:space="0" w:color="auto"/>
              <w:right w:val="single" w:sz="4" w:space="0" w:color="auto"/>
            </w:tcBorders>
            <w:shd w:val="clear" w:color="auto" w:fill="auto"/>
            <w:noWrap/>
            <w:vAlign w:val="center"/>
            <w:hideMark/>
          </w:tcPr>
          <w:p w14:paraId="0F1D9BFF" w14:textId="77777777" w:rsidR="00F90100" w:rsidRPr="00634D63" w:rsidRDefault="00F90100" w:rsidP="00F90100">
            <w:pPr>
              <w:spacing w:before="0" w:after="0"/>
              <w:jc w:val="center"/>
              <w:rPr>
                <w:rFonts w:eastAsia="Times New Roman" w:cs="Times New Roman"/>
                <w:sz w:val="16"/>
                <w:szCs w:val="16"/>
                <w:lang w:val="de-DE"/>
              </w:rPr>
            </w:pPr>
            <w:r w:rsidRPr="00634D63">
              <w:rPr>
                <w:rFonts w:eastAsia="Times New Roman" w:cs="Times New Roman"/>
                <w:sz w:val="16"/>
                <w:szCs w:val="16"/>
                <w:lang w:val="de-DE"/>
              </w:rPr>
              <w:t>TAA TGC TAT ATC TTA TAG GG</w:t>
            </w:r>
          </w:p>
        </w:tc>
        <w:tc>
          <w:tcPr>
            <w:tcW w:w="1620" w:type="dxa"/>
            <w:tcBorders>
              <w:top w:val="nil"/>
              <w:left w:val="nil"/>
              <w:bottom w:val="single" w:sz="4" w:space="0" w:color="auto"/>
              <w:right w:val="single" w:sz="4" w:space="0" w:color="auto"/>
            </w:tcBorders>
            <w:shd w:val="clear" w:color="auto" w:fill="auto"/>
            <w:noWrap/>
            <w:vAlign w:val="center"/>
            <w:hideMark/>
          </w:tcPr>
          <w:p w14:paraId="7DF63CC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317</w:t>
            </w:r>
          </w:p>
        </w:tc>
        <w:tc>
          <w:tcPr>
            <w:tcW w:w="1620" w:type="dxa"/>
            <w:tcBorders>
              <w:top w:val="nil"/>
              <w:left w:val="nil"/>
              <w:bottom w:val="single" w:sz="4" w:space="0" w:color="auto"/>
              <w:right w:val="single" w:sz="4" w:space="0" w:color="auto"/>
            </w:tcBorders>
            <w:shd w:val="clear" w:color="auto" w:fill="auto"/>
            <w:noWrap/>
            <w:vAlign w:val="center"/>
            <w:hideMark/>
          </w:tcPr>
          <w:p w14:paraId="6A86B8DE"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D6F125C" w14:textId="15FB9CA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{"citationItems":[{"id":"ITEM-1","itemData":{"DOI":"10.1128/jcm.29.3.426-430.1991","ISSN":"00951137","PMID":"2037659","abstract":"Eight pairs of synthetic oligonucleotide primers were used in a polymerase chain reaction (PCR) protocol to detect genes for staphylococcal enterotoxins A to E, exfoliative toxins A and B, and toxic shock syndrome toxin 1 in Staphylococcus aureus strains isolated from clinical specimens and contaminated foods. Primers were targeted to internal regions of the toxin genes, and amplification fragments were detected after the PCR by agarose gel electrophoresis. Unequivocal discrimination of toxin genes was obtained by the PCR by using nucleic acids extracted from 88 strains of S. aureus whose toxigenicity was established biologically and immunologically. In immunological assays, two strains of S. aureus produced equivocal results for production of enterotoxin C or toxic shock syndrome toxin 1, giving an overall concordance between phenotypic and genotypic identification of 97.7%. Primer specificity was established in the PCR by using nucleic acids from known toxin-producing bacterial pathogens and from nontoxigenic S. aureus. Strains of Streptococcus spp., including some producers of pyrogenic exotoxin A carrying the speA gene, were negative by the PCR designed to detect staphylococcal toxins. The detection limits were established for all the staphylococcal toxin genes within their respective PCR protocols. The identification of staphylococcal toxin genes in strains of S. aureus by the PCR offers a very specific, sensitive, relatively rapid, and inexpensive alternative to traditional immunological assays which depend on adequate gene expression for reliability and sensitivity.","author":[{"dropping-particle":"","family":"Johnson","given":"W. M.","non-dropping-particle":"","parse-names":false,"suffix":""},{"dropping-particle":"","family":"Tyler","given":"S. D.","non-dropping-particle":"","parse-names":false,"suffix":""},{"dropping-particle":"","family":"Ewan","given":"E. P.","non-dropping-particle":"","parse-names":false,"suffix":""},{"dropping-particle":"","family":"Ashton","given":"F. E.","non-dropping-particle":"","parse-names":false,"suffix":""},{"dropping-particle":"","family":"Pollard","given":"D. R.","non-dropping-particle":"","parse-names":false,"suffix":""},{"dropping-particle":"","family":"Rozee","given":"K. R.","non-dropping-particle":"","parse-names":false,"suffix":""}],"container-title":"Journal of Clinical Microbiology","id":"ITEM-1","issue":"3","issued":{"date-parts":[["1991"]]},"page":"426-430","title":"Detection of genes for enterotoxins, exfoliative toxins, and toxic shock syndrome toxin 1 in Staphylococcus aureus by the polymerase chain reaction","type":"article-journal","volume":"29"},"uris":["http://www.mendeley.com/documents/?uuid=6cd21d50-b015-46de-ae8a-e0719fc0471f"]}],"mendeley":{"formattedCitation":"(Johnson et al., 1991)","plainTextFormattedCitation":"(Johnson et al., 1991)","previouslyFormattedCitation":"(Johnson et al., 1991)"},"properties":{"noteIndex":0},"schema":"https://github.com/citation-style-language/schema/raw/master/csl-citation.json"}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(Johnson et al., 1991)</w:t>
            </w:r>
            <w:r w:rsidRPr="006C34E3">
              <w:rPr>
                <w:rFonts w:eastAsia="Times New Roman" w:cs="Times New Roman"/>
                <w:color w:val="000000"/>
                <w:sz w:val="16"/>
                <w:szCs w:val="16"/>
              </w:rPr>
              <w:fldChar w:fldCharType="end"/>
            </w:r>
          </w:p>
        </w:tc>
      </w:tr>
      <w:tr w:rsidR="00F90100" w:rsidRPr="006C34E3" w14:paraId="452B0890" w14:textId="77777777" w:rsidTr="00C662E9">
        <w:trPr>
          <w:trHeight w:val="288"/>
        </w:trPr>
        <w:tc>
          <w:tcPr>
            <w:tcW w:w="630" w:type="dxa"/>
            <w:vMerge/>
            <w:tcBorders>
              <w:left w:val="single" w:sz="4" w:space="0" w:color="auto"/>
              <w:right w:val="single" w:sz="4" w:space="0" w:color="auto"/>
            </w:tcBorders>
            <w:vAlign w:val="center"/>
            <w:hideMark/>
          </w:tcPr>
          <w:p w14:paraId="24833D5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9D53F7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sed-5</w:t>
            </w:r>
          </w:p>
        </w:tc>
        <w:tc>
          <w:tcPr>
            <w:tcW w:w="3690" w:type="dxa"/>
            <w:tcBorders>
              <w:top w:val="nil"/>
              <w:left w:val="nil"/>
              <w:bottom w:val="single" w:sz="4" w:space="0" w:color="auto"/>
              <w:right w:val="single" w:sz="4" w:space="0" w:color="auto"/>
            </w:tcBorders>
            <w:shd w:val="clear" w:color="auto" w:fill="auto"/>
            <w:noWrap/>
            <w:vAlign w:val="center"/>
            <w:hideMark/>
          </w:tcPr>
          <w:p w14:paraId="64F0CB0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ATA ATA GGA GAA AAT AAA AG</w:t>
            </w:r>
          </w:p>
        </w:tc>
        <w:tc>
          <w:tcPr>
            <w:tcW w:w="3780" w:type="dxa"/>
            <w:tcBorders>
              <w:top w:val="nil"/>
              <w:left w:val="nil"/>
              <w:bottom w:val="single" w:sz="4" w:space="0" w:color="auto"/>
              <w:right w:val="single" w:sz="4" w:space="0" w:color="auto"/>
            </w:tcBorders>
            <w:shd w:val="clear" w:color="auto" w:fill="auto"/>
            <w:noWrap/>
            <w:vAlign w:val="center"/>
            <w:hideMark/>
          </w:tcPr>
          <w:p w14:paraId="04A92BE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GGT ATT TTT TTT CGT TC</w:t>
            </w:r>
          </w:p>
        </w:tc>
        <w:tc>
          <w:tcPr>
            <w:tcW w:w="1620" w:type="dxa"/>
            <w:tcBorders>
              <w:top w:val="nil"/>
              <w:left w:val="nil"/>
              <w:bottom w:val="single" w:sz="4" w:space="0" w:color="auto"/>
              <w:right w:val="single" w:sz="4" w:space="0" w:color="auto"/>
            </w:tcBorders>
            <w:shd w:val="clear" w:color="auto" w:fill="auto"/>
            <w:noWrap/>
            <w:vAlign w:val="center"/>
            <w:hideMark/>
          </w:tcPr>
          <w:p w14:paraId="6906E3E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278</w:t>
            </w:r>
          </w:p>
        </w:tc>
        <w:tc>
          <w:tcPr>
            <w:tcW w:w="1620" w:type="dxa"/>
            <w:tcBorders>
              <w:top w:val="nil"/>
              <w:left w:val="nil"/>
              <w:bottom w:val="single" w:sz="4" w:space="0" w:color="auto"/>
              <w:right w:val="single" w:sz="4" w:space="0" w:color="auto"/>
            </w:tcBorders>
            <w:shd w:val="clear" w:color="auto" w:fill="auto"/>
            <w:noWrap/>
            <w:vAlign w:val="center"/>
            <w:hideMark/>
          </w:tcPr>
          <w:p w14:paraId="4862400E"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7C402DD4" w14:textId="60D5D41A"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{"citationItems":[{"id":"ITEM-1","itemData":{"DOI":"10.1128/JCM.38.3.1032-1035.2000","ISSN":"0095-1137","PMID":"10698991","abstract":"A multiplex PCR assay for detection of genes for staphylococcal enterotoxins A to E ( entA , entB , entC , entD , and entE ), toxic shock syndrome toxin 1 ( tst ), exfoliative toxins A and B ( etaA and etaB ), and intrinsic methicillin resistance ( mecA ) was developed. Detection of femA was used as an internal positive control. The multiplex PCR assay combined the primers for sea to see and femA in one set and those for eta , etb , tst , mecA , and femA in the other set. Validation of the assay was performed using 176 human isolates of Staphylococcus aureus . This assay offers a very specific, quick, reliable, and inexpensive alternative to conventional PCR assays used in clinical laboratories to identify various staphylococcal toxin genes.","author":[{"dropping-particle":"","family":"Mehrotra","given":"Manisha","non-dropping-particle":"","parse-names":false,"suffix":""},{"dropping-particle":"","family":"Wang","given":"Gehua","non-dropping-particle":"","parse-names":false,"suffix":""},{"dropping-particle":"","family":"Johnson","given":"Wendy M.","non-dropping-particle":"","parse-names":false,"suffix":""}],"container-title":"Journal of Clinical Microbiology","id":"ITEM-1","issue":"3","issued":{"date-parts":[["2000","3"]]},"page":"1032-1035","title":"Multiplex PCR for Detection of Genes for Staphylococcus aureus Enterotoxins, Exfoliative Toxins, Toxic Shock Syndrome Toxin 1, and Methicillin Resistance","type":"article-journal","volume":"38"},"uris":["http://www.mendeley.com/documents/?uuid=a76480ad-cab3-40cb-a0c4-28af1ee8fe04"]},{"id":"ITEM-2","itemData":{"DOI":"10.3389/fmicb.2015.00882","ISSN":"1664-302X","abstract":"Staphylococcal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MLVA","type":"article-journal","volume":"6"},"uris":["http://www.mendeley.com/documents/?uuid=fc1715b7-49a3-4430-b1bf-38feeadd5075"]}],"mendeley":{"formattedCitation":"(Mehrotra et al., 2000; Roussel et al., 2015)","plainTextFormattedCitation":"(Mehrotra et al., 2000; Roussel et al., 2015)","previouslyFormattedCitation":"(Mehrotra et al., 2000;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(Mehrotra et al., 2000; Roussel et al., 2015)</w:t>
            </w:r>
            <w:r w:rsidRPr="006C34E3">
              <w:rPr>
                <w:rFonts w:eastAsia="Times New Roman" w:cs="Times New Roman"/>
                <w:color w:val="000000"/>
                <w:sz w:val="16"/>
                <w:szCs w:val="16"/>
              </w:rPr>
              <w:fldChar w:fldCharType="end"/>
            </w:r>
          </w:p>
        </w:tc>
      </w:tr>
      <w:tr w:rsidR="00F90100" w:rsidRPr="006C34E3" w14:paraId="2E5FF3EB" w14:textId="77777777" w:rsidTr="00C662E9">
        <w:trPr>
          <w:trHeight w:val="288"/>
        </w:trPr>
        <w:tc>
          <w:tcPr>
            <w:tcW w:w="630" w:type="dxa"/>
            <w:vMerge/>
            <w:tcBorders>
              <w:left w:val="single" w:sz="4" w:space="0" w:color="auto"/>
              <w:right w:val="single" w:sz="4" w:space="0" w:color="auto"/>
            </w:tcBorders>
            <w:vAlign w:val="center"/>
            <w:hideMark/>
          </w:tcPr>
          <w:p w14:paraId="1EF4618B"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04ED42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sed-6</w:t>
            </w:r>
          </w:p>
        </w:tc>
        <w:tc>
          <w:tcPr>
            <w:tcW w:w="3690" w:type="dxa"/>
            <w:tcBorders>
              <w:top w:val="nil"/>
              <w:left w:val="nil"/>
              <w:bottom w:val="single" w:sz="4" w:space="0" w:color="auto"/>
              <w:right w:val="single" w:sz="4" w:space="0" w:color="auto"/>
            </w:tcBorders>
            <w:shd w:val="clear" w:color="auto" w:fill="auto"/>
            <w:noWrap/>
            <w:vAlign w:val="center"/>
            <w:hideMark/>
          </w:tcPr>
          <w:p w14:paraId="0B2EDBE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TTA AGT AGT ACC GCG CTA AAT AAT ATG</w:t>
            </w:r>
          </w:p>
        </w:tc>
        <w:tc>
          <w:tcPr>
            <w:tcW w:w="3780" w:type="dxa"/>
            <w:tcBorders>
              <w:top w:val="nil"/>
              <w:left w:val="nil"/>
              <w:bottom w:val="single" w:sz="4" w:space="0" w:color="auto"/>
              <w:right w:val="single" w:sz="4" w:space="0" w:color="auto"/>
            </w:tcBorders>
            <w:shd w:val="clear" w:color="auto" w:fill="auto"/>
            <w:noWrap/>
            <w:vAlign w:val="center"/>
            <w:hideMark/>
          </w:tcPr>
          <w:p w14:paraId="1FB6012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GCT GTA TTT TTC CTC CGA GAG T</w:t>
            </w:r>
          </w:p>
        </w:tc>
        <w:tc>
          <w:tcPr>
            <w:tcW w:w="1620" w:type="dxa"/>
            <w:tcBorders>
              <w:top w:val="nil"/>
              <w:left w:val="nil"/>
              <w:bottom w:val="single" w:sz="4" w:space="0" w:color="auto"/>
              <w:right w:val="single" w:sz="4" w:space="0" w:color="auto"/>
            </w:tcBorders>
            <w:shd w:val="clear" w:color="auto" w:fill="auto"/>
            <w:noWrap/>
            <w:vAlign w:val="center"/>
            <w:hideMark/>
          </w:tcPr>
          <w:p w14:paraId="245835A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492</w:t>
            </w:r>
          </w:p>
        </w:tc>
        <w:tc>
          <w:tcPr>
            <w:tcW w:w="1620" w:type="dxa"/>
            <w:tcBorders>
              <w:top w:val="nil"/>
              <w:left w:val="nil"/>
              <w:bottom w:val="single" w:sz="4" w:space="0" w:color="auto"/>
              <w:right w:val="single" w:sz="4" w:space="0" w:color="auto"/>
            </w:tcBorders>
            <w:shd w:val="clear" w:color="auto" w:fill="auto"/>
            <w:noWrap/>
            <w:vAlign w:val="center"/>
            <w:hideMark/>
          </w:tcPr>
          <w:p w14:paraId="670E14E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2443989" w14:textId="3EE58C34"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5BC50023" w14:textId="77777777" w:rsidTr="00C662E9">
        <w:trPr>
          <w:trHeight w:val="288"/>
        </w:trPr>
        <w:tc>
          <w:tcPr>
            <w:tcW w:w="630" w:type="dxa"/>
            <w:vMerge/>
            <w:tcBorders>
              <w:left w:val="single" w:sz="4" w:space="0" w:color="auto"/>
              <w:right w:val="single" w:sz="4" w:space="0" w:color="auto"/>
            </w:tcBorders>
            <w:vAlign w:val="center"/>
            <w:hideMark/>
          </w:tcPr>
          <w:p w14:paraId="321D4C3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901F5F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sed-7</w:t>
            </w:r>
          </w:p>
        </w:tc>
        <w:tc>
          <w:tcPr>
            <w:tcW w:w="3690" w:type="dxa"/>
            <w:tcBorders>
              <w:top w:val="nil"/>
              <w:left w:val="nil"/>
              <w:bottom w:val="single" w:sz="4" w:space="0" w:color="auto"/>
              <w:right w:val="single" w:sz="4" w:space="0" w:color="auto"/>
            </w:tcBorders>
            <w:shd w:val="clear" w:color="auto" w:fill="auto"/>
            <w:noWrap/>
            <w:vAlign w:val="center"/>
            <w:hideMark/>
          </w:tcPr>
          <w:p w14:paraId="4B467EC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GTG GTG AAA TAG ATA GGA CTG C</w:t>
            </w:r>
          </w:p>
        </w:tc>
        <w:tc>
          <w:tcPr>
            <w:tcW w:w="3780" w:type="dxa"/>
            <w:tcBorders>
              <w:top w:val="nil"/>
              <w:left w:val="nil"/>
              <w:bottom w:val="single" w:sz="4" w:space="0" w:color="auto"/>
              <w:right w:val="single" w:sz="4" w:space="0" w:color="auto"/>
            </w:tcBorders>
            <w:shd w:val="clear" w:color="auto" w:fill="auto"/>
            <w:noWrap/>
            <w:vAlign w:val="center"/>
            <w:hideMark/>
          </w:tcPr>
          <w:p w14:paraId="6A7A043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ATA TGA AGG TGC TCT GTG G</w:t>
            </w:r>
          </w:p>
        </w:tc>
        <w:tc>
          <w:tcPr>
            <w:tcW w:w="1620" w:type="dxa"/>
            <w:tcBorders>
              <w:top w:val="nil"/>
              <w:left w:val="nil"/>
              <w:bottom w:val="single" w:sz="4" w:space="0" w:color="auto"/>
              <w:right w:val="single" w:sz="4" w:space="0" w:color="auto"/>
            </w:tcBorders>
            <w:shd w:val="clear" w:color="auto" w:fill="auto"/>
            <w:noWrap/>
            <w:vAlign w:val="center"/>
            <w:hideMark/>
          </w:tcPr>
          <w:p w14:paraId="660071B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384</w:t>
            </w:r>
          </w:p>
        </w:tc>
        <w:tc>
          <w:tcPr>
            <w:tcW w:w="1620" w:type="dxa"/>
            <w:tcBorders>
              <w:top w:val="nil"/>
              <w:left w:val="nil"/>
              <w:bottom w:val="single" w:sz="4" w:space="0" w:color="auto"/>
              <w:right w:val="single" w:sz="4" w:space="0" w:color="auto"/>
            </w:tcBorders>
            <w:shd w:val="clear" w:color="auto" w:fill="auto"/>
            <w:noWrap/>
            <w:vAlign w:val="center"/>
            <w:hideMark/>
          </w:tcPr>
          <w:p w14:paraId="3A1875F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7726CCE" w14:textId="0B52755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660AB408" w14:textId="77777777" w:rsidTr="00C662E9">
        <w:trPr>
          <w:trHeight w:val="288"/>
        </w:trPr>
        <w:tc>
          <w:tcPr>
            <w:tcW w:w="630" w:type="dxa"/>
            <w:vMerge/>
            <w:tcBorders>
              <w:left w:val="single" w:sz="4" w:space="0" w:color="auto"/>
              <w:right w:val="single" w:sz="4" w:space="0" w:color="auto"/>
            </w:tcBorders>
            <w:vAlign w:val="center"/>
            <w:hideMark/>
          </w:tcPr>
          <w:p w14:paraId="2FA32EB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244AAF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sed-8</w:t>
            </w:r>
          </w:p>
        </w:tc>
        <w:tc>
          <w:tcPr>
            <w:tcW w:w="3690" w:type="dxa"/>
            <w:tcBorders>
              <w:top w:val="nil"/>
              <w:left w:val="nil"/>
              <w:bottom w:val="single" w:sz="4" w:space="0" w:color="auto"/>
              <w:right w:val="single" w:sz="4" w:space="0" w:color="auto"/>
            </w:tcBorders>
            <w:shd w:val="clear" w:color="auto" w:fill="auto"/>
            <w:noWrap/>
            <w:vAlign w:val="center"/>
            <w:hideMark/>
          </w:tcPr>
          <w:p w14:paraId="3F601A0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GAG GTG TCA CTC CAC ACG AA</w:t>
            </w:r>
          </w:p>
        </w:tc>
        <w:tc>
          <w:tcPr>
            <w:tcW w:w="3780" w:type="dxa"/>
            <w:tcBorders>
              <w:top w:val="nil"/>
              <w:left w:val="nil"/>
              <w:bottom w:val="single" w:sz="4" w:space="0" w:color="auto"/>
              <w:right w:val="single" w:sz="4" w:space="0" w:color="auto"/>
            </w:tcBorders>
            <w:shd w:val="clear" w:color="auto" w:fill="auto"/>
            <w:noWrap/>
            <w:vAlign w:val="center"/>
            <w:hideMark/>
          </w:tcPr>
          <w:p w14:paraId="64D26264"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TGA AGG TGC TCT GTG GAT AAT G</w:t>
            </w:r>
          </w:p>
        </w:tc>
        <w:tc>
          <w:tcPr>
            <w:tcW w:w="1620" w:type="dxa"/>
            <w:tcBorders>
              <w:top w:val="nil"/>
              <w:left w:val="nil"/>
              <w:bottom w:val="single" w:sz="4" w:space="0" w:color="auto"/>
              <w:right w:val="single" w:sz="4" w:space="0" w:color="auto"/>
            </w:tcBorders>
            <w:shd w:val="clear" w:color="auto" w:fill="auto"/>
            <w:noWrap/>
            <w:vAlign w:val="center"/>
            <w:hideMark/>
          </w:tcPr>
          <w:p w14:paraId="761581D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349</w:t>
            </w:r>
          </w:p>
        </w:tc>
        <w:tc>
          <w:tcPr>
            <w:tcW w:w="1620" w:type="dxa"/>
            <w:tcBorders>
              <w:top w:val="nil"/>
              <w:left w:val="nil"/>
              <w:bottom w:val="single" w:sz="4" w:space="0" w:color="auto"/>
              <w:right w:val="single" w:sz="4" w:space="0" w:color="auto"/>
            </w:tcBorders>
            <w:shd w:val="clear" w:color="auto" w:fill="auto"/>
            <w:noWrap/>
            <w:vAlign w:val="center"/>
            <w:hideMark/>
          </w:tcPr>
          <w:p w14:paraId="322354C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1077FBFC" w14:textId="7785F81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{"citationItems":[{"id":"ITEM-1","itemData":{"DOI":"10.1128/AEM.00272-09","ISSN":"00992240","PMID":"19749060","abstract":"Staphylococcal enterotoxins (SE) can cause toxin-mediated disease, and those that function as superantigens are implicated in the pathogenesis of allergic diseases. The prevalence of 19 enterotoxin genes was determined by PCR in clinical S. aureus strains derived from wounds (108) and blood (99). We performed spa typing and multilocus sequence typing (MLST) to determine clonal origin, and for selected strains staphylococcal enterotoxin B (SEB) production was measured by enzyme-linked immunosorbent assay. Strains carried a median of five SE genes. For most SE genes, the prevalence rates among methicillinresistant and methicillin-sensitive S. aureus isolates, as well as wound- and blood-derived isolates, did not differ. At least one SE gene was detected in all except two S. aureus isolates (&gt;99%). Complete egc clusters were found in only 11% of S. aureus isolates, whereas the combination of sed, sej, and ser was detected in 24% of clinical strains. S. aureus strains exhibited distinct combinations of SE genes, even if their pulsed-field gel electrophoresis and MLST patterns demonstrated clonality. USA300 strains also showed considerable variability in SE content, although they contained a lower number of SE genes (mean, 3). By contrast, SE content was unchanged in five pairs of serial isolates. SEB production by individual strains varied up to 200-fold, and even up to 15-fold in a pair of serial isolates. In conclusion, our results illustrate the genetic diversity of S. aureus strains with respect to enterotoxin genes and suggest that horizontal transfer of mobile genetic elements encoding virulence genes occurs frequently. Copyright © 2009, American Society for Microbiology. All Rights Reserved.","author":[{"dropping-particle":"","family":"Varshney","given":"Avanish K.","non-dropping-particle":"","parse-names":false,"suffix":""},{"dropping-particle":"","family":"Mediavilla","given":"José R.","non-dropping-particle":"","parse-names":false,"suffix":""},{"dropping-particle":"","family":"Robiou","given":"Natalie","non-dropping-particle":"","parse-names":false,"suffix":""},{"dropping-particle":"","family":"Guh","given":"Alice","non-dropping-particle":"","parse-names":false,"suffix":""},{"dropping-particle":"","family":"Wang","given":"Xiabo","non-dropping-particle":"","parse-names":false,"suffix":""},{"dropping-particle":"","family":"Gialanella","given":"Philip","non-dropping-particle":"","parse-names":false,"suffix":""},{"dropping-particle":"","family":"Levi","given":"Michael H.","non-dropping-particle":"","parse-names":false,"suffix":""},{"dropping-particle":"","family":"Kreiswirth","given":"Barry N.","non-dropping-particle":"","parse-names":false,"suffix":""},{"dropping-particle":"","family":"Fries","given":"Bettina C.","non-dropping-particle":"","parse-names":false,"suffix":""}],"container-title":"Applied and Environmental Microbiology","id":"ITEM-1","issue":"21","issued":{"date-parts":[["2009"]]},"page":"6839-6849","title":"Diverse enterotoxin gene profiles among clonal complexes of Staphylococcus aureus isolates from the Bronx, New York","type":"article-journal","volume":"75"},"uris":["http://www.mendeley.com/documents/?uuid=d01e251a-bae9-4580-a6db-90bb5b4c190e"]}],"mendeley":{"formattedCitation":"(Varshney et al., 2009)","plainTextFormattedCitation":"(Varshney et al., 2009)","previouslyFormattedCitation":"(Varshney et al., 2009)"},"properties":{"noteIndex":0},"schema":"https://github.com/citation-style-language/schema/raw/master/csl-citation.json"}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(Varshney et al., 2009)</w:t>
            </w:r>
            <w:r w:rsidRPr="006C34E3">
              <w:rPr>
                <w:rFonts w:eastAsia="Times New Roman" w:cs="Times New Roman"/>
                <w:color w:val="000000"/>
                <w:sz w:val="16"/>
                <w:szCs w:val="16"/>
              </w:rPr>
              <w:fldChar w:fldCharType="end"/>
            </w:r>
          </w:p>
        </w:tc>
      </w:tr>
      <w:tr w:rsidR="00F90100" w:rsidRPr="006C34E3" w14:paraId="54C41A64" w14:textId="77777777" w:rsidTr="00C662E9">
        <w:trPr>
          <w:trHeight w:val="288"/>
        </w:trPr>
        <w:tc>
          <w:tcPr>
            <w:tcW w:w="630" w:type="dxa"/>
            <w:vMerge/>
            <w:tcBorders>
              <w:left w:val="single" w:sz="4" w:space="0" w:color="auto"/>
              <w:right w:val="single" w:sz="4" w:space="0" w:color="auto"/>
            </w:tcBorders>
            <w:vAlign w:val="center"/>
            <w:hideMark/>
          </w:tcPr>
          <w:p w14:paraId="43A98DAB"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AACAF2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sed-9</w:t>
            </w:r>
          </w:p>
        </w:tc>
        <w:tc>
          <w:tcPr>
            <w:tcW w:w="3690" w:type="dxa"/>
            <w:tcBorders>
              <w:top w:val="nil"/>
              <w:left w:val="nil"/>
              <w:bottom w:val="single" w:sz="4" w:space="0" w:color="auto"/>
              <w:right w:val="single" w:sz="4" w:space="0" w:color="auto"/>
            </w:tcBorders>
            <w:shd w:val="clear" w:color="auto" w:fill="auto"/>
            <w:noWrap/>
            <w:vAlign w:val="center"/>
            <w:hideMark/>
          </w:tcPr>
          <w:p w14:paraId="2DC7BFA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TCT GAA TTA AGT AGT ACC GC</w:t>
            </w:r>
          </w:p>
        </w:tc>
        <w:tc>
          <w:tcPr>
            <w:tcW w:w="3780" w:type="dxa"/>
            <w:tcBorders>
              <w:top w:val="nil"/>
              <w:left w:val="nil"/>
              <w:bottom w:val="single" w:sz="4" w:space="0" w:color="auto"/>
              <w:right w:val="single" w:sz="4" w:space="0" w:color="auto"/>
            </w:tcBorders>
            <w:shd w:val="clear" w:color="auto" w:fill="auto"/>
            <w:noWrap/>
            <w:vAlign w:val="center"/>
            <w:hideMark/>
          </w:tcPr>
          <w:p w14:paraId="630F959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CGT AAT TGT TTT TCG GG</w:t>
            </w:r>
          </w:p>
        </w:tc>
        <w:tc>
          <w:tcPr>
            <w:tcW w:w="1620" w:type="dxa"/>
            <w:tcBorders>
              <w:top w:val="nil"/>
              <w:left w:val="nil"/>
              <w:bottom w:val="single" w:sz="4" w:space="0" w:color="auto"/>
              <w:right w:val="single" w:sz="4" w:space="0" w:color="auto"/>
            </w:tcBorders>
            <w:shd w:val="clear" w:color="auto" w:fill="auto"/>
            <w:noWrap/>
            <w:vAlign w:val="center"/>
            <w:hideMark/>
          </w:tcPr>
          <w:p w14:paraId="67EAF010"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590</w:t>
            </w:r>
          </w:p>
        </w:tc>
        <w:tc>
          <w:tcPr>
            <w:tcW w:w="1620" w:type="dxa"/>
            <w:tcBorders>
              <w:top w:val="nil"/>
              <w:left w:val="nil"/>
              <w:bottom w:val="single" w:sz="4" w:space="0" w:color="auto"/>
              <w:right w:val="single" w:sz="4" w:space="0" w:color="auto"/>
            </w:tcBorders>
            <w:shd w:val="clear" w:color="auto" w:fill="auto"/>
            <w:noWrap/>
            <w:vAlign w:val="center"/>
            <w:hideMark/>
          </w:tcPr>
          <w:p w14:paraId="3B087BB7"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F7EF685" w14:textId="00BA0B1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5B69DB9A" w14:textId="77777777" w:rsidTr="00C662E9">
        <w:trPr>
          <w:trHeight w:val="288"/>
        </w:trPr>
        <w:tc>
          <w:tcPr>
            <w:tcW w:w="630" w:type="dxa"/>
            <w:vMerge/>
            <w:tcBorders>
              <w:left w:val="single" w:sz="4" w:space="0" w:color="auto"/>
              <w:right w:val="single" w:sz="4" w:space="0" w:color="auto"/>
            </w:tcBorders>
            <w:vAlign w:val="center"/>
          </w:tcPr>
          <w:p w14:paraId="02355283"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52AB197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sed-10</w:t>
            </w:r>
          </w:p>
        </w:tc>
        <w:tc>
          <w:tcPr>
            <w:tcW w:w="3690" w:type="dxa"/>
            <w:tcBorders>
              <w:top w:val="nil"/>
              <w:left w:val="nil"/>
              <w:bottom w:val="single" w:sz="4" w:space="0" w:color="auto"/>
              <w:right w:val="single" w:sz="4" w:space="0" w:color="auto"/>
            </w:tcBorders>
            <w:shd w:val="clear" w:color="auto" w:fill="auto"/>
            <w:noWrap/>
            <w:vAlign w:val="center"/>
          </w:tcPr>
          <w:p w14:paraId="08FC0A8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ATT CAA AAG AAA TGG CTC A</w:t>
            </w:r>
          </w:p>
        </w:tc>
        <w:tc>
          <w:tcPr>
            <w:tcW w:w="3780" w:type="dxa"/>
            <w:tcBorders>
              <w:top w:val="nil"/>
              <w:left w:val="nil"/>
              <w:bottom w:val="single" w:sz="4" w:space="0" w:color="auto"/>
              <w:right w:val="single" w:sz="4" w:space="0" w:color="auto"/>
            </w:tcBorders>
            <w:shd w:val="clear" w:color="auto" w:fill="auto"/>
            <w:noWrap/>
            <w:vAlign w:val="center"/>
          </w:tcPr>
          <w:p w14:paraId="482D8F6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TTT TTC CGC GCT GTA TTT TT</w:t>
            </w:r>
          </w:p>
        </w:tc>
        <w:tc>
          <w:tcPr>
            <w:tcW w:w="1620" w:type="dxa"/>
            <w:tcBorders>
              <w:top w:val="nil"/>
              <w:left w:val="nil"/>
              <w:bottom w:val="single" w:sz="4" w:space="0" w:color="auto"/>
              <w:right w:val="single" w:sz="4" w:space="0" w:color="auto"/>
            </w:tcBorders>
            <w:shd w:val="clear" w:color="auto" w:fill="auto"/>
            <w:noWrap/>
            <w:vAlign w:val="center"/>
          </w:tcPr>
          <w:p w14:paraId="16E41806"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339</w:t>
            </w:r>
          </w:p>
        </w:tc>
        <w:tc>
          <w:tcPr>
            <w:tcW w:w="1620" w:type="dxa"/>
            <w:tcBorders>
              <w:top w:val="nil"/>
              <w:left w:val="nil"/>
              <w:bottom w:val="single" w:sz="4" w:space="0" w:color="auto"/>
              <w:right w:val="single" w:sz="4" w:space="0" w:color="auto"/>
            </w:tcBorders>
            <w:shd w:val="clear" w:color="auto" w:fill="auto"/>
            <w:noWrap/>
            <w:vAlign w:val="center"/>
          </w:tcPr>
          <w:p w14:paraId="477A6656"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3DB4C802" w14:textId="4CF530B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(Cremonesi et al., 2005)</w:t>
            </w:r>
            <w:r w:rsidRPr="006C34E3">
              <w:rPr>
                <w:rFonts w:eastAsia="Times New Roman" w:cs="Times New Roman"/>
                <w:color w:val="000000"/>
                <w:sz w:val="16"/>
                <w:szCs w:val="16"/>
              </w:rPr>
              <w:fldChar w:fldCharType="end"/>
            </w:r>
          </w:p>
        </w:tc>
      </w:tr>
      <w:tr w:rsidR="00F90100" w:rsidRPr="006C34E3" w14:paraId="206D3671" w14:textId="77777777" w:rsidTr="00C662E9">
        <w:trPr>
          <w:trHeight w:val="288"/>
        </w:trPr>
        <w:tc>
          <w:tcPr>
            <w:tcW w:w="630" w:type="dxa"/>
            <w:vMerge/>
            <w:tcBorders>
              <w:left w:val="single" w:sz="4" w:space="0" w:color="auto"/>
              <w:bottom w:val="single" w:sz="4" w:space="0" w:color="000000"/>
              <w:right w:val="single" w:sz="4" w:space="0" w:color="auto"/>
            </w:tcBorders>
            <w:vAlign w:val="center"/>
          </w:tcPr>
          <w:p w14:paraId="071A8BD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2073C2B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sed-11</w:t>
            </w:r>
          </w:p>
        </w:tc>
        <w:tc>
          <w:tcPr>
            <w:tcW w:w="3690" w:type="dxa"/>
            <w:tcBorders>
              <w:top w:val="nil"/>
              <w:left w:val="nil"/>
              <w:bottom w:val="single" w:sz="4" w:space="0" w:color="auto"/>
              <w:right w:val="single" w:sz="4" w:space="0" w:color="auto"/>
            </w:tcBorders>
            <w:shd w:val="clear" w:color="auto" w:fill="auto"/>
            <w:noWrap/>
            <w:vAlign w:val="center"/>
          </w:tcPr>
          <w:p w14:paraId="14010FB7" w14:textId="77777777" w:rsidR="00F90100" w:rsidRPr="00634D63" w:rsidRDefault="00F90100" w:rsidP="00F90100">
            <w:pPr>
              <w:spacing w:before="0" w:after="0"/>
              <w:jc w:val="center"/>
              <w:rPr>
                <w:rFonts w:eastAsia="Times New Roman" w:cs="Times New Roman"/>
                <w:sz w:val="16"/>
                <w:szCs w:val="16"/>
                <w:lang w:val="it-IT"/>
              </w:rPr>
            </w:pPr>
            <w:r w:rsidRPr="00634D63">
              <w:rPr>
                <w:rFonts w:eastAsia="Times New Roman" w:cs="Times New Roman"/>
                <w:sz w:val="16"/>
                <w:szCs w:val="16"/>
                <w:lang w:val="it-IT"/>
              </w:rPr>
              <w:t>GCA GAT AAA AAT CCA ATA ATA GG</w:t>
            </w:r>
          </w:p>
        </w:tc>
        <w:tc>
          <w:tcPr>
            <w:tcW w:w="3780" w:type="dxa"/>
            <w:tcBorders>
              <w:top w:val="nil"/>
              <w:left w:val="nil"/>
              <w:bottom w:val="single" w:sz="4" w:space="0" w:color="auto"/>
              <w:right w:val="single" w:sz="4" w:space="0" w:color="auto"/>
            </w:tcBorders>
            <w:shd w:val="clear" w:color="auto" w:fill="auto"/>
            <w:noWrap/>
            <w:vAlign w:val="center"/>
          </w:tcPr>
          <w:p w14:paraId="07C4AC49" w14:textId="77777777" w:rsidR="00F90100" w:rsidRPr="00634D63" w:rsidRDefault="00F90100" w:rsidP="00F90100">
            <w:pPr>
              <w:spacing w:before="0" w:after="0"/>
              <w:jc w:val="center"/>
              <w:rPr>
                <w:rFonts w:eastAsia="Times New Roman" w:cs="Times New Roman"/>
                <w:sz w:val="16"/>
                <w:szCs w:val="16"/>
                <w:lang w:val="it-IT"/>
              </w:rPr>
            </w:pPr>
            <w:r w:rsidRPr="00634D63">
              <w:rPr>
                <w:rFonts w:eastAsia="Times New Roman" w:cs="Times New Roman"/>
                <w:sz w:val="16"/>
                <w:szCs w:val="16"/>
                <w:lang w:val="it-IT"/>
              </w:rPr>
              <w:t>ATC TAA AGA AAC TTC TTT TTG TA</w:t>
            </w:r>
          </w:p>
        </w:tc>
        <w:tc>
          <w:tcPr>
            <w:tcW w:w="1620" w:type="dxa"/>
            <w:tcBorders>
              <w:top w:val="nil"/>
              <w:left w:val="nil"/>
              <w:bottom w:val="single" w:sz="4" w:space="0" w:color="auto"/>
              <w:right w:val="single" w:sz="4" w:space="0" w:color="auto"/>
            </w:tcBorders>
            <w:shd w:val="clear" w:color="auto" w:fill="auto"/>
            <w:noWrap/>
            <w:vAlign w:val="center"/>
          </w:tcPr>
          <w:p w14:paraId="1F1226F7"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333</w:t>
            </w:r>
          </w:p>
        </w:tc>
        <w:tc>
          <w:tcPr>
            <w:tcW w:w="1620" w:type="dxa"/>
            <w:tcBorders>
              <w:top w:val="nil"/>
              <w:left w:val="nil"/>
              <w:bottom w:val="single" w:sz="4" w:space="0" w:color="auto"/>
              <w:right w:val="single" w:sz="4" w:space="0" w:color="auto"/>
            </w:tcBorders>
            <w:shd w:val="clear" w:color="auto" w:fill="auto"/>
            <w:noWrap/>
            <w:vAlign w:val="center"/>
          </w:tcPr>
          <w:p w14:paraId="166D9F49"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068466ED" w14:textId="3EC766C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{"citationItems":[{"id":"ITEM-1","itemData":{"DOI":"10.1007/BF00240750","ISSN":"01757598","PMID":"1368918","abstract":"By comparison with the DNA sequences coding for Staphylococcus aureus enterotoxins (ents) A, B, C, D and E, oligonucleotides unique to the entA, entD and entE genes were synthesized and used as polymerase-chain-reaction (PCR) primers for the specific detection of type A, D or E enterotoxigenic S. aureus. The relative molecular weights of the PCR products amplified with these primers were 210, 333 and 456 bp, respectively. Despite the high relatedness among these S. aureus enterotoxin genes, each primer pair allows specific detection with total discrimination from other types of enterotoxigenic S. aureus. DNA from non-enterotoxigenic S. aureus or from non-S. aureus would not interfere with the PCR results either. Primers designed for entE detection allow the discrimination of entE strains that when assayed by a serological method might be classified as entA-producing strains. Study of the detection sensitivity showed that by using these primers, DNA from 100 cells of enterotoxigenic S. aureus could be detected unambiguously. When these oligonucleotide primers were used for the detection of S. aureus in foods, 100-101 cells per gram of food could be detected and the naturally contaminating microflora in the food sample did not interfere with the detection. © 1992 Springer-Verlag.","author":[{"dropping-particle":"","family":"Tsen","given":"Hau Yang","non-dropping-particle":"","parse-names":false,"suffix":""},{"dropping-particle":"","family":"Chen","given":"Tong Rong","non-dropping-particle":"","parse-names":false,"suffix":""}],"container-title":"Applied Microbiology and Biotechnology","id":"ITEM-1","issue":"5","issued":{"date-parts":[["1992"]]},"page":"685-690","title":"Use of the polymerase chain reaction for specific detection of type A, D and E enterotoxigenic Staphylococcus aureus in foods","type":"article-journal","volume":"37"},"uris":["http://www.mendeley.com/documents/?uuid=f1106928-64a1-4b68-93a1-d76c2ddabefb"]}],"mendeley":{"formattedCitation":"(Tsen and Chen, 1992)","plainTextFormattedCitation":"(Tsen and Chen, 1992)","previouslyFormattedCitation":"(Tsen and Chen, 1992)"},"properties":{"noteIndex":0},"schema":"https://github.com/citation-style-language/schema/raw/master/csl-citation.json"}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(Tsen and Chen, 1992)</w:t>
            </w:r>
            <w:r w:rsidRPr="006C34E3">
              <w:rPr>
                <w:rFonts w:eastAsia="Times New Roman" w:cs="Times New Roman"/>
                <w:color w:val="000000"/>
                <w:sz w:val="16"/>
                <w:szCs w:val="16"/>
              </w:rPr>
              <w:fldChar w:fldCharType="end"/>
            </w:r>
          </w:p>
        </w:tc>
      </w:tr>
      <w:tr w:rsidR="00F90100" w:rsidRPr="006C34E3" w14:paraId="4C918AEA"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18CE4433"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see</w:t>
            </w:r>
          </w:p>
        </w:tc>
        <w:tc>
          <w:tcPr>
            <w:tcW w:w="720" w:type="dxa"/>
            <w:tcBorders>
              <w:top w:val="nil"/>
              <w:left w:val="nil"/>
              <w:bottom w:val="single" w:sz="4" w:space="0" w:color="auto"/>
              <w:right w:val="single" w:sz="4" w:space="0" w:color="auto"/>
            </w:tcBorders>
            <w:shd w:val="clear" w:color="auto" w:fill="auto"/>
            <w:noWrap/>
            <w:vAlign w:val="center"/>
            <w:hideMark/>
          </w:tcPr>
          <w:p w14:paraId="3C1B266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see-1</w:t>
            </w:r>
          </w:p>
        </w:tc>
        <w:tc>
          <w:tcPr>
            <w:tcW w:w="3690" w:type="dxa"/>
            <w:tcBorders>
              <w:top w:val="nil"/>
              <w:left w:val="nil"/>
              <w:bottom w:val="single" w:sz="4" w:space="0" w:color="auto"/>
              <w:right w:val="single" w:sz="4" w:space="0" w:color="auto"/>
            </w:tcBorders>
            <w:shd w:val="clear" w:color="auto" w:fill="auto"/>
            <w:noWrap/>
            <w:vAlign w:val="center"/>
            <w:hideMark/>
          </w:tcPr>
          <w:p w14:paraId="789C268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CAG TAC CTA TAG ATA AAG TTA AAA CAA GC</w:t>
            </w:r>
          </w:p>
        </w:tc>
        <w:tc>
          <w:tcPr>
            <w:tcW w:w="3780" w:type="dxa"/>
            <w:tcBorders>
              <w:top w:val="nil"/>
              <w:left w:val="nil"/>
              <w:bottom w:val="single" w:sz="4" w:space="0" w:color="auto"/>
              <w:right w:val="single" w:sz="4" w:space="0" w:color="auto"/>
            </w:tcBorders>
            <w:shd w:val="clear" w:color="auto" w:fill="auto"/>
            <w:noWrap/>
            <w:vAlign w:val="center"/>
            <w:hideMark/>
          </w:tcPr>
          <w:p w14:paraId="197E502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TAA CTT ACC GTG GAC CCT TC</w:t>
            </w:r>
          </w:p>
        </w:tc>
        <w:tc>
          <w:tcPr>
            <w:tcW w:w="1620" w:type="dxa"/>
            <w:tcBorders>
              <w:top w:val="nil"/>
              <w:left w:val="nil"/>
              <w:bottom w:val="single" w:sz="4" w:space="0" w:color="auto"/>
              <w:right w:val="single" w:sz="4" w:space="0" w:color="auto"/>
            </w:tcBorders>
            <w:shd w:val="clear" w:color="auto" w:fill="auto"/>
            <w:noWrap/>
            <w:vAlign w:val="center"/>
            <w:hideMark/>
          </w:tcPr>
          <w:p w14:paraId="1DD6871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178</w:t>
            </w:r>
          </w:p>
        </w:tc>
        <w:tc>
          <w:tcPr>
            <w:tcW w:w="1620" w:type="dxa"/>
            <w:tcBorders>
              <w:top w:val="nil"/>
              <w:left w:val="nil"/>
              <w:bottom w:val="single" w:sz="4" w:space="0" w:color="auto"/>
              <w:right w:val="single" w:sz="4" w:space="0" w:color="auto"/>
            </w:tcBorders>
            <w:shd w:val="clear" w:color="auto" w:fill="auto"/>
            <w:noWrap/>
            <w:vAlign w:val="center"/>
            <w:hideMark/>
          </w:tcPr>
          <w:p w14:paraId="4A088445"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3C736E3" w14:textId="59F8781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{"citationItems":[{"id":"ITEM-1","itemData":{"DOI":"10.1128/JCM.36.9.2548-2553.1998","ISSN":"0095-1137","PMID":"9705390","abstract":"Two multiplex PCR enzyme immunoassays (PCR-EIAs) were developed for Staphylococcus aureus exotoxin gene screening as an alternative to the conventional biological assays, which depend on detectable amounts of toxins produced. One set of oligonucleotide primers and probes was designed to search for enterotoxin A to E genes ( entA , entB , entC , entD , and entE ), and the other one was designed to detect the staphylococcal exfoliative toxin genes ( eta and etb ) and the toxic shock syndrome toxin 1 gene ( tst ). Oligonucleotide primers were used as published previously, modified or newly developed to meet the requirements of both good size-distinguishable amplification bands of multiplex PCR and the temperature limit of the uracil DNA glycosylase system for carryover protection. Amplification products were visualized by agarose gel electrophoresis, and specificity was controlled with the aid of a DNA EIA system using oligonucleotide probes derived from the sequences of the S. aureus toxin genes. PCR procedures were performed by using template nucleic acids extracted from a panel of S. aureus reference strains and from a collection of 50 clinical strains. The PCR results were compared with those of immunological toxin production assays. This multiplex PCR-EIA system offers an alternative method for the rapid, sensitive, specific, and simultaneous detection of the clinically important exotoxin potency of isolated S. aureus strains for diagnostic purposes as well as research studies.","author":[{"dropping-particle":"","family":"Becker","given":"Karsten","non-dropping-particle":"","parse-names":false,"suffix":""},{"dropping-particle":"","family":"Roth","given":"Ricarda","non-dropping-particle":"","parse-names":false,"suffix":""},{"dropping-particle":"","family":"Peters","given":"Georg","non-dropping-particle":"","parse-names":false,"suffix":""}],"container-title":"Journal of Clinical Microbiology","id":"ITEM-1","issue":"9","issued":{"date-parts":[["1998","9"]]},"page":"2548-2553","title":"Rapid and Specific Detection of Toxigenic Staphylococcus aureus : Use of Two Multiplex PCR Enzyme Immunoassays for Amplification and Hybridization of Staphylococcal Enterotoxin Genes, Exfoliative Toxin Genes, and Toxic Shock Syndrome Toxin 1 Gene","type":"article-journal","volume":"36"},"uris":["http://www.mendeley.com/documents/?uuid=4920ea92-c89c-41c6-8976-82596172d750"]}],"mendeley":{"formattedCitation":"(Becker et al., 1998)","plainTextFormattedCitation":"(Becker et al., 1998)","previouslyFormattedCitation":"(Becker et al., 1998)"},"properties":{"noteIndex":0},"schema":"https://github.com/citation-style-language/schema/raw/master/csl-citation.json"}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(Becker et al., 1998)</w:t>
            </w:r>
            <w:r w:rsidRPr="006C34E3">
              <w:rPr>
                <w:rFonts w:eastAsia="Times New Roman" w:cs="Times New Roman"/>
                <w:color w:val="000000"/>
                <w:sz w:val="16"/>
                <w:szCs w:val="16"/>
              </w:rPr>
              <w:fldChar w:fldCharType="end"/>
            </w:r>
          </w:p>
        </w:tc>
      </w:tr>
      <w:tr w:rsidR="00F90100" w:rsidRPr="006C34E3" w14:paraId="0E4CCC0F" w14:textId="77777777" w:rsidTr="00C662E9">
        <w:trPr>
          <w:trHeight w:val="288"/>
        </w:trPr>
        <w:tc>
          <w:tcPr>
            <w:tcW w:w="630" w:type="dxa"/>
            <w:vMerge/>
            <w:tcBorders>
              <w:left w:val="single" w:sz="4" w:space="0" w:color="auto"/>
              <w:right w:val="single" w:sz="4" w:space="0" w:color="auto"/>
            </w:tcBorders>
            <w:vAlign w:val="center"/>
            <w:hideMark/>
          </w:tcPr>
          <w:p w14:paraId="068B14CB"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0A964C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see-2</w:t>
            </w:r>
          </w:p>
        </w:tc>
        <w:tc>
          <w:tcPr>
            <w:tcW w:w="3690" w:type="dxa"/>
            <w:tcBorders>
              <w:top w:val="nil"/>
              <w:left w:val="nil"/>
              <w:bottom w:val="single" w:sz="4" w:space="0" w:color="auto"/>
              <w:right w:val="single" w:sz="4" w:space="0" w:color="auto"/>
            </w:tcBorders>
            <w:shd w:val="clear" w:color="auto" w:fill="auto"/>
            <w:noWrap/>
            <w:vAlign w:val="center"/>
            <w:hideMark/>
          </w:tcPr>
          <w:p w14:paraId="1D8CB0A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ATG TAT GGA GGT GTA AC</w:t>
            </w:r>
          </w:p>
        </w:tc>
        <w:tc>
          <w:tcPr>
            <w:tcW w:w="3780" w:type="dxa"/>
            <w:tcBorders>
              <w:top w:val="nil"/>
              <w:left w:val="nil"/>
              <w:bottom w:val="single" w:sz="4" w:space="0" w:color="auto"/>
              <w:right w:val="single" w:sz="4" w:space="0" w:color="auto"/>
            </w:tcBorders>
            <w:shd w:val="clear" w:color="auto" w:fill="auto"/>
            <w:noWrap/>
            <w:vAlign w:val="center"/>
            <w:hideMark/>
          </w:tcPr>
          <w:p w14:paraId="3962395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GCC AAA GCT GTC TGA G</w:t>
            </w:r>
          </w:p>
        </w:tc>
        <w:tc>
          <w:tcPr>
            <w:tcW w:w="1620" w:type="dxa"/>
            <w:tcBorders>
              <w:top w:val="nil"/>
              <w:left w:val="nil"/>
              <w:bottom w:val="single" w:sz="4" w:space="0" w:color="auto"/>
              <w:right w:val="single" w:sz="4" w:space="0" w:color="auto"/>
            </w:tcBorders>
            <w:shd w:val="clear" w:color="auto" w:fill="auto"/>
            <w:noWrap/>
            <w:vAlign w:val="center"/>
            <w:hideMark/>
          </w:tcPr>
          <w:p w14:paraId="083E47F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213</w:t>
            </w:r>
          </w:p>
        </w:tc>
        <w:tc>
          <w:tcPr>
            <w:tcW w:w="1620" w:type="dxa"/>
            <w:tcBorders>
              <w:top w:val="nil"/>
              <w:left w:val="nil"/>
              <w:bottom w:val="single" w:sz="4" w:space="0" w:color="auto"/>
              <w:right w:val="single" w:sz="4" w:space="0" w:color="auto"/>
            </w:tcBorders>
            <w:shd w:val="clear" w:color="auto" w:fill="auto"/>
            <w:noWrap/>
            <w:vAlign w:val="center"/>
            <w:hideMark/>
          </w:tcPr>
          <w:p w14:paraId="585BE9F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592C29CF" w14:textId="5926100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{"citationItems":[{"id":"ITEM-1","itemData":{"DOI":"10.1128/AEM.66.4.1347-1353.2000","ISBN":"1159516162","ISSN":"0099-2240","PMID":"10742210","abstract":"We describe here the development of a single-reaction multiplex PCR assay for the enterotoxin genes from Staphylococcus aureus that utilizes a universal toxin gene primer in combination with toxin-specific primers to amplify characteristic toxin gene products. In combination with a new DNA purification method, the assay can detect enterotoxin genes A to E from a pure culture within 3 to 4 h. The test was used to characterize a diverse set of environmental S. aureus isolates, and a 99% correlation with toxin typing using standard immunological tests was found. The design of the assay allows it to be extended to include both newly characterized and as-yet-unknown toxin genes.","author":[{"dropping-particle":"","family":"Sharma","given":"Naresh K.","non-dropping-particle":"","parse-names":false,"suffix":""},{"dropping-particle":"","family":"Rees","given":"Catherine E. D.","non-dropping-particle":"","parse-names":false,"suffix":""},{"dropping-particle":"","family":"Dodd","given":"Christine E. R.","non-dropping-particle":"","parse-names":false,"suffix":""}],"container-title":"Applied and Environmental Microbiology","id":"ITEM-1","issue":"4","issued":{"date-parts":[["2000","4"]]},"page":"1347-1353","title":"Development of a Single-Reaction Multiplex PCR Toxin Typing Assay for Staphylococcus aureus Strains","type":"article-journal","volume":"66"},"uris":["http://www.mendeley.com/documents/?uuid=837f2478-e0d2-497a-9286-ee28290d960a"]},{"id":"ITEM-2","itemData":{"DOI":"10.3389/fmicb.2015.00882","ISSN":"1664-302X","abstract":"Staphylococcal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MLVA","type":"article-journal","volume":"6"},"uris":["http://www.mendeley.com/documents/?uuid=fc1715b7-49a3-4430-b1bf-38feeadd5075"]}],"mendeley":{"formattedCitation":"(Sharma et al., 2000; Roussel et al., 2015)","plainTextFormattedCitation":"(Sharma et al., 2000; Roussel et al., 2015)","previouslyFormattedCitation":"(Sharma et al., 2000;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(Sharma et al., 2000; Roussel et al., 2015)</w:t>
            </w:r>
            <w:r w:rsidRPr="006C34E3">
              <w:rPr>
                <w:rFonts w:eastAsia="Times New Roman" w:cs="Times New Roman"/>
                <w:color w:val="000000"/>
                <w:sz w:val="16"/>
                <w:szCs w:val="16"/>
              </w:rPr>
              <w:fldChar w:fldCharType="end"/>
            </w:r>
          </w:p>
        </w:tc>
      </w:tr>
      <w:tr w:rsidR="00F90100" w:rsidRPr="006C34E3" w14:paraId="2C4EF4F9" w14:textId="77777777" w:rsidTr="00C662E9">
        <w:trPr>
          <w:trHeight w:val="288"/>
        </w:trPr>
        <w:tc>
          <w:tcPr>
            <w:tcW w:w="630" w:type="dxa"/>
            <w:vMerge/>
            <w:tcBorders>
              <w:left w:val="single" w:sz="4" w:space="0" w:color="auto"/>
              <w:right w:val="single" w:sz="4" w:space="0" w:color="auto"/>
            </w:tcBorders>
            <w:vAlign w:val="center"/>
            <w:hideMark/>
          </w:tcPr>
          <w:p w14:paraId="333D177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9BA1D0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see-3</w:t>
            </w:r>
          </w:p>
        </w:tc>
        <w:tc>
          <w:tcPr>
            <w:tcW w:w="3690" w:type="dxa"/>
            <w:tcBorders>
              <w:top w:val="nil"/>
              <w:left w:val="nil"/>
              <w:bottom w:val="single" w:sz="4" w:space="0" w:color="auto"/>
              <w:right w:val="single" w:sz="4" w:space="0" w:color="auto"/>
            </w:tcBorders>
            <w:shd w:val="clear" w:color="auto" w:fill="auto"/>
            <w:noWrap/>
            <w:vAlign w:val="center"/>
            <w:hideMark/>
          </w:tcPr>
          <w:p w14:paraId="03F8657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TAG ATA AAG TTA AAA CAA GC</w:t>
            </w:r>
          </w:p>
        </w:tc>
        <w:tc>
          <w:tcPr>
            <w:tcW w:w="3780" w:type="dxa"/>
            <w:tcBorders>
              <w:top w:val="nil"/>
              <w:left w:val="nil"/>
              <w:bottom w:val="single" w:sz="4" w:space="0" w:color="auto"/>
              <w:right w:val="single" w:sz="4" w:space="0" w:color="auto"/>
            </w:tcBorders>
            <w:shd w:val="clear" w:color="auto" w:fill="auto"/>
            <w:noWrap/>
            <w:vAlign w:val="center"/>
            <w:hideMark/>
          </w:tcPr>
          <w:p w14:paraId="6B5A655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TAA CTT ACC GTG GAC CCT TC</w:t>
            </w:r>
          </w:p>
        </w:tc>
        <w:tc>
          <w:tcPr>
            <w:tcW w:w="1620" w:type="dxa"/>
            <w:tcBorders>
              <w:top w:val="nil"/>
              <w:left w:val="nil"/>
              <w:bottom w:val="single" w:sz="4" w:space="0" w:color="auto"/>
              <w:right w:val="single" w:sz="4" w:space="0" w:color="auto"/>
            </w:tcBorders>
            <w:shd w:val="clear" w:color="auto" w:fill="auto"/>
            <w:noWrap/>
            <w:vAlign w:val="center"/>
            <w:hideMark/>
          </w:tcPr>
          <w:p w14:paraId="05EEC14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170</w:t>
            </w:r>
          </w:p>
        </w:tc>
        <w:tc>
          <w:tcPr>
            <w:tcW w:w="1620" w:type="dxa"/>
            <w:tcBorders>
              <w:top w:val="nil"/>
              <w:left w:val="nil"/>
              <w:bottom w:val="single" w:sz="4" w:space="0" w:color="auto"/>
              <w:right w:val="single" w:sz="4" w:space="0" w:color="auto"/>
            </w:tcBorders>
            <w:shd w:val="clear" w:color="auto" w:fill="auto"/>
            <w:noWrap/>
            <w:vAlign w:val="center"/>
            <w:hideMark/>
          </w:tcPr>
          <w:p w14:paraId="33789DD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54B7EDF" w14:textId="427E3F3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{"citationItems":[{"id":"ITEM-1","itemData":{"DOI":"10.1128/jcm.29.3.426-430.1991","ISSN":"00951137","PMID":"2037659","abstract":"Eight pairs of synthetic oligonucleotide primers were used in a polymerase chain reaction (PCR) protocol to detect genes for staphylococcal enterotoxins A to E, exfoliative toxins A and B, and toxic shock syndrome toxin 1 in Staphylococcus aureus strains isolated from clinical specimens and contaminated foods. Primers were targeted to internal regions of the toxin genes, and amplification fragments were detected after the PCR by agarose gel electrophoresis. Unequivocal discrimination of toxin genes was obtained by the PCR by using nucleic acids extracted from 88 strains of S. aureus whose toxigenicity was established biologically and immunologically. In immunological assays, two strains of S. aureus produced equivocal results for production of enterotoxin C or toxic shock syndrome toxin 1, giving an overall concordance between phenotypic and genotypic identification of 97.7%. Primer specificity was established in the PCR by using nucleic acids from known toxin-producing bacterial pathogens and from nontoxigenic S. aureus. Strains of Streptococcus spp., including some producers of pyrogenic exotoxin A carrying the speA gene, were negative by the PCR designed to detect staphylococcal toxins. The detection limits were established for all the staphylococcal toxin genes within their respective PCR protocols. The identification of staphylococcal toxin genes in strains of S. aureus by the PCR offers a very specific, sensitive, relatively rapid, and inexpensive alternative to traditional immunological assays which depend on adequate gene expression for reliability and sensitivity.","author":[{"dropping-particle":"","family":"Johnson","given":"W. M.","non-dropping-particle":"","parse-names":false,"suffix":""},{"dropping-particle":"","family":"Tyler","given":"S. D.","non-dropping-particle":"","parse-names":false,"suffix":""},{"dropping-particle":"","family":"Ewan","given":"E. P.","non-dropping-particle":"","parse-names":false,"suffix":""},{"dropping-particle":"","family":"Ashton","given":"F. E.","non-dropping-particle":"","parse-names":false,"suffix":""},{"dropping-particle":"","family":"Pollard","given":"D. R.","non-dropping-particle":"","parse-names":false,"suffix":""},{"dropping-particle":"","family":"Rozee","given":"K. R.","non-dropping-particle":"","parse-names":false,"suffix":""}],"container-title":"Journal of Clinical Microbiology","id":"ITEM-1","issue":"3","issued":{"date-parts":[["1991"]]},"page":"426-430","title":"Detection of genes for enterotoxins, exfoliative toxins, and toxic shock syndrome toxin 1 in Staphylococcus aureus by the polymerase chain reaction","type":"article-journal","volume":"29"},"uris":["http://www.mendeley.com/documents/?uuid=6cd21d50-b015-46de-ae8a-e0719fc0471f"]}],"mendeley":{"formattedCitation":"(Johnson et al., 1991)","plainTextFormattedCitation":"(Johnson et al., 1991)","previouslyFormattedCitation":"(Johnson et al., 1991)"},"properties":{"noteIndex":0},"schema":"https://github.com/citation-style-language/schema/raw/master/csl-citation.json"}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(Johnson et al., 1991)</w:t>
            </w:r>
            <w:r w:rsidRPr="006C34E3">
              <w:rPr>
                <w:rFonts w:eastAsia="Times New Roman" w:cs="Times New Roman"/>
                <w:color w:val="000000"/>
                <w:sz w:val="16"/>
                <w:szCs w:val="16"/>
              </w:rPr>
              <w:fldChar w:fldCharType="end"/>
            </w:r>
          </w:p>
        </w:tc>
      </w:tr>
      <w:tr w:rsidR="00F90100" w:rsidRPr="006C34E3" w14:paraId="2722C479" w14:textId="77777777" w:rsidTr="00C662E9">
        <w:trPr>
          <w:trHeight w:val="288"/>
        </w:trPr>
        <w:tc>
          <w:tcPr>
            <w:tcW w:w="630" w:type="dxa"/>
            <w:vMerge/>
            <w:tcBorders>
              <w:left w:val="single" w:sz="4" w:space="0" w:color="auto"/>
              <w:right w:val="single" w:sz="4" w:space="0" w:color="auto"/>
            </w:tcBorders>
            <w:vAlign w:val="center"/>
            <w:hideMark/>
          </w:tcPr>
          <w:p w14:paraId="6C18C4A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D3C3BF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see-4</w:t>
            </w:r>
          </w:p>
        </w:tc>
        <w:tc>
          <w:tcPr>
            <w:tcW w:w="3690" w:type="dxa"/>
            <w:tcBorders>
              <w:top w:val="nil"/>
              <w:left w:val="nil"/>
              <w:bottom w:val="single" w:sz="4" w:space="0" w:color="auto"/>
              <w:right w:val="single" w:sz="4" w:space="0" w:color="auto"/>
            </w:tcBorders>
            <w:shd w:val="clear" w:color="auto" w:fill="auto"/>
            <w:noWrap/>
            <w:vAlign w:val="center"/>
            <w:hideMark/>
          </w:tcPr>
          <w:p w14:paraId="5AD546B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CAA AGA AAT GCT TTA AGC AAT CTT AGG C</w:t>
            </w:r>
          </w:p>
        </w:tc>
        <w:tc>
          <w:tcPr>
            <w:tcW w:w="3780" w:type="dxa"/>
            <w:tcBorders>
              <w:top w:val="nil"/>
              <w:left w:val="nil"/>
              <w:bottom w:val="single" w:sz="4" w:space="0" w:color="auto"/>
              <w:right w:val="single" w:sz="4" w:space="0" w:color="auto"/>
            </w:tcBorders>
            <w:shd w:val="clear" w:color="auto" w:fill="auto"/>
            <w:noWrap/>
            <w:vAlign w:val="center"/>
            <w:hideMark/>
          </w:tcPr>
          <w:p w14:paraId="430718C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CAC CTT ACC GCC AAA GCT G</w:t>
            </w:r>
          </w:p>
        </w:tc>
        <w:tc>
          <w:tcPr>
            <w:tcW w:w="1620" w:type="dxa"/>
            <w:tcBorders>
              <w:top w:val="nil"/>
              <w:left w:val="nil"/>
              <w:bottom w:val="single" w:sz="4" w:space="0" w:color="auto"/>
              <w:right w:val="single" w:sz="4" w:space="0" w:color="auto"/>
            </w:tcBorders>
            <w:shd w:val="clear" w:color="auto" w:fill="auto"/>
            <w:noWrap/>
            <w:vAlign w:val="center"/>
            <w:hideMark/>
          </w:tcPr>
          <w:p w14:paraId="024F320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482</w:t>
            </w:r>
          </w:p>
        </w:tc>
        <w:tc>
          <w:tcPr>
            <w:tcW w:w="1620" w:type="dxa"/>
            <w:tcBorders>
              <w:top w:val="nil"/>
              <w:left w:val="nil"/>
              <w:bottom w:val="single" w:sz="4" w:space="0" w:color="auto"/>
              <w:right w:val="single" w:sz="4" w:space="0" w:color="auto"/>
            </w:tcBorders>
            <w:shd w:val="clear" w:color="auto" w:fill="auto"/>
            <w:noWrap/>
            <w:vAlign w:val="center"/>
            <w:hideMark/>
          </w:tcPr>
          <w:p w14:paraId="333F5AA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084F11E" w14:textId="007C522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3417D6DA" w14:textId="77777777" w:rsidTr="00C662E9">
        <w:trPr>
          <w:trHeight w:val="288"/>
        </w:trPr>
        <w:tc>
          <w:tcPr>
            <w:tcW w:w="630" w:type="dxa"/>
            <w:vMerge/>
            <w:tcBorders>
              <w:left w:val="single" w:sz="4" w:space="0" w:color="auto"/>
              <w:right w:val="single" w:sz="4" w:space="0" w:color="auto"/>
            </w:tcBorders>
            <w:vAlign w:val="center"/>
            <w:hideMark/>
          </w:tcPr>
          <w:p w14:paraId="7BD80EC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ABACFD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see-5</w:t>
            </w:r>
          </w:p>
        </w:tc>
        <w:tc>
          <w:tcPr>
            <w:tcW w:w="3690" w:type="dxa"/>
            <w:tcBorders>
              <w:top w:val="nil"/>
              <w:left w:val="nil"/>
              <w:bottom w:val="single" w:sz="4" w:space="0" w:color="auto"/>
              <w:right w:val="single" w:sz="4" w:space="0" w:color="auto"/>
            </w:tcBorders>
            <w:shd w:val="clear" w:color="auto" w:fill="auto"/>
            <w:noWrap/>
            <w:vAlign w:val="center"/>
            <w:hideMark/>
          </w:tcPr>
          <w:p w14:paraId="5BC3465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TAC CAA TTA ACT TGT GGA TAG AC</w:t>
            </w:r>
          </w:p>
        </w:tc>
        <w:tc>
          <w:tcPr>
            <w:tcW w:w="3780" w:type="dxa"/>
            <w:tcBorders>
              <w:top w:val="nil"/>
              <w:left w:val="nil"/>
              <w:bottom w:val="single" w:sz="4" w:space="0" w:color="auto"/>
              <w:right w:val="single" w:sz="4" w:space="0" w:color="auto"/>
            </w:tcBorders>
            <w:shd w:val="clear" w:color="auto" w:fill="auto"/>
            <w:noWrap/>
            <w:vAlign w:val="center"/>
            <w:hideMark/>
          </w:tcPr>
          <w:p w14:paraId="6D6E410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CTC TTT GCA CCT TAC CGC</w:t>
            </w:r>
          </w:p>
        </w:tc>
        <w:tc>
          <w:tcPr>
            <w:tcW w:w="1620" w:type="dxa"/>
            <w:tcBorders>
              <w:top w:val="nil"/>
              <w:left w:val="nil"/>
              <w:bottom w:val="single" w:sz="4" w:space="0" w:color="auto"/>
              <w:right w:val="single" w:sz="4" w:space="0" w:color="auto"/>
            </w:tcBorders>
            <w:shd w:val="clear" w:color="auto" w:fill="auto"/>
            <w:noWrap/>
            <w:vAlign w:val="center"/>
            <w:hideMark/>
          </w:tcPr>
          <w:p w14:paraId="39C1D06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170</w:t>
            </w:r>
          </w:p>
        </w:tc>
        <w:tc>
          <w:tcPr>
            <w:tcW w:w="1620" w:type="dxa"/>
            <w:tcBorders>
              <w:top w:val="nil"/>
              <w:left w:val="nil"/>
              <w:bottom w:val="single" w:sz="4" w:space="0" w:color="auto"/>
              <w:right w:val="single" w:sz="4" w:space="0" w:color="auto"/>
            </w:tcBorders>
            <w:shd w:val="clear" w:color="auto" w:fill="auto"/>
            <w:noWrap/>
            <w:vAlign w:val="center"/>
            <w:hideMark/>
          </w:tcPr>
          <w:p w14:paraId="5B65136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FA6264A" w14:textId="182C171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175C29E1" w14:textId="77777777" w:rsidTr="00C662E9">
        <w:trPr>
          <w:trHeight w:val="288"/>
        </w:trPr>
        <w:tc>
          <w:tcPr>
            <w:tcW w:w="630" w:type="dxa"/>
            <w:vMerge/>
            <w:tcBorders>
              <w:left w:val="single" w:sz="4" w:space="0" w:color="auto"/>
              <w:right w:val="single" w:sz="4" w:space="0" w:color="auto"/>
            </w:tcBorders>
            <w:vAlign w:val="center"/>
            <w:hideMark/>
          </w:tcPr>
          <w:p w14:paraId="119A273D"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61E011E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see-6</w:t>
            </w:r>
          </w:p>
        </w:tc>
        <w:tc>
          <w:tcPr>
            <w:tcW w:w="3690" w:type="dxa"/>
            <w:tcBorders>
              <w:top w:val="nil"/>
              <w:left w:val="nil"/>
              <w:bottom w:val="single" w:sz="4" w:space="0" w:color="auto"/>
              <w:right w:val="single" w:sz="4" w:space="0" w:color="auto"/>
            </w:tcBorders>
            <w:shd w:val="clear" w:color="000000" w:fill="E7E6E6"/>
            <w:noWrap/>
            <w:vAlign w:val="center"/>
            <w:hideMark/>
          </w:tcPr>
          <w:p w14:paraId="6C1C5E8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AGG TTT TTT CAC AGG TCA TCC</w:t>
            </w:r>
          </w:p>
        </w:tc>
        <w:tc>
          <w:tcPr>
            <w:tcW w:w="3780" w:type="dxa"/>
            <w:tcBorders>
              <w:top w:val="nil"/>
              <w:left w:val="nil"/>
              <w:bottom w:val="single" w:sz="4" w:space="0" w:color="auto"/>
              <w:right w:val="single" w:sz="4" w:space="0" w:color="auto"/>
            </w:tcBorders>
            <w:shd w:val="clear" w:color="000000" w:fill="E7E6E6"/>
            <w:noWrap/>
            <w:vAlign w:val="center"/>
            <w:hideMark/>
          </w:tcPr>
          <w:p w14:paraId="176257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CTT TTT TTT CTT CGG TCA ATC</w:t>
            </w:r>
          </w:p>
        </w:tc>
        <w:tc>
          <w:tcPr>
            <w:tcW w:w="1620" w:type="dxa"/>
            <w:tcBorders>
              <w:top w:val="nil"/>
              <w:left w:val="nil"/>
              <w:bottom w:val="single" w:sz="4" w:space="0" w:color="auto"/>
              <w:right w:val="single" w:sz="4" w:space="0" w:color="auto"/>
            </w:tcBorders>
            <w:shd w:val="clear" w:color="000000" w:fill="E7E6E6"/>
            <w:noWrap/>
            <w:vAlign w:val="center"/>
            <w:hideMark/>
          </w:tcPr>
          <w:p w14:paraId="32C58A3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209</w:t>
            </w:r>
          </w:p>
        </w:tc>
        <w:tc>
          <w:tcPr>
            <w:tcW w:w="1620" w:type="dxa"/>
            <w:tcBorders>
              <w:top w:val="nil"/>
              <w:left w:val="nil"/>
              <w:bottom w:val="single" w:sz="4" w:space="0" w:color="auto"/>
              <w:right w:val="single" w:sz="4" w:space="0" w:color="auto"/>
            </w:tcBorders>
            <w:shd w:val="clear" w:color="000000" w:fill="E7E6E6"/>
            <w:noWrap/>
            <w:vAlign w:val="center"/>
            <w:hideMark/>
          </w:tcPr>
          <w:p w14:paraId="5F5489E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Aspecific detection of highly similar </w:t>
            </w:r>
            <w:r w:rsidRPr="006C34E3">
              <w:rPr>
                <w:rFonts w:eastAsia="Times New Roman" w:cs="Times New Roman"/>
                <w:i/>
                <w:iCs/>
                <w:color w:val="000000"/>
                <w:sz w:val="16"/>
                <w:szCs w:val="16"/>
              </w:rPr>
              <w:t xml:space="preserve">sep </w:t>
            </w:r>
            <w:r w:rsidRPr="006C34E3">
              <w:rPr>
                <w:rFonts w:eastAsia="Times New Roman" w:cs="Times New Roman"/>
                <w:iCs/>
                <w:color w:val="000000"/>
                <w:sz w:val="16"/>
                <w:szCs w:val="16"/>
              </w:rPr>
              <w:t>gene</w:t>
            </w:r>
          </w:p>
        </w:tc>
        <w:tc>
          <w:tcPr>
            <w:tcW w:w="1530" w:type="dxa"/>
            <w:tcBorders>
              <w:top w:val="nil"/>
              <w:left w:val="nil"/>
              <w:bottom w:val="single" w:sz="4" w:space="0" w:color="auto"/>
              <w:right w:val="single" w:sz="4" w:space="0" w:color="auto"/>
            </w:tcBorders>
            <w:shd w:val="clear" w:color="000000" w:fill="E7E6E6"/>
            <w:noWrap/>
            <w:vAlign w:val="center"/>
            <w:hideMark/>
          </w:tcPr>
          <w:p w14:paraId="493BD4B6" w14:textId="0F8CAB9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{"citationItems":[{"id":"ITEM-1","itemData":{"DOI":"10.1128/jb.170.7.2954-2960.1988","ISSN":"00219193","PMID":"3384800","abstract":"The gene for staphylococcal enterotoxin type E (entE) was cloned from Staphylococcus aureus into plasmid vector pBR322 and introduced into Escherichia coli. A staphylococcal enterotoxin type E-producing E. coli strain was isolated. The complete nucleotide sequence of the cloned structural entE gene and the N-terminal amino acid sequence of mature staphylococcal enterotoxin type E were determined. The entE gene contained 771 base pairs that encoded a protein with a molecular weight of 29,358 which was apparently processed to a mature extracellular form with a molecular weight of 26,425. DNA sequence comparisons indicated that staphylococcal enterotoxins type E and A are closely related. There was 84% nucleotide sequence homology between entE and the gene for staphylococcal enterotoxin type A; these genes encoded protein products that had 214 (83%) homologous amino acid residues (mature forms had 188 [82%] homologous amino acid residues).","author":[{"dropping-particle":"","family":"Couch","given":"J. L.","non-dropping-particle":"","parse-names":false,"suffix":""},{"dropping-particle":"","family":"Soltis","given":"M. T.","non-dropping-particle":"","parse-names":false,"suffix":""},{"dropping-particle":"","family":"Betley","given":"M. J.","non-dropping-particle":"","parse-names":false,"suffix":""}],"container-title":"Journal of Bacteriology","id":"ITEM-1","issue":"7","issued":{"date-parts":[["1988"]]},"page":"2954-2970","title":"Cloning and nucleotide sequence of the type E staphylococcal enterotoxin gene","type":"article-journal","volume":"170"},"uris":["http://www.mendeley.com/documents/?uuid=19d751cc-10b8-440b-86b2-f6d2ffaa638f"]}],"mendeley":{"formattedCitation":"(Couch et al., 1988)","plainTextFormattedCitation":"(Couch et al., 1988)","previouslyFormattedCitation":"(Couch et al., 1988)"},"properties":{"noteIndex":0},"schema":"https://github.com/citation-style-language/schema/raw/master/csl-citation.json"}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(Couch et al., 1988)</w:t>
            </w:r>
            <w:r w:rsidRPr="006C34E3">
              <w:rPr>
                <w:rFonts w:eastAsia="Times New Roman" w:cs="Times New Roman"/>
                <w:color w:val="000000"/>
                <w:sz w:val="16"/>
                <w:szCs w:val="16"/>
              </w:rPr>
              <w:fldChar w:fldCharType="end"/>
            </w:r>
          </w:p>
        </w:tc>
      </w:tr>
      <w:tr w:rsidR="00F90100" w:rsidRPr="006C34E3" w14:paraId="0D2C038A" w14:textId="77777777" w:rsidTr="00C662E9">
        <w:trPr>
          <w:trHeight w:val="288"/>
        </w:trPr>
        <w:tc>
          <w:tcPr>
            <w:tcW w:w="630" w:type="dxa"/>
            <w:vMerge/>
            <w:tcBorders>
              <w:left w:val="single" w:sz="4" w:space="0" w:color="auto"/>
              <w:right w:val="single" w:sz="4" w:space="0" w:color="auto"/>
            </w:tcBorders>
            <w:vAlign w:val="center"/>
            <w:hideMark/>
          </w:tcPr>
          <w:p w14:paraId="45BF557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E7E6E6"/>
            <w:noWrap/>
            <w:vAlign w:val="center"/>
            <w:hideMark/>
          </w:tcPr>
          <w:p w14:paraId="583E569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see-7</w:t>
            </w:r>
          </w:p>
        </w:tc>
        <w:tc>
          <w:tcPr>
            <w:tcW w:w="3690" w:type="dxa"/>
            <w:tcBorders>
              <w:top w:val="nil"/>
              <w:left w:val="nil"/>
              <w:bottom w:val="single" w:sz="4" w:space="0" w:color="auto"/>
              <w:right w:val="single" w:sz="4" w:space="0" w:color="auto"/>
            </w:tcBorders>
            <w:shd w:val="clear" w:color="auto" w:fill="E7E6E6"/>
            <w:noWrap/>
            <w:vAlign w:val="center"/>
            <w:hideMark/>
          </w:tcPr>
          <w:p w14:paraId="6A8D1767" w14:textId="77777777" w:rsidR="00F90100" w:rsidRPr="006C34E3" w:rsidRDefault="00F90100" w:rsidP="00F90100">
            <w:pPr>
              <w:spacing w:before="0" w:after="0"/>
              <w:jc w:val="center"/>
              <w:rPr>
                <w:rFonts w:eastAsia="Times New Roman" w:cs="Times New Roman"/>
                <w:sz w:val="16"/>
                <w:szCs w:val="16"/>
                <w:lang w:val="nl-NL"/>
              </w:rPr>
            </w:pPr>
            <w:r w:rsidRPr="006C34E3">
              <w:rPr>
                <w:rFonts w:eastAsia="Times New Roman" w:cs="Times New Roman"/>
                <w:sz w:val="16"/>
                <w:szCs w:val="16"/>
                <w:lang w:val="nl-NL"/>
              </w:rPr>
              <w:t>ACC GAT TGA CCG AAG AAA AA</w:t>
            </w:r>
          </w:p>
        </w:tc>
        <w:tc>
          <w:tcPr>
            <w:tcW w:w="3780" w:type="dxa"/>
            <w:tcBorders>
              <w:top w:val="nil"/>
              <w:left w:val="nil"/>
              <w:bottom w:val="single" w:sz="4" w:space="0" w:color="auto"/>
              <w:right w:val="single" w:sz="4" w:space="0" w:color="auto"/>
            </w:tcBorders>
            <w:shd w:val="clear" w:color="auto" w:fill="E7E6E6"/>
            <w:noWrap/>
            <w:vAlign w:val="center"/>
            <w:hideMark/>
          </w:tcPr>
          <w:p w14:paraId="41C7B2DE" w14:textId="77777777" w:rsidR="00F90100" w:rsidRPr="00634D63" w:rsidRDefault="00F90100" w:rsidP="00F90100">
            <w:pPr>
              <w:spacing w:before="0" w:after="0"/>
              <w:jc w:val="center"/>
              <w:rPr>
                <w:rFonts w:eastAsia="Times New Roman" w:cs="Times New Roman"/>
                <w:sz w:val="16"/>
                <w:szCs w:val="16"/>
                <w:lang w:val="nl-NL"/>
              </w:rPr>
            </w:pPr>
            <w:r w:rsidRPr="00634D63">
              <w:rPr>
                <w:rFonts w:eastAsia="Times New Roman" w:cs="Times New Roman"/>
                <w:sz w:val="16"/>
                <w:szCs w:val="16"/>
                <w:lang w:val="nl-NL"/>
              </w:rPr>
              <w:t>ATT GCC CTT GAG CAT CAA AC</w:t>
            </w:r>
          </w:p>
        </w:tc>
        <w:tc>
          <w:tcPr>
            <w:tcW w:w="1620" w:type="dxa"/>
            <w:tcBorders>
              <w:top w:val="nil"/>
              <w:left w:val="nil"/>
              <w:bottom w:val="single" w:sz="4" w:space="0" w:color="auto"/>
              <w:right w:val="single" w:sz="4" w:space="0" w:color="auto"/>
            </w:tcBorders>
            <w:shd w:val="clear" w:color="auto" w:fill="E7E6E6"/>
            <w:noWrap/>
            <w:vAlign w:val="center"/>
            <w:hideMark/>
          </w:tcPr>
          <w:p w14:paraId="2525D06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264</w:t>
            </w:r>
          </w:p>
        </w:tc>
        <w:tc>
          <w:tcPr>
            <w:tcW w:w="1620" w:type="dxa"/>
            <w:tcBorders>
              <w:top w:val="nil"/>
              <w:left w:val="nil"/>
              <w:bottom w:val="single" w:sz="4" w:space="0" w:color="auto"/>
              <w:right w:val="single" w:sz="4" w:space="0" w:color="auto"/>
            </w:tcBorders>
            <w:shd w:val="clear" w:color="auto" w:fill="E7E6E6"/>
            <w:noWrap/>
            <w:vAlign w:val="center"/>
            <w:hideMark/>
          </w:tcPr>
          <w:p w14:paraId="36B9E76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Aspecific detection of highly similar </w:t>
            </w:r>
            <w:r w:rsidRPr="006C34E3">
              <w:rPr>
                <w:rFonts w:eastAsia="Times New Roman" w:cs="Times New Roman"/>
                <w:i/>
                <w:iCs/>
                <w:color w:val="000000"/>
                <w:sz w:val="16"/>
                <w:szCs w:val="16"/>
              </w:rPr>
              <w:t xml:space="preserve">sea </w:t>
            </w:r>
            <w:r w:rsidRPr="006C34E3">
              <w:rPr>
                <w:rFonts w:eastAsia="Times New Roman" w:cs="Times New Roman"/>
                <w:iCs/>
                <w:color w:val="000000"/>
                <w:sz w:val="16"/>
                <w:szCs w:val="16"/>
              </w:rPr>
              <w:t>gene</w:t>
            </w:r>
          </w:p>
        </w:tc>
        <w:tc>
          <w:tcPr>
            <w:tcW w:w="1530" w:type="dxa"/>
            <w:tcBorders>
              <w:top w:val="nil"/>
              <w:left w:val="nil"/>
              <w:bottom w:val="single" w:sz="4" w:space="0" w:color="auto"/>
              <w:right w:val="single" w:sz="4" w:space="0" w:color="auto"/>
            </w:tcBorders>
            <w:shd w:val="clear" w:color="auto" w:fill="E7E6E6"/>
            <w:noWrap/>
            <w:vAlign w:val="center"/>
            <w:hideMark/>
          </w:tcPr>
          <w:p w14:paraId="14EE186E" w14:textId="42BDCE1A"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{"citationItems":[{"id":"ITEM-1","itemData":{"DOI":"10.1128/AEM.00272-09","ISSN":"00992240","PMID":"19749060","abstract":"Staphylococcal enterotoxins (SE) can cause toxin-mediated disease, and those that function as superantigens are implicated in the pathogenesis of allergic diseases. The prevalence of 19 enterotoxin genes was determined by PCR in clinical S. aureus strains derived from wounds (108) and blood (99). We performed spa typing and multilocus sequence typing (MLST) to determine clonal origin, and for selected strains staphylococcal enterotoxin B (SEB) production was measured by enzyme-linked immunosorbent assay. Strains carried a median of five SE genes. For most SE genes, the prevalence rates among methicillinresistant and methicillin-sensitive S. aureus isolates, as well as wound- and blood-derived isolates, did not differ. At least one SE gene was detected in all except two S. aureus isolates (&gt;99%). Complete egc clusters were found in only 11% of S. aureus isolates, whereas the combination of sed, sej, and ser was detected in 24% of clinical strains. S. aureus strains exhibited distinct combinations of SE genes, even if their pulsed-field gel electrophoresis and MLST patterns demonstrated clonality. USA300 strains also showed considerable variability in SE content, although they contained a lower number of SE genes (mean, 3). By contrast, SE content was unchanged in five pairs of serial isolates. SEB production by individual strains varied up to 200-fold, and even up to 15-fold in a pair of serial isolates. In conclusion, our results illustrate the genetic diversity of S. aureus strains with respect to enterotoxin genes and suggest that horizontal transfer of mobile genetic elements encoding virulence genes occurs frequently. Copyright © 2009, American Society for Microbiology. All Rights Reserved.","author":[{"dropping-particle":"","family":"Varshney","given":"Avanish K.","non-dropping-particle":"","parse-names":false,"suffix":""},{"dropping-particle":"","family":"Mediavilla","given":"José R.","non-dropping-particle":"","parse-names":false,"suffix":""},{"dropping-particle":"","family":"Robiou","given":"Natalie","non-dropping-particle":"","parse-names":false,"suffix":""},{"dropping-particle":"","family":"Guh","given":"Alice","non-dropping-particle":"","parse-names":false,"suffix":""},{"dropping-particle":"","family":"Wang","given":"Xiabo","non-dropping-particle":"","parse-names":false,"suffix":""},{"dropping-particle":"","family":"Gialanella","given":"Philip","non-dropping-particle":"","parse-names":false,"suffix":""},{"dropping-particle":"","family":"Levi","given":"Michael H.","non-dropping-particle":"","parse-names":false,"suffix":""},{"dropping-particle":"","family":"Kreiswirth","given":"Barry N.","non-dropping-particle":"","parse-names":false,"suffix":""},{"dropping-particle":"","family":"Fries","given":"Bettina C.","non-dropping-particle":"","parse-names":false,"suffix":""}],"container-title":"Applied and Environmental Microbiology","id":"ITEM-1","issue":"21","issued":{"date-parts":[["2009"]]},"page":"6839-6849","title":"Diverse enterotoxin gene profiles among clonal complexes of Staphylococcus aureus isolates from the Bronx, New York","type":"article-journal","volume":"75"},"uris":["http://www.mendeley.com/documents/?uuid=d01e251a-bae9-4580-a6db-90bb5b4c190e"]}],"mendeley":{"formattedCitation":"(Varshney et al., 2009)","plainTextFormattedCitation":"(Varshney et al., 2009)","previouslyFormattedCitation":"(Varshney et al., 2009)"},"properties":{"noteIndex":0},"schema":"https://github.com/citation-style-language/schema/raw/master/csl-citation.json"}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(Varshney et al., 2009)</w:t>
            </w:r>
            <w:r w:rsidRPr="006C34E3">
              <w:rPr>
                <w:rFonts w:eastAsia="Times New Roman" w:cs="Times New Roman"/>
                <w:color w:val="000000"/>
                <w:sz w:val="16"/>
                <w:szCs w:val="16"/>
              </w:rPr>
              <w:fldChar w:fldCharType="end"/>
            </w:r>
          </w:p>
        </w:tc>
      </w:tr>
      <w:tr w:rsidR="00F90100" w:rsidRPr="006C34E3" w14:paraId="7E93476A" w14:textId="77777777" w:rsidTr="00C662E9">
        <w:trPr>
          <w:trHeight w:val="288"/>
        </w:trPr>
        <w:tc>
          <w:tcPr>
            <w:tcW w:w="630" w:type="dxa"/>
            <w:vMerge/>
            <w:tcBorders>
              <w:left w:val="single" w:sz="4" w:space="0" w:color="auto"/>
              <w:right w:val="single" w:sz="4" w:space="0" w:color="auto"/>
            </w:tcBorders>
            <w:vAlign w:val="center"/>
            <w:hideMark/>
          </w:tcPr>
          <w:p w14:paraId="6C9074D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E7E6E6"/>
            <w:noWrap/>
            <w:vAlign w:val="center"/>
            <w:hideMark/>
          </w:tcPr>
          <w:p w14:paraId="7CE010C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see-8</w:t>
            </w:r>
          </w:p>
        </w:tc>
        <w:tc>
          <w:tcPr>
            <w:tcW w:w="3690" w:type="dxa"/>
            <w:tcBorders>
              <w:top w:val="nil"/>
              <w:left w:val="nil"/>
              <w:bottom w:val="single" w:sz="4" w:space="0" w:color="auto"/>
              <w:right w:val="single" w:sz="4" w:space="0" w:color="auto"/>
            </w:tcBorders>
            <w:shd w:val="clear" w:color="auto" w:fill="E7E6E6"/>
            <w:noWrap/>
            <w:vAlign w:val="center"/>
            <w:hideMark/>
          </w:tcPr>
          <w:p w14:paraId="3AF1BCD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CAA AGA AAT GCT TTA AGC AAT CTT AGG CCA C</w:t>
            </w:r>
          </w:p>
        </w:tc>
        <w:tc>
          <w:tcPr>
            <w:tcW w:w="3780" w:type="dxa"/>
            <w:tcBorders>
              <w:top w:val="nil"/>
              <w:left w:val="nil"/>
              <w:bottom w:val="single" w:sz="4" w:space="0" w:color="auto"/>
              <w:right w:val="single" w:sz="4" w:space="0" w:color="auto"/>
            </w:tcBorders>
            <w:shd w:val="clear" w:color="auto" w:fill="E7E6E6"/>
            <w:noWrap/>
            <w:vAlign w:val="center"/>
            <w:hideMark/>
          </w:tcPr>
          <w:p w14:paraId="66E5CC9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CTT ACC GCC AAA GCT G</w:t>
            </w:r>
          </w:p>
        </w:tc>
        <w:tc>
          <w:tcPr>
            <w:tcW w:w="1620" w:type="dxa"/>
            <w:tcBorders>
              <w:top w:val="nil"/>
              <w:left w:val="nil"/>
              <w:bottom w:val="single" w:sz="4" w:space="0" w:color="auto"/>
              <w:right w:val="single" w:sz="4" w:space="0" w:color="auto"/>
            </w:tcBorders>
            <w:shd w:val="clear" w:color="auto" w:fill="E7E6E6"/>
            <w:noWrap/>
            <w:vAlign w:val="center"/>
            <w:hideMark/>
          </w:tcPr>
          <w:p w14:paraId="18E6597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482</w:t>
            </w:r>
          </w:p>
        </w:tc>
        <w:tc>
          <w:tcPr>
            <w:tcW w:w="1620" w:type="dxa"/>
            <w:tcBorders>
              <w:top w:val="nil"/>
              <w:left w:val="nil"/>
              <w:bottom w:val="single" w:sz="4" w:space="0" w:color="auto"/>
              <w:right w:val="single" w:sz="4" w:space="0" w:color="auto"/>
            </w:tcBorders>
            <w:shd w:val="clear" w:color="auto" w:fill="E7E6E6"/>
            <w:noWrap/>
            <w:vAlign w:val="center"/>
            <w:hideMark/>
          </w:tcPr>
          <w:p w14:paraId="580385FE"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 No detection of </w:t>
            </w:r>
            <w:r w:rsidRPr="006C34E3">
              <w:rPr>
                <w:rFonts w:eastAsia="Times New Roman" w:cs="Times New Roman"/>
                <w:i/>
                <w:color w:val="000000"/>
                <w:sz w:val="16"/>
                <w:szCs w:val="16"/>
              </w:rPr>
              <w:t xml:space="preserve">see </w:t>
            </w:r>
            <w:r w:rsidRPr="006C34E3">
              <w:rPr>
                <w:rFonts w:eastAsia="Times New Roman" w:cs="Times New Roman"/>
                <w:color w:val="000000"/>
                <w:sz w:val="16"/>
                <w:szCs w:val="16"/>
              </w:rPr>
              <w:t>according to preset criteria</w:t>
            </w:r>
          </w:p>
        </w:tc>
        <w:tc>
          <w:tcPr>
            <w:tcW w:w="1530" w:type="dxa"/>
            <w:tcBorders>
              <w:top w:val="nil"/>
              <w:left w:val="nil"/>
              <w:bottom w:val="single" w:sz="4" w:space="0" w:color="auto"/>
              <w:right w:val="single" w:sz="4" w:space="0" w:color="auto"/>
            </w:tcBorders>
            <w:shd w:val="clear" w:color="auto" w:fill="E7E6E6"/>
            <w:noWrap/>
            <w:vAlign w:val="center"/>
            <w:hideMark/>
          </w:tcPr>
          <w:p w14:paraId="1A3857F6" w14:textId="1B6A334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{"citationItems":[{"id":"ITEM-1","itemData":{"DOI":"10.1128/jcm.37.8.2446-2449.1999","ISSN":"00951137","PMID":"10405382","abstract":"We investigated the involvement of the recently described staphylococcal enterotoxins G and I in toxic shock syndrome. We reexamined Staphylococcus aureus strains isolated from patients with menstrual and nonmenstrual toxic shock syndrome (nine cases) or staphylococcal scarlet fever (three cases). These strains were selected because they produced none of the toxins known to be involved in these syndromes (toxic shock syndrome toxin 1 and enterotoxins A, B, C, and D), enterotoxin E or H, or exfoliative toxin A or B, despite the fact that superantigenic toxins were detected in a CD69-specific flow cytometry assay measuring T-cell activation. Sets of primers specific to the enterotoxin G and I genes (seg and sei, respectively) were designed and used for PCR amplification. All of the strains were positive for seg and sei. Sequence analysis confirmed that the PCR products, corresponded to the target genes. We suggest that staphylococcal enterotoxins G and I may be capable of causing human staphylococcal toxic shock syndrome and staphylococcal scarlet fever.","author":[{"dropping-particle":"","family":"Jarraud","given":"Sophie","non-dropping-particle":"","parse-names":false,"suffix":""},{"dropping-particle":"","family":"Cozon","given":"Grégoire","non-dropping-particle":"","parse-names":false,"suffix":""},{"dropping-particle":"","family":"Vandenesch","given":"François","non-dropping-particle":"","parse-names":false,"suffix":""},{"dropping-particle":"","family":"Bes","given":"Michèle","non-dropping-particle":"","parse-names":false,"suffix":""},{"dropping-particle":"","family":"Etienne","given":"Jerome","non-dropping-particle":"","parse-names":false,"suffix":""},{"dropping-particle":"","family":"Lina","given":"Gerard","non-dropping-particle":"","parse-names":false,"suffix":""}],"container-title":"Journal of Clinical Microbiology","id":"ITEM-1","issue":"8","issued":{"date-parts":[["1999"]]},"page":"2446-2449","title":"Involvement of enterotoxins G and I in staphylococcal toxic shock syndrome and staphylococcal scarlet fever","type":"article-journal","volume":"37"},"uris":["http://www.mendeley.com/documents/?uuid=05ab9d86-0204-40c3-bd20-84f5597bda7c"]}],"mendeley":{"formattedCitation":"(Jarraud et al., 1999)","plainTextFormattedCitation":"(Jarraud et al., 1999)","previouslyFormattedCitation":"(Jarraud et al.,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1999)</w:t>
            </w:r>
            <w:r w:rsidRPr="006C34E3">
              <w:rPr>
                <w:rFonts w:eastAsia="Times New Roman" w:cs="Times New Roman"/>
                <w:color w:val="000000"/>
                <w:sz w:val="16"/>
                <w:szCs w:val="16"/>
              </w:rPr>
              <w:fldChar w:fldCharType="end"/>
            </w:r>
          </w:p>
        </w:tc>
      </w:tr>
      <w:tr w:rsidR="00F90100" w:rsidRPr="006C34E3" w14:paraId="5FC9B015" w14:textId="77777777" w:rsidTr="00C662E9">
        <w:trPr>
          <w:trHeight w:val="288"/>
        </w:trPr>
        <w:tc>
          <w:tcPr>
            <w:tcW w:w="630" w:type="dxa"/>
            <w:vMerge/>
            <w:tcBorders>
              <w:left w:val="single" w:sz="4" w:space="0" w:color="auto"/>
              <w:bottom w:val="single" w:sz="4" w:space="0" w:color="000000"/>
              <w:right w:val="single" w:sz="4" w:space="0" w:color="auto"/>
            </w:tcBorders>
            <w:vAlign w:val="center"/>
          </w:tcPr>
          <w:p w14:paraId="73279F8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5220A96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see-9</w:t>
            </w:r>
          </w:p>
        </w:tc>
        <w:tc>
          <w:tcPr>
            <w:tcW w:w="3690" w:type="dxa"/>
            <w:tcBorders>
              <w:top w:val="nil"/>
              <w:left w:val="nil"/>
              <w:bottom w:val="single" w:sz="4" w:space="0" w:color="auto"/>
              <w:right w:val="single" w:sz="4" w:space="0" w:color="auto"/>
            </w:tcBorders>
            <w:shd w:val="clear" w:color="auto" w:fill="auto"/>
            <w:noWrap/>
            <w:vAlign w:val="center"/>
          </w:tcPr>
          <w:p w14:paraId="4A0EE141" w14:textId="77777777" w:rsidR="00F90100" w:rsidRPr="00634D63" w:rsidRDefault="00F90100" w:rsidP="00F90100">
            <w:pPr>
              <w:spacing w:before="0" w:after="0"/>
              <w:jc w:val="center"/>
              <w:rPr>
                <w:rFonts w:eastAsia="Times New Roman" w:cs="Times New Roman"/>
                <w:sz w:val="16"/>
                <w:szCs w:val="16"/>
                <w:lang w:val="it-IT"/>
              </w:rPr>
            </w:pPr>
            <w:r w:rsidRPr="00634D63">
              <w:rPr>
                <w:rFonts w:eastAsia="Times New Roman" w:cs="Times New Roman"/>
                <w:sz w:val="16"/>
                <w:szCs w:val="16"/>
                <w:lang w:val="it-IT"/>
              </w:rPr>
              <w:t>TTA CAA AGA AAT GCT TTA AGC</w:t>
            </w:r>
          </w:p>
        </w:tc>
        <w:tc>
          <w:tcPr>
            <w:tcW w:w="3780" w:type="dxa"/>
            <w:tcBorders>
              <w:top w:val="nil"/>
              <w:left w:val="nil"/>
              <w:bottom w:val="single" w:sz="4" w:space="0" w:color="auto"/>
              <w:right w:val="single" w:sz="4" w:space="0" w:color="auto"/>
            </w:tcBorders>
            <w:shd w:val="clear" w:color="auto" w:fill="auto"/>
            <w:noWrap/>
            <w:vAlign w:val="center"/>
          </w:tcPr>
          <w:p w14:paraId="37E44D7C" w14:textId="77777777" w:rsidR="00F90100" w:rsidRPr="00634D63" w:rsidRDefault="00F90100" w:rsidP="00F90100">
            <w:pPr>
              <w:spacing w:before="0" w:after="0"/>
              <w:jc w:val="center"/>
              <w:rPr>
                <w:rFonts w:eastAsia="Times New Roman" w:cs="Times New Roman"/>
                <w:sz w:val="16"/>
                <w:szCs w:val="16"/>
                <w:lang w:val="it-IT"/>
              </w:rPr>
            </w:pPr>
            <w:r w:rsidRPr="00634D63">
              <w:rPr>
                <w:rFonts w:eastAsia="Times New Roman" w:cs="Times New Roman"/>
                <w:sz w:val="16"/>
                <w:szCs w:val="16"/>
                <w:lang w:val="it-IT"/>
              </w:rPr>
              <w:t>TAA ACC AAA TTT TCC GT</w:t>
            </w:r>
          </w:p>
        </w:tc>
        <w:tc>
          <w:tcPr>
            <w:tcW w:w="1620" w:type="dxa"/>
            <w:tcBorders>
              <w:top w:val="nil"/>
              <w:left w:val="nil"/>
              <w:bottom w:val="single" w:sz="4" w:space="0" w:color="auto"/>
              <w:right w:val="single" w:sz="4" w:space="0" w:color="auto"/>
            </w:tcBorders>
            <w:shd w:val="clear" w:color="auto" w:fill="auto"/>
            <w:noWrap/>
            <w:vAlign w:val="center"/>
          </w:tcPr>
          <w:p w14:paraId="4C7D63D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color w:val="5B9BD5"/>
                <w:sz w:val="16"/>
                <w:szCs w:val="16"/>
              </w:rPr>
              <w:t>456</w:t>
            </w:r>
          </w:p>
        </w:tc>
        <w:tc>
          <w:tcPr>
            <w:tcW w:w="1620" w:type="dxa"/>
            <w:tcBorders>
              <w:top w:val="nil"/>
              <w:left w:val="nil"/>
              <w:bottom w:val="single" w:sz="4" w:space="0" w:color="auto"/>
              <w:right w:val="single" w:sz="4" w:space="0" w:color="auto"/>
            </w:tcBorders>
            <w:shd w:val="clear" w:color="auto" w:fill="auto"/>
            <w:noWrap/>
            <w:vAlign w:val="center"/>
          </w:tcPr>
          <w:p w14:paraId="016C0820"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28805F03" w14:textId="28464EF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{"citationItems":[{"id":"ITEM-1","itemData":{"DOI":"10.1007/BF00240750","ISSN":"01757598","PMID":"1368918","abstract":"By comparison with the DNA sequences coding for Staphylococcus aureus enterotoxins (ents) A, B, C, D and E, oligonucleotides unique to the entA, entD and entE genes were synthesized and used as polymerase-chain-reaction (PCR) primers for the specific detection of type A, D or E enterotoxigenic S. aureus. The relative molecular weights of the PCR products amplified with these primers were 210, 333 and 456 bp, respectively. Despite the high relatedness among these S. aureus enterotoxin genes, each primer pair allows specific detection with total discrimination from other types of enterotoxigenic S. aureus. DNA from non-enterotoxigenic S. aureus or from non-S. aureus would not interfere with the PCR results either. Primers designed for entE detection allow the discrimination of entE strains that when assayed by a serological method might be classified as entA-producing strains. Study of the detection sensitivity showed that by using these primers, DNA from 100 cells of enterotoxigenic S. aureus could be detected unambiguously. When these oligonucleotide primers were used for the detection of S. aureus in foods, 100-101 cells per gram of food could be detected and the naturally contaminating microflora in the food sample did not interfere with the detection. © 1992 Springer-Verlag.","author":[{"dropping-particle":"","family":"Tsen","given":"Hau Yang","non-dropping-particle":"","parse-names":false,"suffix":""},{"dropping-particle":"","family":"Chen","given":"Tong Rong","non-dropping-particle":"","parse-names":false,"suffix":""}],"container-title":"Applied Microbiology and Biotechnology","id":"ITEM-1","issue":"5","issued":{"date-parts":[["1992"]]},"page":"685-690","title":"Use of the polymerase chain reaction for specific detection of type A, D and E enterotoxigenic Staphylococcus aureus in foods","type":"article-journal","volume":"37"},"uris":["http://www.mendeley.com/documents/?uuid=f1106928-64a1-4b68-93a1-d76c2ddabefb"]}],"mendeley":{"formattedCitation":"(Tsen and Chen, 1992)","plainTextFormattedCitation":"(Tsen and Chen, 1992)","previouslyFormattedCitation":"(Tsen and Chen, 1992)"},"properties":{"noteIndex":0},"schema":"https://github.com/citation-style-language/schema/raw/master/csl-citation.json"}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(Tsen and Chen, 1992)</w:t>
            </w:r>
            <w:r w:rsidRPr="006C34E3">
              <w:rPr>
                <w:rFonts w:eastAsia="Times New Roman" w:cs="Times New Roman"/>
                <w:color w:val="000000"/>
                <w:sz w:val="16"/>
                <w:szCs w:val="16"/>
              </w:rPr>
              <w:fldChar w:fldCharType="end"/>
            </w:r>
          </w:p>
        </w:tc>
      </w:tr>
      <w:tr w:rsidR="00F90100" w:rsidRPr="006C34E3" w14:paraId="1C5C68CE"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57751199"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seg</w:t>
            </w:r>
          </w:p>
        </w:tc>
        <w:tc>
          <w:tcPr>
            <w:tcW w:w="720" w:type="dxa"/>
            <w:tcBorders>
              <w:top w:val="nil"/>
              <w:left w:val="nil"/>
              <w:bottom w:val="single" w:sz="4" w:space="0" w:color="auto"/>
              <w:right w:val="single" w:sz="4" w:space="0" w:color="auto"/>
            </w:tcBorders>
            <w:shd w:val="clear" w:color="auto" w:fill="auto"/>
            <w:noWrap/>
            <w:vAlign w:val="center"/>
            <w:hideMark/>
          </w:tcPr>
          <w:p w14:paraId="4130F56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seg-1</w:t>
            </w:r>
          </w:p>
        </w:tc>
        <w:tc>
          <w:tcPr>
            <w:tcW w:w="3690" w:type="dxa"/>
            <w:tcBorders>
              <w:top w:val="nil"/>
              <w:left w:val="nil"/>
              <w:bottom w:val="single" w:sz="4" w:space="0" w:color="auto"/>
              <w:right w:val="single" w:sz="4" w:space="0" w:color="auto"/>
            </w:tcBorders>
            <w:shd w:val="clear" w:color="auto" w:fill="auto"/>
            <w:noWrap/>
            <w:vAlign w:val="center"/>
            <w:hideMark/>
          </w:tcPr>
          <w:p w14:paraId="0E43033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AAG TAG ACA TTT TTG GCG TTC C</w:t>
            </w:r>
          </w:p>
        </w:tc>
        <w:tc>
          <w:tcPr>
            <w:tcW w:w="3780" w:type="dxa"/>
            <w:tcBorders>
              <w:top w:val="nil"/>
              <w:left w:val="nil"/>
              <w:bottom w:val="single" w:sz="4" w:space="0" w:color="auto"/>
              <w:right w:val="single" w:sz="4" w:space="0" w:color="auto"/>
            </w:tcBorders>
            <w:shd w:val="clear" w:color="auto" w:fill="auto"/>
            <w:noWrap/>
            <w:vAlign w:val="center"/>
            <w:hideMark/>
          </w:tcPr>
          <w:p w14:paraId="3BDF924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AGA ACC ATC AAA CTC GTA TAG C</w:t>
            </w:r>
          </w:p>
        </w:tc>
        <w:tc>
          <w:tcPr>
            <w:tcW w:w="1620" w:type="dxa"/>
            <w:tcBorders>
              <w:top w:val="nil"/>
              <w:left w:val="nil"/>
              <w:bottom w:val="single" w:sz="4" w:space="0" w:color="auto"/>
              <w:right w:val="single" w:sz="4" w:space="0" w:color="auto"/>
            </w:tcBorders>
            <w:shd w:val="clear" w:color="auto" w:fill="auto"/>
            <w:noWrap/>
            <w:vAlign w:val="center"/>
            <w:hideMark/>
          </w:tcPr>
          <w:p w14:paraId="0AFA745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287</w:t>
            </w:r>
          </w:p>
        </w:tc>
        <w:tc>
          <w:tcPr>
            <w:tcW w:w="1620" w:type="dxa"/>
            <w:tcBorders>
              <w:top w:val="nil"/>
              <w:left w:val="nil"/>
              <w:bottom w:val="single" w:sz="4" w:space="0" w:color="auto"/>
              <w:right w:val="single" w:sz="4" w:space="0" w:color="auto"/>
            </w:tcBorders>
            <w:shd w:val="clear" w:color="auto" w:fill="auto"/>
            <w:noWrap/>
            <w:vAlign w:val="center"/>
            <w:hideMark/>
          </w:tcPr>
          <w:p w14:paraId="454E3EA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5C6F2C5" w14:textId="16329D8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{"citationItems":[{"id":"ITEM-1","itemData":{"DOI":"10.1128/JCM.40.3.857-862.2002","ISSN":"00951137","PMID":"11880405","abstract":"To investigate the distribution of staphylococcal enterotoxin (SE) A to I (SEA to SEI) genes (sea to sei) in Staphylococcus aureus, 146 isolates obtained in Japan from humans involved in and samples from food poisoning outbreaks, healthy humans, cows with mastitis, and bovine raw milk were analyzed by multiplex PCR. One hundred thirteen (77.4%) S. aureus isolates were found to be positive for one or more se genes. The se genotype was classified into 14 genotypes, seg and sei coexisted in the same S. aureus strain. The newly developed sandwich enzyme-linked immunosorbent assay showed that most seh-harboring S. aureus isolates were able to produce a significant amount of SEH. However, most of the S. aureus isolates harboring seg and about 60% of the isolates harboring sei did not produce a detectable level of SEG or SEI, while reverse transcription-PCR analysis proved that the mRNAs of SEG and SEI were transcribed in S. aureus strains harboring seg and sei genes. These results suggest the importance of quantitative assessment of SEG and SEI production in foods in order to clarify the relationship between these new SEs and food poisoning.","author":[{"dropping-particle":"","family":"Omoe","given":"Katsuhiko","non-dropping-particle":"","parse-names":false,"suffix":""},{"dropping-particle":"","family":"Ishikawa","given":"Machiko","non-dropping-particle":"","parse-names":false,"suffix":""},{"dropping-particle":"","family":"Shimoda","given":"Yu","non-dropping-particle":"","parse-names":false,"suffix":""},{"dropping-particle":"","family":"Hu","given":"Dong Liang","non-dropping-particle":"","parse-names":false,"suffix":""},{"dropping-particle":"","family":"Ueda","given":"Shigeko","non-dropping-particle":"","parse-names":false,"suffix":""},{"dropping-particle":"","family":"Shinagawa","given":"Kunihiro","non-dropping-particle":"","parse-names":false,"suffix":""}],"container-title":"Journal of Clinical Microbiology","id":"ITEM-1","issue":"3","issued":{"date-parts":[["2002"]]},"page":"857-862","title":"Detection of seg, seh, and sei genes in Staphylococcus aureus isolates and determination of the enterotoxin productivities of S. aureus isolates harboring seg, seh, or sei genes","type":"article-journal","volume":"40"},"uris":["http://www.mendeley.com/documents/?uuid=dc768282-8beb-4281-8739-d6d7bfa7d029"]}],"mendeley":{"formattedCitation":"(Omoe et al., 2002)","plainTextFormattedCitation":"(Omoe et al., 2002)","previouslyFormattedCitation":"(Omoe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2002)</w:t>
            </w:r>
            <w:r w:rsidRPr="006C34E3">
              <w:rPr>
                <w:rFonts w:eastAsia="Times New Roman" w:cs="Times New Roman"/>
                <w:color w:val="000000"/>
                <w:sz w:val="16"/>
                <w:szCs w:val="16"/>
              </w:rPr>
              <w:fldChar w:fldCharType="end"/>
            </w:r>
          </w:p>
        </w:tc>
      </w:tr>
      <w:tr w:rsidR="00F90100" w:rsidRPr="006C34E3" w14:paraId="1F38CC20" w14:textId="77777777" w:rsidTr="00C662E9">
        <w:trPr>
          <w:trHeight w:val="288"/>
        </w:trPr>
        <w:tc>
          <w:tcPr>
            <w:tcW w:w="630" w:type="dxa"/>
            <w:vMerge/>
            <w:tcBorders>
              <w:left w:val="single" w:sz="4" w:space="0" w:color="auto"/>
              <w:right w:val="single" w:sz="4" w:space="0" w:color="auto"/>
            </w:tcBorders>
            <w:vAlign w:val="center"/>
            <w:hideMark/>
          </w:tcPr>
          <w:p w14:paraId="202D564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65347B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seg-2</w:t>
            </w:r>
          </w:p>
        </w:tc>
        <w:tc>
          <w:tcPr>
            <w:tcW w:w="3690" w:type="dxa"/>
            <w:tcBorders>
              <w:top w:val="nil"/>
              <w:left w:val="nil"/>
              <w:bottom w:val="single" w:sz="4" w:space="0" w:color="auto"/>
              <w:right w:val="single" w:sz="4" w:space="0" w:color="auto"/>
            </w:tcBorders>
            <w:shd w:val="clear" w:color="auto" w:fill="auto"/>
            <w:noWrap/>
            <w:vAlign w:val="center"/>
            <w:hideMark/>
          </w:tcPr>
          <w:p w14:paraId="43F32F9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GGT TCA TTG TCA AAT AGA CTG</w:t>
            </w:r>
          </w:p>
        </w:tc>
        <w:tc>
          <w:tcPr>
            <w:tcW w:w="3780" w:type="dxa"/>
            <w:tcBorders>
              <w:top w:val="nil"/>
              <w:left w:val="nil"/>
              <w:bottom w:val="single" w:sz="4" w:space="0" w:color="auto"/>
              <w:right w:val="single" w:sz="4" w:space="0" w:color="auto"/>
            </w:tcBorders>
            <w:shd w:val="clear" w:color="auto" w:fill="auto"/>
            <w:noWrap/>
            <w:vAlign w:val="center"/>
            <w:hideMark/>
          </w:tcPr>
          <w:p w14:paraId="6375943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CTA TTG TCG ATT GTT ACC TG</w:t>
            </w:r>
          </w:p>
        </w:tc>
        <w:tc>
          <w:tcPr>
            <w:tcW w:w="1620" w:type="dxa"/>
            <w:tcBorders>
              <w:top w:val="nil"/>
              <w:left w:val="nil"/>
              <w:bottom w:val="single" w:sz="4" w:space="0" w:color="auto"/>
              <w:right w:val="single" w:sz="4" w:space="0" w:color="auto"/>
            </w:tcBorders>
            <w:shd w:val="clear" w:color="auto" w:fill="auto"/>
            <w:noWrap/>
            <w:vAlign w:val="center"/>
            <w:hideMark/>
          </w:tcPr>
          <w:p w14:paraId="30C3CC1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520</w:t>
            </w:r>
          </w:p>
        </w:tc>
        <w:tc>
          <w:tcPr>
            <w:tcW w:w="1620" w:type="dxa"/>
            <w:tcBorders>
              <w:top w:val="nil"/>
              <w:left w:val="nil"/>
              <w:bottom w:val="single" w:sz="4" w:space="0" w:color="auto"/>
              <w:right w:val="single" w:sz="4" w:space="0" w:color="auto"/>
            </w:tcBorders>
            <w:shd w:val="clear" w:color="auto" w:fill="auto"/>
            <w:noWrap/>
            <w:vAlign w:val="center"/>
            <w:hideMark/>
          </w:tcPr>
          <w:p w14:paraId="6279341E"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5ED151B7" w14:textId="4FB5CD2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{"citationItems":[{"id":"ITEM-1","itemData":{"DOI":"10.1111/jam.12364","ISSN":"13645072","PMID":"24119042","abstract":"Aims: To develop a multiplex PCR assay coupled with selective enrichment step to detect major virulence-associated genes of enterotoxigenic Stap-hylococcus aureus and evaluate the same directly on contaminated food samples. Methods and Results: The most important virulence-associated genes of Staph. aureus, which are commonly related to food safety issues, are targeted in this study. They include five major enterotoxigenic genes-sea, seb, sec, seg and sei, tst-which encodes TSST-1, mecA-which confer methicillin resistance and coa-for the enzyme coagulase along with an internal amplification control (IAC) to rule out false-negative result. A modified mannitol salt broth (MSB) supplemented with sodium pyruvate was used for selective enrichment of Staph. aureus from food samples prior to PCR. Evaluation of efficiency of different media revealed that enrichment of samples in modified MSB followed by PCR resulted in specific, sensitive and effective amplification of the targeted genes in comparison with other enrichment media. Incorporation of bovine serum albumin (BSA) as PCR enhancer improved the intensity of amplicons. The standardized multiplex PCR (mPCR) format was able to detect all the target genes at a bacterial load of 106 CFU ml-1 in any sample. The PCR results were unequivocally correlated with the conventional methods when the mPCR format was assessed on a total of 91 Staph. aureus isolates. The entire assay was found to be effectual when evaluated on naturally contaminated food samples. Conclusions: The combinatorial approach involving selective enrichment followed by mPCR developed in this study was found to be effective for the detection of toxigenic Staph. aureus directly from various food sources. Significance and Impact of the Study: The developed format would find a promising application in early detection of food contaminations as well as in the diagnosis of food poisoning due to Staph. aureus. © 2013 The Society for Applied Microbiology.","author":[{"dropping-particle":"","family":"Nagaraj","given":"S.","non-dropping-particle":"","parse-names":false,"suffix":""},{"dropping-particle":"","family":"Ramlal","given":"S.","non-dropping-particle":"","parse-names":false,"suffix":""},{"dropping-particle":"","family":"Sripathy","given":"M.H.","non-dropping-particle":"","parse-names":false,"suffix":""},{"dropping-particle":"","family":"Batra","given":"H.V.","non-dropping-particle":"","parse-names":false,"suffix":""}],"container-title":"Journal of Applied Microbiology","id":"ITEM-1","issue":"2","issued":{"date-parts":[["2014","2"]]},"page":"435-446","title":"Development and evaluation of a novel combinatorial selective enrichment and multiplex PCR technique for molecular detection of major virulence-associated genes of enterotoxigenic Staphylococcus aureus in food samples","type":"article-journal","volume":"116"},"uris":["http://www.mendeley.com/documents/?uuid=6974d7f1-8cbe-4860-8489-1903075b4d5b"]}],"mendeley":{"formattedCitation":"(Nagaraj et al., 2014)","plainTextFormattedCitation":"(Nagaraj et al., 2014)","previouslyFormattedCitation":"(Nagaraj et al., 2014)"},"properties":{"noteIndex":0},"schema":"https://github.com/citation-style-language/schema/raw/master/csl-citation.json"}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(Nagaraj et al., 2014)</w:t>
            </w:r>
            <w:r w:rsidRPr="006C34E3">
              <w:rPr>
                <w:rFonts w:eastAsia="Times New Roman" w:cs="Times New Roman"/>
                <w:color w:val="000000"/>
                <w:sz w:val="16"/>
                <w:szCs w:val="16"/>
              </w:rPr>
              <w:fldChar w:fldCharType="end"/>
            </w:r>
          </w:p>
        </w:tc>
      </w:tr>
      <w:tr w:rsidR="00F90100" w:rsidRPr="006C34E3" w14:paraId="2D9FDA27" w14:textId="77777777" w:rsidTr="00C662E9">
        <w:trPr>
          <w:trHeight w:val="288"/>
        </w:trPr>
        <w:tc>
          <w:tcPr>
            <w:tcW w:w="630" w:type="dxa"/>
            <w:vMerge/>
            <w:tcBorders>
              <w:left w:val="single" w:sz="4" w:space="0" w:color="auto"/>
              <w:right w:val="single" w:sz="4" w:space="0" w:color="auto"/>
            </w:tcBorders>
            <w:vAlign w:val="center"/>
            <w:hideMark/>
          </w:tcPr>
          <w:p w14:paraId="60FB97A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EF5CC1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seg-3</w:t>
            </w:r>
          </w:p>
        </w:tc>
        <w:tc>
          <w:tcPr>
            <w:tcW w:w="3690" w:type="dxa"/>
            <w:tcBorders>
              <w:top w:val="nil"/>
              <w:left w:val="nil"/>
              <w:bottom w:val="single" w:sz="4" w:space="0" w:color="auto"/>
              <w:right w:val="single" w:sz="4" w:space="0" w:color="auto"/>
            </w:tcBorders>
            <w:shd w:val="clear" w:color="auto" w:fill="auto"/>
            <w:noWrap/>
            <w:vAlign w:val="center"/>
            <w:hideMark/>
          </w:tcPr>
          <w:p w14:paraId="26A27F5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AGA GGA GGT TTT ATG</w:t>
            </w:r>
          </w:p>
        </w:tc>
        <w:tc>
          <w:tcPr>
            <w:tcW w:w="3780" w:type="dxa"/>
            <w:tcBorders>
              <w:top w:val="nil"/>
              <w:left w:val="nil"/>
              <w:bottom w:val="single" w:sz="4" w:space="0" w:color="auto"/>
              <w:right w:val="single" w:sz="4" w:space="0" w:color="auto"/>
            </w:tcBorders>
            <w:shd w:val="clear" w:color="auto" w:fill="auto"/>
            <w:noWrap/>
            <w:vAlign w:val="center"/>
            <w:hideMark/>
          </w:tcPr>
          <w:p w14:paraId="42FB29C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TTC CTT CAA CAG GTG GAG A</w:t>
            </w:r>
          </w:p>
        </w:tc>
        <w:tc>
          <w:tcPr>
            <w:tcW w:w="1620" w:type="dxa"/>
            <w:tcBorders>
              <w:top w:val="nil"/>
              <w:left w:val="nil"/>
              <w:bottom w:val="single" w:sz="4" w:space="0" w:color="auto"/>
              <w:right w:val="single" w:sz="4" w:space="0" w:color="auto"/>
            </w:tcBorders>
            <w:shd w:val="clear" w:color="auto" w:fill="auto"/>
            <w:noWrap/>
            <w:vAlign w:val="center"/>
            <w:hideMark/>
          </w:tcPr>
          <w:p w14:paraId="387EB1F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198</w:t>
            </w:r>
          </w:p>
        </w:tc>
        <w:tc>
          <w:tcPr>
            <w:tcW w:w="1620" w:type="dxa"/>
            <w:tcBorders>
              <w:top w:val="nil"/>
              <w:left w:val="nil"/>
              <w:bottom w:val="single" w:sz="4" w:space="0" w:color="auto"/>
              <w:right w:val="single" w:sz="4" w:space="0" w:color="auto"/>
            </w:tcBorders>
            <w:shd w:val="clear" w:color="auto" w:fill="auto"/>
            <w:noWrap/>
            <w:vAlign w:val="center"/>
            <w:hideMark/>
          </w:tcPr>
          <w:p w14:paraId="6F7D9E6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4131C6AE" w14:textId="74EEA8B4"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MLVA","type":"article-journal","volume":"6"},"uris":["http://www.mendeley.com/documents/?uuid=fc1715b7-49a3-4430-b1bf-38feeadd5075"]}],"mendeley":{"formattedCitation":"(Bania et al., 2006; Roussel et al., 2015)","plainTextFormattedCitation":"(Bania et al., 2006; Roussel et al., 2015)","previouslyFormattedCitation":"(Bania et al., 2006;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 Roussel et al., 2015)</w:t>
            </w:r>
            <w:r w:rsidRPr="006C34E3">
              <w:rPr>
                <w:rFonts w:eastAsia="Times New Roman" w:cs="Times New Roman"/>
                <w:color w:val="000000"/>
                <w:sz w:val="16"/>
                <w:szCs w:val="16"/>
              </w:rPr>
              <w:fldChar w:fldCharType="end"/>
            </w:r>
          </w:p>
        </w:tc>
      </w:tr>
      <w:tr w:rsidR="00F90100" w:rsidRPr="006C34E3" w14:paraId="1848863E" w14:textId="77777777" w:rsidTr="00C662E9">
        <w:trPr>
          <w:trHeight w:val="288"/>
        </w:trPr>
        <w:tc>
          <w:tcPr>
            <w:tcW w:w="630" w:type="dxa"/>
            <w:vMerge/>
            <w:tcBorders>
              <w:left w:val="single" w:sz="4" w:space="0" w:color="auto"/>
              <w:right w:val="single" w:sz="4" w:space="0" w:color="auto"/>
            </w:tcBorders>
            <w:vAlign w:val="center"/>
            <w:hideMark/>
          </w:tcPr>
          <w:p w14:paraId="6880D4F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1762C6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seg-4</w:t>
            </w:r>
          </w:p>
        </w:tc>
        <w:tc>
          <w:tcPr>
            <w:tcW w:w="3690" w:type="dxa"/>
            <w:tcBorders>
              <w:top w:val="nil"/>
              <w:left w:val="nil"/>
              <w:bottom w:val="single" w:sz="4" w:space="0" w:color="auto"/>
              <w:right w:val="single" w:sz="4" w:space="0" w:color="auto"/>
            </w:tcBorders>
            <w:shd w:val="clear" w:color="auto" w:fill="auto"/>
            <w:noWrap/>
            <w:vAlign w:val="center"/>
            <w:hideMark/>
          </w:tcPr>
          <w:p w14:paraId="1D91E86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TCT CCA CCT GTT GAA GG</w:t>
            </w:r>
          </w:p>
        </w:tc>
        <w:tc>
          <w:tcPr>
            <w:tcW w:w="3780" w:type="dxa"/>
            <w:tcBorders>
              <w:top w:val="nil"/>
              <w:left w:val="nil"/>
              <w:bottom w:val="single" w:sz="4" w:space="0" w:color="auto"/>
              <w:right w:val="single" w:sz="4" w:space="0" w:color="auto"/>
            </w:tcBorders>
            <w:shd w:val="clear" w:color="auto" w:fill="auto"/>
            <w:noWrap/>
            <w:vAlign w:val="center"/>
            <w:hideMark/>
          </w:tcPr>
          <w:p w14:paraId="018E46E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AAG TGA TTG TCT ATT GTC G</w:t>
            </w:r>
          </w:p>
        </w:tc>
        <w:tc>
          <w:tcPr>
            <w:tcW w:w="1620" w:type="dxa"/>
            <w:tcBorders>
              <w:top w:val="nil"/>
              <w:left w:val="nil"/>
              <w:bottom w:val="single" w:sz="4" w:space="0" w:color="auto"/>
              <w:right w:val="single" w:sz="4" w:space="0" w:color="auto"/>
            </w:tcBorders>
            <w:shd w:val="clear" w:color="auto" w:fill="auto"/>
            <w:noWrap/>
            <w:vAlign w:val="center"/>
            <w:hideMark/>
          </w:tcPr>
          <w:p w14:paraId="4A42292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323</w:t>
            </w:r>
          </w:p>
        </w:tc>
        <w:tc>
          <w:tcPr>
            <w:tcW w:w="1620" w:type="dxa"/>
            <w:tcBorders>
              <w:top w:val="nil"/>
              <w:left w:val="nil"/>
              <w:bottom w:val="single" w:sz="4" w:space="0" w:color="auto"/>
              <w:right w:val="single" w:sz="4" w:space="0" w:color="auto"/>
            </w:tcBorders>
            <w:shd w:val="clear" w:color="auto" w:fill="auto"/>
            <w:noWrap/>
            <w:vAlign w:val="center"/>
            <w:hideMark/>
          </w:tcPr>
          <w:p w14:paraId="6731FAA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36A18DD" w14:textId="29E4B80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70A87F4D" w14:textId="77777777" w:rsidTr="00C662E9">
        <w:trPr>
          <w:trHeight w:val="576"/>
        </w:trPr>
        <w:tc>
          <w:tcPr>
            <w:tcW w:w="630" w:type="dxa"/>
            <w:vMerge/>
            <w:tcBorders>
              <w:left w:val="single" w:sz="4" w:space="0" w:color="auto"/>
              <w:right w:val="single" w:sz="4" w:space="0" w:color="auto"/>
            </w:tcBorders>
            <w:vAlign w:val="center"/>
            <w:hideMark/>
          </w:tcPr>
          <w:p w14:paraId="3152B59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D0D3D1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seg-5</w:t>
            </w:r>
          </w:p>
        </w:tc>
        <w:tc>
          <w:tcPr>
            <w:tcW w:w="3690" w:type="dxa"/>
            <w:tcBorders>
              <w:top w:val="nil"/>
              <w:left w:val="nil"/>
              <w:bottom w:val="single" w:sz="4" w:space="0" w:color="auto"/>
              <w:right w:val="single" w:sz="4" w:space="0" w:color="auto"/>
            </w:tcBorders>
            <w:shd w:val="clear" w:color="auto" w:fill="auto"/>
            <w:noWrap/>
            <w:vAlign w:val="center"/>
            <w:hideMark/>
          </w:tcPr>
          <w:p w14:paraId="0FEE8AE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TGC TAT CGA CAC ACT ACA ACC</w:t>
            </w:r>
          </w:p>
        </w:tc>
        <w:tc>
          <w:tcPr>
            <w:tcW w:w="3780" w:type="dxa"/>
            <w:tcBorders>
              <w:top w:val="nil"/>
              <w:left w:val="nil"/>
              <w:bottom w:val="single" w:sz="4" w:space="0" w:color="auto"/>
              <w:right w:val="single" w:sz="4" w:space="0" w:color="auto"/>
            </w:tcBorders>
            <w:shd w:val="clear" w:color="auto" w:fill="auto"/>
            <w:noWrap/>
            <w:vAlign w:val="center"/>
            <w:hideMark/>
          </w:tcPr>
          <w:p w14:paraId="4D52B18E"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CCA GAT TCA AAT GCA GAA CC</w:t>
            </w:r>
          </w:p>
        </w:tc>
        <w:tc>
          <w:tcPr>
            <w:tcW w:w="1620" w:type="dxa"/>
            <w:tcBorders>
              <w:top w:val="nil"/>
              <w:left w:val="nil"/>
              <w:bottom w:val="single" w:sz="4" w:space="0" w:color="auto"/>
              <w:right w:val="single" w:sz="4" w:space="0" w:color="auto"/>
            </w:tcBorders>
            <w:shd w:val="clear" w:color="auto" w:fill="auto"/>
            <w:noWrap/>
            <w:vAlign w:val="center"/>
            <w:hideMark/>
          </w:tcPr>
          <w:p w14:paraId="787269E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704</w:t>
            </w:r>
          </w:p>
        </w:tc>
        <w:tc>
          <w:tcPr>
            <w:tcW w:w="1620" w:type="dxa"/>
            <w:tcBorders>
              <w:top w:val="nil"/>
              <w:left w:val="nil"/>
              <w:bottom w:val="single" w:sz="4" w:space="0" w:color="auto"/>
              <w:right w:val="single" w:sz="4" w:space="0" w:color="auto"/>
            </w:tcBorders>
            <w:shd w:val="clear" w:color="auto" w:fill="auto"/>
            <w:vAlign w:val="center"/>
            <w:hideMark/>
          </w:tcPr>
          <w:p w14:paraId="5856A507" w14:textId="595F0059"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0F05E82B" w14:textId="42C6F738"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{"citationItems":[{"id":"ITEM-1","itemData":{"DOI":"10.4315/0362-028X-63.4.479","ISSN":"0362028X","PMID":"10772213","abstract":"A simple polymerase chain reaction (PCR)-based procedure was developed for the detection of fragments of staphylococcal enterotoxins (SEs) SEA, SEB, SEC, SED, SEE, SEG, SEH, and SEI together with the toxic shock syndrome toxin (TSST-1) genes of Staphylococcus aureus. One hundred and twenty-nine cultures of S. aureus were selected, 39 of which were recovered from 38 suspected staphylococcal food-poisoning incidents. The method was reproducible, and 32 different toxin genotypes were recognized. The presence of SE genes was associated with S. aureus strains reacting with phages in group III, and the TSST-1 gene with phages in group I. There was a 96% agreement between the PCR results for detection of SEA-D and TSST-1 as compared with a commercial reverse passive latex agglutination assay for the detection of SEs from cultures grown in vitro. Enterotoxin gene fragments were detected in S. aureus cultures recovered from 32 of the 38 suspected staphylococcal food poisoning incidents, and of these, 17 were associated with SEE, SEG, SEH, and SEI in the absence of SEA-D. Simple PCR procedures were also developed for the detection of SE directly in spiked food samples, and this was most successfully achieved in mushroom soup and ham. Detection was less successful in three types of cheese and in cream. SEA or SEB were detected by enzyme-linked immunosorbent assay in three food samples (two of which were associated with food poisoning incidents) naturally heavily contaminated with S. aureus: the appropriate SEA or SEB gene fragments were detected directly in these three foods by PCR.","author":[{"dropping-particle":"","family":"Mclauchlin","given":"J.","non-dropping-particle":"","parse-names":false,"suffix":""},{"dropping-particle":"","family":"Narayanan","given":"G. L.","non-dropping-particle":"","parse-names":false,"suffix":""},{"dropping-particle":"","family":"Mithani","given":"V.","non-dropping-particle":"","parse-names":false,"suffix":""},{"dropping-particle":"","family":"O'Neill","given":"G.","non-dropping-particle":"","parse-names":false,"suffix":""}],"container-title":"Journal of Food Protection","id":"ITEM-1","issue":"4","issued":{"date-parts":[["2000"]]},"page":"479-488","title":"The detection of enterotoxins and toxic shock syndrome toxin genes in Staphylococcus aureus by polymerase chain reaction","type":"article-journal","volume":"63"},"uris":["http://www.mendeley.com/documents/?uuid=5326dbdb-5a3a-4002-b025-f70a2f2acd74"]}],"mendeley":{"formattedCitation":"(Mclauchlin et al., 2000)","plainTextFormattedCitation":"(Mclauchlin et al., 2000)","previouslyFormattedCitation":"(Mclauchlin et al., 2000)"},"properties":{"noteIndex":0},"schema":"https://github.com/citation-style-language/schema/raw/master/csl-citation.json"}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(Mclauchlin et al., 2000)</w:t>
            </w:r>
            <w:r w:rsidRPr="006C34E3">
              <w:rPr>
                <w:rFonts w:eastAsia="Times New Roman" w:cs="Times New Roman"/>
                <w:color w:val="000000"/>
                <w:sz w:val="16"/>
                <w:szCs w:val="16"/>
              </w:rPr>
              <w:fldChar w:fldCharType="end"/>
            </w:r>
          </w:p>
        </w:tc>
      </w:tr>
      <w:tr w:rsidR="00F90100" w:rsidRPr="006C34E3" w14:paraId="73F85A2C" w14:textId="77777777" w:rsidTr="00C662E9">
        <w:trPr>
          <w:trHeight w:val="288"/>
        </w:trPr>
        <w:tc>
          <w:tcPr>
            <w:tcW w:w="630" w:type="dxa"/>
            <w:vMerge/>
            <w:tcBorders>
              <w:left w:val="single" w:sz="4" w:space="0" w:color="auto"/>
              <w:right w:val="single" w:sz="4" w:space="0" w:color="auto"/>
            </w:tcBorders>
            <w:vAlign w:val="center"/>
            <w:hideMark/>
          </w:tcPr>
          <w:p w14:paraId="0B28AA5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21B2E0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seg-6</w:t>
            </w:r>
          </w:p>
        </w:tc>
        <w:tc>
          <w:tcPr>
            <w:tcW w:w="3690" w:type="dxa"/>
            <w:tcBorders>
              <w:top w:val="nil"/>
              <w:left w:val="nil"/>
              <w:bottom w:val="single" w:sz="4" w:space="0" w:color="auto"/>
              <w:right w:val="single" w:sz="4" w:space="0" w:color="auto"/>
            </w:tcBorders>
            <w:shd w:val="clear" w:color="auto" w:fill="auto"/>
            <w:noWrap/>
            <w:vAlign w:val="center"/>
            <w:hideMark/>
          </w:tcPr>
          <w:p w14:paraId="57C0E63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CGTCTCCACCTGTTGAAGG</w:t>
            </w:r>
          </w:p>
        </w:tc>
        <w:tc>
          <w:tcPr>
            <w:tcW w:w="3780" w:type="dxa"/>
            <w:tcBorders>
              <w:top w:val="nil"/>
              <w:left w:val="nil"/>
              <w:bottom w:val="single" w:sz="4" w:space="0" w:color="auto"/>
              <w:right w:val="single" w:sz="4" w:space="0" w:color="auto"/>
            </w:tcBorders>
            <w:shd w:val="clear" w:color="auto" w:fill="auto"/>
            <w:noWrap/>
            <w:vAlign w:val="center"/>
            <w:hideMark/>
          </w:tcPr>
          <w:p w14:paraId="1E4D47A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AGT GAT TGT CTA TTG TCG</w:t>
            </w:r>
          </w:p>
        </w:tc>
        <w:tc>
          <w:tcPr>
            <w:tcW w:w="1620" w:type="dxa"/>
            <w:tcBorders>
              <w:top w:val="nil"/>
              <w:left w:val="nil"/>
              <w:bottom w:val="single" w:sz="4" w:space="0" w:color="auto"/>
              <w:right w:val="single" w:sz="4" w:space="0" w:color="auto"/>
            </w:tcBorders>
            <w:shd w:val="clear" w:color="auto" w:fill="auto"/>
            <w:noWrap/>
            <w:vAlign w:val="center"/>
            <w:hideMark/>
          </w:tcPr>
          <w:p w14:paraId="15C3239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327</w:t>
            </w:r>
          </w:p>
        </w:tc>
        <w:tc>
          <w:tcPr>
            <w:tcW w:w="1620" w:type="dxa"/>
            <w:tcBorders>
              <w:top w:val="nil"/>
              <w:left w:val="nil"/>
              <w:bottom w:val="single" w:sz="4" w:space="0" w:color="auto"/>
              <w:right w:val="single" w:sz="4" w:space="0" w:color="auto"/>
            </w:tcBorders>
            <w:shd w:val="clear" w:color="auto" w:fill="auto"/>
            <w:noWrap/>
            <w:vAlign w:val="center"/>
            <w:hideMark/>
          </w:tcPr>
          <w:p w14:paraId="7A3A3C9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7333EAE" w14:textId="696EF32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6E92932D" w14:textId="77777777" w:rsidTr="00C662E9">
        <w:trPr>
          <w:trHeight w:val="288"/>
        </w:trPr>
        <w:tc>
          <w:tcPr>
            <w:tcW w:w="630" w:type="dxa"/>
            <w:vMerge/>
            <w:tcBorders>
              <w:left w:val="single" w:sz="4" w:space="0" w:color="auto"/>
              <w:right w:val="single" w:sz="4" w:space="0" w:color="auto"/>
            </w:tcBorders>
            <w:vAlign w:val="center"/>
            <w:hideMark/>
          </w:tcPr>
          <w:p w14:paraId="19A8365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539278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seg-7</w:t>
            </w:r>
          </w:p>
        </w:tc>
        <w:tc>
          <w:tcPr>
            <w:tcW w:w="3690" w:type="dxa"/>
            <w:tcBorders>
              <w:top w:val="nil"/>
              <w:left w:val="nil"/>
              <w:bottom w:val="single" w:sz="4" w:space="0" w:color="auto"/>
              <w:right w:val="single" w:sz="4" w:space="0" w:color="auto"/>
            </w:tcBorders>
            <w:shd w:val="clear" w:color="auto" w:fill="auto"/>
            <w:noWrap/>
            <w:vAlign w:val="center"/>
            <w:hideMark/>
          </w:tcPr>
          <w:p w14:paraId="5CAE5F47"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 xml:space="preserve"> TAA GGG AAC TAT GGG TAA TGT AAT G</w:t>
            </w:r>
          </w:p>
        </w:tc>
        <w:tc>
          <w:tcPr>
            <w:tcW w:w="3780" w:type="dxa"/>
            <w:tcBorders>
              <w:top w:val="nil"/>
              <w:left w:val="nil"/>
              <w:bottom w:val="single" w:sz="4" w:space="0" w:color="auto"/>
              <w:right w:val="single" w:sz="4" w:space="0" w:color="auto"/>
            </w:tcBorders>
            <w:shd w:val="clear" w:color="auto" w:fill="auto"/>
            <w:noWrap/>
            <w:vAlign w:val="center"/>
            <w:hideMark/>
          </w:tcPr>
          <w:p w14:paraId="2889FC96"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 xml:space="preserve"> GAA CAA AAG GTA CTA GTT CTT TTT TAG G</w:t>
            </w:r>
          </w:p>
        </w:tc>
        <w:tc>
          <w:tcPr>
            <w:tcW w:w="1620" w:type="dxa"/>
            <w:tcBorders>
              <w:top w:val="nil"/>
              <w:left w:val="nil"/>
              <w:bottom w:val="single" w:sz="4" w:space="0" w:color="auto"/>
              <w:right w:val="single" w:sz="4" w:space="0" w:color="auto"/>
            </w:tcBorders>
            <w:shd w:val="clear" w:color="auto" w:fill="auto"/>
            <w:noWrap/>
            <w:vAlign w:val="center"/>
            <w:hideMark/>
          </w:tcPr>
          <w:p w14:paraId="50ABDF82"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561</w:t>
            </w:r>
          </w:p>
        </w:tc>
        <w:tc>
          <w:tcPr>
            <w:tcW w:w="1620" w:type="dxa"/>
            <w:tcBorders>
              <w:top w:val="nil"/>
              <w:left w:val="nil"/>
              <w:bottom w:val="single" w:sz="4" w:space="0" w:color="auto"/>
              <w:right w:val="single" w:sz="4" w:space="0" w:color="auto"/>
            </w:tcBorders>
            <w:shd w:val="clear" w:color="auto" w:fill="auto"/>
            <w:noWrap/>
            <w:vAlign w:val="center"/>
            <w:hideMark/>
          </w:tcPr>
          <w:p w14:paraId="6CAA4FF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CCAE3D0" w14:textId="7B5BF0E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{"citationItems":[{"id":"ITEM-1","itemData":{"DOI":"10.1128/IAI.00132-06","ISSN":"0019-9567","PMID":"16861660","abstract":"To test the hypothesis that the Staphylococcus aureus enterotoxin gene cluster ( egc ) can generate new enterotoxin genes by recombination, we analyzed the egc locus in a broad panel of 666 clinical isolates of S. aureus. egc was present in 63% of isolates, confirming its high prevalence. The archetypal organization of the egc locus, consisting of five enterotoxin genes plus two pseudogenes, was found in 409 of 421 egc -positive strains. The egc locus was incomplete in a few strains and occasionally harbored an insertion sequence and transposase genes. These strains may represent evolutionary intermediates of the egc locus. One strain with an atypical egc locus produced two new enterotoxins, designated SE l V and SE l U2, generated by (i) recombination between selm and sei , producing selv , and (ii) a limited deletion in the φent1-φent2 pseudogenes, producing selu2 . Recombinant SE l V and SE l U2 had superantigen activity, as they specifically activated the T-cell families Vβ 6, Vβ 18, and Vβ 21 (SE l V) and Vβ 13.2 and Vβ 14 (SE l U2). Immunoscope analysis showed a Gaussian CDR3 size distribution of T-cell receptor Vβ chain junctional transcripts of expanded Vβ subsets in toxin-stimulated cultures, reflecting a high level of polyclonality. These data show that egc is indeed capable of generating new superantigen genes through recombination.","author":[{"dropping-particle":"","family":"Thomas","given":"Damien Yann","non-dropping-particle":"","parse-names":false,"suffix":""},{"dropping-particle":"","family":"Jarraud","given":"Sophie","non-dropping-particle":"","parse-names":false,"suffix":""},{"dropping-particle":"","family":"Lemercier","given":"Brigitte","non-dropping-particle":"","parse-names":false,"suffix":""},{"dropping-particle":"","family":"Cozon","given":"Gregoire","non-dropping-particle":"","parse-names":false,"suffix":""},{"dropping-particle":"","family":"Echasserieau","given":"Klara","non-dropping-particle":"","parse-names":false,"suffix":""},{"dropping-particle":"","family":"Etienne","given":"Jerome","non-dropping-particle":"","parse-names":false,"suffix":""},{"dropping-particle":"","family":"Gougeon","given":"Marie-Lise","non-dropping-particle":"","parse-names":false,"suffix":""},{"dropping-particle":"","family":"Lina","given":"Gerard","non-dropping-particle":"","parse-names":false,"suffix":""},{"dropping-particle":"","family":"Vandenesch","given":"François","non-dropping-particle":"","parse-names":false,"suffix":""}],"container-title":"Infection and Immunity","id":"ITEM-1","issue":"8","issued":{"date-parts":[["2006","8"]]},"page":"4724-4734","title":"Staphylococcal Enterotoxin-Like Toxins U2 and V, Two New Staphylococcal Superantigens Arising from Recombination within the Enterotoxin Gene Cluster","type":"article-journal","volume":"74"},"uris":["http://www.mendeley.com/documents/?uuid=7f71bf2e-7665-4205-a382-14081c69a258"]}],"mendeley":{"formattedCitation":"(Thomas et al., 2006)","plainTextFormattedCitation":"(Thomas et al., 2006)","previouslyFormattedCitation":"(Thomas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(Thomas et al., 2006)</w:t>
            </w:r>
            <w:r w:rsidRPr="006C34E3">
              <w:rPr>
                <w:rFonts w:eastAsia="Times New Roman" w:cs="Times New Roman"/>
                <w:color w:val="000000"/>
                <w:sz w:val="16"/>
                <w:szCs w:val="16"/>
              </w:rPr>
              <w:fldChar w:fldCharType="end"/>
            </w:r>
          </w:p>
        </w:tc>
      </w:tr>
      <w:tr w:rsidR="00F90100" w:rsidRPr="006C34E3" w14:paraId="2E6B4C0D" w14:textId="77777777" w:rsidTr="00C662E9">
        <w:trPr>
          <w:trHeight w:val="288"/>
        </w:trPr>
        <w:tc>
          <w:tcPr>
            <w:tcW w:w="630" w:type="dxa"/>
            <w:vMerge/>
            <w:tcBorders>
              <w:left w:val="single" w:sz="4" w:space="0" w:color="auto"/>
              <w:right w:val="single" w:sz="4" w:space="0" w:color="auto"/>
            </w:tcBorders>
            <w:vAlign w:val="center"/>
            <w:hideMark/>
          </w:tcPr>
          <w:p w14:paraId="082525C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42703A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seg-8</w:t>
            </w:r>
          </w:p>
        </w:tc>
        <w:tc>
          <w:tcPr>
            <w:tcW w:w="3690" w:type="dxa"/>
            <w:tcBorders>
              <w:top w:val="nil"/>
              <w:left w:val="nil"/>
              <w:bottom w:val="single" w:sz="4" w:space="0" w:color="auto"/>
              <w:right w:val="single" w:sz="4" w:space="0" w:color="auto"/>
            </w:tcBorders>
            <w:shd w:val="clear" w:color="auto" w:fill="auto"/>
            <w:noWrap/>
            <w:vAlign w:val="center"/>
            <w:hideMark/>
          </w:tcPr>
          <w:p w14:paraId="37C41EFF"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AAT TAT GTG AAT GCT CAA CCC GAT C</w:t>
            </w:r>
          </w:p>
        </w:tc>
        <w:tc>
          <w:tcPr>
            <w:tcW w:w="3780" w:type="dxa"/>
            <w:tcBorders>
              <w:top w:val="nil"/>
              <w:left w:val="nil"/>
              <w:bottom w:val="single" w:sz="4" w:space="0" w:color="auto"/>
              <w:right w:val="single" w:sz="4" w:space="0" w:color="auto"/>
            </w:tcBorders>
            <w:shd w:val="clear" w:color="auto" w:fill="auto"/>
            <w:noWrap/>
            <w:vAlign w:val="center"/>
            <w:hideMark/>
          </w:tcPr>
          <w:p w14:paraId="79E5E3BE"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AAA CTT ATA TGG AAC AAA AGG TAC TAG TTC</w:t>
            </w:r>
          </w:p>
        </w:tc>
        <w:tc>
          <w:tcPr>
            <w:tcW w:w="1620" w:type="dxa"/>
            <w:tcBorders>
              <w:top w:val="nil"/>
              <w:left w:val="nil"/>
              <w:bottom w:val="single" w:sz="4" w:space="0" w:color="auto"/>
              <w:right w:val="single" w:sz="4" w:space="0" w:color="auto"/>
            </w:tcBorders>
            <w:shd w:val="clear" w:color="auto" w:fill="auto"/>
            <w:noWrap/>
            <w:vAlign w:val="center"/>
            <w:hideMark/>
          </w:tcPr>
          <w:p w14:paraId="035ED85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642</w:t>
            </w:r>
          </w:p>
        </w:tc>
        <w:tc>
          <w:tcPr>
            <w:tcW w:w="1620" w:type="dxa"/>
            <w:tcBorders>
              <w:top w:val="nil"/>
              <w:left w:val="nil"/>
              <w:bottom w:val="single" w:sz="4" w:space="0" w:color="auto"/>
              <w:right w:val="single" w:sz="4" w:space="0" w:color="auto"/>
            </w:tcBorders>
            <w:shd w:val="clear" w:color="auto" w:fill="auto"/>
            <w:vAlign w:val="center"/>
            <w:hideMark/>
          </w:tcPr>
          <w:p w14:paraId="689DBBFF" w14:textId="3CB474BA"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0642094C" w14:textId="1F6B54E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{"citationItems":[{"id":"ITEM-1","itemData":{"DOI":"10.1128/jcm.37.8.2446-2449.1999","ISSN":"00951137","PMID":"10405382","abstract":"We investigated the involvement of the recently described staphylococcal enterotoxins G and I in toxic shock syndrome. We reexamined Staphylococcus aureus strains isolated from patients with menstrual and nonmenstrual toxic shock syndrome (nine cases) or staphylococcal scarlet fever (three cases). These strains were selected because they produced none of the toxins known to be involved in these syndromes (toxic shock syndrome toxin 1 and enterotoxins A, B, C, and D), enterotoxin E or H, or exfoliative toxin A or B, despite the fact that superantigenic toxins were detected in a CD69-specific flow cytometry assay measuring T-cell activation. Sets of primers specific to the enterotoxin G and I genes (seg and sei, respectively) were designed and used for PCR amplification. All of the strains were positive for seg and sei. Sequence analysis confirmed that the PCR products, corresponded to the target genes. We suggest that staphylococcal enterotoxins G and I may be capable of causing human staphylococcal toxic shock syndrome and staphylococcal scarlet fever.","author":[{"dropping-particle":"","family":"Jarraud","given":"Sophie","non-dropping-particle":"","parse-names":false,"suffix":""},{"dropping-particle":"","family":"Cozon","given":"Grégoire","non-dropping-particle":"","parse-names":false,"suffix":""},{"dropping-particle":"","family":"Vandenesch","given":"François","non-dropping-particle":"","parse-names":false,"suffix":""},{"dropping-particle":"","family":"Bes","given":"Michèle","non-dropping-particle":"","parse-names":false,"suffix":""},{"dropping-particle":"","family":"Etienne","given":"Jerome","non-dropping-particle":"","parse-names":false,"suffix":""},{"dropping-particle":"","family":"Lina","given":"Gerard","non-dropping-particle":"","parse-names":false,"suffix":""}],"container-title":"Journal of Clinical Microbiology","id":"ITEM-1","issue":"8","issued":{"date-parts":[["1999"]]},"page":"2446-2449","title":"Involvement of enterotoxins G and I in staphylococcal toxic shock syndrome and staphylococcal scarlet fever","type":"article-journal","volume":"37"},"uris":["http://www.mendeley.com/documents/?uuid=05ab9d86-0204-40c3-bd20-84f5597bda7c"]}],"mendeley":{"formattedCitation":"(Jarraud et al., 1999)","plainTextFormattedCitation":"(Jarraud et al., 1999)","previouslyFormattedCitation":"(Jarraud et al.,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1999)</w:t>
            </w:r>
            <w:r w:rsidRPr="006C34E3">
              <w:rPr>
                <w:rFonts w:eastAsia="Times New Roman" w:cs="Times New Roman"/>
                <w:color w:val="000000"/>
                <w:sz w:val="16"/>
                <w:szCs w:val="16"/>
              </w:rPr>
              <w:fldChar w:fldCharType="end"/>
            </w:r>
          </w:p>
        </w:tc>
      </w:tr>
      <w:tr w:rsidR="00F90100" w:rsidRPr="006C34E3" w14:paraId="1281D444" w14:textId="77777777" w:rsidTr="00C662E9">
        <w:trPr>
          <w:trHeight w:val="288"/>
        </w:trPr>
        <w:tc>
          <w:tcPr>
            <w:tcW w:w="630" w:type="dxa"/>
            <w:vMerge/>
            <w:tcBorders>
              <w:left w:val="single" w:sz="4" w:space="0" w:color="auto"/>
              <w:right w:val="single" w:sz="4" w:space="0" w:color="auto"/>
            </w:tcBorders>
            <w:vAlign w:val="center"/>
            <w:hideMark/>
          </w:tcPr>
          <w:p w14:paraId="65516556"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EA9938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seg-9</w:t>
            </w:r>
          </w:p>
        </w:tc>
        <w:tc>
          <w:tcPr>
            <w:tcW w:w="3690" w:type="dxa"/>
            <w:tcBorders>
              <w:top w:val="nil"/>
              <w:left w:val="nil"/>
              <w:bottom w:val="single" w:sz="4" w:space="0" w:color="auto"/>
              <w:right w:val="single" w:sz="4" w:space="0" w:color="auto"/>
            </w:tcBorders>
            <w:shd w:val="clear" w:color="auto" w:fill="auto"/>
            <w:noWrap/>
            <w:vAlign w:val="center"/>
            <w:hideMark/>
          </w:tcPr>
          <w:p w14:paraId="4A8E2CA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GAA GGA AGA GGA GTT AT</w:t>
            </w:r>
          </w:p>
        </w:tc>
        <w:tc>
          <w:tcPr>
            <w:tcW w:w="3780" w:type="dxa"/>
            <w:tcBorders>
              <w:top w:val="nil"/>
              <w:left w:val="nil"/>
              <w:bottom w:val="single" w:sz="4" w:space="0" w:color="auto"/>
              <w:right w:val="single" w:sz="4" w:space="0" w:color="auto"/>
            </w:tcBorders>
            <w:shd w:val="clear" w:color="auto" w:fill="auto"/>
            <w:noWrap/>
            <w:vAlign w:val="center"/>
            <w:hideMark/>
          </w:tcPr>
          <w:p w14:paraId="4B534DD8" w14:textId="77777777" w:rsidR="00F90100" w:rsidRPr="00634D63" w:rsidRDefault="00F90100" w:rsidP="00F90100">
            <w:pPr>
              <w:spacing w:before="0" w:after="0"/>
              <w:jc w:val="center"/>
              <w:rPr>
                <w:rFonts w:eastAsia="Times New Roman" w:cs="Times New Roman"/>
                <w:sz w:val="16"/>
                <w:szCs w:val="16"/>
                <w:lang w:val="it-IT"/>
              </w:rPr>
            </w:pPr>
            <w:r w:rsidRPr="00634D63">
              <w:rPr>
                <w:rFonts w:eastAsia="Times New Roman" w:cs="Times New Roman"/>
                <w:sz w:val="16"/>
                <w:szCs w:val="16"/>
                <w:lang w:val="it-IT"/>
              </w:rPr>
              <w:t>TCA ACA ACT TTA TTA TCT CCG</w:t>
            </w:r>
          </w:p>
        </w:tc>
        <w:tc>
          <w:tcPr>
            <w:tcW w:w="1620" w:type="dxa"/>
            <w:tcBorders>
              <w:top w:val="nil"/>
              <w:left w:val="nil"/>
              <w:bottom w:val="single" w:sz="4" w:space="0" w:color="auto"/>
              <w:right w:val="single" w:sz="4" w:space="0" w:color="auto"/>
            </w:tcBorders>
            <w:shd w:val="clear" w:color="auto" w:fill="auto"/>
            <w:noWrap/>
            <w:vAlign w:val="center"/>
            <w:hideMark/>
          </w:tcPr>
          <w:p w14:paraId="55DE2F22"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558</w:t>
            </w:r>
          </w:p>
        </w:tc>
        <w:tc>
          <w:tcPr>
            <w:tcW w:w="1620" w:type="dxa"/>
            <w:tcBorders>
              <w:top w:val="nil"/>
              <w:left w:val="nil"/>
              <w:bottom w:val="single" w:sz="4" w:space="0" w:color="auto"/>
              <w:right w:val="single" w:sz="4" w:space="0" w:color="auto"/>
            </w:tcBorders>
            <w:shd w:val="clear" w:color="auto" w:fill="auto"/>
            <w:noWrap/>
            <w:vAlign w:val="center"/>
            <w:hideMark/>
          </w:tcPr>
          <w:p w14:paraId="47C3191F"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2A79813" w14:textId="07273D3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41006A91" w14:textId="77777777" w:rsidTr="00C662E9">
        <w:trPr>
          <w:trHeight w:val="288"/>
        </w:trPr>
        <w:tc>
          <w:tcPr>
            <w:tcW w:w="630" w:type="dxa"/>
            <w:vMerge/>
            <w:tcBorders>
              <w:left w:val="single" w:sz="4" w:space="0" w:color="auto"/>
              <w:bottom w:val="single" w:sz="4" w:space="0" w:color="000000"/>
              <w:right w:val="single" w:sz="4" w:space="0" w:color="auto"/>
            </w:tcBorders>
            <w:vAlign w:val="center"/>
          </w:tcPr>
          <w:p w14:paraId="19B8F37F"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67620AD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seg-10</w:t>
            </w:r>
          </w:p>
        </w:tc>
        <w:tc>
          <w:tcPr>
            <w:tcW w:w="3690" w:type="dxa"/>
            <w:tcBorders>
              <w:top w:val="nil"/>
              <w:left w:val="nil"/>
              <w:bottom w:val="single" w:sz="4" w:space="0" w:color="auto"/>
              <w:right w:val="single" w:sz="4" w:space="0" w:color="auto"/>
            </w:tcBorders>
            <w:shd w:val="clear" w:color="auto" w:fill="auto"/>
            <w:noWrap/>
            <w:vAlign w:val="center"/>
          </w:tcPr>
          <w:p w14:paraId="3747447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CCT GTT GAA GGA AGA GG</w:t>
            </w:r>
          </w:p>
        </w:tc>
        <w:tc>
          <w:tcPr>
            <w:tcW w:w="3780" w:type="dxa"/>
            <w:tcBorders>
              <w:top w:val="nil"/>
              <w:left w:val="nil"/>
              <w:bottom w:val="single" w:sz="4" w:space="0" w:color="auto"/>
              <w:right w:val="single" w:sz="4" w:space="0" w:color="auto"/>
            </w:tcBorders>
            <w:shd w:val="clear" w:color="auto" w:fill="auto"/>
            <w:noWrap/>
            <w:vAlign w:val="center"/>
          </w:tcPr>
          <w:p w14:paraId="441B031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TGC AGA ACC ATC AAA CTC GT</w:t>
            </w:r>
          </w:p>
        </w:tc>
        <w:tc>
          <w:tcPr>
            <w:tcW w:w="1620" w:type="dxa"/>
            <w:tcBorders>
              <w:top w:val="nil"/>
              <w:left w:val="nil"/>
              <w:bottom w:val="single" w:sz="4" w:space="0" w:color="auto"/>
              <w:right w:val="single" w:sz="4" w:space="0" w:color="auto"/>
            </w:tcBorders>
            <w:shd w:val="clear" w:color="auto" w:fill="auto"/>
            <w:noWrap/>
            <w:vAlign w:val="center"/>
          </w:tcPr>
          <w:p w14:paraId="5B5366F8"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432</w:t>
            </w:r>
          </w:p>
        </w:tc>
        <w:tc>
          <w:tcPr>
            <w:tcW w:w="1620" w:type="dxa"/>
            <w:tcBorders>
              <w:top w:val="nil"/>
              <w:left w:val="nil"/>
              <w:bottom w:val="single" w:sz="4" w:space="0" w:color="auto"/>
              <w:right w:val="single" w:sz="4" w:space="0" w:color="auto"/>
            </w:tcBorders>
            <w:shd w:val="clear" w:color="auto" w:fill="auto"/>
            <w:noWrap/>
            <w:vAlign w:val="center"/>
          </w:tcPr>
          <w:p w14:paraId="29A22677"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4CAA6C0F" w14:textId="5B527D1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(Cremonesi et al., 2005)</w:t>
            </w:r>
            <w:r w:rsidRPr="006C34E3">
              <w:rPr>
                <w:rFonts w:eastAsia="Times New Roman" w:cs="Times New Roman"/>
                <w:color w:val="000000"/>
                <w:sz w:val="16"/>
                <w:szCs w:val="16"/>
              </w:rPr>
              <w:fldChar w:fldCharType="end"/>
            </w:r>
          </w:p>
        </w:tc>
      </w:tr>
      <w:tr w:rsidR="00F90100" w:rsidRPr="006C34E3" w14:paraId="178C9A55"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480524D3"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lastRenderedPageBreak/>
              <w:t>seh</w:t>
            </w:r>
          </w:p>
        </w:tc>
        <w:tc>
          <w:tcPr>
            <w:tcW w:w="720" w:type="dxa"/>
            <w:tcBorders>
              <w:top w:val="nil"/>
              <w:left w:val="nil"/>
              <w:bottom w:val="single" w:sz="4" w:space="0" w:color="auto"/>
              <w:right w:val="single" w:sz="4" w:space="0" w:color="auto"/>
            </w:tcBorders>
            <w:shd w:val="clear" w:color="auto" w:fill="auto"/>
            <w:noWrap/>
            <w:vAlign w:val="center"/>
            <w:hideMark/>
          </w:tcPr>
          <w:p w14:paraId="08629EE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seh-1</w:t>
            </w:r>
          </w:p>
        </w:tc>
        <w:tc>
          <w:tcPr>
            <w:tcW w:w="3690" w:type="dxa"/>
            <w:tcBorders>
              <w:top w:val="nil"/>
              <w:left w:val="nil"/>
              <w:bottom w:val="single" w:sz="4" w:space="0" w:color="auto"/>
              <w:right w:val="single" w:sz="4" w:space="0" w:color="auto"/>
            </w:tcBorders>
            <w:shd w:val="clear" w:color="auto" w:fill="auto"/>
            <w:noWrap/>
            <w:vAlign w:val="center"/>
            <w:hideMark/>
          </w:tcPr>
          <w:p w14:paraId="4A77AFA1" w14:textId="77777777" w:rsidR="00F90100" w:rsidRPr="00634D63" w:rsidRDefault="00F90100" w:rsidP="00F90100">
            <w:pPr>
              <w:spacing w:before="0" w:after="0"/>
              <w:jc w:val="center"/>
              <w:rPr>
                <w:rFonts w:eastAsia="Times New Roman" w:cs="Times New Roman"/>
                <w:sz w:val="16"/>
                <w:szCs w:val="16"/>
                <w:lang w:val="de-DE"/>
              </w:rPr>
            </w:pPr>
            <w:r w:rsidRPr="00634D63">
              <w:rPr>
                <w:rFonts w:eastAsia="Times New Roman" w:cs="Times New Roman"/>
                <w:sz w:val="16"/>
                <w:szCs w:val="16"/>
                <w:lang w:val="de-DE"/>
              </w:rPr>
              <w:t>CAA CTG CTG ATT TAG CTC AG</w:t>
            </w:r>
          </w:p>
        </w:tc>
        <w:tc>
          <w:tcPr>
            <w:tcW w:w="3780" w:type="dxa"/>
            <w:tcBorders>
              <w:top w:val="nil"/>
              <w:left w:val="nil"/>
              <w:bottom w:val="single" w:sz="4" w:space="0" w:color="auto"/>
              <w:right w:val="single" w:sz="4" w:space="0" w:color="auto"/>
            </w:tcBorders>
            <w:shd w:val="clear" w:color="auto" w:fill="auto"/>
            <w:noWrap/>
            <w:vAlign w:val="center"/>
            <w:hideMark/>
          </w:tcPr>
          <w:p w14:paraId="6C99A2E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CCC AAA CAT TAG CAC CA</w:t>
            </w:r>
          </w:p>
        </w:tc>
        <w:tc>
          <w:tcPr>
            <w:tcW w:w="1620" w:type="dxa"/>
            <w:tcBorders>
              <w:top w:val="nil"/>
              <w:left w:val="nil"/>
              <w:bottom w:val="single" w:sz="4" w:space="0" w:color="auto"/>
              <w:right w:val="single" w:sz="4" w:space="0" w:color="auto"/>
            </w:tcBorders>
            <w:shd w:val="clear" w:color="auto" w:fill="auto"/>
            <w:noWrap/>
            <w:vAlign w:val="center"/>
            <w:hideMark/>
          </w:tcPr>
          <w:p w14:paraId="5D0B7BF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173</w:t>
            </w:r>
          </w:p>
        </w:tc>
        <w:tc>
          <w:tcPr>
            <w:tcW w:w="1620" w:type="dxa"/>
            <w:tcBorders>
              <w:top w:val="nil"/>
              <w:left w:val="nil"/>
              <w:bottom w:val="single" w:sz="4" w:space="0" w:color="auto"/>
              <w:right w:val="single" w:sz="4" w:space="0" w:color="auto"/>
            </w:tcBorders>
            <w:shd w:val="clear" w:color="auto" w:fill="auto"/>
            <w:noWrap/>
            <w:vAlign w:val="center"/>
            <w:hideMark/>
          </w:tcPr>
          <w:p w14:paraId="1C9EA87E"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Used by EURL-CPS </w:t>
            </w:r>
          </w:p>
        </w:tc>
        <w:tc>
          <w:tcPr>
            <w:tcW w:w="1530" w:type="dxa"/>
            <w:tcBorders>
              <w:top w:val="nil"/>
              <w:left w:val="nil"/>
              <w:bottom w:val="single" w:sz="4" w:space="0" w:color="auto"/>
              <w:right w:val="single" w:sz="4" w:space="0" w:color="auto"/>
            </w:tcBorders>
            <w:shd w:val="clear" w:color="auto" w:fill="auto"/>
            <w:noWrap/>
            <w:vAlign w:val="center"/>
            <w:hideMark/>
          </w:tcPr>
          <w:p w14:paraId="0DB29862" w14:textId="3744313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MLVA","type":"article-journal","volume":"6"},"uris":["http://www.mendeley.com/documents/?uuid=fc1715b7-49a3-4430-b1bf-38feeadd5075"]}],"mendeley":{"formattedCitation":"(Bania et al., 2006; Roussel et al., 2015)","plainTextFormattedCitation":"(Bania et al., 2006; Roussel et al., 2015)","previouslyFormattedCitation":"(Bania et al., 2006;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 Roussel et al., 2015)</w:t>
            </w:r>
            <w:r w:rsidRPr="006C34E3">
              <w:rPr>
                <w:rFonts w:eastAsia="Times New Roman" w:cs="Times New Roman"/>
                <w:color w:val="000000"/>
                <w:sz w:val="16"/>
                <w:szCs w:val="16"/>
              </w:rPr>
              <w:fldChar w:fldCharType="end"/>
            </w:r>
          </w:p>
        </w:tc>
      </w:tr>
      <w:tr w:rsidR="00F90100" w:rsidRPr="006C34E3" w14:paraId="2C72B48C" w14:textId="77777777" w:rsidTr="00C662E9">
        <w:trPr>
          <w:trHeight w:val="288"/>
        </w:trPr>
        <w:tc>
          <w:tcPr>
            <w:tcW w:w="630" w:type="dxa"/>
            <w:vMerge/>
            <w:tcBorders>
              <w:left w:val="single" w:sz="4" w:space="0" w:color="auto"/>
              <w:right w:val="single" w:sz="4" w:space="0" w:color="auto"/>
            </w:tcBorders>
            <w:vAlign w:val="center"/>
            <w:hideMark/>
          </w:tcPr>
          <w:p w14:paraId="0809613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AE3F0A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seh-2</w:t>
            </w:r>
          </w:p>
        </w:tc>
        <w:tc>
          <w:tcPr>
            <w:tcW w:w="3690" w:type="dxa"/>
            <w:tcBorders>
              <w:top w:val="nil"/>
              <w:left w:val="nil"/>
              <w:bottom w:val="single" w:sz="4" w:space="0" w:color="auto"/>
              <w:right w:val="single" w:sz="4" w:space="0" w:color="auto"/>
            </w:tcBorders>
            <w:shd w:val="clear" w:color="auto" w:fill="auto"/>
            <w:noWrap/>
            <w:vAlign w:val="center"/>
            <w:hideMark/>
          </w:tcPr>
          <w:p w14:paraId="4594C0F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CAA CTG CTG ATT TAG CTC AG</w:t>
            </w:r>
          </w:p>
        </w:tc>
        <w:tc>
          <w:tcPr>
            <w:tcW w:w="3780" w:type="dxa"/>
            <w:tcBorders>
              <w:top w:val="nil"/>
              <w:left w:val="nil"/>
              <w:bottom w:val="single" w:sz="4" w:space="0" w:color="auto"/>
              <w:right w:val="single" w:sz="4" w:space="0" w:color="auto"/>
            </w:tcBorders>
            <w:shd w:val="clear" w:color="auto" w:fill="auto"/>
            <w:noWrap/>
            <w:vAlign w:val="center"/>
            <w:hideMark/>
          </w:tcPr>
          <w:p w14:paraId="76BB8C7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GTC GAA TGA GTA ATC TCT AGG </w:t>
            </w:r>
          </w:p>
        </w:tc>
        <w:tc>
          <w:tcPr>
            <w:tcW w:w="1620" w:type="dxa"/>
            <w:tcBorders>
              <w:top w:val="nil"/>
              <w:left w:val="nil"/>
              <w:bottom w:val="single" w:sz="4" w:space="0" w:color="auto"/>
              <w:right w:val="single" w:sz="4" w:space="0" w:color="auto"/>
            </w:tcBorders>
            <w:shd w:val="clear" w:color="auto" w:fill="auto"/>
            <w:noWrap/>
            <w:vAlign w:val="center"/>
            <w:hideMark/>
          </w:tcPr>
          <w:p w14:paraId="1409593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360</w:t>
            </w:r>
          </w:p>
        </w:tc>
        <w:tc>
          <w:tcPr>
            <w:tcW w:w="1620" w:type="dxa"/>
            <w:tcBorders>
              <w:top w:val="nil"/>
              <w:left w:val="nil"/>
              <w:bottom w:val="single" w:sz="4" w:space="0" w:color="auto"/>
              <w:right w:val="single" w:sz="4" w:space="0" w:color="auto"/>
            </w:tcBorders>
            <w:shd w:val="clear" w:color="auto" w:fill="auto"/>
            <w:noWrap/>
            <w:vAlign w:val="center"/>
            <w:hideMark/>
          </w:tcPr>
          <w:p w14:paraId="45AFBF9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255B0F7" w14:textId="4420F77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3621DC30" w14:textId="77777777" w:rsidTr="00C662E9">
        <w:trPr>
          <w:trHeight w:val="288"/>
        </w:trPr>
        <w:tc>
          <w:tcPr>
            <w:tcW w:w="630" w:type="dxa"/>
            <w:vMerge/>
            <w:tcBorders>
              <w:left w:val="single" w:sz="4" w:space="0" w:color="auto"/>
              <w:right w:val="single" w:sz="4" w:space="0" w:color="auto"/>
            </w:tcBorders>
            <w:vAlign w:val="center"/>
            <w:hideMark/>
          </w:tcPr>
          <w:p w14:paraId="478516E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7CCAE0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seh-3</w:t>
            </w:r>
          </w:p>
        </w:tc>
        <w:tc>
          <w:tcPr>
            <w:tcW w:w="3690" w:type="dxa"/>
            <w:tcBorders>
              <w:top w:val="nil"/>
              <w:left w:val="nil"/>
              <w:bottom w:val="single" w:sz="4" w:space="0" w:color="auto"/>
              <w:right w:val="single" w:sz="4" w:space="0" w:color="auto"/>
            </w:tcBorders>
            <w:shd w:val="clear" w:color="auto" w:fill="auto"/>
            <w:noWrap/>
            <w:vAlign w:val="center"/>
            <w:hideMark/>
          </w:tcPr>
          <w:p w14:paraId="623D2406" w14:textId="77777777" w:rsidR="00F90100" w:rsidRPr="006C34E3" w:rsidRDefault="00F90100" w:rsidP="00F90100">
            <w:pPr>
              <w:spacing w:before="0" w:after="0"/>
              <w:jc w:val="center"/>
              <w:rPr>
                <w:rFonts w:eastAsia="Times New Roman" w:cs="Times New Roman"/>
                <w:sz w:val="16"/>
                <w:szCs w:val="16"/>
                <w:lang w:val="fr-BE"/>
              </w:rPr>
            </w:pPr>
            <w:r w:rsidRPr="006C34E3">
              <w:rPr>
                <w:rFonts w:eastAsia="Times New Roman" w:cs="Times New Roman"/>
                <w:sz w:val="16"/>
                <w:szCs w:val="16"/>
                <w:lang w:val="fr-BE"/>
              </w:rPr>
              <w:t>GTC TAT ATG GAG GTA CAA CAC T</w:t>
            </w:r>
          </w:p>
        </w:tc>
        <w:tc>
          <w:tcPr>
            <w:tcW w:w="3780" w:type="dxa"/>
            <w:tcBorders>
              <w:top w:val="nil"/>
              <w:left w:val="nil"/>
              <w:bottom w:val="single" w:sz="4" w:space="0" w:color="auto"/>
              <w:right w:val="single" w:sz="4" w:space="0" w:color="auto"/>
            </w:tcBorders>
            <w:shd w:val="clear" w:color="auto" w:fill="auto"/>
            <w:noWrap/>
            <w:vAlign w:val="center"/>
            <w:hideMark/>
          </w:tcPr>
          <w:p w14:paraId="5E9BE015" w14:textId="77777777" w:rsidR="00F90100" w:rsidRPr="00634D63" w:rsidRDefault="00F90100" w:rsidP="00F90100">
            <w:pPr>
              <w:spacing w:before="0" w:after="0"/>
              <w:jc w:val="center"/>
              <w:rPr>
                <w:rFonts w:eastAsia="Times New Roman" w:cs="Times New Roman"/>
                <w:sz w:val="16"/>
                <w:szCs w:val="16"/>
                <w:lang w:val="fr-BE"/>
              </w:rPr>
            </w:pPr>
            <w:r w:rsidRPr="00634D63">
              <w:rPr>
                <w:rFonts w:eastAsia="Times New Roman" w:cs="Times New Roman"/>
                <w:sz w:val="16"/>
                <w:szCs w:val="16"/>
                <w:lang w:val="fr-BE"/>
              </w:rPr>
              <w:t>GAC CTT TAC TTA TTT CGC TGT C</w:t>
            </w:r>
          </w:p>
        </w:tc>
        <w:tc>
          <w:tcPr>
            <w:tcW w:w="1620" w:type="dxa"/>
            <w:tcBorders>
              <w:top w:val="nil"/>
              <w:left w:val="nil"/>
              <w:bottom w:val="single" w:sz="4" w:space="0" w:color="auto"/>
              <w:right w:val="single" w:sz="4" w:space="0" w:color="auto"/>
            </w:tcBorders>
            <w:shd w:val="clear" w:color="auto" w:fill="auto"/>
            <w:noWrap/>
            <w:vAlign w:val="center"/>
            <w:hideMark/>
          </w:tcPr>
          <w:p w14:paraId="1CF060A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213</w:t>
            </w:r>
          </w:p>
        </w:tc>
        <w:tc>
          <w:tcPr>
            <w:tcW w:w="1620" w:type="dxa"/>
            <w:tcBorders>
              <w:top w:val="nil"/>
              <w:left w:val="nil"/>
              <w:bottom w:val="single" w:sz="4" w:space="0" w:color="auto"/>
              <w:right w:val="single" w:sz="4" w:space="0" w:color="auto"/>
            </w:tcBorders>
            <w:shd w:val="clear" w:color="auto" w:fill="auto"/>
            <w:noWrap/>
            <w:vAlign w:val="center"/>
            <w:hideMark/>
          </w:tcPr>
          <w:p w14:paraId="4CB94E3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7BF9B857" w14:textId="70217F78"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{"citationItems":[{"id":"ITEM-1","itemData":{"DOI":"10.1128/JCM.40.3.857-862.2002","ISSN":"00951137","PMID":"11880405","abstract":"To investigate the distribution of staphylococcal enterotoxin (SE) A to I (SEA to SEI) genes (sea to sei) in Staphylococcus aureus, 146 isolates obtained in Japan from humans involved in and samples from food poisoning outbreaks, healthy humans, cows with mastitis, and bovine raw milk were analyzed by multiplex PCR. One hundred thirteen (77.4%) S. aureus isolates were found to be positive for one or more se genes. The se genotype was classified into 14 genotypes, seg and sei coexisted in the same S. aureus strain. The newly developed sandwich enzyme-linked immunosorbent assay showed that most seh-harboring S. aureus isolates were able to produce a significant amount of SEH. However, most of the S. aureus isolates harboring seg and about 60% of the isolates harboring sei did not produce a detectable level of SEG or SEI, while reverse transcription-PCR analysis proved that the mRNAs of SEG and SEI were transcribed in S. aureus strains harboring seg and sei genes. These results suggest the importance of quantitative assessment of SEG and SEI production in foods in order to clarify the relationship between these new SEs and food poisoning.","author":[{"dropping-particle":"","family":"Omoe","given":"Katsuhiko","non-dropping-particle":"","parse-names":false,"suffix":""},{"dropping-particle":"","family":"Ishikawa","given":"Machiko","non-dropping-particle":"","parse-names":false,"suffix":""},{"dropping-particle":"","family":"Shimoda","given":"Yu","non-dropping-particle":"","parse-names":false,"suffix":""},{"dropping-particle":"","family":"Hu","given":"Dong Liang","non-dropping-particle":"","parse-names":false,"suffix":""},{"dropping-particle":"","family":"Ueda","given":"Shigeko","non-dropping-particle":"","parse-names":false,"suffix":""},{"dropping-particle":"","family":"Shinagawa","given":"Kunihiro","non-dropping-particle":"","parse-names":false,"suffix":""}],"container-title":"Journal of Clinical Microbiology","id":"ITEM-1","issue":"3","issued":{"date-parts":[["2002"]]},"page":"857-862","title":"Detection of seg, seh, and sei genes in Staphylococcus aureus isolates and determination of the enterotoxin productivities of S. aureus isolates harboring seg, seh, or sei genes","type":"article-journal","volume":"40"},"uris":["http://www.mendeley.com/documents/?uuid=dc768282-8beb-4281-8739-d6d7bfa7d029"]}],"mendeley":{"formattedCitation":"(Omoe et al., 2002)","plainTextFormattedCitation":"(Omoe et al., 2002)","previouslyFormattedCitation":"(Omoe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2002)</w:t>
            </w:r>
            <w:r w:rsidRPr="006C34E3">
              <w:rPr>
                <w:rFonts w:eastAsia="Times New Roman" w:cs="Times New Roman"/>
                <w:color w:val="000000"/>
                <w:sz w:val="16"/>
                <w:szCs w:val="16"/>
              </w:rPr>
              <w:fldChar w:fldCharType="end"/>
            </w:r>
          </w:p>
        </w:tc>
      </w:tr>
      <w:tr w:rsidR="00F90100" w:rsidRPr="006C34E3" w14:paraId="7EA01CC4" w14:textId="77777777" w:rsidTr="00C662E9">
        <w:trPr>
          <w:trHeight w:val="288"/>
        </w:trPr>
        <w:tc>
          <w:tcPr>
            <w:tcW w:w="630" w:type="dxa"/>
            <w:vMerge/>
            <w:tcBorders>
              <w:left w:val="single" w:sz="4" w:space="0" w:color="auto"/>
              <w:right w:val="single" w:sz="4" w:space="0" w:color="auto"/>
            </w:tcBorders>
            <w:vAlign w:val="center"/>
            <w:hideMark/>
          </w:tcPr>
          <w:p w14:paraId="4C08FD9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FF4A59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seh-4</w:t>
            </w:r>
          </w:p>
        </w:tc>
        <w:tc>
          <w:tcPr>
            <w:tcW w:w="3690" w:type="dxa"/>
            <w:tcBorders>
              <w:top w:val="nil"/>
              <w:left w:val="nil"/>
              <w:bottom w:val="single" w:sz="4" w:space="0" w:color="auto"/>
              <w:right w:val="single" w:sz="4" w:space="0" w:color="auto"/>
            </w:tcBorders>
            <w:shd w:val="clear" w:color="auto" w:fill="auto"/>
            <w:noWrap/>
            <w:vAlign w:val="center"/>
            <w:hideMark/>
          </w:tcPr>
          <w:p w14:paraId="3781DD7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CAA TCA CAT CAT ATG CGA AAG CAG</w:t>
            </w:r>
          </w:p>
        </w:tc>
        <w:tc>
          <w:tcPr>
            <w:tcW w:w="3780" w:type="dxa"/>
            <w:tcBorders>
              <w:top w:val="nil"/>
              <w:left w:val="nil"/>
              <w:bottom w:val="single" w:sz="4" w:space="0" w:color="auto"/>
              <w:right w:val="single" w:sz="4" w:space="0" w:color="auto"/>
            </w:tcBorders>
            <w:shd w:val="clear" w:color="auto" w:fill="auto"/>
            <w:noWrap/>
            <w:vAlign w:val="center"/>
            <w:hideMark/>
          </w:tcPr>
          <w:p w14:paraId="0C18D90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CTA CCC AAA CAT TAG CAC C</w:t>
            </w:r>
          </w:p>
        </w:tc>
        <w:tc>
          <w:tcPr>
            <w:tcW w:w="1620" w:type="dxa"/>
            <w:tcBorders>
              <w:top w:val="nil"/>
              <w:left w:val="nil"/>
              <w:bottom w:val="single" w:sz="4" w:space="0" w:color="auto"/>
              <w:right w:val="single" w:sz="4" w:space="0" w:color="auto"/>
            </w:tcBorders>
            <w:shd w:val="clear" w:color="auto" w:fill="auto"/>
            <w:noWrap/>
            <w:vAlign w:val="center"/>
            <w:hideMark/>
          </w:tcPr>
          <w:p w14:paraId="304A6BA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376</w:t>
            </w:r>
          </w:p>
        </w:tc>
        <w:tc>
          <w:tcPr>
            <w:tcW w:w="1620" w:type="dxa"/>
            <w:tcBorders>
              <w:top w:val="nil"/>
              <w:left w:val="nil"/>
              <w:bottom w:val="single" w:sz="4" w:space="0" w:color="auto"/>
              <w:right w:val="single" w:sz="4" w:space="0" w:color="auto"/>
            </w:tcBorders>
            <w:shd w:val="clear" w:color="auto" w:fill="auto"/>
            <w:noWrap/>
            <w:vAlign w:val="center"/>
            <w:hideMark/>
          </w:tcPr>
          <w:p w14:paraId="3210F9E1"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04EEB27" w14:textId="2D9C3D6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361B254D" w14:textId="77777777" w:rsidTr="00C662E9">
        <w:trPr>
          <w:trHeight w:val="288"/>
        </w:trPr>
        <w:tc>
          <w:tcPr>
            <w:tcW w:w="630" w:type="dxa"/>
            <w:vMerge/>
            <w:tcBorders>
              <w:left w:val="single" w:sz="4" w:space="0" w:color="auto"/>
              <w:right w:val="single" w:sz="4" w:space="0" w:color="auto"/>
            </w:tcBorders>
            <w:vAlign w:val="center"/>
            <w:hideMark/>
          </w:tcPr>
          <w:p w14:paraId="5F7C971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9BD525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seh-5</w:t>
            </w:r>
          </w:p>
        </w:tc>
        <w:tc>
          <w:tcPr>
            <w:tcW w:w="3690" w:type="dxa"/>
            <w:tcBorders>
              <w:top w:val="nil"/>
              <w:left w:val="nil"/>
              <w:bottom w:val="single" w:sz="4" w:space="0" w:color="auto"/>
              <w:right w:val="single" w:sz="4" w:space="0" w:color="auto"/>
            </w:tcBorders>
            <w:shd w:val="clear" w:color="auto" w:fill="auto"/>
            <w:noWrap/>
            <w:vAlign w:val="center"/>
            <w:hideMark/>
          </w:tcPr>
          <w:p w14:paraId="7F0D3057"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CGA AAG CAG AAG ATT TAC ACG</w:t>
            </w:r>
          </w:p>
        </w:tc>
        <w:tc>
          <w:tcPr>
            <w:tcW w:w="3780" w:type="dxa"/>
            <w:tcBorders>
              <w:top w:val="nil"/>
              <w:left w:val="nil"/>
              <w:bottom w:val="single" w:sz="4" w:space="0" w:color="auto"/>
              <w:right w:val="single" w:sz="4" w:space="0" w:color="auto"/>
            </w:tcBorders>
            <w:shd w:val="clear" w:color="auto" w:fill="auto"/>
            <w:noWrap/>
            <w:vAlign w:val="center"/>
            <w:hideMark/>
          </w:tcPr>
          <w:p w14:paraId="38047E2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GAC CTT TAC TTA TTT CGC TGT C</w:t>
            </w:r>
          </w:p>
        </w:tc>
        <w:tc>
          <w:tcPr>
            <w:tcW w:w="1620" w:type="dxa"/>
            <w:tcBorders>
              <w:top w:val="nil"/>
              <w:left w:val="nil"/>
              <w:bottom w:val="single" w:sz="4" w:space="0" w:color="auto"/>
              <w:right w:val="single" w:sz="4" w:space="0" w:color="auto"/>
            </w:tcBorders>
            <w:shd w:val="clear" w:color="auto" w:fill="auto"/>
            <w:noWrap/>
            <w:vAlign w:val="center"/>
            <w:hideMark/>
          </w:tcPr>
          <w:p w14:paraId="1F68847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495</w:t>
            </w:r>
          </w:p>
        </w:tc>
        <w:tc>
          <w:tcPr>
            <w:tcW w:w="1620" w:type="dxa"/>
            <w:tcBorders>
              <w:top w:val="nil"/>
              <w:left w:val="nil"/>
              <w:bottom w:val="single" w:sz="4" w:space="0" w:color="auto"/>
              <w:right w:val="single" w:sz="4" w:space="0" w:color="auto"/>
            </w:tcBorders>
            <w:shd w:val="clear" w:color="auto" w:fill="auto"/>
            <w:noWrap/>
            <w:vAlign w:val="center"/>
            <w:hideMark/>
          </w:tcPr>
          <w:p w14:paraId="07ADE0EF"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49AEA4C" w14:textId="785C21F4"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{"citationItems":[{"id":"ITEM-1","itemData":{"DOI":"10.4315/0362-028X-63.4.479","ISSN":"0362028X","PMID":"10772213","abstract":"A simple polymerase chain reaction (PCR)-based procedure was developed for the detection of fragments of staphylococcal enterotoxins (SEs) SEA, SEB, SEC, SED, SEE, SEG, SEH, and SEI together with the toxic shock syndrome toxin (TSST-1) genes of Staphylococcus aureus. One hundred and twenty-nine cultures of S. aureus were selected, 39 of which were recovered from 38 suspected staphylococcal food-poisoning incidents. The method was reproducible, and 32 different toxin genotypes were recognized. The presence of SE genes was associated with S. aureus strains reacting with phages in group III, and the TSST-1 gene with phages in group I. There was a 96% agreement between the PCR results for detection of SEA-D and TSST-1 as compared with a commercial reverse passive latex agglutination assay for the detection of SEs from cultures grown in vitro. Enterotoxin gene fragments were detected in S. aureus cultures recovered from 32 of the 38 suspected staphylococcal food poisoning incidents, and of these, 17 were associated with SEE, SEG, SEH, and SEI in the absence of SEA-D. Simple PCR procedures were also developed for the detection of SE directly in spiked food samples, and this was most successfully achieved in mushroom soup and ham. Detection was less successful in three types of cheese and in cream. SEA or SEB were detected by enzyme-linked immunosorbent assay in three food samples (two of which were associated with food poisoning incidents) naturally heavily contaminated with S. aureus: the appropriate SEA or SEB gene fragments were detected directly in these three foods by PCR.","author":[{"dropping-particle":"","family":"Mclauchlin","given":"J.","non-dropping-particle":"","parse-names":false,"suffix":""},{"dropping-particle":"","family":"Narayanan","given":"G. L.","non-dropping-particle":"","parse-names":false,"suffix":""},{"dropping-particle":"","family":"Mithani","given":"V.","non-dropping-particle":"","parse-names":false,"suffix":""},{"dropping-particle":"","family":"O'Neill","given":"G.","non-dropping-particle":"","parse-names":false,"suffix":""}],"container-title":"Journal of Food Protection","id":"ITEM-1","issue":"4","issued":{"date-parts":[["2000"]]},"page":"479-488","title":"The detection of enterotoxins and toxic shock syndrome toxin genes in Staphylococcus aureus by polymerase chain reaction","type":"article-journal","volume":"63"},"uris":["http://www.mendeley.com/documents/?uuid=5326dbdb-5a3a-4002-b025-f70a2f2acd74"]}],"mendeley":{"formattedCitation":"(Mclauchlin et al., 2000)","plainTextFormattedCitation":"(Mclauchlin et al., 2000)","previouslyFormattedCitation":"(Mclauchlin et al., 2000)"},"properties":{"noteIndex":0},"schema":"https://github.com/citation-style-language/schema/raw/master/csl-citation.json"}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(Mclauchlin et al., 2000)</w:t>
            </w:r>
            <w:r w:rsidRPr="006C34E3">
              <w:rPr>
                <w:rFonts w:eastAsia="Times New Roman" w:cs="Times New Roman"/>
                <w:color w:val="000000"/>
                <w:sz w:val="16"/>
                <w:szCs w:val="16"/>
              </w:rPr>
              <w:fldChar w:fldCharType="end"/>
            </w:r>
          </w:p>
        </w:tc>
      </w:tr>
      <w:tr w:rsidR="00F90100" w:rsidRPr="006C34E3" w14:paraId="380C6C4F" w14:textId="77777777" w:rsidTr="00C662E9">
        <w:trPr>
          <w:trHeight w:val="360"/>
        </w:trPr>
        <w:tc>
          <w:tcPr>
            <w:tcW w:w="630" w:type="dxa"/>
            <w:vMerge/>
            <w:tcBorders>
              <w:left w:val="single" w:sz="4" w:space="0" w:color="auto"/>
              <w:right w:val="single" w:sz="4" w:space="0" w:color="auto"/>
            </w:tcBorders>
            <w:vAlign w:val="center"/>
            <w:hideMark/>
          </w:tcPr>
          <w:p w14:paraId="4A72BD9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EDFE95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seh-6</w:t>
            </w:r>
          </w:p>
        </w:tc>
        <w:tc>
          <w:tcPr>
            <w:tcW w:w="3690" w:type="dxa"/>
            <w:tcBorders>
              <w:top w:val="nil"/>
              <w:left w:val="nil"/>
              <w:bottom w:val="single" w:sz="4" w:space="0" w:color="auto"/>
              <w:right w:val="single" w:sz="4" w:space="0" w:color="auto"/>
            </w:tcBorders>
            <w:shd w:val="clear" w:color="auto" w:fill="auto"/>
            <w:noWrap/>
            <w:vAlign w:val="center"/>
            <w:hideMark/>
          </w:tcPr>
          <w:p w14:paraId="5F06FA1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TAG CTA ATG CAT ATG GTC AA</w:t>
            </w:r>
          </w:p>
        </w:tc>
        <w:tc>
          <w:tcPr>
            <w:tcW w:w="3780" w:type="dxa"/>
            <w:tcBorders>
              <w:top w:val="nil"/>
              <w:left w:val="nil"/>
              <w:bottom w:val="single" w:sz="4" w:space="0" w:color="auto"/>
              <w:right w:val="single" w:sz="4" w:space="0" w:color="auto"/>
            </w:tcBorders>
            <w:shd w:val="clear" w:color="auto" w:fill="auto"/>
            <w:noWrap/>
            <w:vAlign w:val="center"/>
            <w:hideMark/>
          </w:tcPr>
          <w:p w14:paraId="29B4C4C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AGA TTT TAA AGT TTT ATT GTC TTC A</w:t>
            </w:r>
          </w:p>
        </w:tc>
        <w:tc>
          <w:tcPr>
            <w:tcW w:w="1620" w:type="dxa"/>
            <w:tcBorders>
              <w:top w:val="nil"/>
              <w:left w:val="nil"/>
              <w:bottom w:val="single" w:sz="4" w:space="0" w:color="auto"/>
              <w:right w:val="single" w:sz="4" w:space="0" w:color="auto"/>
            </w:tcBorders>
            <w:shd w:val="clear" w:color="auto" w:fill="auto"/>
            <w:noWrap/>
            <w:vAlign w:val="center"/>
            <w:hideMark/>
          </w:tcPr>
          <w:p w14:paraId="16EEF020"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563</w:t>
            </w:r>
          </w:p>
        </w:tc>
        <w:tc>
          <w:tcPr>
            <w:tcW w:w="1620" w:type="dxa"/>
            <w:tcBorders>
              <w:top w:val="nil"/>
              <w:left w:val="nil"/>
              <w:bottom w:val="single" w:sz="4" w:space="0" w:color="auto"/>
              <w:right w:val="single" w:sz="4" w:space="0" w:color="auto"/>
            </w:tcBorders>
            <w:shd w:val="clear" w:color="auto" w:fill="auto"/>
            <w:noWrap/>
            <w:vAlign w:val="center"/>
            <w:hideMark/>
          </w:tcPr>
          <w:p w14:paraId="677EB49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2E220AE" w14:textId="15BF0F8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68120292" w14:textId="77777777" w:rsidTr="00C662E9">
        <w:trPr>
          <w:trHeight w:val="360"/>
        </w:trPr>
        <w:tc>
          <w:tcPr>
            <w:tcW w:w="630" w:type="dxa"/>
            <w:vMerge/>
            <w:tcBorders>
              <w:left w:val="single" w:sz="4" w:space="0" w:color="auto"/>
              <w:bottom w:val="single" w:sz="4" w:space="0" w:color="000000"/>
              <w:right w:val="single" w:sz="4" w:space="0" w:color="auto"/>
            </w:tcBorders>
            <w:vAlign w:val="center"/>
          </w:tcPr>
          <w:p w14:paraId="4FA3D5E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5B5239D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seh-7</w:t>
            </w:r>
          </w:p>
        </w:tc>
        <w:tc>
          <w:tcPr>
            <w:tcW w:w="3690" w:type="dxa"/>
            <w:tcBorders>
              <w:top w:val="nil"/>
              <w:left w:val="nil"/>
              <w:bottom w:val="single" w:sz="4" w:space="0" w:color="auto"/>
              <w:right w:val="single" w:sz="4" w:space="0" w:color="auto"/>
            </w:tcBorders>
            <w:shd w:val="clear" w:color="auto" w:fill="auto"/>
            <w:noWrap/>
            <w:vAlign w:val="center"/>
          </w:tcPr>
          <w:p w14:paraId="7C82B48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CAT CAT ATG CGA AAG CAG</w:t>
            </w:r>
          </w:p>
        </w:tc>
        <w:tc>
          <w:tcPr>
            <w:tcW w:w="3780" w:type="dxa"/>
            <w:tcBorders>
              <w:top w:val="nil"/>
              <w:left w:val="nil"/>
              <w:bottom w:val="single" w:sz="4" w:space="0" w:color="auto"/>
              <w:right w:val="single" w:sz="4" w:space="0" w:color="auto"/>
            </w:tcBorders>
            <w:shd w:val="clear" w:color="auto" w:fill="auto"/>
            <w:noWrap/>
            <w:vAlign w:val="center"/>
          </w:tcPr>
          <w:p w14:paraId="3D55097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TCG GAC AAT ATT TTT CTG ATC TTT</w:t>
            </w:r>
          </w:p>
        </w:tc>
        <w:tc>
          <w:tcPr>
            <w:tcW w:w="1620" w:type="dxa"/>
            <w:tcBorders>
              <w:top w:val="nil"/>
              <w:left w:val="nil"/>
              <w:bottom w:val="single" w:sz="4" w:space="0" w:color="auto"/>
              <w:right w:val="single" w:sz="4" w:space="0" w:color="auto"/>
            </w:tcBorders>
            <w:shd w:val="clear" w:color="auto" w:fill="auto"/>
            <w:noWrap/>
            <w:vAlign w:val="center"/>
          </w:tcPr>
          <w:p w14:paraId="025A0E41"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463</w:t>
            </w:r>
          </w:p>
        </w:tc>
        <w:tc>
          <w:tcPr>
            <w:tcW w:w="1620" w:type="dxa"/>
            <w:tcBorders>
              <w:top w:val="nil"/>
              <w:left w:val="nil"/>
              <w:bottom w:val="single" w:sz="4" w:space="0" w:color="auto"/>
              <w:right w:val="single" w:sz="4" w:space="0" w:color="auto"/>
            </w:tcBorders>
            <w:shd w:val="clear" w:color="auto" w:fill="auto"/>
            <w:noWrap/>
            <w:vAlign w:val="center"/>
          </w:tcPr>
          <w:p w14:paraId="53E1812B"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0D253940" w14:textId="3BD24EFC"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(Cremonesi et al., 2005)</w:t>
            </w:r>
            <w:r w:rsidRPr="006C34E3">
              <w:rPr>
                <w:rFonts w:eastAsia="Times New Roman" w:cs="Times New Roman"/>
                <w:color w:val="000000"/>
                <w:sz w:val="16"/>
                <w:szCs w:val="16"/>
              </w:rPr>
              <w:fldChar w:fldCharType="end"/>
            </w:r>
          </w:p>
        </w:tc>
      </w:tr>
      <w:tr w:rsidR="00F90100" w:rsidRPr="0024549B" w14:paraId="1C95A4B9"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15F98F55"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sei</w:t>
            </w:r>
          </w:p>
        </w:tc>
        <w:tc>
          <w:tcPr>
            <w:tcW w:w="720" w:type="dxa"/>
            <w:tcBorders>
              <w:top w:val="nil"/>
              <w:left w:val="nil"/>
              <w:bottom w:val="single" w:sz="4" w:space="0" w:color="auto"/>
              <w:right w:val="single" w:sz="4" w:space="0" w:color="auto"/>
            </w:tcBorders>
            <w:shd w:val="clear" w:color="auto" w:fill="auto"/>
            <w:noWrap/>
            <w:vAlign w:val="center"/>
            <w:hideMark/>
          </w:tcPr>
          <w:p w14:paraId="21FC5FC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sei-1</w:t>
            </w:r>
          </w:p>
        </w:tc>
        <w:tc>
          <w:tcPr>
            <w:tcW w:w="3690" w:type="dxa"/>
            <w:tcBorders>
              <w:top w:val="nil"/>
              <w:left w:val="nil"/>
              <w:bottom w:val="single" w:sz="4" w:space="0" w:color="auto"/>
              <w:right w:val="single" w:sz="4" w:space="0" w:color="auto"/>
            </w:tcBorders>
            <w:shd w:val="clear" w:color="auto" w:fill="auto"/>
            <w:noWrap/>
            <w:vAlign w:val="center"/>
            <w:hideMark/>
          </w:tcPr>
          <w:p w14:paraId="69F271F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GGC CAC TTT ATC AGG ACA</w:t>
            </w:r>
          </w:p>
        </w:tc>
        <w:tc>
          <w:tcPr>
            <w:tcW w:w="3780" w:type="dxa"/>
            <w:tcBorders>
              <w:top w:val="nil"/>
              <w:left w:val="nil"/>
              <w:bottom w:val="single" w:sz="4" w:space="0" w:color="auto"/>
              <w:right w:val="single" w:sz="4" w:space="0" w:color="auto"/>
            </w:tcBorders>
            <w:shd w:val="clear" w:color="auto" w:fill="auto"/>
            <w:noWrap/>
            <w:vAlign w:val="center"/>
            <w:hideMark/>
          </w:tcPr>
          <w:p w14:paraId="1509E39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AAC TTA CAG GCA GTC CA</w:t>
            </w:r>
          </w:p>
        </w:tc>
        <w:tc>
          <w:tcPr>
            <w:tcW w:w="1620" w:type="dxa"/>
            <w:tcBorders>
              <w:top w:val="nil"/>
              <w:left w:val="nil"/>
              <w:bottom w:val="single" w:sz="4" w:space="0" w:color="auto"/>
              <w:right w:val="single" w:sz="4" w:space="0" w:color="auto"/>
            </w:tcBorders>
            <w:shd w:val="clear" w:color="auto" w:fill="auto"/>
            <w:noWrap/>
            <w:vAlign w:val="center"/>
            <w:hideMark/>
          </w:tcPr>
          <w:p w14:paraId="376C3AA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328</w:t>
            </w:r>
          </w:p>
        </w:tc>
        <w:tc>
          <w:tcPr>
            <w:tcW w:w="1620" w:type="dxa"/>
            <w:tcBorders>
              <w:top w:val="nil"/>
              <w:left w:val="nil"/>
              <w:bottom w:val="single" w:sz="4" w:space="0" w:color="auto"/>
              <w:right w:val="single" w:sz="4" w:space="0" w:color="auto"/>
            </w:tcBorders>
            <w:shd w:val="clear" w:color="auto" w:fill="auto"/>
            <w:noWrap/>
            <w:vAlign w:val="center"/>
            <w:hideMark/>
          </w:tcPr>
          <w:p w14:paraId="4E12A747"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3CA838BE" w14:textId="23F5B996" w:rsidR="00F90100" w:rsidRPr="00634D6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w:instrText>
            </w:r>
            <w:r w:rsidR="00E452BC" w:rsidRPr="00634D63">
              <w:rPr>
                <w:rFonts w:eastAsia="Times New Roman" w:cs="Times New Roman"/>
                <w:color w:val="000000"/>
                <w:sz w:val="16"/>
                <w:szCs w:val="16"/>
              </w:rPr>
              <w:instrText>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MLVA","type":"article-journal","volume":"6"},"uris":["http://www.mendeley.com/documents/?uuid=fc1715b7-49a3-4430-b1bf-38feeadd5075"]}],"mendeley":{"formattedCitation":"(Bania et al., 2006; Roussel et al., 2015)","plainTextFormattedCitation":"(Bania et al., 2006; Roussel et al., 2015)","previouslyFormattedCitation":"(Bania et al., 2006;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634D63">
              <w:rPr>
                <w:rFonts w:eastAsia="Times New Roman" w:cs="Times New Roman"/>
                <w:noProof/>
                <w:color w:val="000000"/>
                <w:sz w:val="16"/>
                <w:szCs w:val="16"/>
              </w:rPr>
              <w:t>(Bania et al., 2006; Roussel et al., 2015)</w:t>
            </w:r>
            <w:r w:rsidRPr="006C34E3">
              <w:rPr>
                <w:rFonts w:eastAsia="Times New Roman" w:cs="Times New Roman"/>
                <w:color w:val="000000"/>
                <w:sz w:val="16"/>
                <w:szCs w:val="16"/>
              </w:rPr>
              <w:fldChar w:fldCharType="end"/>
            </w:r>
          </w:p>
        </w:tc>
      </w:tr>
      <w:tr w:rsidR="00F90100" w:rsidRPr="006C34E3" w14:paraId="0FB56632" w14:textId="77777777" w:rsidTr="00C662E9">
        <w:trPr>
          <w:trHeight w:val="288"/>
        </w:trPr>
        <w:tc>
          <w:tcPr>
            <w:tcW w:w="630" w:type="dxa"/>
            <w:vMerge/>
            <w:tcBorders>
              <w:left w:val="single" w:sz="4" w:space="0" w:color="auto"/>
              <w:right w:val="single" w:sz="4" w:space="0" w:color="auto"/>
            </w:tcBorders>
            <w:vAlign w:val="center"/>
            <w:hideMark/>
          </w:tcPr>
          <w:p w14:paraId="33DCFC90" w14:textId="77777777" w:rsidR="00F90100" w:rsidRPr="00634D6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FD1F25C"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sei-2</w:t>
            </w:r>
          </w:p>
        </w:tc>
        <w:tc>
          <w:tcPr>
            <w:tcW w:w="3690" w:type="dxa"/>
            <w:tcBorders>
              <w:top w:val="nil"/>
              <w:left w:val="nil"/>
              <w:bottom w:val="single" w:sz="4" w:space="0" w:color="auto"/>
              <w:right w:val="single" w:sz="4" w:space="0" w:color="auto"/>
            </w:tcBorders>
            <w:shd w:val="clear" w:color="auto" w:fill="auto"/>
            <w:noWrap/>
            <w:vAlign w:val="center"/>
            <w:hideMark/>
          </w:tcPr>
          <w:p w14:paraId="744B8949"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GGT GAT ATT GGT GTA GGT AAC</w:t>
            </w:r>
          </w:p>
        </w:tc>
        <w:tc>
          <w:tcPr>
            <w:tcW w:w="3780" w:type="dxa"/>
            <w:tcBorders>
              <w:top w:val="nil"/>
              <w:left w:val="nil"/>
              <w:bottom w:val="single" w:sz="4" w:space="0" w:color="auto"/>
              <w:right w:val="single" w:sz="4" w:space="0" w:color="auto"/>
            </w:tcBorders>
            <w:shd w:val="clear" w:color="auto" w:fill="auto"/>
            <w:noWrap/>
            <w:vAlign w:val="center"/>
            <w:hideMark/>
          </w:tcPr>
          <w:p w14:paraId="10DEBBDF"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ATC CAT ATT CTT TGC CTT TAC CAG</w:t>
            </w:r>
          </w:p>
        </w:tc>
        <w:tc>
          <w:tcPr>
            <w:tcW w:w="1620" w:type="dxa"/>
            <w:tcBorders>
              <w:top w:val="nil"/>
              <w:left w:val="nil"/>
              <w:bottom w:val="single" w:sz="4" w:space="0" w:color="auto"/>
              <w:right w:val="single" w:sz="4" w:space="0" w:color="auto"/>
            </w:tcBorders>
            <w:shd w:val="clear" w:color="auto" w:fill="auto"/>
            <w:noWrap/>
            <w:vAlign w:val="center"/>
            <w:hideMark/>
          </w:tcPr>
          <w:p w14:paraId="4BDA0159"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454</w:t>
            </w:r>
          </w:p>
        </w:tc>
        <w:tc>
          <w:tcPr>
            <w:tcW w:w="1620" w:type="dxa"/>
            <w:tcBorders>
              <w:top w:val="nil"/>
              <w:left w:val="nil"/>
              <w:bottom w:val="single" w:sz="4" w:space="0" w:color="auto"/>
              <w:right w:val="single" w:sz="4" w:space="0" w:color="auto"/>
            </w:tcBorders>
            <w:shd w:val="clear" w:color="auto" w:fill="auto"/>
            <w:noWrap/>
            <w:vAlign w:val="center"/>
            <w:hideMark/>
          </w:tcPr>
          <w:p w14:paraId="05729B09" w14:textId="77777777" w:rsidR="00F90100" w:rsidRPr="00634D63" w:rsidRDefault="00F90100" w:rsidP="00F90100">
            <w:pPr>
              <w:spacing w:before="0" w:after="0"/>
              <w:jc w:val="center"/>
              <w:rPr>
                <w:rFonts w:eastAsia="Times New Roman" w:cs="Times New Roman"/>
                <w:color w:val="000000"/>
                <w:sz w:val="16"/>
                <w:szCs w:val="16"/>
              </w:rPr>
            </w:pPr>
            <w:r w:rsidRPr="00634D6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18B26ABC" w14:textId="2321D9D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sidRPr="00634D63">
              <w:rPr>
                <w:rFonts w:eastAsia="Times New Roman" w:cs="Times New Roman"/>
                <w:color w:val="000000"/>
                <w:sz w:val="16"/>
                <w:szCs w:val="16"/>
              </w:rPr>
              <w:instrText>ADDIN CSL_CITATION {"citationItems":[{"id":"ITEM-1","itemData":{"DOI":"10.1128/JCM.40.3.857-862.2002","ISSN":"00951137","PMID":"11880405","abstract":"To investigate the distribution of staphylococcal enterotoxin (SE) A to I (SEA to SEI) genes (sea to sei) in Staphylococcus aureus, 146 isolates obtained in Japan from humans involved in and samples from food poisoning outbreaks, healthy humans, cows with mastitis, and bovine raw milk were analyzed by multiplex PCR. One hundred thirteen (77.4%) S. aureus isolates were found to be positive for one or more se genes. The se genotype was classified into 14 genotypes, seg and sei coexisted in the same S. aureus strain. The newly developed sandwich enzyme-linked immunosorbent assay showed that most seh-harboring S. aureus isolates were able to produce a significant amount of SEH. However, most of the S. aureus isolates harboring seg and about 60% of the isolates harboring sei did not produce a detectable level of SEG or SEI, while reverse transcription-PCR analysis proved that the mRNAs of SEG and SEI were transcribed in S. aureus strains harboring seg and sei genes. These results suggest the importance of quantitative assessment of SEG and SEI production in foods in order to clarify the relationship between these new SEs and food poisoning.","author":[{"dropping-particle":"","family":"Omoe","given":"Katsuhiko","non-d</w:instrText>
            </w:r>
            <w:r w:rsidR="00E452BC">
              <w:rPr>
                <w:rFonts w:eastAsia="Times New Roman" w:cs="Times New Roman"/>
                <w:color w:val="000000"/>
                <w:sz w:val="16"/>
                <w:szCs w:val="16"/>
                <w:lang w:val="fr-BE"/>
              </w:rPr>
              <w:instrText>ropping-particle":"","parse-names":false,"suffix":""},{"dropping-particle":"","family":"Ishikawa","given":"Machiko","non-dropping-particle":"","parse-names":false,"suffix":""},{"dropping-particle":"","family":"Shimoda","given":"Yu","non-dropping-particle":"","parse-names":false,"suffix":""},{"dropping-particle":"","family":"Hu","given":"Dong Liang","non-dropping-particle":"","parse-names":false,"suffix":""},{"dropping-particle":"","family":"Ueda","given":"Shigeko","non-dropping-particle":"","parse-names":false,"suffix":""},{"dropping-particle":"","family":"Shinagawa","given":"Kunihiro","non-dropping-particle":"","parse-names":false,"suffix":""}],"container-title":"Journal of Clinical Microbiology","id":"ITEM-1","issue":"3","issued":{"date-parts":[["2002"]]},"page":"857-862","title":"Detection of seg, seh, and sei genes in Staphylococcus aureus isolates and determination of the enterotoxin productivities of S. aureus isolates harboring seg, seh, or sei genes","type":"article-journal","volume":"40"},"uris":["http://www.mendeley.com/documents/?uuid=dc768282-8beb-4281-8739-d6d7bfa7d029"]}],"mendeley":{"formattedCitation":"(Omoe et al., 2002)","plainTextFormattedCitation":"(Omoe et al., 2002)","previouslyFormattedCitation":"(Omoe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2002)</w:t>
            </w:r>
            <w:r w:rsidRPr="006C34E3">
              <w:rPr>
                <w:rFonts w:eastAsia="Times New Roman" w:cs="Times New Roman"/>
                <w:color w:val="000000"/>
                <w:sz w:val="16"/>
                <w:szCs w:val="16"/>
              </w:rPr>
              <w:fldChar w:fldCharType="end"/>
            </w:r>
          </w:p>
        </w:tc>
      </w:tr>
      <w:tr w:rsidR="00F90100" w:rsidRPr="006C34E3" w14:paraId="7573E86C" w14:textId="77777777" w:rsidTr="00C662E9">
        <w:trPr>
          <w:trHeight w:val="288"/>
        </w:trPr>
        <w:tc>
          <w:tcPr>
            <w:tcW w:w="630" w:type="dxa"/>
            <w:vMerge/>
            <w:tcBorders>
              <w:left w:val="single" w:sz="4" w:space="0" w:color="auto"/>
              <w:right w:val="single" w:sz="4" w:space="0" w:color="auto"/>
            </w:tcBorders>
            <w:vAlign w:val="center"/>
            <w:hideMark/>
          </w:tcPr>
          <w:p w14:paraId="3D1E52F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F61E6E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sei-3</w:t>
            </w:r>
          </w:p>
        </w:tc>
        <w:tc>
          <w:tcPr>
            <w:tcW w:w="3690" w:type="dxa"/>
            <w:tcBorders>
              <w:top w:val="nil"/>
              <w:left w:val="nil"/>
              <w:bottom w:val="single" w:sz="4" w:space="0" w:color="auto"/>
              <w:right w:val="single" w:sz="4" w:space="0" w:color="auto"/>
            </w:tcBorders>
            <w:shd w:val="clear" w:color="auto" w:fill="auto"/>
            <w:noWrap/>
            <w:vAlign w:val="center"/>
            <w:hideMark/>
          </w:tcPr>
          <w:p w14:paraId="79E3506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GGT GAT ATT GGT GTA GGT AA</w:t>
            </w:r>
          </w:p>
        </w:tc>
        <w:tc>
          <w:tcPr>
            <w:tcW w:w="3780" w:type="dxa"/>
            <w:tcBorders>
              <w:top w:val="nil"/>
              <w:left w:val="nil"/>
              <w:bottom w:val="single" w:sz="4" w:space="0" w:color="auto"/>
              <w:right w:val="single" w:sz="4" w:space="0" w:color="auto"/>
            </w:tcBorders>
            <w:shd w:val="clear" w:color="auto" w:fill="auto"/>
            <w:noWrap/>
            <w:vAlign w:val="center"/>
            <w:hideMark/>
          </w:tcPr>
          <w:p w14:paraId="20916E1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ATT CTT TGC CTT TAC CAG</w:t>
            </w:r>
          </w:p>
        </w:tc>
        <w:tc>
          <w:tcPr>
            <w:tcW w:w="1620" w:type="dxa"/>
            <w:tcBorders>
              <w:top w:val="nil"/>
              <w:left w:val="nil"/>
              <w:bottom w:val="single" w:sz="4" w:space="0" w:color="auto"/>
              <w:right w:val="single" w:sz="4" w:space="0" w:color="auto"/>
            </w:tcBorders>
            <w:shd w:val="clear" w:color="auto" w:fill="auto"/>
            <w:noWrap/>
            <w:vAlign w:val="center"/>
            <w:hideMark/>
          </w:tcPr>
          <w:p w14:paraId="063A4CF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451</w:t>
            </w:r>
          </w:p>
        </w:tc>
        <w:tc>
          <w:tcPr>
            <w:tcW w:w="1620" w:type="dxa"/>
            <w:tcBorders>
              <w:top w:val="nil"/>
              <w:left w:val="nil"/>
              <w:bottom w:val="single" w:sz="4" w:space="0" w:color="auto"/>
              <w:right w:val="single" w:sz="4" w:space="0" w:color="auto"/>
            </w:tcBorders>
            <w:shd w:val="clear" w:color="auto" w:fill="auto"/>
            <w:noWrap/>
            <w:vAlign w:val="center"/>
            <w:hideMark/>
          </w:tcPr>
          <w:p w14:paraId="05A67D71"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F26FAE4" w14:textId="0058432C"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{"citationItems":[{"id":"ITEM-1","itemData":{"DOI":"10.1111/jam.12364","ISSN":"13645072","PMID":"24119042","abstract":"Aims: To develop a multiplex PCR assay coupled with selective enrichment step to detect major virulence-associated genes of enterotoxigenic Stap-hylococcus aureus and evaluate the same directly on contaminated food samples. Methods and Results: The most important virulence-associated genes of Staph. aureus, which are commonly related to food safety issues, are targeted in this study. They include five major enterotoxigenic genes-sea, seb, sec, seg and sei, tst-which encodes TSST-1, mecA-which confer methicillin resistance and coa-for the enzyme coagulase along with an internal amplification control (IAC) to rule out false-negative result. A modified mannitol salt broth (MSB) supplemented with sodium pyruvate was used for selective enrichment of Staph. aureus from food samples prior to PCR. Evaluation of efficiency of different media revealed that enrichment of samples in modified MSB followed by PCR resulted in specific, sensitive and effective amplification of the targeted genes in comparison with other enrichment media. Incorporation of bovine serum albumin (BSA) as PCR enhancer improved the intensity of amplicons. The standardized multiplex PCR (mPCR) format was able to detect all the target genes at a bacterial load of 106 CFU ml-1 in any sample. The PCR results were unequivocally correlated with the conventional methods when the mPCR format was assessed on a total of 91 Staph. aureus isolates. The entire assay was found to be effectual when evaluated on naturally contaminated food samples. Conclusions: The combinatorial approach involving selective enrichment followed by mPCR developed in this study was found to be effective for the detection of toxigenic Staph. aureus directly from various food sources. Significance and Impact of the Study: The developed format would find a promising application in early detection of food contaminations as well as in the diagnosis of food poisoning due to Staph. aureus. © 2013 The Society for Applied Microbiology.","author":[{"dropping-particle":"","family":"Nagaraj","given":"S.","non-dropping-particle":"","parse-names":false,"suffix":""},{"dropping-particle":"","family":"Ramlal","given":"S.","non-dropping-particle":"","parse-names":false,"suffix":""},{"dropping-particle":"","family":"Sripathy","given":"M.H.","non-dropping-particle":"","parse-names":false,"suffix":""},{"dropping-particle":"","family":"Batra","given":"H.V.","non-dropping-particle":"","parse-names":false,"suffix":""}],"container-title":"Journal of Applied Microbiology","id":"ITEM-1","issue":"2","issued":{"date-parts":[["2014","2"]]},"page":"435-446","title":"Development and evaluation of a novel combinatorial selective enrichment and multiplex PCR technique for molecular detection of major virulence-associated genes of enterotoxigenic Staphylococcus aureus in food samples","type":"article-journal","volume":"116"},"uris":["http://www.mendeley.com/documents/?uuid=6974d7f1-8cbe-4860-8489-1903075b4d5b"]}],"mendeley":{"formattedCitation":"(Nagaraj et al., 2014)","plainTextFormattedCitation":"(Nagaraj et al., 2014)","previouslyFormattedCitation":"(Nagaraj et al., 2014)"},"properties":{"noteIndex":0},"schema":"https://github.com/citation-style-language/schema/raw/master/csl-citation.json"}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(Nagaraj et al., 2014)</w:t>
            </w:r>
            <w:r w:rsidRPr="006C34E3">
              <w:rPr>
                <w:rFonts w:eastAsia="Times New Roman" w:cs="Times New Roman"/>
                <w:color w:val="000000"/>
                <w:sz w:val="16"/>
                <w:szCs w:val="16"/>
              </w:rPr>
              <w:fldChar w:fldCharType="end"/>
            </w:r>
          </w:p>
        </w:tc>
      </w:tr>
      <w:tr w:rsidR="00F90100" w:rsidRPr="006C34E3" w14:paraId="30F3CF1D" w14:textId="77777777" w:rsidTr="00C662E9">
        <w:trPr>
          <w:trHeight w:val="288"/>
        </w:trPr>
        <w:tc>
          <w:tcPr>
            <w:tcW w:w="630" w:type="dxa"/>
            <w:vMerge/>
            <w:tcBorders>
              <w:left w:val="single" w:sz="4" w:space="0" w:color="auto"/>
              <w:right w:val="single" w:sz="4" w:space="0" w:color="auto"/>
            </w:tcBorders>
            <w:vAlign w:val="center"/>
            <w:hideMark/>
          </w:tcPr>
          <w:p w14:paraId="7AA87124"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B09604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sei-4</w:t>
            </w:r>
          </w:p>
        </w:tc>
        <w:tc>
          <w:tcPr>
            <w:tcW w:w="3690" w:type="dxa"/>
            <w:tcBorders>
              <w:top w:val="nil"/>
              <w:left w:val="nil"/>
              <w:bottom w:val="single" w:sz="4" w:space="0" w:color="auto"/>
              <w:right w:val="single" w:sz="4" w:space="0" w:color="auto"/>
            </w:tcBorders>
            <w:shd w:val="clear" w:color="auto" w:fill="auto"/>
            <w:noWrap/>
            <w:vAlign w:val="center"/>
            <w:hideMark/>
          </w:tcPr>
          <w:p w14:paraId="21C024F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CTY GAA TTT TCA ACM GGT AC</w:t>
            </w:r>
          </w:p>
        </w:tc>
        <w:tc>
          <w:tcPr>
            <w:tcW w:w="3780" w:type="dxa"/>
            <w:tcBorders>
              <w:top w:val="nil"/>
              <w:left w:val="nil"/>
              <w:bottom w:val="single" w:sz="4" w:space="0" w:color="auto"/>
              <w:right w:val="single" w:sz="4" w:space="0" w:color="auto"/>
            </w:tcBorders>
            <w:shd w:val="clear" w:color="auto" w:fill="auto"/>
            <w:noWrap/>
            <w:vAlign w:val="center"/>
            <w:hideMark/>
          </w:tcPr>
          <w:p w14:paraId="6356098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AGG CAG TCC ATC TCC TG</w:t>
            </w:r>
          </w:p>
        </w:tc>
        <w:tc>
          <w:tcPr>
            <w:tcW w:w="1620" w:type="dxa"/>
            <w:tcBorders>
              <w:top w:val="nil"/>
              <w:left w:val="nil"/>
              <w:bottom w:val="single" w:sz="4" w:space="0" w:color="auto"/>
              <w:right w:val="single" w:sz="4" w:space="0" w:color="auto"/>
            </w:tcBorders>
            <w:shd w:val="clear" w:color="auto" w:fill="auto"/>
            <w:noWrap/>
            <w:vAlign w:val="center"/>
            <w:hideMark/>
          </w:tcPr>
          <w:p w14:paraId="76B7F03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461</w:t>
            </w:r>
          </w:p>
        </w:tc>
        <w:tc>
          <w:tcPr>
            <w:tcW w:w="1620" w:type="dxa"/>
            <w:tcBorders>
              <w:top w:val="nil"/>
              <w:left w:val="nil"/>
              <w:bottom w:val="single" w:sz="4" w:space="0" w:color="auto"/>
              <w:right w:val="single" w:sz="4" w:space="0" w:color="auto"/>
            </w:tcBorders>
            <w:shd w:val="clear" w:color="auto" w:fill="auto"/>
            <w:noWrap/>
            <w:vAlign w:val="center"/>
            <w:hideMark/>
          </w:tcPr>
          <w:p w14:paraId="0987FB2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0B9BF7C" w14:textId="16271E5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668FB612" w14:textId="77777777" w:rsidTr="00C662E9">
        <w:trPr>
          <w:trHeight w:val="288"/>
        </w:trPr>
        <w:tc>
          <w:tcPr>
            <w:tcW w:w="630" w:type="dxa"/>
            <w:vMerge/>
            <w:tcBorders>
              <w:left w:val="single" w:sz="4" w:space="0" w:color="auto"/>
              <w:right w:val="single" w:sz="4" w:space="0" w:color="auto"/>
            </w:tcBorders>
            <w:vAlign w:val="center"/>
            <w:hideMark/>
          </w:tcPr>
          <w:p w14:paraId="145D67ED"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E68A12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sei-5</w:t>
            </w:r>
          </w:p>
        </w:tc>
        <w:tc>
          <w:tcPr>
            <w:tcW w:w="3690" w:type="dxa"/>
            <w:tcBorders>
              <w:top w:val="nil"/>
              <w:left w:val="nil"/>
              <w:bottom w:val="single" w:sz="4" w:space="0" w:color="auto"/>
              <w:right w:val="single" w:sz="4" w:space="0" w:color="auto"/>
            </w:tcBorders>
            <w:shd w:val="clear" w:color="auto" w:fill="auto"/>
            <w:noWrap/>
            <w:vAlign w:val="center"/>
            <w:hideMark/>
          </w:tcPr>
          <w:p w14:paraId="6EFB158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GAC AAC AAA ACT GTC GAA ACT G</w:t>
            </w:r>
          </w:p>
        </w:tc>
        <w:tc>
          <w:tcPr>
            <w:tcW w:w="3780" w:type="dxa"/>
            <w:tcBorders>
              <w:top w:val="nil"/>
              <w:left w:val="nil"/>
              <w:bottom w:val="single" w:sz="4" w:space="0" w:color="auto"/>
              <w:right w:val="single" w:sz="4" w:space="0" w:color="auto"/>
            </w:tcBorders>
            <w:shd w:val="clear" w:color="auto" w:fill="auto"/>
            <w:noWrap/>
            <w:vAlign w:val="center"/>
            <w:hideMark/>
          </w:tcPr>
          <w:p w14:paraId="3175DD5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TAT TCT TTG CCT TTA CCA G</w:t>
            </w:r>
          </w:p>
        </w:tc>
        <w:tc>
          <w:tcPr>
            <w:tcW w:w="1620" w:type="dxa"/>
            <w:tcBorders>
              <w:top w:val="nil"/>
              <w:left w:val="nil"/>
              <w:bottom w:val="single" w:sz="4" w:space="0" w:color="auto"/>
              <w:right w:val="single" w:sz="4" w:space="0" w:color="auto"/>
            </w:tcBorders>
            <w:shd w:val="clear" w:color="auto" w:fill="auto"/>
            <w:noWrap/>
            <w:vAlign w:val="center"/>
            <w:hideMark/>
          </w:tcPr>
          <w:p w14:paraId="11BA4CC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630</w:t>
            </w:r>
          </w:p>
        </w:tc>
        <w:tc>
          <w:tcPr>
            <w:tcW w:w="1620" w:type="dxa"/>
            <w:tcBorders>
              <w:top w:val="nil"/>
              <w:left w:val="nil"/>
              <w:bottom w:val="single" w:sz="4" w:space="0" w:color="auto"/>
              <w:right w:val="single" w:sz="4" w:space="0" w:color="auto"/>
            </w:tcBorders>
            <w:shd w:val="clear" w:color="auto" w:fill="auto"/>
            <w:noWrap/>
            <w:vAlign w:val="center"/>
            <w:hideMark/>
          </w:tcPr>
          <w:p w14:paraId="331FF171"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6B7E47A7" w14:textId="364A2E9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{"citationItems":[{"id":"ITEM-1","itemData":{"DOI":"10.4315/0362-028X-63.4.479","ISSN":"0362028X","PMID":"10772213","abstract":"A simple polymerase chain reaction (PCR)-based procedure was developed for the detection of fragments of staphylococcal enterotoxins (SEs) SEA, SEB, SEC, SED, SEE, SEG, SEH, and SEI together with the toxic shock syndrome toxin (TSST-1) genes of Staphylococcus aureus. One hundred and twenty-nine cultures of S. aureus were selected, 39 of which were recovered from 38 suspected staphylococcal food-poisoning incidents. The method was reproducible, and 32 different toxin genotypes were recognized. The presence of SE genes was associated with S. aureus strains reacting with phages in group III, and the TSST-1 gene with phages in group I. There was a 96% agreement between the PCR results for detection of SEA-D and TSST-1 as compared with a commercial reverse passive latex agglutination assay for the detection of SEs from cultures grown in vitro. Enterotoxin gene fragments were detected in S. aureus cultures recovered from 32 of the 38 suspected staphylococcal food poisoning incidents, and of these, 17 were associated with SEE, SEG, SEH, and SEI in the absence of SEA-D. Simple PCR procedures were also developed for the detection of SE directly in spiked food samples, and this was most successfully achieved in mushroom soup and ham. Detection was less successful in three types of cheese and in cream. SEA or SEB were detected by enzyme-linked immunosorbent assay in three food samples (two of which were associated with food poisoning incidents) naturally heavily contaminated with S. aureus: the appropriate SEA or SEB gene fragments were detected directly in these three foods by PCR.","author":[{"dropping-particle":"","family":"Mclauchlin","given":"J.","non-dropping-particle":"","parse-names":false,"suffix":""},{"dropping-particle":"","family":"Narayanan","given":"G. L.","non-dropping-particle":"","parse-names":false,"suffix":""},{"dropping-particle":"","family":"Mithani","given":"V.","non-dropping-particle":"","parse-names":false,"suffix":""},{"dropping-particle":"","family":"O'Neill","given":"G.","non-dropping-particle":"","parse-names":false,"suffix":""}],"container-title":"Journal of Food Protection","id":"ITEM-1","issue":"4","issued":{"date-parts":[["2000"]]},"page":"479-488","title":"The detection of enterotoxins and toxic shock syndrome toxin genes in Staphylococcus aureus by polymerase chain reaction","type":"article-journal","volume":"63"},"uris":["http://www.mendeley.com/documents/?uuid=5326dbdb-5a3a-4002-b025-f70a2f2acd74"]}],"mendeley":{"formattedCitation":"(Mclauchlin et al., 2000)","plainTextFormattedCitation":"(Mclauchlin et al., 2000)","previouslyFormattedCitation":"(Mclauchlin et al., 2000)"},"properties":{"noteIndex":0},"schema":"https://github.com/citation-style-language/schema/raw/master/csl-citation.json"}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(Mclauchlin et al., 2000)</w:t>
            </w:r>
            <w:r w:rsidRPr="006C34E3">
              <w:rPr>
                <w:rFonts w:eastAsia="Times New Roman" w:cs="Times New Roman"/>
                <w:color w:val="000000"/>
                <w:sz w:val="16"/>
                <w:szCs w:val="16"/>
              </w:rPr>
              <w:fldChar w:fldCharType="end"/>
            </w:r>
          </w:p>
        </w:tc>
      </w:tr>
      <w:tr w:rsidR="00F90100" w:rsidRPr="006C34E3" w14:paraId="7077E2AC" w14:textId="77777777" w:rsidTr="00C662E9">
        <w:trPr>
          <w:trHeight w:val="288"/>
        </w:trPr>
        <w:tc>
          <w:tcPr>
            <w:tcW w:w="630" w:type="dxa"/>
            <w:vMerge/>
            <w:tcBorders>
              <w:left w:val="single" w:sz="4" w:space="0" w:color="auto"/>
              <w:right w:val="single" w:sz="4" w:space="0" w:color="auto"/>
            </w:tcBorders>
            <w:vAlign w:val="center"/>
            <w:hideMark/>
          </w:tcPr>
          <w:p w14:paraId="3248B9AA"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B07828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sei-6</w:t>
            </w:r>
          </w:p>
        </w:tc>
        <w:tc>
          <w:tcPr>
            <w:tcW w:w="3690" w:type="dxa"/>
            <w:tcBorders>
              <w:top w:val="nil"/>
              <w:left w:val="nil"/>
              <w:bottom w:val="single" w:sz="4" w:space="0" w:color="auto"/>
              <w:right w:val="single" w:sz="4" w:space="0" w:color="auto"/>
            </w:tcBorders>
            <w:shd w:val="clear" w:color="auto" w:fill="auto"/>
            <w:noWrap/>
            <w:vAlign w:val="center"/>
            <w:hideMark/>
          </w:tcPr>
          <w:p w14:paraId="5A2751B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CAA CTC GAA TTT TCA ACA GGT AC</w:t>
            </w:r>
          </w:p>
        </w:tc>
        <w:tc>
          <w:tcPr>
            <w:tcW w:w="3780" w:type="dxa"/>
            <w:tcBorders>
              <w:top w:val="nil"/>
              <w:left w:val="nil"/>
              <w:bottom w:val="single" w:sz="4" w:space="0" w:color="auto"/>
              <w:right w:val="single" w:sz="4" w:space="0" w:color="auto"/>
            </w:tcBorders>
            <w:shd w:val="clear" w:color="auto" w:fill="auto"/>
            <w:noWrap/>
            <w:vAlign w:val="center"/>
            <w:hideMark/>
          </w:tcPr>
          <w:p w14:paraId="317740D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CAG GCA GTC CAT CTC CTG</w:t>
            </w:r>
          </w:p>
        </w:tc>
        <w:tc>
          <w:tcPr>
            <w:tcW w:w="1620" w:type="dxa"/>
            <w:tcBorders>
              <w:top w:val="nil"/>
              <w:left w:val="nil"/>
              <w:bottom w:val="single" w:sz="4" w:space="0" w:color="auto"/>
              <w:right w:val="single" w:sz="4" w:space="0" w:color="auto"/>
            </w:tcBorders>
            <w:shd w:val="clear" w:color="auto" w:fill="auto"/>
            <w:noWrap/>
            <w:vAlign w:val="center"/>
            <w:hideMark/>
          </w:tcPr>
          <w:p w14:paraId="47000E2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465</w:t>
            </w:r>
          </w:p>
        </w:tc>
        <w:tc>
          <w:tcPr>
            <w:tcW w:w="1620" w:type="dxa"/>
            <w:tcBorders>
              <w:top w:val="nil"/>
              <w:left w:val="nil"/>
              <w:bottom w:val="single" w:sz="4" w:space="0" w:color="auto"/>
              <w:right w:val="single" w:sz="4" w:space="0" w:color="auto"/>
            </w:tcBorders>
            <w:shd w:val="clear" w:color="auto" w:fill="auto"/>
            <w:noWrap/>
            <w:vAlign w:val="center"/>
            <w:hideMark/>
          </w:tcPr>
          <w:p w14:paraId="682C3DB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4489B3B" w14:textId="7B574EA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5FD22E75" w14:textId="77777777" w:rsidTr="00C662E9">
        <w:trPr>
          <w:trHeight w:val="288"/>
        </w:trPr>
        <w:tc>
          <w:tcPr>
            <w:tcW w:w="630" w:type="dxa"/>
            <w:vMerge/>
            <w:tcBorders>
              <w:left w:val="single" w:sz="4" w:space="0" w:color="auto"/>
              <w:right w:val="single" w:sz="4" w:space="0" w:color="auto"/>
            </w:tcBorders>
            <w:vAlign w:val="center"/>
            <w:hideMark/>
          </w:tcPr>
          <w:p w14:paraId="423FE22F"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7D50F1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sei-7</w:t>
            </w:r>
          </w:p>
        </w:tc>
        <w:tc>
          <w:tcPr>
            <w:tcW w:w="3690" w:type="dxa"/>
            <w:tcBorders>
              <w:top w:val="nil"/>
              <w:left w:val="nil"/>
              <w:bottom w:val="single" w:sz="4" w:space="0" w:color="auto"/>
              <w:right w:val="single" w:sz="4" w:space="0" w:color="auto"/>
            </w:tcBorders>
            <w:shd w:val="clear" w:color="auto" w:fill="auto"/>
            <w:noWrap/>
            <w:vAlign w:val="center"/>
            <w:hideMark/>
          </w:tcPr>
          <w:p w14:paraId="33B10CB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 TGG AAC AGG ACA AGC TGA AA</w:t>
            </w:r>
          </w:p>
        </w:tc>
        <w:tc>
          <w:tcPr>
            <w:tcW w:w="3780" w:type="dxa"/>
            <w:tcBorders>
              <w:top w:val="nil"/>
              <w:left w:val="nil"/>
              <w:bottom w:val="single" w:sz="4" w:space="0" w:color="auto"/>
              <w:right w:val="single" w:sz="4" w:space="0" w:color="auto"/>
            </w:tcBorders>
            <w:shd w:val="clear" w:color="auto" w:fill="auto"/>
            <w:noWrap/>
            <w:vAlign w:val="center"/>
            <w:hideMark/>
          </w:tcPr>
          <w:p w14:paraId="2A42CCF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 TGT TTG CCA TTA ACC CAA AG</w:t>
            </w:r>
          </w:p>
        </w:tc>
        <w:tc>
          <w:tcPr>
            <w:tcW w:w="1620" w:type="dxa"/>
            <w:tcBorders>
              <w:top w:val="nil"/>
              <w:left w:val="nil"/>
              <w:bottom w:val="single" w:sz="4" w:space="0" w:color="auto"/>
              <w:right w:val="single" w:sz="4" w:space="0" w:color="auto"/>
            </w:tcBorders>
            <w:shd w:val="clear" w:color="auto" w:fill="auto"/>
            <w:noWrap/>
            <w:vAlign w:val="center"/>
            <w:hideMark/>
          </w:tcPr>
          <w:p w14:paraId="5FBEB1F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529</w:t>
            </w:r>
          </w:p>
        </w:tc>
        <w:tc>
          <w:tcPr>
            <w:tcW w:w="1620" w:type="dxa"/>
            <w:tcBorders>
              <w:top w:val="nil"/>
              <w:left w:val="nil"/>
              <w:bottom w:val="single" w:sz="4" w:space="0" w:color="auto"/>
              <w:right w:val="single" w:sz="4" w:space="0" w:color="auto"/>
            </w:tcBorders>
            <w:shd w:val="clear" w:color="auto" w:fill="auto"/>
            <w:noWrap/>
            <w:vAlign w:val="center"/>
            <w:hideMark/>
          </w:tcPr>
          <w:p w14:paraId="31BE4971"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6C143F6D" w14:textId="727F22C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{"citationItems":[{"id":"ITEM-1","itemData":{"DOI":"10.1128/AEM.00272-09","ISSN":"00992240","PMID":"19749060","abstract":"Staphylococcal enterotoxins (SE) can cause toxin-mediated disease, and those that function as superantigens are implicated in the pathogenesis of allergic diseases. The prevalence of 19 enterotoxin genes was determined by PCR in clinical S. aureus strains derived from wounds (108) and blood (99). We performed spa typing and multilocus sequence typing (MLST) to determine clonal origin, and for selected strains staphylococcal enterotoxin B (SEB) production was measured by enzyme-linked immunosorbent assay. Strains carried a median of five SE genes. For most SE genes, the prevalence rates among methicillinresistant and methicillin-sensitive S. aureus isolates, as well as wound- and blood-derived isolates, did not differ. At least one SE gene was detected in all except two S. aureus isolates (&gt;99%). Complete egc clusters were found in only 11% of S. aureus isolates, whereas the combination of sed, sej, and ser was detected in 24% of clinical strains. S. aureus strains exhibited distinct combinations of SE genes, even if their pulsed-field gel electrophoresis and MLST patterns demonstrated clonality. USA300 strains also showed considerable variability in SE content, although they contained a lower number of SE genes (mean, 3). By contrast, SE content was unchanged in five pairs of serial isolates. SEB production by individual strains varied up to 200-fold, and even up to 15-fold in a pair of serial isolates. In conclusion, our results illustrate the genetic diversity of S. aureus strains with respect to enterotoxin genes and suggest that horizontal transfer of mobile genetic elements encoding virulence genes occurs frequently. Copyright © 2009, American Society for Microbiology. All Rights Reserved.","author":[{"dropping-particle":"","family":"Varshney","given":"Avanish K.","non-dropping-particle":"","parse-names":false,"suffix":""},{"dropping-particle":"","family":"Mediavilla","given":"José R.","non-dropping-particle":"","parse-names":false,"suffix":""},{"dropping-particle":"","family":"Robiou","given":"Natalie","non-dropping-particle":"","parse-names":false,"suffix":""},{"dropping-particle":"","family":"Guh","given":"Alice","non-dropping-particle":"","parse-names":false,"suffix":""},{"dropping-particle":"","family":"Wang","given":"Xiabo","non-dropping-particle":"","parse-names":false,"suffix":""},{"dropping-particle":"","family":"Gialanella","given":"Philip","non-dropping-particle":"","parse-names":false,"suffix":""},{"dropping-particle":"","family":"Levi","given":"Michael H.","non-dropping-particle":"","parse-names":false,"suffix":""},{"dropping-particle":"","family":"Kreiswirth","given":"Barry N.","non-dropping-particle":"","parse-names":false,"suffix":""},{"dropping-particle":"","family":"Fries","given":"Bettina C.","non-dropping-particle":"","parse-names":false,"suffix":""}],"container-title":"Applied and Environmental Microbiology","id":"ITEM-1","issue":"21","issued":{"date-parts":[["2009"]]},"page":"6839-6849","title":"Diverse enterotoxin gene profiles among clonal complexes of Staphylococcus aureus isolates from the Bronx, New York","type":"article-journal","volume":"75"},"uris":["http://www.mendeley.com/documents/?uuid=d01e251a-bae9-4580-a6db-90bb5b4c190e"]}],"mendeley":{"formattedCitation":"(Varshney et al., 2009)","plainTextFormattedCitation":"(Varshney et al., 2009)","previouslyFormattedCitation":"(Varshney et al., 2009)"},"properties":{"noteIndex":0},"schema":"https://github.com/citation-style-language/schema/raw/master/csl-citation.json"}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(Varshney et al., 2009)</w:t>
            </w:r>
            <w:r w:rsidRPr="006C34E3">
              <w:rPr>
                <w:rFonts w:eastAsia="Times New Roman" w:cs="Times New Roman"/>
                <w:color w:val="000000"/>
                <w:sz w:val="16"/>
                <w:szCs w:val="16"/>
              </w:rPr>
              <w:fldChar w:fldCharType="end"/>
            </w:r>
          </w:p>
        </w:tc>
      </w:tr>
      <w:tr w:rsidR="00F90100" w:rsidRPr="006C34E3" w14:paraId="4C6E422C" w14:textId="77777777" w:rsidTr="00C662E9">
        <w:trPr>
          <w:trHeight w:val="288"/>
        </w:trPr>
        <w:tc>
          <w:tcPr>
            <w:tcW w:w="630" w:type="dxa"/>
            <w:vMerge/>
            <w:tcBorders>
              <w:left w:val="single" w:sz="4" w:space="0" w:color="auto"/>
              <w:right w:val="single" w:sz="4" w:space="0" w:color="auto"/>
            </w:tcBorders>
            <w:vAlign w:val="center"/>
            <w:hideMark/>
          </w:tcPr>
          <w:p w14:paraId="1D4D341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5D349C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sei-8</w:t>
            </w:r>
          </w:p>
        </w:tc>
        <w:tc>
          <w:tcPr>
            <w:tcW w:w="3690" w:type="dxa"/>
            <w:tcBorders>
              <w:top w:val="nil"/>
              <w:left w:val="nil"/>
              <w:bottom w:val="single" w:sz="4" w:space="0" w:color="auto"/>
              <w:right w:val="single" w:sz="4" w:space="0" w:color="auto"/>
            </w:tcBorders>
            <w:shd w:val="clear" w:color="auto" w:fill="auto"/>
            <w:noWrap/>
            <w:vAlign w:val="center"/>
            <w:hideMark/>
          </w:tcPr>
          <w:p w14:paraId="05C2AD8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CTC AAG GTG ATA TTG GTG TAG G</w:t>
            </w:r>
          </w:p>
        </w:tc>
        <w:tc>
          <w:tcPr>
            <w:tcW w:w="3780" w:type="dxa"/>
            <w:tcBorders>
              <w:top w:val="nil"/>
              <w:left w:val="nil"/>
              <w:bottom w:val="single" w:sz="4" w:space="0" w:color="auto"/>
              <w:right w:val="single" w:sz="4" w:space="0" w:color="auto"/>
            </w:tcBorders>
            <w:shd w:val="clear" w:color="auto" w:fill="auto"/>
            <w:noWrap/>
            <w:vAlign w:val="center"/>
            <w:hideMark/>
          </w:tcPr>
          <w:p w14:paraId="1887605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ACT ATC TAC ATA TGA TAT TTCGAC ATC</w:t>
            </w:r>
          </w:p>
        </w:tc>
        <w:tc>
          <w:tcPr>
            <w:tcW w:w="1620" w:type="dxa"/>
            <w:tcBorders>
              <w:top w:val="nil"/>
              <w:left w:val="nil"/>
              <w:bottom w:val="single" w:sz="4" w:space="0" w:color="auto"/>
              <w:right w:val="single" w:sz="4" w:space="0" w:color="auto"/>
            </w:tcBorders>
            <w:shd w:val="clear" w:color="auto" w:fill="auto"/>
            <w:noWrap/>
            <w:vAlign w:val="center"/>
            <w:hideMark/>
          </w:tcPr>
          <w:p w14:paraId="1C87DD13"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656</w:t>
            </w:r>
          </w:p>
        </w:tc>
        <w:tc>
          <w:tcPr>
            <w:tcW w:w="1620" w:type="dxa"/>
            <w:tcBorders>
              <w:top w:val="nil"/>
              <w:left w:val="nil"/>
              <w:bottom w:val="single" w:sz="4" w:space="0" w:color="auto"/>
              <w:right w:val="single" w:sz="4" w:space="0" w:color="auto"/>
            </w:tcBorders>
            <w:shd w:val="clear" w:color="auto" w:fill="auto"/>
            <w:noWrap/>
            <w:vAlign w:val="center"/>
            <w:hideMark/>
          </w:tcPr>
          <w:p w14:paraId="2338D1DC"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5D7A1FD" w14:textId="772A4E78"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{"citationItems":[{"id":"ITEM-1","itemData":{"DOI":"10.1128/IAI.00132-06","ISSN":"0019-9567","PMID":"16861660","abstract":"To test the hypothesis that the Staphylococcus aureus enterotoxin gene cluster ( egc ) can generate new enterotoxin genes by recombination, we analyzed the egc locus in a broad panel of 666 clinical isolates of S. aureus. egc was present in 63% of isolates, confirming its high prevalence. The archetypal organization of the egc locus, consisting of five enterotoxin genes plus two pseudogenes, was found in 409 of 421 egc -positive strains. The egc locus was incomplete in a few strains and occasionally harbored an insertion sequence and transposase genes. These strains may represent evolutionary intermediates of the egc locus. One strain with an atypical egc locus produced two new enterotoxins, designated SE l V and SE l U2, generated by (i) recombination between selm and sei , producing selv , and (ii) a limited deletion in the φent1-φent2 pseudogenes, producing selu2 . Recombinant SE l V and SE l U2 had superantigen activity, as they specifically activated the T-cell families Vβ 6, Vβ 18, and Vβ 21 (SE l V) and Vβ 13.2 and Vβ 14 (SE l U2). Immunoscope analysis showed a Gaussian CDR3 size distribution of T-cell receptor Vβ chain junctional transcripts of expanded Vβ subsets in toxin-stimulated cultures, reflecting a high level of polyclonality. These data show that egc is indeed capable of generating new superantigen genes through recombination.","author":[{"dropping-particle":"","family":"Thomas","given":"Damien Yann","non-dropping-particle":"","parse-names":false,"suffix":""},{"dropping-particle":"","family":"Jarraud","given":"Sophie","non-dropping-particle":"","parse-names":false,"suffix":""},{"dropping-particle":"","family":"Lemercier","given":"Brigitte","non-dropping-particle":"","parse-names":false,"suffix":""},{"dropping-particle":"","family":"Cozon","given":"Gregoire","non-dropping-particle":"","parse-names":false,"suffix":""},{"dropping-particle":"","family":"Echasserieau","given":"Klara","non-dropping-particle":"","parse-names":false,"suffix":""},{"dropping-particle":"","family":"Etienne","given":"Jerome","non-dropping-particle":"","parse-names":false,"suffix":""},{"dropping-particle":"","family":"Gougeon","given":"Marie-Lise","non-dropping-particle":"","parse-names":false,"suffix":""},{"dropping-particle":"","family":"Lina","given":"Gerard","non-dropping-particle":"","parse-names":false,"suffix":""},{"dropping-particle":"","family":"Vandenesch","given":"François","non-dropping-particle":"","parse-names":false,"suffix":""}],"container-title":"Infection and Immunity","id":"ITEM-1","issue":"8","issued":{"date-parts":[["2006","8"]]},"page":"4724-4734","title":"Staphylococcal Enterotoxin-Like Toxins U2 and V, Two New Staphylococcal Superantigens Arising from Recombination within the Enterotoxin Gene Cluster","type":"article-journal","volume":"74"},"uris":["http://www.mendeley.com/documents/?uuid=7f71bf2e-7665-4205-a382-14081c69a258"]}],"mendeley":{"formattedCitation":"(Thomas et al., 2006)","plainTextFormattedCitation":"(Thomas et al., 2006)","previouslyFormattedCitation":"(Thomas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(Thomas et al., 2006)</w:t>
            </w:r>
            <w:r w:rsidRPr="006C34E3">
              <w:rPr>
                <w:rFonts w:eastAsia="Times New Roman" w:cs="Times New Roman"/>
                <w:color w:val="000000"/>
                <w:sz w:val="16"/>
                <w:szCs w:val="16"/>
              </w:rPr>
              <w:fldChar w:fldCharType="end"/>
            </w:r>
          </w:p>
        </w:tc>
      </w:tr>
      <w:tr w:rsidR="00F90100" w:rsidRPr="006C34E3" w14:paraId="1E4962B4" w14:textId="77777777" w:rsidTr="00C662E9">
        <w:trPr>
          <w:trHeight w:val="288"/>
        </w:trPr>
        <w:tc>
          <w:tcPr>
            <w:tcW w:w="630" w:type="dxa"/>
            <w:vMerge/>
            <w:tcBorders>
              <w:left w:val="single" w:sz="4" w:space="0" w:color="auto"/>
              <w:right w:val="single" w:sz="4" w:space="0" w:color="auto"/>
            </w:tcBorders>
            <w:vAlign w:val="center"/>
            <w:hideMark/>
          </w:tcPr>
          <w:p w14:paraId="3CED74F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CACFF8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sei-9</w:t>
            </w:r>
          </w:p>
        </w:tc>
        <w:tc>
          <w:tcPr>
            <w:tcW w:w="3690" w:type="dxa"/>
            <w:tcBorders>
              <w:top w:val="nil"/>
              <w:left w:val="nil"/>
              <w:bottom w:val="single" w:sz="4" w:space="0" w:color="auto"/>
              <w:right w:val="single" w:sz="4" w:space="0" w:color="auto"/>
            </w:tcBorders>
            <w:shd w:val="clear" w:color="auto" w:fill="auto"/>
            <w:noWrap/>
            <w:vAlign w:val="center"/>
            <w:hideMark/>
          </w:tcPr>
          <w:p w14:paraId="13D4733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CTC AAG GTG ATA TTG GTG TAG G</w:t>
            </w:r>
          </w:p>
        </w:tc>
        <w:tc>
          <w:tcPr>
            <w:tcW w:w="3780" w:type="dxa"/>
            <w:tcBorders>
              <w:top w:val="nil"/>
              <w:left w:val="nil"/>
              <w:bottom w:val="single" w:sz="4" w:space="0" w:color="auto"/>
              <w:right w:val="single" w:sz="4" w:space="0" w:color="auto"/>
            </w:tcBorders>
            <w:shd w:val="clear" w:color="auto" w:fill="auto"/>
            <w:noWrap/>
            <w:vAlign w:val="center"/>
            <w:hideMark/>
          </w:tcPr>
          <w:p w14:paraId="5854678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AAA AAA CTT ACA GGC AGT CCA TCT C</w:t>
            </w:r>
          </w:p>
        </w:tc>
        <w:tc>
          <w:tcPr>
            <w:tcW w:w="1620" w:type="dxa"/>
            <w:tcBorders>
              <w:top w:val="nil"/>
              <w:left w:val="nil"/>
              <w:bottom w:val="single" w:sz="4" w:space="0" w:color="auto"/>
              <w:right w:val="single" w:sz="4" w:space="0" w:color="auto"/>
            </w:tcBorders>
            <w:shd w:val="clear" w:color="auto" w:fill="auto"/>
            <w:noWrap/>
            <w:vAlign w:val="center"/>
            <w:hideMark/>
          </w:tcPr>
          <w:p w14:paraId="3914BDD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576</w:t>
            </w:r>
          </w:p>
        </w:tc>
        <w:tc>
          <w:tcPr>
            <w:tcW w:w="1620" w:type="dxa"/>
            <w:tcBorders>
              <w:top w:val="nil"/>
              <w:left w:val="nil"/>
              <w:bottom w:val="single" w:sz="4" w:space="0" w:color="auto"/>
              <w:right w:val="single" w:sz="4" w:space="0" w:color="auto"/>
            </w:tcBorders>
            <w:shd w:val="clear" w:color="auto" w:fill="auto"/>
            <w:noWrap/>
            <w:vAlign w:val="center"/>
            <w:hideMark/>
          </w:tcPr>
          <w:p w14:paraId="6BC407D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A6CE2E5" w14:textId="53E870D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4907C12C" w14:textId="77777777" w:rsidTr="00C662E9">
        <w:trPr>
          <w:trHeight w:val="288"/>
        </w:trPr>
        <w:tc>
          <w:tcPr>
            <w:tcW w:w="630" w:type="dxa"/>
            <w:vMerge/>
            <w:tcBorders>
              <w:left w:val="single" w:sz="4" w:space="0" w:color="auto"/>
              <w:right w:val="single" w:sz="4" w:space="0" w:color="auto"/>
            </w:tcBorders>
            <w:vAlign w:val="center"/>
            <w:hideMark/>
          </w:tcPr>
          <w:p w14:paraId="005C625F"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33674D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sei-10</w:t>
            </w:r>
          </w:p>
        </w:tc>
        <w:tc>
          <w:tcPr>
            <w:tcW w:w="3690" w:type="dxa"/>
            <w:tcBorders>
              <w:top w:val="nil"/>
              <w:left w:val="nil"/>
              <w:bottom w:val="single" w:sz="4" w:space="0" w:color="auto"/>
              <w:right w:val="single" w:sz="4" w:space="0" w:color="auto"/>
            </w:tcBorders>
            <w:shd w:val="clear" w:color="auto" w:fill="auto"/>
            <w:noWrap/>
            <w:vAlign w:val="center"/>
            <w:hideMark/>
          </w:tcPr>
          <w:p w14:paraId="0B2DE50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CTA TTG CAA ATC AAC TCG AA</w:t>
            </w:r>
          </w:p>
        </w:tc>
        <w:tc>
          <w:tcPr>
            <w:tcW w:w="3780" w:type="dxa"/>
            <w:tcBorders>
              <w:top w:val="nil"/>
              <w:left w:val="nil"/>
              <w:bottom w:val="single" w:sz="4" w:space="0" w:color="auto"/>
              <w:right w:val="single" w:sz="4" w:space="0" w:color="auto"/>
            </w:tcBorders>
            <w:shd w:val="clear" w:color="auto" w:fill="auto"/>
            <w:noWrap/>
            <w:vAlign w:val="center"/>
            <w:hideMark/>
          </w:tcPr>
          <w:p w14:paraId="7AB916B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AAA AAC TTA CAG GCA GTC C</w:t>
            </w:r>
          </w:p>
        </w:tc>
        <w:tc>
          <w:tcPr>
            <w:tcW w:w="1620" w:type="dxa"/>
            <w:tcBorders>
              <w:top w:val="nil"/>
              <w:left w:val="nil"/>
              <w:bottom w:val="single" w:sz="4" w:space="0" w:color="auto"/>
              <w:right w:val="single" w:sz="4" w:space="0" w:color="auto"/>
            </w:tcBorders>
            <w:shd w:val="clear" w:color="auto" w:fill="auto"/>
            <w:noWrap/>
            <w:vAlign w:val="center"/>
            <w:hideMark/>
          </w:tcPr>
          <w:p w14:paraId="29AA2388"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486</w:t>
            </w:r>
          </w:p>
        </w:tc>
        <w:tc>
          <w:tcPr>
            <w:tcW w:w="1620" w:type="dxa"/>
            <w:tcBorders>
              <w:top w:val="nil"/>
              <w:left w:val="nil"/>
              <w:bottom w:val="single" w:sz="4" w:space="0" w:color="auto"/>
              <w:right w:val="single" w:sz="4" w:space="0" w:color="auto"/>
            </w:tcBorders>
            <w:shd w:val="clear" w:color="auto" w:fill="auto"/>
            <w:noWrap/>
            <w:vAlign w:val="center"/>
            <w:hideMark/>
          </w:tcPr>
          <w:p w14:paraId="7F21EE5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3C1B348" w14:textId="7168A6C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56817B28" w14:textId="77777777" w:rsidTr="00C662E9">
        <w:trPr>
          <w:trHeight w:val="288"/>
        </w:trPr>
        <w:tc>
          <w:tcPr>
            <w:tcW w:w="630" w:type="dxa"/>
            <w:vMerge/>
            <w:tcBorders>
              <w:left w:val="single" w:sz="4" w:space="0" w:color="auto"/>
              <w:bottom w:val="single" w:sz="4" w:space="0" w:color="000000"/>
              <w:right w:val="single" w:sz="4" w:space="0" w:color="auto"/>
            </w:tcBorders>
            <w:vAlign w:val="center"/>
          </w:tcPr>
          <w:p w14:paraId="498AA40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66C381B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sei-11</w:t>
            </w:r>
          </w:p>
        </w:tc>
        <w:tc>
          <w:tcPr>
            <w:tcW w:w="3690" w:type="dxa"/>
            <w:tcBorders>
              <w:top w:val="nil"/>
              <w:left w:val="nil"/>
              <w:bottom w:val="single" w:sz="4" w:space="0" w:color="auto"/>
              <w:right w:val="single" w:sz="4" w:space="0" w:color="auto"/>
            </w:tcBorders>
            <w:shd w:val="clear" w:color="auto" w:fill="auto"/>
            <w:noWrap/>
            <w:vAlign w:val="center"/>
          </w:tcPr>
          <w:p w14:paraId="7554869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CTC AAG GTG ATA TTG GTG TAG G</w:t>
            </w:r>
          </w:p>
        </w:tc>
        <w:tc>
          <w:tcPr>
            <w:tcW w:w="3780" w:type="dxa"/>
            <w:tcBorders>
              <w:top w:val="nil"/>
              <w:left w:val="nil"/>
              <w:bottom w:val="single" w:sz="4" w:space="0" w:color="auto"/>
              <w:right w:val="single" w:sz="4" w:space="0" w:color="auto"/>
            </w:tcBorders>
            <w:shd w:val="clear" w:color="auto" w:fill="auto"/>
            <w:noWrap/>
            <w:vAlign w:val="center"/>
          </w:tcPr>
          <w:p w14:paraId="46BC871B"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CAG GCA GTC CAT CTC CTG TA</w:t>
            </w:r>
          </w:p>
        </w:tc>
        <w:tc>
          <w:tcPr>
            <w:tcW w:w="1620" w:type="dxa"/>
            <w:tcBorders>
              <w:top w:val="nil"/>
              <w:left w:val="nil"/>
              <w:bottom w:val="single" w:sz="4" w:space="0" w:color="auto"/>
              <w:right w:val="single" w:sz="4" w:space="0" w:color="auto"/>
            </w:tcBorders>
            <w:shd w:val="clear" w:color="auto" w:fill="auto"/>
            <w:noWrap/>
            <w:vAlign w:val="center"/>
          </w:tcPr>
          <w:p w14:paraId="4997E376"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sz w:val="16"/>
                <w:szCs w:val="16"/>
              </w:rPr>
              <w:t>529</w:t>
            </w:r>
          </w:p>
        </w:tc>
        <w:tc>
          <w:tcPr>
            <w:tcW w:w="1620" w:type="dxa"/>
            <w:tcBorders>
              <w:top w:val="nil"/>
              <w:left w:val="nil"/>
              <w:bottom w:val="single" w:sz="4" w:space="0" w:color="auto"/>
              <w:right w:val="single" w:sz="4" w:space="0" w:color="auto"/>
            </w:tcBorders>
            <w:shd w:val="clear" w:color="auto" w:fill="auto"/>
            <w:noWrap/>
            <w:vAlign w:val="center"/>
          </w:tcPr>
          <w:p w14:paraId="62FDF8BC"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443C4074" w14:textId="578CD77B" w:rsidR="00F90100" w:rsidRPr="006C34E3" w:rsidRDefault="00F90100" w:rsidP="00F90100">
            <w:pPr>
              <w:spacing w:before="0" w:after="0"/>
              <w:jc w:val="center"/>
              <w:rPr>
                <w:rFonts w:eastAsia="Times New Roman" w:cs="Times New Roman"/>
                <w:color w:val="000000"/>
                <w:sz w:val="16"/>
                <w:szCs w:val="16"/>
                <w:lang w:val="fr-FR"/>
              </w:rPr>
            </w:pPr>
            <w:r w:rsidRPr="006C34E3">
              <w:rPr>
                <w:rFonts w:eastAsia="Times New Roman" w:cs="Times New Roman"/>
                <w:color w:val="000000"/>
                <w:sz w:val="16"/>
                <w:szCs w:val="16"/>
                <w:lang w:val="fr-FR"/>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lang w:val="fr-FR"/>
              </w:rPr>
              <w:fldChar w:fldCharType="separate"/>
            </w:r>
            <w:r w:rsidR="00C662E9" w:rsidRPr="00C662E9">
              <w:rPr>
                <w:rFonts w:eastAsia="Times New Roman" w:cs="Times New Roman"/>
                <w:noProof/>
                <w:color w:val="000000"/>
                <w:sz w:val="16"/>
                <w:szCs w:val="16"/>
                <w:lang w:val="fr-FR"/>
              </w:rPr>
              <w:t>(Cremonesi et al., 2005)</w:t>
            </w:r>
            <w:r w:rsidRPr="006C34E3">
              <w:rPr>
                <w:rFonts w:eastAsia="Times New Roman" w:cs="Times New Roman"/>
                <w:color w:val="000000"/>
                <w:sz w:val="16"/>
                <w:szCs w:val="16"/>
                <w:lang w:val="fr-FR"/>
              </w:rPr>
              <w:fldChar w:fldCharType="end"/>
            </w:r>
          </w:p>
        </w:tc>
      </w:tr>
      <w:tr w:rsidR="00F90100" w:rsidRPr="006C34E3" w14:paraId="09606553"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405E7F47"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selj</w:t>
            </w:r>
          </w:p>
        </w:tc>
        <w:tc>
          <w:tcPr>
            <w:tcW w:w="720" w:type="dxa"/>
            <w:tcBorders>
              <w:top w:val="nil"/>
              <w:left w:val="nil"/>
              <w:bottom w:val="single" w:sz="4" w:space="0" w:color="auto"/>
              <w:right w:val="single" w:sz="4" w:space="0" w:color="auto"/>
            </w:tcBorders>
            <w:shd w:val="clear" w:color="auto" w:fill="auto"/>
            <w:noWrap/>
            <w:vAlign w:val="center"/>
            <w:hideMark/>
          </w:tcPr>
          <w:p w14:paraId="0445A72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selj-1</w:t>
            </w:r>
          </w:p>
        </w:tc>
        <w:tc>
          <w:tcPr>
            <w:tcW w:w="3690" w:type="dxa"/>
            <w:tcBorders>
              <w:top w:val="nil"/>
              <w:left w:val="nil"/>
              <w:bottom w:val="single" w:sz="4" w:space="0" w:color="auto"/>
              <w:right w:val="single" w:sz="4" w:space="0" w:color="auto"/>
            </w:tcBorders>
            <w:shd w:val="clear" w:color="auto" w:fill="auto"/>
            <w:noWrap/>
            <w:vAlign w:val="center"/>
            <w:hideMark/>
          </w:tcPr>
          <w:p w14:paraId="7F2A4D4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ATA GCA TCA GAA CTG TTG TTC CG</w:t>
            </w:r>
          </w:p>
        </w:tc>
        <w:tc>
          <w:tcPr>
            <w:tcW w:w="3780" w:type="dxa"/>
            <w:tcBorders>
              <w:top w:val="nil"/>
              <w:left w:val="nil"/>
              <w:bottom w:val="single" w:sz="4" w:space="0" w:color="auto"/>
              <w:right w:val="single" w:sz="4" w:space="0" w:color="auto"/>
            </w:tcBorders>
            <w:shd w:val="clear" w:color="auto" w:fill="auto"/>
            <w:noWrap/>
            <w:vAlign w:val="center"/>
            <w:hideMark/>
          </w:tcPr>
          <w:p w14:paraId="14E3428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CTT TCT GAA TTT TAC CAC CAA AGG</w:t>
            </w:r>
          </w:p>
        </w:tc>
        <w:tc>
          <w:tcPr>
            <w:tcW w:w="1620" w:type="dxa"/>
            <w:tcBorders>
              <w:top w:val="nil"/>
              <w:left w:val="nil"/>
              <w:bottom w:val="single" w:sz="4" w:space="0" w:color="auto"/>
              <w:right w:val="single" w:sz="4" w:space="0" w:color="auto"/>
            </w:tcBorders>
            <w:shd w:val="clear" w:color="auto" w:fill="auto"/>
            <w:noWrap/>
            <w:vAlign w:val="center"/>
            <w:hideMark/>
          </w:tcPr>
          <w:p w14:paraId="6D7D3067" w14:textId="77777777" w:rsidR="00F90100" w:rsidRPr="006C34E3" w:rsidRDefault="00F90100" w:rsidP="00F90100">
            <w:pPr>
              <w:spacing w:before="0" w:after="0"/>
              <w:jc w:val="center"/>
              <w:rPr>
                <w:rFonts w:eastAsia="Times New Roman" w:cs="Times New Roman"/>
                <w:color w:val="FF0000"/>
                <w:sz w:val="16"/>
                <w:szCs w:val="16"/>
              </w:rPr>
            </w:pPr>
            <w:r w:rsidRPr="006C34E3">
              <w:rPr>
                <w:rFonts w:eastAsia="Times New Roman" w:cs="Times New Roman"/>
                <w:sz w:val="16"/>
                <w:szCs w:val="16"/>
              </w:rPr>
              <w:t>152</w:t>
            </w:r>
          </w:p>
        </w:tc>
        <w:tc>
          <w:tcPr>
            <w:tcW w:w="1620" w:type="dxa"/>
            <w:tcBorders>
              <w:top w:val="nil"/>
              <w:left w:val="nil"/>
              <w:bottom w:val="single" w:sz="4" w:space="0" w:color="auto"/>
              <w:right w:val="single" w:sz="4" w:space="0" w:color="auto"/>
            </w:tcBorders>
            <w:shd w:val="clear" w:color="auto" w:fill="auto"/>
            <w:noWrap/>
            <w:vAlign w:val="center"/>
            <w:hideMark/>
          </w:tcPr>
          <w:p w14:paraId="76B6D20E" w14:textId="7EAB5411"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5EA55FFD" w14:textId="337DA613"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3C1A608F" w14:textId="77777777" w:rsidTr="00C662E9">
        <w:trPr>
          <w:trHeight w:val="288"/>
        </w:trPr>
        <w:tc>
          <w:tcPr>
            <w:tcW w:w="630" w:type="dxa"/>
            <w:vMerge/>
            <w:tcBorders>
              <w:left w:val="single" w:sz="4" w:space="0" w:color="auto"/>
              <w:right w:val="single" w:sz="4" w:space="0" w:color="auto"/>
            </w:tcBorders>
            <w:vAlign w:val="center"/>
            <w:hideMark/>
          </w:tcPr>
          <w:p w14:paraId="521BD0A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0209D0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selj-2</w:t>
            </w:r>
          </w:p>
        </w:tc>
        <w:tc>
          <w:tcPr>
            <w:tcW w:w="3690" w:type="dxa"/>
            <w:tcBorders>
              <w:top w:val="nil"/>
              <w:left w:val="nil"/>
              <w:bottom w:val="single" w:sz="4" w:space="0" w:color="auto"/>
              <w:right w:val="single" w:sz="4" w:space="0" w:color="auto"/>
            </w:tcBorders>
            <w:shd w:val="clear" w:color="auto" w:fill="auto"/>
            <w:noWrap/>
            <w:vAlign w:val="center"/>
            <w:hideMark/>
          </w:tcPr>
          <w:p w14:paraId="4E34701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CTG GTG GTA AAC CA</w:t>
            </w:r>
          </w:p>
        </w:tc>
        <w:tc>
          <w:tcPr>
            <w:tcW w:w="3780" w:type="dxa"/>
            <w:tcBorders>
              <w:top w:val="nil"/>
              <w:left w:val="nil"/>
              <w:bottom w:val="single" w:sz="4" w:space="0" w:color="auto"/>
              <w:right w:val="single" w:sz="4" w:space="0" w:color="auto"/>
            </w:tcBorders>
            <w:shd w:val="clear" w:color="auto" w:fill="auto"/>
            <w:noWrap/>
            <w:vAlign w:val="center"/>
            <w:hideMark/>
          </w:tcPr>
          <w:p w14:paraId="4CBC8FF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GCG GAA CAA CAG TTC TGA</w:t>
            </w:r>
          </w:p>
        </w:tc>
        <w:tc>
          <w:tcPr>
            <w:tcW w:w="1620" w:type="dxa"/>
            <w:tcBorders>
              <w:top w:val="nil"/>
              <w:left w:val="nil"/>
              <w:bottom w:val="single" w:sz="4" w:space="0" w:color="auto"/>
              <w:right w:val="single" w:sz="4" w:space="0" w:color="auto"/>
            </w:tcBorders>
            <w:shd w:val="clear" w:color="auto" w:fill="auto"/>
            <w:noWrap/>
            <w:vAlign w:val="center"/>
            <w:hideMark/>
          </w:tcPr>
          <w:p w14:paraId="78ED169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131</w:t>
            </w:r>
          </w:p>
        </w:tc>
        <w:tc>
          <w:tcPr>
            <w:tcW w:w="1620" w:type="dxa"/>
            <w:tcBorders>
              <w:top w:val="nil"/>
              <w:left w:val="nil"/>
              <w:bottom w:val="single" w:sz="4" w:space="0" w:color="auto"/>
              <w:right w:val="single" w:sz="4" w:space="0" w:color="auto"/>
            </w:tcBorders>
            <w:shd w:val="clear" w:color="auto" w:fill="auto"/>
            <w:noWrap/>
            <w:vAlign w:val="center"/>
            <w:hideMark/>
          </w:tcPr>
          <w:p w14:paraId="3A883004"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15A6D3DC" w14:textId="5CEE782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MLVA","type":"article-journal","volume":"6"},"uris":["http://www.mendeley.com/documents/?uuid=fc1715b7-49a3-4430-b1bf-38feeadd5075"]}],"mendeley":{"formattedCitation":"(Bania et al., 2006; Roussel et al., 2015)","plainTextFormattedCitation":"(Bania et al., 2006; Roussel et al., 2015)","previouslyFormattedCitation":"(Bania et al., 2006;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 Roussel et al., 2015)</w:t>
            </w:r>
            <w:r w:rsidRPr="006C34E3">
              <w:rPr>
                <w:rFonts w:eastAsia="Times New Roman" w:cs="Times New Roman"/>
                <w:color w:val="000000"/>
                <w:sz w:val="16"/>
                <w:szCs w:val="16"/>
              </w:rPr>
              <w:fldChar w:fldCharType="end"/>
            </w:r>
          </w:p>
        </w:tc>
      </w:tr>
      <w:tr w:rsidR="00F90100" w:rsidRPr="006C34E3" w14:paraId="6C2A4E5C" w14:textId="77777777" w:rsidTr="00C662E9">
        <w:trPr>
          <w:trHeight w:val="288"/>
        </w:trPr>
        <w:tc>
          <w:tcPr>
            <w:tcW w:w="630" w:type="dxa"/>
            <w:vMerge/>
            <w:tcBorders>
              <w:left w:val="single" w:sz="4" w:space="0" w:color="auto"/>
              <w:right w:val="single" w:sz="4" w:space="0" w:color="auto"/>
            </w:tcBorders>
            <w:vAlign w:val="center"/>
            <w:hideMark/>
          </w:tcPr>
          <w:p w14:paraId="5AF72C4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76ABA4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selj-3</w:t>
            </w:r>
          </w:p>
        </w:tc>
        <w:tc>
          <w:tcPr>
            <w:tcW w:w="3690" w:type="dxa"/>
            <w:tcBorders>
              <w:top w:val="nil"/>
              <w:left w:val="nil"/>
              <w:bottom w:val="single" w:sz="4" w:space="0" w:color="auto"/>
              <w:right w:val="single" w:sz="4" w:space="0" w:color="auto"/>
            </w:tcBorders>
            <w:shd w:val="clear" w:color="auto" w:fill="auto"/>
            <w:noWrap/>
            <w:vAlign w:val="center"/>
            <w:hideMark/>
          </w:tcPr>
          <w:p w14:paraId="3479BDE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GAA CTG TTG TTC CGC TAG</w:t>
            </w:r>
          </w:p>
        </w:tc>
        <w:tc>
          <w:tcPr>
            <w:tcW w:w="3780" w:type="dxa"/>
            <w:tcBorders>
              <w:top w:val="nil"/>
              <w:left w:val="nil"/>
              <w:bottom w:val="single" w:sz="4" w:space="0" w:color="auto"/>
              <w:right w:val="single" w:sz="4" w:space="0" w:color="auto"/>
            </w:tcBorders>
            <w:shd w:val="clear" w:color="auto" w:fill="auto"/>
            <w:noWrap/>
            <w:vAlign w:val="center"/>
            <w:hideMark/>
          </w:tcPr>
          <w:p w14:paraId="3D779EB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TTT TAC CAY CAA AGG TAC</w:t>
            </w:r>
          </w:p>
        </w:tc>
        <w:tc>
          <w:tcPr>
            <w:tcW w:w="1620" w:type="dxa"/>
            <w:tcBorders>
              <w:top w:val="nil"/>
              <w:left w:val="nil"/>
              <w:bottom w:val="single" w:sz="4" w:space="0" w:color="auto"/>
              <w:right w:val="single" w:sz="4" w:space="0" w:color="auto"/>
            </w:tcBorders>
            <w:shd w:val="clear" w:color="auto" w:fill="auto"/>
            <w:noWrap/>
            <w:vAlign w:val="center"/>
            <w:hideMark/>
          </w:tcPr>
          <w:p w14:paraId="31108AC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138</w:t>
            </w:r>
          </w:p>
        </w:tc>
        <w:tc>
          <w:tcPr>
            <w:tcW w:w="1620" w:type="dxa"/>
            <w:tcBorders>
              <w:top w:val="nil"/>
              <w:left w:val="nil"/>
              <w:bottom w:val="single" w:sz="4" w:space="0" w:color="auto"/>
              <w:right w:val="single" w:sz="4" w:space="0" w:color="auto"/>
            </w:tcBorders>
            <w:shd w:val="clear" w:color="auto" w:fill="auto"/>
            <w:noWrap/>
            <w:vAlign w:val="center"/>
            <w:hideMark/>
          </w:tcPr>
          <w:p w14:paraId="62A7D16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B19143D" w14:textId="5BA9FE3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408F736C" w14:textId="77777777" w:rsidTr="00C662E9">
        <w:trPr>
          <w:trHeight w:val="288"/>
        </w:trPr>
        <w:tc>
          <w:tcPr>
            <w:tcW w:w="630" w:type="dxa"/>
            <w:vMerge/>
            <w:tcBorders>
              <w:left w:val="single" w:sz="4" w:space="0" w:color="auto"/>
              <w:right w:val="single" w:sz="4" w:space="0" w:color="auto"/>
            </w:tcBorders>
            <w:vAlign w:val="center"/>
            <w:hideMark/>
          </w:tcPr>
          <w:p w14:paraId="2E0D1656"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71E9EE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selj-4</w:t>
            </w:r>
          </w:p>
        </w:tc>
        <w:tc>
          <w:tcPr>
            <w:tcW w:w="3690" w:type="dxa"/>
            <w:tcBorders>
              <w:top w:val="nil"/>
              <w:left w:val="nil"/>
              <w:bottom w:val="single" w:sz="4" w:space="0" w:color="auto"/>
              <w:right w:val="single" w:sz="4" w:space="0" w:color="auto"/>
            </w:tcBorders>
            <w:shd w:val="clear" w:color="auto" w:fill="auto"/>
            <w:noWrap/>
            <w:vAlign w:val="center"/>
            <w:hideMark/>
          </w:tcPr>
          <w:p w14:paraId="7CC316E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CAG AAC TGT TGT TCC GCT AG</w:t>
            </w:r>
          </w:p>
        </w:tc>
        <w:tc>
          <w:tcPr>
            <w:tcW w:w="3780" w:type="dxa"/>
            <w:tcBorders>
              <w:top w:val="nil"/>
              <w:left w:val="nil"/>
              <w:bottom w:val="single" w:sz="4" w:space="0" w:color="auto"/>
              <w:right w:val="single" w:sz="4" w:space="0" w:color="auto"/>
            </w:tcBorders>
            <w:shd w:val="clear" w:color="auto" w:fill="auto"/>
            <w:noWrap/>
            <w:vAlign w:val="center"/>
            <w:hideMark/>
          </w:tcPr>
          <w:p w14:paraId="63536A7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CTG AAT TTT ACC ATC AAA GGT AC</w:t>
            </w:r>
          </w:p>
        </w:tc>
        <w:tc>
          <w:tcPr>
            <w:tcW w:w="1620" w:type="dxa"/>
            <w:tcBorders>
              <w:top w:val="nil"/>
              <w:left w:val="nil"/>
              <w:bottom w:val="single" w:sz="4" w:space="0" w:color="auto"/>
              <w:right w:val="single" w:sz="4" w:space="0" w:color="auto"/>
            </w:tcBorders>
            <w:shd w:val="clear" w:color="auto" w:fill="auto"/>
            <w:noWrap/>
            <w:vAlign w:val="center"/>
            <w:hideMark/>
          </w:tcPr>
          <w:p w14:paraId="12287ED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142</w:t>
            </w:r>
          </w:p>
        </w:tc>
        <w:tc>
          <w:tcPr>
            <w:tcW w:w="1620" w:type="dxa"/>
            <w:tcBorders>
              <w:top w:val="nil"/>
              <w:left w:val="nil"/>
              <w:bottom w:val="single" w:sz="4" w:space="0" w:color="auto"/>
              <w:right w:val="single" w:sz="4" w:space="0" w:color="auto"/>
            </w:tcBorders>
            <w:shd w:val="clear" w:color="auto" w:fill="auto"/>
            <w:noWrap/>
            <w:vAlign w:val="center"/>
            <w:hideMark/>
          </w:tcPr>
          <w:p w14:paraId="36970AF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B8CB883" w14:textId="20972B2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{"citationItems":[{"id":"ITEM-1","itemData":{"DOI":"10.1128/JCM.37.10.3411-3414.1999","ISSN":"0095-1137","PMID":"10488222","abstract":"Staphylococcus aureus may contain one or more genes that encode a variety of immunomodulatory pyrogenic toxins (PTs), including the staphylococcal enterotoxins and toxic shock syndrome toxin (TSST). The PTs interact with several cellular targets to produce disease, such as food poisoning and toxic shock syndrome. At present, nine serologically distinct enterotoxins and one immunoreactive form of TSST have been identified and characterized. As isolates of S. aureus are further assessed, it is anticipated that this number will increase. To facilitate screening, a multiplex PCR was designed to simultaneously determine which of these 10 currently known PT genes an individual S. aureus isolate possesses. We show here, using S. aureus isolates with characterized PT phenotypes, that this novel PCR technique reliably detects each of the known PTs in a single reaction.","author":[{"dropping-particle":"","family":"Monday","given":"Steven R.","non-dropping-particle":"","parse-names":false,"suffix":""},{"dropping-particle":"","family":"Bohach","given":"Gregory A.","non-dropping-particle":"","parse-names":false,"suffix":""}],"container-title":"Journal of Clinical Microbiology","id":"ITEM-1","issue":"10","issued":{"date-parts":[["1999","10"]]},"page":"3411-3414","title":"Use of Multiplex PCR To Detect Classical and Newly Described Pyrogenic Toxin Genes in Staphylococcal Isolates","type":"article-journal","volume":"37"},"uris":["http://www.mendeley.com/documents/?uuid=71f9e660-af03-4789-8b83-5f42c83ec8f1"]}],"mendeley":{"formattedCitation":"(Monday and Bohach, 1999)","plainTextFormattedCitation":"(Monday and Bohach, 1999)","previouslyFormattedCitation":"(Monday and Bohach, 1999)"},"properties":{"noteIndex":0},"schema":"https://github.com/citation-style-language/schema/raw/master/csl-citation.json"}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(Monday and Bohach, 1999)</w:t>
            </w:r>
            <w:r w:rsidRPr="006C34E3">
              <w:rPr>
                <w:rFonts w:eastAsia="Times New Roman" w:cs="Times New Roman"/>
                <w:color w:val="000000"/>
                <w:sz w:val="16"/>
                <w:szCs w:val="16"/>
              </w:rPr>
              <w:fldChar w:fldCharType="end"/>
            </w:r>
          </w:p>
        </w:tc>
      </w:tr>
      <w:tr w:rsidR="00F90100" w:rsidRPr="006C34E3" w14:paraId="76CF70FA" w14:textId="77777777" w:rsidTr="00C662E9">
        <w:trPr>
          <w:trHeight w:val="288"/>
        </w:trPr>
        <w:tc>
          <w:tcPr>
            <w:tcW w:w="630" w:type="dxa"/>
            <w:vMerge/>
            <w:tcBorders>
              <w:left w:val="single" w:sz="4" w:space="0" w:color="auto"/>
              <w:right w:val="single" w:sz="4" w:space="0" w:color="auto"/>
            </w:tcBorders>
            <w:vAlign w:val="center"/>
            <w:hideMark/>
          </w:tcPr>
          <w:p w14:paraId="5A4BDD6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B79E38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selj-5</w:t>
            </w:r>
          </w:p>
        </w:tc>
        <w:tc>
          <w:tcPr>
            <w:tcW w:w="3690" w:type="dxa"/>
            <w:tcBorders>
              <w:top w:val="nil"/>
              <w:left w:val="nil"/>
              <w:bottom w:val="single" w:sz="4" w:space="0" w:color="auto"/>
              <w:right w:val="single" w:sz="4" w:space="0" w:color="auto"/>
            </w:tcBorders>
            <w:shd w:val="clear" w:color="auto" w:fill="auto"/>
            <w:noWrap/>
            <w:vAlign w:val="center"/>
            <w:hideMark/>
          </w:tcPr>
          <w:p w14:paraId="7E1B935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TAA CCT CAG ACA TAT ATA CTT CTT TAA CG</w:t>
            </w:r>
          </w:p>
        </w:tc>
        <w:tc>
          <w:tcPr>
            <w:tcW w:w="3780" w:type="dxa"/>
            <w:tcBorders>
              <w:top w:val="nil"/>
              <w:left w:val="nil"/>
              <w:bottom w:val="single" w:sz="4" w:space="0" w:color="auto"/>
              <w:right w:val="single" w:sz="4" w:space="0" w:color="auto"/>
            </w:tcBorders>
            <w:shd w:val="clear" w:color="auto" w:fill="auto"/>
            <w:noWrap/>
            <w:vAlign w:val="center"/>
            <w:hideMark/>
          </w:tcPr>
          <w:p w14:paraId="02EFE81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AGT ATC ATA AAG TTG ATT GTT TTC ATG CAG</w:t>
            </w:r>
          </w:p>
        </w:tc>
        <w:tc>
          <w:tcPr>
            <w:tcW w:w="1620" w:type="dxa"/>
            <w:tcBorders>
              <w:top w:val="nil"/>
              <w:left w:val="nil"/>
              <w:bottom w:val="single" w:sz="4" w:space="0" w:color="auto"/>
              <w:right w:val="single" w:sz="4" w:space="0" w:color="auto"/>
            </w:tcBorders>
            <w:shd w:val="clear" w:color="auto" w:fill="auto"/>
            <w:noWrap/>
            <w:vAlign w:val="center"/>
            <w:hideMark/>
          </w:tcPr>
          <w:p w14:paraId="48A6930A" w14:textId="77777777" w:rsidR="00F90100" w:rsidRPr="006C34E3" w:rsidRDefault="00F90100" w:rsidP="00F90100">
            <w:pPr>
              <w:spacing w:before="0" w:after="0"/>
              <w:jc w:val="center"/>
              <w:rPr>
                <w:rFonts w:eastAsia="Times New Roman" w:cs="Times New Roman"/>
                <w:color w:val="FF0000"/>
                <w:sz w:val="16"/>
                <w:szCs w:val="16"/>
              </w:rPr>
            </w:pPr>
            <w:r w:rsidRPr="006C34E3">
              <w:rPr>
                <w:rFonts w:eastAsia="Times New Roman" w:cs="Times New Roman"/>
                <w:sz w:val="16"/>
                <w:szCs w:val="16"/>
              </w:rPr>
              <w:t>300</w:t>
            </w:r>
          </w:p>
        </w:tc>
        <w:tc>
          <w:tcPr>
            <w:tcW w:w="1620" w:type="dxa"/>
            <w:tcBorders>
              <w:top w:val="nil"/>
              <w:left w:val="nil"/>
              <w:bottom w:val="single" w:sz="4" w:space="0" w:color="auto"/>
              <w:right w:val="single" w:sz="4" w:space="0" w:color="auto"/>
            </w:tcBorders>
            <w:shd w:val="clear" w:color="auto" w:fill="auto"/>
            <w:noWrap/>
            <w:vAlign w:val="center"/>
            <w:hideMark/>
          </w:tcPr>
          <w:p w14:paraId="3963CFAF"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Divergent amplicon size: 295bp</w:t>
            </w:r>
          </w:p>
        </w:tc>
        <w:tc>
          <w:tcPr>
            <w:tcW w:w="1530" w:type="dxa"/>
            <w:tcBorders>
              <w:top w:val="nil"/>
              <w:left w:val="nil"/>
              <w:bottom w:val="single" w:sz="4" w:space="0" w:color="auto"/>
              <w:right w:val="single" w:sz="4" w:space="0" w:color="auto"/>
            </w:tcBorders>
            <w:shd w:val="clear" w:color="auto" w:fill="auto"/>
            <w:noWrap/>
            <w:vAlign w:val="center"/>
            <w:hideMark/>
          </w:tcPr>
          <w:p w14:paraId="45235061" w14:textId="5FBAD2BC"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76D110B5" w14:textId="77777777" w:rsidTr="00C662E9">
        <w:trPr>
          <w:trHeight w:val="288"/>
        </w:trPr>
        <w:tc>
          <w:tcPr>
            <w:tcW w:w="630" w:type="dxa"/>
            <w:vMerge/>
            <w:tcBorders>
              <w:left w:val="single" w:sz="4" w:space="0" w:color="auto"/>
              <w:right w:val="single" w:sz="4" w:space="0" w:color="auto"/>
            </w:tcBorders>
            <w:vAlign w:val="center"/>
            <w:hideMark/>
          </w:tcPr>
          <w:p w14:paraId="0F2E1B9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6E416C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selj-6</w:t>
            </w:r>
          </w:p>
        </w:tc>
        <w:tc>
          <w:tcPr>
            <w:tcW w:w="3690" w:type="dxa"/>
            <w:tcBorders>
              <w:top w:val="nil"/>
              <w:left w:val="nil"/>
              <w:bottom w:val="single" w:sz="4" w:space="0" w:color="auto"/>
              <w:right w:val="single" w:sz="4" w:space="0" w:color="auto"/>
            </w:tcBorders>
            <w:shd w:val="clear" w:color="auto" w:fill="auto"/>
            <w:noWrap/>
            <w:vAlign w:val="center"/>
            <w:hideMark/>
          </w:tcPr>
          <w:p w14:paraId="274B150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ACG AAA AGG GTA TCT CTG AA</w:t>
            </w:r>
          </w:p>
        </w:tc>
        <w:tc>
          <w:tcPr>
            <w:tcW w:w="3780" w:type="dxa"/>
            <w:tcBorders>
              <w:top w:val="nil"/>
              <w:left w:val="nil"/>
              <w:bottom w:val="single" w:sz="4" w:space="0" w:color="auto"/>
              <w:right w:val="single" w:sz="4" w:space="0" w:color="auto"/>
            </w:tcBorders>
            <w:shd w:val="clear" w:color="auto" w:fill="auto"/>
            <w:noWrap/>
            <w:vAlign w:val="center"/>
            <w:hideMark/>
          </w:tcPr>
          <w:p w14:paraId="067393A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ACA GAA CCA AAG GTA GAC TT</w:t>
            </w:r>
          </w:p>
        </w:tc>
        <w:tc>
          <w:tcPr>
            <w:tcW w:w="1620" w:type="dxa"/>
            <w:tcBorders>
              <w:top w:val="nil"/>
              <w:left w:val="nil"/>
              <w:bottom w:val="single" w:sz="4" w:space="0" w:color="auto"/>
              <w:right w:val="single" w:sz="4" w:space="0" w:color="auto"/>
            </w:tcBorders>
            <w:shd w:val="clear" w:color="auto" w:fill="auto"/>
            <w:noWrap/>
            <w:vAlign w:val="center"/>
            <w:hideMark/>
          </w:tcPr>
          <w:p w14:paraId="1AF33D4A"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636</w:t>
            </w:r>
          </w:p>
        </w:tc>
        <w:tc>
          <w:tcPr>
            <w:tcW w:w="1620" w:type="dxa"/>
            <w:tcBorders>
              <w:top w:val="nil"/>
              <w:left w:val="nil"/>
              <w:bottom w:val="single" w:sz="4" w:space="0" w:color="auto"/>
              <w:right w:val="single" w:sz="4" w:space="0" w:color="auto"/>
            </w:tcBorders>
            <w:shd w:val="clear" w:color="auto" w:fill="auto"/>
            <w:noWrap/>
            <w:vAlign w:val="center"/>
            <w:hideMark/>
          </w:tcPr>
          <w:p w14:paraId="0083036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D26066B" w14:textId="02E50AF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789F5734" w14:textId="77777777" w:rsidTr="00C662E9">
        <w:trPr>
          <w:trHeight w:val="288"/>
        </w:trPr>
        <w:tc>
          <w:tcPr>
            <w:tcW w:w="630" w:type="dxa"/>
            <w:vMerge/>
            <w:tcBorders>
              <w:left w:val="single" w:sz="4" w:space="0" w:color="auto"/>
              <w:bottom w:val="single" w:sz="4" w:space="0" w:color="000000"/>
              <w:right w:val="single" w:sz="4" w:space="0" w:color="auto"/>
            </w:tcBorders>
            <w:vAlign w:val="center"/>
          </w:tcPr>
          <w:p w14:paraId="4D7AF34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00D2D61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selj-7</w:t>
            </w:r>
          </w:p>
        </w:tc>
        <w:tc>
          <w:tcPr>
            <w:tcW w:w="3690" w:type="dxa"/>
            <w:tcBorders>
              <w:top w:val="nil"/>
              <w:left w:val="nil"/>
              <w:bottom w:val="single" w:sz="4" w:space="0" w:color="auto"/>
              <w:right w:val="single" w:sz="4" w:space="0" w:color="auto"/>
            </w:tcBorders>
            <w:shd w:val="clear" w:color="auto" w:fill="auto"/>
            <w:noWrap/>
            <w:vAlign w:val="center"/>
          </w:tcPr>
          <w:p w14:paraId="336AE84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GGT TTT CAA TGT TCT GGT GGT</w:t>
            </w:r>
          </w:p>
        </w:tc>
        <w:tc>
          <w:tcPr>
            <w:tcW w:w="3780" w:type="dxa"/>
            <w:tcBorders>
              <w:top w:val="nil"/>
              <w:left w:val="nil"/>
              <w:bottom w:val="single" w:sz="4" w:space="0" w:color="auto"/>
              <w:right w:val="single" w:sz="4" w:space="0" w:color="auto"/>
            </w:tcBorders>
            <w:shd w:val="clear" w:color="auto" w:fill="auto"/>
            <w:noWrap/>
            <w:vAlign w:val="center"/>
          </w:tcPr>
          <w:p w14:paraId="275E863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AAC CAA CGG TTC TTT TGA GG</w:t>
            </w:r>
          </w:p>
        </w:tc>
        <w:tc>
          <w:tcPr>
            <w:tcW w:w="1620" w:type="dxa"/>
            <w:tcBorders>
              <w:top w:val="nil"/>
              <w:left w:val="nil"/>
              <w:bottom w:val="single" w:sz="4" w:space="0" w:color="auto"/>
              <w:right w:val="single" w:sz="4" w:space="0" w:color="auto"/>
            </w:tcBorders>
            <w:shd w:val="clear" w:color="auto" w:fill="auto"/>
            <w:noWrap/>
            <w:vAlign w:val="center"/>
          </w:tcPr>
          <w:p w14:paraId="704F28A8"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sz w:val="16"/>
                <w:szCs w:val="16"/>
              </w:rPr>
              <w:t>306</w:t>
            </w:r>
          </w:p>
        </w:tc>
        <w:tc>
          <w:tcPr>
            <w:tcW w:w="1620" w:type="dxa"/>
            <w:tcBorders>
              <w:top w:val="nil"/>
              <w:left w:val="nil"/>
              <w:bottom w:val="single" w:sz="4" w:space="0" w:color="auto"/>
              <w:right w:val="single" w:sz="4" w:space="0" w:color="auto"/>
            </w:tcBorders>
            <w:shd w:val="clear" w:color="auto" w:fill="auto"/>
            <w:noWrap/>
            <w:vAlign w:val="center"/>
          </w:tcPr>
          <w:p w14:paraId="27D79A39"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15444F35" w14:textId="269023F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(Cremonesi et al., 2005)</w:t>
            </w:r>
            <w:r w:rsidRPr="006C34E3">
              <w:rPr>
                <w:rFonts w:eastAsia="Times New Roman" w:cs="Times New Roman"/>
                <w:color w:val="000000"/>
                <w:sz w:val="16"/>
                <w:szCs w:val="16"/>
              </w:rPr>
              <w:fldChar w:fldCharType="end"/>
            </w:r>
          </w:p>
        </w:tc>
      </w:tr>
      <w:tr w:rsidR="00F90100" w:rsidRPr="006C34E3" w14:paraId="31D4309A"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3E15384"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sek</w:t>
            </w:r>
          </w:p>
        </w:tc>
        <w:tc>
          <w:tcPr>
            <w:tcW w:w="720" w:type="dxa"/>
            <w:tcBorders>
              <w:top w:val="nil"/>
              <w:left w:val="nil"/>
              <w:bottom w:val="single" w:sz="4" w:space="0" w:color="auto"/>
              <w:right w:val="single" w:sz="4" w:space="0" w:color="auto"/>
            </w:tcBorders>
            <w:shd w:val="clear" w:color="auto" w:fill="auto"/>
            <w:noWrap/>
            <w:vAlign w:val="center"/>
            <w:hideMark/>
          </w:tcPr>
          <w:p w14:paraId="464D988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sek-1</w:t>
            </w:r>
          </w:p>
        </w:tc>
        <w:tc>
          <w:tcPr>
            <w:tcW w:w="3690" w:type="dxa"/>
            <w:tcBorders>
              <w:top w:val="nil"/>
              <w:left w:val="nil"/>
              <w:bottom w:val="single" w:sz="4" w:space="0" w:color="auto"/>
              <w:right w:val="single" w:sz="4" w:space="0" w:color="auto"/>
            </w:tcBorders>
            <w:shd w:val="clear" w:color="auto" w:fill="auto"/>
            <w:noWrap/>
            <w:vAlign w:val="center"/>
            <w:hideMark/>
          </w:tcPr>
          <w:p w14:paraId="29E1B8B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TAG GTG TCT CTA ATA ATG CCA</w:t>
            </w:r>
          </w:p>
        </w:tc>
        <w:tc>
          <w:tcPr>
            <w:tcW w:w="3780" w:type="dxa"/>
            <w:tcBorders>
              <w:top w:val="nil"/>
              <w:left w:val="nil"/>
              <w:bottom w:val="single" w:sz="4" w:space="0" w:color="auto"/>
              <w:right w:val="single" w:sz="4" w:space="0" w:color="auto"/>
            </w:tcBorders>
            <w:shd w:val="clear" w:color="auto" w:fill="auto"/>
            <w:noWrap/>
            <w:vAlign w:val="center"/>
            <w:hideMark/>
          </w:tcPr>
          <w:p w14:paraId="5377B1A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TAG ATA TTC GTT AGT AGC TG</w:t>
            </w:r>
          </w:p>
        </w:tc>
        <w:tc>
          <w:tcPr>
            <w:tcW w:w="1620" w:type="dxa"/>
            <w:tcBorders>
              <w:top w:val="nil"/>
              <w:left w:val="nil"/>
              <w:bottom w:val="single" w:sz="4" w:space="0" w:color="auto"/>
              <w:right w:val="single" w:sz="4" w:space="0" w:color="auto"/>
            </w:tcBorders>
            <w:shd w:val="clear" w:color="auto" w:fill="auto"/>
            <w:noWrap/>
            <w:vAlign w:val="center"/>
            <w:hideMark/>
          </w:tcPr>
          <w:p w14:paraId="31E7FCF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293</w:t>
            </w:r>
          </w:p>
        </w:tc>
        <w:tc>
          <w:tcPr>
            <w:tcW w:w="1620" w:type="dxa"/>
            <w:tcBorders>
              <w:top w:val="nil"/>
              <w:left w:val="nil"/>
              <w:bottom w:val="single" w:sz="4" w:space="0" w:color="auto"/>
              <w:right w:val="single" w:sz="4" w:space="0" w:color="auto"/>
            </w:tcBorders>
            <w:shd w:val="clear" w:color="auto" w:fill="auto"/>
            <w:noWrap/>
            <w:vAlign w:val="center"/>
            <w:hideMark/>
          </w:tcPr>
          <w:p w14:paraId="2BE11FCC"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768D9D30" w14:textId="12A3932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1F7169A8"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45948A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0451E2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sek-2</w:t>
            </w:r>
          </w:p>
        </w:tc>
        <w:tc>
          <w:tcPr>
            <w:tcW w:w="3690" w:type="dxa"/>
            <w:tcBorders>
              <w:top w:val="nil"/>
              <w:left w:val="nil"/>
              <w:bottom w:val="single" w:sz="4" w:space="0" w:color="auto"/>
              <w:right w:val="single" w:sz="4" w:space="0" w:color="auto"/>
            </w:tcBorders>
            <w:shd w:val="clear" w:color="auto" w:fill="auto"/>
            <w:noWrap/>
            <w:vAlign w:val="center"/>
            <w:hideMark/>
          </w:tcPr>
          <w:p w14:paraId="56A2EF86"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GGA GAA AAG GCA ATG AA</w:t>
            </w:r>
          </w:p>
        </w:tc>
        <w:tc>
          <w:tcPr>
            <w:tcW w:w="3780" w:type="dxa"/>
            <w:tcBorders>
              <w:top w:val="nil"/>
              <w:left w:val="nil"/>
              <w:bottom w:val="single" w:sz="4" w:space="0" w:color="auto"/>
              <w:right w:val="single" w:sz="4" w:space="0" w:color="auto"/>
            </w:tcBorders>
            <w:shd w:val="clear" w:color="auto" w:fill="auto"/>
            <w:noWrap/>
            <w:vAlign w:val="center"/>
            <w:hideMark/>
          </w:tcPr>
          <w:p w14:paraId="43CBBF59" w14:textId="77777777" w:rsidR="00F90100" w:rsidRPr="00634D63" w:rsidRDefault="00F90100" w:rsidP="00F90100">
            <w:pPr>
              <w:spacing w:before="0" w:after="0"/>
              <w:jc w:val="center"/>
              <w:rPr>
                <w:rFonts w:eastAsia="Times New Roman" w:cs="Times New Roman"/>
                <w:sz w:val="16"/>
                <w:szCs w:val="16"/>
                <w:lang w:val="de-DE"/>
              </w:rPr>
            </w:pPr>
            <w:r w:rsidRPr="00634D63">
              <w:rPr>
                <w:rFonts w:eastAsia="Times New Roman" w:cs="Times New Roman"/>
                <w:sz w:val="16"/>
                <w:szCs w:val="16"/>
                <w:lang w:val="de-DE"/>
              </w:rPr>
              <w:t>TAG TGC CGT TAT GTC CA</w:t>
            </w:r>
          </w:p>
        </w:tc>
        <w:tc>
          <w:tcPr>
            <w:tcW w:w="1620" w:type="dxa"/>
            <w:tcBorders>
              <w:top w:val="nil"/>
              <w:left w:val="nil"/>
              <w:bottom w:val="single" w:sz="4" w:space="0" w:color="auto"/>
              <w:right w:val="single" w:sz="4" w:space="0" w:color="auto"/>
            </w:tcBorders>
            <w:shd w:val="clear" w:color="auto" w:fill="auto"/>
            <w:noWrap/>
            <w:vAlign w:val="center"/>
            <w:hideMark/>
          </w:tcPr>
          <w:p w14:paraId="7A7880B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516</w:t>
            </w:r>
          </w:p>
        </w:tc>
        <w:tc>
          <w:tcPr>
            <w:tcW w:w="1620" w:type="dxa"/>
            <w:tcBorders>
              <w:top w:val="nil"/>
              <w:left w:val="nil"/>
              <w:bottom w:val="single" w:sz="4" w:space="0" w:color="auto"/>
              <w:right w:val="single" w:sz="4" w:space="0" w:color="auto"/>
            </w:tcBorders>
            <w:shd w:val="clear" w:color="auto" w:fill="auto"/>
            <w:noWrap/>
            <w:vAlign w:val="center"/>
            <w:hideMark/>
          </w:tcPr>
          <w:p w14:paraId="7BEFB07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551D552" w14:textId="39D9817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food","type":"article-journal","volume":"108"},"uris":["http://www.mendeley.com/documents/?uuid=1e30e41a-d5d6-4d0d-89db-dfba48254266"]}],"mendeley":{"formattedCitation":"(Bania et al., 2006)","plainTextFormattedCitation":"(Bania et al., 2006)","previouslyFormattedCitation":"(Bania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w:t>
            </w:r>
            <w:r w:rsidRPr="006C34E3">
              <w:rPr>
                <w:rFonts w:eastAsia="Times New Roman" w:cs="Times New Roman"/>
                <w:color w:val="000000"/>
                <w:sz w:val="16"/>
                <w:szCs w:val="16"/>
              </w:rPr>
              <w:fldChar w:fldCharType="end"/>
            </w:r>
          </w:p>
        </w:tc>
      </w:tr>
      <w:tr w:rsidR="00F90100" w:rsidRPr="006C34E3" w14:paraId="54ACDE75"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5CEF14B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5AFAA3A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sek-3</w:t>
            </w:r>
          </w:p>
        </w:tc>
        <w:tc>
          <w:tcPr>
            <w:tcW w:w="3690" w:type="dxa"/>
            <w:tcBorders>
              <w:top w:val="nil"/>
              <w:left w:val="nil"/>
              <w:bottom w:val="single" w:sz="4" w:space="0" w:color="auto"/>
              <w:right w:val="single" w:sz="4" w:space="0" w:color="auto"/>
            </w:tcBorders>
            <w:shd w:val="clear" w:color="000000" w:fill="E7E6E6"/>
            <w:noWrap/>
            <w:vAlign w:val="center"/>
            <w:hideMark/>
          </w:tcPr>
          <w:p w14:paraId="5C64D1B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CGA CAT CCA AAT GGA ATT TCT CAG ACT CTA CAG</w:t>
            </w:r>
          </w:p>
        </w:tc>
        <w:tc>
          <w:tcPr>
            <w:tcW w:w="3780" w:type="dxa"/>
            <w:tcBorders>
              <w:top w:val="nil"/>
              <w:left w:val="nil"/>
              <w:bottom w:val="single" w:sz="4" w:space="0" w:color="auto"/>
              <w:right w:val="single" w:sz="4" w:space="0" w:color="auto"/>
            </w:tcBorders>
            <w:shd w:val="clear" w:color="000000" w:fill="E7E6E6"/>
            <w:noWrap/>
            <w:vAlign w:val="center"/>
            <w:hideMark/>
          </w:tcPr>
          <w:p w14:paraId="22CF804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GCA GAG AAT TTT CAT TTG GAT GTA GAG ATT TCA TAT GAG</w:t>
            </w:r>
          </w:p>
        </w:tc>
        <w:tc>
          <w:tcPr>
            <w:tcW w:w="1620" w:type="dxa"/>
            <w:tcBorders>
              <w:top w:val="nil"/>
              <w:left w:val="nil"/>
              <w:bottom w:val="single" w:sz="4" w:space="0" w:color="auto"/>
              <w:right w:val="single" w:sz="4" w:space="0" w:color="auto"/>
            </w:tcBorders>
            <w:shd w:val="clear" w:color="000000" w:fill="E7E6E6"/>
            <w:noWrap/>
            <w:vAlign w:val="center"/>
            <w:hideMark/>
          </w:tcPr>
          <w:p w14:paraId="0D79E3BD"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46</w:t>
            </w:r>
          </w:p>
        </w:tc>
        <w:tc>
          <w:tcPr>
            <w:tcW w:w="1620" w:type="dxa"/>
            <w:tcBorders>
              <w:top w:val="nil"/>
              <w:left w:val="nil"/>
              <w:bottom w:val="single" w:sz="4" w:space="0" w:color="auto"/>
              <w:right w:val="single" w:sz="4" w:space="0" w:color="auto"/>
            </w:tcBorders>
            <w:shd w:val="clear" w:color="000000" w:fill="E7E6E6"/>
            <w:noWrap/>
            <w:vAlign w:val="center"/>
            <w:hideMark/>
          </w:tcPr>
          <w:p w14:paraId="1822945E"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Aspecific detection of </w:t>
            </w:r>
            <w:r w:rsidRPr="006C34E3">
              <w:rPr>
                <w:rFonts w:eastAsia="Times New Roman" w:cs="Times New Roman"/>
                <w:i/>
                <w:iCs/>
                <w:color w:val="000000"/>
                <w:sz w:val="16"/>
                <w:szCs w:val="16"/>
              </w:rPr>
              <w:t xml:space="preserve">selq </w:t>
            </w:r>
          </w:p>
        </w:tc>
        <w:tc>
          <w:tcPr>
            <w:tcW w:w="1530" w:type="dxa"/>
            <w:tcBorders>
              <w:top w:val="nil"/>
              <w:left w:val="nil"/>
              <w:bottom w:val="single" w:sz="4" w:space="0" w:color="auto"/>
              <w:right w:val="single" w:sz="4" w:space="0" w:color="auto"/>
            </w:tcBorders>
            <w:shd w:val="clear" w:color="000000" w:fill="E7E6E6"/>
            <w:noWrap/>
            <w:vAlign w:val="center"/>
            <w:hideMark/>
          </w:tcPr>
          <w:p w14:paraId="01A2914D" w14:textId="0E96079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{"citationItems":[{"id":"ITEM-1","itemData":{"DOI":"10.1128/JCM.00387-14","ISSN":"1098660X","PMID":"24808237","abstract":"Staphylococcal enterotoxin-like K (SEl-K) is a potent mitogen that elicits T-cell proliferation and cytokine production at very low concentrations. However, unlike the classical enterotoxins SEB and toxic shock syndrome toxin 1 (TSST-1), the gene for SEl-K is commonly present in more than half of all Staphylococcus aureus clinical isolates and is present in almost all USA300 community-acquired methicillin-resistant S. aureus (CA-MRSA) isolates. Sequencing of the sel-κ gene in over 20 clinical isolates and comparative analysis with all 14 published sel-κ sequences indicate that there are at least 6 variants of the sel-κ gene, including one that is conserved among all examined USA300 strains. Additionally, we have developed a highly sensitive enzyme-linked immunosorbent assay (ELISA) that specifically detects and measures SEl-K protein in culture supernatants and biological fluids. Quantification of in vitro SEl-K secretion by various S. aureus isolates using this novel capture ELISA revealed detectable amounts of SEl-K secretion by all isolates, with the highest secretion levels being exhibited by MRSA strains that coexpress SEB. In vivo secretion was measured in a murine thigh abscess model, where similar levels of SEl-K accumulation were noted regardless of whether the infecting strain exhibited high or low secretion of SEl-K in vitro. We conclude that SEl-K is commonly expressed in the setting of staphylococcal infection, in significant amounts. SEl-K should be further explored as a target for passive immunotherapy against complicated S. aureus infection. Copyright © 2014, American Society for Microbiology. All Rights Reserved.","author":[{"dropping-particle":"","family":"Aguilar","given":"Jorge L.","non-dropping-particle":"","parse-names":false,"suffix":""},{"dropping-particle":"","family":"Varshney","given":"Avanish K.","non-dropping-particle":"","parse-names":false,"suffix":""},{"dropping-particle":"","family":"Wang","given":"Xiaobo","non-dropping-particle":"","parse-names":false,"suffix":""},{"dropping-particle":"","family":"Stanford","given":"Lindsay","non-dropping-particle":"","parse-names":false,"suffix":""},{"dropping-particle":"","family":"Scharff","given":"Matthew","non-dropping-particle":"","parse-names":false,"suffix":""},{"dropping-particle":"","family":"Fries","given":"Bettina C.","non-dropping-particle":"","parse-names":false,"suffix":""}],"container-title":"Journal of Clinical Microbiology","id":"ITEM-1","issue":"7","issued":{"date-parts":[["2014"]]},"page":"2536-2543","title":"Detection and measurement of staphylococcal enterotoxin-like K (SEl-K) secretion by Staphylococcus aureus clinical isolates","type":"article-journal","volume":"52"},"uris":["http://www.mendeley.com/documents/?uuid=87019b43-6cd4-45dd-92ca-f03e081c89d3"]}],"mendeley":{"formattedCitation":"(Aguilar et al., 2014)","plainTextFormattedCitation":"(Aguilar et al., 2014)","previouslyFormattedCitation":"(Aguilar et al., 2014)"},"properties":{"noteIndex":0},"schema":"https://github.com/citation-style-language/schema/raw/master/csl-citation.json"}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(Aguilar et al., 2014)</w:t>
            </w:r>
            <w:r w:rsidRPr="006C34E3">
              <w:rPr>
                <w:rFonts w:eastAsia="Times New Roman" w:cs="Times New Roman"/>
                <w:color w:val="000000"/>
                <w:sz w:val="16"/>
                <w:szCs w:val="16"/>
              </w:rPr>
              <w:fldChar w:fldCharType="end"/>
            </w:r>
          </w:p>
        </w:tc>
      </w:tr>
      <w:tr w:rsidR="00F90100" w:rsidRPr="006C34E3" w14:paraId="58ED76BA"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06DF242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97A652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sek-4</w:t>
            </w:r>
          </w:p>
        </w:tc>
        <w:tc>
          <w:tcPr>
            <w:tcW w:w="3690" w:type="dxa"/>
            <w:tcBorders>
              <w:top w:val="nil"/>
              <w:left w:val="nil"/>
              <w:bottom w:val="single" w:sz="4" w:space="0" w:color="auto"/>
              <w:right w:val="single" w:sz="4" w:space="0" w:color="auto"/>
            </w:tcBorders>
            <w:shd w:val="clear" w:color="auto" w:fill="auto"/>
            <w:noWrap/>
            <w:vAlign w:val="center"/>
            <w:hideMark/>
          </w:tcPr>
          <w:p w14:paraId="2786539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ATG CCA GCG CTC AAG GC</w:t>
            </w:r>
          </w:p>
        </w:tc>
        <w:tc>
          <w:tcPr>
            <w:tcW w:w="3780" w:type="dxa"/>
            <w:tcBorders>
              <w:top w:val="nil"/>
              <w:left w:val="nil"/>
              <w:bottom w:val="single" w:sz="4" w:space="0" w:color="auto"/>
              <w:right w:val="single" w:sz="4" w:space="0" w:color="auto"/>
            </w:tcBorders>
            <w:shd w:val="clear" w:color="auto" w:fill="auto"/>
            <w:noWrap/>
            <w:vAlign w:val="center"/>
            <w:hideMark/>
          </w:tcPr>
          <w:p w14:paraId="6742A9D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AGA TTC ATT TGA AAA TTG TAG TTG ATT AGC T</w:t>
            </w:r>
          </w:p>
        </w:tc>
        <w:tc>
          <w:tcPr>
            <w:tcW w:w="1620" w:type="dxa"/>
            <w:tcBorders>
              <w:top w:val="nil"/>
              <w:left w:val="nil"/>
              <w:bottom w:val="single" w:sz="4" w:space="0" w:color="auto"/>
              <w:right w:val="single" w:sz="4" w:space="0" w:color="auto"/>
            </w:tcBorders>
            <w:shd w:val="clear" w:color="auto" w:fill="auto"/>
            <w:noWrap/>
            <w:vAlign w:val="center"/>
            <w:hideMark/>
          </w:tcPr>
          <w:p w14:paraId="0379937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134</w:t>
            </w:r>
          </w:p>
        </w:tc>
        <w:tc>
          <w:tcPr>
            <w:tcW w:w="1620" w:type="dxa"/>
            <w:tcBorders>
              <w:top w:val="nil"/>
              <w:left w:val="nil"/>
              <w:bottom w:val="single" w:sz="4" w:space="0" w:color="auto"/>
              <w:right w:val="single" w:sz="4" w:space="0" w:color="auto"/>
            </w:tcBorders>
            <w:shd w:val="clear" w:color="auto" w:fill="auto"/>
            <w:noWrap/>
            <w:vAlign w:val="center"/>
            <w:hideMark/>
          </w:tcPr>
          <w:p w14:paraId="6A1AFC3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84ACED5" w14:textId="754470F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2A75E4FE"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8F0A40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2D0531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sek-5</w:t>
            </w:r>
          </w:p>
        </w:tc>
        <w:tc>
          <w:tcPr>
            <w:tcW w:w="3690" w:type="dxa"/>
            <w:tcBorders>
              <w:top w:val="nil"/>
              <w:left w:val="nil"/>
              <w:bottom w:val="single" w:sz="4" w:space="0" w:color="auto"/>
              <w:right w:val="single" w:sz="4" w:space="0" w:color="auto"/>
            </w:tcBorders>
            <w:shd w:val="clear" w:color="auto" w:fill="auto"/>
            <w:noWrap/>
            <w:vAlign w:val="center"/>
            <w:hideMark/>
          </w:tcPr>
          <w:p w14:paraId="7D1070F1"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AGG AAT TGA TAA TCT CAG GA</w:t>
            </w:r>
          </w:p>
        </w:tc>
        <w:tc>
          <w:tcPr>
            <w:tcW w:w="3780" w:type="dxa"/>
            <w:tcBorders>
              <w:top w:val="nil"/>
              <w:left w:val="nil"/>
              <w:bottom w:val="single" w:sz="4" w:space="0" w:color="auto"/>
              <w:right w:val="single" w:sz="4" w:space="0" w:color="auto"/>
            </w:tcBorders>
            <w:shd w:val="clear" w:color="auto" w:fill="auto"/>
            <w:noWrap/>
            <w:vAlign w:val="center"/>
            <w:hideMark/>
          </w:tcPr>
          <w:p w14:paraId="7AC9DAB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CCA AAT GGA ATT TCT CAG AC</w:t>
            </w:r>
          </w:p>
        </w:tc>
        <w:tc>
          <w:tcPr>
            <w:tcW w:w="1620" w:type="dxa"/>
            <w:tcBorders>
              <w:top w:val="nil"/>
              <w:left w:val="nil"/>
              <w:bottom w:val="single" w:sz="4" w:space="0" w:color="auto"/>
              <w:right w:val="single" w:sz="4" w:space="0" w:color="auto"/>
            </w:tcBorders>
            <w:shd w:val="clear" w:color="auto" w:fill="auto"/>
            <w:noWrap/>
            <w:vAlign w:val="center"/>
            <w:hideMark/>
          </w:tcPr>
          <w:p w14:paraId="2CD8806A"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617</w:t>
            </w:r>
          </w:p>
        </w:tc>
        <w:tc>
          <w:tcPr>
            <w:tcW w:w="1620" w:type="dxa"/>
            <w:tcBorders>
              <w:top w:val="nil"/>
              <w:left w:val="nil"/>
              <w:bottom w:val="single" w:sz="4" w:space="0" w:color="auto"/>
              <w:right w:val="single" w:sz="4" w:space="0" w:color="auto"/>
            </w:tcBorders>
            <w:shd w:val="clear" w:color="auto" w:fill="auto"/>
            <w:noWrap/>
            <w:vAlign w:val="center"/>
            <w:hideMark/>
          </w:tcPr>
          <w:p w14:paraId="08C3259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1851B52" w14:textId="519FAA8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312A24C1" w14:textId="77777777" w:rsidTr="00C662E9">
        <w:trPr>
          <w:trHeight w:val="288"/>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07DEB3B4"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sel</w:t>
            </w:r>
          </w:p>
        </w:tc>
        <w:tc>
          <w:tcPr>
            <w:tcW w:w="720" w:type="dxa"/>
            <w:tcBorders>
              <w:top w:val="nil"/>
              <w:left w:val="nil"/>
              <w:bottom w:val="single" w:sz="4" w:space="0" w:color="auto"/>
              <w:right w:val="single" w:sz="4" w:space="0" w:color="auto"/>
            </w:tcBorders>
            <w:shd w:val="clear" w:color="auto" w:fill="auto"/>
            <w:noWrap/>
            <w:vAlign w:val="center"/>
            <w:hideMark/>
          </w:tcPr>
          <w:p w14:paraId="05A0A23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sel-1</w:t>
            </w:r>
          </w:p>
        </w:tc>
        <w:tc>
          <w:tcPr>
            <w:tcW w:w="3690" w:type="dxa"/>
            <w:tcBorders>
              <w:top w:val="nil"/>
              <w:left w:val="nil"/>
              <w:bottom w:val="single" w:sz="4" w:space="0" w:color="auto"/>
              <w:right w:val="single" w:sz="4" w:space="0" w:color="auto"/>
            </w:tcBorders>
            <w:shd w:val="clear" w:color="auto" w:fill="auto"/>
            <w:noWrap/>
            <w:vAlign w:val="center"/>
            <w:hideMark/>
          </w:tcPr>
          <w:p w14:paraId="7E7ABBD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TAAC GGC GAT GTA GGT CCA GG</w:t>
            </w:r>
          </w:p>
        </w:tc>
        <w:tc>
          <w:tcPr>
            <w:tcW w:w="3780" w:type="dxa"/>
            <w:tcBorders>
              <w:top w:val="nil"/>
              <w:left w:val="nil"/>
              <w:bottom w:val="single" w:sz="4" w:space="0" w:color="auto"/>
              <w:right w:val="single" w:sz="4" w:space="0" w:color="auto"/>
            </w:tcBorders>
            <w:shd w:val="clear" w:color="auto" w:fill="auto"/>
            <w:noWrap/>
            <w:vAlign w:val="center"/>
            <w:hideMark/>
          </w:tcPr>
          <w:p w14:paraId="45850DF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CTA TTT CTT GTG CGG TAA C</w:t>
            </w:r>
          </w:p>
        </w:tc>
        <w:tc>
          <w:tcPr>
            <w:tcW w:w="1620" w:type="dxa"/>
            <w:tcBorders>
              <w:top w:val="nil"/>
              <w:left w:val="nil"/>
              <w:bottom w:val="single" w:sz="4" w:space="0" w:color="auto"/>
              <w:right w:val="single" w:sz="4" w:space="0" w:color="auto"/>
            </w:tcBorders>
            <w:shd w:val="clear" w:color="auto" w:fill="auto"/>
            <w:noWrap/>
            <w:vAlign w:val="center"/>
            <w:hideMark/>
          </w:tcPr>
          <w:p w14:paraId="1C763F2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383</w:t>
            </w:r>
          </w:p>
        </w:tc>
        <w:tc>
          <w:tcPr>
            <w:tcW w:w="1620" w:type="dxa"/>
            <w:tcBorders>
              <w:top w:val="nil"/>
              <w:left w:val="nil"/>
              <w:bottom w:val="single" w:sz="4" w:space="0" w:color="auto"/>
              <w:right w:val="single" w:sz="4" w:space="0" w:color="auto"/>
            </w:tcBorders>
            <w:shd w:val="clear" w:color="auto" w:fill="auto"/>
            <w:noWrap/>
            <w:vAlign w:val="center"/>
            <w:hideMark/>
          </w:tcPr>
          <w:p w14:paraId="7F61CDB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61E3D7F" w14:textId="556086C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2680460D" w14:textId="77777777" w:rsidTr="00C662E9">
        <w:trPr>
          <w:trHeight w:val="288"/>
        </w:trPr>
        <w:tc>
          <w:tcPr>
            <w:tcW w:w="630" w:type="dxa"/>
            <w:vMerge/>
            <w:tcBorders>
              <w:left w:val="single" w:sz="4" w:space="0" w:color="auto"/>
              <w:right w:val="single" w:sz="4" w:space="0" w:color="auto"/>
            </w:tcBorders>
            <w:vAlign w:val="center"/>
            <w:hideMark/>
          </w:tcPr>
          <w:p w14:paraId="38D0BE0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B1607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sel-2</w:t>
            </w:r>
          </w:p>
        </w:tc>
        <w:tc>
          <w:tcPr>
            <w:tcW w:w="3690" w:type="dxa"/>
            <w:tcBorders>
              <w:top w:val="nil"/>
              <w:left w:val="nil"/>
              <w:bottom w:val="single" w:sz="4" w:space="0" w:color="auto"/>
              <w:right w:val="single" w:sz="4" w:space="0" w:color="auto"/>
            </w:tcBorders>
            <w:shd w:val="clear" w:color="auto" w:fill="auto"/>
            <w:noWrap/>
            <w:vAlign w:val="center"/>
            <w:hideMark/>
          </w:tcPr>
          <w:p w14:paraId="572C883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CGA TGT AGG TCC AGG A</w:t>
            </w:r>
          </w:p>
        </w:tc>
        <w:tc>
          <w:tcPr>
            <w:tcW w:w="3780" w:type="dxa"/>
            <w:tcBorders>
              <w:top w:val="nil"/>
              <w:left w:val="nil"/>
              <w:bottom w:val="single" w:sz="4" w:space="0" w:color="auto"/>
              <w:right w:val="single" w:sz="4" w:space="0" w:color="auto"/>
            </w:tcBorders>
            <w:shd w:val="clear" w:color="auto" w:fill="auto"/>
            <w:noWrap/>
            <w:vAlign w:val="center"/>
            <w:hideMark/>
          </w:tcPr>
          <w:p w14:paraId="627341B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TTC TTG TGC GGT AAC CA</w:t>
            </w:r>
          </w:p>
        </w:tc>
        <w:tc>
          <w:tcPr>
            <w:tcW w:w="1620" w:type="dxa"/>
            <w:tcBorders>
              <w:top w:val="nil"/>
              <w:left w:val="nil"/>
              <w:bottom w:val="single" w:sz="4" w:space="0" w:color="auto"/>
              <w:right w:val="single" w:sz="4" w:space="0" w:color="auto"/>
            </w:tcBorders>
            <w:shd w:val="clear" w:color="auto" w:fill="auto"/>
            <w:noWrap/>
            <w:vAlign w:val="center"/>
            <w:hideMark/>
          </w:tcPr>
          <w:p w14:paraId="7AAD9E4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369</w:t>
            </w:r>
          </w:p>
        </w:tc>
        <w:tc>
          <w:tcPr>
            <w:tcW w:w="1620" w:type="dxa"/>
            <w:tcBorders>
              <w:top w:val="nil"/>
              <w:left w:val="nil"/>
              <w:bottom w:val="single" w:sz="4" w:space="0" w:color="auto"/>
              <w:right w:val="single" w:sz="4" w:space="0" w:color="auto"/>
            </w:tcBorders>
            <w:shd w:val="clear" w:color="auto" w:fill="auto"/>
            <w:noWrap/>
            <w:vAlign w:val="center"/>
            <w:hideMark/>
          </w:tcPr>
          <w:p w14:paraId="719D6FC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FD69789" w14:textId="28DE740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food","type":"article-journal","volume":"108"},"uris":["http://www.mendeley.com/documents/?uuid=1e30e41a-d5d6-4d0d-89db-dfba48254266"]}],"mendeley":{"formattedCitation":"(Bania et al., 2006)","plainTextFormattedCitation":"(Bania et al., 2006)","previouslyFormattedCitation":"(Bania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w:t>
            </w:r>
            <w:r w:rsidRPr="006C34E3">
              <w:rPr>
                <w:rFonts w:eastAsia="Times New Roman" w:cs="Times New Roman"/>
                <w:color w:val="000000"/>
                <w:sz w:val="16"/>
                <w:szCs w:val="16"/>
              </w:rPr>
              <w:fldChar w:fldCharType="end"/>
            </w:r>
          </w:p>
        </w:tc>
      </w:tr>
      <w:tr w:rsidR="00F90100" w:rsidRPr="006C34E3" w14:paraId="4BC99D10" w14:textId="77777777" w:rsidTr="00C662E9">
        <w:trPr>
          <w:trHeight w:val="288"/>
        </w:trPr>
        <w:tc>
          <w:tcPr>
            <w:tcW w:w="630" w:type="dxa"/>
            <w:vMerge/>
            <w:tcBorders>
              <w:left w:val="single" w:sz="4" w:space="0" w:color="auto"/>
              <w:right w:val="single" w:sz="4" w:space="0" w:color="auto"/>
            </w:tcBorders>
            <w:vAlign w:val="center"/>
            <w:hideMark/>
          </w:tcPr>
          <w:p w14:paraId="220C2E0D"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84F6D9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sel-3</w:t>
            </w:r>
          </w:p>
        </w:tc>
        <w:tc>
          <w:tcPr>
            <w:tcW w:w="3690" w:type="dxa"/>
            <w:tcBorders>
              <w:top w:val="nil"/>
              <w:left w:val="nil"/>
              <w:bottom w:val="single" w:sz="4" w:space="0" w:color="auto"/>
              <w:right w:val="single" w:sz="4" w:space="0" w:color="auto"/>
            </w:tcBorders>
            <w:shd w:val="clear" w:color="auto" w:fill="auto"/>
            <w:noWrap/>
            <w:vAlign w:val="center"/>
            <w:hideMark/>
          </w:tcPr>
          <w:p w14:paraId="2A2BC43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GCG ATG TAG GTC CAG GAA AC</w:t>
            </w:r>
          </w:p>
        </w:tc>
        <w:tc>
          <w:tcPr>
            <w:tcW w:w="3780" w:type="dxa"/>
            <w:tcBorders>
              <w:top w:val="nil"/>
              <w:left w:val="nil"/>
              <w:bottom w:val="single" w:sz="4" w:space="0" w:color="auto"/>
              <w:right w:val="single" w:sz="4" w:space="0" w:color="auto"/>
            </w:tcBorders>
            <w:shd w:val="clear" w:color="auto" w:fill="auto"/>
            <w:noWrap/>
            <w:vAlign w:val="center"/>
            <w:hideMark/>
          </w:tcPr>
          <w:p w14:paraId="6C128E8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ATA TAG TAC GAG AGT TAG AAC CAT A</w:t>
            </w:r>
          </w:p>
        </w:tc>
        <w:tc>
          <w:tcPr>
            <w:tcW w:w="1620" w:type="dxa"/>
            <w:tcBorders>
              <w:top w:val="nil"/>
              <w:left w:val="nil"/>
              <w:bottom w:val="single" w:sz="4" w:space="0" w:color="auto"/>
              <w:right w:val="single" w:sz="4" w:space="0" w:color="auto"/>
            </w:tcBorders>
            <w:shd w:val="clear" w:color="auto" w:fill="auto"/>
            <w:noWrap/>
            <w:vAlign w:val="center"/>
            <w:hideMark/>
          </w:tcPr>
          <w:p w14:paraId="1EF38FA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234</w:t>
            </w:r>
          </w:p>
        </w:tc>
        <w:tc>
          <w:tcPr>
            <w:tcW w:w="1620" w:type="dxa"/>
            <w:tcBorders>
              <w:top w:val="nil"/>
              <w:left w:val="nil"/>
              <w:bottom w:val="single" w:sz="4" w:space="0" w:color="auto"/>
              <w:right w:val="single" w:sz="4" w:space="0" w:color="auto"/>
            </w:tcBorders>
            <w:shd w:val="clear" w:color="auto" w:fill="auto"/>
            <w:noWrap/>
            <w:vAlign w:val="center"/>
            <w:hideMark/>
          </w:tcPr>
          <w:p w14:paraId="00DA46F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0E06683" w14:textId="5416F86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0F0CEB05" w14:textId="77777777" w:rsidTr="00C662E9">
        <w:trPr>
          <w:trHeight w:val="288"/>
        </w:trPr>
        <w:tc>
          <w:tcPr>
            <w:tcW w:w="630" w:type="dxa"/>
            <w:vMerge/>
            <w:tcBorders>
              <w:left w:val="single" w:sz="4" w:space="0" w:color="auto"/>
              <w:right w:val="single" w:sz="4" w:space="0" w:color="auto"/>
            </w:tcBorders>
            <w:vAlign w:val="center"/>
            <w:hideMark/>
          </w:tcPr>
          <w:p w14:paraId="109B3C3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E61D5C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sel-4</w:t>
            </w:r>
          </w:p>
        </w:tc>
        <w:tc>
          <w:tcPr>
            <w:tcW w:w="3690" w:type="dxa"/>
            <w:tcBorders>
              <w:top w:val="nil"/>
              <w:left w:val="nil"/>
              <w:bottom w:val="single" w:sz="4" w:space="0" w:color="auto"/>
              <w:right w:val="single" w:sz="4" w:space="0" w:color="auto"/>
            </w:tcBorders>
            <w:shd w:val="clear" w:color="auto" w:fill="auto"/>
            <w:noWrap/>
            <w:vAlign w:val="center"/>
            <w:hideMark/>
          </w:tcPr>
          <w:p w14:paraId="7A543924"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AAA ATT CAC CAG AAT CAC AC</w:t>
            </w:r>
          </w:p>
        </w:tc>
        <w:tc>
          <w:tcPr>
            <w:tcW w:w="3780" w:type="dxa"/>
            <w:tcBorders>
              <w:top w:val="nil"/>
              <w:left w:val="nil"/>
              <w:bottom w:val="single" w:sz="4" w:space="0" w:color="auto"/>
              <w:right w:val="single" w:sz="4" w:space="0" w:color="auto"/>
            </w:tcBorders>
            <w:shd w:val="clear" w:color="auto" w:fill="auto"/>
            <w:noWrap/>
            <w:vAlign w:val="center"/>
            <w:hideMark/>
          </w:tcPr>
          <w:p w14:paraId="0C211D35"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TTA AGA AGC TTT CTG GAA GA</w:t>
            </w:r>
          </w:p>
        </w:tc>
        <w:tc>
          <w:tcPr>
            <w:tcW w:w="1620" w:type="dxa"/>
            <w:tcBorders>
              <w:top w:val="nil"/>
              <w:left w:val="nil"/>
              <w:bottom w:val="single" w:sz="4" w:space="0" w:color="auto"/>
              <w:right w:val="single" w:sz="4" w:space="0" w:color="auto"/>
            </w:tcBorders>
            <w:shd w:val="clear" w:color="auto" w:fill="auto"/>
            <w:noWrap/>
            <w:vAlign w:val="center"/>
            <w:hideMark/>
          </w:tcPr>
          <w:p w14:paraId="6D6A28EF"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501</w:t>
            </w:r>
          </w:p>
        </w:tc>
        <w:tc>
          <w:tcPr>
            <w:tcW w:w="1620" w:type="dxa"/>
            <w:tcBorders>
              <w:top w:val="nil"/>
              <w:left w:val="nil"/>
              <w:bottom w:val="single" w:sz="4" w:space="0" w:color="auto"/>
              <w:right w:val="single" w:sz="4" w:space="0" w:color="auto"/>
            </w:tcBorders>
            <w:shd w:val="clear" w:color="auto" w:fill="auto"/>
            <w:noWrap/>
            <w:vAlign w:val="center"/>
            <w:hideMark/>
          </w:tcPr>
          <w:p w14:paraId="1CB138E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5E00AD8" w14:textId="58C79B4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6CB5E505" w14:textId="77777777" w:rsidTr="00C662E9">
        <w:trPr>
          <w:trHeight w:val="288"/>
        </w:trPr>
        <w:tc>
          <w:tcPr>
            <w:tcW w:w="630" w:type="dxa"/>
            <w:vMerge/>
            <w:tcBorders>
              <w:left w:val="single" w:sz="4" w:space="0" w:color="auto"/>
              <w:bottom w:val="single" w:sz="4" w:space="0" w:color="000000"/>
              <w:right w:val="single" w:sz="4" w:space="0" w:color="auto"/>
            </w:tcBorders>
            <w:vAlign w:val="center"/>
          </w:tcPr>
          <w:p w14:paraId="7DA0DD8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14:paraId="1F5F858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sel-5</w:t>
            </w:r>
          </w:p>
        </w:tc>
        <w:tc>
          <w:tcPr>
            <w:tcW w:w="3690" w:type="dxa"/>
            <w:tcBorders>
              <w:top w:val="nil"/>
              <w:left w:val="nil"/>
              <w:bottom w:val="single" w:sz="4" w:space="0" w:color="auto"/>
              <w:right w:val="single" w:sz="4" w:space="0" w:color="auto"/>
            </w:tcBorders>
            <w:shd w:val="clear" w:color="auto" w:fill="auto"/>
            <w:noWrap/>
            <w:vAlign w:val="center"/>
          </w:tcPr>
          <w:p w14:paraId="2E92145D"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CAC CAG AAT CAC ACC GCT TA</w:t>
            </w:r>
          </w:p>
        </w:tc>
        <w:tc>
          <w:tcPr>
            <w:tcW w:w="3780" w:type="dxa"/>
            <w:tcBorders>
              <w:top w:val="nil"/>
              <w:left w:val="nil"/>
              <w:bottom w:val="single" w:sz="4" w:space="0" w:color="auto"/>
              <w:right w:val="single" w:sz="4" w:space="0" w:color="auto"/>
            </w:tcBorders>
            <w:shd w:val="clear" w:color="auto" w:fill="auto"/>
            <w:noWrap/>
            <w:vAlign w:val="center"/>
          </w:tcPr>
          <w:p w14:paraId="3523ED7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CTG TTT GAT GCT TGC CAT TG</w:t>
            </w:r>
          </w:p>
        </w:tc>
        <w:tc>
          <w:tcPr>
            <w:tcW w:w="1620" w:type="dxa"/>
            <w:tcBorders>
              <w:top w:val="nil"/>
              <w:left w:val="nil"/>
              <w:bottom w:val="single" w:sz="4" w:space="0" w:color="auto"/>
              <w:right w:val="single" w:sz="4" w:space="0" w:color="auto"/>
            </w:tcBorders>
            <w:shd w:val="clear" w:color="auto" w:fill="auto"/>
            <w:noWrap/>
            <w:vAlign w:val="center"/>
          </w:tcPr>
          <w:p w14:paraId="3E5A5C47"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sz w:val="16"/>
                <w:szCs w:val="16"/>
              </w:rPr>
              <w:t>240</w:t>
            </w:r>
          </w:p>
        </w:tc>
        <w:tc>
          <w:tcPr>
            <w:tcW w:w="1620" w:type="dxa"/>
            <w:tcBorders>
              <w:top w:val="nil"/>
              <w:left w:val="nil"/>
              <w:bottom w:val="single" w:sz="4" w:space="0" w:color="auto"/>
              <w:right w:val="single" w:sz="4" w:space="0" w:color="auto"/>
            </w:tcBorders>
            <w:shd w:val="clear" w:color="auto" w:fill="auto"/>
            <w:noWrap/>
            <w:vAlign w:val="center"/>
          </w:tcPr>
          <w:p w14:paraId="2B92EC68"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tcPr>
          <w:p w14:paraId="3E8418BD" w14:textId="0509E6A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{"citationItems":[{"id":"ITEM-1","itemData":{"DOI":"10.1016/j.mcp.2005.03.002","ISSN":"08908508","PMID":"16006095","abstract":"A multiplex PCR for the simultaneous detection of Staphylococcus aureus 23S rRNA, the coagulase and thermonuclease genes as well as the enterotoxin genes sea, sec, sed, seg, seh, sei, sej, sel was developed. The method was used to determine the presence of enterotoxigenic types for 93 S. aureus strains isolated from milk and dairy products. The data obtained by mPCR resulted comparable to those obtained by immunoassay methods. In addition, the mPCR assays also amplified some se genes, whose toxins are undetectable by immunoassay. Multiplex amplification can be obtained starting from 1 pg of DNA, showing the excellent specificity and high sensitivity of the assay. © 2005 Elsevier Ltd. All rights reserved.","author":[{"dropping-particle":"","family":"Cremonesi","given":"Paola","non-dropping-particle":"","parse-names":false,"suffix":""},{"dropping-particle":"","family":"Luzzana","given":"Massimo","non-dropping-particle":"","parse-names":false,"suffix":""},{"dropping-particle":"","family":"Brasca","given":"Milena","non-dropping-particle":"","parse-names":false,"suffix":""},{"dropping-particle":"","family":"Morandi","given":"Stefano","non-dropping-particle":"","parse-names":false,"suffix":""},{"dropping-particle":"","family":"Lodi","given":"Roberta","non-dropping-particle":"","parse-names":false,"suffix":""},{"dropping-particle":"","family":"Vimercati","given":"Chiara","non-dropping-particle":"","parse-names":false,"suffix":""},{"dropping-particle":"","family":"Agnellini","given":"Dario","non-dropping-particle":"","parse-names":false,"suffix":""},{"dropping-particle":"","family":"Caramenti","given":"Giancarlo","non-dropping-particle":"","parse-names":false,"suffix":""},{"dropping-particle":"","family":"Moroni","given":"Paolo","non-dropping-particle":"","parse-names":false,"suffix":""},{"dropping-particle":"","family":"Castiglioni","given":"Bianca","non-dropping-particle":"","parse-names":false,"suffix":""}],"container-title":"Molecular and Cellular Probes","id":"ITEM-1","issue":"5","issued":{"date-parts":[["2005"]]},"page":"299-305","title":"Development of a multiplex PCR assay for the identification of Staphylococcus aureus enterotoxigenic strains isolated from milk and dairy products","type":"article-journal","volume":"19"},"uris":["http://www.mendeley.com/documents/?uuid=e89a9cc0-a4ec-484c-8a69-dd50d42297ed"]}],"mendeley":{"formattedCitation":"(Cremonesi et al., 2005)","plainTextFormattedCitation":"(Cremonesi et al., 2005)","previouslyFormattedCitation":"(Cremonesi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(Cremonesi et al., 2005)</w:t>
            </w:r>
            <w:r w:rsidRPr="006C34E3">
              <w:rPr>
                <w:rFonts w:eastAsia="Times New Roman" w:cs="Times New Roman"/>
                <w:color w:val="000000"/>
                <w:sz w:val="16"/>
                <w:szCs w:val="16"/>
              </w:rPr>
              <w:fldChar w:fldCharType="end"/>
            </w:r>
          </w:p>
        </w:tc>
      </w:tr>
      <w:tr w:rsidR="00F90100" w:rsidRPr="006C34E3" w14:paraId="4CED3BC2"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91FF345"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sem</w:t>
            </w:r>
          </w:p>
        </w:tc>
        <w:tc>
          <w:tcPr>
            <w:tcW w:w="720" w:type="dxa"/>
            <w:tcBorders>
              <w:top w:val="nil"/>
              <w:left w:val="nil"/>
              <w:bottom w:val="single" w:sz="4" w:space="0" w:color="auto"/>
              <w:right w:val="single" w:sz="4" w:space="0" w:color="auto"/>
            </w:tcBorders>
            <w:shd w:val="clear" w:color="auto" w:fill="F3FF85"/>
            <w:noWrap/>
            <w:vAlign w:val="center"/>
            <w:hideMark/>
          </w:tcPr>
          <w:p w14:paraId="79C45AA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sem-1</w:t>
            </w:r>
          </w:p>
        </w:tc>
        <w:tc>
          <w:tcPr>
            <w:tcW w:w="3690" w:type="dxa"/>
            <w:tcBorders>
              <w:top w:val="nil"/>
              <w:left w:val="nil"/>
              <w:bottom w:val="single" w:sz="4" w:space="0" w:color="auto"/>
              <w:right w:val="single" w:sz="4" w:space="0" w:color="auto"/>
            </w:tcBorders>
            <w:shd w:val="clear" w:color="auto" w:fill="F3FF85"/>
            <w:noWrap/>
            <w:vAlign w:val="center"/>
            <w:hideMark/>
          </w:tcPr>
          <w:p w14:paraId="7CD7C36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GGA TAA TTC GAC AGT AAC AG</w:t>
            </w:r>
          </w:p>
        </w:tc>
        <w:tc>
          <w:tcPr>
            <w:tcW w:w="3780" w:type="dxa"/>
            <w:tcBorders>
              <w:top w:val="nil"/>
              <w:left w:val="nil"/>
              <w:bottom w:val="single" w:sz="4" w:space="0" w:color="auto"/>
              <w:right w:val="single" w:sz="4" w:space="0" w:color="auto"/>
            </w:tcBorders>
            <w:shd w:val="clear" w:color="auto" w:fill="F3FF85"/>
            <w:noWrap/>
            <w:vAlign w:val="center"/>
            <w:hideMark/>
          </w:tcPr>
          <w:p w14:paraId="7C6FA8A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TCC TGC ATT AAA TCC AGA AC</w:t>
            </w:r>
          </w:p>
        </w:tc>
        <w:tc>
          <w:tcPr>
            <w:tcW w:w="1620" w:type="dxa"/>
            <w:tcBorders>
              <w:top w:val="nil"/>
              <w:left w:val="nil"/>
              <w:bottom w:val="single" w:sz="4" w:space="0" w:color="auto"/>
              <w:right w:val="single" w:sz="4" w:space="0" w:color="auto"/>
            </w:tcBorders>
            <w:shd w:val="clear" w:color="auto" w:fill="F3FF85"/>
            <w:noWrap/>
            <w:vAlign w:val="center"/>
            <w:hideMark/>
          </w:tcPr>
          <w:p w14:paraId="62A6A42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379</w:t>
            </w:r>
          </w:p>
        </w:tc>
        <w:tc>
          <w:tcPr>
            <w:tcW w:w="1620" w:type="dxa"/>
            <w:tcBorders>
              <w:top w:val="nil"/>
              <w:left w:val="nil"/>
              <w:bottom w:val="single" w:sz="4" w:space="0" w:color="auto"/>
              <w:right w:val="single" w:sz="4" w:space="0" w:color="auto"/>
            </w:tcBorders>
            <w:shd w:val="clear" w:color="auto" w:fill="F3FF85"/>
            <w:noWrap/>
            <w:vAlign w:val="center"/>
            <w:hideMark/>
          </w:tcPr>
          <w:p w14:paraId="2DF35125"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F3FF85"/>
            <w:noWrap/>
            <w:vAlign w:val="center"/>
            <w:hideMark/>
          </w:tcPr>
          <w:p w14:paraId="6A7CB308" w14:textId="00BC139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27FBAF97"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441A530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40EEF27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sem-2</w:t>
            </w:r>
          </w:p>
        </w:tc>
        <w:tc>
          <w:tcPr>
            <w:tcW w:w="3690" w:type="dxa"/>
            <w:tcBorders>
              <w:top w:val="nil"/>
              <w:left w:val="nil"/>
              <w:bottom w:val="single" w:sz="4" w:space="0" w:color="auto"/>
              <w:right w:val="single" w:sz="4" w:space="0" w:color="auto"/>
            </w:tcBorders>
            <w:shd w:val="clear" w:color="000000" w:fill="E7E6E6"/>
            <w:noWrap/>
            <w:vAlign w:val="center"/>
            <w:hideMark/>
          </w:tcPr>
          <w:p w14:paraId="29D8229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CAT ATC GCA ACC GCT GA</w:t>
            </w:r>
          </w:p>
        </w:tc>
        <w:tc>
          <w:tcPr>
            <w:tcW w:w="3780" w:type="dxa"/>
            <w:tcBorders>
              <w:top w:val="nil"/>
              <w:left w:val="nil"/>
              <w:bottom w:val="single" w:sz="4" w:space="0" w:color="auto"/>
              <w:right w:val="single" w:sz="4" w:space="0" w:color="auto"/>
            </w:tcBorders>
            <w:shd w:val="clear" w:color="000000" w:fill="E7E6E6"/>
            <w:noWrap/>
            <w:vAlign w:val="center"/>
            <w:hideMark/>
          </w:tcPr>
          <w:p w14:paraId="63B485A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GCT GTT ACT GTC GA</w:t>
            </w:r>
          </w:p>
        </w:tc>
        <w:tc>
          <w:tcPr>
            <w:tcW w:w="1620" w:type="dxa"/>
            <w:tcBorders>
              <w:top w:val="nil"/>
              <w:left w:val="nil"/>
              <w:bottom w:val="single" w:sz="4" w:space="0" w:color="auto"/>
              <w:right w:val="single" w:sz="4" w:space="0" w:color="auto"/>
            </w:tcBorders>
            <w:shd w:val="clear" w:color="000000" w:fill="E7E6E6"/>
            <w:noWrap/>
            <w:vAlign w:val="center"/>
            <w:hideMark/>
          </w:tcPr>
          <w:p w14:paraId="1F7910D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148</w:t>
            </w:r>
          </w:p>
        </w:tc>
        <w:tc>
          <w:tcPr>
            <w:tcW w:w="1620" w:type="dxa"/>
            <w:tcBorders>
              <w:top w:val="nil"/>
              <w:left w:val="nil"/>
              <w:bottom w:val="single" w:sz="4" w:space="0" w:color="auto"/>
              <w:right w:val="single" w:sz="4" w:space="0" w:color="auto"/>
            </w:tcBorders>
            <w:shd w:val="clear" w:color="000000" w:fill="E7E6E6"/>
            <w:noWrap/>
            <w:vAlign w:val="center"/>
            <w:hideMark/>
          </w:tcPr>
          <w:p w14:paraId="0288F86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Aspecific detection of </w:t>
            </w:r>
            <w:r w:rsidRPr="006C34E3">
              <w:rPr>
                <w:rFonts w:eastAsia="Times New Roman" w:cs="Times New Roman"/>
                <w:i/>
                <w:iCs/>
                <w:color w:val="000000"/>
                <w:sz w:val="16"/>
                <w:szCs w:val="16"/>
              </w:rPr>
              <w:t>selv</w:t>
            </w:r>
          </w:p>
        </w:tc>
        <w:tc>
          <w:tcPr>
            <w:tcW w:w="1530" w:type="dxa"/>
            <w:tcBorders>
              <w:top w:val="nil"/>
              <w:left w:val="nil"/>
              <w:bottom w:val="single" w:sz="4" w:space="0" w:color="auto"/>
              <w:right w:val="single" w:sz="4" w:space="0" w:color="auto"/>
            </w:tcBorders>
            <w:shd w:val="clear" w:color="000000" w:fill="E7E6E6"/>
            <w:noWrap/>
            <w:vAlign w:val="center"/>
            <w:hideMark/>
          </w:tcPr>
          <w:p w14:paraId="5BAD7202" w14:textId="1275A84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food","type":"article-journal","volume":"108"},"uris":["http://www.mendeley.com/documents/?uuid=1e30e41a-d5d6-4d0d-89db-dfba48254266"]}],"mendeley":{"formattedCitation":"(Bania et al., 2006)","plainTextFormattedCitation":"(Bania et al., 2006)","previouslyFormattedCitation":"(Bania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w:t>
            </w:r>
            <w:r w:rsidRPr="006C34E3">
              <w:rPr>
                <w:rFonts w:eastAsia="Times New Roman" w:cs="Times New Roman"/>
                <w:color w:val="000000"/>
                <w:sz w:val="16"/>
                <w:szCs w:val="16"/>
              </w:rPr>
              <w:fldChar w:fldCharType="end"/>
            </w:r>
          </w:p>
        </w:tc>
      </w:tr>
      <w:tr w:rsidR="00F90100" w:rsidRPr="006C34E3" w14:paraId="2819647E"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7D8BFDCE"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F3FF85"/>
            <w:noWrap/>
            <w:vAlign w:val="center"/>
            <w:hideMark/>
          </w:tcPr>
          <w:p w14:paraId="7E94D2C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sem-3</w:t>
            </w:r>
          </w:p>
        </w:tc>
        <w:tc>
          <w:tcPr>
            <w:tcW w:w="3690" w:type="dxa"/>
            <w:tcBorders>
              <w:top w:val="nil"/>
              <w:left w:val="nil"/>
              <w:bottom w:val="single" w:sz="4" w:space="0" w:color="auto"/>
              <w:right w:val="single" w:sz="4" w:space="0" w:color="auto"/>
            </w:tcBorders>
            <w:shd w:val="clear" w:color="auto" w:fill="F3FF85"/>
            <w:noWrap/>
            <w:vAlign w:val="center"/>
            <w:hideMark/>
          </w:tcPr>
          <w:p w14:paraId="2E6606F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CTA TTA ATC TTT GGG TTA ATG GAG AAC</w:t>
            </w:r>
          </w:p>
        </w:tc>
        <w:tc>
          <w:tcPr>
            <w:tcW w:w="3780" w:type="dxa"/>
            <w:tcBorders>
              <w:top w:val="nil"/>
              <w:left w:val="nil"/>
              <w:bottom w:val="single" w:sz="4" w:space="0" w:color="auto"/>
              <w:right w:val="single" w:sz="4" w:space="0" w:color="auto"/>
            </w:tcBorders>
            <w:shd w:val="clear" w:color="auto" w:fill="F3FF85"/>
            <w:noWrap/>
            <w:vAlign w:val="center"/>
            <w:hideMark/>
          </w:tcPr>
          <w:p w14:paraId="1B25E4E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TTC AGT TTC GAC AGT TTT GTT GTC AT</w:t>
            </w:r>
          </w:p>
        </w:tc>
        <w:tc>
          <w:tcPr>
            <w:tcW w:w="1620" w:type="dxa"/>
            <w:tcBorders>
              <w:top w:val="nil"/>
              <w:left w:val="nil"/>
              <w:bottom w:val="single" w:sz="4" w:space="0" w:color="auto"/>
              <w:right w:val="single" w:sz="4" w:space="0" w:color="auto"/>
            </w:tcBorders>
            <w:shd w:val="clear" w:color="auto" w:fill="F3FF85"/>
            <w:noWrap/>
            <w:vAlign w:val="center"/>
            <w:hideMark/>
          </w:tcPr>
          <w:p w14:paraId="17CB7472" w14:textId="77777777" w:rsidR="00F90100" w:rsidRPr="006C34E3" w:rsidRDefault="00F90100" w:rsidP="00F90100">
            <w:pPr>
              <w:spacing w:before="0" w:after="0"/>
              <w:jc w:val="center"/>
              <w:rPr>
                <w:rFonts w:eastAsia="Times New Roman" w:cs="Times New Roman"/>
                <w:color w:val="FF0000"/>
                <w:sz w:val="16"/>
                <w:szCs w:val="16"/>
              </w:rPr>
            </w:pPr>
            <w:r w:rsidRPr="006C34E3">
              <w:rPr>
                <w:rFonts w:eastAsia="Times New Roman" w:cs="Times New Roman"/>
                <w:sz w:val="16"/>
                <w:szCs w:val="16"/>
              </w:rPr>
              <w:t>300</w:t>
            </w:r>
          </w:p>
        </w:tc>
        <w:tc>
          <w:tcPr>
            <w:tcW w:w="1620" w:type="dxa"/>
            <w:tcBorders>
              <w:top w:val="nil"/>
              <w:left w:val="nil"/>
              <w:bottom w:val="single" w:sz="4" w:space="0" w:color="auto"/>
              <w:right w:val="single" w:sz="4" w:space="0" w:color="auto"/>
            </w:tcBorders>
            <w:shd w:val="clear" w:color="auto" w:fill="F3FF85"/>
            <w:noWrap/>
            <w:vAlign w:val="center"/>
            <w:hideMark/>
          </w:tcPr>
          <w:p w14:paraId="733EFCEC"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Divergent amplicon size: 326bp</w:t>
            </w:r>
          </w:p>
        </w:tc>
        <w:tc>
          <w:tcPr>
            <w:tcW w:w="1530" w:type="dxa"/>
            <w:tcBorders>
              <w:top w:val="nil"/>
              <w:left w:val="nil"/>
              <w:bottom w:val="single" w:sz="4" w:space="0" w:color="auto"/>
              <w:right w:val="single" w:sz="4" w:space="0" w:color="auto"/>
            </w:tcBorders>
            <w:shd w:val="clear" w:color="auto" w:fill="F3FF85"/>
            <w:noWrap/>
            <w:vAlign w:val="center"/>
            <w:hideMark/>
          </w:tcPr>
          <w:p w14:paraId="5279DCD3" w14:textId="6763B23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474231C3"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7131077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0F779C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sem-4</w:t>
            </w:r>
          </w:p>
        </w:tc>
        <w:tc>
          <w:tcPr>
            <w:tcW w:w="3690" w:type="dxa"/>
            <w:tcBorders>
              <w:top w:val="nil"/>
              <w:left w:val="nil"/>
              <w:bottom w:val="single" w:sz="4" w:space="0" w:color="auto"/>
              <w:right w:val="single" w:sz="4" w:space="0" w:color="auto"/>
            </w:tcBorders>
            <w:shd w:val="clear" w:color="auto" w:fill="auto"/>
            <w:noWrap/>
            <w:vAlign w:val="center"/>
            <w:hideMark/>
          </w:tcPr>
          <w:p w14:paraId="3108A22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GAT AAT TCG ACA GTA ACA GC</w:t>
            </w:r>
          </w:p>
        </w:tc>
        <w:tc>
          <w:tcPr>
            <w:tcW w:w="3780" w:type="dxa"/>
            <w:tcBorders>
              <w:top w:val="nil"/>
              <w:left w:val="nil"/>
              <w:bottom w:val="single" w:sz="4" w:space="0" w:color="auto"/>
              <w:right w:val="single" w:sz="4" w:space="0" w:color="auto"/>
            </w:tcBorders>
            <w:shd w:val="clear" w:color="auto" w:fill="auto"/>
            <w:noWrap/>
            <w:vAlign w:val="center"/>
            <w:hideMark/>
          </w:tcPr>
          <w:p w14:paraId="3340EB70"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CGA CAG TTT TGT TGT CAT TA</w:t>
            </w:r>
          </w:p>
        </w:tc>
        <w:tc>
          <w:tcPr>
            <w:tcW w:w="1620" w:type="dxa"/>
            <w:tcBorders>
              <w:top w:val="nil"/>
              <w:left w:val="nil"/>
              <w:bottom w:val="single" w:sz="4" w:space="0" w:color="auto"/>
              <w:right w:val="single" w:sz="4" w:space="0" w:color="auto"/>
            </w:tcBorders>
            <w:shd w:val="clear" w:color="auto" w:fill="auto"/>
            <w:noWrap/>
            <w:vAlign w:val="center"/>
            <w:hideMark/>
          </w:tcPr>
          <w:p w14:paraId="5C94FB0B"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490</w:t>
            </w:r>
          </w:p>
        </w:tc>
        <w:tc>
          <w:tcPr>
            <w:tcW w:w="1620" w:type="dxa"/>
            <w:tcBorders>
              <w:top w:val="nil"/>
              <w:left w:val="nil"/>
              <w:bottom w:val="single" w:sz="4" w:space="0" w:color="auto"/>
              <w:right w:val="single" w:sz="4" w:space="0" w:color="auto"/>
            </w:tcBorders>
            <w:shd w:val="clear" w:color="auto" w:fill="auto"/>
            <w:noWrap/>
            <w:vAlign w:val="center"/>
            <w:hideMark/>
          </w:tcPr>
          <w:p w14:paraId="5A6FC4E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CE1A34B" w14:textId="40B5C37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071B20AF"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17BE48C"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sen</w:t>
            </w:r>
          </w:p>
        </w:tc>
        <w:tc>
          <w:tcPr>
            <w:tcW w:w="720" w:type="dxa"/>
            <w:tcBorders>
              <w:top w:val="nil"/>
              <w:left w:val="nil"/>
              <w:bottom w:val="single" w:sz="4" w:space="0" w:color="auto"/>
              <w:right w:val="single" w:sz="4" w:space="0" w:color="auto"/>
            </w:tcBorders>
            <w:shd w:val="clear" w:color="auto" w:fill="auto"/>
            <w:noWrap/>
            <w:vAlign w:val="center"/>
            <w:hideMark/>
          </w:tcPr>
          <w:p w14:paraId="18FBBF7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sen-1</w:t>
            </w:r>
          </w:p>
        </w:tc>
        <w:tc>
          <w:tcPr>
            <w:tcW w:w="3690" w:type="dxa"/>
            <w:tcBorders>
              <w:top w:val="nil"/>
              <w:left w:val="nil"/>
              <w:bottom w:val="single" w:sz="4" w:space="0" w:color="auto"/>
              <w:right w:val="single" w:sz="4" w:space="0" w:color="auto"/>
            </w:tcBorders>
            <w:shd w:val="clear" w:color="auto" w:fill="auto"/>
            <w:noWrap/>
            <w:vAlign w:val="center"/>
            <w:hideMark/>
          </w:tcPr>
          <w:p w14:paraId="0CED856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TAT GTT AAT GCT GAA GTA GAC</w:t>
            </w:r>
          </w:p>
        </w:tc>
        <w:tc>
          <w:tcPr>
            <w:tcW w:w="3780" w:type="dxa"/>
            <w:tcBorders>
              <w:top w:val="nil"/>
              <w:left w:val="nil"/>
              <w:bottom w:val="single" w:sz="4" w:space="0" w:color="auto"/>
              <w:right w:val="single" w:sz="4" w:space="0" w:color="auto"/>
            </w:tcBorders>
            <w:shd w:val="clear" w:color="auto" w:fill="auto"/>
            <w:noWrap/>
            <w:vAlign w:val="center"/>
            <w:hideMark/>
          </w:tcPr>
          <w:p w14:paraId="0F22E72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TCC AAA ATA CAG TCC ATA</w:t>
            </w:r>
          </w:p>
        </w:tc>
        <w:tc>
          <w:tcPr>
            <w:tcW w:w="1620" w:type="dxa"/>
            <w:tcBorders>
              <w:top w:val="nil"/>
              <w:left w:val="nil"/>
              <w:bottom w:val="single" w:sz="4" w:space="0" w:color="auto"/>
              <w:right w:val="single" w:sz="4" w:space="0" w:color="auto"/>
            </w:tcBorders>
            <w:shd w:val="clear" w:color="auto" w:fill="auto"/>
            <w:noWrap/>
            <w:vAlign w:val="center"/>
            <w:hideMark/>
          </w:tcPr>
          <w:p w14:paraId="490B9CB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282</w:t>
            </w:r>
          </w:p>
        </w:tc>
        <w:tc>
          <w:tcPr>
            <w:tcW w:w="1620" w:type="dxa"/>
            <w:tcBorders>
              <w:top w:val="nil"/>
              <w:left w:val="nil"/>
              <w:bottom w:val="single" w:sz="4" w:space="0" w:color="auto"/>
              <w:right w:val="single" w:sz="4" w:space="0" w:color="auto"/>
            </w:tcBorders>
            <w:shd w:val="clear" w:color="auto" w:fill="auto"/>
            <w:noWrap/>
            <w:vAlign w:val="center"/>
            <w:hideMark/>
          </w:tcPr>
          <w:p w14:paraId="5D88CE0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4540A47" w14:textId="4F9D713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79A7A6A6"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6C199B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C32C78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sen-2</w:t>
            </w:r>
          </w:p>
        </w:tc>
        <w:tc>
          <w:tcPr>
            <w:tcW w:w="3690" w:type="dxa"/>
            <w:tcBorders>
              <w:top w:val="nil"/>
              <w:left w:val="nil"/>
              <w:bottom w:val="single" w:sz="4" w:space="0" w:color="auto"/>
              <w:right w:val="single" w:sz="4" w:space="0" w:color="auto"/>
            </w:tcBorders>
            <w:shd w:val="clear" w:color="auto" w:fill="auto"/>
            <w:noWrap/>
            <w:vAlign w:val="center"/>
            <w:hideMark/>
          </w:tcPr>
          <w:p w14:paraId="031DCC9B" w14:textId="77777777" w:rsidR="00F90100" w:rsidRPr="006C34E3" w:rsidRDefault="00F90100" w:rsidP="00F90100">
            <w:pPr>
              <w:spacing w:before="0" w:after="0"/>
              <w:jc w:val="center"/>
              <w:rPr>
                <w:rFonts w:eastAsia="Times New Roman" w:cs="Times New Roman"/>
                <w:sz w:val="16"/>
                <w:szCs w:val="16"/>
                <w:lang w:val="fr-BE"/>
              </w:rPr>
            </w:pPr>
            <w:r w:rsidRPr="006C34E3">
              <w:rPr>
                <w:rFonts w:eastAsia="Times New Roman" w:cs="Times New Roman"/>
                <w:sz w:val="16"/>
                <w:szCs w:val="16"/>
                <w:lang w:val="fr-BE"/>
              </w:rPr>
              <w:t>CAT CAT GCT TAT ACG GAG GAG</w:t>
            </w:r>
          </w:p>
        </w:tc>
        <w:tc>
          <w:tcPr>
            <w:tcW w:w="3780" w:type="dxa"/>
            <w:tcBorders>
              <w:top w:val="nil"/>
              <w:left w:val="nil"/>
              <w:bottom w:val="single" w:sz="4" w:space="0" w:color="auto"/>
              <w:right w:val="single" w:sz="4" w:space="0" w:color="auto"/>
            </w:tcBorders>
            <w:shd w:val="clear" w:color="auto" w:fill="auto"/>
            <w:noWrap/>
            <w:vAlign w:val="center"/>
            <w:hideMark/>
          </w:tcPr>
          <w:p w14:paraId="293F172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CCC ACT GAA CCT TTT ACG TT</w:t>
            </w:r>
          </w:p>
        </w:tc>
        <w:tc>
          <w:tcPr>
            <w:tcW w:w="1620" w:type="dxa"/>
            <w:tcBorders>
              <w:top w:val="nil"/>
              <w:left w:val="nil"/>
              <w:bottom w:val="single" w:sz="4" w:space="0" w:color="auto"/>
              <w:right w:val="single" w:sz="4" w:space="0" w:color="auto"/>
            </w:tcBorders>
            <w:shd w:val="clear" w:color="auto" w:fill="auto"/>
            <w:noWrap/>
            <w:vAlign w:val="center"/>
            <w:hideMark/>
          </w:tcPr>
          <w:p w14:paraId="7466DEA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301</w:t>
            </w:r>
          </w:p>
        </w:tc>
        <w:tc>
          <w:tcPr>
            <w:tcW w:w="1620" w:type="dxa"/>
            <w:tcBorders>
              <w:top w:val="nil"/>
              <w:left w:val="nil"/>
              <w:bottom w:val="single" w:sz="4" w:space="0" w:color="auto"/>
              <w:right w:val="single" w:sz="4" w:space="0" w:color="auto"/>
            </w:tcBorders>
            <w:shd w:val="clear" w:color="auto" w:fill="auto"/>
            <w:noWrap/>
            <w:vAlign w:val="center"/>
            <w:hideMark/>
          </w:tcPr>
          <w:p w14:paraId="2979583C"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F3AB111" w14:textId="0F1F394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{"citationItems":[{"id":"ITEM-1","itemData":{"DOI":"10.1016/j.vetmic.2010.06.021","ISSN":"03781135","PMID":"20667668","abstract":"The coagulase-negative staphylococci (CNS) are the most prevalent mastitis pathogen group yet their virulence characteristics have not been well described. We investigated the presence of 19 classical and newly described staphylococcal superantigen (SAg) genes in CNS isolates from bovine intramammary infections (IMI). A total of 263 CNS representing 11 different Staphylococcus spp. were examined, and 31.2% (n= 82) of CNS isolates had one or more SAg genes; there were 21 different SAg gene combinations. The most prevalent combination of SAg genes (seb, seln and selq; n= 45) was found in S. chromogenes, S. xylosus, S. haemolyticus, S. sciuri subsp. carnaticus, S. simulans and S. succinus. The genes for SAgs appear to be widely distributed amongst CNS isolated from bovine IMI. © 2010 Elsevier B.V.","author":[{"dropping-particle":"","family":"Park","given":"Joo Youn","non-dropping-particle":"","parse-names":false,"suffix":""},{"dropping-particle":"","family":"Fox","given":"Lawrence K.","non-dropping-particle":"","parse-names":false,"suffix":""},{"dropping-particle":"","family":"Seo","given":"Keun Seok","non-dropping-particle":"","parse-names":false,"suffix":""},{"dropping-particle":"","family":"McGuire","given":"Mark A.","non-dropping-particle":"","parse-names":false,"suffix":""},{"dropping-particle":"","family":"Park","given":"Yong Ho","non-dropping-particle":"","parse-names":false,"suffix":""},{"dropping-particle":"","family":"Rurangirwa","given":"Fred R.","non-dropping-particle":"","parse-names":false,"suffix":""},{"dropping-particle":"","family":"Sischo","given":"William M.","non-dropping-particle":"","parse-names":false,"suffix":""},{"dropping-particle":"","family":"Bohach","given":"Gregory A.","non-dropping-particle":"","parse-names":false,"suffix":""}],"container-title":"Veterinary Microbiology","id":"ITEM-1","issue":"1-2","issued":{"date-parts":[["2011"]]},"page":"149-154","publisher":"Elsevier B.V.","title":"Detection of classical and newly described staphylococcal superantigen genes in coagulase-negative staphylococci isolated from bovine intramammary infections","type":"article-journal","volume":"147"},"uris":["http://www.mendeley.com/documents/?uuid=9afd5eb4-7cc0-44e6-a295-72bf1ca90bc5"]}],"mendeley":{"formattedCitation":"(Park et al., 2011)","plainTextFormattedCitation":"(Park et al., 2011)","previouslyFormattedCitation":"(Park et al., 2011)"},"properties":{"noteIndex":0},"schema":"https://github.com/citation-style-language/schema/raw/master/csl-citation.json"}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(Park et al., 2011)</w:t>
            </w:r>
            <w:r w:rsidRPr="006C34E3">
              <w:rPr>
                <w:rFonts w:eastAsia="Times New Roman" w:cs="Times New Roman"/>
                <w:color w:val="000000"/>
                <w:sz w:val="16"/>
                <w:szCs w:val="16"/>
              </w:rPr>
              <w:fldChar w:fldCharType="end"/>
            </w:r>
          </w:p>
        </w:tc>
      </w:tr>
      <w:tr w:rsidR="00F90100" w:rsidRPr="006C34E3" w14:paraId="6F265D73"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FB12777"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A43CF2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sen-3</w:t>
            </w:r>
          </w:p>
        </w:tc>
        <w:tc>
          <w:tcPr>
            <w:tcW w:w="3690" w:type="dxa"/>
            <w:tcBorders>
              <w:top w:val="nil"/>
              <w:left w:val="nil"/>
              <w:bottom w:val="single" w:sz="4" w:space="0" w:color="auto"/>
              <w:right w:val="single" w:sz="4" w:space="0" w:color="auto"/>
            </w:tcBorders>
            <w:shd w:val="clear" w:color="auto" w:fill="auto"/>
            <w:noWrap/>
            <w:vAlign w:val="center"/>
            <w:hideMark/>
          </w:tcPr>
          <w:p w14:paraId="566E0917" w14:textId="77777777" w:rsidR="00F90100" w:rsidRPr="00634D63" w:rsidRDefault="00F90100" w:rsidP="00F90100">
            <w:pPr>
              <w:spacing w:before="0" w:after="0"/>
              <w:jc w:val="center"/>
              <w:rPr>
                <w:rFonts w:eastAsia="Times New Roman" w:cs="Times New Roman"/>
                <w:sz w:val="16"/>
                <w:szCs w:val="16"/>
                <w:lang w:val="de-DE"/>
              </w:rPr>
            </w:pPr>
            <w:r w:rsidRPr="00634D63">
              <w:rPr>
                <w:rFonts w:eastAsia="Times New Roman" w:cs="Times New Roman"/>
                <w:sz w:val="16"/>
                <w:szCs w:val="16"/>
                <w:lang w:val="de-DE"/>
              </w:rPr>
              <w:t>GGC AAT TAG ACG AGT CA</w:t>
            </w:r>
          </w:p>
        </w:tc>
        <w:tc>
          <w:tcPr>
            <w:tcW w:w="3780" w:type="dxa"/>
            <w:tcBorders>
              <w:top w:val="nil"/>
              <w:left w:val="nil"/>
              <w:bottom w:val="single" w:sz="4" w:space="0" w:color="auto"/>
              <w:right w:val="single" w:sz="4" w:space="0" w:color="auto"/>
            </w:tcBorders>
            <w:shd w:val="clear" w:color="auto" w:fill="auto"/>
            <w:noWrap/>
            <w:vAlign w:val="center"/>
            <w:hideMark/>
          </w:tcPr>
          <w:p w14:paraId="565FAAF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ATC GTA ACT CCT CCG TA</w:t>
            </w:r>
          </w:p>
        </w:tc>
        <w:tc>
          <w:tcPr>
            <w:tcW w:w="1620" w:type="dxa"/>
            <w:tcBorders>
              <w:top w:val="nil"/>
              <w:left w:val="nil"/>
              <w:bottom w:val="single" w:sz="4" w:space="0" w:color="auto"/>
              <w:right w:val="single" w:sz="4" w:space="0" w:color="auto"/>
            </w:tcBorders>
            <w:shd w:val="clear" w:color="auto" w:fill="auto"/>
            <w:noWrap/>
            <w:vAlign w:val="center"/>
            <w:hideMark/>
          </w:tcPr>
          <w:p w14:paraId="2F2ED05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237</w:t>
            </w:r>
          </w:p>
        </w:tc>
        <w:tc>
          <w:tcPr>
            <w:tcW w:w="1620" w:type="dxa"/>
            <w:tcBorders>
              <w:top w:val="nil"/>
              <w:left w:val="nil"/>
              <w:bottom w:val="single" w:sz="4" w:space="0" w:color="auto"/>
              <w:right w:val="single" w:sz="4" w:space="0" w:color="auto"/>
            </w:tcBorders>
            <w:shd w:val="clear" w:color="auto" w:fill="auto"/>
            <w:noWrap/>
            <w:vAlign w:val="center"/>
            <w:hideMark/>
          </w:tcPr>
          <w:p w14:paraId="31FBC185"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23BE755" w14:textId="3FD2D734"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food","type":"article-journal","volume":"108"},"uris":["http://www.mendeley.com/documents/?uuid=1e30e41a-d5d6-4d0d-89db-dfba48254266"]}],"mendeley":{"formattedCitation":"(Bania et al., 2006)","plainTextFormattedCitation":"(Bania et al., 2006)","previouslyFormattedCitation":"(Bania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w:t>
            </w:r>
            <w:r w:rsidRPr="006C34E3">
              <w:rPr>
                <w:rFonts w:eastAsia="Times New Roman" w:cs="Times New Roman"/>
                <w:color w:val="000000"/>
                <w:sz w:val="16"/>
                <w:szCs w:val="16"/>
              </w:rPr>
              <w:fldChar w:fldCharType="end"/>
            </w:r>
          </w:p>
        </w:tc>
      </w:tr>
      <w:tr w:rsidR="00F90100" w:rsidRPr="006C34E3" w14:paraId="2776520B"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DDC001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BFD0B6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sen-4</w:t>
            </w:r>
          </w:p>
        </w:tc>
        <w:tc>
          <w:tcPr>
            <w:tcW w:w="3690" w:type="dxa"/>
            <w:tcBorders>
              <w:top w:val="nil"/>
              <w:left w:val="nil"/>
              <w:bottom w:val="single" w:sz="4" w:space="0" w:color="auto"/>
              <w:right w:val="single" w:sz="4" w:space="0" w:color="auto"/>
            </w:tcBorders>
            <w:shd w:val="clear" w:color="auto" w:fill="auto"/>
            <w:noWrap/>
            <w:vAlign w:val="center"/>
            <w:hideMark/>
          </w:tcPr>
          <w:p w14:paraId="65ABA1CB" w14:textId="77777777" w:rsidR="00F90100" w:rsidRPr="00634D63" w:rsidRDefault="00F90100" w:rsidP="00F90100">
            <w:pPr>
              <w:spacing w:before="0" w:after="0"/>
              <w:jc w:val="center"/>
              <w:rPr>
                <w:rFonts w:eastAsia="Times New Roman" w:cs="Times New Roman"/>
                <w:sz w:val="16"/>
                <w:szCs w:val="16"/>
                <w:lang w:val="de-DE"/>
              </w:rPr>
            </w:pPr>
            <w:r w:rsidRPr="00634D63">
              <w:rPr>
                <w:rFonts w:eastAsia="Times New Roman" w:cs="Times New Roman"/>
                <w:sz w:val="16"/>
                <w:szCs w:val="16"/>
                <w:lang w:val="de-DE"/>
              </w:rPr>
              <w:t>CGT GGC AAT TAG ACG AGT C</w:t>
            </w:r>
          </w:p>
        </w:tc>
        <w:tc>
          <w:tcPr>
            <w:tcW w:w="3780" w:type="dxa"/>
            <w:tcBorders>
              <w:top w:val="nil"/>
              <w:left w:val="nil"/>
              <w:bottom w:val="single" w:sz="4" w:space="0" w:color="auto"/>
              <w:right w:val="single" w:sz="4" w:space="0" w:color="auto"/>
            </w:tcBorders>
            <w:shd w:val="clear" w:color="auto" w:fill="auto"/>
            <w:noWrap/>
            <w:vAlign w:val="center"/>
            <w:hideMark/>
          </w:tcPr>
          <w:p w14:paraId="046AE342" w14:textId="77777777" w:rsidR="00F90100" w:rsidRPr="00634D63" w:rsidRDefault="00F90100" w:rsidP="00F90100">
            <w:pPr>
              <w:spacing w:before="0" w:after="0"/>
              <w:jc w:val="center"/>
              <w:rPr>
                <w:rFonts w:eastAsia="Times New Roman" w:cs="Times New Roman"/>
                <w:sz w:val="16"/>
                <w:szCs w:val="16"/>
                <w:lang w:val="de-DE"/>
              </w:rPr>
            </w:pPr>
            <w:r w:rsidRPr="00634D63">
              <w:rPr>
                <w:rFonts w:eastAsia="Times New Roman" w:cs="Times New Roman"/>
                <w:sz w:val="16"/>
                <w:szCs w:val="16"/>
                <w:lang w:val="de-DE"/>
              </w:rPr>
              <w:t>GAT TGA TYT TGA TGA TTA TKA G</w:t>
            </w:r>
          </w:p>
        </w:tc>
        <w:tc>
          <w:tcPr>
            <w:tcW w:w="1620" w:type="dxa"/>
            <w:tcBorders>
              <w:top w:val="nil"/>
              <w:left w:val="nil"/>
              <w:bottom w:val="single" w:sz="4" w:space="0" w:color="auto"/>
              <w:right w:val="single" w:sz="4" w:space="0" w:color="auto"/>
            </w:tcBorders>
            <w:shd w:val="clear" w:color="auto" w:fill="auto"/>
            <w:noWrap/>
            <w:vAlign w:val="center"/>
            <w:hideMark/>
          </w:tcPr>
          <w:p w14:paraId="139D0DC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474</w:t>
            </w:r>
          </w:p>
        </w:tc>
        <w:tc>
          <w:tcPr>
            <w:tcW w:w="1620" w:type="dxa"/>
            <w:tcBorders>
              <w:top w:val="nil"/>
              <w:left w:val="nil"/>
              <w:bottom w:val="single" w:sz="4" w:space="0" w:color="auto"/>
              <w:right w:val="single" w:sz="4" w:space="0" w:color="auto"/>
            </w:tcBorders>
            <w:shd w:val="clear" w:color="auto" w:fill="auto"/>
            <w:noWrap/>
            <w:vAlign w:val="center"/>
            <w:hideMark/>
          </w:tcPr>
          <w:p w14:paraId="0B266AF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BE2D0EF" w14:textId="6FAC0CF8"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684E8101"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01363516"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79F2C3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sen-5</w:t>
            </w:r>
          </w:p>
        </w:tc>
        <w:tc>
          <w:tcPr>
            <w:tcW w:w="3690" w:type="dxa"/>
            <w:tcBorders>
              <w:top w:val="nil"/>
              <w:left w:val="nil"/>
              <w:bottom w:val="single" w:sz="4" w:space="0" w:color="auto"/>
              <w:right w:val="single" w:sz="4" w:space="0" w:color="auto"/>
            </w:tcBorders>
            <w:shd w:val="clear" w:color="auto" w:fill="auto"/>
            <w:noWrap/>
            <w:vAlign w:val="center"/>
            <w:hideMark/>
          </w:tcPr>
          <w:p w14:paraId="5070F02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ACG TGG CAA TTA GAC GAG TC</w:t>
            </w:r>
          </w:p>
        </w:tc>
        <w:tc>
          <w:tcPr>
            <w:tcW w:w="3780" w:type="dxa"/>
            <w:tcBorders>
              <w:top w:val="nil"/>
              <w:left w:val="nil"/>
              <w:bottom w:val="single" w:sz="4" w:space="0" w:color="auto"/>
              <w:right w:val="single" w:sz="4" w:space="0" w:color="auto"/>
            </w:tcBorders>
            <w:shd w:val="clear" w:color="auto" w:fill="auto"/>
            <w:noWrap/>
            <w:vAlign w:val="center"/>
            <w:hideMark/>
          </w:tcPr>
          <w:p w14:paraId="17BB201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GAT TGA TCT TGA TGA TTA TGA GAA TGA AAG</w:t>
            </w:r>
          </w:p>
        </w:tc>
        <w:tc>
          <w:tcPr>
            <w:tcW w:w="1620" w:type="dxa"/>
            <w:tcBorders>
              <w:top w:val="nil"/>
              <w:left w:val="nil"/>
              <w:bottom w:val="single" w:sz="4" w:space="0" w:color="auto"/>
              <w:right w:val="single" w:sz="4" w:space="0" w:color="auto"/>
            </w:tcBorders>
            <w:shd w:val="clear" w:color="auto" w:fill="auto"/>
            <w:noWrap/>
            <w:vAlign w:val="center"/>
            <w:hideMark/>
          </w:tcPr>
          <w:p w14:paraId="00CBE363"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476</w:t>
            </w:r>
          </w:p>
        </w:tc>
        <w:tc>
          <w:tcPr>
            <w:tcW w:w="1620" w:type="dxa"/>
            <w:tcBorders>
              <w:top w:val="nil"/>
              <w:left w:val="nil"/>
              <w:bottom w:val="single" w:sz="4" w:space="0" w:color="auto"/>
              <w:right w:val="single" w:sz="4" w:space="0" w:color="auto"/>
            </w:tcBorders>
            <w:shd w:val="clear" w:color="auto" w:fill="auto"/>
            <w:noWrap/>
            <w:vAlign w:val="center"/>
            <w:hideMark/>
          </w:tcPr>
          <w:p w14:paraId="28DF0131"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E3D7F6F" w14:textId="36B11D4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{"citationItems":[{"id":"ITEM-1","itemData":{"DOI":"10.1128/IAI.00132-06","ISSN":"0019-9567","PMID":"16861660","abstract":"To test the hypothesis that the Staphylococcus aureus enterotoxin gene cluster ( egc ) can generate new enterotoxin genes by recombination, we analyzed the egc locus in a broad panel of 666 clinical isolates of S. aureus. egc was present in 63% of isolates, confirming its high prevalence. The archetypal organization of the egc locus, consisting of five enterotoxin genes plus two pseudogenes, was found in 409 of 421 egc -positive strains. The egc locus was incomplete in a few strains and occasionally harbored an insertion sequence and transposase genes. These strains may represent evolutionary intermediates of the egc locus. One strain with an atypical egc locus produced two new enterotoxins, designated SE l V and SE l U2, generated by (i) recombination between selm and sei , producing selv , and (ii) a limited deletion in the φent1-φent2 pseudogenes, producing selu2 . Recombinant SE l V and SE l U2 had superantigen activity, as they specifically activated the T-cell families Vβ 6, Vβ 18, and Vβ 21 (SE l V) and Vβ 13.2 and Vβ 14 (SE l U2). Immunoscope analysis showed a Gaussian CDR3 size distribution of T-cell receptor Vβ chain junctional transcripts of expanded Vβ subsets in toxin-stimulated cultures, reflecting a high level of polyclonality. These data show that egc is indeed capable of generating new superantigen genes through recombination.","author":[{"dropping-particle":"","family":"Thomas","given":"Damien Yann","non-dropping-particle":"","parse-names":false,"suffix":""},{"dropping-particle":"","family":"Jarraud","given":"Sophie","non-dropping-particle":"","parse-names":false,"suffix":""},{"dropping-particle":"","family":"Lemercier","given":"Brigitte","non-dropping-particle":"","parse-names":false,"suffix":""},{"dropping-particle":"","family":"Cozon","given":"Gregoire","non-dropping-particle":"","parse-names":false,"suffix":""},{"dropping-particle":"","family":"Echasserieau","given":"Klara","non-dropping-particle":"","parse-names":false,"suffix":""},{"dropping-particle":"","family":"Etienne","given":"Jerome","non-dropping-particle":"","parse-names":false,"suffix":""},{"dropping-particle":"","family":"Gougeon","given":"Marie-Lise","non-dropping-particle":"","parse-names":false,"suffix":""},{"dropping-particle":"","family":"Lina","given":"Gerard","non-dropping-particle":"","parse-names":false,"suffix":""},{"dropping-particle":"","family":"Vandenesch","given":"François","non-dropping-particle":"","parse-names":false,"suffix":""}],"container-title":"Infection and Immunity","id":"ITEM-1","issue":"8","issued":{"date-parts":[["2006","8"]]},"page":"4724-4734","title":"Staphylococcal Enterotoxin-Like Toxins U2 and V, Two New Staphylococcal Superantigens Arising from Recombination within the Enterotoxin Gene Cluster","type":"article-journal","volume":"74"},"uris":["http://www.mendeley.com/documents/?uuid=7f71bf2e-7665-4205-a382-14081c69a258"]}],"mendeley":{"formattedCitation":"(Thomas et al., 2006)","plainTextFormattedCitation":"(Thomas et al., 2006)","previouslyFormattedCitation":"(Thomas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(Thomas et al., 2006)</w:t>
            </w:r>
            <w:r w:rsidRPr="006C34E3">
              <w:rPr>
                <w:rFonts w:eastAsia="Times New Roman" w:cs="Times New Roman"/>
                <w:color w:val="000000"/>
                <w:sz w:val="16"/>
                <w:szCs w:val="16"/>
              </w:rPr>
              <w:fldChar w:fldCharType="end"/>
            </w:r>
          </w:p>
        </w:tc>
      </w:tr>
      <w:tr w:rsidR="00F90100" w:rsidRPr="006C34E3" w14:paraId="446C5760"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6B7E3F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7B209D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sen-6</w:t>
            </w:r>
          </w:p>
        </w:tc>
        <w:tc>
          <w:tcPr>
            <w:tcW w:w="3690" w:type="dxa"/>
            <w:tcBorders>
              <w:top w:val="nil"/>
              <w:left w:val="nil"/>
              <w:bottom w:val="single" w:sz="4" w:space="0" w:color="auto"/>
              <w:right w:val="single" w:sz="4" w:space="0" w:color="auto"/>
            </w:tcBorders>
            <w:shd w:val="clear" w:color="auto" w:fill="auto"/>
            <w:noWrap/>
            <w:vAlign w:val="center"/>
            <w:hideMark/>
          </w:tcPr>
          <w:p w14:paraId="042F9DE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CTT CTT GTT GGA CAC CAT CTT</w:t>
            </w:r>
          </w:p>
        </w:tc>
        <w:tc>
          <w:tcPr>
            <w:tcW w:w="3780" w:type="dxa"/>
            <w:tcBorders>
              <w:top w:val="nil"/>
              <w:left w:val="nil"/>
              <w:bottom w:val="single" w:sz="4" w:space="0" w:color="auto"/>
              <w:right w:val="single" w:sz="4" w:space="0" w:color="auto"/>
            </w:tcBorders>
            <w:shd w:val="clear" w:color="auto" w:fill="auto"/>
            <w:noWrap/>
            <w:vAlign w:val="center"/>
            <w:hideMark/>
          </w:tcPr>
          <w:p w14:paraId="31C8531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ATA AAT GTG TAG GCT T</w:t>
            </w:r>
          </w:p>
        </w:tc>
        <w:tc>
          <w:tcPr>
            <w:tcW w:w="1620" w:type="dxa"/>
            <w:tcBorders>
              <w:top w:val="nil"/>
              <w:left w:val="nil"/>
              <w:bottom w:val="single" w:sz="4" w:space="0" w:color="auto"/>
              <w:right w:val="single" w:sz="4" w:space="0" w:color="auto"/>
            </w:tcBorders>
            <w:shd w:val="clear" w:color="auto" w:fill="auto"/>
            <w:noWrap/>
            <w:vAlign w:val="center"/>
            <w:hideMark/>
          </w:tcPr>
          <w:p w14:paraId="6D28ACD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135</w:t>
            </w:r>
          </w:p>
        </w:tc>
        <w:tc>
          <w:tcPr>
            <w:tcW w:w="1620" w:type="dxa"/>
            <w:tcBorders>
              <w:top w:val="nil"/>
              <w:left w:val="nil"/>
              <w:bottom w:val="single" w:sz="4" w:space="0" w:color="auto"/>
              <w:right w:val="single" w:sz="4" w:space="0" w:color="auto"/>
            </w:tcBorders>
            <w:shd w:val="clear" w:color="auto" w:fill="auto"/>
            <w:noWrap/>
            <w:vAlign w:val="center"/>
            <w:hideMark/>
          </w:tcPr>
          <w:p w14:paraId="4C7A936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1574FF21" w14:textId="1C2814C5"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{"citationItems":[{"id":"ITEM-1","itemData":{"DOI":"10.1016/j.ijfoodmicro.2007.10.005","ISSN":"01681605","PMID":"18068843","abstract":"Staphylococcal enterotoxins (SEs) are superantigenic toxins. They are five major classical types, i.e., SEA, SEB, SEC, SED, SEE, and new SEs or SE-like superantigens, such as SEG to SEU. Only the staphylococcal superantigens (SAgs) that induce emesis following oral administration in a monkey model are designated as SEs while other related toxins are called SE-like (SEl) superantigens. To survey the enterotoxin genotypes for S. aureus strains isolated from food-poisoning cases in Taiwan, we developed PCR primers specific for SEN, SEO, SEP, SEQ, SER, and SEU genes. The complete SE sequences and their expression potential for strains positive to sen, seo, sep, seq, ser, and seu specific primers were also determined. These strains were used as reference strains. With the PCR primers specific for all SEs or SAgs, including toxic shock syndrome toxin I (TSST-1), we assayed the genotypes of 147 S. aureus strains isolated from patients associated with staphylococcal food-poisoning outbreaks occurred during 2001-2003. For these147 strains, 135 (91.8%) were found positive for one or more SE or SAg genes. For classical enterotoxin and TSST-1 types, the major one was tsst-1 (59.1%) following by sea (29.2%), seb (19.7%), sec (6.8%), and sed (2.0%). For new SE and SAg types, the major one was sei (29.9%) and sep (27.9%) followed by, sek (16.3%), seo (14.3%), seu (14.2%), sem (11.6%), sen (10.9%), seq (10.9%), seh (8.2%), sel (6.8%), and ser (5.4%) etc. This report reveals the whole SE and SAg genotypes for S. aureus strains isolated from staphylococcal food-poisoning cases in Taiwan. © 2007 Elsevier B.V. All rights reserved.","author":[{"dropping-particle":"","family":"Chiang","given":"Yu Cheng","non-dropping-particle":"","parse-names":false,"suffix":""},{"dropping-particle":"","family":"Liao","given":"Wan Wen","non-dropping-particle":"","parse-names":false,"suffix":""},{"dropping-particle":"","family":"Fan","given":"Chin Ming","non-dropping-particle":"","parse-names":false,"suffix":""},{"dropping-particle":"","family":"Pai","given":"Wan Yu","non-dropping-particle":"","parse-names":false,"suffix":""},{"dropping-particle":"","family":"Chiou","given":"Chien Shun","non-dropping-particle":"","parse-names":false,"suffix":""},{"dropping-particle":"","family":"Tsen","given":"Hau Yang","non-dropping-particle":"","parse-names":false,"suffix":""}],"container-title":"International Journal of Food Microbiology","id":"ITEM-1","issue":"1","issued":{"date-parts":[["2008"]]},"page":"66-73","title":"PCR detection of Staphylococcal enterotoxins (SEs) N, O, P, Q, R, U, and survey of SE types in Staphylococcus aureus isolates from food-poisoning cases in Taiwan","type":"article-journal","volume":"121"},"uris":["http://www.mendeley.com/documents/?uuid=7fef7acf-7abd-4938-bbd0-416c2cffcdc3"]}],"mendeley":{"formattedCitation":"(Chiang et al., 2008)","plainTextFormattedCitation":"(Chiang et al., 2008)","previouslyFormattedCitation":"(Chiang et al., 2008)"},"properties":{"noteIndex":0},"schema":"https://github.com/citation-style-language/schema/raw/master/csl-citation.json"}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(Chiang et al., 2008)</w:t>
            </w:r>
            <w:r w:rsidRPr="006C34E3">
              <w:rPr>
                <w:rFonts w:eastAsia="Times New Roman" w:cs="Times New Roman"/>
                <w:color w:val="000000"/>
                <w:sz w:val="16"/>
                <w:szCs w:val="16"/>
              </w:rPr>
              <w:fldChar w:fldCharType="end"/>
            </w:r>
          </w:p>
        </w:tc>
      </w:tr>
      <w:tr w:rsidR="00F90100" w:rsidRPr="006C34E3" w14:paraId="5DDE611B"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0B60D52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CDE9D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sen-7</w:t>
            </w:r>
          </w:p>
        </w:tc>
        <w:tc>
          <w:tcPr>
            <w:tcW w:w="3690" w:type="dxa"/>
            <w:tcBorders>
              <w:top w:val="nil"/>
              <w:left w:val="nil"/>
              <w:bottom w:val="single" w:sz="4" w:space="0" w:color="auto"/>
              <w:right w:val="single" w:sz="4" w:space="0" w:color="auto"/>
            </w:tcBorders>
            <w:shd w:val="clear" w:color="auto" w:fill="auto"/>
            <w:noWrap/>
            <w:vAlign w:val="center"/>
            <w:hideMark/>
          </w:tcPr>
          <w:p w14:paraId="234EF64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ATG AGA TTG TTC TAC ATA GCT GCA AT</w:t>
            </w:r>
          </w:p>
        </w:tc>
        <w:tc>
          <w:tcPr>
            <w:tcW w:w="3780" w:type="dxa"/>
            <w:tcBorders>
              <w:top w:val="nil"/>
              <w:left w:val="nil"/>
              <w:bottom w:val="single" w:sz="4" w:space="0" w:color="auto"/>
              <w:right w:val="single" w:sz="4" w:space="0" w:color="auto"/>
            </w:tcBorders>
            <w:shd w:val="clear" w:color="auto" w:fill="auto"/>
            <w:noWrap/>
            <w:vAlign w:val="center"/>
            <w:hideMark/>
          </w:tcPr>
          <w:p w14:paraId="274AC34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AAC TCT GCT CCC ACT GAA C</w:t>
            </w:r>
          </w:p>
        </w:tc>
        <w:tc>
          <w:tcPr>
            <w:tcW w:w="1620" w:type="dxa"/>
            <w:tcBorders>
              <w:top w:val="nil"/>
              <w:left w:val="nil"/>
              <w:bottom w:val="single" w:sz="4" w:space="0" w:color="auto"/>
              <w:right w:val="single" w:sz="4" w:space="0" w:color="auto"/>
            </w:tcBorders>
            <w:shd w:val="clear" w:color="auto" w:fill="auto"/>
            <w:noWrap/>
            <w:vAlign w:val="center"/>
            <w:hideMark/>
          </w:tcPr>
          <w:p w14:paraId="7A3271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680</w:t>
            </w:r>
          </w:p>
        </w:tc>
        <w:tc>
          <w:tcPr>
            <w:tcW w:w="1620" w:type="dxa"/>
            <w:tcBorders>
              <w:top w:val="nil"/>
              <w:left w:val="nil"/>
              <w:bottom w:val="single" w:sz="4" w:space="0" w:color="auto"/>
              <w:right w:val="single" w:sz="4" w:space="0" w:color="auto"/>
            </w:tcBorders>
            <w:shd w:val="clear" w:color="auto" w:fill="auto"/>
            <w:noWrap/>
            <w:vAlign w:val="center"/>
            <w:hideMark/>
          </w:tcPr>
          <w:p w14:paraId="7C3B2A9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4DE43DE" w14:textId="05563E65"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42D4F707"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740314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4AE92C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sen-8</w:t>
            </w:r>
          </w:p>
        </w:tc>
        <w:tc>
          <w:tcPr>
            <w:tcW w:w="3690" w:type="dxa"/>
            <w:tcBorders>
              <w:top w:val="nil"/>
              <w:left w:val="nil"/>
              <w:bottom w:val="single" w:sz="4" w:space="0" w:color="auto"/>
              <w:right w:val="single" w:sz="4" w:space="0" w:color="auto"/>
            </w:tcBorders>
            <w:shd w:val="clear" w:color="auto" w:fill="auto"/>
            <w:noWrap/>
            <w:vAlign w:val="center"/>
            <w:hideMark/>
          </w:tcPr>
          <w:p w14:paraId="2840F7E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TAC TGA TAT AAC GTG GCA AT</w:t>
            </w:r>
          </w:p>
        </w:tc>
        <w:tc>
          <w:tcPr>
            <w:tcW w:w="3780" w:type="dxa"/>
            <w:tcBorders>
              <w:top w:val="nil"/>
              <w:left w:val="nil"/>
              <w:bottom w:val="single" w:sz="4" w:space="0" w:color="auto"/>
              <w:right w:val="single" w:sz="4" w:space="0" w:color="auto"/>
            </w:tcBorders>
            <w:shd w:val="clear" w:color="auto" w:fill="auto"/>
            <w:noWrap/>
            <w:vAlign w:val="center"/>
            <w:hideMark/>
          </w:tcPr>
          <w:p w14:paraId="5F72B06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AGA TGA GCT AAC TGT TCT ATT </w:t>
            </w:r>
          </w:p>
        </w:tc>
        <w:tc>
          <w:tcPr>
            <w:tcW w:w="1620" w:type="dxa"/>
            <w:tcBorders>
              <w:top w:val="nil"/>
              <w:left w:val="nil"/>
              <w:bottom w:val="single" w:sz="4" w:space="0" w:color="auto"/>
              <w:right w:val="single" w:sz="4" w:space="0" w:color="auto"/>
            </w:tcBorders>
            <w:shd w:val="clear" w:color="auto" w:fill="auto"/>
            <w:noWrap/>
            <w:vAlign w:val="center"/>
            <w:hideMark/>
          </w:tcPr>
          <w:p w14:paraId="4DE56F2D"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574</w:t>
            </w:r>
          </w:p>
        </w:tc>
        <w:tc>
          <w:tcPr>
            <w:tcW w:w="1620" w:type="dxa"/>
            <w:tcBorders>
              <w:top w:val="nil"/>
              <w:left w:val="nil"/>
              <w:bottom w:val="single" w:sz="4" w:space="0" w:color="auto"/>
              <w:right w:val="single" w:sz="4" w:space="0" w:color="auto"/>
            </w:tcBorders>
            <w:shd w:val="clear" w:color="auto" w:fill="auto"/>
            <w:noWrap/>
            <w:vAlign w:val="center"/>
            <w:hideMark/>
          </w:tcPr>
          <w:p w14:paraId="75E6E77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649A894" w14:textId="1A3C2A3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086459B3"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F15A965"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seo</w:t>
            </w:r>
          </w:p>
        </w:tc>
        <w:tc>
          <w:tcPr>
            <w:tcW w:w="720" w:type="dxa"/>
            <w:tcBorders>
              <w:top w:val="nil"/>
              <w:left w:val="nil"/>
              <w:bottom w:val="single" w:sz="4" w:space="0" w:color="auto"/>
              <w:right w:val="single" w:sz="4" w:space="0" w:color="auto"/>
            </w:tcBorders>
            <w:shd w:val="clear" w:color="auto" w:fill="F3FF85"/>
            <w:noWrap/>
            <w:vAlign w:val="center"/>
            <w:hideMark/>
          </w:tcPr>
          <w:p w14:paraId="7D10906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seo-1</w:t>
            </w:r>
          </w:p>
        </w:tc>
        <w:tc>
          <w:tcPr>
            <w:tcW w:w="3690" w:type="dxa"/>
            <w:tcBorders>
              <w:top w:val="nil"/>
              <w:left w:val="nil"/>
              <w:bottom w:val="single" w:sz="4" w:space="0" w:color="auto"/>
              <w:right w:val="single" w:sz="4" w:space="0" w:color="auto"/>
            </w:tcBorders>
            <w:shd w:val="clear" w:color="auto" w:fill="F3FF85"/>
            <w:noWrap/>
            <w:vAlign w:val="center"/>
            <w:hideMark/>
          </w:tcPr>
          <w:p w14:paraId="7F81DF3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GTA AGA AGT CAA GTG TAG</w:t>
            </w:r>
          </w:p>
        </w:tc>
        <w:tc>
          <w:tcPr>
            <w:tcW w:w="3780" w:type="dxa"/>
            <w:tcBorders>
              <w:top w:val="nil"/>
              <w:left w:val="nil"/>
              <w:bottom w:val="single" w:sz="4" w:space="0" w:color="auto"/>
              <w:right w:val="single" w:sz="4" w:space="0" w:color="auto"/>
            </w:tcBorders>
            <w:shd w:val="clear" w:color="auto" w:fill="F3FF85"/>
            <w:noWrap/>
            <w:vAlign w:val="center"/>
            <w:hideMark/>
          </w:tcPr>
          <w:p w14:paraId="345C5828"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TCT TTA GAA ATC GCT GAT GA</w:t>
            </w:r>
          </w:p>
        </w:tc>
        <w:tc>
          <w:tcPr>
            <w:tcW w:w="1620" w:type="dxa"/>
            <w:tcBorders>
              <w:top w:val="nil"/>
              <w:left w:val="nil"/>
              <w:bottom w:val="single" w:sz="4" w:space="0" w:color="auto"/>
              <w:right w:val="single" w:sz="4" w:space="0" w:color="auto"/>
            </w:tcBorders>
            <w:shd w:val="clear" w:color="auto" w:fill="F3FF85"/>
            <w:noWrap/>
            <w:vAlign w:val="center"/>
            <w:hideMark/>
          </w:tcPr>
          <w:p w14:paraId="55AECC0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214</w:t>
            </w:r>
          </w:p>
        </w:tc>
        <w:tc>
          <w:tcPr>
            <w:tcW w:w="1620" w:type="dxa"/>
            <w:tcBorders>
              <w:top w:val="nil"/>
              <w:left w:val="nil"/>
              <w:bottom w:val="single" w:sz="4" w:space="0" w:color="auto"/>
              <w:right w:val="single" w:sz="4" w:space="0" w:color="auto"/>
            </w:tcBorders>
            <w:shd w:val="clear" w:color="auto" w:fill="F3FF85"/>
            <w:noWrap/>
            <w:vAlign w:val="center"/>
            <w:hideMark/>
          </w:tcPr>
          <w:p w14:paraId="2DD5E5B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F3FF85"/>
            <w:noWrap/>
            <w:vAlign w:val="center"/>
            <w:hideMark/>
          </w:tcPr>
          <w:p w14:paraId="01D94CCF" w14:textId="6EEF756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4B5F1400"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0CD1D9DC"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F3FF85"/>
            <w:noWrap/>
            <w:vAlign w:val="center"/>
            <w:hideMark/>
          </w:tcPr>
          <w:p w14:paraId="699F8F5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seo-2</w:t>
            </w:r>
          </w:p>
        </w:tc>
        <w:tc>
          <w:tcPr>
            <w:tcW w:w="3690" w:type="dxa"/>
            <w:tcBorders>
              <w:top w:val="nil"/>
              <w:left w:val="nil"/>
              <w:bottom w:val="single" w:sz="4" w:space="0" w:color="auto"/>
              <w:right w:val="single" w:sz="4" w:space="0" w:color="auto"/>
            </w:tcBorders>
            <w:shd w:val="clear" w:color="auto" w:fill="F3FF85"/>
            <w:noWrap/>
            <w:vAlign w:val="center"/>
            <w:hideMark/>
          </w:tcPr>
          <w:p w14:paraId="294C24E1" w14:textId="77777777" w:rsidR="00F90100" w:rsidRPr="006C34E3" w:rsidRDefault="00F90100" w:rsidP="00F90100">
            <w:pPr>
              <w:spacing w:before="0" w:after="0"/>
              <w:jc w:val="center"/>
              <w:rPr>
                <w:rFonts w:eastAsia="Times New Roman" w:cs="Times New Roman"/>
                <w:sz w:val="16"/>
                <w:szCs w:val="16"/>
                <w:lang w:val="fr-BE"/>
              </w:rPr>
            </w:pPr>
            <w:r w:rsidRPr="006C34E3">
              <w:rPr>
                <w:rFonts w:eastAsia="Times New Roman" w:cs="Times New Roman"/>
                <w:sz w:val="16"/>
                <w:szCs w:val="16"/>
                <w:lang w:val="fr-BE"/>
              </w:rPr>
              <w:t>GTC AAG TGT AGA CCC TA</w:t>
            </w:r>
          </w:p>
        </w:tc>
        <w:tc>
          <w:tcPr>
            <w:tcW w:w="3780" w:type="dxa"/>
            <w:tcBorders>
              <w:top w:val="nil"/>
              <w:left w:val="nil"/>
              <w:bottom w:val="single" w:sz="4" w:space="0" w:color="auto"/>
              <w:right w:val="single" w:sz="4" w:space="0" w:color="auto"/>
            </w:tcBorders>
            <w:shd w:val="clear" w:color="auto" w:fill="F3FF85"/>
            <w:noWrap/>
            <w:vAlign w:val="center"/>
            <w:hideMark/>
          </w:tcPr>
          <w:p w14:paraId="692F97D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ACA GGC AGT ATC CA</w:t>
            </w:r>
          </w:p>
        </w:tc>
        <w:tc>
          <w:tcPr>
            <w:tcW w:w="1620" w:type="dxa"/>
            <w:tcBorders>
              <w:top w:val="nil"/>
              <w:left w:val="nil"/>
              <w:bottom w:val="single" w:sz="4" w:space="0" w:color="auto"/>
              <w:right w:val="single" w:sz="4" w:space="0" w:color="auto"/>
            </w:tcBorders>
            <w:shd w:val="clear" w:color="auto" w:fill="F3FF85"/>
            <w:noWrap/>
            <w:vAlign w:val="center"/>
            <w:hideMark/>
          </w:tcPr>
          <w:p w14:paraId="61E1E81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288</w:t>
            </w:r>
          </w:p>
        </w:tc>
        <w:tc>
          <w:tcPr>
            <w:tcW w:w="1620" w:type="dxa"/>
            <w:tcBorders>
              <w:top w:val="nil"/>
              <w:left w:val="nil"/>
              <w:bottom w:val="single" w:sz="4" w:space="0" w:color="auto"/>
              <w:right w:val="single" w:sz="4" w:space="0" w:color="auto"/>
            </w:tcBorders>
            <w:shd w:val="clear" w:color="auto" w:fill="F3FF85"/>
            <w:noWrap/>
            <w:vAlign w:val="center"/>
            <w:hideMark/>
          </w:tcPr>
          <w:p w14:paraId="3292201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F3FF85"/>
            <w:noWrap/>
            <w:vAlign w:val="center"/>
            <w:hideMark/>
          </w:tcPr>
          <w:p w14:paraId="2AE5C263" w14:textId="0F707F8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food","type":"article-journal","volume":"108"},"uris":["http://www.mendeley.com/documents/?uuid=1e30e41a-d5d6-4d0d-89db-dfba48254266"]}],"mendeley":{"formattedCitation":"(Bania et al., 2006)","plainTextFormattedCitation":"(Bania et al., 2006)","previouslyFormattedCitation":"(Bania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w:t>
            </w:r>
            <w:r w:rsidRPr="006C34E3">
              <w:rPr>
                <w:rFonts w:eastAsia="Times New Roman" w:cs="Times New Roman"/>
                <w:color w:val="000000"/>
                <w:sz w:val="16"/>
                <w:szCs w:val="16"/>
              </w:rPr>
              <w:fldChar w:fldCharType="end"/>
            </w:r>
          </w:p>
        </w:tc>
      </w:tr>
      <w:tr w:rsidR="00F90100" w:rsidRPr="006C34E3" w14:paraId="6934678D"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198F1B2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211176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seo-3</w:t>
            </w:r>
          </w:p>
        </w:tc>
        <w:tc>
          <w:tcPr>
            <w:tcW w:w="3690" w:type="dxa"/>
            <w:tcBorders>
              <w:top w:val="nil"/>
              <w:left w:val="nil"/>
              <w:bottom w:val="single" w:sz="4" w:space="0" w:color="auto"/>
              <w:right w:val="single" w:sz="4" w:space="0" w:color="auto"/>
            </w:tcBorders>
            <w:shd w:val="clear" w:color="auto" w:fill="auto"/>
            <w:noWrap/>
            <w:vAlign w:val="center"/>
            <w:hideMark/>
          </w:tcPr>
          <w:p w14:paraId="04BCD19F" w14:textId="77777777" w:rsidR="00F90100" w:rsidRPr="006C34E3" w:rsidRDefault="00F90100" w:rsidP="00F90100">
            <w:pPr>
              <w:spacing w:before="0" w:after="0"/>
              <w:jc w:val="center"/>
              <w:rPr>
                <w:rFonts w:eastAsia="Times New Roman" w:cs="Times New Roman"/>
                <w:sz w:val="16"/>
                <w:szCs w:val="16"/>
                <w:lang w:val="nl-NL"/>
              </w:rPr>
            </w:pPr>
            <w:r w:rsidRPr="006C34E3">
              <w:rPr>
                <w:rFonts w:eastAsia="Times New Roman" w:cs="Times New Roman"/>
                <w:sz w:val="16"/>
                <w:szCs w:val="16"/>
                <w:lang w:val="nl-NL"/>
              </w:rPr>
              <w:t>AGT TTG TGT AAG AAG TCA AGT GTA GA</w:t>
            </w:r>
          </w:p>
        </w:tc>
        <w:tc>
          <w:tcPr>
            <w:tcW w:w="3780" w:type="dxa"/>
            <w:tcBorders>
              <w:top w:val="nil"/>
              <w:left w:val="nil"/>
              <w:bottom w:val="single" w:sz="4" w:space="0" w:color="auto"/>
              <w:right w:val="single" w:sz="4" w:space="0" w:color="auto"/>
            </w:tcBorders>
            <w:shd w:val="clear" w:color="auto" w:fill="auto"/>
            <w:noWrap/>
            <w:vAlign w:val="center"/>
            <w:hideMark/>
          </w:tcPr>
          <w:p w14:paraId="5AC28180" w14:textId="77777777" w:rsidR="00F90100" w:rsidRPr="006C34E3" w:rsidRDefault="00F90100" w:rsidP="00F90100">
            <w:pPr>
              <w:spacing w:before="0" w:after="0"/>
              <w:jc w:val="center"/>
              <w:rPr>
                <w:rFonts w:eastAsia="Times New Roman" w:cs="Times New Roman"/>
                <w:sz w:val="16"/>
                <w:szCs w:val="16"/>
                <w:lang w:val="nl-NL"/>
              </w:rPr>
            </w:pPr>
            <w:r w:rsidRPr="006C34E3">
              <w:rPr>
                <w:rFonts w:eastAsia="Times New Roman" w:cs="Times New Roman"/>
                <w:sz w:val="16"/>
                <w:szCs w:val="16"/>
                <w:lang w:val="nl-NL"/>
              </w:rPr>
              <w:t>ATC TTT AAA TTC AGC AGA TAT TCC ATC TAA C</w:t>
            </w:r>
          </w:p>
        </w:tc>
        <w:tc>
          <w:tcPr>
            <w:tcW w:w="1620" w:type="dxa"/>
            <w:tcBorders>
              <w:top w:val="nil"/>
              <w:left w:val="nil"/>
              <w:bottom w:val="single" w:sz="4" w:space="0" w:color="auto"/>
              <w:right w:val="single" w:sz="4" w:space="0" w:color="auto"/>
            </w:tcBorders>
            <w:shd w:val="clear" w:color="auto" w:fill="auto"/>
            <w:noWrap/>
            <w:vAlign w:val="center"/>
            <w:hideMark/>
          </w:tcPr>
          <w:p w14:paraId="72EEE2F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180</w:t>
            </w:r>
          </w:p>
        </w:tc>
        <w:tc>
          <w:tcPr>
            <w:tcW w:w="1620" w:type="dxa"/>
            <w:tcBorders>
              <w:top w:val="nil"/>
              <w:left w:val="nil"/>
              <w:bottom w:val="single" w:sz="4" w:space="0" w:color="auto"/>
              <w:right w:val="single" w:sz="4" w:space="0" w:color="auto"/>
            </w:tcBorders>
            <w:shd w:val="clear" w:color="auto" w:fill="auto"/>
            <w:noWrap/>
            <w:vAlign w:val="center"/>
            <w:hideMark/>
          </w:tcPr>
          <w:p w14:paraId="5185106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78D39CD4" w14:textId="5AB06DC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{"citationItems":[{"id":"ITEM-1","itemData":{"DOI":"10.1128/IAI.70.2.631-641.2002","ISSN":"00199567","PMID":"11796592","abstract":"The expression of most Staphylococcus aureus virulence factors is controlled by the agr locus, which encodes a two-component signaling pathway whose activating ligand is an agr-encoded autoinducing peptide (AIP). A polymorphism in the amino acid sequence of the AIP and of its corresponding receptor divides S. aureus strains into four major groups. Within a given group, each strain produces a peptide that can activate the agr response in the other member strains, whereas the AIPs belonging to different groups are usually mutually inhibitory. We investigated a possible relationship between agr groups and human S. aureus disease by studying 198 S. aureus strains isolated from 14 asymptomatic carriers, 66 patients with suppurative infection, and 114 patients with acute toxemia. The agr group and the distribution of 24 toxin genes were analyzed by PCR, and the genetic background was determined by means of amplified fragment length polymorphism (AFLP) analysis. The isolates were relatively evenly distributed among the four agr groups, with 61 strains belonging to agr group I, 49 belonging to group II, 43 belonging to group III, and 45 belonging to group IV. Principal coordinate analysis performed on the AFLP distance matrix divided the 198 strains into three main phylogenetic groups, AF1 corresponding to strains of agr group IV, AF2 corresponding to strains of agr groups I and II, and AF3 corresponding to strains of agr group III. This indicated that the agr type was linked to the genetic background. A relationship between genetic background, agr group, and disease type was observed for several toxinmediated diseases: for instance, agr group IV strains were associated with generalized exfoliative syndromes, and phylogenetic group AF1 strains with bullous impetigo. Among the suppurative infections, endocarditis strains mainly belonged to phylogenetic group AF2 and agr groups I and II. While these results do not show a direct role of the agr type in the type of human disease caused by S. aureus, the agr group may reflect an ancient evolutionary division of S. aureus in terms of this species' fundamental biology.","author":[{"dropping-particle":"","family":"Jarraud","given":"Sophie","non-dropping-particle":"","parse-names":false,"suffix":""},{"dropping-particle":"","family":"Mougel","given":"Christophe","non-dropping-particle":"","parse-names":false,"suffix":""},{"dropping-particle":"","family":"Thioulouse","given":"Jean","non-dropping-particle":"","parse-names":false,"suffix":""},{"dropping-particle":"","family":"Lina","given":"Gerard","non-dropping-particle":"","parse-names":false,"suffix":""},{"dropping-particle":"","family":"Meugnier","given":"Hélène","non-dropping-particle":"","parse-names":false,"suffix":""},{"dropping-particle":"","family":"Forey","given":"Françoise","non-dropping-particle":"","parse-names":false,"suffix":""},{"dropping-particle":"","family":"Nesme","given":"Xavier","non-dropping-particle":"","parse-names":false,"suffix":""},{"dropping-particle":"","family":"Etienne","given":"Jerome","non-dropping-particle":"","parse-names":false,"suffix":""},{"dropping-particle":"","family":"Vandenesch","given":"François","non-dropping-particle":"","parse-names":false,"suffix":""}],"container-title":"Infection and Immunity","id":"ITEM-1","issue":"2","issued":{"date-parts":[["2002"]]},"page":"631-641","title":"Relationships between Staphylococcus aureus genetic background, virulence factors, agr groups (alleles), and human disease","type":"article-journal","volume":"70"},"uris":["http://www.mendeley.com/documents/?uuid=731d45dc-a1e6-4b4f-8ba3-9427c6c5caf2"]}],"mendeley":{"formattedCitation":"(Jarraud et al., 2002)","plainTextFormattedCitation":"(Jarraud et al., 2002)","previouslyFormattedCitation":"(Jarraud et al., 2002)"},"properties":{"noteIndex":0},"schema":"https://github.com/citation-style-language/schema/raw/master/csl-citation.json"}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(Jarraud et al., 2002)</w:t>
            </w:r>
            <w:r w:rsidRPr="006C34E3">
              <w:rPr>
                <w:rFonts w:eastAsia="Times New Roman" w:cs="Times New Roman"/>
                <w:color w:val="000000"/>
                <w:sz w:val="16"/>
                <w:szCs w:val="16"/>
              </w:rPr>
              <w:fldChar w:fldCharType="end"/>
            </w:r>
          </w:p>
        </w:tc>
      </w:tr>
      <w:tr w:rsidR="00F90100" w:rsidRPr="006C34E3" w14:paraId="336A0FD8"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1A7573DA"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6EA2DB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seo-4</w:t>
            </w:r>
          </w:p>
        </w:tc>
        <w:tc>
          <w:tcPr>
            <w:tcW w:w="3690" w:type="dxa"/>
            <w:tcBorders>
              <w:top w:val="nil"/>
              <w:left w:val="nil"/>
              <w:bottom w:val="single" w:sz="4" w:space="0" w:color="auto"/>
              <w:right w:val="single" w:sz="4" w:space="0" w:color="auto"/>
            </w:tcBorders>
            <w:shd w:val="clear" w:color="auto" w:fill="auto"/>
            <w:noWrap/>
            <w:vAlign w:val="center"/>
            <w:hideMark/>
          </w:tcPr>
          <w:p w14:paraId="00E79B5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AAA TTC AGC AGA TAT TCC AT</w:t>
            </w:r>
          </w:p>
        </w:tc>
        <w:tc>
          <w:tcPr>
            <w:tcW w:w="3780" w:type="dxa"/>
            <w:tcBorders>
              <w:top w:val="nil"/>
              <w:left w:val="nil"/>
              <w:bottom w:val="single" w:sz="4" w:space="0" w:color="auto"/>
              <w:right w:val="single" w:sz="4" w:space="0" w:color="auto"/>
            </w:tcBorders>
            <w:shd w:val="clear" w:color="auto" w:fill="auto"/>
            <w:noWrap/>
            <w:vAlign w:val="center"/>
            <w:hideMark/>
          </w:tcPr>
          <w:p w14:paraId="503E5F3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TTT GTG TAA GAA GTC AAG TGT AG</w:t>
            </w:r>
          </w:p>
        </w:tc>
        <w:tc>
          <w:tcPr>
            <w:tcW w:w="1620" w:type="dxa"/>
            <w:tcBorders>
              <w:top w:val="nil"/>
              <w:left w:val="nil"/>
              <w:bottom w:val="single" w:sz="4" w:space="0" w:color="auto"/>
              <w:right w:val="single" w:sz="4" w:space="0" w:color="auto"/>
            </w:tcBorders>
            <w:shd w:val="clear" w:color="auto" w:fill="auto"/>
            <w:noWrap/>
            <w:vAlign w:val="center"/>
            <w:hideMark/>
          </w:tcPr>
          <w:p w14:paraId="03D7DDA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172</w:t>
            </w:r>
          </w:p>
        </w:tc>
        <w:tc>
          <w:tcPr>
            <w:tcW w:w="1620" w:type="dxa"/>
            <w:tcBorders>
              <w:top w:val="nil"/>
              <w:left w:val="nil"/>
              <w:bottom w:val="single" w:sz="4" w:space="0" w:color="auto"/>
              <w:right w:val="single" w:sz="4" w:space="0" w:color="auto"/>
            </w:tcBorders>
            <w:shd w:val="clear" w:color="auto" w:fill="auto"/>
            <w:noWrap/>
            <w:vAlign w:val="center"/>
            <w:hideMark/>
          </w:tcPr>
          <w:p w14:paraId="0B5F541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328E871" w14:textId="52BB172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{"citationItems":[{"id":"ITEM-1","itemData":{"DOI":"10.1016/j.ijfoodmicro.2007.10.005","ISSN":"01681605","PMID":"18068843","abstract":"Staphylococcal enterotoxins (SEs) are superantigenic toxins. They are five major classical types, i.e., SEA, SEB, SEC, SED, SEE, and new SEs or SE-like superantigens, such as SEG to SEU. Only the staphylococcal superantigens (SAgs) that induce emesis following oral administration in a monkey model are designated as SEs while other related toxins are called SE-like (SEl) superantigens. To survey the enterotoxin genotypes for S. aureus strains isolated from food-poisoning cases in Taiwan, we developed PCR primers specific for SEN, SEO, SEP, SEQ, SER, and SEU genes. The complete SE sequences and their expression potential for strains positive to sen, seo, sep, seq, ser, and seu specific primers were also determined. These strains were used as reference strains. With the PCR primers specific for all SEs or SAgs, including toxic shock syndrome toxin I (TSST-1), we assayed the genotypes of 147 S. aureus strains isolated from patients associated with staphylococcal food-poisoning outbreaks occurred during 2001-2003. For these147 strains, 135 (91.8%) were found positive for one or more SE or SAg genes. For classical enterotoxin and TSST-1 types, the major one was tsst-1 (59.1%) following by sea (29.2%), seb (19.7%), sec (6.8%), and sed (2.0%). For new SE and SAg types, the major one was sei (29.9%) and sep (27.9%) followed by, sek (16.3%), seo (14.3%), seu (14.2%), sem (11.6%), sen (10.9%), seq (10.9%), seh (8.2%), sel (6.8%), and ser (5.4%) etc. This report reveals the whole SE and SAg genotypes for S. aureus strains isolated from staphylococcal food-poisoning cases in Taiwan. © 2007 Elsevier B.V. All rights reserved.","author":[{"dropping-particle":"","family":"Chiang","given":"Yu Cheng","non-dropping-particle":"","parse-names":false,"suffix":""},{"dropping-particle":"","family":"Liao","given":"Wan Wen","non-dropping-particle":"","parse-names":false,"suffix":""},{"dropping-particle":"","family":"Fan","given":"Chin Ming","non-dropping-particle":"","parse-names":false,"suffix":""},{"dropping-particle":"","family":"Pai","given":"Wan Yu","non-dropping-particle":"","parse-names":false,"suffix":""},{"dropping-particle":"","family":"Chiou","given":"Chien Shun","non-dropping-particle":"","parse-names":false,"suffix":""},{"dropping-particle":"","family":"Tsen","given":"Hau Yang","non-dropping-particle":"","parse-names":false,"suffix":""}],"container-title":"International Journal of Food Microbiology","id":"ITEM-1","issue":"1","issued":{"date-parts":[["2008"]]},"page":"66-73","title":"PCR detection of Staphylococcal enterotoxins (SEs) N, O, P, Q, R, U, and survey of SE types in Staphylococcus aureus isolates from food-poisoning cases in Taiwan","type":"article-journal","volume":"121"},"uris":["http://www.mendeley.com/documents/?uuid=7fef7acf-7abd-4938-bbd0-416c2cffcdc3"]}],"mendeley":{"formattedCitation":"(Chiang et al., 2008)","plainTextFormattedCitation":"(Chiang et al., 2008)","previouslyFormattedCitation":"(Chiang et al., 2008)"},"properties":{"noteIndex":0},"schema":"https://github.com/citation-style-language/schema/raw/master/csl-citation.json"}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(Chiang et al., 2008)</w:t>
            </w:r>
            <w:r w:rsidRPr="006C34E3">
              <w:rPr>
                <w:rFonts w:eastAsia="Times New Roman" w:cs="Times New Roman"/>
                <w:color w:val="000000"/>
                <w:sz w:val="16"/>
                <w:szCs w:val="16"/>
              </w:rPr>
              <w:fldChar w:fldCharType="end"/>
            </w:r>
          </w:p>
        </w:tc>
      </w:tr>
      <w:tr w:rsidR="00F90100" w:rsidRPr="006C34E3" w14:paraId="682F32A5"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06EE8E5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8D6596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seo-5</w:t>
            </w:r>
          </w:p>
        </w:tc>
        <w:tc>
          <w:tcPr>
            <w:tcW w:w="3690" w:type="dxa"/>
            <w:tcBorders>
              <w:top w:val="nil"/>
              <w:left w:val="nil"/>
              <w:bottom w:val="single" w:sz="4" w:space="0" w:color="auto"/>
              <w:right w:val="single" w:sz="4" w:space="0" w:color="auto"/>
            </w:tcBorders>
            <w:shd w:val="clear" w:color="auto" w:fill="auto"/>
            <w:noWrap/>
            <w:vAlign w:val="center"/>
            <w:hideMark/>
          </w:tcPr>
          <w:p w14:paraId="22314D37"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TTG TGT AAG AAG TCA AGT GT</w:t>
            </w:r>
          </w:p>
        </w:tc>
        <w:tc>
          <w:tcPr>
            <w:tcW w:w="3780" w:type="dxa"/>
            <w:tcBorders>
              <w:top w:val="nil"/>
              <w:left w:val="nil"/>
              <w:bottom w:val="single" w:sz="4" w:space="0" w:color="auto"/>
              <w:right w:val="single" w:sz="4" w:space="0" w:color="auto"/>
            </w:tcBorders>
            <w:shd w:val="clear" w:color="auto" w:fill="auto"/>
            <w:noWrap/>
            <w:vAlign w:val="center"/>
            <w:hideMark/>
          </w:tcPr>
          <w:p w14:paraId="586C0DA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GAT AGT CTG ATG AAT CTA TTG TT</w:t>
            </w:r>
          </w:p>
        </w:tc>
        <w:tc>
          <w:tcPr>
            <w:tcW w:w="1620" w:type="dxa"/>
            <w:tcBorders>
              <w:top w:val="nil"/>
              <w:left w:val="nil"/>
              <w:bottom w:val="single" w:sz="4" w:space="0" w:color="auto"/>
              <w:right w:val="single" w:sz="4" w:space="0" w:color="auto"/>
            </w:tcBorders>
            <w:shd w:val="clear" w:color="auto" w:fill="auto"/>
            <w:noWrap/>
            <w:vAlign w:val="center"/>
            <w:hideMark/>
          </w:tcPr>
          <w:p w14:paraId="44555F65"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646</w:t>
            </w:r>
          </w:p>
        </w:tc>
        <w:tc>
          <w:tcPr>
            <w:tcW w:w="1620" w:type="dxa"/>
            <w:tcBorders>
              <w:top w:val="nil"/>
              <w:left w:val="nil"/>
              <w:bottom w:val="single" w:sz="4" w:space="0" w:color="auto"/>
              <w:right w:val="single" w:sz="4" w:space="0" w:color="auto"/>
            </w:tcBorders>
            <w:shd w:val="clear" w:color="auto" w:fill="auto"/>
            <w:noWrap/>
            <w:vAlign w:val="center"/>
            <w:hideMark/>
          </w:tcPr>
          <w:p w14:paraId="1A396C5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7FE7730" w14:textId="3FF4C83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1B419E1B"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5B6C558"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sep</w:t>
            </w:r>
          </w:p>
        </w:tc>
        <w:tc>
          <w:tcPr>
            <w:tcW w:w="720" w:type="dxa"/>
            <w:tcBorders>
              <w:top w:val="nil"/>
              <w:left w:val="nil"/>
              <w:bottom w:val="single" w:sz="4" w:space="0" w:color="auto"/>
              <w:right w:val="single" w:sz="4" w:space="0" w:color="auto"/>
            </w:tcBorders>
            <w:shd w:val="clear" w:color="auto" w:fill="auto"/>
            <w:noWrap/>
            <w:vAlign w:val="center"/>
            <w:hideMark/>
          </w:tcPr>
          <w:p w14:paraId="7FBDC64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sep-1</w:t>
            </w:r>
          </w:p>
        </w:tc>
        <w:tc>
          <w:tcPr>
            <w:tcW w:w="3690" w:type="dxa"/>
            <w:tcBorders>
              <w:top w:val="nil"/>
              <w:left w:val="nil"/>
              <w:bottom w:val="single" w:sz="4" w:space="0" w:color="auto"/>
              <w:right w:val="single" w:sz="4" w:space="0" w:color="auto"/>
            </w:tcBorders>
            <w:shd w:val="clear" w:color="auto" w:fill="auto"/>
            <w:noWrap/>
            <w:vAlign w:val="center"/>
            <w:hideMark/>
          </w:tcPr>
          <w:p w14:paraId="2E6BFDF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TGA TTT ATT AGT AGA CCT TGG</w:t>
            </w:r>
          </w:p>
        </w:tc>
        <w:tc>
          <w:tcPr>
            <w:tcW w:w="3780" w:type="dxa"/>
            <w:tcBorders>
              <w:top w:val="nil"/>
              <w:left w:val="nil"/>
              <w:bottom w:val="single" w:sz="4" w:space="0" w:color="auto"/>
              <w:right w:val="single" w:sz="4" w:space="0" w:color="auto"/>
            </w:tcBorders>
            <w:shd w:val="clear" w:color="auto" w:fill="auto"/>
            <w:noWrap/>
            <w:vAlign w:val="center"/>
            <w:hideMark/>
          </w:tcPr>
          <w:p w14:paraId="7FF9B4E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ATA ACC AAC CGA ATC ACC AG</w:t>
            </w:r>
          </w:p>
        </w:tc>
        <w:tc>
          <w:tcPr>
            <w:tcW w:w="1620" w:type="dxa"/>
            <w:tcBorders>
              <w:top w:val="nil"/>
              <w:left w:val="nil"/>
              <w:bottom w:val="single" w:sz="4" w:space="0" w:color="auto"/>
              <w:right w:val="single" w:sz="4" w:space="0" w:color="auto"/>
            </w:tcBorders>
            <w:shd w:val="clear" w:color="auto" w:fill="auto"/>
            <w:noWrap/>
            <w:vAlign w:val="center"/>
            <w:hideMark/>
          </w:tcPr>
          <w:p w14:paraId="299EF903" w14:textId="77777777" w:rsidR="00F90100" w:rsidRPr="006C34E3" w:rsidRDefault="00F90100" w:rsidP="00F90100">
            <w:pPr>
              <w:spacing w:before="0" w:after="0"/>
              <w:jc w:val="center"/>
              <w:rPr>
                <w:rFonts w:eastAsia="Times New Roman" w:cs="Times New Roman"/>
                <w:color w:val="FF0000"/>
                <w:sz w:val="16"/>
                <w:szCs w:val="16"/>
              </w:rPr>
            </w:pPr>
            <w:r w:rsidRPr="006C34E3">
              <w:rPr>
                <w:rFonts w:eastAsia="Times New Roman" w:cs="Times New Roman"/>
                <w:sz w:val="16"/>
                <w:szCs w:val="16"/>
              </w:rPr>
              <w:t>396</w:t>
            </w:r>
          </w:p>
        </w:tc>
        <w:tc>
          <w:tcPr>
            <w:tcW w:w="1620" w:type="dxa"/>
            <w:tcBorders>
              <w:top w:val="nil"/>
              <w:left w:val="nil"/>
              <w:bottom w:val="single" w:sz="4" w:space="0" w:color="auto"/>
              <w:right w:val="single" w:sz="4" w:space="0" w:color="auto"/>
            </w:tcBorders>
            <w:shd w:val="clear" w:color="auto" w:fill="auto"/>
            <w:noWrap/>
            <w:vAlign w:val="center"/>
            <w:hideMark/>
          </w:tcPr>
          <w:p w14:paraId="52C3A6F4" w14:textId="446B67D5"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36E8C7B1" w14:textId="4C62017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471D953E"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3F5B2C41"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7BD872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sep-2</w:t>
            </w:r>
          </w:p>
        </w:tc>
        <w:tc>
          <w:tcPr>
            <w:tcW w:w="3690" w:type="dxa"/>
            <w:tcBorders>
              <w:top w:val="nil"/>
              <w:left w:val="nil"/>
              <w:bottom w:val="single" w:sz="4" w:space="0" w:color="auto"/>
              <w:right w:val="single" w:sz="4" w:space="0" w:color="auto"/>
            </w:tcBorders>
            <w:shd w:val="clear" w:color="auto" w:fill="auto"/>
            <w:noWrap/>
            <w:vAlign w:val="center"/>
            <w:hideMark/>
          </w:tcPr>
          <w:p w14:paraId="2CF7300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AAA GAC ACC GCC AA</w:t>
            </w:r>
          </w:p>
        </w:tc>
        <w:tc>
          <w:tcPr>
            <w:tcW w:w="3780" w:type="dxa"/>
            <w:tcBorders>
              <w:top w:val="nil"/>
              <w:left w:val="nil"/>
              <w:bottom w:val="single" w:sz="4" w:space="0" w:color="auto"/>
              <w:right w:val="single" w:sz="4" w:space="0" w:color="auto"/>
            </w:tcBorders>
            <w:shd w:val="clear" w:color="auto" w:fill="auto"/>
            <w:noWrap/>
            <w:vAlign w:val="center"/>
            <w:hideMark/>
          </w:tcPr>
          <w:p w14:paraId="21FA20E3" w14:textId="77777777" w:rsidR="00F90100" w:rsidRPr="00634D63" w:rsidRDefault="00F90100" w:rsidP="00F90100">
            <w:pPr>
              <w:spacing w:before="0" w:after="0"/>
              <w:jc w:val="center"/>
              <w:rPr>
                <w:rFonts w:eastAsia="Times New Roman" w:cs="Times New Roman"/>
                <w:sz w:val="16"/>
                <w:szCs w:val="16"/>
                <w:lang w:val="fr-CH"/>
              </w:rPr>
            </w:pPr>
            <w:r w:rsidRPr="00634D63">
              <w:rPr>
                <w:rFonts w:eastAsia="Times New Roman" w:cs="Times New Roman"/>
                <w:sz w:val="16"/>
                <w:szCs w:val="16"/>
                <w:lang w:val="fr-CH"/>
              </w:rPr>
              <w:t>ATT GTC CTT GAG CAC CA</w:t>
            </w:r>
          </w:p>
        </w:tc>
        <w:tc>
          <w:tcPr>
            <w:tcW w:w="1620" w:type="dxa"/>
            <w:tcBorders>
              <w:top w:val="nil"/>
              <w:left w:val="nil"/>
              <w:bottom w:val="single" w:sz="4" w:space="0" w:color="auto"/>
              <w:right w:val="single" w:sz="4" w:space="0" w:color="auto"/>
            </w:tcBorders>
            <w:shd w:val="clear" w:color="auto" w:fill="auto"/>
            <w:noWrap/>
            <w:vAlign w:val="center"/>
            <w:hideMark/>
          </w:tcPr>
          <w:p w14:paraId="13CC5B9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396</w:t>
            </w:r>
          </w:p>
        </w:tc>
        <w:tc>
          <w:tcPr>
            <w:tcW w:w="1620" w:type="dxa"/>
            <w:tcBorders>
              <w:top w:val="nil"/>
              <w:left w:val="nil"/>
              <w:bottom w:val="single" w:sz="4" w:space="0" w:color="auto"/>
              <w:right w:val="single" w:sz="4" w:space="0" w:color="auto"/>
            </w:tcBorders>
            <w:shd w:val="clear" w:color="auto" w:fill="auto"/>
            <w:noWrap/>
            <w:vAlign w:val="center"/>
            <w:hideMark/>
          </w:tcPr>
          <w:p w14:paraId="21E363E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2B7BCABE" w14:textId="5AB0F8C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MLVA","type":"article-journal","volume":"6"},"uris":["http://www.mendeley.com/documents/?uuid=fc1715b7-49a3-4430-b1bf-38feeadd5075"]}],"mendeley":{"formattedCitation":"(Bania et al., 2006; Roussel et al., 2015)","plainTextFormattedCitation":"(Bania et al., 2006; Roussel et al., 2015)","previouslyFormattedCitation":"(Bania et al., 2006;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 Roussel et al., 2015)</w:t>
            </w:r>
            <w:r w:rsidRPr="006C34E3">
              <w:rPr>
                <w:rFonts w:eastAsia="Times New Roman" w:cs="Times New Roman"/>
                <w:color w:val="000000"/>
                <w:sz w:val="16"/>
                <w:szCs w:val="16"/>
              </w:rPr>
              <w:fldChar w:fldCharType="end"/>
            </w:r>
          </w:p>
        </w:tc>
      </w:tr>
      <w:tr w:rsidR="00F90100" w:rsidRPr="006C34E3" w14:paraId="2498E6D3"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54F34A8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47F298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sep-3</w:t>
            </w:r>
          </w:p>
        </w:tc>
        <w:tc>
          <w:tcPr>
            <w:tcW w:w="3690" w:type="dxa"/>
            <w:tcBorders>
              <w:top w:val="nil"/>
              <w:left w:val="nil"/>
              <w:bottom w:val="single" w:sz="4" w:space="0" w:color="auto"/>
              <w:right w:val="single" w:sz="4" w:space="0" w:color="auto"/>
            </w:tcBorders>
            <w:shd w:val="clear" w:color="auto" w:fill="auto"/>
            <w:noWrap/>
            <w:vAlign w:val="center"/>
            <w:hideMark/>
          </w:tcPr>
          <w:p w14:paraId="6D69365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TTG CAG GGA ACT GCT</w:t>
            </w:r>
          </w:p>
        </w:tc>
        <w:tc>
          <w:tcPr>
            <w:tcW w:w="3780" w:type="dxa"/>
            <w:tcBorders>
              <w:top w:val="nil"/>
              <w:left w:val="nil"/>
              <w:bottom w:val="single" w:sz="4" w:space="0" w:color="auto"/>
              <w:right w:val="single" w:sz="4" w:space="0" w:color="auto"/>
            </w:tcBorders>
            <w:shd w:val="clear" w:color="auto" w:fill="auto"/>
            <w:noWrap/>
            <w:vAlign w:val="center"/>
            <w:hideMark/>
          </w:tcPr>
          <w:p w14:paraId="7856DC6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GGC GGT GTC TTT TGA AC</w:t>
            </w:r>
          </w:p>
        </w:tc>
        <w:tc>
          <w:tcPr>
            <w:tcW w:w="1620" w:type="dxa"/>
            <w:tcBorders>
              <w:top w:val="nil"/>
              <w:left w:val="nil"/>
              <w:bottom w:val="single" w:sz="4" w:space="0" w:color="auto"/>
              <w:right w:val="single" w:sz="4" w:space="0" w:color="auto"/>
            </w:tcBorders>
            <w:shd w:val="clear" w:color="auto" w:fill="auto"/>
            <w:noWrap/>
            <w:vAlign w:val="center"/>
            <w:hideMark/>
          </w:tcPr>
          <w:p w14:paraId="3752672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182</w:t>
            </w:r>
          </w:p>
        </w:tc>
        <w:tc>
          <w:tcPr>
            <w:tcW w:w="1620" w:type="dxa"/>
            <w:tcBorders>
              <w:top w:val="nil"/>
              <w:left w:val="nil"/>
              <w:bottom w:val="single" w:sz="4" w:space="0" w:color="auto"/>
              <w:right w:val="single" w:sz="4" w:space="0" w:color="auto"/>
            </w:tcBorders>
            <w:shd w:val="clear" w:color="auto" w:fill="auto"/>
            <w:noWrap/>
            <w:vAlign w:val="center"/>
            <w:hideMark/>
          </w:tcPr>
          <w:p w14:paraId="6F4C6097"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02272BF" w14:textId="37D991D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087FB233"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18DBF38A"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91AA22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sep-4</w:t>
            </w:r>
          </w:p>
        </w:tc>
        <w:tc>
          <w:tcPr>
            <w:tcW w:w="3690" w:type="dxa"/>
            <w:tcBorders>
              <w:top w:val="nil"/>
              <w:left w:val="nil"/>
              <w:bottom w:val="single" w:sz="4" w:space="0" w:color="auto"/>
              <w:right w:val="single" w:sz="4" w:space="0" w:color="auto"/>
            </w:tcBorders>
            <w:shd w:val="clear" w:color="auto" w:fill="auto"/>
            <w:noWrap/>
            <w:vAlign w:val="center"/>
            <w:hideMark/>
          </w:tcPr>
          <w:p w14:paraId="1DCC057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ATC ATA ACC AAC CGA ATC AC</w:t>
            </w:r>
          </w:p>
        </w:tc>
        <w:tc>
          <w:tcPr>
            <w:tcW w:w="3780" w:type="dxa"/>
            <w:tcBorders>
              <w:top w:val="nil"/>
              <w:left w:val="nil"/>
              <w:bottom w:val="single" w:sz="4" w:space="0" w:color="auto"/>
              <w:right w:val="single" w:sz="4" w:space="0" w:color="auto"/>
            </w:tcBorders>
            <w:shd w:val="clear" w:color="auto" w:fill="auto"/>
            <w:noWrap/>
            <w:vAlign w:val="center"/>
            <w:hideMark/>
          </w:tcPr>
          <w:p w14:paraId="36FA88C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AGA AGT AAC TGT TCA GGA GCT A</w:t>
            </w:r>
          </w:p>
        </w:tc>
        <w:tc>
          <w:tcPr>
            <w:tcW w:w="1620" w:type="dxa"/>
            <w:tcBorders>
              <w:top w:val="nil"/>
              <w:left w:val="nil"/>
              <w:bottom w:val="single" w:sz="4" w:space="0" w:color="auto"/>
              <w:right w:val="single" w:sz="4" w:space="0" w:color="auto"/>
            </w:tcBorders>
            <w:shd w:val="clear" w:color="auto" w:fill="auto"/>
            <w:noWrap/>
            <w:vAlign w:val="center"/>
            <w:hideMark/>
          </w:tcPr>
          <w:p w14:paraId="445D753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148</w:t>
            </w:r>
          </w:p>
        </w:tc>
        <w:tc>
          <w:tcPr>
            <w:tcW w:w="1620" w:type="dxa"/>
            <w:tcBorders>
              <w:top w:val="nil"/>
              <w:left w:val="nil"/>
              <w:bottom w:val="single" w:sz="4" w:space="0" w:color="auto"/>
              <w:right w:val="single" w:sz="4" w:space="0" w:color="auto"/>
            </w:tcBorders>
            <w:shd w:val="clear" w:color="auto" w:fill="auto"/>
            <w:noWrap/>
            <w:vAlign w:val="center"/>
            <w:hideMark/>
          </w:tcPr>
          <w:p w14:paraId="5066605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28A237A" w14:textId="7851BB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{"citationItems":[{"id":"ITEM-1","itemData":{"DOI":"10.1016/j.ijfoodmicro.2007.10.005","ISSN":"01681605","PMID":"18068843","abstract":"Staphylococcal enterotoxins (SEs) are superantigenic toxins. They are five major classical types, i.e., SEA, SEB, SEC, SED, SEE, and new SEs or SE-like superantigens, such as SEG to SEU. Only the staphylococcal superantigens (SAgs) that induce emesis following oral administration in a monkey model are designated as SEs while other related toxins are called SE-like (SEl) superantigens. To survey the enterotoxin genotypes for S. aureus strains isolated from food-poisoning cases in Taiwan, we developed PCR primers specific for SEN, SEO, SEP, SEQ, SER, and SEU genes. The complete SE sequences and their expression potential for strains positive to sen, seo, sep, seq, ser, and seu specific primers were also determined. These strains were used as reference strains. With the PCR primers specific for all SEs or SAgs, including toxic shock syndrome toxin I (TSST-1), we assayed the genotypes of 147 S. aureus strains isolated from patients associated with staphylococcal food-poisoning outbreaks occurred during 2001-2003. For these147 strains, 135 (91.8%) were found positive for one or more SE or SAg genes. For classical enterotoxin and TSST-1 types, the major one was tsst-1 (59.1%) following by sea (29.2%), seb (19.7%), sec (6.8%), and sed (2.0%). For new SE and SAg types, the major one was sei (29.9%) and sep (27.9%) followed by, sek (16.3%), seo (14.3%), seu (14.2%), sem (11.6%), sen (10.9%), seq (10.9%), seh (8.2%), sel (6.8%), and ser (5.4%) etc. This report reveals the whole SE and SAg genotypes for S. aureus strains isolated from staphylococcal food-poisoning cases in Taiwan. © 2007 Elsevier B.V. All rights reserved.","author":[{"dropping-particle":"","family":"Chiang","given":"Yu Cheng","non-dropping-particle":"","parse-names":false,"suffix":""},{"dropping-particle":"","family":"Liao","given":"Wan Wen","non-dropping-particle":"","parse-names":false,"suffix":""},{"dropping-particle":"","family":"Fan","given":"Chin Ming","non-dropping-particle":"","parse-names":false,"suffix":""},{"dropping-particle":"","family":"Pai","given":"Wan Yu","non-dropping-particle":"","parse-names":false,"suffix":""},{"dropping-particle":"","family":"Chiou","given":"Chien Shun","non-dropping-particle":"","parse-names":false,"suffix":""},{"dropping-particle":"","family":"Tsen","given":"Hau Yang","non-dropping-particle":"","parse-names":false,"suffix":""}],"container-title":"International Journal of Food Microbiology","id":"ITEM-1","issue":"1","issued":{"date-parts":[["2008"]]},"page":"66-73","title":"PCR detection of Staphylococcal enterotoxins (SEs) N, O, P, Q, R, U, and survey of SE types in Staphylococcus aureus isolates from food-poisoning cases in Taiwan","type":"article-journal","volume":"121"},"uris":["http://www.mendeley.com/documents/?uuid=7fef7acf-7abd-4938-bbd0-416c2cffcdc3"]}],"mendeley":{"formattedCitation":"(Chiang et al., 2008)","plainTextFormattedCitation":"(Chiang et al., 2008)","previouslyFormattedCitation":"(Chiang et al., 2008)"},"properties":{"noteIndex":0},"schema":"https://github.com/citation-style-language/schema/raw/master/csl-citation.json"}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(Chiang et al., 2008)</w:t>
            </w:r>
            <w:r w:rsidRPr="006C34E3">
              <w:rPr>
                <w:rFonts w:eastAsia="Times New Roman" w:cs="Times New Roman"/>
                <w:color w:val="000000"/>
                <w:sz w:val="16"/>
                <w:szCs w:val="16"/>
              </w:rPr>
              <w:fldChar w:fldCharType="end"/>
            </w:r>
          </w:p>
        </w:tc>
      </w:tr>
      <w:tr w:rsidR="00F90100" w:rsidRPr="006C34E3" w14:paraId="0F775C6B"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25E40ED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91952E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sep-5</w:t>
            </w:r>
          </w:p>
        </w:tc>
        <w:tc>
          <w:tcPr>
            <w:tcW w:w="3690" w:type="dxa"/>
            <w:tcBorders>
              <w:top w:val="nil"/>
              <w:left w:val="nil"/>
              <w:bottom w:val="single" w:sz="4" w:space="0" w:color="auto"/>
              <w:right w:val="single" w:sz="4" w:space="0" w:color="auto"/>
            </w:tcBorders>
            <w:shd w:val="clear" w:color="auto" w:fill="auto"/>
            <w:noWrap/>
            <w:vAlign w:val="center"/>
            <w:hideMark/>
          </w:tcPr>
          <w:p w14:paraId="1B8EB44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GAC CTT GGT TCA AAA GAC ACC</w:t>
            </w:r>
          </w:p>
        </w:tc>
        <w:tc>
          <w:tcPr>
            <w:tcW w:w="3780" w:type="dxa"/>
            <w:tcBorders>
              <w:top w:val="nil"/>
              <w:left w:val="nil"/>
              <w:bottom w:val="single" w:sz="4" w:space="0" w:color="auto"/>
              <w:right w:val="single" w:sz="4" w:space="0" w:color="auto"/>
            </w:tcBorders>
            <w:shd w:val="clear" w:color="auto" w:fill="auto"/>
            <w:noWrap/>
            <w:vAlign w:val="center"/>
            <w:hideMark/>
          </w:tcPr>
          <w:p w14:paraId="4CA72B7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CTT GAC TGA AGG TCT AGC</w:t>
            </w:r>
          </w:p>
        </w:tc>
        <w:tc>
          <w:tcPr>
            <w:tcW w:w="1620" w:type="dxa"/>
            <w:tcBorders>
              <w:top w:val="nil"/>
              <w:left w:val="nil"/>
              <w:bottom w:val="single" w:sz="4" w:space="0" w:color="auto"/>
              <w:right w:val="single" w:sz="4" w:space="0" w:color="auto"/>
            </w:tcBorders>
            <w:shd w:val="clear" w:color="auto" w:fill="auto"/>
            <w:noWrap/>
            <w:vAlign w:val="center"/>
            <w:hideMark/>
          </w:tcPr>
          <w:p w14:paraId="443A3623"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275</w:t>
            </w:r>
          </w:p>
        </w:tc>
        <w:tc>
          <w:tcPr>
            <w:tcW w:w="1620" w:type="dxa"/>
            <w:tcBorders>
              <w:top w:val="nil"/>
              <w:left w:val="nil"/>
              <w:bottom w:val="single" w:sz="4" w:space="0" w:color="auto"/>
              <w:right w:val="single" w:sz="4" w:space="0" w:color="auto"/>
            </w:tcBorders>
            <w:shd w:val="clear" w:color="auto" w:fill="auto"/>
            <w:noWrap/>
            <w:vAlign w:val="center"/>
            <w:hideMark/>
          </w:tcPr>
          <w:p w14:paraId="083BBD6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76DCCB7C" w14:textId="007F613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51C71E73"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1213ED3"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seq</w:t>
            </w:r>
          </w:p>
        </w:tc>
        <w:tc>
          <w:tcPr>
            <w:tcW w:w="720" w:type="dxa"/>
            <w:tcBorders>
              <w:top w:val="nil"/>
              <w:left w:val="nil"/>
              <w:bottom w:val="single" w:sz="4" w:space="0" w:color="auto"/>
              <w:right w:val="single" w:sz="4" w:space="0" w:color="auto"/>
            </w:tcBorders>
            <w:shd w:val="clear" w:color="auto" w:fill="auto"/>
            <w:noWrap/>
            <w:vAlign w:val="center"/>
            <w:hideMark/>
          </w:tcPr>
          <w:p w14:paraId="2374093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seq-1</w:t>
            </w:r>
          </w:p>
        </w:tc>
        <w:tc>
          <w:tcPr>
            <w:tcW w:w="3690" w:type="dxa"/>
            <w:tcBorders>
              <w:top w:val="nil"/>
              <w:left w:val="nil"/>
              <w:bottom w:val="single" w:sz="4" w:space="0" w:color="auto"/>
              <w:right w:val="single" w:sz="4" w:space="0" w:color="auto"/>
            </w:tcBorders>
            <w:shd w:val="clear" w:color="auto" w:fill="auto"/>
            <w:noWrap/>
            <w:vAlign w:val="center"/>
            <w:hideMark/>
          </w:tcPr>
          <w:p w14:paraId="3592071A"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AAT CTC TGG GTC AAT GGT AAG C</w:t>
            </w:r>
          </w:p>
        </w:tc>
        <w:tc>
          <w:tcPr>
            <w:tcW w:w="3780" w:type="dxa"/>
            <w:tcBorders>
              <w:top w:val="nil"/>
              <w:left w:val="nil"/>
              <w:bottom w:val="single" w:sz="4" w:space="0" w:color="auto"/>
              <w:right w:val="single" w:sz="4" w:space="0" w:color="auto"/>
            </w:tcBorders>
            <w:shd w:val="clear" w:color="auto" w:fill="auto"/>
            <w:noWrap/>
            <w:vAlign w:val="center"/>
            <w:hideMark/>
          </w:tcPr>
          <w:p w14:paraId="3E2749E9"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TTG TAT TCG TTT TGT AGG TAT TTT CG</w:t>
            </w:r>
          </w:p>
        </w:tc>
        <w:tc>
          <w:tcPr>
            <w:tcW w:w="1620" w:type="dxa"/>
            <w:tcBorders>
              <w:top w:val="nil"/>
              <w:left w:val="nil"/>
              <w:bottom w:val="single" w:sz="4" w:space="0" w:color="auto"/>
              <w:right w:val="single" w:sz="4" w:space="0" w:color="auto"/>
            </w:tcBorders>
            <w:shd w:val="clear" w:color="auto" w:fill="auto"/>
            <w:noWrap/>
            <w:vAlign w:val="center"/>
            <w:hideMark/>
          </w:tcPr>
          <w:p w14:paraId="044B44D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122</w:t>
            </w:r>
          </w:p>
        </w:tc>
        <w:tc>
          <w:tcPr>
            <w:tcW w:w="1620" w:type="dxa"/>
            <w:tcBorders>
              <w:top w:val="nil"/>
              <w:left w:val="nil"/>
              <w:bottom w:val="single" w:sz="4" w:space="0" w:color="auto"/>
              <w:right w:val="single" w:sz="4" w:space="0" w:color="auto"/>
            </w:tcBorders>
            <w:shd w:val="clear" w:color="auto" w:fill="auto"/>
            <w:noWrap/>
            <w:vAlign w:val="center"/>
            <w:hideMark/>
          </w:tcPr>
          <w:p w14:paraId="569CB3BC"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4A82603" w14:textId="1AD727B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09605503"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5EE8080E"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689D89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seq-2</w:t>
            </w:r>
          </w:p>
        </w:tc>
        <w:tc>
          <w:tcPr>
            <w:tcW w:w="3690" w:type="dxa"/>
            <w:tcBorders>
              <w:top w:val="nil"/>
              <w:left w:val="nil"/>
              <w:bottom w:val="single" w:sz="4" w:space="0" w:color="auto"/>
              <w:right w:val="single" w:sz="4" w:space="0" w:color="auto"/>
            </w:tcBorders>
            <w:shd w:val="clear" w:color="auto" w:fill="auto"/>
            <w:noWrap/>
            <w:vAlign w:val="center"/>
            <w:hideMark/>
          </w:tcPr>
          <w:p w14:paraId="71476BC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TCA AGG AGT TAG TTC TGG AAA TT</w:t>
            </w:r>
          </w:p>
        </w:tc>
        <w:tc>
          <w:tcPr>
            <w:tcW w:w="3780" w:type="dxa"/>
            <w:tcBorders>
              <w:top w:val="nil"/>
              <w:left w:val="nil"/>
              <w:bottom w:val="single" w:sz="4" w:space="0" w:color="auto"/>
              <w:right w:val="single" w:sz="4" w:space="0" w:color="auto"/>
            </w:tcBorders>
            <w:shd w:val="clear" w:color="auto" w:fill="auto"/>
            <w:noWrap/>
            <w:vAlign w:val="center"/>
            <w:hideMark/>
          </w:tcPr>
          <w:p w14:paraId="5BFE975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GCT TAC CAT TGA CCC AGA GA</w:t>
            </w:r>
          </w:p>
        </w:tc>
        <w:tc>
          <w:tcPr>
            <w:tcW w:w="1620" w:type="dxa"/>
            <w:tcBorders>
              <w:top w:val="nil"/>
              <w:left w:val="nil"/>
              <w:bottom w:val="single" w:sz="4" w:space="0" w:color="auto"/>
              <w:right w:val="single" w:sz="4" w:space="0" w:color="auto"/>
            </w:tcBorders>
            <w:shd w:val="clear" w:color="auto" w:fill="auto"/>
            <w:noWrap/>
            <w:vAlign w:val="center"/>
            <w:hideMark/>
          </w:tcPr>
          <w:p w14:paraId="5100F41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251</w:t>
            </w:r>
          </w:p>
        </w:tc>
        <w:tc>
          <w:tcPr>
            <w:tcW w:w="1620" w:type="dxa"/>
            <w:tcBorders>
              <w:top w:val="nil"/>
              <w:left w:val="nil"/>
              <w:bottom w:val="single" w:sz="4" w:space="0" w:color="auto"/>
              <w:right w:val="single" w:sz="4" w:space="0" w:color="auto"/>
            </w:tcBorders>
            <w:shd w:val="clear" w:color="auto" w:fill="auto"/>
            <w:noWrap/>
            <w:vAlign w:val="center"/>
            <w:hideMark/>
          </w:tcPr>
          <w:p w14:paraId="2CA1107D"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A026819" w14:textId="404DAE3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{"citationItems":[{"id":"ITEM-1","itemData":{"DOI":"10.1016/j.vetmic.2010.06.021","ISSN":"03781135","PMID":"20667668","abstract":"The coagulase-negative staphylococci (CNS) are the most prevalent mastitis pathogen group yet their virulence characteristics have not been well described. We investigated the presence of 19 classical and newly described staphylococcal superantigen (SAg) genes in CNS isolates from bovine intramammary infections (IMI). A total of 263 CNS representing 11 different Staphylococcus spp. were examined, and 31.2% (n= 82) of CNS isolates had one or more SAg genes; there were 21 different SAg gene combinations. The most prevalent combination of SAg genes (seb, seln and selq; n= 45) was found in S. chromogenes, S. xylosus, S. haemolyticus, S. sciuri subsp. carnaticus, S. simulans and S. succinus. The genes for SAgs appear to be widely distributed amongst CNS isolated from bovine IMI. © 2010 Elsevier B.V.","author":[{"dropping-particle":"","family":"Park","given":"Joo Youn","non-dropping-particle":"","parse-names":false,"suffix":""},{"dropping-particle":"","family":"Fox","given":"Lawrence K.","non-dropping-particle":"","parse-names":false,"suffix":""},{"dropping-particle":"","family":"Seo","given":"Keun Seok","non-dropping-particle":"","parse-names":false,"suffix":""},{"dropping-particle":"","family":"McGuire","given":"Mark A.","non-dropping-particle":"","parse-names":false,"suffix":""},{"dropping-particle":"","family":"Park","given":"Yong Ho","non-dropping-particle":"","parse-names":false,"suffix":""},{"dropping-particle":"","family":"Rurangirwa","given":"Fred R.","non-dropping-particle":"","parse-names":false,"suffix":""},{"dropping-particle":"","family":"Sischo","given":"William M.","non-dropping-particle":"","parse-names":false,"suffix":""},{"dropping-particle":"","family":"Bohach","given":"Gregory A.","non-dropping-particle":"","parse-names":false,"suffix":""}],"container-title":"Veterinary Microbiology","id":"ITEM-1","issue":"1-2","issued":{"date-parts":[["2011"]]},"page":"149-154","publisher":"Elsevier B.V.","title":"Detection of classical and newly described staphylococcal superantigen genes in coagulase-negative staphylococci isolated from bovine intramammary infections","type":"article-journal","volume":"147"},"uris":["http://www.mendeley.com/documents/?uuid=9afd5eb4-7cc0-44e6-a295-72bf1ca90bc5"]}],"mendeley":{"formattedCitation":"(Park et al., 2011)","plainTextFormattedCitation":"(Park et al., 2011)","previouslyFormattedCitation":"(Park et al., 2011)"},"properties":{"noteIndex":0},"schema":"https://github.com/citation-style-language/schema/raw/master/csl-citation.json"}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(Park et al., 2011)</w:t>
            </w:r>
            <w:r w:rsidRPr="006C34E3">
              <w:rPr>
                <w:rFonts w:eastAsia="Times New Roman" w:cs="Times New Roman"/>
                <w:color w:val="000000"/>
                <w:sz w:val="16"/>
                <w:szCs w:val="16"/>
              </w:rPr>
              <w:fldChar w:fldCharType="end"/>
            </w:r>
          </w:p>
        </w:tc>
      </w:tr>
      <w:tr w:rsidR="00F90100" w:rsidRPr="006C34E3" w14:paraId="49C81EFE"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4FAA03F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8671D8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seq-3</w:t>
            </w:r>
          </w:p>
        </w:tc>
        <w:tc>
          <w:tcPr>
            <w:tcW w:w="3690" w:type="dxa"/>
            <w:tcBorders>
              <w:top w:val="nil"/>
              <w:left w:val="nil"/>
              <w:bottom w:val="single" w:sz="4" w:space="0" w:color="auto"/>
              <w:right w:val="single" w:sz="4" w:space="0" w:color="auto"/>
            </w:tcBorders>
            <w:shd w:val="clear" w:color="auto" w:fill="auto"/>
            <w:noWrap/>
            <w:vAlign w:val="center"/>
            <w:hideMark/>
          </w:tcPr>
          <w:p w14:paraId="36E5AFF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GGA ATT ACG TTG GCG AA</w:t>
            </w:r>
          </w:p>
        </w:tc>
        <w:tc>
          <w:tcPr>
            <w:tcW w:w="3780" w:type="dxa"/>
            <w:tcBorders>
              <w:top w:val="nil"/>
              <w:left w:val="nil"/>
              <w:bottom w:val="single" w:sz="4" w:space="0" w:color="auto"/>
              <w:right w:val="single" w:sz="4" w:space="0" w:color="auto"/>
            </w:tcBorders>
            <w:shd w:val="clear" w:color="auto" w:fill="auto"/>
            <w:noWrap/>
            <w:vAlign w:val="center"/>
            <w:hideMark/>
          </w:tcPr>
          <w:p w14:paraId="249C9FB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AAC TCT CTG CTT GAC CA</w:t>
            </w:r>
          </w:p>
        </w:tc>
        <w:tc>
          <w:tcPr>
            <w:tcW w:w="1620" w:type="dxa"/>
            <w:tcBorders>
              <w:top w:val="nil"/>
              <w:left w:val="nil"/>
              <w:bottom w:val="single" w:sz="4" w:space="0" w:color="auto"/>
              <w:right w:val="single" w:sz="4" w:space="0" w:color="auto"/>
            </w:tcBorders>
            <w:shd w:val="clear" w:color="auto" w:fill="auto"/>
            <w:noWrap/>
            <w:vAlign w:val="center"/>
            <w:hideMark/>
          </w:tcPr>
          <w:p w14:paraId="27A7715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330</w:t>
            </w:r>
          </w:p>
        </w:tc>
        <w:tc>
          <w:tcPr>
            <w:tcW w:w="1620" w:type="dxa"/>
            <w:tcBorders>
              <w:top w:val="nil"/>
              <w:left w:val="nil"/>
              <w:bottom w:val="single" w:sz="4" w:space="0" w:color="auto"/>
              <w:right w:val="single" w:sz="4" w:space="0" w:color="auto"/>
            </w:tcBorders>
            <w:shd w:val="clear" w:color="auto" w:fill="auto"/>
            <w:noWrap/>
            <w:vAlign w:val="center"/>
            <w:hideMark/>
          </w:tcPr>
          <w:p w14:paraId="5DB4E6B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0048DFF" w14:textId="3C6A345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author":[{"dropping-particle":"","family":"Bania","given":"Jacek","non-dropping-particle":"","parse-names":false,"suffix":""},{"dropping-particle":"","family":"Dabrowska","given":"Anna","non-dropping-particle":"","parse-names":false,"suffix":""},{"dropping-particle":"","family":"Bystron","given":"Jarosław","non-dropping-particle":"","parse-names":false,"suffix":""},{"dropping-particle":"","family":"Korzekwa","given":"Kamila","non-dropping-particle":"","parse-names":false,"suffix":""},{"dropping-particle":"","family":"Chrzanowska","given":"Jozefa","non-dropping-particle":"","parse-names":false,"suffix":""},{"dropping-particle":"","family":"Molenda","given":"Jerzy","non-dropping-particle":"","parse-names":false,"suffix":""}],"container-title":"International Journal of Food Microbiology","id":"ITEM-1","issue":"1","issued":{"date-parts":[["2006"]]},"title":"Distribution of newly described enterotoxin-like genes in Staphylococcus aureus from food","type":"article-journal","volume":"108"},"uris":["http://www.mendeley.com/documents/?uuid=1e30e41a-d5d6-4d0d-89db-dfba48254266"]}],"mendeley":{"formattedCitation":"(Bania et al., 2006)","plainTextFormattedCitation":"(Bania et al., 2006)","previouslyFormattedCitation":"(Bania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(Bania et al., 2006)</w:t>
            </w:r>
            <w:r w:rsidRPr="006C34E3">
              <w:rPr>
                <w:rFonts w:eastAsia="Times New Roman" w:cs="Times New Roman"/>
                <w:color w:val="000000"/>
                <w:sz w:val="16"/>
                <w:szCs w:val="16"/>
              </w:rPr>
              <w:fldChar w:fldCharType="end"/>
            </w:r>
          </w:p>
        </w:tc>
      </w:tr>
      <w:tr w:rsidR="00F90100" w:rsidRPr="006C34E3" w14:paraId="20A7CF5C"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1D59C853"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866D58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seq-4</w:t>
            </w:r>
          </w:p>
        </w:tc>
        <w:tc>
          <w:tcPr>
            <w:tcW w:w="3690" w:type="dxa"/>
            <w:tcBorders>
              <w:top w:val="nil"/>
              <w:left w:val="nil"/>
              <w:bottom w:val="single" w:sz="4" w:space="0" w:color="auto"/>
              <w:right w:val="single" w:sz="4" w:space="0" w:color="auto"/>
            </w:tcBorders>
            <w:shd w:val="clear" w:color="auto" w:fill="auto"/>
            <w:noWrap/>
            <w:vAlign w:val="center"/>
            <w:hideMark/>
          </w:tcPr>
          <w:p w14:paraId="3C1A2017" w14:textId="77777777" w:rsidR="00F90100" w:rsidRPr="00634D63" w:rsidRDefault="00F90100" w:rsidP="00F90100">
            <w:pPr>
              <w:spacing w:before="0" w:after="0"/>
              <w:jc w:val="center"/>
              <w:rPr>
                <w:rFonts w:eastAsia="Times New Roman" w:cs="Times New Roman"/>
                <w:sz w:val="16"/>
                <w:szCs w:val="16"/>
                <w:lang w:val="it-IT"/>
              </w:rPr>
            </w:pPr>
            <w:r w:rsidRPr="00634D63">
              <w:rPr>
                <w:rFonts w:eastAsia="Times New Roman" w:cs="Times New Roman"/>
                <w:sz w:val="16"/>
                <w:szCs w:val="16"/>
                <w:lang w:val="it-IT"/>
              </w:rPr>
              <w:t>ACC TGA AAA GCT TCA AGG A</w:t>
            </w:r>
          </w:p>
        </w:tc>
        <w:tc>
          <w:tcPr>
            <w:tcW w:w="3780" w:type="dxa"/>
            <w:tcBorders>
              <w:top w:val="nil"/>
              <w:left w:val="nil"/>
              <w:bottom w:val="single" w:sz="4" w:space="0" w:color="auto"/>
              <w:right w:val="single" w:sz="4" w:space="0" w:color="auto"/>
            </w:tcBorders>
            <w:shd w:val="clear" w:color="auto" w:fill="auto"/>
            <w:noWrap/>
            <w:vAlign w:val="center"/>
            <w:hideMark/>
          </w:tcPr>
          <w:p w14:paraId="514DE4DA" w14:textId="77777777" w:rsidR="00F90100" w:rsidRPr="00634D63" w:rsidRDefault="00F90100" w:rsidP="00F90100">
            <w:pPr>
              <w:spacing w:before="0" w:after="0"/>
              <w:jc w:val="center"/>
              <w:rPr>
                <w:rFonts w:eastAsia="Times New Roman" w:cs="Times New Roman"/>
                <w:sz w:val="16"/>
                <w:szCs w:val="16"/>
                <w:lang w:val="it-IT"/>
              </w:rPr>
            </w:pPr>
            <w:r w:rsidRPr="00634D63">
              <w:rPr>
                <w:rFonts w:eastAsia="Times New Roman" w:cs="Times New Roman"/>
                <w:sz w:val="16"/>
                <w:szCs w:val="16"/>
                <w:lang w:val="it-IT"/>
              </w:rPr>
              <w:t>CGC CAA CGT AAT TCC AC</w:t>
            </w:r>
          </w:p>
        </w:tc>
        <w:tc>
          <w:tcPr>
            <w:tcW w:w="1620" w:type="dxa"/>
            <w:tcBorders>
              <w:top w:val="nil"/>
              <w:left w:val="nil"/>
              <w:bottom w:val="single" w:sz="4" w:space="0" w:color="auto"/>
              <w:right w:val="single" w:sz="4" w:space="0" w:color="auto"/>
            </w:tcBorders>
            <w:shd w:val="clear" w:color="auto" w:fill="auto"/>
            <w:noWrap/>
            <w:vAlign w:val="center"/>
            <w:hideMark/>
          </w:tcPr>
          <w:p w14:paraId="3451588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204</w:t>
            </w:r>
          </w:p>
        </w:tc>
        <w:tc>
          <w:tcPr>
            <w:tcW w:w="1620" w:type="dxa"/>
            <w:tcBorders>
              <w:top w:val="nil"/>
              <w:left w:val="nil"/>
              <w:bottom w:val="single" w:sz="4" w:space="0" w:color="auto"/>
              <w:right w:val="single" w:sz="4" w:space="0" w:color="auto"/>
            </w:tcBorders>
            <w:shd w:val="clear" w:color="auto" w:fill="auto"/>
            <w:noWrap/>
            <w:vAlign w:val="center"/>
            <w:hideMark/>
          </w:tcPr>
          <w:p w14:paraId="2FBD60D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0F3934B5" w14:textId="5A167F70"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isolates","type":"article-journal","volume":"45"},"uris":["http://www.mendeley.com/documents/?uuid=d32635fe-ebb8-4d33-8698-48b95e80be7d"]}],"mendeley":{"formattedCitation":"(Holtfreter et al., 2007)","plainTextFormattedCitation":"(Holtfreter et al., 2007)","previouslyFormattedCitation":"(Holtfreter et al., 2007)"},"properties":{"noteIndex":0},"schema":"https://github.com/citation-style-language/schema/raw/master/csl-citation.json"}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w:t>
            </w:r>
            <w:r w:rsidRPr="006C34E3">
              <w:rPr>
                <w:rFonts w:eastAsia="Times New Roman" w:cs="Times New Roman"/>
                <w:color w:val="000000"/>
                <w:sz w:val="16"/>
                <w:szCs w:val="16"/>
              </w:rPr>
              <w:fldChar w:fldCharType="end"/>
            </w:r>
          </w:p>
        </w:tc>
      </w:tr>
      <w:tr w:rsidR="00F90100" w:rsidRPr="006C34E3" w14:paraId="7AC723A1"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60CABA76"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5C6029F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seq-5</w:t>
            </w:r>
          </w:p>
        </w:tc>
        <w:tc>
          <w:tcPr>
            <w:tcW w:w="3690" w:type="dxa"/>
            <w:tcBorders>
              <w:top w:val="nil"/>
              <w:left w:val="nil"/>
              <w:bottom w:val="single" w:sz="4" w:space="0" w:color="auto"/>
              <w:right w:val="single" w:sz="4" w:space="0" w:color="auto"/>
            </w:tcBorders>
            <w:shd w:val="clear" w:color="auto" w:fill="auto"/>
            <w:noWrap/>
            <w:vAlign w:val="center"/>
            <w:hideMark/>
          </w:tcPr>
          <w:p w14:paraId="7037C90A"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TCA GGT CTT TGT AAT ACA AAA</w:t>
            </w:r>
          </w:p>
        </w:tc>
        <w:tc>
          <w:tcPr>
            <w:tcW w:w="3780" w:type="dxa"/>
            <w:tcBorders>
              <w:top w:val="nil"/>
              <w:left w:val="nil"/>
              <w:bottom w:val="single" w:sz="4" w:space="0" w:color="auto"/>
              <w:right w:val="single" w:sz="4" w:space="0" w:color="auto"/>
            </w:tcBorders>
            <w:shd w:val="clear" w:color="auto" w:fill="auto"/>
            <w:noWrap/>
            <w:vAlign w:val="center"/>
            <w:hideMark/>
          </w:tcPr>
          <w:p w14:paraId="272887AF"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TCT GCT TGA CCA GTT CCG GT</w:t>
            </w:r>
          </w:p>
        </w:tc>
        <w:tc>
          <w:tcPr>
            <w:tcW w:w="1620" w:type="dxa"/>
            <w:tcBorders>
              <w:top w:val="nil"/>
              <w:left w:val="nil"/>
              <w:bottom w:val="single" w:sz="4" w:space="0" w:color="auto"/>
              <w:right w:val="single" w:sz="4" w:space="0" w:color="auto"/>
            </w:tcBorders>
            <w:shd w:val="clear" w:color="auto" w:fill="auto"/>
            <w:noWrap/>
            <w:vAlign w:val="center"/>
            <w:hideMark/>
          </w:tcPr>
          <w:p w14:paraId="58EA129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359</w:t>
            </w:r>
          </w:p>
        </w:tc>
        <w:tc>
          <w:tcPr>
            <w:tcW w:w="1620" w:type="dxa"/>
            <w:tcBorders>
              <w:top w:val="nil"/>
              <w:left w:val="nil"/>
              <w:bottom w:val="single" w:sz="4" w:space="0" w:color="auto"/>
              <w:right w:val="single" w:sz="4" w:space="0" w:color="auto"/>
            </w:tcBorders>
            <w:shd w:val="clear" w:color="auto" w:fill="auto"/>
            <w:noWrap/>
            <w:vAlign w:val="center"/>
            <w:hideMark/>
          </w:tcPr>
          <w:p w14:paraId="26D76E9D"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31BB5560" w14:textId="60A01AD6"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{"citationItems":[{"id":"ITEM-1","itemData":{"DOI":"10.1016/j.ijfoodmicro.2007.10.005","ISSN":"01681605","PMID":"18068843","abstract":"Staphylococcal enterotoxins (SEs) are superantigenic toxins. They are five major classical types, i.e., SEA, SEB, SEC, SED, SEE, and new SEs or SE-like superantigens, such as SEG to SEU. Only the staphylococcal superantigens (SAgs) that induce emesis following oral administration in a monkey model are designated as SEs while other related toxins are called SE-like (SEl) superantigens. To survey the enterotoxin genotypes for S. aureus strains isolated from food-poisoning cases in Taiwan, we developed PCR primers specific for SEN, SEO, SEP, SEQ, SER, and SEU genes. The complete SE sequences and their expression potential for strains positive to sen, seo, sep, seq, ser, and seu specific primers were also determined. These strains were used as reference strains. With the PCR primers specific for all SEs or SAgs, including toxic shock syndrome toxin I (TSST-1), we assayed the genotypes of 147 S. aureus strains isolated from patients associated with staphylococcal food-poisoning outbreaks occurred during 2001-2003. For these147 strains, 135 (91.8%) were found positive for one or more SE or SAg genes. For classical enterotoxin and TSST-1 types, the major one was tsst-1 (59.1%) following by sea (29.2%), seb (19.7%), sec (6.8%), and sed (2.0%). For new SE and SAg types, the major one was sei (29.9%) and sep (27.9%) followed by, sek (16.3%), seo (14.3%), seu (14.2%), sem (11.6%), sen (10.9%), seq (10.9%), seh (8.2%), sel (6.8%), and ser (5.4%) etc. This report reveals the whole SE and SAg genotypes for S. aureus strains isolated from staphylococcal food-poisoning cases in Taiwan. © 2007 Elsevier B.V. All rights reserved.","author":[{"dropping-particle":"","family":"Chiang","given":"Yu Cheng","non-dropping-particle":"","parse-names":false,"suffix":""},{"dropping-particle":"","family":"Liao","given":"Wan Wen","non-dropping-particle":"","parse-names":false,"suffix":""},{"dropping-particle":"","family":"Fan","given":"Chin Ming","non-dropping-particle":"","parse-names":false,"suffix":""},{"dropping-particle":"","family":"Pai","given":"Wan Yu","non-dropping-particle":"","parse-names":false,"suffix":""},{"dropping-particle":"","family":"Chiou","given":"Chien Shun","non-dropping-particle":"","parse-names":false,"suffix":""},{"dropping-particle":"","family":"Tsen","given":"Hau Yang","non-dropping-particle":"","parse-names":false,"suffix":""}],"container-title":"International Journal of Food Microbiology","id":"ITEM-1","issue":"1","issued":{"date-parts":[["2008"]]},"page":"66-73","title":"PCR detection of Staphylococcal enterotoxins (SEs) N, O, P, Q, R, U, and survey of SE types in Staphylococcus aureus isolates from food-poisoning cases in Taiwan","type":"article-journal","volume":"121"},"uris":["http://www.mendeley.com/documents/?uuid=7fef7acf-7abd-4938-bbd0-416c2cffcdc3"]}],"mendeley":{"formattedCitation":"(Chiang et al., 2008)","plainTextFormattedCitation":"(Chiang et al., 2008)","previouslyFormattedCitation":"(Chiang et al., 2008)"},"properties":{"noteIndex":0},"schema":"https://github.com/citation-style-language/schema/raw/master/csl-citation.json"}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(Chiang et al., 2008)</w:t>
            </w:r>
            <w:r w:rsidRPr="006C34E3">
              <w:rPr>
                <w:rFonts w:eastAsia="Times New Roman" w:cs="Times New Roman"/>
                <w:color w:val="000000"/>
                <w:sz w:val="16"/>
                <w:szCs w:val="16"/>
              </w:rPr>
              <w:fldChar w:fldCharType="end"/>
            </w:r>
          </w:p>
        </w:tc>
      </w:tr>
      <w:tr w:rsidR="00F90100" w:rsidRPr="006C34E3" w14:paraId="23B586B3"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44AEDCF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F3FF85"/>
            <w:noWrap/>
            <w:vAlign w:val="center"/>
            <w:hideMark/>
          </w:tcPr>
          <w:p w14:paraId="035EAA0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seq-6</w:t>
            </w:r>
          </w:p>
        </w:tc>
        <w:tc>
          <w:tcPr>
            <w:tcW w:w="3690" w:type="dxa"/>
            <w:tcBorders>
              <w:top w:val="nil"/>
              <w:left w:val="nil"/>
              <w:bottom w:val="single" w:sz="4" w:space="0" w:color="auto"/>
              <w:right w:val="single" w:sz="4" w:space="0" w:color="auto"/>
            </w:tcBorders>
            <w:shd w:val="clear" w:color="auto" w:fill="F3FF85"/>
            <w:noWrap/>
            <w:vAlign w:val="center"/>
            <w:hideMark/>
          </w:tcPr>
          <w:p w14:paraId="61AC681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AAA AGC TTC AAG GAG TTA GT</w:t>
            </w:r>
          </w:p>
        </w:tc>
        <w:tc>
          <w:tcPr>
            <w:tcW w:w="3780" w:type="dxa"/>
            <w:tcBorders>
              <w:top w:val="nil"/>
              <w:left w:val="nil"/>
              <w:bottom w:val="single" w:sz="4" w:space="0" w:color="auto"/>
              <w:right w:val="single" w:sz="4" w:space="0" w:color="auto"/>
            </w:tcBorders>
            <w:shd w:val="clear" w:color="auto" w:fill="F3FF85"/>
            <w:noWrap/>
            <w:vAlign w:val="center"/>
            <w:hideMark/>
          </w:tcPr>
          <w:p w14:paraId="2E21122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ATC CAA ATG AAA ATT CTC TGC</w:t>
            </w:r>
          </w:p>
        </w:tc>
        <w:tc>
          <w:tcPr>
            <w:tcW w:w="1620" w:type="dxa"/>
            <w:tcBorders>
              <w:top w:val="nil"/>
              <w:left w:val="nil"/>
              <w:bottom w:val="single" w:sz="4" w:space="0" w:color="auto"/>
              <w:right w:val="single" w:sz="4" w:space="0" w:color="auto"/>
            </w:tcBorders>
            <w:shd w:val="clear" w:color="auto" w:fill="F3FF85"/>
            <w:noWrap/>
            <w:vAlign w:val="center"/>
            <w:hideMark/>
          </w:tcPr>
          <w:p w14:paraId="45C1D13C"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572</w:t>
            </w:r>
          </w:p>
        </w:tc>
        <w:tc>
          <w:tcPr>
            <w:tcW w:w="1620" w:type="dxa"/>
            <w:tcBorders>
              <w:top w:val="nil"/>
              <w:left w:val="nil"/>
              <w:bottom w:val="single" w:sz="4" w:space="0" w:color="auto"/>
              <w:right w:val="single" w:sz="4" w:space="0" w:color="auto"/>
            </w:tcBorders>
            <w:shd w:val="clear" w:color="auto" w:fill="F3FF85"/>
            <w:noWrap/>
            <w:vAlign w:val="center"/>
            <w:hideMark/>
          </w:tcPr>
          <w:p w14:paraId="3784C2B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F3FF85"/>
            <w:noWrap/>
            <w:vAlign w:val="center"/>
            <w:hideMark/>
          </w:tcPr>
          <w:p w14:paraId="7B2DB63F" w14:textId="1B1B086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3E5F4D75" w14:textId="77777777" w:rsidTr="00C662E9">
        <w:trPr>
          <w:trHeight w:val="288"/>
        </w:trPr>
        <w:tc>
          <w:tcPr>
            <w:tcW w:w="630" w:type="dxa"/>
            <w:vMerge w:val="restart"/>
            <w:tcBorders>
              <w:top w:val="single" w:sz="4" w:space="0" w:color="auto"/>
              <w:left w:val="single" w:sz="4" w:space="0" w:color="auto"/>
              <w:bottom w:val="nil"/>
              <w:right w:val="single" w:sz="4" w:space="0" w:color="auto"/>
            </w:tcBorders>
            <w:shd w:val="clear" w:color="auto" w:fill="auto"/>
            <w:noWrap/>
            <w:vAlign w:val="center"/>
            <w:hideMark/>
          </w:tcPr>
          <w:p w14:paraId="05FD4597"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ser</w:t>
            </w:r>
          </w:p>
        </w:tc>
        <w:tc>
          <w:tcPr>
            <w:tcW w:w="720" w:type="dxa"/>
            <w:tcBorders>
              <w:top w:val="nil"/>
              <w:left w:val="nil"/>
              <w:bottom w:val="single" w:sz="4" w:space="0" w:color="auto"/>
              <w:right w:val="single" w:sz="4" w:space="0" w:color="auto"/>
            </w:tcBorders>
            <w:shd w:val="clear" w:color="auto" w:fill="auto"/>
            <w:noWrap/>
            <w:vAlign w:val="center"/>
            <w:hideMark/>
          </w:tcPr>
          <w:p w14:paraId="60636D0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ser-1</w:t>
            </w:r>
          </w:p>
        </w:tc>
        <w:tc>
          <w:tcPr>
            <w:tcW w:w="3690" w:type="dxa"/>
            <w:tcBorders>
              <w:top w:val="nil"/>
              <w:left w:val="nil"/>
              <w:bottom w:val="single" w:sz="4" w:space="0" w:color="auto"/>
              <w:right w:val="single" w:sz="4" w:space="0" w:color="auto"/>
            </w:tcBorders>
            <w:shd w:val="clear" w:color="auto" w:fill="auto"/>
            <w:noWrap/>
            <w:vAlign w:val="center"/>
            <w:hideMark/>
          </w:tcPr>
          <w:p w14:paraId="615B523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GGA TAA AGC GGT AAT AGC AG</w:t>
            </w:r>
          </w:p>
        </w:tc>
        <w:tc>
          <w:tcPr>
            <w:tcW w:w="3780" w:type="dxa"/>
            <w:tcBorders>
              <w:top w:val="nil"/>
              <w:left w:val="nil"/>
              <w:bottom w:val="single" w:sz="4" w:space="0" w:color="auto"/>
              <w:right w:val="single" w:sz="4" w:space="0" w:color="auto"/>
            </w:tcBorders>
            <w:shd w:val="clear" w:color="auto" w:fill="auto"/>
            <w:noWrap/>
            <w:vAlign w:val="center"/>
            <w:hideMark/>
          </w:tcPr>
          <w:p w14:paraId="076E785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GTA TTC CAA ACA CAT CTA AC</w:t>
            </w:r>
          </w:p>
        </w:tc>
        <w:tc>
          <w:tcPr>
            <w:tcW w:w="1620" w:type="dxa"/>
            <w:tcBorders>
              <w:top w:val="nil"/>
              <w:left w:val="nil"/>
              <w:bottom w:val="single" w:sz="4" w:space="0" w:color="auto"/>
              <w:right w:val="single" w:sz="4" w:space="0" w:color="auto"/>
            </w:tcBorders>
            <w:shd w:val="clear" w:color="auto" w:fill="auto"/>
            <w:noWrap/>
            <w:vAlign w:val="center"/>
            <w:hideMark/>
          </w:tcPr>
          <w:p w14:paraId="340BE32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166</w:t>
            </w:r>
          </w:p>
        </w:tc>
        <w:tc>
          <w:tcPr>
            <w:tcW w:w="1620" w:type="dxa"/>
            <w:tcBorders>
              <w:top w:val="nil"/>
              <w:left w:val="nil"/>
              <w:bottom w:val="single" w:sz="4" w:space="0" w:color="auto"/>
              <w:right w:val="single" w:sz="4" w:space="0" w:color="auto"/>
            </w:tcBorders>
            <w:shd w:val="clear" w:color="auto" w:fill="auto"/>
            <w:noWrap/>
            <w:vAlign w:val="center"/>
            <w:hideMark/>
          </w:tcPr>
          <w:p w14:paraId="4715E31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DB61C10" w14:textId="28706A5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{"citationItems":[{"id":"ITEM-1","itemData":{"DOI":"10.1016/j.femsle.2005.04.007","ISSN":"03781097","PMID":"15899405","abstract":"We describe a comprehensive detection system for 18 kinds of classical and newly described staphylococcal superantigenic toxin genes using four sets of multiplex PCR. Superantigenic toxin genotyping of Staphylococcus aureus for 69 food poisoning isolates and 97 healthy human nasal swab isolates revealed 32 superantigenic toxin genotypes and showed that many S. aureus isolates harbored multiple toxin genes. Analysis of the relationship between toxin genotypes and toxin genes encoding profiles of mobile genetic elements suggests its possible role in determining superantigenic toxin genotypes in S. aureus as combinations of toxin gene-encoding mobile genetic elements. © 2005 Federation of European Microbiological Societies. Published by Elsevier B.V. All rights reserved.","author":[{"dropping-particle":"","family":"Omoe","given":"Katsuhiko","non-dropping-particle":"","parse-names":false,"suffix":""},{"dropping-particle":"","family":"Hu","given":"Dong Liang","non-dropping-particle":"","parse-names":false,"suffix":""},{"dropping-particle":"","family":"Takahashi-Omoe","given":"Hiromi","non-dropping-particle":"","parse-names":false,"suffix":""},{"dropping-particle":"","family":"Nakane","given":"Akio","non-dropping-particle":"","parse-names":false,"suffix":""},{"dropping-particle":"","family":"Shinagawa","given":"Kunihiro","non-dropping-particle":"","parse-names":false,"suffix":""}],"container-title":"FEMS Microbiology Letters","id":"ITEM-1","issue":"2","issued":{"date-parts":[["2005"]]},"page":"191-198","title":"Comprehensive analysis of classical and newly described staphylococcal superantigenic toxin genes in Staphylococcus aureus isolates","type":"article-journal","volume":"246"},"uris":["http://www.mendeley.com/documents/?uuid=638d17de-7b28-4499-b2dd-7e42dc86203b"]}],"mendeley":{"formattedCitation":"(Omoe et al., 2005)","plainTextFormattedCitation":"(Omoe et al., 2005)","previouslyFormattedCitation":"(Omoe et al., 2005)"},"properties":{"noteIndex":0},"schema":"https://github.com/citation-style-language/schema/raw/master/csl-citation.json"}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(Omoe et al., 2005)</w:t>
            </w:r>
            <w:r w:rsidRPr="006C34E3">
              <w:rPr>
                <w:rFonts w:eastAsia="Times New Roman" w:cs="Times New Roman"/>
                <w:color w:val="000000"/>
                <w:sz w:val="16"/>
                <w:szCs w:val="16"/>
              </w:rPr>
              <w:fldChar w:fldCharType="end"/>
            </w:r>
          </w:p>
        </w:tc>
      </w:tr>
      <w:tr w:rsidR="00F90100" w:rsidRPr="006C34E3" w14:paraId="64FA09D1" w14:textId="77777777" w:rsidTr="00C662E9">
        <w:trPr>
          <w:trHeight w:val="288"/>
        </w:trPr>
        <w:tc>
          <w:tcPr>
            <w:tcW w:w="630" w:type="dxa"/>
            <w:vMerge/>
            <w:tcBorders>
              <w:top w:val="single" w:sz="4" w:space="0" w:color="auto"/>
              <w:left w:val="single" w:sz="4" w:space="0" w:color="auto"/>
              <w:bottom w:val="nil"/>
              <w:right w:val="single" w:sz="4" w:space="0" w:color="auto"/>
            </w:tcBorders>
            <w:vAlign w:val="center"/>
            <w:hideMark/>
          </w:tcPr>
          <w:p w14:paraId="692B4B75"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CFAAC0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ser-2</w:t>
            </w:r>
          </w:p>
        </w:tc>
        <w:tc>
          <w:tcPr>
            <w:tcW w:w="3690" w:type="dxa"/>
            <w:tcBorders>
              <w:top w:val="nil"/>
              <w:left w:val="nil"/>
              <w:bottom w:val="single" w:sz="4" w:space="0" w:color="auto"/>
              <w:right w:val="single" w:sz="4" w:space="0" w:color="auto"/>
            </w:tcBorders>
            <w:shd w:val="clear" w:color="auto" w:fill="auto"/>
            <w:noWrap/>
            <w:vAlign w:val="center"/>
            <w:hideMark/>
          </w:tcPr>
          <w:p w14:paraId="77A78C2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AGA TGT GTT TGG AAT ACC CTA T</w:t>
            </w:r>
          </w:p>
        </w:tc>
        <w:tc>
          <w:tcPr>
            <w:tcW w:w="3780" w:type="dxa"/>
            <w:tcBorders>
              <w:top w:val="nil"/>
              <w:left w:val="nil"/>
              <w:bottom w:val="single" w:sz="4" w:space="0" w:color="auto"/>
              <w:right w:val="single" w:sz="4" w:space="0" w:color="auto"/>
            </w:tcBorders>
            <w:shd w:val="clear" w:color="auto" w:fill="auto"/>
            <w:noWrap/>
            <w:vAlign w:val="center"/>
            <w:hideMark/>
          </w:tcPr>
          <w:p w14:paraId="71B8595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CTA TCA GCT GTG GAG TGC AT</w:t>
            </w:r>
          </w:p>
        </w:tc>
        <w:tc>
          <w:tcPr>
            <w:tcW w:w="1620" w:type="dxa"/>
            <w:tcBorders>
              <w:top w:val="nil"/>
              <w:left w:val="nil"/>
              <w:bottom w:val="single" w:sz="4" w:space="0" w:color="auto"/>
              <w:right w:val="single" w:sz="4" w:space="0" w:color="auto"/>
            </w:tcBorders>
            <w:shd w:val="clear" w:color="auto" w:fill="auto"/>
            <w:noWrap/>
            <w:vAlign w:val="center"/>
            <w:hideMark/>
          </w:tcPr>
          <w:p w14:paraId="4847EF5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123</w:t>
            </w:r>
          </w:p>
        </w:tc>
        <w:tc>
          <w:tcPr>
            <w:tcW w:w="1620" w:type="dxa"/>
            <w:tcBorders>
              <w:top w:val="nil"/>
              <w:left w:val="nil"/>
              <w:bottom w:val="single" w:sz="4" w:space="0" w:color="auto"/>
              <w:right w:val="single" w:sz="4" w:space="0" w:color="auto"/>
            </w:tcBorders>
            <w:shd w:val="clear" w:color="auto" w:fill="auto"/>
            <w:noWrap/>
            <w:vAlign w:val="center"/>
            <w:hideMark/>
          </w:tcPr>
          <w:p w14:paraId="0AB4BD6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Used by EURL-CPS</w:t>
            </w:r>
          </w:p>
        </w:tc>
        <w:tc>
          <w:tcPr>
            <w:tcW w:w="1530" w:type="dxa"/>
            <w:tcBorders>
              <w:top w:val="nil"/>
              <w:left w:val="nil"/>
              <w:bottom w:val="single" w:sz="4" w:space="0" w:color="auto"/>
              <w:right w:val="single" w:sz="4" w:space="0" w:color="auto"/>
            </w:tcBorders>
            <w:shd w:val="clear" w:color="auto" w:fill="auto"/>
            <w:noWrap/>
            <w:vAlign w:val="center"/>
            <w:hideMark/>
          </w:tcPr>
          <w:p w14:paraId="52D232F7" w14:textId="455EC75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{"citationItems":[{"id":"ITEM-1","itemData":{"DOI":"10.1016/j.ijfoodmicro.2007.10.005","ISSN":"01681605","PMID":"18068843","abstract":"Staphylococcal enterotoxins (SEs) are superantigenic toxins. They are five major classical types, i.e., SEA, SEB, SEC, SED, SEE, and new SEs or SE-like superantigens, such as SEG to SEU. Only the staphylococcal superantigens (SAgs) that induce emesis following oral administration in a monkey model are designated as SEs while other related toxins are called SE-like (SEl) superantigens. To survey the enterotoxin genotypes for S. aureus strains isolated from food-poisoning cases in Taiwan, we developed PCR primers specific for SEN, SEO, SEP, SEQ, SER, and SEU genes. The complete SE sequences and their expression potential for strains positive to sen, seo, sep, seq, ser, and seu specific primers were also determined. These strains were used as reference strains. With the PCR primers specific for all SEs or SAgs, including toxic shock syndrome toxin I (TSST-1), we assayed the genotypes of 147 S. aureus strains isolated from patients associated with staphylococcal food-poisoning outbreaks occurred during 2001-2003. For these147 strains, 135 (91.8%) were found positive for one or more SE or SAg genes. For classical enterotoxin and TSST-1 types, the major one was tsst-1 (59.1%) following by sea (29.2%), seb (19.7%), sec (6.8%), and sed (2.0%). For new SE and SAg types, the major one was sei (29.9%) and sep (27.9%) followed by, sek (16.3%), seo (14.3%), seu (14.2%), sem (11.6%), sen (10.9%), seq (10.9%), seh (8.2%), sel (6.8%), and ser (5.4%) etc. This report reveals the whole SE and SAg genotypes for S. aureus strains isolated from staphylococcal food-poisoning cases in Taiwan. © 2007 Elsevier B.V. All rights reserved.","author":[{"dropping-particle":"","family":"Chiang","given":"Yu Cheng","non-dropping-particle":"","parse-names":false,"suffix":""},{"dropping-particle":"","family":"Liao","given":"Wan Wen","non-dropping-particle":"","parse-names":false,"suffix":""},{"dropping-particle":"","family":"Fan","given":"Chin Ming","non-dropping-particle":"","parse-names":false,"suffix":""},{"dropping-particle":"","family":"Pai","given":"Wan Yu","non-dropping-particle":"","parse-names":false,"suffix":""},{"dropping-particle":"","family":"Chiou","given":"Chien Shun","non-dropping-particle":"","parse-names":false,"suffix":""},{"dropping-particle":"","family":"Tsen","given":"Hau Yang","non-dropping-particle":"","parse-names":false,"suffix":""}],"container-title":"International Journal of Food Microbiology","id":"ITEM-1","issue":"1","issued":{"date-parts":[["2008"]]},"page":"66-73","title":"PCR detection of Staphylococcal enterotoxins (SEs) N, O, P, Q, R, U, and survey of SE types in Staphylococcus aureus isolates from food-poisoning cases in Taiwan","type":"article-journal","volume":"121"},"uris":["http://www.mendeley.com/documents/?uuid=7fef7acf-7abd-4938-bbd0-416c2cffcdc3"]},{"id":"ITEM-2","itemData":{"DOI":"10.3389/fmicb.2015.00882","ISSN":"1664-302X","abstract":"Staphylococcal food poisoning outbreaks (SFPOs) are frequently reported in France. However, most of them remain unconfirmed, highlighting a need for a better characterization of isolated strains. Here we analyzed the genetic diversity of 112 Staphylococcus aureus strains isolated from 76 distinct SFPOs that occurred in France over the last 30 years. We used a recently developed multiple-locus variable-number tandem-repeat analysis (MLVA) protocol and compared this method with pulsed field gel electrophoresis (PFGE), spa-typing and carriage of genes (se genes) coding for 11 staphylococcal enterotoxins (i.e., SEA, SEB, SEC, SED, SEE, SEG, SEH, SEI, SEJ, SEP, SER). The strains known to have an epidemiological association with one another had identical MLVA types, PFGE profiles, spa-types or se gene carriage. MLVA, PFGE and spa-typing divided 103 epidemiologically unrelated strains into 84, 80, and 50 types respectively demonstrating the high genetic diversity of S. aureus strains involved in SFPOs. Each MLVA type shared by more than one strain corresponded to a single spa-type except for one MLVA type represented by four strains that showed two different-but closely related-spa-types. The 87 enterotoxigenic strains were distributed across 68 distinct MLVA types that correlated all with se gene carriage except for four MLVA types. The most frequent se gene detected was sea, followed by seg and sei and the most frequently associated se genes were sea-seh and sea-sed-sej-ser. The discriminatory ability of MLVA was similar to that of PFGE and higher than that of spa-typing. This MLVA protocol was found to be compatible with high throughput analysis, and was also faster and less labor-intensive than PFGE. MLVA holds promise as a suitable method for investigating SFPOs and tracking the source of contamination in food processing facilities in real time.","author":[{"dropping-particle":"","family":"Roussel","given":"Sophie","non-dropping-particle":"","parse-names":false,"suffix":""},{"dropping-particle":"","family":"Felix","given":"Benjamin","non-dropping-particle":"","parse-names":false,"suffix":""},{"dropping-particle":"","family":"Vingadassalon","given":"Noémie","non-dropping-particle":"","parse-names":false,"suffix":""},{"dropping-particle":"","family":"Grout","given":"Joël","non-dropping-particle":"","parse-names":false,"suffix":""},{"dropping-particle":"","family":"Hennekinne","given":"Jacques-Antoine","non-dropping-particle":"","parse-names":false,"suffix":""},{"dropping-particle":"","family":"Guillier","given":"Laurent","non-dropping-particle":"","parse-names":false,"suffix":""},{"dropping-particle":"","family":"Brisabois","given":"Anne","non-dropping-particle":"","parse-names":false,"suffix":""},{"dropping-particle":"","family":"Auvray","given":"Fréderic","non-dropping-particle":"","parse-names":false,"suffix":""}],"container-title":"Frontiers in Microbiology","id":"ITEM-2","issue":"SEP","issued":{"date-parts":[["2015","9","11"]]},"page":"1-12","title":"Staphylococcus aureus strains associated with food poisoning outbreaks in France: comparison of different molecular typing methods, including MLVA","type":"article-journal","volume":"6"},"uris":["http://www.mendeley.com/documents/?uuid=fc1715b7-49a3-4430-b1bf-38feeadd5075"]}],"mendeley":{"formattedCitation":"(Chiang et al., 2008; Roussel et al., 2015)","plainTextFormattedCitation":"(Chiang et al., 2008; Roussel et al., 2015)","previouslyFormattedCitation":"(Chiang et al., 2008; Roussel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(Chiang et al., 2008; Roussel et al., 2015)</w:t>
            </w:r>
            <w:r w:rsidRPr="006C34E3">
              <w:rPr>
                <w:rFonts w:eastAsia="Times New Roman" w:cs="Times New Roman"/>
                <w:color w:val="000000"/>
                <w:sz w:val="16"/>
                <w:szCs w:val="16"/>
              </w:rPr>
              <w:fldChar w:fldCharType="end"/>
            </w:r>
          </w:p>
        </w:tc>
      </w:tr>
      <w:tr w:rsidR="00F90100" w:rsidRPr="006C34E3" w14:paraId="1051A52F" w14:textId="77777777" w:rsidTr="00C662E9">
        <w:trPr>
          <w:trHeight w:val="288"/>
        </w:trPr>
        <w:tc>
          <w:tcPr>
            <w:tcW w:w="630" w:type="dxa"/>
            <w:vMerge/>
            <w:tcBorders>
              <w:top w:val="single" w:sz="4" w:space="0" w:color="auto"/>
              <w:left w:val="single" w:sz="4" w:space="0" w:color="auto"/>
              <w:bottom w:val="nil"/>
              <w:right w:val="single" w:sz="4" w:space="0" w:color="auto"/>
            </w:tcBorders>
            <w:vAlign w:val="center"/>
            <w:hideMark/>
          </w:tcPr>
          <w:p w14:paraId="675779D4"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21E9B13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ser-3</w:t>
            </w:r>
          </w:p>
        </w:tc>
        <w:tc>
          <w:tcPr>
            <w:tcW w:w="3690" w:type="dxa"/>
            <w:tcBorders>
              <w:top w:val="nil"/>
              <w:left w:val="nil"/>
              <w:bottom w:val="single" w:sz="4" w:space="0" w:color="auto"/>
              <w:right w:val="single" w:sz="4" w:space="0" w:color="auto"/>
            </w:tcBorders>
            <w:shd w:val="clear" w:color="auto" w:fill="auto"/>
            <w:noWrap/>
            <w:vAlign w:val="center"/>
            <w:hideMark/>
          </w:tcPr>
          <w:p w14:paraId="1D40D78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AGC GGT AAT AGC AGA AAA TG</w:t>
            </w:r>
          </w:p>
        </w:tc>
        <w:tc>
          <w:tcPr>
            <w:tcW w:w="3780" w:type="dxa"/>
            <w:tcBorders>
              <w:top w:val="nil"/>
              <w:left w:val="nil"/>
              <w:bottom w:val="single" w:sz="4" w:space="0" w:color="auto"/>
              <w:right w:val="single" w:sz="4" w:space="0" w:color="auto"/>
            </w:tcBorders>
            <w:shd w:val="clear" w:color="auto" w:fill="auto"/>
            <w:noWrap/>
            <w:vAlign w:val="center"/>
            <w:hideMark/>
          </w:tcPr>
          <w:p w14:paraId="5B9977F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TCT TGT ACC GTA ACC GTT TT</w:t>
            </w:r>
          </w:p>
        </w:tc>
        <w:tc>
          <w:tcPr>
            <w:tcW w:w="1620" w:type="dxa"/>
            <w:tcBorders>
              <w:top w:val="nil"/>
              <w:left w:val="nil"/>
              <w:bottom w:val="single" w:sz="4" w:space="0" w:color="auto"/>
              <w:right w:val="single" w:sz="4" w:space="0" w:color="auto"/>
            </w:tcBorders>
            <w:shd w:val="clear" w:color="auto" w:fill="auto"/>
            <w:noWrap/>
            <w:vAlign w:val="center"/>
            <w:hideMark/>
          </w:tcPr>
          <w:p w14:paraId="299C065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363</w:t>
            </w:r>
          </w:p>
        </w:tc>
        <w:tc>
          <w:tcPr>
            <w:tcW w:w="1620" w:type="dxa"/>
            <w:tcBorders>
              <w:top w:val="nil"/>
              <w:left w:val="nil"/>
              <w:bottom w:val="single" w:sz="4" w:space="0" w:color="auto"/>
              <w:right w:val="single" w:sz="4" w:space="0" w:color="auto"/>
            </w:tcBorders>
            <w:shd w:val="clear" w:color="auto" w:fill="auto"/>
            <w:noWrap/>
            <w:vAlign w:val="center"/>
            <w:hideMark/>
          </w:tcPr>
          <w:p w14:paraId="61ACEA2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19F1E13" w14:textId="36F9BAA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isolates","type":"article-journal","volume":"45"},"uris":["http://www.mendeley.com/documents/?uuid=d32635fe-ebb8-4d33-8698-48b95e80be7d"]},{"id":"ITEM-2","itemData":{"DOI":"10.1128/AEM.00272-09","ISSN":"00992240","PMID":"19749060","abstract":"Staphylococcal enterotoxins (SE) can cause toxin-mediated disease, and those that function as superantigens are implicated in the pathogenesis of allergic diseases. The prevalence of 19 enterotoxin genes was determined by PCR in clinical S. aureus strains derived from wounds (108) and blood (99). We performed spa typing and multilocus sequence typing (MLST) to determine clonal origin, and for selected strains staphylococcal enterotoxin B (SEB) production was measured by enzyme-linked immunosorbent assay. Strains carried a median of five SE genes. For most SE genes, the prevalence rates among methicillinresistant and methicillin-sensitive S. aureus isolates, as well as wound- and blood-derived isolates, did not differ. At least one SE gene was detected in all except two S. aureus isolates (&gt;99%). Complete egc clusters were found in only 11% of S. aureus isolates, whereas the combination of sed, sej, and ser was detected in 24% of clinical strains. S. aureus strains exhibited distinct combinations of SE genes, even if their pulsed-field gel electrophoresis and MLST patterns demonstrated clonality. USA300 strains also showed considerable variability in SE content, although they contained a lower number of SE genes (mean, 3). By contrast, SE content was unchanged in five pairs of serial isolates. SEB production by individual strains varied up to 200-fold, and even up to 15-fold in a pair of serial isolates. In conclusion, our results illustrate the genetic diversity of S. aureus strains with respect to enterotoxin genes and suggest that horizontal transfer of mobile genetic elements encoding virulence genes occurs frequently. Copyright © 2009, American Society for Microbiology. All Rights Reserved.","author":[{"dropping-particle":"","family":"Varshney","given":"Avanish K.","non-dropping-particle":"","parse-names":false,"suffix":""},{"dropping-particle":"","family":"Mediavilla","given":"José R.","non-dropping-particle":"","parse-names":false,"suffix":""},{"dropping-particle":"","family":"Robiou","given":"Natalie","non-dropping-particle":"","parse-names":false,"suffix":""},{"dropping-particle":"","family":"Guh","given":"Alice","non-dropping-particle":"","parse-names":false,"suffix":""},{"dropping-particle":"","family":"Wang","given":"Xiabo","non-dropping-particle":"","parse-names":false,"suffix":""},{"dropping-particle":"","family":"Gialanella","given":"Philip","non-dropping-particle":"","parse-names":false,"suffix":""},{"dropping-particle":"","family":"Levi","given":"Michael H.","non-dropping-particle":"","parse-names":false,"suffix":""},{"dropping-particle":"","family":"Kreiswirth","given":"Barry N.","non-dropping-particle":"","parse-names":false,"suffix":""},{"dropping-particle":"","family":"Fries","given":"Bettina C.","non-dropping-particle":"","parse-names":false,"suffix":""}],"container-title":"Applied and Environmental Microbiology","id":"ITEM-2","issue":"21","issued":{"date-parts":[["2009"]]},"page":"6839-6849","title":"Diverse enterotoxin gene profiles among clonal complexes of Staphylococcus aureus isolates from the Bronx, New York","type":"article-journal","volume":"75"},"uris":["http://www.mendeley.com/documents/?uuid=d01e251a-bae9-4580-a6db-90bb5b4c190e"]}],"mendeley":{"formattedCitation":"(Holtfreter et al., 2007; Varshney et al., 2009)","plainTextFormattedCitation":"(Holtfreter et al., 2007; Varshney et al., 2009)","previouslyFormattedCitation":"(Holtfreter et al., 2007; Varshney et al., 2009)"},"properties":{"noteIndex":0},"schema":"https://github.com/citation-style-language/schema/raw/master/csl-citation.json"}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 Varshney et al., 2009)</w:t>
            </w:r>
            <w:r w:rsidRPr="006C34E3">
              <w:rPr>
                <w:rFonts w:eastAsia="Times New Roman" w:cs="Times New Roman"/>
                <w:color w:val="000000"/>
                <w:sz w:val="16"/>
                <w:szCs w:val="16"/>
              </w:rPr>
              <w:fldChar w:fldCharType="end"/>
            </w:r>
          </w:p>
        </w:tc>
      </w:tr>
      <w:tr w:rsidR="00F90100" w:rsidRPr="006C34E3" w14:paraId="7287265A"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73AAD3B"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ses</w:t>
            </w:r>
          </w:p>
        </w:tc>
        <w:tc>
          <w:tcPr>
            <w:tcW w:w="720" w:type="dxa"/>
            <w:tcBorders>
              <w:top w:val="nil"/>
              <w:left w:val="nil"/>
              <w:bottom w:val="single" w:sz="4" w:space="0" w:color="auto"/>
              <w:right w:val="single" w:sz="4" w:space="0" w:color="auto"/>
            </w:tcBorders>
            <w:shd w:val="clear" w:color="auto" w:fill="auto"/>
            <w:noWrap/>
            <w:vAlign w:val="center"/>
            <w:hideMark/>
          </w:tcPr>
          <w:p w14:paraId="111469E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ses-1</w:t>
            </w:r>
          </w:p>
        </w:tc>
        <w:tc>
          <w:tcPr>
            <w:tcW w:w="3690" w:type="dxa"/>
            <w:tcBorders>
              <w:top w:val="nil"/>
              <w:left w:val="nil"/>
              <w:bottom w:val="single" w:sz="4" w:space="0" w:color="auto"/>
              <w:right w:val="single" w:sz="4" w:space="0" w:color="auto"/>
            </w:tcBorders>
            <w:shd w:val="clear" w:color="auto" w:fill="auto"/>
            <w:noWrap/>
            <w:vAlign w:val="center"/>
            <w:hideMark/>
          </w:tcPr>
          <w:p w14:paraId="572FA8F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TGA ATT AGA TTC AAC CGC AC</w:t>
            </w:r>
          </w:p>
        </w:tc>
        <w:tc>
          <w:tcPr>
            <w:tcW w:w="3780" w:type="dxa"/>
            <w:tcBorders>
              <w:top w:val="nil"/>
              <w:left w:val="nil"/>
              <w:bottom w:val="single" w:sz="4" w:space="0" w:color="auto"/>
              <w:right w:val="single" w:sz="4" w:space="0" w:color="auto"/>
            </w:tcBorders>
            <w:shd w:val="clear" w:color="auto" w:fill="auto"/>
            <w:noWrap/>
            <w:vAlign w:val="center"/>
            <w:hideMark/>
          </w:tcPr>
          <w:p w14:paraId="5A721B11" w14:textId="77777777" w:rsidR="00F90100" w:rsidRPr="00C662E9" w:rsidRDefault="00F90100" w:rsidP="00F90100">
            <w:pPr>
              <w:spacing w:before="0" w:after="0"/>
              <w:jc w:val="center"/>
              <w:rPr>
                <w:rFonts w:eastAsia="Times New Roman" w:cs="Times New Roman"/>
                <w:sz w:val="16"/>
                <w:szCs w:val="16"/>
              </w:rPr>
            </w:pPr>
            <w:r w:rsidRPr="00C662E9">
              <w:rPr>
                <w:rFonts w:eastAsia="Times New Roman" w:cs="Times New Roman"/>
                <w:sz w:val="16"/>
                <w:szCs w:val="16"/>
              </w:rPr>
              <w:t>CGT CTA TGT GTA AAT TTG AAG AG</w:t>
            </w:r>
          </w:p>
        </w:tc>
        <w:tc>
          <w:tcPr>
            <w:tcW w:w="1620" w:type="dxa"/>
            <w:tcBorders>
              <w:top w:val="nil"/>
              <w:left w:val="nil"/>
              <w:bottom w:val="single" w:sz="4" w:space="0" w:color="auto"/>
              <w:right w:val="single" w:sz="4" w:space="0" w:color="auto"/>
            </w:tcBorders>
            <w:shd w:val="clear" w:color="auto" w:fill="auto"/>
            <w:noWrap/>
            <w:vAlign w:val="center"/>
            <w:hideMark/>
          </w:tcPr>
          <w:p w14:paraId="6685475F"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623</w:t>
            </w:r>
          </w:p>
        </w:tc>
        <w:tc>
          <w:tcPr>
            <w:tcW w:w="1620" w:type="dxa"/>
            <w:tcBorders>
              <w:top w:val="nil"/>
              <w:left w:val="nil"/>
              <w:bottom w:val="single" w:sz="4" w:space="0" w:color="auto"/>
              <w:right w:val="single" w:sz="4" w:space="0" w:color="auto"/>
            </w:tcBorders>
            <w:shd w:val="clear" w:color="auto" w:fill="auto"/>
            <w:noWrap/>
            <w:vAlign w:val="center"/>
            <w:hideMark/>
          </w:tcPr>
          <w:p w14:paraId="220FEC71"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7EE783A" w14:textId="54DB032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45BC9AAD" w14:textId="77777777" w:rsidTr="00C662E9">
        <w:trPr>
          <w:trHeight w:val="336"/>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45D7505E"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03301C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ses-2</w:t>
            </w:r>
          </w:p>
        </w:tc>
        <w:tc>
          <w:tcPr>
            <w:tcW w:w="3690" w:type="dxa"/>
            <w:tcBorders>
              <w:top w:val="nil"/>
              <w:left w:val="nil"/>
              <w:bottom w:val="single" w:sz="4" w:space="0" w:color="auto"/>
              <w:right w:val="single" w:sz="4" w:space="0" w:color="auto"/>
            </w:tcBorders>
            <w:shd w:val="clear" w:color="auto" w:fill="auto"/>
            <w:noWrap/>
            <w:vAlign w:val="center"/>
            <w:hideMark/>
          </w:tcPr>
          <w:p w14:paraId="6FD85B7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TTC AGA AAT AGC CAA TCA TTT CAA</w:t>
            </w:r>
          </w:p>
        </w:tc>
        <w:tc>
          <w:tcPr>
            <w:tcW w:w="3780" w:type="dxa"/>
            <w:tcBorders>
              <w:top w:val="nil"/>
              <w:left w:val="nil"/>
              <w:bottom w:val="single" w:sz="4" w:space="0" w:color="auto"/>
              <w:right w:val="single" w:sz="4" w:space="0" w:color="auto"/>
            </w:tcBorders>
            <w:shd w:val="clear" w:color="auto" w:fill="auto"/>
            <w:noWrap/>
            <w:vAlign w:val="center"/>
            <w:hideMark/>
          </w:tcPr>
          <w:p w14:paraId="5A3A410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CCT TTT TGT TGA GAG CCG TC</w:t>
            </w:r>
          </w:p>
        </w:tc>
        <w:tc>
          <w:tcPr>
            <w:tcW w:w="1620" w:type="dxa"/>
            <w:tcBorders>
              <w:top w:val="nil"/>
              <w:left w:val="nil"/>
              <w:bottom w:val="single" w:sz="4" w:space="0" w:color="auto"/>
              <w:right w:val="single" w:sz="4" w:space="0" w:color="auto"/>
            </w:tcBorders>
            <w:shd w:val="clear" w:color="auto" w:fill="auto"/>
            <w:noWrap/>
            <w:vAlign w:val="center"/>
            <w:hideMark/>
          </w:tcPr>
          <w:p w14:paraId="07DE283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195</w:t>
            </w:r>
          </w:p>
        </w:tc>
        <w:tc>
          <w:tcPr>
            <w:tcW w:w="1620" w:type="dxa"/>
            <w:tcBorders>
              <w:top w:val="nil"/>
              <w:left w:val="nil"/>
              <w:bottom w:val="nil"/>
              <w:right w:val="nil"/>
            </w:tcBorders>
            <w:shd w:val="clear" w:color="auto" w:fill="auto"/>
            <w:noWrap/>
            <w:vAlign w:val="center"/>
            <w:hideMark/>
          </w:tcPr>
          <w:p w14:paraId="70B9FBC1"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single" w:sz="4" w:space="0" w:color="auto"/>
              <w:bottom w:val="single" w:sz="4" w:space="0" w:color="auto"/>
              <w:right w:val="single" w:sz="4" w:space="0" w:color="auto"/>
            </w:tcBorders>
            <w:shd w:val="clear" w:color="auto" w:fill="auto"/>
            <w:vAlign w:val="center"/>
            <w:hideMark/>
          </w:tcPr>
          <w:p w14:paraId="29FC0E48" w14:textId="2A0869C8"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fldChar w:fldCharType="begin" w:fldLock="1"/>
            </w:r>
            <w:r w:rsidR="00E452BC">
              <w:rPr>
                <w:rFonts w:eastAsia="Times New Roman" w:cs="Times New Roman"/>
                <w:sz w:val="16"/>
                <w:szCs w:val="16"/>
              </w:rPr>
              <w:instrText>ADDIN CSL_CITATION {"citationItems":[{"id":"ITEM-1","itemData":{"DOI":"10.1128/IAI.00045-08","ISSN":"00199567","PMID":"18710864","abstract":"In addition to two known staphylococcal enterotoxin-like genes (selj and selr), two novel genes coding for two superantigens, staphylococcal enterotoxins S and T (SES and SET), were identified in plasmid pF5, which is harbored by food poisoning-related Staphylococcus aureus strain Fukuoka 5. This strain was implicated in a food poisoning incident in Fukuoka City, Japan, in 1997. Recombinant SES (rSES) specifically stimulated human T cells in a T-cell receptor Vβ9- and Vβ16-specific manner in the presence of major histocompatibility complex (MHC) class II+ antigen-presenting cells (APC). rSET also stimulated T cells in the presence of MHC class II+ APC, although its Vβ skewing was not found in reactive T cells. Subsequently, we examined the emetic activity of SES and SET. We also studied SElR to determine emetic activity in primates. This toxin was identified in previous studies but was not examined in terms of possession of emetic activity for primates. rSES induced emetic reactions in two of four monkeys at a dose of 100 μg/kg within 5 h of intragastric administration. In one monkey, rSET induced a delayed reaction (24 h postadministration) at a dose of 100 μg/kg, and in the other one, the reaction occurred 5 days postadministration. rSElR induced a reaction in two of six animals within 5 h at 100 μg/kg. On this basis, we speculate that the causative toxins of vomiting in the Fukuoka case are SES and SER. Additionally, SES, SER, and SET also induced emesis in house musk shrews as in the monkeys. Copyright © 2008, American Society for Microbiology. All Rights Reserved.","author":[{"dropping-particle":"","family":"Ono","given":"Hisaya K.","non-dropping-particle":"","parse-names":false,"suffix":""},{"dropping-particle":"","family":"Omoe","given":"Katsuhiko","non-dropping-particle":"","parse-names":false,"suffix":""},{"dropping-particle":"","family":"Imanishi","given":"Ken'ichi","non-dropping-particle":"","parse-names":false,"suffix":""},{"dropping-particle":"","family":"Iwakabe","given":"Yoshihiro","non-dropping-particle":"","parse-names":false,"suffix":""},{"dropping-particle":"","family":"Hu","given":"Dong Liang","non-dropping-particle":"","parse-names":false,"suffix":""},{"dropping-particle":"","family":"Kato","given":"Hidehito","non-dropping-particle":"","parse-names":false,"suffix":""},{"dropping-particle":"","family":"Saito","given":"Naoyuki","non-dropping-particle":"","parse-names":false,"suffix":""},{"dropping-particle":"","family":"Nakane","given":"Akio","non-dropping-particle":"","parse-names":false,"suffix":""},{"dropping-particle":"","family":"Uchiyama","given":"Takehiko","non-dropping-particle":"","parse-names":false,"suffix":""},{"dropping-particle":"","family":"Shinagawa","given":"Kunihiro","non-dropping-particle":"","parse-names":false,"suffix":""}],"container-title":"Infection and Immunity","id":"ITEM-1","issue":"11","issued":{"date-parts":[["2008"]]},"page":"4999-5005","title":"Identification and characterization of two novel staphylococcal enterotoxins, types S and T","type":"article-journal","volume":"76"},"uris":["http://www.mendeley.com/documents/?uuid=6954ccfa-fffa-4b5b-8b64-1c89559b1455"]}],"mendeley":{"formattedCitation":"(Ono et al., 2008)","plainTextFormattedCitation":"(Ono et al., 2008)","previouslyFormattedCitation":"(Ono et al., 2008)"},"properties":{"noteIndex":0},"schema":"https://github.com/citation-style-language/schema/raw/master/csl-citation.json"}</w:instrText>
            </w:r>
            <w:r w:rsidRPr="006C34E3">
              <w:rPr>
                <w:rFonts w:eastAsia="Times New Roman" w:cs="Times New Roman"/>
                <w:sz w:val="16"/>
                <w:szCs w:val="16"/>
              </w:rPr>
              <w:fldChar w:fldCharType="separate"/>
            </w:r>
            <w:r w:rsidR="00C662E9" w:rsidRPr="00C662E9">
              <w:rPr>
                <w:rFonts w:eastAsia="Times New Roman" w:cs="Times New Roman"/>
                <w:noProof/>
                <w:sz w:val="16"/>
                <w:szCs w:val="16"/>
              </w:rPr>
              <w:t>(Ono et al., 2008)</w:t>
            </w:r>
            <w:r w:rsidRPr="006C34E3">
              <w:rPr>
                <w:rFonts w:eastAsia="Times New Roman" w:cs="Times New Roman"/>
                <w:sz w:val="16"/>
                <w:szCs w:val="16"/>
              </w:rPr>
              <w:fldChar w:fldCharType="end"/>
            </w:r>
          </w:p>
        </w:tc>
      </w:tr>
      <w:tr w:rsidR="00F90100" w:rsidRPr="006C34E3" w14:paraId="5079EDA4"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F86B35D"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set</w:t>
            </w:r>
          </w:p>
        </w:tc>
        <w:tc>
          <w:tcPr>
            <w:tcW w:w="720" w:type="dxa"/>
            <w:tcBorders>
              <w:top w:val="nil"/>
              <w:left w:val="nil"/>
              <w:bottom w:val="single" w:sz="4" w:space="0" w:color="auto"/>
              <w:right w:val="single" w:sz="4" w:space="0" w:color="auto"/>
            </w:tcBorders>
            <w:shd w:val="clear" w:color="auto" w:fill="auto"/>
            <w:noWrap/>
            <w:vAlign w:val="center"/>
            <w:hideMark/>
          </w:tcPr>
          <w:p w14:paraId="1D9BF2C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set-1</w:t>
            </w:r>
          </w:p>
        </w:tc>
        <w:tc>
          <w:tcPr>
            <w:tcW w:w="3690" w:type="dxa"/>
            <w:tcBorders>
              <w:top w:val="nil"/>
              <w:left w:val="nil"/>
              <w:bottom w:val="single" w:sz="4" w:space="0" w:color="auto"/>
              <w:right w:val="single" w:sz="4" w:space="0" w:color="auto"/>
            </w:tcBorders>
            <w:shd w:val="clear" w:color="auto" w:fill="auto"/>
            <w:noWrap/>
            <w:vAlign w:val="center"/>
            <w:hideMark/>
          </w:tcPr>
          <w:p w14:paraId="02BE20E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CGA ATC AAT ACA TTA GAC GA</w:t>
            </w:r>
          </w:p>
        </w:tc>
        <w:tc>
          <w:tcPr>
            <w:tcW w:w="3780" w:type="dxa"/>
            <w:tcBorders>
              <w:top w:val="nil"/>
              <w:left w:val="nil"/>
              <w:bottom w:val="single" w:sz="4" w:space="0" w:color="auto"/>
              <w:right w:val="single" w:sz="4" w:space="0" w:color="auto"/>
            </w:tcBorders>
            <w:shd w:val="clear" w:color="auto" w:fill="auto"/>
            <w:noWrap/>
            <w:vAlign w:val="center"/>
            <w:hideMark/>
          </w:tcPr>
          <w:p w14:paraId="5300F88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TTG TGT AAT CAA GTG TAA AGT</w:t>
            </w:r>
          </w:p>
        </w:tc>
        <w:tc>
          <w:tcPr>
            <w:tcW w:w="1620" w:type="dxa"/>
            <w:tcBorders>
              <w:top w:val="nil"/>
              <w:left w:val="nil"/>
              <w:bottom w:val="single" w:sz="4" w:space="0" w:color="auto"/>
              <w:right w:val="single" w:sz="4" w:space="0" w:color="auto"/>
            </w:tcBorders>
            <w:shd w:val="clear" w:color="auto" w:fill="auto"/>
            <w:noWrap/>
            <w:vAlign w:val="center"/>
            <w:hideMark/>
          </w:tcPr>
          <w:p w14:paraId="674A9514"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418</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14:paraId="334608C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20CC1623" w14:textId="759A0E0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5195122A" w14:textId="77777777" w:rsidTr="00C662E9">
        <w:trPr>
          <w:trHeight w:val="324"/>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709E9DDE"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01B401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set-2</w:t>
            </w:r>
          </w:p>
        </w:tc>
        <w:tc>
          <w:tcPr>
            <w:tcW w:w="3690" w:type="dxa"/>
            <w:tcBorders>
              <w:top w:val="nil"/>
              <w:left w:val="nil"/>
              <w:bottom w:val="single" w:sz="4" w:space="0" w:color="auto"/>
              <w:right w:val="single" w:sz="4" w:space="0" w:color="auto"/>
            </w:tcBorders>
            <w:shd w:val="clear" w:color="auto" w:fill="auto"/>
            <w:noWrap/>
            <w:vAlign w:val="center"/>
            <w:hideMark/>
          </w:tcPr>
          <w:p w14:paraId="00758DB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 GGT GAT TAT GTA GAT GCT TGG G</w:t>
            </w:r>
          </w:p>
        </w:tc>
        <w:tc>
          <w:tcPr>
            <w:tcW w:w="3780" w:type="dxa"/>
            <w:tcBorders>
              <w:top w:val="nil"/>
              <w:left w:val="nil"/>
              <w:bottom w:val="single" w:sz="4" w:space="0" w:color="auto"/>
              <w:right w:val="single" w:sz="4" w:space="0" w:color="auto"/>
            </w:tcBorders>
            <w:shd w:val="clear" w:color="auto" w:fill="auto"/>
            <w:noWrap/>
            <w:vAlign w:val="center"/>
            <w:hideMark/>
          </w:tcPr>
          <w:p w14:paraId="38CB630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TCG GGT GTT ACT TCT GTT TGC</w:t>
            </w:r>
          </w:p>
        </w:tc>
        <w:tc>
          <w:tcPr>
            <w:tcW w:w="1620" w:type="dxa"/>
            <w:tcBorders>
              <w:top w:val="nil"/>
              <w:left w:val="nil"/>
              <w:bottom w:val="single" w:sz="4" w:space="0" w:color="auto"/>
              <w:right w:val="single" w:sz="4" w:space="0" w:color="auto"/>
            </w:tcBorders>
            <w:shd w:val="clear" w:color="auto" w:fill="auto"/>
            <w:noWrap/>
            <w:vAlign w:val="center"/>
            <w:hideMark/>
          </w:tcPr>
          <w:p w14:paraId="6DA2D57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170</w:t>
            </w:r>
          </w:p>
        </w:tc>
        <w:tc>
          <w:tcPr>
            <w:tcW w:w="1620" w:type="dxa"/>
            <w:tcBorders>
              <w:top w:val="nil"/>
              <w:left w:val="nil"/>
              <w:bottom w:val="single" w:sz="4" w:space="0" w:color="auto"/>
              <w:right w:val="single" w:sz="4" w:space="0" w:color="auto"/>
            </w:tcBorders>
            <w:shd w:val="clear" w:color="auto" w:fill="auto"/>
            <w:noWrap/>
            <w:vAlign w:val="center"/>
            <w:hideMark/>
          </w:tcPr>
          <w:p w14:paraId="1AE32373"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vAlign w:val="center"/>
            <w:hideMark/>
          </w:tcPr>
          <w:p w14:paraId="16D3ACB3" w14:textId="28428D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fldChar w:fldCharType="begin" w:fldLock="1"/>
            </w:r>
            <w:r w:rsidR="00E452BC">
              <w:rPr>
                <w:rFonts w:eastAsia="Times New Roman" w:cs="Times New Roman"/>
                <w:sz w:val="16"/>
                <w:szCs w:val="16"/>
              </w:rPr>
              <w:instrText>ADDIN CSL_CITATION {"citationItems":[{"id":"ITEM-1","itemData":{"DOI":"10.1128/IAI.00045-08","ISSN":"00199567","PMID":"18710864","abstract":"In addition to two known staphylococcal enterotoxin-like genes (selj and selr), two novel genes coding for two superantigens, staphylococcal enterotoxins S and T (SES and SET), were identified in plasmid pF5, which is harbored by food poisoning-related Staphylococcus aureus strain Fukuoka 5. This strain was implicated in a food poisoning incident in Fukuoka City, Japan, in 1997. Recombinant SES (rSES) specifically stimulated human T cells in a T-cell receptor Vβ9- and Vβ16-specific manner in the presence of major histocompatibility complex (MHC) class II+ antigen-presenting cells (APC). rSET also stimulated T cells in the presence of MHC class II+ APC, although its Vβ skewing was not found in reactive T cells. Subsequently, we examined the emetic activity of SES and SET. We also studied SElR to determine emetic activity in primates. This toxin was identified in previous studies but was not examined in terms of possession of emetic activity for primates. rSES induced emetic reactions in two of four monkeys at a dose of 100 μg/kg within 5 h of intragastric administration. In one monkey, rSET induced a delayed reaction (24 h postadministration) at a dose of 100 μg/kg, and in the other one, the reaction occurred 5 days postadministration. rSElR induced a reaction in two of six animals within 5 h at 100 μg/kg. On this basis, we speculate that the causative toxins of vomiting in the Fukuoka case are SES and SER. Additionally, SES, SER, and SET also induced emesis in house musk shrews as in the monkeys. Copyright © 2008, American Society for Microbiology. All Rights Reserved.","author":[{"dropping-particle":"","family":"Ono","given":"Hisaya K.","non-dropping-particle":"","parse-names":false,"suffix":""},{"dropping-particle":"","family":"Omoe","given":"Katsuhiko","non-dropping-particle":"","parse-names":false,"suffix":""},{"dropping-particle":"","family":"Imanishi","given":"Ken'ichi","non-dropping-particle":"","parse-names":false,"suffix":""},{"dropping-particle":"","family":"Iwakabe","given":"Yoshihiro","non-dropping-particle":"","parse-names":false,"suffix":""},{"dropping-particle":"","family":"Hu","given":"Dong Liang","non-dropping-particle":"","parse-names":false,"suffix":""},{"dropping-particle":"","family":"Kato","given":"Hidehito","non-dropping-particle":"","parse-names":false,"suffix":""},{"dropping-particle":"","family":"Saito","given":"Naoyuki","non-dropping-particle":"","parse-names":false,"suffix":""},{"dropping-particle":"","family":"Nakane","given":"Akio","non-dropping-particle":"","parse-names":false,"suffix":""},{"dropping-particle":"","family":"Uchiyama","given":"Takehiko","non-dropping-particle":"","parse-names":false,"suffix":""},{"dropping-particle":"","family":"Shinagawa","given":"Kunihiro","non-dropping-particle":"","parse-names":false,"suffix":""}],"container-title":"Infection and Immunity","id":"ITEM-1","issue":"11","issued":{"date-parts":[["2008"]]},"page":"4999-5005","title":"Identification and characterization of two novel staphylococcal enterotoxins, types S and T","type":"article-journal","volume":"76"},"uris":["http://www.mendeley.com/documents/?uuid=6954ccfa-fffa-4b5b-8b64-1c89559b1455"]}],"mendeley":{"formattedCitation":"(Ono et al., 2008)","plainTextFormattedCitation":"(Ono et al., 2008)","previouslyFormattedCitation":"(Ono et al., 2008)"},"properties":{"noteIndex":0},"schema":"https://github.com/citation-style-language/schema/raw/master/csl-citation.json"}</w:instrText>
            </w:r>
            <w:r w:rsidRPr="006C34E3">
              <w:rPr>
                <w:rFonts w:eastAsia="Times New Roman" w:cs="Times New Roman"/>
                <w:sz w:val="16"/>
                <w:szCs w:val="16"/>
              </w:rPr>
              <w:fldChar w:fldCharType="separate"/>
            </w:r>
            <w:r w:rsidR="00C662E9" w:rsidRPr="00C662E9">
              <w:rPr>
                <w:rFonts w:eastAsia="Times New Roman" w:cs="Times New Roman"/>
                <w:noProof/>
                <w:sz w:val="16"/>
                <w:szCs w:val="16"/>
              </w:rPr>
              <w:t>(Ono et al., 2008)</w:t>
            </w:r>
            <w:r w:rsidRPr="006C34E3">
              <w:rPr>
                <w:rFonts w:eastAsia="Times New Roman" w:cs="Times New Roman"/>
                <w:sz w:val="16"/>
                <w:szCs w:val="16"/>
              </w:rPr>
              <w:fldChar w:fldCharType="end"/>
            </w:r>
          </w:p>
        </w:tc>
      </w:tr>
      <w:tr w:rsidR="00F90100" w:rsidRPr="006C34E3" w14:paraId="588ECB4C" w14:textId="77777777" w:rsidTr="00C662E9">
        <w:trPr>
          <w:trHeight w:val="576"/>
        </w:trPr>
        <w:tc>
          <w:tcPr>
            <w:tcW w:w="630" w:type="dxa"/>
            <w:vMerge w:val="restart"/>
            <w:tcBorders>
              <w:top w:val="single" w:sz="4" w:space="0" w:color="auto"/>
              <w:left w:val="single" w:sz="4" w:space="0" w:color="auto"/>
              <w:right w:val="single" w:sz="4" w:space="0" w:color="auto"/>
            </w:tcBorders>
            <w:shd w:val="clear" w:color="auto" w:fill="auto"/>
            <w:noWrap/>
            <w:vAlign w:val="center"/>
            <w:hideMark/>
          </w:tcPr>
          <w:p w14:paraId="5EE6A581"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selu</w:t>
            </w:r>
          </w:p>
        </w:tc>
        <w:tc>
          <w:tcPr>
            <w:tcW w:w="720" w:type="dxa"/>
            <w:tcBorders>
              <w:top w:val="nil"/>
              <w:left w:val="nil"/>
              <w:bottom w:val="single" w:sz="4" w:space="0" w:color="auto"/>
              <w:right w:val="single" w:sz="4" w:space="0" w:color="auto"/>
            </w:tcBorders>
            <w:shd w:val="clear" w:color="auto" w:fill="D4F1D3"/>
            <w:noWrap/>
            <w:vAlign w:val="center"/>
            <w:hideMark/>
          </w:tcPr>
          <w:p w14:paraId="5168344F"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selu-1</w:t>
            </w:r>
          </w:p>
        </w:tc>
        <w:tc>
          <w:tcPr>
            <w:tcW w:w="3690" w:type="dxa"/>
            <w:tcBorders>
              <w:top w:val="nil"/>
              <w:left w:val="nil"/>
              <w:bottom w:val="single" w:sz="4" w:space="0" w:color="auto"/>
              <w:right w:val="single" w:sz="4" w:space="0" w:color="auto"/>
            </w:tcBorders>
            <w:shd w:val="clear" w:color="auto" w:fill="D4F1D3"/>
            <w:noWrap/>
            <w:vAlign w:val="center"/>
            <w:hideMark/>
          </w:tcPr>
          <w:p w14:paraId="25AB8A8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ATC AGA AAC AAA CAT TAA AGC CCA</w:t>
            </w:r>
          </w:p>
        </w:tc>
        <w:tc>
          <w:tcPr>
            <w:tcW w:w="3780" w:type="dxa"/>
            <w:tcBorders>
              <w:top w:val="nil"/>
              <w:left w:val="nil"/>
              <w:bottom w:val="single" w:sz="4" w:space="0" w:color="auto"/>
              <w:right w:val="single" w:sz="4" w:space="0" w:color="auto"/>
            </w:tcBorders>
            <w:shd w:val="clear" w:color="auto" w:fill="D4F1D3"/>
            <w:noWrap/>
            <w:vAlign w:val="center"/>
            <w:hideMark/>
          </w:tcPr>
          <w:p w14:paraId="40ED152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TGA CCA TTT CCT TCG ATA AAC TTT AT</w:t>
            </w:r>
          </w:p>
        </w:tc>
        <w:tc>
          <w:tcPr>
            <w:tcW w:w="1620" w:type="dxa"/>
            <w:tcBorders>
              <w:top w:val="nil"/>
              <w:left w:val="nil"/>
              <w:bottom w:val="single" w:sz="4" w:space="0" w:color="auto"/>
              <w:right w:val="single" w:sz="4" w:space="0" w:color="auto"/>
            </w:tcBorders>
            <w:shd w:val="clear" w:color="auto" w:fill="D4F1D3"/>
            <w:vAlign w:val="center"/>
            <w:hideMark/>
          </w:tcPr>
          <w:p w14:paraId="6250A1E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i/>
                <w:sz w:val="16"/>
                <w:szCs w:val="16"/>
              </w:rPr>
              <w:t>selu</w:t>
            </w:r>
            <w:r w:rsidRPr="006C34E3">
              <w:rPr>
                <w:rFonts w:eastAsia="Times New Roman" w:cs="Times New Roman"/>
                <w:sz w:val="16"/>
                <w:szCs w:val="16"/>
              </w:rPr>
              <w:t>: 500</w:t>
            </w:r>
            <w:r w:rsidRPr="006C34E3">
              <w:rPr>
                <w:rFonts w:eastAsia="Times New Roman" w:cs="Times New Roman"/>
                <w:sz w:val="16"/>
                <w:szCs w:val="16"/>
              </w:rPr>
              <w:br/>
            </w:r>
            <w:r w:rsidRPr="006C34E3">
              <w:rPr>
                <w:rFonts w:eastAsia="Times New Roman" w:cs="Times New Roman"/>
                <w:i/>
                <w:iCs/>
                <w:color w:val="5B9BD5"/>
                <w:sz w:val="16"/>
                <w:szCs w:val="16"/>
              </w:rPr>
              <w:t>Ψent1-2</w:t>
            </w:r>
            <w:r w:rsidRPr="006C34E3">
              <w:rPr>
                <w:rFonts w:eastAsia="Times New Roman" w:cs="Times New Roman"/>
                <w:iCs/>
                <w:color w:val="5B9BD5"/>
                <w:sz w:val="16"/>
                <w:szCs w:val="16"/>
              </w:rPr>
              <w:t>/</w:t>
            </w:r>
            <w:r w:rsidRPr="006C34E3">
              <w:rPr>
                <w:rFonts w:eastAsia="Times New Roman" w:cs="Times New Roman"/>
                <w:i/>
                <w:color w:val="5B9BD5"/>
                <w:sz w:val="16"/>
                <w:szCs w:val="16"/>
              </w:rPr>
              <w:t>selu2</w:t>
            </w:r>
            <w:r w:rsidRPr="006C34E3">
              <w:rPr>
                <w:rFonts w:eastAsia="Times New Roman" w:cs="Times New Roman"/>
                <w:color w:val="5B9BD5"/>
                <w:sz w:val="16"/>
                <w:szCs w:val="16"/>
              </w:rPr>
              <w:t>: 486</w:t>
            </w:r>
          </w:p>
        </w:tc>
        <w:tc>
          <w:tcPr>
            <w:tcW w:w="1620" w:type="dxa"/>
            <w:tcBorders>
              <w:top w:val="nil"/>
              <w:left w:val="nil"/>
              <w:bottom w:val="single" w:sz="4" w:space="0" w:color="auto"/>
              <w:right w:val="single" w:sz="4" w:space="0" w:color="auto"/>
            </w:tcBorders>
            <w:shd w:val="clear" w:color="auto" w:fill="D4F1D3"/>
            <w:vAlign w:val="center"/>
            <w:hideMark/>
          </w:tcPr>
          <w:p w14:paraId="4A5EF720"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sz w:val="16"/>
                <w:szCs w:val="16"/>
              </w:rPr>
              <w:t>Aspecific detection of</w:t>
            </w:r>
            <w:r w:rsidRPr="006C34E3">
              <w:rPr>
                <w:rFonts w:eastAsia="Times New Roman" w:cs="Times New Roman"/>
                <w:iCs/>
                <w:sz w:val="16"/>
                <w:szCs w:val="16"/>
              </w:rPr>
              <w:t xml:space="preserve"> </w:t>
            </w:r>
            <w:r w:rsidRPr="006C34E3">
              <w:rPr>
                <w:rFonts w:eastAsia="Times New Roman" w:cs="Times New Roman"/>
                <w:i/>
                <w:iCs/>
                <w:color w:val="000000"/>
                <w:sz w:val="16"/>
                <w:szCs w:val="16"/>
              </w:rPr>
              <w:t>Ψ</w:t>
            </w:r>
            <w:r w:rsidRPr="006C34E3">
              <w:rPr>
                <w:rFonts w:eastAsia="Times New Roman" w:cs="Times New Roman"/>
                <w:i/>
                <w:iCs/>
                <w:sz w:val="16"/>
                <w:szCs w:val="16"/>
              </w:rPr>
              <w:t xml:space="preserve">ent1-2 </w:t>
            </w:r>
            <w:r w:rsidRPr="006C34E3">
              <w:rPr>
                <w:rFonts w:eastAsia="Times New Roman" w:cs="Times New Roman"/>
                <w:iCs/>
                <w:sz w:val="16"/>
                <w:szCs w:val="16"/>
              </w:rPr>
              <w:t>pseudogenes</w:t>
            </w:r>
          </w:p>
        </w:tc>
        <w:tc>
          <w:tcPr>
            <w:tcW w:w="1530" w:type="dxa"/>
            <w:tcBorders>
              <w:top w:val="nil"/>
              <w:left w:val="nil"/>
              <w:bottom w:val="single" w:sz="4" w:space="0" w:color="auto"/>
              <w:right w:val="single" w:sz="4" w:space="0" w:color="auto"/>
            </w:tcBorders>
            <w:shd w:val="clear" w:color="auto" w:fill="D4F1D3"/>
            <w:noWrap/>
            <w:vAlign w:val="center"/>
            <w:hideMark/>
          </w:tcPr>
          <w:p w14:paraId="383B5DEB" w14:textId="22221BB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{"citationItems":[{"id":"ITEM-1","itemData":{"DOI":"10.1016/j.vetmic.2010.06.021","ISSN":"03781135","PMID":"20667668","abstract":"The coagulase-negative staphylococci (CNS) are the most prevalent mastitis pathogen group yet their virulence characteristics have not been well described. We investigated the presence of 19 classical and newly described staphylococcal superantigen (SAg) genes in CNS isolates from bovine intramammary infections (IMI). A total of 263 CNS representing 11 different Staphylococcus spp. were examined, and 31.2% (n= 82) of CNS isolates had one or more SAg genes; there were 21 different SAg gene combinations. The most prevalent combination of SAg genes (seb, seln and selq; n= 45) was found in S. chromogenes, S. xylosus, S. haemolyticus, S. sciuri subsp. carnaticus, S. simulans and S. succinus. The genes for SAgs appear to be widely distributed amongst CNS isolated from bovine IMI. © 2010 Elsevier B.V.","author":[{"dropping-particle":"","family":"Park","given":"Joo Youn","non-dropping-particle":"","parse-names":false,"suffix":""},{"dropping-particle":"","family":"Fox","given":"Lawrence K.","non-dropping-particle":"","parse-names":false,"suffix":""},{"dropping-particle":"","family":"Seo","given":"Keun Seok","non-dropping-particle":"","parse-names":false,"suffix":""},{"dropping-particle":"","family":"McGuire","given":"Mark A.","non-dropping-particle":"","parse-names":false,"suffix":""},{"dropping-particle":"","family":"Park","given":"Yong Ho","non-dropping-particle":"","parse-names":false,"suffix":""},{"dropping-particle":"","family":"Rurangirwa","given":"Fred R.","non-dropping-particle":"","parse-names":false,"suffix":""},{"dropping-particle":"","family":"Sischo","given":"William M.","non-dropping-particle":"","parse-names":false,"suffix":""},{"dropping-particle":"","family":"Bohach","given":"Gregory A.","non-dropping-particle":"","parse-names":false,"suffix":""}],"container-title":"Veterinary Microbiology","id":"ITEM-1","issue":"1-2","issued":{"date-parts":[["2011"]]},"page":"149-154","publisher":"Elsevier B.V.","title":"Detection of classical and newly described staphylococcal superantigen genes in coagulase-negative staphylococci isolated from bovine intramammary infections","type":"article-journal","volume":"147"},"uris":["http://www.mendeley.com/documents/?uuid=9afd5eb4-7cc0-44e6-a295-72bf1ca90bc5"]}],"mendeley":{"formattedCitation":"(Park et al., 2011)","plainTextFormattedCitation":"(Park et al., 2011)","previouslyFormattedCitation":"(Park et al., 2011)"},"properties":{"noteIndex":0},"schema":"https://github.com/citation-style-language/schema/raw/master/csl-citation.json"}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(Park et al., 2011)</w:t>
            </w:r>
            <w:r w:rsidRPr="006C34E3">
              <w:rPr>
                <w:rFonts w:eastAsia="Times New Roman" w:cs="Times New Roman"/>
                <w:color w:val="000000"/>
                <w:sz w:val="16"/>
                <w:szCs w:val="16"/>
              </w:rPr>
              <w:fldChar w:fldCharType="end"/>
            </w:r>
          </w:p>
        </w:tc>
      </w:tr>
      <w:tr w:rsidR="00F90100" w:rsidRPr="006C34E3" w14:paraId="39489C01" w14:textId="77777777" w:rsidTr="00C662E9">
        <w:trPr>
          <w:trHeight w:val="288"/>
        </w:trPr>
        <w:tc>
          <w:tcPr>
            <w:tcW w:w="630" w:type="dxa"/>
            <w:vMerge/>
            <w:tcBorders>
              <w:left w:val="single" w:sz="4" w:space="0" w:color="auto"/>
              <w:right w:val="single" w:sz="4" w:space="0" w:color="auto"/>
            </w:tcBorders>
            <w:vAlign w:val="center"/>
            <w:hideMark/>
          </w:tcPr>
          <w:p w14:paraId="791A1506"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8A56F07"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selu-2</w:t>
            </w:r>
          </w:p>
        </w:tc>
        <w:tc>
          <w:tcPr>
            <w:tcW w:w="3690" w:type="dxa"/>
            <w:tcBorders>
              <w:top w:val="nil"/>
              <w:left w:val="nil"/>
              <w:bottom w:val="single" w:sz="4" w:space="0" w:color="auto"/>
              <w:right w:val="single" w:sz="4" w:space="0" w:color="auto"/>
            </w:tcBorders>
            <w:shd w:val="clear" w:color="auto" w:fill="auto"/>
            <w:noWrap/>
            <w:vAlign w:val="center"/>
            <w:hideMark/>
          </w:tcPr>
          <w:p w14:paraId="7DA15673"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AAT GGC TCT AAA ATT GAT GG</w:t>
            </w:r>
          </w:p>
        </w:tc>
        <w:tc>
          <w:tcPr>
            <w:tcW w:w="3780" w:type="dxa"/>
            <w:tcBorders>
              <w:top w:val="nil"/>
              <w:left w:val="nil"/>
              <w:bottom w:val="single" w:sz="4" w:space="0" w:color="auto"/>
              <w:right w:val="single" w:sz="4" w:space="0" w:color="auto"/>
            </w:tcBorders>
            <w:shd w:val="clear" w:color="auto" w:fill="auto"/>
            <w:noWrap/>
            <w:vAlign w:val="center"/>
            <w:hideMark/>
          </w:tcPr>
          <w:p w14:paraId="317E842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TGA TTT CCA TCA TGC TC</w:t>
            </w:r>
          </w:p>
        </w:tc>
        <w:tc>
          <w:tcPr>
            <w:tcW w:w="1620" w:type="dxa"/>
            <w:tcBorders>
              <w:top w:val="nil"/>
              <w:left w:val="nil"/>
              <w:bottom w:val="single" w:sz="4" w:space="0" w:color="auto"/>
              <w:right w:val="single" w:sz="4" w:space="0" w:color="auto"/>
            </w:tcBorders>
            <w:shd w:val="clear" w:color="auto" w:fill="auto"/>
            <w:noWrap/>
            <w:vAlign w:val="center"/>
            <w:hideMark/>
          </w:tcPr>
          <w:p w14:paraId="5DA1525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215</w:t>
            </w:r>
          </w:p>
        </w:tc>
        <w:tc>
          <w:tcPr>
            <w:tcW w:w="1620" w:type="dxa"/>
            <w:tcBorders>
              <w:top w:val="nil"/>
              <w:left w:val="nil"/>
              <w:bottom w:val="single" w:sz="4" w:space="0" w:color="auto"/>
              <w:right w:val="single" w:sz="4" w:space="0" w:color="auto"/>
            </w:tcBorders>
            <w:shd w:val="clear" w:color="auto" w:fill="auto"/>
            <w:noWrap/>
            <w:vAlign w:val="center"/>
            <w:hideMark/>
          </w:tcPr>
          <w:p w14:paraId="10E0C2F4"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Detection </w:t>
            </w:r>
            <w:r w:rsidRPr="006C34E3">
              <w:rPr>
                <w:rFonts w:eastAsia="Times New Roman" w:cs="Times New Roman"/>
                <w:i/>
                <w:iCs/>
                <w:color w:val="000000"/>
                <w:sz w:val="16"/>
                <w:szCs w:val="16"/>
              </w:rPr>
              <w:t xml:space="preserve">selu </w:t>
            </w:r>
            <w:r w:rsidRPr="006C34E3">
              <w:rPr>
                <w:rFonts w:eastAsia="Times New Roman" w:cs="Times New Roman"/>
                <w:iCs/>
                <w:color w:val="000000"/>
                <w:sz w:val="16"/>
                <w:szCs w:val="16"/>
              </w:rPr>
              <w:t xml:space="preserve">only (no </w:t>
            </w:r>
            <w:r w:rsidRPr="006C34E3">
              <w:rPr>
                <w:rFonts w:eastAsia="Times New Roman" w:cs="Times New Roman"/>
                <w:i/>
                <w:iCs/>
                <w:color w:val="000000"/>
                <w:sz w:val="16"/>
                <w:szCs w:val="16"/>
              </w:rPr>
              <w:t>selu2</w:t>
            </w:r>
            <w:r w:rsidRPr="006C34E3">
              <w:rPr>
                <w:rFonts w:eastAsia="Times New Roman" w:cs="Times New Roman"/>
                <w:iCs/>
                <w:color w:val="000000"/>
                <w:sz w:val="16"/>
                <w:szCs w:val="16"/>
              </w:rPr>
              <w:t>)</w:t>
            </w:r>
          </w:p>
        </w:tc>
        <w:tc>
          <w:tcPr>
            <w:tcW w:w="1530" w:type="dxa"/>
            <w:tcBorders>
              <w:top w:val="nil"/>
              <w:left w:val="nil"/>
              <w:bottom w:val="single" w:sz="4" w:space="0" w:color="auto"/>
              <w:right w:val="single" w:sz="4" w:space="0" w:color="auto"/>
            </w:tcBorders>
            <w:shd w:val="clear" w:color="auto" w:fill="auto"/>
            <w:noWrap/>
            <w:vAlign w:val="center"/>
            <w:hideMark/>
          </w:tcPr>
          <w:p w14:paraId="19A3BAF9" w14:textId="36529B3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{"citationItems":[{"id":"ITEM-1","itemData":{"DOI":"10.1128/JCM.00204-07","ISSN":"00951137","PMID":"17537946","abstract":"Staphylococcus aureus is both a successful human commensal and a major pathogen. The elucidation of the molecular determinants of virulence, in particular assessment of the contributions of the genetic background versus those of mobile genetic elements (MGEs), has proved difficult in this variable species. To address this, we simultaneously determined the genetic backgrounds (spa typing) and the distributions of all 19 known superantigens and the exfoliative toxins A and D (multiplex PCR) as markers for MGEs. Methicillin- sensitive 5. aureus strains from Pomerania, 107 nasal and 88 blood culture isolates, were investigated. All superantigen-encoding MGEs were linked more or less tightly to the genetic background. Thus, each S. aureus clonal complex was characterized by a typical repertoire of superantigen and exfoliative toxin genes. However, within each S. aureus clonal complex and even within the same spa type, virulence gene profiles varied remarkably. Therefore, virulence genes of nasal and blood culture isolates were separately compared in each clonal complex. The results indicated a role in infection for the MGE harboring the exfoliative toxin D gene. In contrast, there was no association of superantigen genes with bloodstream invasion. In summary, we show here that the simultaneous assessment of virulence gene profiles and the genetic background increases the discriminatory power of genetic investigations into the mechanisms of S. aureus pathogenesis. Copyright © 2007, American Society for Microbiology. All Rights Reserved.","author":[{"dropping-particle":"","family":"Holtfreter","given":"S.","non-dropping-particle":"","parse-names":false,"suffix":""},{"dropping-particle":"","family":"Grumann","given":"D.","non-dropping-particle":"","parse-names":false,"suffix":""},{"dropping-particle":"","family":"Schmudde","given":"M.","non-dropping-particle":"","parse-names":false,"suffix":""},{"dropping-particle":"","family":"Nguyen","given":"H. T.T.","non-dropping-particle":"","parse-names":false,"suffix":""},{"dropping-particle":"","family":"Eichler","given":"P.","non-dropping-particle":"","parse-names":false,"suffix":""},{"dropping-particle":"","family":"Strommenger","given":"B.","non-dropping-particle":"","parse-names":false,"suffix":""},{"dropping-particle":"","family":"Kopron","given":"K.","non-dropping-particle":"","parse-names":false,"suffix":""},{"dropping-particle":"","family":"Kolata","given":"J.","non-dropping-particle":"","parse-names":false,"suffix":""},{"dropping-particle":"","family":"Giedrys-Kalemba","given":"S.","non-dropping-particle":"","parse-names":false,"suffix":""},{"dropping-particle":"","family":"Steinmetz","given":"I.","non-dropping-particle":"","parse-names":false,"suffix":""},{"dropping-particle":"","family":"Witte","given":"W.","non-dropping-particle":"","parse-names":false,"suffix":""},{"dropping-particle":"","family":"Bröker","given":"B. M.","non-dropping-particle":"","parse-names":false,"suffix":""}],"container-title":"Journal of Clinical Microbiology","id":"ITEM-1","issue":"8","issued":{"date-parts":[["2007"]]},"page":"2669-2680","title":"Clonal distribution of superantigen genes in clinical Staphylococcus aureus isolates","type":"article-journal","volume":"45"},"uris":["http://www.mendeley.com/documents/?uuid=d32635fe-ebb8-4d33-8698-48b95e80be7d"]},{"id":"ITEM-2","itemData":{"DOI":"10.1128/AEM.00272-09","ISSN":"00992240","PMID":"19749060","abstract":"Staphylococcal enterotoxins (SE) can cause toxin-mediated disease, and those that function as superantigens are implicated in the pathogenesis of allergic diseases. The prevalence of 19 enterotoxin genes was determined by PCR in clinical S. aureus strains derived from wounds (108) and blood (99). We performed spa typing and multilocus sequence typing (MLST) to determine clonal origin, and for selected strains staphylococcal enterotoxin B (SEB) production was measured by enzyme-linked immunosorbent assay. Strains carried a median of five SE genes. For most SE genes, the prevalence rates among methicillinresistant and methicillin-sensitive S. aureus isolates, as well as wound- and blood-derived isolates, did not differ. At least one SE gene was detected in all except two S. aureus isolates (&gt;99%). Complete egc clusters were found in only 11% of S. aureus isolates, whereas the combination of sed, sej, and ser was detected in 24% of clinical strains. S. aureus strains exhibited distinct combinations of SE genes, even if their pulsed-field gel electrophoresis and MLST patterns demonstrated clonality. USA300 strains also showed considerable variability in SE content, although they contained a lower number of SE genes (mean, 3). By contrast, SE content was unchanged in five pairs of serial isolates. SEB production by individual strains varied up to 200-fold, and even up to 15-fold in a pair of serial isolates. In conclusion, our results illustrate the genetic diversity of S. aureus strains with respect to enterotoxin genes and suggest that horizontal transfer of mobile genetic elements encoding virulence genes occurs frequently. Copyright © 2009, American Society for Microbiology. All Rights Reserved.","author":[{"dropping-particle":"","family":"Varshney","given":"Avanish K.","non-dropping-particle":"","parse-names":false,"suffix":""},{"dropping-particle":"","family":"Mediavilla","given":"José R.","non-dropping-particle":"","parse-names":false,"suffix":""},{"dropping-particle":"","family":"Robiou","given":"Natalie","non-dropping-particle":"","parse-names":false,"suffix":""},{"dropping-particle":"","family":"Guh","given":"Alice","non-dropping-particle":"","parse-names":false,"suffix":""},{"dropping-particle":"","family":"Wang","given":"Xiabo","non-dropping-particle":"","parse-names":false,"suffix":""},{"dropping-particle":"","family":"Gialanella","given":"Philip","non-dropping-particle":"","parse-names":false,"suffix":""},{"dropping-particle":"","family":"Levi","given":"Michael H.","non-dropping-particle":"","parse-names":false,"suffix":""},{"dropping-particle":"","family":"Kreiswirth","given":"Barry N.","non-dropping-particle":"","parse-names":false,"suffix":""},{"dropping-particle":"","family":"Fries","given":"Bettina C.","non-dropping-particle":"","parse-names":false,"suffix":""}],"container-title":"Applied and Environmental Microbiology","id":"ITEM-2","issue":"21","issued":{"date-parts":[["2009"]]},"page":"6839-6849","title":"Diverse enterotoxin gene profiles among clonal complexes of Staphylococcus aureus isolates from the Bronx, New York","type":"article-journal","volume":"75"},"uris":["http://www.mendeley.com/documents/?uuid=d01e251a-bae9-4580-a6db-90bb5b4c190e"]}],"mendeley":{"formattedCitation":"(Holtfreter et al., 2007; Varshney et al., 2009)","plainTextFormattedCitation":"(Holtfreter et al., 2007; Varshney et al., 2009)","previouslyFormattedCitation":"(Holtfreter et al., 2007; Varshney et al., 2009)"},"properties":{"noteIndex":0},"schema":"https://github.com/citation-style-language/schema/raw/master/csl-citation.json"}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(Holtfreter et al., 2007; Varshney et al., 2009)</w:t>
            </w:r>
            <w:r w:rsidRPr="006C34E3">
              <w:rPr>
                <w:rFonts w:eastAsia="Times New Roman" w:cs="Times New Roman"/>
                <w:color w:val="000000"/>
                <w:sz w:val="16"/>
                <w:szCs w:val="16"/>
              </w:rPr>
              <w:fldChar w:fldCharType="end"/>
            </w:r>
          </w:p>
        </w:tc>
      </w:tr>
      <w:tr w:rsidR="00F90100" w:rsidRPr="006C34E3" w14:paraId="79AE6D5B" w14:textId="77777777" w:rsidTr="00C662E9">
        <w:trPr>
          <w:trHeight w:val="288"/>
        </w:trPr>
        <w:tc>
          <w:tcPr>
            <w:tcW w:w="630" w:type="dxa"/>
            <w:vMerge/>
            <w:tcBorders>
              <w:left w:val="single" w:sz="4" w:space="0" w:color="auto"/>
              <w:right w:val="single" w:sz="4" w:space="0" w:color="auto"/>
            </w:tcBorders>
            <w:vAlign w:val="center"/>
            <w:hideMark/>
          </w:tcPr>
          <w:p w14:paraId="31959906"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531C39AB"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selu-3</w:t>
            </w:r>
          </w:p>
        </w:tc>
        <w:tc>
          <w:tcPr>
            <w:tcW w:w="3690" w:type="dxa"/>
            <w:tcBorders>
              <w:top w:val="nil"/>
              <w:left w:val="nil"/>
              <w:bottom w:val="single" w:sz="4" w:space="0" w:color="auto"/>
              <w:right w:val="single" w:sz="4" w:space="0" w:color="auto"/>
            </w:tcBorders>
            <w:shd w:val="clear" w:color="000000" w:fill="E7E6E6"/>
            <w:noWrap/>
            <w:vAlign w:val="center"/>
            <w:hideMark/>
          </w:tcPr>
          <w:p w14:paraId="7CDD41B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TGC TTT TAT CTT CAT</w:t>
            </w:r>
          </w:p>
        </w:tc>
        <w:tc>
          <w:tcPr>
            <w:tcW w:w="3780" w:type="dxa"/>
            <w:tcBorders>
              <w:top w:val="nil"/>
              <w:left w:val="nil"/>
              <w:bottom w:val="single" w:sz="4" w:space="0" w:color="auto"/>
              <w:right w:val="single" w:sz="4" w:space="0" w:color="auto"/>
            </w:tcBorders>
            <w:shd w:val="clear" w:color="000000" w:fill="E7E6E6"/>
            <w:noWrap/>
            <w:vAlign w:val="center"/>
            <w:hideMark/>
          </w:tcPr>
          <w:p w14:paraId="4F2E04B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GGA CTT TAA TGT TTG TTT CTG AT</w:t>
            </w:r>
          </w:p>
        </w:tc>
        <w:tc>
          <w:tcPr>
            <w:tcW w:w="1620" w:type="dxa"/>
            <w:tcBorders>
              <w:top w:val="nil"/>
              <w:left w:val="nil"/>
              <w:bottom w:val="single" w:sz="4" w:space="0" w:color="auto"/>
              <w:right w:val="single" w:sz="4" w:space="0" w:color="auto"/>
            </w:tcBorders>
            <w:shd w:val="clear" w:color="000000" w:fill="E7E6E6"/>
            <w:noWrap/>
            <w:vAlign w:val="center"/>
            <w:hideMark/>
          </w:tcPr>
          <w:p w14:paraId="337772B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167</w:t>
            </w:r>
          </w:p>
        </w:tc>
        <w:tc>
          <w:tcPr>
            <w:tcW w:w="1620" w:type="dxa"/>
            <w:tcBorders>
              <w:top w:val="nil"/>
              <w:left w:val="nil"/>
              <w:bottom w:val="single" w:sz="4" w:space="0" w:color="auto"/>
              <w:right w:val="single" w:sz="4" w:space="0" w:color="auto"/>
            </w:tcBorders>
            <w:shd w:val="clear" w:color="000000" w:fill="E7E6E6"/>
            <w:vAlign w:val="center"/>
            <w:hideMark/>
          </w:tcPr>
          <w:p w14:paraId="0877A91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sz w:val="16"/>
                <w:szCs w:val="16"/>
              </w:rPr>
              <w:t>Aspecific detection of</w:t>
            </w:r>
            <w:r w:rsidRPr="006C34E3">
              <w:rPr>
                <w:rFonts w:eastAsia="Times New Roman" w:cs="Times New Roman"/>
                <w:iCs/>
                <w:sz w:val="16"/>
                <w:szCs w:val="16"/>
              </w:rPr>
              <w:t xml:space="preserve"> </w:t>
            </w:r>
            <w:r w:rsidRPr="006C34E3">
              <w:rPr>
                <w:rFonts w:eastAsia="Times New Roman" w:cs="Times New Roman"/>
                <w:i/>
                <w:iCs/>
                <w:color w:val="000000"/>
                <w:sz w:val="16"/>
                <w:szCs w:val="16"/>
              </w:rPr>
              <w:t>Ψ</w:t>
            </w:r>
            <w:r w:rsidRPr="006C34E3">
              <w:rPr>
                <w:rFonts w:eastAsia="Times New Roman" w:cs="Times New Roman"/>
                <w:i/>
                <w:iCs/>
                <w:sz w:val="16"/>
                <w:szCs w:val="16"/>
              </w:rPr>
              <w:t xml:space="preserve">ent1-2 </w:t>
            </w:r>
            <w:r w:rsidRPr="006C34E3">
              <w:rPr>
                <w:rFonts w:eastAsia="Times New Roman" w:cs="Times New Roman"/>
                <w:iCs/>
                <w:sz w:val="16"/>
                <w:szCs w:val="16"/>
              </w:rPr>
              <w:t>pseudogenes</w:t>
            </w:r>
          </w:p>
        </w:tc>
        <w:tc>
          <w:tcPr>
            <w:tcW w:w="1530" w:type="dxa"/>
            <w:tcBorders>
              <w:top w:val="nil"/>
              <w:left w:val="nil"/>
              <w:bottom w:val="single" w:sz="4" w:space="0" w:color="auto"/>
              <w:right w:val="single" w:sz="4" w:space="0" w:color="auto"/>
            </w:tcBorders>
            <w:shd w:val="clear" w:color="000000" w:fill="E7E6E6"/>
            <w:noWrap/>
            <w:vAlign w:val="center"/>
            <w:hideMark/>
          </w:tcPr>
          <w:p w14:paraId="719EF1C8" w14:textId="51D12BE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{"citationItems":[{"id":"ITEM-1","itemData":{"DOI":"10.1016/j.ijfoodmicro.2007.10.005","ISSN":"01681605","PMID":"18068843","abstract":"Staphylococcal enterotoxins (SEs) are superantigenic toxins. They are five major classical types, i.e., SEA, SEB, SEC, SED, SEE, and new SEs or SE-like superantigens, such as SEG to SEU. Only the staphylococcal superantigens (SAgs) that induce emesis following oral administration in a monkey model are designated as SEs while other related toxins are called SE-like (SEl) superantigens. To survey the enterotoxin genotypes for S. aureus strains isolated from food-poisoning cases in Taiwan, we developed PCR primers specific for SEN, SEO, SEP, SEQ, SER, and SEU genes. The complete SE sequences and their expression potential for strains positive to sen, seo, sep, seq, ser, and seu specific primers were also determined. These strains were used as reference strains. With the PCR primers specific for all SEs or SAgs, including toxic shock syndrome toxin I (TSST-1), we assayed the genotypes of 147 S. aureus strains isolated from patients associated with staphylococcal food-poisoning outbreaks occurred during 2001-2003. For these147 strains, 135 (91.8%) were found positive for one or more SE or SAg genes. For classical enterotoxin and TSST-1 types, the major one was tsst-1 (59.1%) following by sea (29.2%), seb (19.7%), sec (6.8%), and sed (2.0%). For new SE and SAg types, the major one was sei (29.9%) and sep (27.9%) followed by, sek (16.3%), seo (14.3%), seu (14.2%), sem (11.6%), sen (10.9%), seq (10.9%), seh (8.2%), sel (6.8%), and ser (5.4%) etc. This report reveals the whole SE and SAg genotypes for S. aureus strains isolated from staphylococcal food-poisoning cases in Taiwan. © 2007 Elsevier B.V. All rights reserved.","author":[{"dropping-particle":"","family":"Chiang","given":"Yu Cheng","non-dropping-particle":"","parse-names":false,"suffix":""},{"dropping-particle":"","family":"Liao","given":"Wan Wen","non-dropping-particle":"","parse-names":false,"suffix":""},{"dropping-particle":"","family":"Fan","given":"Chin Ming","non-dropping-particle":"","parse-names":false,"suffix":""},{"dropping-particle":"","family":"Pai","given":"Wan Yu","non-dropping-particle":"","parse-names":false,"suffix":""},{"dropping-particle":"","family":"Chiou","given":"Chien Shun","non-dropping-particle":"","parse-names":false,"suffix":""},{"dropping-particle":"","family":"Tsen","given":"Hau Yang","non-dropping-particle":"","parse-names":false,"suffix":""}],"container-title":"International Journal of Food Microbiology","id":"ITEM-1","issue":"1","issued":{"date-parts":[["2008"]]},"page":"66-73","title":"PCR detection of Staphylococcal enterotoxins (SEs) N, O, P, Q, R, U, and survey of SE types in Staphylococcus aureus isolates from food-poisoning cases in Taiwan","type":"article-journal","volume":"121"},"uris":["http://www.mendeley.com/documents/?uuid=7fef7acf-7abd-4938-bbd0-416c2cffcdc3"]}],"mendeley":{"formattedCitation":"(Chiang et al., 2008)","plainTextFormattedCitation":"(Chiang et al., 2008)","previouslyFormattedCitation":"(Chiang et al., 2008)"},"properties":{"noteIndex":0},"schema":"https://github.com/citation-style-language/schema/raw/master/csl-citation.json"}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(Chiang et al., 2008)</w:t>
            </w:r>
            <w:r w:rsidRPr="006C34E3">
              <w:rPr>
                <w:rFonts w:eastAsia="Times New Roman" w:cs="Times New Roman"/>
                <w:color w:val="000000"/>
                <w:sz w:val="16"/>
                <w:szCs w:val="16"/>
              </w:rPr>
              <w:fldChar w:fldCharType="end"/>
            </w:r>
          </w:p>
        </w:tc>
      </w:tr>
      <w:tr w:rsidR="00F90100" w:rsidRPr="006C34E3" w14:paraId="31388625" w14:textId="77777777" w:rsidTr="00C662E9">
        <w:trPr>
          <w:trHeight w:val="288"/>
        </w:trPr>
        <w:tc>
          <w:tcPr>
            <w:tcW w:w="630" w:type="dxa"/>
            <w:vMerge/>
            <w:tcBorders>
              <w:left w:val="single" w:sz="4" w:space="0" w:color="auto"/>
              <w:right w:val="single" w:sz="4" w:space="0" w:color="auto"/>
            </w:tcBorders>
            <w:vAlign w:val="center"/>
            <w:hideMark/>
          </w:tcPr>
          <w:p w14:paraId="33A624E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7E1D071"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selu-4</w:t>
            </w:r>
          </w:p>
        </w:tc>
        <w:tc>
          <w:tcPr>
            <w:tcW w:w="3690" w:type="dxa"/>
            <w:tcBorders>
              <w:top w:val="nil"/>
              <w:left w:val="nil"/>
              <w:bottom w:val="single" w:sz="4" w:space="0" w:color="auto"/>
              <w:right w:val="single" w:sz="4" w:space="0" w:color="auto"/>
            </w:tcBorders>
            <w:shd w:val="clear" w:color="auto" w:fill="auto"/>
            <w:noWrap/>
            <w:vAlign w:val="center"/>
            <w:hideMark/>
          </w:tcPr>
          <w:p w14:paraId="7D06267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TAA AAT AAA TGG CTC TAA AAT TGA TGG</w:t>
            </w:r>
          </w:p>
        </w:tc>
        <w:tc>
          <w:tcPr>
            <w:tcW w:w="3780" w:type="dxa"/>
            <w:tcBorders>
              <w:top w:val="nil"/>
              <w:left w:val="nil"/>
              <w:bottom w:val="single" w:sz="4" w:space="0" w:color="auto"/>
              <w:right w:val="single" w:sz="4" w:space="0" w:color="auto"/>
            </w:tcBorders>
            <w:shd w:val="clear" w:color="auto" w:fill="auto"/>
            <w:noWrap/>
            <w:vAlign w:val="center"/>
            <w:hideMark/>
          </w:tcPr>
          <w:p w14:paraId="6FFE6B8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CGT CTA ATT GCC ACG TTA TAT CAG T</w:t>
            </w:r>
          </w:p>
        </w:tc>
        <w:tc>
          <w:tcPr>
            <w:tcW w:w="1620" w:type="dxa"/>
            <w:tcBorders>
              <w:top w:val="nil"/>
              <w:left w:val="nil"/>
              <w:bottom w:val="single" w:sz="4" w:space="0" w:color="auto"/>
              <w:right w:val="single" w:sz="4" w:space="0" w:color="auto"/>
            </w:tcBorders>
            <w:shd w:val="clear" w:color="auto" w:fill="auto"/>
            <w:vAlign w:val="center"/>
            <w:hideMark/>
          </w:tcPr>
          <w:p w14:paraId="0E704B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790</w:t>
            </w:r>
          </w:p>
        </w:tc>
        <w:tc>
          <w:tcPr>
            <w:tcW w:w="1620" w:type="dxa"/>
            <w:tcBorders>
              <w:top w:val="nil"/>
              <w:left w:val="nil"/>
              <w:bottom w:val="single" w:sz="4" w:space="0" w:color="auto"/>
              <w:right w:val="single" w:sz="4" w:space="0" w:color="auto"/>
            </w:tcBorders>
            <w:shd w:val="clear" w:color="auto" w:fill="auto"/>
            <w:noWrap/>
            <w:vAlign w:val="center"/>
            <w:hideMark/>
          </w:tcPr>
          <w:p w14:paraId="050F1F8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Detection </w:t>
            </w:r>
            <w:r w:rsidRPr="006C34E3">
              <w:rPr>
                <w:rFonts w:eastAsia="Times New Roman" w:cs="Times New Roman"/>
                <w:i/>
                <w:iCs/>
                <w:color w:val="000000"/>
                <w:sz w:val="16"/>
                <w:szCs w:val="16"/>
              </w:rPr>
              <w:t xml:space="preserve">selu </w:t>
            </w:r>
            <w:r w:rsidRPr="006C34E3">
              <w:rPr>
                <w:rFonts w:eastAsia="Times New Roman" w:cs="Times New Roman"/>
                <w:iCs/>
                <w:color w:val="000000"/>
                <w:sz w:val="16"/>
                <w:szCs w:val="16"/>
              </w:rPr>
              <w:t xml:space="preserve">only (no </w:t>
            </w:r>
            <w:r w:rsidRPr="006C34E3">
              <w:rPr>
                <w:rFonts w:eastAsia="Times New Roman" w:cs="Times New Roman"/>
                <w:i/>
                <w:iCs/>
                <w:color w:val="000000"/>
                <w:sz w:val="16"/>
                <w:szCs w:val="16"/>
              </w:rPr>
              <w:t>selu2</w:t>
            </w:r>
            <w:r w:rsidRPr="006C34E3">
              <w:rPr>
                <w:rFonts w:eastAsia="Times New Roman" w:cs="Times New Roman"/>
                <w:iCs/>
                <w:color w:val="000000"/>
                <w:sz w:val="16"/>
                <w:szCs w:val="16"/>
              </w:rPr>
              <w:t>)</w:t>
            </w:r>
          </w:p>
        </w:tc>
        <w:tc>
          <w:tcPr>
            <w:tcW w:w="1530" w:type="dxa"/>
            <w:tcBorders>
              <w:top w:val="nil"/>
              <w:left w:val="nil"/>
              <w:bottom w:val="single" w:sz="4" w:space="0" w:color="auto"/>
              <w:right w:val="single" w:sz="4" w:space="0" w:color="auto"/>
            </w:tcBorders>
            <w:shd w:val="clear" w:color="auto" w:fill="auto"/>
            <w:noWrap/>
            <w:vAlign w:val="center"/>
            <w:hideMark/>
          </w:tcPr>
          <w:p w14:paraId="3039B744" w14:textId="7698253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{"citationItems":[{"id":"ITEM-1","itemData":{"DOI":"10.1046/j.1365-2672.2003.01957.x","ISSN":"1364-5072","PMID":"12807452","abstract":"Aims: This paper reports on a new putative enterotoxin SEU encoded by the enterotoxin gene cluster egc from Staphylococcus aureus and on a real-time polymerase chain reaction (PCR) assay for detecting the seu gene. Methods and Results: PCR and sequencing revealed a new putative enterotoxin SEU encoded by some egc clusters. The seu gene resulted from sequence divergence in the ψ ent1 and ψ ent2 pseudogenes previously described in the egc cluster (Jarraud et al. [2001] Journal of Immunology 166, 669). The presence of the seu gene was investigated in a collection of S. aureus strains by conventional PCR and by a specific 5′-nuclease PCR assay. Among the 24 strains harbouring the egc cluster, four tested positive for the seu gene. Conclusions: The existence of the seu gene adds to the number of newly described se genes and underlines the need for a better understanding of their role in the pathogenesis of S. aureus. Significance and Impact of the Study: A thorough study of the seu gene should provide further insight into the phylogenetics of the staphylococcal enterotoxins.","author":[{"dropping-particle":"","family":"Letertre","given":"Capucine","non-dropping-particle":"","parse-names":false,"suffix":""},{"dropping-particle":"","family":"Perelle","given":"Sylvie","non-dropping-particle":"","parse-names":false,"suffix":""},{"dropping-particle":"","family":"Dilasser","given":"Françoise","non-dropping-particle":"","parse-names":false,"suffix":""},{"dropping-particle":"","family":"Fach","given":"Patrick","non-dropping-particle":"","parse-names":false,"suffix":""}],"container-title":"Journal of Applied Microbiology","id":"ITEM-1","issue":"1","issued":{"date-parts":[["2003","7"]]},"page":"38-43","title":"Identification of a new putative enterotoxin SEU encoded by the egc cluster of Staphylococcus aureus","type":"article-journal","volume":"95"},"uris":["http://www.mendeley.com/documents/?uuid=ae0d50f5-b2fa-42d7-b61d-09018ac0dfc4"]}],"mendeley":{"formattedCitation":"(Letertre et al., 2003)","plainTextFormattedCitation":"(Letertre et al., 2003)","previouslyFormattedCitation":"(Letertre et al., 2003)"},"properties":{"noteIndex":0},"schema":"https://github.com/citation-style-language/schema/raw/master/csl-citation.json"}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(Letertre et al., 2003)</w:t>
            </w:r>
            <w:r w:rsidRPr="006C34E3">
              <w:rPr>
                <w:rFonts w:eastAsia="Times New Roman" w:cs="Times New Roman"/>
                <w:color w:val="000000"/>
                <w:sz w:val="16"/>
                <w:szCs w:val="16"/>
              </w:rPr>
              <w:fldChar w:fldCharType="end"/>
            </w:r>
          </w:p>
        </w:tc>
      </w:tr>
      <w:tr w:rsidR="00F90100" w:rsidRPr="006C34E3" w14:paraId="0D02657A" w14:textId="77777777" w:rsidTr="00C662E9">
        <w:trPr>
          <w:trHeight w:val="576"/>
        </w:trPr>
        <w:tc>
          <w:tcPr>
            <w:tcW w:w="630" w:type="dxa"/>
            <w:vMerge/>
            <w:tcBorders>
              <w:left w:val="single" w:sz="4" w:space="0" w:color="auto"/>
              <w:right w:val="single" w:sz="4" w:space="0" w:color="auto"/>
            </w:tcBorders>
            <w:vAlign w:val="center"/>
            <w:hideMark/>
          </w:tcPr>
          <w:p w14:paraId="607EF622"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01B55524"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selu-5</w:t>
            </w:r>
          </w:p>
        </w:tc>
        <w:tc>
          <w:tcPr>
            <w:tcW w:w="3690" w:type="dxa"/>
            <w:tcBorders>
              <w:top w:val="nil"/>
              <w:left w:val="nil"/>
              <w:bottom w:val="single" w:sz="4" w:space="0" w:color="auto"/>
              <w:right w:val="single" w:sz="4" w:space="0" w:color="auto"/>
            </w:tcBorders>
            <w:shd w:val="clear" w:color="000000" w:fill="E7E6E6"/>
            <w:noWrap/>
            <w:vAlign w:val="center"/>
            <w:hideMark/>
          </w:tcPr>
          <w:p w14:paraId="248FF0F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TGA TAA TTA GTT TTA ACA CTA AAA TGC G</w:t>
            </w:r>
          </w:p>
        </w:tc>
        <w:tc>
          <w:tcPr>
            <w:tcW w:w="3780" w:type="dxa"/>
            <w:tcBorders>
              <w:top w:val="nil"/>
              <w:left w:val="nil"/>
              <w:bottom w:val="single" w:sz="4" w:space="0" w:color="auto"/>
              <w:right w:val="single" w:sz="4" w:space="0" w:color="auto"/>
            </w:tcBorders>
            <w:shd w:val="clear" w:color="000000" w:fill="E7E6E6"/>
            <w:noWrap/>
            <w:vAlign w:val="center"/>
            <w:hideMark/>
          </w:tcPr>
          <w:p w14:paraId="411AFD22" w14:textId="77777777" w:rsidR="00F90100" w:rsidRPr="00634D63" w:rsidRDefault="00F90100" w:rsidP="00F90100">
            <w:pPr>
              <w:spacing w:before="0" w:after="0"/>
              <w:jc w:val="center"/>
              <w:rPr>
                <w:rFonts w:eastAsia="Times New Roman" w:cs="Times New Roman"/>
                <w:sz w:val="16"/>
                <w:szCs w:val="16"/>
              </w:rPr>
            </w:pPr>
            <w:r w:rsidRPr="00634D63">
              <w:rPr>
                <w:rFonts w:eastAsia="Times New Roman" w:cs="Times New Roman"/>
                <w:sz w:val="16"/>
                <w:szCs w:val="16"/>
              </w:rPr>
              <w:t>CGT CTA ATT GCC ACG TTA TAT CAG T</w:t>
            </w:r>
          </w:p>
        </w:tc>
        <w:tc>
          <w:tcPr>
            <w:tcW w:w="1620" w:type="dxa"/>
            <w:tcBorders>
              <w:top w:val="nil"/>
              <w:left w:val="nil"/>
              <w:bottom w:val="single" w:sz="4" w:space="0" w:color="auto"/>
              <w:right w:val="single" w:sz="4" w:space="0" w:color="auto"/>
            </w:tcBorders>
            <w:shd w:val="clear" w:color="000000" w:fill="E7E6E6"/>
            <w:vAlign w:val="center"/>
            <w:hideMark/>
          </w:tcPr>
          <w:p w14:paraId="436DD8F1"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color w:val="000000"/>
                <w:sz w:val="16"/>
                <w:szCs w:val="16"/>
              </w:rPr>
              <w:t>Ψ</w:t>
            </w:r>
            <w:r w:rsidRPr="006C34E3">
              <w:rPr>
                <w:rFonts w:eastAsia="Times New Roman" w:cs="Times New Roman"/>
                <w:i/>
                <w:iCs/>
                <w:sz w:val="16"/>
                <w:szCs w:val="16"/>
              </w:rPr>
              <w:t>ent1-2</w:t>
            </w:r>
            <w:r w:rsidRPr="006C34E3">
              <w:rPr>
                <w:rFonts w:eastAsia="Times New Roman" w:cs="Times New Roman"/>
                <w:sz w:val="16"/>
                <w:szCs w:val="16"/>
              </w:rPr>
              <w:t>/</w:t>
            </w:r>
            <w:r w:rsidRPr="006C34E3">
              <w:rPr>
                <w:rFonts w:eastAsia="Times New Roman" w:cs="Times New Roman"/>
                <w:i/>
                <w:iCs/>
                <w:sz w:val="16"/>
                <w:szCs w:val="16"/>
              </w:rPr>
              <w:t xml:space="preserve">selu2: </w:t>
            </w:r>
            <w:r w:rsidRPr="006C34E3">
              <w:rPr>
                <w:rFonts w:eastAsia="Times New Roman" w:cs="Times New Roman"/>
                <w:sz w:val="16"/>
                <w:szCs w:val="16"/>
              </w:rPr>
              <w:t>1135</w:t>
            </w:r>
            <w:r w:rsidRPr="006C34E3">
              <w:rPr>
                <w:rFonts w:eastAsia="Times New Roman" w:cs="Times New Roman"/>
                <w:sz w:val="16"/>
                <w:szCs w:val="16"/>
              </w:rPr>
              <w:br/>
            </w:r>
            <w:r w:rsidRPr="006C34E3">
              <w:rPr>
                <w:rFonts w:eastAsia="Times New Roman" w:cs="Times New Roman"/>
                <w:i/>
                <w:iCs/>
                <w:sz w:val="16"/>
                <w:szCs w:val="16"/>
              </w:rPr>
              <w:t xml:space="preserve">selu: </w:t>
            </w:r>
            <w:r w:rsidRPr="006C34E3">
              <w:rPr>
                <w:rFonts w:eastAsia="Times New Roman" w:cs="Times New Roman"/>
                <w:sz w:val="16"/>
                <w:szCs w:val="16"/>
              </w:rPr>
              <w:t>1149</w:t>
            </w:r>
          </w:p>
        </w:tc>
        <w:tc>
          <w:tcPr>
            <w:tcW w:w="1620" w:type="dxa"/>
            <w:tcBorders>
              <w:top w:val="nil"/>
              <w:left w:val="nil"/>
              <w:bottom w:val="single" w:sz="4" w:space="0" w:color="auto"/>
              <w:right w:val="single" w:sz="4" w:space="0" w:color="auto"/>
            </w:tcBorders>
            <w:shd w:val="clear" w:color="000000" w:fill="E7E6E6"/>
            <w:noWrap/>
            <w:vAlign w:val="center"/>
            <w:hideMark/>
          </w:tcPr>
          <w:p w14:paraId="68287C5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Aspecific detection of</w:t>
            </w:r>
            <w:r w:rsidRPr="006C34E3">
              <w:rPr>
                <w:rFonts w:eastAsia="Times New Roman" w:cs="Times New Roman"/>
                <w:iCs/>
                <w:sz w:val="16"/>
                <w:szCs w:val="16"/>
              </w:rPr>
              <w:t xml:space="preserve"> </w:t>
            </w:r>
            <w:r w:rsidRPr="006C34E3">
              <w:rPr>
                <w:rFonts w:eastAsia="Times New Roman" w:cs="Times New Roman"/>
                <w:i/>
                <w:iCs/>
                <w:color w:val="000000"/>
                <w:sz w:val="16"/>
                <w:szCs w:val="16"/>
              </w:rPr>
              <w:t>Ψ</w:t>
            </w:r>
            <w:r w:rsidRPr="006C34E3">
              <w:rPr>
                <w:rFonts w:eastAsia="Times New Roman" w:cs="Times New Roman"/>
                <w:i/>
                <w:iCs/>
                <w:sz w:val="16"/>
                <w:szCs w:val="16"/>
              </w:rPr>
              <w:t xml:space="preserve">ent1-2 </w:t>
            </w:r>
            <w:r w:rsidRPr="006C34E3">
              <w:rPr>
                <w:rFonts w:eastAsia="Times New Roman" w:cs="Times New Roman"/>
                <w:iCs/>
                <w:sz w:val="16"/>
                <w:szCs w:val="16"/>
              </w:rPr>
              <w:t>pseudogenes</w:t>
            </w:r>
          </w:p>
        </w:tc>
        <w:tc>
          <w:tcPr>
            <w:tcW w:w="1530" w:type="dxa"/>
            <w:tcBorders>
              <w:top w:val="nil"/>
              <w:left w:val="nil"/>
              <w:bottom w:val="single" w:sz="4" w:space="0" w:color="auto"/>
              <w:right w:val="single" w:sz="4" w:space="0" w:color="auto"/>
            </w:tcBorders>
            <w:shd w:val="clear" w:color="000000" w:fill="E7E6E6"/>
            <w:noWrap/>
            <w:vAlign w:val="center"/>
            <w:hideMark/>
          </w:tcPr>
          <w:p w14:paraId="74376AA0" w14:textId="72E917D4"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{"citationItems":[{"id":"ITEM-1","itemData":{"DOI":"10.1046/j.1365-2672.2003.01957.x","ISSN":"1364-5072","PMID":"12807452","abstract":"Aims: This paper reports on a new putative enterotoxin SEU encoded by the enterotoxin gene cluster egc from Staphylococcus aureus and on a real-time polymerase chain reaction (PCR) assay for detecting the seu gene. Methods and Results: PCR and sequencing revealed a new putative enterotoxin SEU encoded by some egc clusters. The seu gene resulted from sequence divergence in the ψ ent1 and ψ ent2 pseudogenes previously described in the egc cluster (Jarraud et al. [2001] Journal of Immunology 166, 669). The presence of the seu gene was investigated in a collection of S. aureus strains by conventional PCR and by a specific 5′-nuclease PCR assay. Among the 24 strains harbouring the egc cluster, four tested positive for the seu gene. Conclusions: The existence of the seu gene adds to the number of newly described se genes and underlines the need for a better understanding of their role in the pathogenesis of S. aureus. Significance and Impact of the Study: A thorough study of the seu gene should provide further insight into the phylogenetics of the staphylococcal enterotoxins.","author":[{"dropping-particle":"","family":"Letertre","given":"Capucine","non-dropping-particle":"","parse-names":false,"suffix":""},{"dropping-particle":"","family":"Perelle","given":"Sylvie","non-dropping-particle":"","parse-names":false,"suffix":""},{"dropping-particle":"","family":"Dilasser","given":"Françoise","non-dropping-particle":"","parse-names":false,"suffix":""},{"dropping-particle":"","family":"Fach","given":"Patrick","non-dropping-particle":"","parse-names":false,"suffix":""}],"container-title":"Journal of Applied Microbiology","id":"ITEM-1","issue":"1","issued":{"date-parts":[["2003","7"]]},"page":"38-43","title":"Identification of a new putative enterotoxin SEU encoded by the egc cluster of Staphylococcus aureus","type":"article-journal","volume":"95"},"uris":["http://www.mendeley.com/documents/?uuid=ae0d50f5-b2fa-42d7-b61d-09018ac0dfc4"]}],"mendeley":{"formattedCitation":"(Letertre et al., 2003)","plainTextFormattedCitation":"(Letertre et al., 2003)","previouslyFormattedCitation":"(Letertre et al., 2003)"},"properties":{"noteIndex":0},"schema":"https://github.com/citation-style-language/schema/raw/master/csl-citation.json"}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(Letertre et al., 2003)</w:t>
            </w:r>
            <w:r w:rsidRPr="006C34E3">
              <w:rPr>
                <w:rFonts w:eastAsia="Times New Roman" w:cs="Times New Roman"/>
                <w:color w:val="000000"/>
                <w:sz w:val="16"/>
                <w:szCs w:val="16"/>
              </w:rPr>
              <w:fldChar w:fldCharType="end"/>
            </w:r>
          </w:p>
        </w:tc>
      </w:tr>
      <w:tr w:rsidR="00F90100" w:rsidRPr="006C34E3" w14:paraId="186DD0CE" w14:textId="77777777" w:rsidTr="00C662E9">
        <w:trPr>
          <w:trHeight w:val="288"/>
        </w:trPr>
        <w:tc>
          <w:tcPr>
            <w:tcW w:w="630" w:type="dxa"/>
            <w:vMerge/>
            <w:tcBorders>
              <w:left w:val="single" w:sz="4" w:space="0" w:color="auto"/>
              <w:right w:val="single" w:sz="4" w:space="0" w:color="auto"/>
            </w:tcBorders>
            <w:vAlign w:val="center"/>
            <w:hideMark/>
          </w:tcPr>
          <w:p w14:paraId="2FFBBBC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675FC5E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selu-6</w:t>
            </w:r>
          </w:p>
        </w:tc>
        <w:tc>
          <w:tcPr>
            <w:tcW w:w="3690" w:type="dxa"/>
            <w:tcBorders>
              <w:top w:val="nil"/>
              <w:left w:val="nil"/>
              <w:bottom w:val="single" w:sz="4" w:space="0" w:color="auto"/>
              <w:right w:val="single" w:sz="4" w:space="0" w:color="auto"/>
            </w:tcBorders>
            <w:shd w:val="clear" w:color="auto" w:fill="auto"/>
            <w:noWrap/>
            <w:vAlign w:val="center"/>
            <w:hideMark/>
          </w:tcPr>
          <w:p w14:paraId="60388F2D" w14:textId="77777777" w:rsidR="00F90100" w:rsidRPr="006C34E3" w:rsidRDefault="00F90100" w:rsidP="00F90100">
            <w:pPr>
              <w:spacing w:before="0" w:after="0"/>
              <w:jc w:val="center"/>
              <w:rPr>
                <w:rFonts w:eastAsia="Times New Roman" w:cs="Times New Roman"/>
                <w:sz w:val="16"/>
                <w:szCs w:val="16"/>
                <w:lang w:val="nl-NL"/>
              </w:rPr>
            </w:pPr>
            <w:r w:rsidRPr="006C34E3">
              <w:rPr>
                <w:rFonts w:eastAsia="Times New Roman" w:cs="Times New Roman"/>
                <w:sz w:val="16"/>
                <w:szCs w:val="16"/>
                <w:lang w:val="nl-NL"/>
              </w:rPr>
              <w:t>TAA AAT AAA TGG CTC TAA AAT TGA TGG</w:t>
            </w:r>
          </w:p>
        </w:tc>
        <w:tc>
          <w:tcPr>
            <w:tcW w:w="3780" w:type="dxa"/>
            <w:tcBorders>
              <w:top w:val="nil"/>
              <w:left w:val="nil"/>
              <w:bottom w:val="single" w:sz="4" w:space="0" w:color="auto"/>
              <w:right w:val="single" w:sz="4" w:space="0" w:color="auto"/>
            </w:tcBorders>
            <w:shd w:val="clear" w:color="auto" w:fill="auto"/>
            <w:noWrap/>
            <w:vAlign w:val="center"/>
            <w:hideMark/>
          </w:tcPr>
          <w:p w14:paraId="74D9A423" w14:textId="77777777" w:rsidR="00F90100" w:rsidRPr="00634D63" w:rsidRDefault="00F90100" w:rsidP="00F90100">
            <w:pPr>
              <w:spacing w:before="0" w:after="0"/>
              <w:jc w:val="center"/>
              <w:rPr>
                <w:rFonts w:eastAsia="Times New Roman" w:cs="Times New Roman"/>
                <w:sz w:val="16"/>
                <w:szCs w:val="16"/>
                <w:lang w:val="nl-NL"/>
              </w:rPr>
            </w:pPr>
            <w:r w:rsidRPr="00634D63">
              <w:rPr>
                <w:rFonts w:eastAsia="Times New Roman" w:cs="Times New Roman"/>
                <w:sz w:val="16"/>
                <w:szCs w:val="16"/>
                <w:lang w:val="nl-NL"/>
              </w:rPr>
              <w:t>ATC CGC TGA AAA ATA GCA TTG AT</w:t>
            </w:r>
          </w:p>
        </w:tc>
        <w:tc>
          <w:tcPr>
            <w:tcW w:w="1620" w:type="dxa"/>
            <w:tcBorders>
              <w:top w:val="nil"/>
              <w:left w:val="nil"/>
              <w:bottom w:val="single" w:sz="4" w:space="0" w:color="auto"/>
              <w:right w:val="single" w:sz="4" w:space="0" w:color="auto"/>
            </w:tcBorders>
            <w:shd w:val="clear" w:color="auto" w:fill="auto"/>
            <w:vAlign w:val="center"/>
            <w:hideMark/>
          </w:tcPr>
          <w:p w14:paraId="5C7AB70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142</w:t>
            </w:r>
          </w:p>
        </w:tc>
        <w:tc>
          <w:tcPr>
            <w:tcW w:w="1620" w:type="dxa"/>
            <w:tcBorders>
              <w:top w:val="nil"/>
              <w:left w:val="nil"/>
              <w:bottom w:val="single" w:sz="4" w:space="0" w:color="auto"/>
              <w:right w:val="single" w:sz="4" w:space="0" w:color="auto"/>
            </w:tcBorders>
            <w:shd w:val="clear" w:color="auto" w:fill="auto"/>
            <w:noWrap/>
            <w:vAlign w:val="center"/>
            <w:hideMark/>
          </w:tcPr>
          <w:p w14:paraId="6ACD033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Detection </w:t>
            </w:r>
            <w:r w:rsidRPr="006C34E3">
              <w:rPr>
                <w:rFonts w:eastAsia="Times New Roman" w:cs="Times New Roman"/>
                <w:i/>
                <w:iCs/>
                <w:color w:val="000000"/>
                <w:sz w:val="16"/>
                <w:szCs w:val="16"/>
              </w:rPr>
              <w:t xml:space="preserve">selu </w:t>
            </w:r>
            <w:r w:rsidRPr="006C34E3">
              <w:rPr>
                <w:rFonts w:eastAsia="Times New Roman" w:cs="Times New Roman"/>
                <w:iCs/>
                <w:color w:val="000000"/>
                <w:sz w:val="16"/>
                <w:szCs w:val="16"/>
              </w:rPr>
              <w:t xml:space="preserve">only (no </w:t>
            </w:r>
            <w:r w:rsidRPr="006C34E3">
              <w:rPr>
                <w:rFonts w:eastAsia="Times New Roman" w:cs="Times New Roman"/>
                <w:i/>
                <w:iCs/>
                <w:color w:val="000000"/>
                <w:sz w:val="16"/>
                <w:szCs w:val="16"/>
              </w:rPr>
              <w:t>selu2</w:t>
            </w:r>
            <w:r w:rsidRPr="006C34E3">
              <w:rPr>
                <w:rFonts w:eastAsia="Times New Roman" w:cs="Times New Roman"/>
                <w:iCs/>
                <w:color w:val="000000"/>
                <w:sz w:val="16"/>
                <w:szCs w:val="16"/>
              </w:rPr>
              <w:t>)</w:t>
            </w:r>
          </w:p>
        </w:tc>
        <w:tc>
          <w:tcPr>
            <w:tcW w:w="1530" w:type="dxa"/>
            <w:tcBorders>
              <w:top w:val="nil"/>
              <w:left w:val="nil"/>
              <w:bottom w:val="single" w:sz="4" w:space="0" w:color="auto"/>
              <w:right w:val="single" w:sz="4" w:space="0" w:color="auto"/>
            </w:tcBorders>
            <w:shd w:val="clear" w:color="auto" w:fill="auto"/>
            <w:noWrap/>
            <w:vAlign w:val="center"/>
            <w:hideMark/>
          </w:tcPr>
          <w:p w14:paraId="5601A6EE" w14:textId="51FC5CCC"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{"citationItems":[{"id":"ITEM-1","itemData":{"DOI":"10.1046/j.1365-2672.2003.01957.x","ISSN":"1364-5072","PMID":"12807452","abstract":"Aims: This paper reports on a new putative enterotoxin SEU encoded by the enterotoxin gene cluster egc from Staphylococcus aureus and on a real-time polymerase chain reaction (PCR) assay for detecting the seu gene. Methods and Results: PCR and sequencing revealed a new putative enterotoxin SEU encoded by some egc clusters. The seu gene resulted from sequence divergence in the ψ ent1 and ψ ent2 pseudogenes previously described in the egc cluster (Jarraud et al. [2001] Journal of Immunology 166, 669). The presence of the seu gene was investigated in a collection of S. aureus strains by conventional PCR and by a specific 5′-nuclease PCR assay. Among the 24 strains harbouring the egc cluster, four tested positive for the seu gene. Conclusions: The existence of the seu gene adds to the number of newly described se genes and underlines the need for a better understanding of their role in the pathogenesis of S. aureus. Significance and Impact of the Study: A thorough study of the seu gene should provide further insight into the phylogenetics of the staphylococcal enterotoxins.","author":[{"dropping-particle":"","family":"Letertre","given":"Capucine","non-dropping-particle":"","parse-names":false,"suffix":""},{"dropping-particle":"","family":"Perelle","given":"Sylvie","non-dropping-particle":"","parse-names":false,"suffix":""},{"dropping-particle":"","family":"Dilasser","given":"Françoise","non-dropping-particle":"","parse-names":false,"suffix":""},{"dropping-particle":"","family":"Fach","given":"Patrick","non-dropping-particle":"","parse-names":false,"suffix":""}],"container-title":"Journal of Applied Microbiology","id":"ITEM-1","issue":"1","issued":{"date-parts":[["2003","7"]]},"page":"38-43","title":"Identification of a new putative enterotoxin SEU encoded by the egc cluster of Staphylococcus aureus","type":"article-journal","volume":"95"},"uris":["http://www.mendeley.com/documents/?uuid=ae0d50f5-b2fa-42d7-b61d-09018ac0dfc4"]}],"mendeley":{"formattedCitation":"(Letertre et al., 2003)","plainTextFormattedCitation":"(Letertre et al., 2003)","previouslyFormattedCitation":"(Letertre et al., 2003)"},"properties":{"noteIndex":0},"schema":"https://github.com/citation-style-language/schema/raw/master/csl-citation.json"}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(Letertre et al., 2003)</w:t>
            </w:r>
            <w:r w:rsidRPr="006C34E3">
              <w:rPr>
                <w:rFonts w:eastAsia="Times New Roman" w:cs="Times New Roman"/>
                <w:color w:val="000000"/>
                <w:sz w:val="16"/>
                <w:szCs w:val="16"/>
              </w:rPr>
              <w:fldChar w:fldCharType="end"/>
            </w:r>
          </w:p>
        </w:tc>
      </w:tr>
      <w:tr w:rsidR="00F90100" w:rsidRPr="006C34E3" w14:paraId="59C52CA8" w14:textId="77777777" w:rsidTr="00C662E9">
        <w:trPr>
          <w:trHeight w:val="288"/>
        </w:trPr>
        <w:tc>
          <w:tcPr>
            <w:tcW w:w="630" w:type="dxa"/>
            <w:tcBorders>
              <w:top w:val="single" w:sz="4" w:space="0" w:color="auto"/>
              <w:left w:val="single" w:sz="4" w:space="0" w:color="auto"/>
              <w:bottom w:val="nil"/>
              <w:right w:val="single" w:sz="4" w:space="0" w:color="auto"/>
            </w:tcBorders>
            <w:vAlign w:val="center"/>
          </w:tcPr>
          <w:p w14:paraId="47F0283B"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lastRenderedPageBreak/>
              <w:t>selv</w:t>
            </w:r>
          </w:p>
        </w:tc>
        <w:tc>
          <w:tcPr>
            <w:tcW w:w="720" w:type="dxa"/>
            <w:tcBorders>
              <w:top w:val="nil"/>
              <w:left w:val="nil"/>
              <w:bottom w:val="single" w:sz="4" w:space="0" w:color="auto"/>
              <w:right w:val="single" w:sz="4" w:space="0" w:color="auto"/>
            </w:tcBorders>
            <w:shd w:val="clear" w:color="auto" w:fill="auto"/>
            <w:noWrap/>
            <w:vAlign w:val="center"/>
          </w:tcPr>
          <w:p w14:paraId="63443E84"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sz w:val="16"/>
                <w:szCs w:val="16"/>
              </w:rPr>
              <w:t>selv-1</w:t>
            </w:r>
          </w:p>
        </w:tc>
        <w:tc>
          <w:tcPr>
            <w:tcW w:w="3690" w:type="dxa"/>
            <w:tcBorders>
              <w:top w:val="nil"/>
              <w:left w:val="nil"/>
              <w:bottom w:val="single" w:sz="4" w:space="0" w:color="auto"/>
              <w:right w:val="single" w:sz="4" w:space="0" w:color="auto"/>
            </w:tcBorders>
            <w:shd w:val="clear" w:color="auto" w:fill="auto"/>
            <w:noWrap/>
            <w:vAlign w:val="center"/>
          </w:tcPr>
          <w:p w14:paraId="4C1F3B0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u w:val="single"/>
              </w:rPr>
              <w:t>GCAGGATCC</w:t>
            </w:r>
            <w:r w:rsidRPr="006C34E3">
              <w:rPr>
                <w:rFonts w:eastAsia="Times New Roman" w:cs="Times New Roman"/>
                <w:sz w:val="16"/>
                <w:szCs w:val="16"/>
              </w:rPr>
              <w:t xml:space="preserve"> GAT GTC GGA GTT TTG AAT CTT AGG</w:t>
            </w:r>
          </w:p>
        </w:tc>
        <w:tc>
          <w:tcPr>
            <w:tcW w:w="3780" w:type="dxa"/>
            <w:tcBorders>
              <w:top w:val="nil"/>
              <w:left w:val="nil"/>
              <w:bottom w:val="single" w:sz="4" w:space="0" w:color="auto"/>
              <w:right w:val="single" w:sz="4" w:space="0" w:color="auto"/>
            </w:tcBorders>
            <w:shd w:val="clear" w:color="auto" w:fill="auto"/>
            <w:noWrap/>
            <w:vAlign w:val="center"/>
          </w:tcPr>
          <w:p w14:paraId="6529272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u w:val="single"/>
              </w:rPr>
              <w:t>TAACTGCAG</w:t>
            </w:r>
            <w:r w:rsidRPr="006C34E3">
              <w:rPr>
                <w:rFonts w:eastAsia="Times New Roman" w:cs="Times New Roman"/>
                <w:sz w:val="16"/>
                <w:szCs w:val="16"/>
              </w:rPr>
              <w:t xml:space="preserve"> TTA GTT ACT ATC TAC ATA TGA TAT TTC GAC ATC</w:t>
            </w:r>
          </w:p>
        </w:tc>
        <w:tc>
          <w:tcPr>
            <w:tcW w:w="1620" w:type="dxa"/>
            <w:tcBorders>
              <w:top w:val="nil"/>
              <w:left w:val="nil"/>
              <w:bottom w:val="single" w:sz="4" w:space="0" w:color="auto"/>
              <w:right w:val="single" w:sz="4" w:space="0" w:color="auto"/>
            </w:tcBorders>
            <w:shd w:val="clear" w:color="auto" w:fill="auto"/>
            <w:vAlign w:val="center"/>
          </w:tcPr>
          <w:p w14:paraId="76D0F828"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i/>
                <w:color w:val="5B9BD5"/>
                <w:sz w:val="16"/>
                <w:szCs w:val="16"/>
              </w:rPr>
              <w:t xml:space="preserve">selv: </w:t>
            </w:r>
            <w:r w:rsidRPr="006C34E3">
              <w:rPr>
                <w:rFonts w:eastAsia="Times New Roman" w:cs="Times New Roman"/>
                <w:color w:val="5B9BD5"/>
                <w:sz w:val="16"/>
                <w:szCs w:val="16"/>
              </w:rPr>
              <w:t>653</w:t>
            </w:r>
          </w:p>
          <w:p w14:paraId="49CD1EAD" w14:textId="76AF0283" w:rsidR="00F90100" w:rsidRPr="006C34E3" w:rsidRDefault="00F90100" w:rsidP="006C34E3">
            <w:pPr>
              <w:spacing w:before="0" w:after="0"/>
              <w:jc w:val="center"/>
              <w:rPr>
                <w:rFonts w:eastAsia="Times New Roman" w:cs="Times New Roman"/>
                <w:sz w:val="16"/>
                <w:szCs w:val="16"/>
              </w:rPr>
            </w:pPr>
            <w:r w:rsidRPr="006C34E3">
              <w:rPr>
                <w:rFonts w:eastAsia="Times New Roman" w:cs="Times New Roman"/>
                <w:i/>
                <w:color w:val="5B9BD5"/>
                <w:sz w:val="16"/>
                <w:szCs w:val="16"/>
              </w:rPr>
              <w:t>sem</w:t>
            </w:r>
            <w:r w:rsidR="006C34E3">
              <w:rPr>
                <w:rFonts w:eastAsia="Times New Roman" w:cs="Times New Roman"/>
                <w:color w:val="5B9BD5"/>
                <w:sz w:val="16"/>
                <w:szCs w:val="16"/>
              </w:rPr>
              <w:t>-</w:t>
            </w:r>
            <w:r w:rsidRPr="006C34E3">
              <w:rPr>
                <w:rFonts w:eastAsia="Times New Roman" w:cs="Times New Roman"/>
                <w:i/>
                <w:color w:val="5B9BD5"/>
                <w:sz w:val="16"/>
                <w:szCs w:val="16"/>
              </w:rPr>
              <w:t xml:space="preserve">i: </w:t>
            </w:r>
            <w:r w:rsidRPr="006C34E3">
              <w:rPr>
                <w:rFonts w:eastAsia="Times New Roman" w:cs="Times New Roman"/>
                <w:color w:val="5B9BD5"/>
                <w:sz w:val="16"/>
                <w:szCs w:val="16"/>
              </w:rPr>
              <w:t>1417</w:t>
            </w:r>
          </w:p>
        </w:tc>
        <w:tc>
          <w:tcPr>
            <w:tcW w:w="1620" w:type="dxa"/>
            <w:tcBorders>
              <w:top w:val="nil"/>
              <w:left w:val="nil"/>
              <w:bottom w:val="single" w:sz="4" w:space="0" w:color="auto"/>
              <w:right w:val="single" w:sz="4" w:space="0" w:color="auto"/>
            </w:tcBorders>
            <w:shd w:val="clear" w:color="auto" w:fill="auto"/>
            <w:noWrap/>
            <w:vAlign w:val="center"/>
          </w:tcPr>
          <w:p w14:paraId="5D1EAE55"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Cloning primers; Detection of </w:t>
            </w:r>
            <w:r w:rsidRPr="006C34E3">
              <w:rPr>
                <w:rFonts w:eastAsia="Times New Roman" w:cs="Times New Roman"/>
                <w:i/>
                <w:color w:val="000000"/>
                <w:sz w:val="16"/>
                <w:szCs w:val="16"/>
              </w:rPr>
              <w:t xml:space="preserve">sem </w:t>
            </w:r>
            <w:r w:rsidRPr="006C34E3">
              <w:rPr>
                <w:rFonts w:eastAsia="Times New Roman" w:cs="Times New Roman"/>
                <w:color w:val="000000"/>
                <w:sz w:val="16"/>
                <w:szCs w:val="16"/>
              </w:rPr>
              <w:t xml:space="preserve">and </w:t>
            </w:r>
            <w:r w:rsidRPr="006C34E3">
              <w:rPr>
                <w:rFonts w:eastAsia="Times New Roman" w:cs="Times New Roman"/>
                <w:i/>
                <w:color w:val="000000"/>
                <w:sz w:val="16"/>
                <w:szCs w:val="16"/>
              </w:rPr>
              <w:t xml:space="preserve">sei, </w:t>
            </w:r>
            <w:r w:rsidRPr="006C34E3">
              <w:rPr>
                <w:rFonts w:eastAsia="Times New Roman" w:cs="Times New Roman"/>
                <w:color w:val="000000"/>
                <w:sz w:val="16"/>
                <w:szCs w:val="16"/>
              </w:rPr>
              <w:t xml:space="preserve">or </w:t>
            </w:r>
            <w:r w:rsidRPr="006C34E3">
              <w:rPr>
                <w:rFonts w:eastAsia="Times New Roman" w:cs="Times New Roman"/>
                <w:i/>
                <w:color w:val="000000"/>
                <w:sz w:val="16"/>
                <w:szCs w:val="16"/>
              </w:rPr>
              <w:t>selv</w:t>
            </w:r>
            <w:r w:rsidRPr="006C34E3">
              <w:rPr>
                <w:rFonts w:eastAsia="Times New Roman" w:cs="Times New Roman"/>
                <w:color w:val="000000"/>
                <w:sz w:val="16"/>
                <w:szCs w:val="16"/>
              </w:rPr>
              <w:t xml:space="preserve"> at different amplicon sizes</w:t>
            </w:r>
          </w:p>
        </w:tc>
        <w:tc>
          <w:tcPr>
            <w:tcW w:w="1530" w:type="dxa"/>
            <w:tcBorders>
              <w:top w:val="nil"/>
              <w:left w:val="nil"/>
              <w:bottom w:val="single" w:sz="4" w:space="0" w:color="auto"/>
              <w:right w:val="single" w:sz="4" w:space="0" w:color="auto"/>
            </w:tcBorders>
            <w:shd w:val="clear" w:color="auto" w:fill="auto"/>
            <w:noWrap/>
            <w:vAlign w:val="center"/>
          </w:tcPr>
          <w:p w14:paraId="7D12EAC3" w14:textId="5217C75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{"citationItems":[{"id":"ITEM-1","itemData":{"DOI":"10.1128/IAI.00132-06","ISSN":"0019-9567","PMID":"16861660","abstract":"To test the hypothesis that the Staphylococcus aureus enterotoxin gene cluster ( egc ) can generate new enterotoxin genes by recombination, we analyzed the egc locus in a broad panel of 666 clinical isolates of S. aureus. egc was present in 63% of isolates, confirming its high prevalence. The archetypal organization of the egc locus, consisting of five enterotoxin genes plus two pseudogenes, was found in 409 of 421 egc -positive strains. The egc locus was incomplete in a few strains and occasionally harbored an insertion sequence and transposase genes. These strains may represent evolutionary intermediates of the egc locus. One strain with an atypical egc locus produced two new enterotoxins, designated SE l V and SE l U2, generated by (i) recombination between selm and sei , producing selv , and (ii) a limited deletion in the φent1-φent2 pseudogenes, producing selu2 . Recombinant SE l V and SE l U2 had superantigen activity, as they specifically activated the T-cell families Vβ 6, Vβ 18, and Vβ 21 (SE l V) and Vβ 13.2 and Vβ 14 (SE l U2). Immunoscope analysis showed a Gaussian CDR3 size distribution of T-cell receptor Vβ chain junctional transcripts of expanded Vβ subsets in toxin-stimulated cultures, reflecting a high level of polyclonality. These data show that egc is indeed capable of generating new superantigen genes through recombination.","author":[{"dropping-particle":"","family":"Thomas","given":"Damien Yann","non-dropping-particle":"","parse-names":false,"suffix":""},{"dropping-particle":"","family":"Jarraud","given":"Sophie","non-dropping-particle":"","parse-names":false,"suffix":""},{"dropping-particle":"","family":"Lemercier","given":"Brigitte","non-dropping-particle":"","parse-names":false,"suffix":""},{"dropping-particle":"","family":"Cozon","given":"Gregoire","non-dropping-particle":"","parse-names":false,"suffix":""},{"dropping-particle":"","family":"Echasserieau","given":"Klara","non-dropping-particle":"","parse-names":false,"suffix":""},{"dropping-particle":"","family":"Etienne","given":"Jerome","non-dropping-particle":"","parse-names":false,"suffix":""},{"dropping-particle":"","family":"Gougeon","given":"Marie-Lise","non-dropping-particle":"","parse-names":false,"suffix":""},{"dropping-particle":"","family":"Lina","given":"Gerard","non-dropping-particle":"","parse-names":false,"suffix":""},{"dropping-particle":"","family":"Vandenesch","given":"François","non-dropping-particle":"","parse-names":false,"suffix":""}],"container-title":"Infection and Immunity","id":"ITEM-1","issue":"8","issued":{"date-parts":[["2006","8"]]},"page":"4724-4734","title":"Staphylococcal Enterotoxin-Like Toxins U2 and V, Two New Staphylococcal Superantigens Arising from Recombination within the Enterotoxin Gene Cluster","type":"article-journal","volume":"74"},"uris":["http://www.mendeley.com/documents/?uuid=7f71bf2e-7665-4205-a382-14081c69a258"]}],"mendeley":{"formattedCitation":"(Thomas et al., 2006)","plainTextFormattedCitation":"(Thomas et al., 2006)","previouslyFormattedCitation":"(Thomas et al., 2006)"},"properties":{"noteIndex":0},"schema":"https://github.com/citation-style-language/schema/raw/master/csl-citation.json"}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(Thomas et al., 2006)</w:t>
            </w:r>
            <w:r w:rsidRPr="006C34E3">
              <w:rPr>
                <w:rFonts w:eastAsia="Times New Roman" w:cs="Times New Roman"/>
                <w:color w:val="000000"/>
                <w:sz w:val="16"/>
                <w:szCs w:val="16"/>
              </w:rPr>
              <w:fldChar w:fldCharType="end"/>
            </w:r>
          </w:p>
        </w:tc>
      </w:tr>
      <w:tr w:rsidR="00F90100" w:rsidRPr="006C34E3" w14:paraId="4589DF44" w14:textId="77777777" w:rsidTr="00C662E9">
        <w:trPr>
          <w:trHeight w:val="288"/>
        </w:trPr>
        <w:tc>
          <w:tcPr>
            <w:tcW w:w="6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EFF92"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selw</w:t>
            </w:r>
          </w:p>
        </w:tc>
        <w:tc>
          <w:tcPr>
            <w:tcW w:w="720" w:type="dxa"/>
            <w:tcBorders>
              <w:top w:val="nil"/>
              <w:left w:val="nil"/>
              <w:bottom w:val="single" w:sz="4" w:space="0" w:color="auto"/>
              <w:right w:val="single" w:sz="4" w:space="0" w:color="auto"/>
            </w:tcBorders>
            <w:shd w:val="clear" w:color="auto" w:fill="auto"/>
            <w:noWrap/>
            <w:vAlign w:val="center"/>
            <w:hideMark/>
          </w:tcPr>
          <w:p w14:paraId="7DAF7C5F"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selw-1</w:t>
            </w:r>
          </w:p>
        </w:tc>
        <w:tc>
          <w:tcPr>
            <w:tcW w:w="3690" w:type="dxa"/>
            <w:tcBorders>
              <w:top w:val="nil"/>
              <w:left w:val="nil"/>
              <w:bottom w:val="single" w:sz="4" w:space="0" w:color="auto"/>
              <w:right w:val="single" w:sz="4" w:space="0" w:color="auto"/>
            </w:tcBorders>
            <w:shd w:val="clear" w:color="auto" w:fill="auto"/>
            <w:noWrap/>
            <w:vAlign w:val="center"/>
            <w:hideMark/>
          </w:tcPr>
          <w:p w14:paraId="50433DE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GGA ATT TTT ACA AAT TCA GCG</w:t>
            </w:r>
          </w:p>
        </w:tc>
        <w:tc>
          <w:tcPr>
            <w:tcW w:w="3780" w:type="dxa"/>
            <w:tcBorders>
              <w:top w:val="nil"/>
              <w:left w:val="nil"/>
              <w:bottom w:val="single" w:sz="4" w:space="0" w:color="auto"/>
              <w:right w:val="single" w:sz="4" w:space="0" w:color="auto"/>
            </w:tcBorders>
            <w:shd w:val="clear" w:color="auto" w:fill="auto"/>
            <w:noWrap/>
            <w:vAlign w:val="center"/>
            <w:hideMark/>
          </w:tcPr>
          <w:p w14:paraId="3EAB78D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CTA CAT TGC GTT TTA TTG GTT G</w:t>
            </w:r>
          </w:p>
        </w:tc>
        <w:tc>
          <w:tcPr>
            <w:tcW w:w="1620" w:type="dxa"/>
            <w:tcBorders>
              <w:top w:val="nil"/>
              <w:left w:val="nil"/>
              <w:bottom w:val="single" w:sz="4" w:space="0" w:color="auto"/>
              <w:right w:val="single" w:sz="4" w:space="0" w:color="auto"/>
            </w:tcBorders>
            <w:shd w:val="clear" w:color="auto" w:fill="auto"/>
            <w:noWrap/>
            <w:vAlign w:val="center"/>
            <w:hideMark/>
          </w:tcPr>
          <w:p w14:paraId="53480F2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323</w:t>
            </w:r>
          </w:p>
        </w:tc>
        <w:tc>
          <w:tcPr>
            <w:tcW w:w="1620" w:type="dxa"/>
            <w:tcBorders>
              <w:top w:val="nil"/>
              <w:left w:val="nil"/>
              <w:bottom w:val="single" w:sz="4" w:space="0" w:color="auto"/>
              <w:right w:val="single" w:sz="4" w:space="0" w:color="auto"/>
            </w:tcBorders>
            <w:shd w:val="clear" w:color="auto" w:fill="auto"/>
            <w:noWrap/>
            <w:vAlign w:val="center"/>
            <w:hideMark/>
          </w:tcPr>
          <w:p w14:paraId="0E7AEBDF"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1CB7782C" w14:textId="0BEFC1E9"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{"citationItems":[{"id":"ITEM-1","itemData":{"DOI":"10.3390/toxins9080241","ISSN":"20726651","PMID":"28777321","abstract":"Asymptomatic carriers of toxigenic Staphylococcus aureus are potential source of diseases, including food poisoning. Toxigenic potential and genetic traits of colonizing S. aureus were investigated for 563 healthy food handlers in Myanmar. Carriage of S. aureus was found in 110 individuals (19.5%), and a total of 144 S. aureus isolates were recovered from nasal cavities (110 isolates) and hands (34 isolates). Panton-Valentine leucocidin genes (pvl) were detected in 18 isolates (12.5%), among which 11 isolates were classified into coa-VIa, agr type III, and ST1930 (CC96) that had been also detected in pvl-positive clinical isolates in Myanmar. A pvl-positive, ST2250 nasal isolate was identified as S. argenteus, a novel coagulase-positive staphylococcus species. Toxic shock syndrome toxin-1 (TSST-1) gene was detected in five pvl-negative isolates. All of the 144 isolates harbored at least one of the 21 enterotoxin(-like) gene(s). The most prevalent enterotoxin(-like) gene was selw (98%), followed by selx (97%), sei (28%), sely (28%), sem (26%), sel (24%), and sea and sec (22% each). Considerable genetic diversity with five groups was detected for selw. The present study revealed the relatively high rate of pvl, as well as the wide distribution of enterotoxin(-like) genes among colonizing S. aureus in Myanmar.","author":[{"dropping-particle":"","family":"Aung","given":"Meiji Soe","non-dropping-particle":"","parse-names":false,"suffix":""},{"dropping-particle":"","family":"San","given":"Thida","non-dropping-particle":"","parse-names":false,"suffix":""},{"dropping-particle":"","family":"Aye","given":"Mya Mya","non-dropping-particle":"","parse-names":false,"suffix":""},{"dropping-particle":"","family":"Mya","given":"San","non-dropping-particle":"","parse-names":false,"suffix":""},{"dropping-particle":"","family":"Maw","given":"Win Win","non-dropping-particle":"","parse-names":false,"suffix":""},{"dropping-particle":"","family":"Zan","given":"Khin Nyein","non-dropping-particle":"","parse-names":false,"suffix":""},{"dropping-particle":"","family":"Htut","given":"Wut Hmone Win","non-dropping-particle":"","parse-names":false,"suffix":""},{"dropping-particle":"","family":"Kawaguchiya","given":"Mitsuyo","non-dropping-particle":"","parse-names":false,"suffix":""},{"dropping-particle":"","family":"Urushibara","given":"Noriko","non-dropping-particle":"","parse-names":false,"suffix":""},{"dropping-particle":"","family":"Kobayashi","given":"Nobumichi","non-dropping-particle":"","parse-names":false,"suffix":""}],"container-title":"Toxins","id":"ITEM-1","issue":"8","issued":{"date-parts":[["2017"]]},"page":"1-13","title":"Prevalence and genetic characteristics of Staphylococcus aureus and Staphylococcus argenteus isolates harboring panton-valentine leukocidin, enterotoxins, and TSST-1 genes from food handlers in Myanmar","type":"article-journal","volume":"9"},"uris":["http://www.mendeley.com/documents/?uuid=3720e6ae-e442-47a0-8cb5-e9425d704344"]}],"mendeley":{"formattedCitation":"(Aung et al., 2017)","plainTextFormattedCitation":"(Aung et al., 2017)","previouslyFormattedCitation":"(Aung et al., 2017)"},"properties":{"noteIndex":0},"schema":"https://github.com/citation-style-language/schema/raw/master/csl-citation.json"}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2017)</w:t>
            </w:r>
            <w:r w:rsidRPr="006C34E3">
              <w:rPr>
                <w:rFonts w:eastAsia="Times New Roman" w:cs="Times New Roman"/>
                <w:color w:val="000000"/>
                <w:sz w:val="16"/>
                <w:szCs w:val="16"/>
              </w:rPr>
              <w:fldChar w:fldCharType="end"/>
            </w:r>
          </w:p>
        </w:tc>
      </w:tr>
      <w:tr w:rsidR="00F90100" w:rsidRPr="006C34E3" w14:paraId="0B621CF6" w14:textId="77777777" w:rsidTr="00C662E9">
        <w:trPr>
          <w:trHeight w:val="288"/>
        </w:trPr>
        <w:tc>
          <w:tcPr>
            <w:tcW w:w="630" w:type="dxa"/>
            <w:vMerge/>
            <w:tcBorders>
              <w:top w:val="single" w:sz="4" w:space="0" w:color="auto"/>
              <w:left w:val="single" w:sz="4" w:space="0" w:color="auto"/>
              <w:bottom w:val="single" w:sz="4" w:space="0" w:color="auto"/>
              <w:right w:val="single" w:sz="4" w:space="0" w:color="auto"/>
            </w:tcBorders>
            <w:vAlign w:val="center"/>
            <w:hideMark/>
          </w:tcPr>
          <w:p w14:paraId="5546FEC8"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FA918A6"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selw-2</w:t>
            </w:r>
          </w:p>
        </w:tc>
        <w:tc>
          <w:tcPr>
            <w:tcW w:w="3690" w:type="dxa"/>
            <w:tcBorders>
              <w:top w:val="nil"/>
              <w:left w:val="nil"/>
              <w:bottom w:val="single" w:sz="4" w:space="0" w:color="auto"/>
              <w:right w:val="single" w:sz="4" w:space="0" w:color="auto"/>
            </w:tcBorders>
            <w:shd w:val="clear" w:color="auto" w:fill="auto"/>
            <w:noWrap/>
            <w:vAlign w:val="center"/>
            <w:hideMark/>
          </w:tcPr>
          <w:p w14:paraId="3523518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TTG TTT TGG GGG AGT TTG AAG</w:t>
            </w:r>
          </w:p>
        </w:tc>
        <w:tc>
          <w:tcPr>
            <w:tcW w:w="3780" w:type="dxa"/>
            <w:tcBorders>
              <w:top w:val="nil"/>
              <w:left w:val="nil"/>
              <w:bottom w:val="single" w:sz="4" w:space="0" w:color="auto"/>
              <w:right w:val="single" w:sz="4" w:space="0" w:color="auto"/>
            </w:tcBorders>
            <w:shd w:val="clear" w:color="auto" w:fill="auto"/>
            <w:noWrap/>
            <w:vAlign w:val="center"/>
            <w:hideMark/>
          </w:tcPr>
          <w:p w14:paraId="26FC5F5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GTC AAA GAT TAT TAA TGA TTA AC</w:t>
            </w:r>
          </w:p>
        </w:tc>
        <w:tc>
          <w:tcPr>
            <w:tcW w:w="1620" w:type="dxa"/>
            <w:tcBorders>
              <w:top w:val="nil"/>
              <w:left w:val="nil"/>
              <w:bottom w:val="single" w:sz="4" w:space="0" w:color="auto"/>
              <w:right w:val="single" w:sz="4" w:space="0" w:color="auto"/>
            </w:tcBorders>
            <w:shd w:val="clear" w:color="auto" w:fill="auto"/>
            <w:noWrap/>
            <w:vAlign w:val="center"/>
            <w:hideMark/>
          </w:tcPr>
          <w:p w14:paraId="3AE38E7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 800</w:t>
            </w:r>
          </w:p>
        </w:tc>
        <w:tc>
          <w:tcPr>
            <w:tcW w:w="1620" w:type="dxa"/>
            <w:tcBorders>
              <w:top w:val="nil"/>
              <w:left w:val="nil"/>
              <w:bottom w:val="single" w:sz="4" w:space="0" w:color="auto"/>
              <w:right w:val="single" w:sz="4" w:space="0" w:color="auto"/>
            </w:tcBorders>
            <w:shd w:val="clear" w:color="auto" w:fill="auto"/>
            <w:noWrap/>
            <w:vAlign w:val="center"/>
            <w:hideMark/>
          </w:tcPr>
          <w:p w14:paraId="46DE161F"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hideMark/>
          </w:tcPr>
          <w:p w14:paraId="51036C64" w14:textId="3B4539EE"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6CCD9022" w14:textId="77777777" w:rsidTr="00C662E9">
        <w:trPr>
          <w:trHeight w:val="288"/>
        </w:trPr>
        <w:tc>
          <w:tcPr>
            <w:tcW w:w="630" w:type="dxa"/>
            <w:vMerge/>
            <w:tcBorders>
              <w:top w:val="single" w:sz="4" w:space="0" w:color="auto"/>
              <w:left w:val="single" w:sz="4" w:space="0" w:color="auto"/>
              <w:bottom w:val="single" w:sz="4" w:space="0" w:color="auto"/>
              <w:right w:val="single" w:sz="4" w:space="0" w:color="auto"/>
            </w:tcBorders>
            <w:vAlign w:val="center"/>
            <w:hideMark/>
          </w:tcPr>
          <w:p w14:paraId="4DFDBAAB"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19EF1FE5"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selw-3</w:t>
            </w:r>
          </w:p>
        </w:tc>
        <w:tc>
          <w:tcPr>
            <w:tcW w:w="3690" w:type="dxa"/>
            <w:tcBorders>
              <w:top w:val="nil"/>
              <w:left w:val="nil"/>
              <w:bottom w:val="single" w:sz="4" w:space="0" w:color="auto"/>
              <w:right w:val="single" w:sz="4" w:space="0" w:color="auto"/>
            </w:tcBorders>
            <w:shd w:val="clear" w:color="auto" w:fill="auto"/>
            <w:noWrap/>
            <w:vAlign w:val="center"/>
            <w:hideMark/>
          </w:tcPr>
          <w:p w14:paraId="05A74BA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TTG TTT TGG GGG AGT TTG AAG</w:t>
            </w:r>
          </w:p>
        </w:tc>
        <w:tc>
          <w:tcPr>
            <w:tcW w:w="3780" w:type="dxa"/>
            <w:tcBorders>
              <w:top w:val="nil"/>
              <w:left w:val="nil"/>
              <w:bottom w:val="single" w:sz="4" w:space="0" w:color="auto"/>
              <w:right w:val="single" w:sz="4" w:space="0" w:color="auto"/>
            </w:tcBorders>
            <w:shd w:val="clear" w:color="auto" w:fill="auto"/>
            <w:noWrap/>
            <w:vAlign w:val="center"/>
            <w:hideMark/>
          </w:tcPr>
          <w:p w14:paraId="7E0D95E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ACT TTA TAT TTC ACT GTC AAA G</w:t>
            </w:r>
          </w:p>
        </w:tc>
        <w:tc>
          <w:tcPr>
            <w:tcW w:w="1620" w:type="dxa"/>
            <w:tcBorders>
              <w:top w:val="nil"/>
              <w:left w:val="nil"/>
              <w:bottom w:val="single" w:sz="4" w:space="0" w:color="auto"/>
              <w:right w:val="single" w:sz="4" w:space="0" w:color="auto"/>
            </w:tcBorders>
            <w:shd w:val="clear" w:color="auto" w:fill="auto"/>
            <w:noWrap/>
            <w:vAlign w:val="center"/>
            <w:hideMark/>
          </w:tcPr>
          <w:p w14:paraId="6A3DFD5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 800</w:t>
            </w:r>
          </w:p>
        </w:tc>
        <w:tc>
          <w:tcPr>
            <w:tcW w:w="1620" w:type="dxa"/>
            <w:tcBorders>
              <w:top w:val="nil"/>
              <w:left w:val="nil"/>
              <w:bottom w:val="single" w:sz="4" w:space="0" w:color="auto"/>
              <w:right w:val="single" w:sz="4" w:space="0" w:color="auto"/>
            </w:tcBorders>
            <w:shd w:val="clear" w:color="auto" w:fill="auto"/>
            <w:noWrap/>
            <w:vAlign w:val="center"/>
            <w:hideMark/>
          </w:tcPr>
          <w:p w14:paraId="672CD4D6"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auto"/>
            <w:noWrap/>
            <w:hideMark/>
          </w:tcPr>
          <w:p w14:paraId="3DEDF49A" w14:textId="59A5B9E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3C3D2C27" w14:textId="77777777" w:rsidTr="00C662E9">
        <w:trPr>
          <w:trHeight w:val="288"/>
        </w:trPr>
        <w:tc>
          <w:tcPr>
            <w:tcW w:w="630" w:type="dxa"/>
            <w:vMerge/>
            <w:tcBorders>
              <w:top w:val="single" w:sz="4" w:space="0" w:color="auto"/>
              <w:left w:val="single" w:sz="4" w:space="0" w:color="auto"/>
              <w:bottom w:val="single" w:sz="4" w:space="0" w:color="auto"/>
              <w:right w:val="single" w:sz="4" w:space="0" w:color="auto"/>
            </w:tcBorders>
            <w:vAlign w:val="center"/>
            <w:hideMark/>
          </w:tcPr>
          <w:p w14:paraId="251F608A"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3FC74F1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selw-4</w:t>
            </w:r>
          </w:p>
        </w:tc>
        <w:tc>
          <w:tcPr>
            <w:tcW w:w="3690" w:type="dxa"/>
            <w:tcBorders>
              <w:top w:val="nil"/>
              <w:left w:val="nil"/>
              <w:bottom w:val="single" w:sz="4" w:space="0" w:color="auto"/>
              <w:right w:val="single" w:sz="4" w:space="0" w:color="auto"/>
            </w:tcBorders>
            <w:shd w:val="clear" w:color="auto" w:fill="auto"/>
            <w:noWrap/>
            <w:vAlign w:val="center"/>
            <w:hideMark/>
          </w:tcPr>
          <w:p w14:paraId="5C32381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ATT TTT ACA AAT TCA GCG AGT</w:t>
            </w:r>
          </w:p>
        </w:tc>
        <w:tc>
          <w:tcPr>
            <w:tcW w:w="3780" w:type="dxa"/>
            <w:tcBorders>
              <w:top w:val="nil"/>
              <w:left w:val="nil"/>
              <w:bottom w:val="single" w:sz="4" w:space="0" w:color="auto"/>
              <w:right w:val="single" w:sz="4" w:space="0" w:color="auto"/>
            </w:tcBorders>
            <w:shd w:val="clear" w:color="auto" w:fill="auto"/>
            <w:noWrap/>
            <w:vAlign w:val="center"/>
            <w:hideMark/>
          </w:tcPr>
          <w:p w14:paraId="0D9DB0A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TAA CAC CAC CAT AAC TAC AT</w:t>
            </w:r>
          </w:p>
        </w:tc>
        <w:tc>
          <w:tcPr>
            <w:tcW w:w="1620" w:type="dxa"/>
            <w:tcBorders>
              <w:top w:val="nil"/>
              <w:left w:val="nil"/>
              <w:bottom w:val="single" w:sz="4" w:space="0" w:color="auto"/>
              <w:right w:val="single" w:sz="4" w:space="0" w:color="auto"/>
            </w:tcBorders>
            <w:shd w:val="clear" w:color="auto" w:fill="auto"/>
            <w:noWrap/>
            <w:vAlign w:val="center"/>
            <w:hideMark/>
          </w:tcPr>
          <w:p w14:paraId="758FC824"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334</w:t>
            </w:r>
          </w:p>
        </w:tc>
        <w:tc>
          <w:tcPr>
            <w:tcW w:w="1620" w:type="dxa"/>
            <w:tcBorders>
              <w:top w:val="nil"/>
              <w:left w:val="nil"/>
              <w:bottom w:val="single" w:sz="4" w:space="0" w:color="auto"/>
              <w:right w:val="single" w:sz="4" w:space="0" w:color="auto"/>
            </w:tcBorders>
            <w:shd w:val="clear" w:color="auto" w:fill="auto"/>
            <w:noWrap/>
            <w:vAlign w:val="center"/>
            <w:hideMark/>
          </w:tcPr>
          <w:p w14:paraId="27FE117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58F14DA9" w14:textId="20D8B7A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5BF51025" w14:textId="77777777" w:rsidTr="00C662E9">
        <w:trPr>
          <w:trHeight w:val="288"/>
        </w:trPr>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D3B341"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selx</w:t>
            </w:r>
          </w:p>
        </w:tc>
        <w:tc>
          <w:tcPr>
            <w:tcW w:w="720" w:type="dxa"/>
            <w:tcBorders>
              <w:top w:val="nil"/>
              <w:left w:val="nil"/>
              <w:bottom w:val="single" w:sz="4" w:space="0" w:color="auto"/>
              <w:right w:val="single" w:sz="4" w:space="0" w:color="auto"/>
            </w:tcBorders>
            <w:shd w:val="clear" w:color="auto" w:fill="F3FF85"/>
            <w:noWrap/>
            <w:vAlign w:val="center"/>
            <w:hideMark/>
          </w:tcPr>
          <w:p w14:paraId="01908B5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selx-1</w:t>
            </w:r>
          </w:p>
        </w:tc>
        <w:tc>
          <w:tcPr>
            <w:tcW w:w="3690" w:type="dxa"/>
            <w:tcBorders>
              <w:top w:val="nil"/>
              <w:left w:val="nil"/>
              <w:bottom w:val="single" w:sz="4" w:space="0" w:color="auto"/>
              <w:right w:val="single" w:sz="4" w:space="0" w:color="auto"/>
            </w:tcBorders>
            <w:shd w:val="clear" w:color="auto" w:fill="F3FF85"/>
            <w:noWrap/>
            <w:vAlign w:val="center"/>
            <w:hideMark/>
          </w:tcPr>
          <w:p w14:paraId="213E9AC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GTC CAA TTA TGT GTA GAC GA</w:t>
            </w:r>
          </w:p>
        </w:tc>
        <w:tc>
          <w:tcPr>
            <w:tcW w:w="3780" w:type="dxa"/>
            <w:tcBorders>
              <w:top w:val="nil"/>
              <w:left w:val="nil"/>
              <w:bottom w:val="single" w:sz="4" w:space="0" w:color="auto"/>
              <w:right w:val="single" w:sz="4" w:space="0" w:color="auto"/>
            </w:tcBorders>
            <w:shd w:val="clear" w:color="auto" w:fill="F3FF85"/>
            <w:noWrap/>
            <w:vAlign w:val="center"/>
            <w:hideMark/>
          </w:tcPr>
          <w:p w14:paraId="79C51FD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TTT TCT ATA TGA TGG TGC T</w:t>
            </w:r>
          </w:p>
        </w:tc>
        <w:tc>
          <w:tcPr>
            <w:tcW w:w="1620" w:type="dxa"/>
            <w:tcBorders>
              <w:top w:val="nil"/>
              <w:left w:val="nil"/>
              <w:bottom w:val="single" w:sz="4" w:space="0" w:color="auto"/>
              <w:right w:val="single" w:sz="4" w:space="0" w:color="auto"/>
            </w:tcBorders>
            <w:shd w:val="clear" w:color="auto" w:fill="F3FF85"/>
            <w:noWrap/>
            <w:vAlign w:val="center"/>
            <w:hideMark/>
          </w:tcPr>
          <w:p w14:paraId="1A631BA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 900</w:t>
            </w:r>
          </w:p>
        </w:tc>
        <w:tc>
          <w:tcPr>
            <w:tcW w:w="1620" w:type="dxa"/>
            <w:tcBorders>
              <w:top w:val="nil"/>
              <w:left w:val="nil"/>
              <w:bottom w:val="single" w:sz="4" w:space="0" w:color="auto"/>
              <w:right w:val="single" w:sz="4" w:space="0" w:color="auto"/>
            </w:tcBorders>
            <w:shd w:val="clear" w:color="auto" w:fill="F3FF85"/>
            <w:noWrap/>
            <w:vAlign w:val="center"/>
            <w:hideMark/>
          </w:tcPr>
          <w:p w14:paraId="67290C91" w14:textId="77777777" w:rsidR="00F90100" w:rsidRPr="006C34E3" w:rsidRDefault="00F90100" w:rsidP="00F90100">
            <w:pPr>
              <w:spacing w:before="0" w:after="0"/>
              <w:jc w:val="center"/>
              <w:rPr>
                <w:rFonts w:eastAsia="Times New Roman" w:cs="Times New Roman"/>
                <w:sz w:val="16"/>
                <w:szCs w:val="16"/>
              </w:rPr>
            </w:pPr>
          </w:p>
        </w:tc>
        <w:tc>
          <w:tcPr>
            <w:tcW w:w="1530" w:type="dxa"/>
            <w:tcBorders>
              <w:top w:val="nil"/>
              <w:left w:val="nil"/>
              <w:bottom w:val="single" w:sz="4" w:space="0" w:color="auto"/>
              <w:right w:val="single" w:sz="4" w:space="0" w:color="auto"/>
            </w:tcBorders>
            <w:shd w:val="clear" w:color="auto" w:fill="F3FF85"/>
            <w:noWrap/>
            <w:vAlign w:val="center"/>
            <w:hideMark/>
          </w:tcPr>
          <w:p w14:paraId="2CD3FF47" w14:textId="27DBBE0C"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1D397ECA" w14:textId="77777777" w:rsidTr="00C662E9">
        <w:trPr>
          <w:trHeight w:val="288"/>
        </w:trPr>
        <w:tc>
          <w:tcPr>
            <w:tcW w:w="630" w:type="dxa"/>
            <w:vMerge/>
            <w:tcBorders>
              <w:top w:val="nil"/>
              <w:left w:val="single" w:sz="4" w:space="0" w:color="auto"/>
              <w:bottom w:val="single" w:sz="4" w:space="0" w:color="000000"/>
              <w:right w:val="single" w:sz="4" w:space="0" w:color="auto"/>
            </w:tcBorders>
            <w:vAlign w:val="center"/>
            <w:hideMark/>
          </w:tcPr>
          <w:p w14:paraId="637954F9"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0BDC62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selx-2</w:t>
            </w:r>
          </w:p>
        </w:tc>
        <w:tc>
          <w:tcPr>
            <w:tcW w:w="3690" w:type="dxa"/>
            <w:tcBorders>
              <w:top w:val="nil"/>
              <w:left w:val="nil"/>
              <w:bottom w:val="single" w:sz="4" w:space="0" w:color="auto"/>
              <w:right w:val="single" w:sz="4" w:space="0" w:color="auto"/>
            </w:tcBorders>
            <w:shd w:val="clear" w:color="auto" w:fill="auto"/>
            <w:noWrap/>
            <w:vAlign w:val="center"/>
            <w:hideMark/>
          </w:tcPr>
          <w:p w14:paraId="4B66822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AGC AGA CGC GTC AAC ACA AA</w:t>
            </w:r>
          </w:p>
        </w:tc>
        <w:tc>
          <w:tcPr>
            <w:tcW w:w="3780" w:type="dxa"/>
            <w:tcBorders>
              <w:top w:val="nil"/>
              <w:left w:val="nil"/>
              <w:bottom w:val="single" w:sz="4" w:space="0" w:color="auto"/>
              <w:right w:val="single" w:sz="4" w:space="0" w:color="auto"/>
            </w:tcBorders>
            <w:shd w:val="clear" w:color="auto" w:fill="auto"/>
            <w:noWrap/>
            <w:vAlign w:val="center"/>
            <w:hideMark/>
          </w:tcPr>
          <w:p w14:paraId="369C0BC7"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ACT TGT TCA ATG TCA TTA ACA CTT TTC AC</w:t>
            </w:r>
          </w:p>
        </w:tc>
        <w:tc>
          <w:tcPr>
            <w:tcW w:w="1620" w:type="dxa"/>
            <w:tcBorders>
              <w:top w:val="nil"/>
              <w:left w:val="nil"/>
              <w:bottom w:val="single" w:sz="4" w:space="0" w:color="auto"/>
              <w:right w:val="single" w:sz="4" w:space="0" w:color="auto"/>
            </w:tcBorders>
            <w:shd w:val="clear" w:color="auto" w:fill="auto"/>
            <w:noWrap/>
            <w:vAlign w:val="center"/>
            <w:hideMark/>
          </w:tcPr>
          <w:p w14:paraId="1B7CA39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513</w:t>
            </w:r>
          </w:p>
        </w:tc>
        <w:tc>
          <w:tcPr>
            <w:tcW w:w="1620" w:type="dxa"/>
            <w:tcBorders>
              <w:top w:val="nil"/>
              <w:left w:val="nil"/>
              <w:bottom w:val="single" w:sz="4" w:space="0" w:color="auto"/>
              <w:right w:val="single" w:sz="4" w:space="0" w:color="auto"/>
            </w:tcBorders>
            <w:shd w:val="clear" w:color="auto" w:fill="auto"/>
            <w:noWrap/>
            <w:vAlign w:val="center"/>
            <w:hideMark/>
          </w:tcPr>
          <w:p w14:paraId="179BB617"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4BA53D9D" w14:textId="0F715D81"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{"citationItems":[{"id":"ITEM-1","itemData":{"DOI":"10.1371/journal.ppat.1002271","ISSN":"15537366","PMID":"22022262","abstract":"Bacterial superantigens (SAg) stimulate T-cell hyper-activation resulting in immune modulation and severe systemic illnesses such as Staphylococcus aureus toxic shock syndrome. However, all known S. aureus SAgs are encoded by mobile genetic elements and are made by only a proportion of strains. Here, we report the discovery of a novel SAg staphylococcal enterotoxin-like toxin X (SElX) encoded in the core genome of 95% of phylogenetically diverse S. aureus strains from human and animal infections, including the epidemic community-associated methicillin-resistant S. aureus (CA-MRSA) USA300 clone. SElX has a unique predicted structure characterized by a truncated SAg B-domain, but exhibits the characteristic biological activities of a SAg including Vβ-specific T-cell mitogenicity, pyrogenicity and endotoxin enhancement. In addition, SElX is expressed by clinical isolates in vitro, and during human, bovine, and ovine infections, consistent with a broad role in S. aureus infections of multiple host species. Phylogenetic analysis suggests that the selx gene was acquired horizontally by a progenitor of the S. aureus species, followed by allelic diversification by point mutation and assortative recombination resulting in at least 17 different alleles among the major pathogenic clones. Of note, SElX variants made by human- or ruminant-specific S. aureus clones demonstrated overlapping but distinct Vβ activation profiles for human and bovine lymphocytes, indicating functional diversification of SElX in different host species. Importantly, SElX made by CA-MRSA USA300 contributed to lethality in a rabbit model of necrotizing pneumonia revealing a novel virulence determinant of CA-MRSA disease pathogenesis. Taken together, we report the discovery and characterization of a unique core genome-encoded superantigen, providing new insights into the evolution of pathogenic S. aureus and the molecular basis for severe infections caused by the CA-MRSA USA300 epidemic clone. © 2011 Wilson et al.","author":[{"dropping-particle":"","family":"Wilson","given":"Gillian J.","non-dropping-particle":"","parse-names":false,"suffix":""},{"dropping-particle":"","family":"Seo","given":"Keun Seok","non-dropping-particle":"","parse-names":false,"suffix":""},{"dropping-particle":"","family":"Cartwright","given":"Robyn A.","non-dropping-particle":"","parse-names":false,"suffix":""},{"dropping-particle":"","family":"Connelley","given":"Timothy","non-dropping-particle":"","parse-names":false,"suffix":""},{"dropping-particle":"","family":"Chuang-Smith","given":"Olivia N.","non-dropping-particle":"","parse-names":false,"suffix":""},{"dropping-particle":"","family":"Merriman","given":"Joseph A.","non-dropping-particle":"","parse-names":false,"suffix":""},{"dropping-particle":"","family":"Guinane","given":"Caitriona M.","non-dropping-particle":"","parse-names":false,"suffix":""},{"dropping-particle":"","family":"Park","given":"Joo Youn","non-dropping-particle":"","parse-names":false,"suffix":""},{"dropping-particle":"","family":"Bohach","given":"Gregory A.","non-dropping-particle":"","parse-names":false,"suffix":""},{"dropping-particle":"","family":"Schlievert","given":"Patrick M.","non-dropping-particle":"","parse-names":false,"suffix":""},{"dropping-particle":"","family":"Morrison","given":"W. Ivan","non-dropping-particle":"","parse-names":false,"suffix":""},{"dropping-particle":"","family":"Fitzgerald","given":"J. Ross","non-dropping-particle":"","parse-names":false,"suffix":""}],"container-title":"PLoS Pathogens","id":"ITEM-1","issue":"10","issued":{"date-parts":[["2011"]]},"title":"A novel core genome-encoded superantigen contributes to lethality of community-associated MRSA necrotizing pneumonia","type":"article-journal","volume":"7"},"uris":["http://www.mendeley.com/documents/?uuid=f811439f-468e-4179-9dc3-d006e365ee41"]}],"mendeley":{"formattedCitation":"(Wilson et al., 2011)","plainTextFormattedCitation":"(Wilson et al., 2011)","previouslyFormattedCitation":"(Wilson et al., 2011)"},"properties":{"noteIndex":0},"schema":"https://github.com/citation-style-language/schema/raw/master/csl-citation.json"}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(Wilson et al., 2011)</w:t>
            </w:r>
            <w:r w:rsidRPr="006C34E3">
              <w:rPr>
                <w:rFonts w:eastAsia="Times New Roman" w:cs="Times New Roman"/>
                <w:color w:val="000000"/>
                <w:sz w:val="16"/>
                <w:szCs w:val="16"/>
              </w:rPr>
              <w:fldChar w:fldCharType="end"/>
            </w:r>
          </w:p>
        </w:tc>
      </w:tr>
      <w:tr w:rsidR="00F90100" w:rsidRPr="006C34E3" w14:paraId="31477401" w14:textId="77777777" w:rsidTr="00C662E9">
        <w:trPr>
          <w:trHeight w:val="288"/>
        </w:trPr>
        <w:tc>
          <w:tcPr>
            <w:tcW w:w="630" w:type="dxa"/>
            <w:vMerge/>
            <w:tcBorders>
              <w:top w:val="nil"/>
              <w:left w:val="single" w:sz="4" w:space="0" w:color="auto"/>
              <w:bottom w:val="single" w:sz="4" w:space="0" w:color="000000"/>
              <w:right w:val="single" w:sz="4" w:space="0" w:color="auto"/>
            </w:tcBorders>
            <w:vAlign w:val="center"/>
            <w:hideMark/>
          </w:tcPr>
          <w:p w14:paraId="41C1BB3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auto" w:fill="F3FF85"/>
            <w:noWrap/>
            <w:vAlign w:val="center"/>
            <w:hideMark/>
          </w:tcPr>
          <w:p w14:paraId="4036F5E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selx-3</w:t>
            </w:r>
          </w:p>
        </w:tc>
        <w:tc>
          <w:tcPr>
            <w:tcW w:w="3690" w:type="dxa"/>
            <w:tcBorders>
              <w:top w:val="nil"/>
              <w:left w:val="nil"/>
              <w:bottom w:val="single" w:sz="4" w:space="0" w:color="auto"/>
              <w:right w:val="single" w:sz="4" w:space="0" w:color="auto"/>
            </w:tcBorders>
            <w:shd w:val="clear" w:color="auto" w:fill="F3FF85"/>
            <w:noWrap/>
            <w:vAlign w:val="center"/>
            <w:hideMark/>
          </w:tcPr>
          <w:p w14:paraId="17858EF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TTA CGA TAG ATA CAG CAA GG</w:t>
            </w:r>
          </w:p>
        </w:tc>
        <w:tc>
          <w:tcPr>
            <w:tcW w:w="3780" w:type="dxa"/>
            <w:tcBorders>
              <w:top w:val="nil"/>
              <w:left w:val="nil"/>
              <w:bottom w:val="single" w:sz="4" w:space="0" w:color="auto"/>
              <w:right w:val="single" w:sz="4" w:space="0" w:color="auto"/>
            </w:tcBorders>
            <w:shd w:val="clear" w:color="auto" w:fill="F3FF85"/>
            <w:noWrap/>
            <w:vAlign w:val="center"/>
            <w:hideMark/>
          </w:tcPr>
          <w:p w14:paraId="79CA7BF5"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TGT CAT TAA CAC TTT TCA CAA</w:t>
            </w:r>
          </w:p>
        </w:tc>
        <w:tc>
          <w:tcPr>
            <w:tcW w:w="1620" w:type="dxa"/>
            <w:tcBorders>
              <w:top w:val="nil"/>
              <w:left w:val="nil"/>
              <w:bottom w:val="single" w:sz="4" w:space="0" w:color="auto"/>
              <w:right w:val="single" w:sz="4" w:space="0" w:color="auto"/>
            </w:tcBorders>
            <w:shd w:val="clear" w:color="auto" w:fill="F3FF85"/>
            <w:noWrap/>
            <w:vAlign w:val="center"/>
            <w:hideMark/>
          </w:tcPr>
          <w:p w14:paraId="68026B3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w:t>
            </w:r>
            <w:r w:rsidRPr="006C34E3">
              <w:rPr>
                <w:rFonts w:eastAsia="Times New Roman" w:cs="Times New Roman"/>
                <w:color w:val="5B9BD5"/>
                <w:sz w:val="16"/>
                <w:szCs w:val="16"/>
              </w:rPr>
              <w:t>401</w:t>
            </w:r>
          </w:p>
        </w:tc>
        <w:tc>
          <w:tcPr>
            <w:tcW w:w="1620" w:type="dxa"/>
            <w:tcBorders>
              <w:top w:val="nil"/>
              <w:left w:val="nil"/>
              <w:bottom w:val="single" w:sz="4" w:space="0" w:color="auto"/>
              <w:right w:val="single" w:sz="4" w:space="0" w:color="auto"/>
            </w:tcBorders>
            <w:shd w:val="clear" w:color="auto" w:fill="F3FF85"/>
            <w:noWrap/>
            <w:vAlign w:val="center"/>
            <w:hideMark/>
          </w:tcPr>
          <w:p w14:paraId="3FD86869" w14:textId="77777777"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F3FF85"/>
            <w:noWrap/>
            <w:vAlign w:val="center"/>
            <w:hideMark/>
          </w:tcPr>
          <w:p w14:paraId="6C2A63E7" w14:textId="4D73833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{"citationItems":[{"id":"ITEM-1","itemData":{"DOI":"10.1186/s12866-016-0630-x","ISBN":"1286601606","ISSN":"14712180","PMID":"26830934","abstract":"Background: Nosocomial infections caused by the bacterial pathogen Staphylococcus aureus can lead to serious complications due to the varying presence of secreted toxins. Comparative studies of genomic information and production rates are needed to assess the pathogenic potential of isolated strains. Genotypic and phenotypic profiling of clinical and colonising isolates of S. aureus was used to characterise the release of exotoxins. Blood isolates were compared with colonisation strains to determine similarities and differences of single strains and clusters. Results: Fifty-one fresh isolates obtained from colonised individuals (n = 29) and S. aureus bacteremia (SAB) patients (n = 22) were investigated. The prevalence of genes encoding for three cytolysins (alpha/beta/gamma toxin) and twenty-four superantigens (SEA-SElX) was determined. Isolates exhibited eighteen distinct combinations of superantigens. Sequence analysis identified mutated open reading frames in hla in 13.7 % of all strains, in selw (92.2 %) and in selx (15.7 %). All corrupted genes were associated with specific clonal complexes. Functional assessment of alpha toxin activity by a rabbit erythrocyte lysis assay revealed that supernatants lacking alpha toxin still displayed hemolysis. This was due to the presence of gamma toxin, as proven by inhibition experiments using antisera raised against the respective recombinant proteins. Alpha toxin, SEC, and TSST1 production was quantified by enzyme-linked immunosorbent assays on supernatants of all hla, sec, and tst positive isolates. Blood isolates and colonising strains showed comparable amounts of secreted proteins within a wide range. Agr types I to IV were identified, but did not allow a prediction of high or low production rates. In contrast, alpha toxin production rates between distinct clonal complexes clearly differed. Spa typing was performed and revealed thirty-two unique spa gene patterns and eight small clusters comprising nineteen isolates. Recognised spa-typing clusters displayed highly similar production rates. Conclusion: Production rates of the three most prevalent exotoxins varied within both groups of blood isolates and colonising strains. By comparing genotypes and secretion, we found that identical complex gene patterns did not allow predictions of toxin production and function. However, identification of spa typing clusters was suitable to predict similar quantities of released exotoxins.","author":[{"dropping-particle":"","family":"Roetzer","given":"Andreas","non-dropping-particle":"","parse-names":false,"suffix":""},{"dropping-particle":"","family":"Haller","given":"Guenter","non-dropping-particle":"","parse-names":false,"suffix":""},{"dropping-particle":"","family":"Beyerly","given":"John","non-dropping-particle":"","parse-names":false,"suffix":""},{"dropping-particle":"","family":"Geier","given":"Christoph B.","non-dropping-particle":"","parse-names":false,"suffix":""},{"dropping-particle":"","family":"Wolf","given":"Hermann M.","non-dropping-particle":"","parse-names":false,"suffix":""},{"dropping-particle":"","family":"Gruener","given":"Corina S.","non-dropping-particle":"","parse-names":false,"suffix":""},{"dropping-particle":"","family":"Model","given":"Nina","non-dropping-particle":"","parse-names":false,"suffix":""},{"dropping-particle":"","family":"Eibl","given":"Martha M.","non-dropping-particle":"","parse-names":false,"suffix":""}],"container-title":"BMC Microbiology","id":"ITEM-1","issue":"1","issued":{"date-parts":[["2016"]]},"page":"1-14","publisher":"BMC Microbiology","title":"Genotypic and phenotypic analysis of clinical isolates of Staphylococcus aureus revealed production patterns and hemolytic potentials unlinked to gene profiles and source Clinical microbiology and vaccines","type":"article-journal","volume":"16"},"uris":["http://www.mendeley.com/documents/?uuid=8ccab71c-fc0d-46f7-8335-410be5438d2c"]}],"mendeley":{"formattedCitation":"(Roetzer et al., 2016)","plainTextFormattedCitation":"(Roetzer et al., 2016)","previouslyFormattedCitation":"(Roetzer et al., 2016)"},"properties":{"noteIndex":0},"schema":"https://github.com/citation-style-language/schema/raw/master/csl-citation.json"}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(Roetzer et al., 2016)</w:t>
            </w:r>
            <w:r w:rsidRPr="006C34E3">
              <w:rPr>
                <w:rFonts w:eastAsia="Times New Roman" w:cs="Times New Roman"/>
                <w:color w:val="000000"/>
                <w:sz w:val="16"/>
                <w:szCs w:val="16"/>
              </w:rPr>
              <w:fldChar w:fldCharType="end"/>
            </w:r>
          </w:p>
        </w:tc>
      </w:tr>
      <w:tr w:rsidR="00F90100" w:rsidRPr="006C34E3" w14:paraId="25539F35" w14:textId="77777777" w:rsidTr="00C662E9">
        <w:trPr>
          <w:trHeight w:val="288"/>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D3A112C"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sey</w:t>
            </w:r>
          </w:p>
        </w:tc>
        <w:tc>
          <w:tcPr>
            <w:tcW w:w="720" w:type="dxa"/>
            <w:tcBorders>
              <w:top w:val="nil"/>
              <w:left w:val="nil"/>
              <w:bottom w:val="single" w:sz="4" w:space="0" w:color="auto"/>
              <w:right w:val="single" w:sz="4" w:space="0" w:color="auto"/>
            </w:tcBorders>
            <w:shd w:val="clear" w:color="auto" w:fill="auto"/>
            <w:noWrap/>
            <w:vAlign w:val="center"/>
            <w:hideMark/>
          </w:tcPr>
          <w:p w14:paraId="57B1916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sey-1</w:t>
            </w:r>
          </w:p>
        </w:tc>
        <w:tc>
          <w:tcPr>
            <w:tcW w:w="3690" w:type="dxa"/>
            <w:tcBorders>
              <w:top w:val="nil"/>
              <w:left w:val="nil"/>
              <w:bottom w:val="single" w:sz="4" w:space="0" w:color="auto"/>
              <w:right w:val="single" w:sz="4" w:space="0" w:color="auto"/>
            </w:tcBorders>
            <w:shd w:val="clear" w:color="auto" w:fill="auto"/>
            <w:noWrap/>
            <w:vAlign w:val="center"/>
            <w:hideMark/>
          </w:tcPr>
          <w:p w14:paraId="52244D7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CAA TGT ACG GAC AGT GCT CTA CAA</w:t>
            </w:r>
          </w:p>
        </w:tc>
        <w:tc>
          <w:tcPr>
            <w:tcW w:w="3780" w:type="dxa"/>
            <w:tcBorders>
              <w:top w:val="nil"/>
              <w:left w:val="nil"/>
              <w:bottom w:val="single" w:sz="4" w:space="0" w:color="auto"/>
              <w:right w:val="single" w:sz="4" w:space="0" w:color="auto"/>
            </w:tcBorders>
            <w:shd w:val="clear" w:color="auto" w:fill="auto"/>
            <w:noWrap/>
            <w:vAlign w:val="center"/>
            <w:hideMark/>
          </w:tcPr>
          <w:p w14:paraId="55BCFD1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TGA CCG TTA ACA AAC AAG TTC ATT C</w:t>
            </w:r>
          </w:p>
        </w:tc>
        <w:tc>
          <w:tcPr>
            <w:tcW w:w="1620" w:type="dxa"/>
            <w:tcBorders>
              <w:top w:val="nil"/>
              <w:left w:val="nil"/>
              <w:bottom w:val="single" w:sz="4" w:space="0" w:color="auto"/>
              <w:right w:val="single" w:sz="4" w:space="0" w:color="auto"/>
            </w:tcBorders>
            <w:shd w:val="clear" w:color="auto" w:fill="auto"/>
            <w:noWrap/>
            <w:vAlign w:val="center"/>
            <w:hideMark/>
          </w:tcPr>
          <w:p w14:paraId="4E47196D"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189</w:t>
            </w:r>
          </w:p>
        </w:tc>
        <w:tc>
          <w:tcPr>
            <w:tcW w:w="1620" w:type="dxa"/>
            <w:tcBorders>
              <w:top w:val="nil"/>
              <w:left w:val="nil"/>
              <w:bottom w:val="single" w:sz="4" w:space="0" w:color="auto"/>
              <w:right w:val="single" w:sz="4" w:space="0" w:color="auto"/>
            </w:tcBorders>
            <w:shd w:val="clear" w:color="auto" w:fill="auto"/>
            <w:noWrap/>
            <w:vAlign w:val="center"/>
            <w:hideMark/>
          </w:tcPr>
          <w:p w14:paraId="18A746E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w:t>
            </w:r>
          </w:p>
        </w:tc>
        <w:tc>
          <w:tcPr>
            <w:tcW w:w="1530" w:type="dxa"/>
            <w:tcBorders>
              <w:top w:val="nil"/>
              <w:left w:val="nil"/>
              <w:bottom w:val="single" w:sz="4" w:space="0" w:color="auto"/>
              <w:right w:val="single" w:sz="4" w:space="0" w:color="auto"/>
            </w:tcBorders>
            <w:shd w:val="clear" w:color="auto" w:fill="auto"/>
            <w:noWrap/>
            <w:vAlign w:val="center"/>
            <w:hideMark/>
          </w:tcPr>
          <w:p w14:paraId="64582A17" w14:textId="31A027BF"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{"citationItems":[{"id":"ITEM-1","itemData":{"DOI":"10.1128/AEM.01873-15","ISSN":"10985336","PMID":"26231643","abstract":"Staphylococcal enterotoxins (SEs) produced by Staphylococcus aureus have superantigenic and emetic activities, which cause toxic shock syndrome and staphylococcal food poisoning, respectively. Our previous study demonstrated that the sequence of SET has a low level of similarity to the sequences of other SEs and exhibits atypical bioactivities. Hence, we further explored whether there is an additional SET-related gene in S. aureus strains. One SET-like gene was found in the genome of S. aureus isolates that originated from a case of food poisoning, a human nasal swab, and a case of bovine mastitis. The deduced amino acid sequence of the SET-like gene showed 32% identity with the amino acid sequence of SET. The SET-like gene product was designated SElY. In the food poisoning and nasal swab isolates, mRNA encoding SElY was highly expressed in the early log phase of cultivation, whereas a high level of expression of this mRNA was found in the bovine mastitis isolate at the early stationary phase. To estimate whether SElY has both superantigenic and emetic activities, recombinant SElY was prepared. Cell proliferation and cytokine production were examined to assess the superantigenic activity of SElY. SElY exhibited superantigenic activity in human peripheral blood mononuclear cells but not in mouse splenocytes. In addition, SElY exhibited emetic activity in house musk shrews after intraperitoneal and oral administration. However, the stability of SElY against heating and pepsin and trypsin digestion was different from that of SET and SEA. From these results, we identified SElY to be a novel staphylococcal emetic toxin.","author":[{"dropping-particle":"","family":"Ono","given":"Hisaya K.","non-dropping-particle":"","parse-names":false,"suffix":""},{"dropping-particle":"","family":"Sato'o","given":"Yusuke","non-dropping-particle":"","parse-names":false,"suffix":""},{"dropping-particle":"","family":"Narita","given":"Kouji","non-dropping-particle":"","parse-names":false,"suffix":""},{"dropping-particle":"","family":"Naito","given":"Ikunori","non-dropping-particle":"","parse-names":false,"suffix":""},{"dropping-particle":"","family":"Hirose","given":"Shouhei","non-dropping-particle":"","parse-names":false,"suffix":""},{"dropping-particle":"","family":"Hisatsune","given":"Junzo","non-dropping-particle":"","parse-names":false,"suffix":""},{"dropping-particle":"","family":"Asano","given":"Krisana","non-dropping-particle":"","parse-names":false,"suffix":""},{"dropping-particle":"","family":"Hu","given":"Dong Liang","non-dropping-particle":"","parse-names":false,"suffix":""},{"dropping-particle":"","family":"Omoe","given":"Katsuhiko","non-dropping-particle":"","parse-names":false,"suffix":""},{"dropping-particle":"","family":"Sugai","given":"Motoyuki","non-dropping-particle":"","parse-names":false,"suffix":""},{"dropping-particle":"","family":"Nakane","given":"Akio","non-dropping-particle":"","parse-names":false,"suffix":""}],"container-title":"Applied and Environmental Microbiology","id":"ITEM-1","issue":"20","issued":{"date-parts":[["2015"]]},"page":"7034-7040","title":"Identification and characterization of a novel staphylococcal emetic toxin","type":"article-journal","volume":"81"},"uris":["http://www.mendeley.com/documents/?uuid=2e81c371-fc69-44e7-8188-1d8b4d0f5c1b"]}],"mendeley":{"formattedCitation":"(Ono et al., 2015)","plainTextFormattedCitation":"(Ono et al., 2015)","previouslyFormattedCitation":"(Ono et al., 2015)"},"properties":{"noteIndex":0},"schema":"https://github.com/citation-style-language/schema/raw/master/csl-citation.json"}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(Ono et al., 2015)</w:t>
            </w:r>
            <w:r w:rsidRPr="006C34E3">
              <w:rPr>
                <w:rFonts w:eastAsia="Times New Roman" w:cs="Times New Roman"/>
                <w:color w:val="000000"/>
                <w:sz w:val="16"/>
                <w:szCs w:val="16"/>
              </w:rPr>
              <w:fldChar w:fldCharType="end"/>
            </w:r>
          </w:p>
        </w:tc>
      </w:tr>
      <w:tr w:rsidR="00F90100" w:rsidRPr="006C34E3" w14:paraId="7F5325F9" w14:textId="77777777" w:rsidTr="00C662E9">
        <w:trPr>
          <w:trHeight w:val="288"/>
        </w:trPr>
        <w:tc>
          <w:tcPr>
            <w:tcW w:w="630" w:type="dxa"/>
            <w:vMerge/>
            <w:tcBorders>
              <w:top w:val="single" w:sz="4" w:space="0" w:color="auto"/>
              <w:left w:val="single" w:sz="4" w:space="0" w:color="auto"/>
              <w:bottom w:val="single" w:sz="4" w:space="0" w:color="000000"/>
              <w:right w:val="single" w:sz="4" w:space="0" w:color="auto"/>
            </w:tcBorders>
            <w:vAlign w:val="center"/>
            <w:hideMark/>
          </w:tcPr>
          <w:p w14:paraId="140F687B"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2E28015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sey-2</w:t>
            </w:r>
          </w:p>
        </w:tc>
        <w:tc>
          <w:tcPr>
            <w:tcW w:w="3690" w:type="dxa"/>
            <w:tcBorders>
              <w:top w:val="nil"/>
              <w:left w:val="nil"/>
              <w:bottom w:val="single" w:sz="4" w:space="0" w:color="auto"/>
              <w:right w:val="single" w:sz="4" w:space="0" w:color="auto"/>
            </w:tcBorders>
            <w:shd w:val="clear" w:color="000000" w:fill="E7E6E6"/>
            <w:noWrap/>
            <w:vAlign w:val="center"/>
            <w:hideMark/>
          </w:tcPr>
          <w:p w14:paraId="4FC7309B"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GAA ATA TTG ATA TAT AGA TCA TT</w:t>
            </w:r>
          </w:p>
        </w:tc>
        <w:tc>
          <w:tcPr>
            <w:tcW w:w="3780" w:type="dxa"/>
            <w:tcBorders>
              <w:top w:val="nil"/>
              <w:left w:val="nil"/>
              <w:bottom w:val="single" w:sz="4" w:space="0" w:color="auto"/>
              <w:right w:val="single" w:sz="4" w:space="0" w:color="auto"/>
            </w:tcBorders>
            <w:shd w:val="clear" w:color="000000" w:fill="E7E6E6"/>
            <w:noWrap/>
            <w:vAlign w:val="center"/>
            <w:hideMark/>
          </w:tcPr>
          <w:p w14:paraId="27A07C48"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CCT AAG AAC TTA ATK TCC TAA GC</w:t>
            </w:r>
          </w:p>
        </w:tc>
        <w:tc>
          <w:tcPr>
            <w:tcW w:w="1620" w:type="dxa"/>
            <w:tcBorders>
              <w:top w:val="nil"/>
              <w:left w:val="nil"/>
              <w:bottom w:val="single" w:sz="4" w:space="0" w:color="auto"/>
              <w:right w:val="single" w:sz="4" w:space="0" w:color="auto"/>
            </w:tcBorders>
            <w:shd w:val="clear" w:color="000000" w:fill="E7E6E6"/>
            <w:noWrap/>
            <w:vAlign w:val="center"/>
            <w:hideMark/>
          </w:tcPr>
          <w:p w14:paraId="52CCA50E"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843</w:t>
            </w:r>
          </w:p>
        </w:tc>
        <w:tc>
          <w:tcPr>
            <w:tcW w:w="1620" w:type="dxa"/>
            <w:tcBorders>
              <w:top w:val="nil"/>
              <w:left w:val="nil"/>
              <w:bottom w:val="single" w:sz="4" w:space="0" w:color="auto"/>
              <w:right w:val="single" w:sz="4" w:space="0" w:color="auto"/>
            </w:tcBorders>
            <w:shd w:val="clear" w:color="000000" w:fill="E7E6E6"/>
            <w:noWrap/>
            <w:vAlign w:val="center"/>
            <w:hideMark/>
          </w:tcPr>
          <w:p w14:paraId="0FE4EE3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 xml:space="preserve">Aspecific detection of </w:t>
            </w:r>
            <w:r w:rsidRPr="006C34E3">
              <w:rPr>
                <w:rFonts w:eastAsia="Times New Roman" w:cs="Times New Roman"/>
                <w:i/>
                <w:iCs/>
                <w:color w:val="000000"/>
                <w:sz w:val="16"/>
                <w:szCs w:val="16"/>
              </w:rPr>
              <w:t>mvaS</w:t>
            </w:r>
          </w:p>
        </w:tc>
        <w:tc>
          <w:tcPr>
            <w:tcW w:w="1530" w:type="dxa"/>
            <w:tcBorders>
              <w:top w:val="nil"/>
              <w:left w:val="nil"/>
              <w:bottom w:val="single" w:sz="4" w:space="0" w:color="auto"/>
              <w:right w:val="single" w:sz="4" w:space="0" w:color="auto"/>
            </w:tcBorders>
            <w:shd w:val="clear" w:color="000000" w:fill="E7E6E6"/>
            <w:noWrap/>
            <w:hideMark/>
          </w:tcPr>
          <w:p w14:paraId="5C929B0D" w14:textId="4200BD52"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19971C7A" w14:textId="77777777" w:rsidTr="00C662E9">
        <w:trPr>
          <w:trHeight w:val="288"/>
        </w:trPr>
        <w:tc>
          <w:tcPr>
            <w:tcW w:w="6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E4C302" w14:textId="77777777" w:rsidR="00F90100" w:rsidRPr="006C34E3" w:rsidRDefault="00F90100" w:rsidP="00F90100">
            <w:pPr>
              <w:spacing w:before="0" w:after="0"/>
              <w:jc w:val="center"/>
              <w:rPr>
                <w:rFonts w:eastAsia="Times New Roman" w:cs="Times New Roman"/>
                <w:i/>
                <w:iCs/>
                <w:sz w:val="16"/>
                <w:szCs w:val="16"/>
              </w:rPr>
            </w:pPr>
            <w:r w:rsidRPr="006C34E3">
              <w:rPr>
                <w:rFonts w:eastAsia="Times New Roman" w:cs="Times New Roman"/>
                <w:i/>
                <w:iCs/>
                <w:sz w:val="16"/>
                <w:szCs w:val="16"/>
              </w:rPr>
              <w:t>selz</w:t>
            </w:r>
          </w:p>
        </w:tc>
        <w:tc>
          <w:tcPr>
            <w:tcW w:w="720" w:type="dxa"/>
            <w:tcBorders>
              <w:top w:val="nil"/>
              <w:left w:val="nil"/>
              <w:bottom w:val="single" w:sz="4" w:space="0" w:color="auto"/>
              <w:right w:val="single" w:sz="4" w:space="0" w:color="auto"/>
            </w:tcBorders>
            <w:shd w:val="clear" w:color="auto" w:fill="auto"/>
            <w:noWrap/>
            <w:vAlign w:val="center"/>
            <w:hideMark/>
          </w:tcPr>
          <w:p w14:paraId="6A19FFD0"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selz-1</w:t>
            </w:r>
          </w:p>
        </w:tc>
        <w:tc>
          <w:tcPr>
            <w:tcW w:w="3690" w:type="dxa"/>
            <w:tcBorders>
              <w:top w:val="nil"/>
              <w:left w:val="nil"/>
              <w:bottom w:val="single" w:sz="4" w:space="0" w:color="auto"/>
              <w:right w:val="single" w:sz="4" w:space="0" w:color="auto"/>
            </w:tcBorders>
            <w:shd w:val="clear" w:color="auto" w:fill="auto"/>
            <w:noWrap/>
            <w:vAlign w:val="center"/>
            <w:hideMark/>
          </w:tcPr>
          <w:p w14:paraId="0277B17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GGT TAC AGT AGC TAT TCT TTG TTG</w:t>
            </w:r>
          </w:p>
        </w:tc>
        <w:tc>
          <w:tcPr>
            <w:tcW w:w="3780" w:type="dxa"/>
            <w:tcBorders>
              <w:top w:val="nil"/>
              <w:left w:val="nil"/>
              <w:bottom w:val="single" w:sz="4" w:space="0" w:color="auto"/>
              <w:right w:val="single" w:sz="4" w:space="0" w:color="auto"/>
            </w:tcBorders>
            <w:shd w:val="clear" w:color="auto" w:fill="auto"/>
            <w:noWrap/>
            <w:vAlign w:val="center"/>
            <w:hideMark/>
          </w:tcPr>
          <w:p w14:paraId="44E01971"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GTA AAC TTT ACA ACA ATA GGC TG</w:t>
            </w:r>
          </w:p>
        </w:tc>
        <w:tc>
          <w:tcPr>
            <w:tcW w:w="1620" w:type="dxa"/>
            <w:tcBorders>
              <w:top w:val="nil"/>
              <w:left w:val="nil"/>
              <w:bottom w:val="single" w:sz="4" w:space="0" w:color="auto"/>
              <w:right w:val="single" w:sz="4" w:space="0" w:color="auto"/>
            </w:tcBorders>
            <w:shd w:val="clear" w:color="auto" w:fill="auto"/>
            <w:noWrap/>
            <w:vAlign w:val="center"/>
            <w:hideMark/>
          </w:tcPr>
          <w:p w14:paraId="643CDD84" w14:textId="77777777" w:rsidR="00F90100" w:rsidRPr="006C34E3" w:rsidRDefault="00F90100" w:rsidP="00F90100">
            <w:pPr>
              <w:spacing w:before="0" w:after="0"/>
              <w:jc w:val="center"/>
              <w:rPr>
                <w:rFonts w:eastAsia="Times New Roman" w:cs="Times New Roman"/>
                <w:color w:val="FF0000"/>
                <w:sz w:val="16"/>
                <w:szCs w:val="16"/>
              </w:rPr>
            </w:pPr>
            <w:r w:rsidRPr="006C34E3">
              <w:rPr>
                <w:rFonts w:eastAsia="Times New Roman" w:cs="Times New Roman"/>
                <w:color w:val="5B9BD5"/>
                <w:sz w:val="16"/>
                <w:szCs w:val="16"/>
              </w:rPr>
              <w:t>443</w:t>
            </w:r>
          </w:p>
        </w:tc>
        <w:tc>
          <w:tcPr>
            <w:tcW w:w="1620" w:type="dxa"/>
            <w:tcBorders>
              <w:top w:val="nil"/>
              <w:left w:val="nil"/>
              <w:bottom w:val="single" w:sz="4" w:space="0" w:color="auto"/>
              <w:right w:val="single" w:sz="4" w:space="0" w:color="auto"/>
            </w:tcBorders>
            <w:shd w:val="clear" w:color="auto" w:fill="auto"/>
            <w:noWrap/>
            <w:vAlign w:val="center"/>
            <w:hideMark/>
          </w:tcPr>
          <w:p w14:paraId="0E0AFD27" w14:textId="5DAFE02C"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hideMark/>
          </w:tcPr>
          <w:p w14:paraId="569E7FBB" w14:textId="736A8AE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73EEE17E" w14:textId="77777777" w:rsidTr="00C662E9">
        <w:trPr>
          <w:trHeight w:val="288"/>
        </w:trPr>
        <w:tc>
          <w:tcPr>
            <w:tcW w:w="630" w:type="dxa"/>
            <w:vMerge/>
            <w:tcBorders>
              <w:top w:val="nil"/>
              <w:left w:val="single" w:sz="4" w:space="0" w:color="auto"/>
              <w:bottom w:val="single" w:sz="4" w:space="0" w:color="auto"/>
              <w:right w:val="single" w:sz="4" w:space="0" w:color="auto"/>
            </w:tcBorders>
            <w:vAlign w:val="center"/>
            <w:hideMark/>
          </w:tcPr>
          <w:p w14:paraId="552C2B3E"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1A83C8D6"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selz-2</w:t>
            </w:r>
          </w:p>
        </w:tc>
        <w:tc>
          <w:tcPr>
            <w:tcW w:w="3690" w:type="dxa"/>
            <w:tcBorders>
              <w:top w:val="nil"/>
              <w:left w:val="nil"/>
              <w:bottom w:val="single" w:sz="4" w:space="0" w:color="auto"/>
              <w:right w:val="single" w:sz="4" w:space="0" w:color="auto"/>
            </w:tcBorders>
            <w:shd w:val="clear" w:color="000000" w:fill="E7E6E6"/>
            <w:noWrap/>
            <w:vAlign w:val="center"/>
            <w:hideMark/>
          </w:tcPr>
          <w:p w14:paraId="4CBC6F0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ATA AAT AGC AAT GGT TG</w:t>
            </w:r>
          </w:p>
        </w:tc>
        <w:tc>
          <w:tcPr>
            <w:tcW w:w="3780" w:type="dxa"/>
            <w:tcBorders>
              <w:top w:val="nil"/>
              <w:left w:val="nil"/>
              <w:bottom w:val="single" w:sz="4" w:space="0" w:color="auto"/>
              <w:right w:val="single" w:sz="4" w:space="0" w:color="auto"/>
            </w:tcBorders>
            <w:shd w:val="clear" w:color="000000" w:fill="E7E6E6"/>
            <w:noWrap/>
            <w:vAlign w:val="center"/>
            <w:hideMark/>
          </w:tcPr>
          <w:p w14:paraId="73FBCBE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GAT AAG TTG CTC TAT GTC TA</w:t>
            </w:r>
          </w:p>
        </w:tc>
        <w:tc>
          <w:tcPr>
            <w:tcW w:w="1620" w:type="dxa"/>
            <w:tcBorders>
              <w:top w:val="nil"/>
              <w:left w:val="nil"/>
              <w:bottom w:val="single" w:sz="4" w:space="0" w:color="auto"/>
              <w:right w:val="single" w:sz="4" w:space="0" w:color="auto"/>
            </w:tcBorders>
            <w:shd w:val="clear" w:color="000000" w:fill="E7E6E6"/>
            <w:noWrap/>
            <w:vAlign w:val="center"/>
            <w:hideMark/>
          </w:tcPr>
          <w:p w14:paraId="1DCA9339"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 800</w:t>
            </w:r>
          </w:p>
        </w:tc>
        <w:tc>
          <w:tcPr>
            <w:tcW w:w="1620" w:type="dxa"/>
            <w:tcBorders>
              <w:top w:val="nil"/>
              <w:left w:val="nil"/>
              <w:bottom w:val="single" w:sz="4" w:space="0" w:color="auto"/>
              <w:right w:val="single" w:sz="4" w:space="0" w:color="auto"/>
            </w:tcBorders>
            <w:shd w:val="clear" w:color="000000" w:fill="E7E6E6"/>
            <w:noWrap/>
            <w:vAlign w:val="center"/>
            <w:hideMark/>
          </w:tcPr>
          <w:p w14:paraId="7F7EA2A2"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No detection of </w:t>
            </w:r>
            <w:r w:rsidRPr="006C34E3">
              <w:rPr>
                <w:rFonts w:eastAsia="Times New Roman" w:cs="Times New Roman"/>
                <w:i/>
                <w:sz w:val="16"/>
                <w:szCs w:val="16"/>
              </w:rPr>
              <w:t xml:space="preserve">selz </w:t>
            </w:r>
            <w:r w:rsidRPr="006C34E3">
              <w:rPr>
                <w:rFonts w:eastAsia="Times New Roman" w:cs="Times New Roman"/>
                <w:sz w:val="16"/>
                <w:szCs w:val="16"/>
              </w:rPr>
              <w:t>according to preset criteria</w:t>
            </w:r>
          </w:p>
        </w:tc>
        <w:tc>
          <w:tcPr>
            <w:tcW w:w="1530" w:type="dxa"/>
            <w:tcBorders>
              <w:top w:val="nil"/>
              <w:left w:val="nil"/>
              <w:bottom w:val="single" w:sz="4" w:space="0" w:color="auto"/>
              <w:right w:val="single" w:sz="4" w:space="0" w:color="auto"/>
            </w:tcBorders>
            <w:shd w:val="clear" w:color="000000" w:fill="E7E6E6"/>
            <w:noWrap/>
            <w:hideMark/>
          </w:tcPr>
          <w:p w14:paraId="38321225" w14:textId="6AB76BCB"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5D2E5527" w14:textId="77777777" w:rsidTr="00C662E9">
        <w:trPr>
          <w:trHeight w:val="288"/>
        </w:trPr>
        <w:tc>
          <w:tcPr>
            <w:tcW w:w="630" w:type="dxa"/>
            <w:vMerge/>
            <w:tcBorders>
              <w:top w:val="nil"/>
              <w:left w:val="single" w:sz="4" w:space="0" w:color="auto"/>
              <w:bottom w:val="single" w:sz="4" w:space="0" w:color="auto"/>
              <w:right w:val="single" w:sz="4" w:space="0" w:color="auto"/>
            </w:tcBorders>
            <w:vAlign w:val="center"/>
            <w:hideMark/>
          </w:tcPr>
          <w:p w14:paraId="2E4D86A0" w14:textId="77777777" w:rsidR="00F90100" w:rsidRPr="006C34E3" w:rsidRDefault="00F90100" w:rsidP="00F90100">
            <w:pPr>
              <w:spacing w:before="0" w:after="0"/>
              <w:rPr>
                <w:rFonts w:eastAsia="Times New Roman" w:cs="Times New Roman"/>
                <w:i/>
                <w:iCs/>
                <w:sz w:val="16"/>
                <w:szCs w:val="16"/>
              </w:rPr>
            </w:pPr>
          </w:p>
        </w:tc>
        <w:tc>
          <w:tcPr>
            <w:tcW w:w="720" w:type="dxa"/>
            <w:tcBorders>
              <w:top w:val="nil"/>
              <w:left w:val="nil"/>
              <w:bottom w:val="single" w:sz="4" w:space="0" w:color="auto"/>
              <w:right w:val="single" w:sz="4" w:space="0" w:color="auto"/>
            </w:tcBorders>
            <w:shd w:val="clear" w:color="000000" w:fill="E7E6E6"/>
            <w:noWrap/>
            <w:vAlign w:val="center"/>
            <w:hideMark/>
          </w:tcPr>
          <w:p w14:paraId="6F3278AC"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selz-3</w:t>
            </w:r>
          </w:p>
        </w:tc>
        <w:tc>
          <w:tcPr>
            <w:tcW w:w="3690" w:type="dxa"/>
            <w:tcBorders>
              <w:top w:val="nil"/>
              <w:left w:val="nil"/>
              <w:bottom w:val="single" w:sz="4" w:space="0" w:color="auto"/>
              <w:right w:val="single" w:sz="4" w:space="0" w:color="auto"/>
            </w:tcBorders>
            <w:shd w:val="clear" w:color="000000" w:fill="E7E6E6"/>
            <w:noWrap/>
            <w:vAlign w:val="center"/>
            <w:hideMark/>
          </w:tcPr>
          <w:p w14:paraId="7E4C426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GTT ATA AAT AGC AAT GGT TG</w:t>
            </w:r>
          </w:p>
        </w:tc>
        <w:tc>
          <w:tcPr>
            <w:tcW w:w="3780" w:type="dxa"/>
            <w:tcBorders>
              <w:top w:val="nil"/>
              <w:left w:val="nil"/>
              <w:bottom w:val="single" w:sz="4" w:space="0" w:color="auto"/>
              <w:right w:val="single" w:sz="4" w:space="0" w:color="auto"/>
            </w:tcBorders>
            <w:shd w:val="clear" w:color="000000" w:fill="E7E6E6"/>
            <w:noWrap/>
            <w:vAlign w:val="center"/>
            <w:hideMark/>
          </w:tcPr>
          <w:p w14:paraId="4E9DA884"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GAG CAA CTT TTC CAA GTC GC</w:t>
            </w:r>
          </w:p>
        </w:tc>
        <w:tc>
          <w:tcPr>
            <w:tcW w:w="1620" w:type="dxa"/>
            <w:tcBorders>
              <w:top w:val="nil"/>
              <w:left w:val="nil"/>
              <w:bottom w:val="single" w:sz="4" w:space="0" w:color="auto"/>
              <w:right w:val="single" w:sz="4" w:space="0" w:color="auto"/>
            </w:tcBorders>
            <w:shd w:val="clear" w:color="000000" w:fill="E7E6E6"/>
            <w:noWrap/>
            <w:vAlign w:val="center"/>
            <w:hideMark/>
          </w:tcPr>
          <w:p w14:paraId="1156A41A"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ca. 1000</w:t>
            </w:r>
          </w:p>
        </w:tc>
        <w:tc>
          <w:tcPr>
            <w:tcW w:w="1620" w:type="dxa"/>
            <w:tcBorders>
              <w:top w:val="nil"/>
              <w:left w:val="nil"/>
              <w:bottom w:val="single" w:sz="4" w:space="0" w:color="auto"/>
              <w:right w:val="single" w:sz="4" w:space="0" w:color="auto"/>
            </w:tcBorders>
            <w:shd w:val="clear" w:color="000000" w:fill="E7E6E6"/>
            <w:noWrap/>
            <w:vAlign w:val="center"/>
            <w:hideMark/>
          </w:tcPr>
          <w:p w14:paraId="43E22C3F" w14:textId="77777777" w:rsidR="00F90100" w:rsidRPr="006C34E3" w:rsidRDefault="00F90100" w:rsidP="00F90100">
            <w:pPr>
              <w:spacing w:before="0" w:after="0"/>
              <w:jc w:val="center"/>
              <w:rPr>
                <w:rFonts w:eastAsia="Times New Roman" w:cs="Times New Roman"/>
                <w:sz w:val="16"/>
                <w:szCs w:val="16"/>
              </w:rPr>
            </w:pPr>
            <w:r w:rsidRPr="006C34E3">
              <w:rPr>
                <w:rFonts w:eastAsia="Times New Roman" w:cs="Times New Roman"/>
                <w:sz w:val="16"/>
                <w:szCs w:val="16"/>
              </w:rPr>
              <w:t xml:space="preserve">No detection of </w:t>
            </w:r>
            <w:r w:rsidRPr="006C34E3">
              <w:rPr>
                <w:rFonts w:eastAsia="Times New Roman" w:cs="Times New Roman"/>
                <w:i/>
                <w:sz w:val="16"/>
                <w:szCs w:val="16"/>
              </w:rPr>
              <w:t>selz</w:t>
            </w:r>
            <w:r w:rsidRPr="006C34E3">
              <w:rPr>
                <w:rFonts w:eastAsia="Times New Roman" w:cs="Times New Roman"/>
                <w:sz w:val="16"/>
                <w:szCs w:val="16"/>
              </w:rPr>
              <w:t xml:space="preserve"> according to preset criteria</w:t>
            </w:r>
          </w:p>
        </w:tc>
        <w:tc>
          <w:tcPr>
            <w:tcW w:w="1530" w:type="dxa"/>
            <w:tcBorders>
              <w:top w:val="nil"/>
              <w:left w:val="nil"/>
              <w:bottom w:val="single" w:sz="4" w:space="0" w:color="auto"/>
              <w:right w:val="single" w:sz="4" w:space="0" w:color="auto"/>
            </w:tcBorders>
            <w:shd w:val="clear" w:color="000000" w:fill="E7E6E6"/>
            <w:noWrap/>
            <w:hideMark/>
          </w:tcPr>
          <w:p w14:paraId="56C84C92" w14:textId="1FD2FE0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645D9A94" w14:textId="77777777" w:rsidTr="00C662E9">
        <w:trPr>
          <w:trHeight w:val="288"/>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14:paraId="5585AA62" w14:textId="77777777" w:rsidR="00F90100" w:rsidRPr="006C34E3" w:rsidRDefault="00F90100" w:rsidP="00F90100">
            <w:pPr>
              <w:spacing w:before="0" w:after="0"/>
              <w:jc w:val="center"/>
              <w:rPr>
                <w:rFonts w:eastAsia="Times New Roman" w:cs="Times New Roman"/>
                <w:i/>
                <w:iCs/>
                <w:color w:val="000000"/>
                <w:sz w:val="16"/>
                <w:szCs w:val="16"/>
              </w:rPr>
            </w:pPr>
            <w:r w:rsidRPr="006C34E3">
              <w:rPr>
                <w:rFonts w:eastAsia="Times New Roman" w:cs="Times New Roman"/>
                <w:i/>
                <w:iCs/>
                <w:color w:val="000000"/>
                <w:sz w:val="16"/>
                <w:szCs w:val="16"/>
              </w:rPr>
              <w:t>sel26</w:t>
            </w:r>
          </w:p>
        </w:tc>
        <w:tc>
          <w:tcPr>
            <w:tcW w:w="720" w:type="dxa"/>
            <w:tcBorders>
              <w:top w:val="nil"/>
              <w:left w:val="nil"/>
              <w:bottom w:val="single" w:sz="4" w:space="0" w:color="auto"/>
              <w:right w:val="single" w:sz="4" w:space="0" w:color="auto"/>
            </w:tcBorders>
            <w:shd w:val="clear" w:color="auto" w:fill="auto"/>
            <w:noWrap/>
            <w:vAlign w:val="center"/>
            <w:hideMark/>
          </w:tcPr>
          <w:p w14:paraId="03E65D0D"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sel26-1</w:t>
            </w:r>
          </w:p>
        </w:tc>
        <w:tc>
          <w:tcPr>
            <w:tcW w:w="3690" w:type="dxa"/>
            <w:tcBorders>
              <w:top w:val="nil"/>
              <w:left w:val="nil"/>
              <w:bottom w:val="single" w:sz="4" w:space="0" w:color="auto"/>
              <w:right w:val="single" w:sz="4" w:space="0" w:color="auto"/>
            </w:tcBorders>
            <w:shd w:val="clear" w:color="auto" w:fill="auto"/>
            <w:noWrap/>
            <w:vAlign w:val="center"/>
            <w:hideMark/>
          </w:tcPr>
          <w:p w14:paraId="378C8155"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CTT ATG CTG ATG TAG GTG TTC</w:t>
            </w:r>
          </w:p>
        </w:tc>
        <w:tc>
          <w:tcPr>
            <w:tcW w:w="3780" w:type="dxa"/>
            <w:tcBorders>
              <w:top w:val="nil"/>
              <w:left w:val="nil"/>
              <w:bottom w:val="single" w:sz="4" w:space="0" w:color="auto"/>
              <w:right w:val="single" w:sz="4" w:space="0" w:color="auto"/>
            </w:tcBorders>
            <w:shd w:val="clear" w:color="auto" w:fill="auto"/>
            <w:noWrap/>
            <w:vAlign w:val="center"/>
            <w:hideMark/>
          </w:tcPr>
          <w:p w14:paraId="244A69E8"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CAT TTA TCC AAA GAT TTA TCG G</w:t>
            </w:r>
          </w:p>
        </w:tc>
        <w:tc>
          <w:tcPr>
            <w:tcW w:w="1620" w:type="dxa"/>
            <w:tcBorders>
              <w:top w:val="nil"/>
              <w:left w:val="nil"/>
              <w:bottom w:val="single" w:sz="4" w:space="0" w:color="auto"/>
              <w:right w:val="single" w:sz="4" w:space="0" w:color="auto"/>
            </w:tcBorders>
            <w:shd w:val="clear" w:color="auto" w:fill="auto"/>
            <w:noWrap/>
            <w:vAlign w:val="center"/>
            <w:hideMark/>
          </w:tcPr>
          <w:p w14:paraId="55CD9C75"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312</w:t>
            </w:r>
          </w:p>
        </w:tc>
        <w:tc>
          <w:tcPr>
            <w:tcW w:w="1620" w:type="dxa"/>
            <w:tcBorders>
              <w:top w:val="nil"/>
              <w:left w:val="nil"/>
              <w:bottom w:val="single" w:sz="4" w:space="0" w:color="auto"/>
              <w:right w:val="single" w:sz="4" w:space="0" w:color="auto"/>
            </w:tcBorders>
            <w:shd w:val="clear" w:color="auto" w:fill="auto"/>
            <w:noWrap/>
            <w:vAlign w:val="center"/>
            <w:hideMark/>
          </w:tcPr>
          <w:p w14:paraId="4BF810AA" w14:textId="15A45A1C"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hideMark/>
          </w:tcPr>
          <w:p w14:paraId="06A433A3" w14:textId="69030F5D"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r w:rsidR="00F90100" w:rsidRPr="006C34E3" w14:paraId="3DE3D94E" w14:textId="77777777" w:rsidTr="00C662E9">
        <w:trPr>
          <w:trHeight w:val="288"/>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14:paraId="75FFF99A" w14:textId="77777777" w:rsidR="00F90100" w:rsidRPr="006C34E3" w:rsidRDefault="00F90100" w:rsidP="00F90100">
            <w:pPr>
              <w:spacing w:before="0" w:after="0"/>
              <w:jc w:val="center"/>
              <w:rPr>
                <w:rFonts w:eastAsia="Times New Roman" w:cs="Times New Roman"/>
                <w:i/>
                <w:iCs/>
                <w:color w:val="000000"/>
                <w:sz w:val="16"/>
                <w:szCs w:val="16"/>
              </w:rPr>
            </w:pPr>
            <w:r w:rsidRPr="006C34E3">
              <w:rPr>
                <w:rFonts w:eastAsia="Times New Roman" w:cs="Times New Roman"/>
                <w:i/>
                <w:iCs/>
                <w:color w:val="000000"/>
                <w:sz w:val="16"/>
                <w:szCs w:val="16"/>
              </w:rPr>
              <w:t>sel27</w:t>
            </w:r>
          </w:p>
        </w:tc>
        <w:tc>
          <w:tcPr>
            <w:tcW w:w="720" w:type="dxa"/>
            <w:tcBorders>
              <w:top w:val="nil"/>
              <w:left w:val="nil"/>
              <w:bottom w:val="single" w:sz="4" w:space="0" w:color="auto"/>
              <w:right w:val="single" w:sz="4" w:space="0" w:color="auto"/>
            </w:tcBorders>
            <w:shd w:val="clear" w:color="auto" w:fill="auto"/>
            <w:noWrap/>
            <w:vAlign w:val="center"/>
            <w:hideMark/>
          </w:tcPr>
          <w:p w14:paraId="781780FA"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sel27-1</w:t>
            </w:r>
          </w:p>
        </w:tc>
        <w:tc>
          <w:tcPr>
            <w:tcW w:w="3690" w:type="dxa"/>
            <w:tcBorders>
              <w:top w:val="nil"/>
              <w:left w:val="nil"/>
              <w:bottom w:val="single" w:sz="4" w:space="0" w:color="auto"/>
              <w:right w:val="single" w:sz="4" w:space="0" w:color="auto"/>
            </w:tcBorders>
            <w:shd w:val="clear" w:color="auto" w:fill="auto"/>
            <w:noWrap/>
            <w:vAlign w:val="center"/>
            <w:hideMark/>
          </w:tcPr>
          <w:p w14:paraId="38BBF6B9"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TGA AGG CGC TCT ATG AAT CAG</w:t>
            </w:r>
          </w:p>
        </w:tc>
        <w:tc>
          <w:tcPr>
            <w:tcW w:w="3780" w:type="dxa"/>
            <w:tcBorders>
              <w:top w:val="nil"/>
              <w:left w:val="nil"/>
              <w:bottom w:val="single" w:sz="4" w:space="0" w:color="auto"/>
              <w:right w:val="single" w:sz="4" w:space="0" w:color="auto"/>
            </w:tcBorders>
            <w:shd w:val="clear" w:color="auto" w:fill="auto"/>
            <w:noWrap/>
            <w:vAlign w:val="center"/>
            <w:hideMark/>
          </w:tcPr>
          <w:p w14:paraId="1DF4F372" w14:textId="77777777"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t>TAC TCT GCG TAA AAT TTG GG</w:t>
            </w:r>
          </w:p>
        </w:tc>
        <w:tc>
          <w:tcPr>
            <w:tcW w:w="1620" w:type="dxa"/>
            <w:tcBorders>
              <w:top w:val="nil"/>
              <w:left w:val="nil"/>
              <w:bottom w:val="single" w:sz="4" w:space="0" w:color="auto"/>
              <w:right w:val="single" w:sz="4" w:space="0" w:color="auto"/>
            </w:tcBorders>
            <w:shd w:val="clear" w:color="auto" w:fill="auto"/>
            <w:noWrap/>
            <w:vAlign w:val="center"/>
            <w:hideMark/>
          </w:tcPr>
          <w:p w14:paraId="592C26E4" w14:textId="77777777" w:rsidR="00F90100" w:rsidRPr="006C34E3" w:rsidRDefault="00F90100" w:rsidP="00F90100">
            <w:pPr>
              <w:spacing w:before="0" w:after="0"/>
              <w:jc w:val="center"/>
              <w:rPr>
                <w:rFonts w:eastAsia="Times New Roman" w:cs="Times New Roman"/>
                <w:color w:val="5B9BD5"/>
                <w:sz w:val="16"/>
                <w:szCs w:val="16"/>
              </w:rPr>
            </w:pPr>
            <w:r w:rsidRPr="006C34E3">
              <w:rPr>
                <w:rFonts w:eastAsia="Times New Roman" w:cs="Times New Roman"/>
                <w:color w:val="5B9BD5"/>
                <w:sz w:val="16"/>
                <w:szCs w:val="16"/>
              </w:rPr>
              <w:t>500</w:t>
            </w:r>
          </w:p>
        </w:tc>
        <w:tc>
          <w:tcPr>
            <w:tcW w:w="1620" w:type="dxa"/>
            <w:tcBorders>
              <w:top w:val="nil"/>
              <w:left w:val="nil"/>
              <w:bottom w:val="single" w:sz="4" w:space="0" w:color="auto"/>
              <w:right w:val="single" w:sz="4" w:space="0" w:color="auto"/>
            </w:tcBorders>
            <w:shd w:val="clear" w:color="auto" w:fill="auto"/>
            <w:noWrap/>
            <w:vAlign w:val="center"/>
            <w:hideMark/>
          </w:tcPr>
          <w:p w14:paraId="0DDCE7CD" w14:textId="0AA6D0CE" w:rsidR="00F90100" w:rsidRPr="006C34E3" w:rsidRDefault="00F90100" w:rsidP="00F90100">
            <w:pPr>
              <w:spacing w:before="0" w:after="0"/>
              <w:jc w:val="center"/>
              <w:rPr>
                <w:rFonts w:eastAsia="Times New Roman" w:cs="Times New Roman"/>
                <w:color w:val="000000"/>
                <w:sz w:val="16"/>
                <w:szCs w:val="16"/>
              </w:rPr>
            </w:pPr>
          </w:p>
        </w:tc>
        <w:tc>
          <w:tcPr>
            <w:tcW w:w="1530" w:type="dxa"/>
            <w:tcBorders>
              <w:top w:val="nil"/>
              <w:left w:val="nil"/>
              <w:bottom w:val="single" w:sz="4" w:space="0" w:color="auto"/>
              <w:right w:val="single" w:sz="4" w:space="0" w:color="auto"/>
            </w:tcBorders>
            <w:shd w:val="clear" w:color="auto" w:fill="auto"/>
            <w:noWrap/>
            <w:vAlign w:val="center"/>
            <w:hideMark/>
          </w:tcPr>
          <w:p w14:paraId="6EB55752" w14:textId="1FAB67DC" w:rsidR="00F90100" w:rsidRPr="006C34E3" w:rsidRDefault="00F90100" w:rsidP="00F90100">
            <w:pPr>
              <w:spacing w:before="0" w:after="0"/>
              <w:jc w:val="center"/>
              <w:rPr>
                <w:rFonts w:eastAsia="Times New Roman" w:cs="Times New Roman"/>
                <w:color w:val="000000"/>
                <w:sz w:val="16"/>
                <w:szCs w:val="16"/>
              </w:rPr>
            </w:pPr>
            <w:r w:rsidRPr="006C34E3">
              <w:rPr>
                <w:rFonts w:eastAsia="Times New Roman" w:cs="Times New Roman"/>
                <w:color w:val="000000"/>
                <w:sz w:val="16"/>
                <w:szCs w:val="16"/>
              </w:rPr>
              <w:fldChar w:fldCharType="begin" w:fldLock="1"/>
            </w:r>
            <w:r w:rsidR="00E452BC">
              <w:rPr>
                <w:rFonts w:eastAsia="Times New Roman" w:cs="Times New Roman"/>
                <w:color w:val="000000"/>
                <w:sz w:val="16"/>
                <w:szCs w:val="16"/>
              </w:rPr>
              <w:instrText>ADDIN CSL_CITATION {"citationItems":[{"id":"ITEM-1","itemData":{"DOI":"10.3390/microorganisms7100389","ISSN":"20762607","abstract":"Staphylococcus argenteus, a novel emerging species within Staphylococcus aureus complex (SAC), has been increasingly reported worldwide. In this study, prevalence of S. argenteus among human clinical isolates, and their clonal diversity and genetic characteristics of virulence factors were investigated in Hokkaido, the northern main island of Japan. During a four-month period starting from March 2019, twenty-four S. argenteus and 4330 S. aureus isolates were recovered from clinical specimens (the ratio of S. argenteus to S. aureus:0.0055). Half of S. argenteus isolates (n = 12) belonged to MLST sequence type (ST) 2250 and its single-locus variant, with staphylocoagulase genotype (coa-) XId, while the remaining isolates were assigned to ST2198/coa-XIV (n = 6), and ST1223 with a novel coa-XV identified in this study (n = 6). All the isolates were mecA-negative, and susceptible to all the antimicrobials tested, except for an ST2198 isolate with blaZ and an ST2250 isolate with tet(L) showing resistance to ampicillin and tetracyclines, respectively. Common virulence factors in the S. argenteus isolates were staphylococcal enterotoxin (-like) genes sey, selz, sel26, and sel27 in ST2250, selx in ST2198, and enterotoxin gene cluster (egc-1: seg-sei-sem-sen-seo) in ST1223 isolates, in addition to hemolysin genes (hla, hlb, and hld) distributed universally. Elastin binding protein gene (ebpS) and MSCRAMM family adhesin SdrE gene (sdrE) detected in all the isolates showed high sequence identity among them (&gt; 97%), while relatively lower identity to those of S. aureus (78–92%). Phylogenetically, ebpS, sdrE, selx, sey, selw, sel26, and sel27 of S. argenteus formed clusters distinct from those of S. aureus, unlike sec, selz, tst-1, and staphylokinase gene (sak). The present study revealed the prevalence of S. argenteus among clinical isolates, and presence of three distinct S. argenteus clones (ST2250; ST2198 and ST1223) harboring different virulence factors in northern Japan. ST2198 S. argenteus, a minor clone (strain BN75-like) that had been rarely reported, was first identified in Japan as human isolates.","author":[{"dropping-particle":"","family":"Aung","given":"Meiji Soe","non-dropping-particle":"","parse-names":false,"suffix":""},{"dropping-particle":"","family":"Urushibara","given":"Noriko","non-dropping-particle":"","parse-names":false,"suffix":""},{"dropping-particle":"","family":"Kawaguchiya","given":"Mitsuyo","non-dropping-particle":"","parse-names":false,"suffix":""},{"dropping-particle":"","family":"Sumi","given":"Ayako","non-dropping-particle":"","parse-names":false,"suffix":""},{"dropping-particle":"","family":"Takahashi","given":"Seika","non-dropping-particle":"","parse-names":false,"suffix":""},{"dropping-particle":"","family":"Ike","given":"Miyo","non-dropping-particle":"","parse-names":false,"suffix":""},{"dropping-particle":"","family":"Ito","given":"Masahiko","non-dropping-particle":"","parse-names":false,"suffix":""},{"dropping-particle":"","family":"Habadera","given":"Satoshi","non-dropping-particle":"","parse-names":false,"suffix":""},{"dropping-particle":"","family":"Kobayashi","given":"Nobumichi","non-dropping-particle":"","parse-names":false,"suffix":""}],"container-title":"Microorganisms","id":"ITEM-1","issue":"10","issued":{"date-parts":[["2019"]]},"page":"27-29","title":"Molecular epidemiological characterization of Staphylococcus argenteus clinical isolates in Japan: Identification of three clones (ST1223, ST2198, and ST2550) and a novel staphylocoagulase genotype XV","type":"article-journal","volume":"7"},"uris":["http://www.mendeley.com/documents/?uuid=4030137c-13c1-4ed5-bd7d-ebe7779538e7"]}],"mendeley":{"formattedCitation":"(Aung et al., 2019)","plainTextFormattedCitation":"(Aung et al., 2019)","previouslyFormattedCitation":"(Aung et al., 2019)"},"properties":{"noteIndex":0},"schema":"https://github.com/citation-style-language/schema/raw/master/csl-citation.json"}</w:instrText>
            </w:r>
            <w:r w:rsidRPr="006C34E3">
              <w:rPr>
                <w:rFonts w:eastAsia="Times New Roman" w:cs="Times New Roman"/>
                <w:color w:val="000000"/>
                <w:sz w:val="16"/>
                <w:szCs w:val="16"/>
              </w:rPr>
              <w:fldChar w:fldCharType="separate"/>
            </w:r>
            <w:r w:rsidR="00C662E9" w:rsidRPr="00C662E9">
              <w:rPr>
                <w:rFonts w:eastAsia="Times New Roman" w:cs="Times New Roman"/>
                <w:noProof/>
                <w:color w:val="000000"/>
                <w:sz w:val="16"/>
                <w:szCs w:val="16"/>
              </w:rPr>
              <w:t>(Aung et al., 2019)</w:t>
            </w:r>
            <w:r w:rsidRPr="006C34E3">
              <w:rPr>
                <w:rFonts w:eastAsia="Times New Roman" w:cs="Times New Roman"/>
                <w:color w:val="000000"/>
                <w:sz w:val="16"/>
                <w:szCs w:val="16"/>
              </w:rPr>
              <w:fldChar w:fldCharType="end"/>
            </w:r>
          </w:p>
        </w:tc>
      </w:tr>
    </w:tbl>
    <w:p w14:paraId="16A02D00" w14:textId="0E817EA8" w:rsidR="00F90100" w:rsidRDefault="00A069BC" w:rsidP="00A069BC">
      <w:pPr>
        <w:pStyle w:val="NoSpacing"/>
        <w:jc w:val="both"/>
      </w:pPr>
      <w:r w:rsidRPr="00A069BC">
        <w:t xml:space="preserve">A literature study was performed to collect all published conventional PCR primer sets for the detection of </w:t>
      </w:r>
      <w:r w:rsidRPr="00A069BC">
        <w:rPr>
          <w:i/>
        </w:rPr>
        <w:t>se</w:t>
      </w:r>
      <w:r w:rsidRPr="00A069BC">
        <w:t xml:space="preserve"> genes. For each identified primer set, the sequences of the primers, the theoretic amplicon size and the reference to the respective study is shown. When the theoretic amplicon size was not known or indicated in the respective study, the amplicon size was manually determined by aligning the primers against NCBI sequences using BLAST, and is indicated in blue. When differences in the amplicon length were observed with those published in the respective study, it is indicated in the column ‘Remark’. All primer pairs were evaluated for their specificity to the target gene with BLAST against the NCBI nucleotide collection for </w:t>
      </w:r>
      <w:r w:rsidRPr="00A069BC">
        <w:rPr>
          <w:i/>
        </w:rPr>
        <w:t>S. aureus</w:t>
      </w:r>
      <w:r w:rsidRPr="00A069BC">
        <w:t xml:space="preserve"> (taxid: 1280). Primer pairs shown in grey were not used for the </w:t>
      </w:r>
      <w:r w:rsidRPr="00A069BC">
        <w:rPr>
          <w:i/>
        </w:rPr>
        <w:t>in silico</w:t>
      </w:r>
      <w:r w:rsidRPr="00A069BC">
        <w:t xml:space="preserve"> PCR because they rendered aspecific results, i.e. false positive detect</w:t>
      </w:r>
      <w:r>
        <w:t>ion of other Staphylococcal</w:t>
      </w:r>
      <w:r w:rsidRPr="00A069BC">
        <w:t xml:space="preserve"> genes or no detection of the target gene in any of the NCBI sequences within the </w:t>
      </w:r>
      <w:r w:rsidRPr="00A069BC">
        <w:rPr>
          <w:i/>
        </w:rPr>
        <w:t>S. aureus</w:t>
      </w:r>
      <w:r w:rsidRPr="00A069BC">
        <w:t xml:space="preserve"> collection, based on the predefined criteria. Their aspecificity is in more detail explained in the column ‘Remark’. Because conventional PCR detection does not enable the discrimination between </w:t>
      </w:r>
      <w:r w:rsidRPr="00A069BC">
        <w:rPr>
          <w:i/>
        </w:rPr>
        <w:t>selu</w:t>
      </w:r>
      <w:r w:rsidRPr="00A069BC">
        <w:t xml:space="preserve">, </w:t>
      </w:r>
      <w:r w:rsidRPr="00A069BC">
        <w:rPr>
          <w:i/>
        </w:rPr>
        <w:t>selu2</w:t>
      </w:r>
      <w:r w:rsidRPr="00A069BC">
        <w:t xml:space="preserve"> and pseudogenes </w:t>
      </w:r>
      <w:r w:rsidRPr="00A069BC">
        <w:rPr>
          <w:i/>
        </w:rPr>
        <w:t>Ψent1</w:t>
      </w:r>
      <w:r w:rsidRPr="00A069BC">
        <w:t xml:space="preserve"> and </w:t>
      </w:r>
      <w:r w:rsidRPr="00A069BC">
        <w:rPr>
          <w:i/>
        </w:rPr>
        <w:t>Ψent2</w:t>
      </w:r>
      <w:r w:rsidRPr="00A069BC">
        <w:t xml:space="preserve"> due to high sequence similarity, one of the </w:t>
      </w:r>
      <w:r w:rsidRPr="00A069BC">
        <w:rPr>
          <w:i/>
        </w:rPr>
        <w:t>selu</w:t>
      </w:r>
      <w:r w:rsidRPr="00A069BC">
        <w:t xml:space="preserve"> primer pairs was randomly selected for the </w:t>
      </w:r>
      <w:r w:rsidRPr="00A069BC">
        <w:rPr>
          <w:i/>
        </w:rPr>
        <w:t>in silico</w:t>
      </w:r>
      <w:r w:rsidRPr="00A069BC">
        <w:t xml:space="preserve"> PCR (shown in light green). Primer pairs shown in yellow (i.e. 5.04% of the 139 primer pairs used for the </w:t>
      </w:r>
      <w:r w:rsidRPr="00A069BC">
        <w:rPr>
          <w:i/>
        </w:rPr>
        <w:t>in silico</w:t>
      </w:r>
      <w:r w:rsidRPr="00A069BC">
        <w:t xml:space="preserve"> PCR) were used for the </w:t>
      </w:r>
      <w:r w:rsidRPr="00A069BC">
        <w:rPr>
          <w:i/>
        </w:rPr>
        <w:t>in silico</w:t>
      </w:r>
      <w:r w:rsidRPr="00A069BC">
        <w:t xml:space="preserve"> PCR to determine the</w:t>
      </w:r>
      <w:r w:rsidRPr="00A069BC">
        <w:rPr>
          <w:i/>
        </w:rPr>
        <w:t xml:space="preserve"> se</w:t>
      </w:r>
      <w:r w:rsidRPr="00A069BC">
        <w:t xml:space="preserve"> gene profile in the 13 isolates and three publicly available WGS data sets, but were observed to not always detect the target gene when present because of an </w:t>
      </w:r>
      <w:r w:rsidRPr="00A069BC">
        <w:lastRenderedPageBreak/>
        <w:t xml:space="preserve">increased number of mismatches compared to those accepted by the preset criteria (e.g. due to </w:t>
      </w:r>
      <w:r w:rsidRPr="00A069BC">
        <w:rPr>
          <w:i/>
        </w:rPr>
        <w:t>se</w:t>
      </w:r>
      <w:r w:rsidRPr="00A069BC">
        <w:t xml:space="preserve"> variants), in contrast to the other gene-specific primer pairs (see Supplementary </w:t>
      </w:r>
      <w:r>
        <w:t>Data</w:t>
      </w:r>
      <w:r w:rsidRPr="00A069BC">
        <w:t xml:space="preserve">). Since no primer pairs for PCR were described in literature, cloning primers described in literature were used for </w:t>
      </w:r>
      <w:r w:rsidRPr="00A069BC">
        <w:rPr>
          <w:i/>
        </w:rPr>
        <w:t>selv</w:t>
      </w:r>
      <w:r w:rsidRPr="00A069BC">
        <w:t xml:space="preserve"> (by removing the 5’ end restriction sites underlined in the corresponding sequences). It is also mentioned in the column ‘Remark’ which primer sets are applied by the EURL-CPS</w:t>
      </w:r>
      <w:r>
        <w:t>.</w:t>
      </w:r>
    </w:p>
    <w:p w14:paraId="498D33D7" w14:textId="77777777" w:rsidR="00E452BC" w:rsidRDefault="00E452BC" w:rsidP="00A069BC">
      <w:pPr>
        <w:pStyle w:val="NoSpacing"/>
        <w:jc w:val="both"/>
        <w:sectPr w:rsidR="00E452BC" w:rsidSect="00F90100">
          <w:pgSz w:w="15840" w:h="12240" w:orient="landscape"/>
          <w:pgMar w:top="1282" w:right="1138" w:bottom="1181" w:left="1138" w:header="720" w:footer="720" w:gutter="0"/>
          <w:cols w:space="720"/>
          <w:titlePg/>
          <w:docGrid w:linePitch="360"/>
        </w:sectPr>
      </w:pPr>
    </w:p>
    <w:p w14:paraId="0BB1906E" w14:textId="2C41B693" w:rsidR="00A069BC" w:rsidRDefault="00A069BC" w:rsidP="00A069BC">
      <w:pPr>
        <w:pStyle w:val="Caption"/>
      </w:pPr>
      <w:r>
        <w:lastRenderedPageBreak/>
        <w:t>Table S</w:t>
      </w:r>
      <w:r w:rsidR="004304AF">
        <w:fldChar w:fldCharType="begin"/>
      </w:r>
      <w:r w:rsidR="004304AF">
        <w:instrText xml:space="preserve"> SEQ Table \* ARABIC </w:instrText>
      </w:r>
      <w:r w:rsidR="004304AF">
        <w:fldChar w:fldCharType="separate"/>
      </w:r>
      <w:r w:rsidR="009E0F3F">
        <w:rPr>
          <w:noProof/>
        </w:rPr>
        <w:t>2</w:t>
      </w:r>
      <w:r w:rsidR="004304AF">
        <w:rPr>
          <w:noProof/>
        </w:rPr>
        <w:fldChar w:fldCharType="end"/>
      </w:r>
      <w:r>
        <w:t>. Overview of selected public data</w:t>
      </w:r>
    </w:p>
    <w:tbl>
      <w:tblPr>
        <w:tblW w:w="9861" w:type="dxa"/>
        <w:jc w:val="center"/>
        <w:tblLook w:val="04A0" w:firstRow="1" w:lastRow="0" w:firstColumn="1" w:lastColumn="0" w:noHBand="0" w:noVBand="1"/>
      </w:tblPr>
      <w:tblGrid>
        <w:gridCol w:w="1457"/>
        <w:gridCol w:w="1632"/>
        <w:gridCol w:w="1609"/>
        <w:gridCol w:w="3487"/>
        <w:gridCol w:w="1800"/>
      </w:tblGrid>
      <w:tr w:rsidR="00E452BC" w:rsidRPr="00226C9F" w14:paraId="31C9BDDA" w14:textId="77777777" w:rsidTr="00226C9F">
        <w:trPr>
          <w:trHeight w:val="288"/>
          <w:jc w:val="center"/>
        </w:trPr>
        <w:tc>
          <w:tcPr>
            <w:tcW w:w="14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497C84" w14:textId="77777777" w:rsidR="00E452BC" w:rsidRPr="00226C9F" w:rsidRDefault="00E452BC" w:rsidP="00E452BC">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NCBI BioSample accession</w:t>
            </w:r>
          </w:p>
        </w:tc>
        <w:tc>
          <w:tcPr>
            <w:tcW w:w="1508" w:type="dxa"/>
            <w:tcBorders>
              <w:top w:val="single" w:sz="4" w:space="0" w:color="auto"/>
              <w:left w:val="nil"/>
              <w:bottom w:val="single" w:sz="4" w:space="0" w:color="auto"/>
              <w:right w:val="single" w:sz="4" w:space="0" w:color="auto"/>
            </w:tcBorders>
            <w:shd w:val="clear" w:color="auto" w:fill="auto"/>
            <w:noWrap/>
            <w:vAlign w:val="center"/>
            <w:hideMark/>
          </w:tcPr>
          <w:p w14:paraId="543AAB05" w14:textId="77777777" w:rsidR="00E452BC" w:rsidRPr="00226C9F" w:rsidRDefault="00E452BC" w:rsidP="00E452BC">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Genbank assembly accession</w:t>
            </w:r>
          </w:p>
        </w:tc>
        <w:tc>
          <w:tcPr>
            <w:tcW w:w="1609" w:type="dxa"/>
            <w:tcBorders>
              <w:top w:val="single" w:sz="4" w:space="0" w:color="auto"/>
              <w:left w:val="nil"/>
              <w:bottom w:val="single" w:sz="4" w:space="0" w:color="auto"/>
              <w:right w:val="single" w:sz="4" w:space="0" w:color="auto"/>
            </w:tcBorders>
            <w:shd w:val="clear" w:color="auto" w:fill="auto"/>
            <w:noWrap/>
            <w:vAlign w:val="center"/>
            <w:hideMark/>
          </w:tcPr>
          <w:p w14:paraId="69BFBB33" w14:textId="77777777" w:rsidR="00E452BC" w:rsidRPr="00226C9F" w:rsidRDefault="00E452BC" w:rsidP="00E452BC">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Raw reads available (SRA experiment ID)</w:t>
            </w:r>
          </w:p>
        </w:tc>
        <w:tc>
          <w:tcPr>
            <w:tcW w:w="3487" w:type="dxa"/>
            <w:tcBorders>
              <w:top w:val="single" w:sz="4" w:space="0" w:color="auto"/>
              <w:left w:val="nil"/>
              <w:bottom w:val="single" w:sz="4" w:space="0" w:color="auto"/>
              <w:right w:val="single" w:sz="4" w:space="0" w:color="auto"/>
            </w:tcBorders>
            <w:shd w:val="clear" w:color="auto" w:fill="auto"/>
            <w:noWrap/>
            <w:vAlign w:val="center"/>
            <w:hideMark/>
          </w:tcPr>
          <w:p w14:paraId="7B7D924D" w14:textId="77777777" w:rsidR="00E452BC" w:rsidRPr="00226C9F" w:rsidRDefault="00E452BC" w:rsidP="00E452BC">
            <w:pPr>
              <w:spacing w:before="0" w:after="0"/>
              <w:jc w:val="center"/>
              <w:rPr>
                <w:rFonts w:eastAsia="Times New Roman" w:cs="Times New Roman"/>
                <w:b/>
                <w:bCs/>
                <w:i/>
                <w:iCs/>
                <w:color w:val="000000"/>
                <w:sz w:val="18"/>
                <w:szCs w:val="18"/>
              </w:rPr>
            </w:pPr>
            <w:r w:rsidRPr="00226C9F">
              <w:rPr>
                <w:rFonts w:eastAsia="Times New Roman" w:cs="Times New Roman"/>
                <w:b/>
                <w:bCs/>
                <w:i/>
                <w:iCs/>
                <w:color w:val="000000"/>
                <w:sz w:val="18"/>
                <w:szCs w:val="18"/>
              </w:rPr>
              <w:t xml:space="preserve">se </w:t>
            </w:r>
            <w:r w:rsidRPr="00226C9F">
              <w:rPr>
                <w:rFonts w:eastAsia="Times New Roman" w:cs="Times New Roman"/>
                <w:b/>
                <w:bCs/>
                <w:color w:val="000000"/>
                <w:sz w:val="18"/>
                <w:szCs w:val="18"/>
              </w:rPr>
              <w:t>gene profile</w:t>
            </w:r>
          </w:p>
        </w:tc>
        <w:tc>
          <w:tcPr>
            <w:tcW w:w="1800" w:type="dxa"/>
            <w:tcBorders>
              <w:top w:val="single" w:sz="4" w:space="0" w:color="auto"/>
              <w:left w:val="nil"/>
              <w:bottom w:val="single" w:sz="4" w:space="0" w:color="auto"/>
              <w:right w:val="single" w:sz="4" w:space="0" w:color="auto"/>
            </w:tcBorders>
            <w:shd w:val="clear" w:color="auto" w:fill="auto"/>
            <w:noWrap/>
            <w:vAlign w:val="center"/>
            <w:hideMark/>
          </w:tcPr>
          <w:p w14:paraId="1B62A111" w14:textId="77777777" w:rsidR="00E452BC" w:rsidRPr="00226C9F" w:rsidRDefault="00E452BC" w:rsidP="00E452BC">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Reference</w:t>
            </w:r>
          </w:p>
        </w:tc>
      </w:tr>
      <w:tr w:rsidR="00E452BC" w:rsidRPr="00226C9F" w14:paraId="39E006F9" w14:textId="77777777" w:rsidTr="00226C9F">
        <w:trPr>
          <w:trHeight w:val="288"/>
          <w:jc w:val="center"/>
        </w:trPr>
        <w:tc>
          <w:tcPr>
            <w:tcW w:w="1457" w:type="dxa"/>
            <w:tcBorders>
              <w:top w:val="nil"/>
              <w:left w:val="single" w:sz="4" w:space="0" w:color="auto"/>
              <w:bottom w:val="single" w:sz="4" w:space="0" w:color="auto"/>
              <w:right w:val="single" w:sz="4" w:space="0" w:color="auto"/>
            </w:tcBorders>
            <w:shd w:val="clear" w:color="auto" w:fill="auto"/>
            <w:noWrap/>
            <w:vAlign w:val="center"/>
            <w:hideMark/>
          </w:tcPr>
          <w:p w14:paraId="23852246" w14:textId="77777777" w:rsidR="00E452BC" w:rsidRPr="00226C9F" w:rsidRDefault="00E452BC" w:rsidP="00E452BC">
            <w:pPr>
              <w:spacing w:before="0" w:after="0"/>
              <w:jc w:val="center"/>
              <w:rPr>
                <w:rFonts w:eastAsia="Times New Roman" w:cs="Times New Roman"/>
                <w:color w:val="000000"/>
                <w:sz w:val="18"/>
                <w:szCs w:val="18"/>
              </w:rPr>
            </w:pPr>
            <w:r w:rsidRPr="00226C9F">
              <w:rPr>
                <w:rFonts w:eastAsia="Times New Roman" w:cs="Times New Roman"/>
                <w:color w:val="000000"/>
                <w:sz w:val="18"/>
                <w:szCs w:val="18"/>
              </w:rPr>
              <w:t>SAMN02391177</w:t>
            </w:r>
          </w:p>
        </w:tc>
        <w:tc>
          <w:tcPr>
            <w:tcW w:w="1508" w:type="dxa"/>
            <w:tcBorders>
              <w:top w:val="nil"/>
              <w:left w:val="nil"/>
              <w:bottom w:val="single" w:sz="4" w:space="0" w:color="auto"/>
              <w:right w:val="single" w:sz="4" w:space="0" w:color="auto"/>
            </w:tcBorders>
            <w:shd w:val="clear" w:color="auto" w:fill="auto"/>
            <w:noWrap/>
            <w:vAlign w:val="center"/>
            <w:hideMark/>
          </w:tcPr>
          <w:p w14:paraId="4580953F" w14:textId="77777777" w:rsidR="00E452BC" w:rsidRPr="00226C9F" w:rsidRDefault="00E452BC" w:rsidP="00E452BC">
            <w:pPr>
              <w:spacing w:before="0" w:after="0"/>
              <w:jc w:val="center"/>
              <w:rPr>
                <w:rFonts w:eastAsia="Times New Roman" w:cs="Times New Roman"/>
                <w:color w:val="000000"/>
                <w:sz w:val="18"/>
                <w:szCs w:val="18"/>
              </w:rPr>
            </w:pPr>
            <w:r w:rsidRPr="00226C9F">
              <w:rPr>
                <w:rFonts w:eastAsia="Times New Roman" w:cs="Times New Roman"/>
                <w:color w:val="000000"/>
                <w:sz w:val="18"/>
                <w:szCs w:val="18"/>
              </w:rPr>
              <w:t>GCA_000636155.1</w:t>
            </w:r>
          </w:p>
        </w:tc>
        <w:tc>
          <w:tcPr>
            <w:tcW w:w="1609" w:type="dxa"/>
            <w:tcBorders>
              <w:top w:val="nil"/>
              <w:left w:val="nil"/>
              <w:bottom w:val="single" w:sz="4" w:space="0" w:color="auto"/>
              <w:right w:val="single" w:sz="4" w:space="0" w:color="auto"/>
            </w:tcBorders>
            <w:shd w:val="clear" w:color="auto" w:fill="auto"/>
            <w:noWrap/>
            <w:vAlign w:val="center"/>
            <w:hideMark/>
          </w:tcPr>
          <w:p w14:paraId="70EA661A" w14:textId="77777777" w:rsidR="00E452BC" w:rsidRPr="00226C9F" w:rsidRDefault="004304AF" w:rsidP="00E452BC">
            <w:pPr>
              <w:spacing w:before="0" w:after="0"/>
              <w:jc w:val="center"/>
              <w:rPr>
                <w:rFonts w:eastAsia="Times New Roman" w:cs="Times New Roman"/>
                <w:color w:val="000000"/>
                <w:sz w:val="18"/>
                <w:szCs w:val="18"/>
              </w:rPr>
            </w:pPr>
            <w:hyperlink r:id="rId18" w:history="1">
              <w:r w:rsidR="00E452BC" w:rsidRPr="00226C9F">
                <w:rPr>
                  <w:rFonts w:eastAsia="Times New Roman" w:cs="Times New Roman"/>
                  <w:color w:val="000000"/>
                  <w:sz w:val="18"/>
                  <w:szCs w:val="18"/>
                </w:rPr>
                <w:t>yes (SRX546124)</w:t>
              </w:r>
            </w:hyperlink>
          </w:p>
        </w:tc>
        <w:tc>
          <w:tcPr>
            <w:tcW w:w="3487" w:type="dxa"/>
            <w:tcBorders>
              <w:top w:val="nil"/>
              <w:left w:val="nil"/>
              <w:bottom w:val="single" w:sz="4" w:space="0" w:color="auto"/>
              <w:right w:val="single" w:sz="4" w:space="0" w:color="auto"/>
            </w:tcBorders>
            <w:shd w:val="clear" w:color="auto" w:fill="auto"/>
            <w:noWrap/>
            <w:vAlign w:val="center"/>
            <w:hideMark/>
          </w:tcPr>
          <w:p w14:paraId="6B5BF9F0" w14:textId="77777777" w:rsidR="00E452BC" w:rsidRPr="00634D63" w:rsidRDefault="00E452BC" w:rsidP="00E452BC">
            <w:pPr>
              <w:spacing w:before="0" w:after="0"/>
              <w:jc w:val="center"/>
              <w:rPr>
                <w:rFonts w:eastAsia="Times New Roman" w:cs="Times New Roman"/>
                <w:i/>
                <w:iCs/>
                <w:color w:val="000000"/>
                <w:sz w:val="18"/>
                <w:szCs w:val="18"/>
                <w:lang w:val="de-DE"/>
              </w:rPr>
            </w:pPr>
            <w:r w:rsidRPr="00634D63">
              <w:rPr>
                <w:rFonts w:eastAsia="Times New Roman" w:cs="Times New Roman"/>
                <w:i/>
                <w:iCs/>
                <w:color w:val="000000"/>
                <w:sz w:val="18"/>
                <w:szCs w:val="18"/>
                <w:lang w:val="de-DE"/>
              </w:rPr>
              <w:t xml:space="preserve">seg, sei, sen, seo, selu, selx, </w:t>
            </w:r>
            <w:r w:rsidRPr="00634D63">
              <w:rPr>
                <w:rFonts w:eastAsia="Times New Roman" w:cs="Times New Roman"/>
                <w:i/>
                <w:iCs/>
                <w:color w:val="5B9BD5"/>
                <w:sz w:val="18"/>
                <w:szCs w:val="18"/>
                <w:lang w:val="de-DE"/>
              </w:rPr>
              <w:t>sey</w:t>
            </w:r>
            <w:r w:rsidRPr="00634D63">
              <w:rPr>
                <w:rFonts w:eastAsia="Times New Roman" w:cs="Times New Roman"/>
                <w:i/>
                <w:iCs/>
                <w:color w:val="000000"/>
                <w:sz w:val="18"/>
                <w:szCs w:val="18"/>
                <w:lang w:val="de-DE"/>
              </w:rPr>
              <w:t xml:space="preserve">, </w:t>
            </w:r>
            <w:r w:rsidRPr="00634D63">
              <w:rPr>
                <w:rFonts w:eastAsia="Times New Roman" w:cs="Times New Roman"/>
                <w:i/>
                <w:iCs/>
                <w:color w:val="5B9BD5"/>
                <w:sz w:val="18"/>
                <w:szCs w:val="18"/>
                <w:lang w:val="de-DE"/>
              </w:rPr>
              <w:t>sel26</w:t>
            </w:r>
            <w:r w:rsidRPr="00634D63">
              <w:rPr>
                <w:rFonts w:eastAsia="Times New Roman" w:cs="Times New Roman"/>
                <w:i/>
                <w:iCs/>
                <w:color w:val="000000"/>
                <w:sz w:val="18"/>
                <w:szCs w:val="18"/>
                <w:lang w:val="de-DE"/>
              </w:rPr>
              <w:t xml:space="preserve">, </w:t>
            </w:r>
            <w:r w:rsidRPr="00634D63">
              <w:rPr>
                <w:rFonts w:eastAsia="Times New Roman" w:cs="Times New Roman"/>
                <w:i/>
                <w:iCs/>
                <w:color w:val="5B9BD5"/>
                <w:sz w:val="18"/>
                <w:szCs w:val="18"/>
                <w:lang w:val="de-DE"/>
              </w:rPr>
              <w:t>sel27</w:t>
            </w:r>
          </w:p>
        </w:tc>
        <w:tc>
          <w:tcPr>
            <w:tcW w:w="1800" w:type="dxa"/>
            <w:tcBorders>
              <w:top w:val="nil"/>
              <w:left w:val="nil"/>
              <w:bottom w:val="single" w:sz="4" w:space="0" w:color="auto"/>
              <w:right w:val="single" w:sz="4" w:space="0" w:color="auto"/>
            </w:tcBorders>
            <w:shd w:val="clear" w:color="auto" w:fill="auto"/>
            <w:noWrap/>
            <w:vAlign w:val="center"/>
            <w:hideMark/>
          </w:tcPr>
          <w:p w14:paraId="42906E30" w14:textId="0AF51B6C" w:rsidR="00E452BC" w:rsidRPr="00226C9F" w:rsidRDefault="00E452BC" w:rsidP="00E452BC">
            <w:pPr>
              <w:spacing w:before="0" w:after="0"/>
              <w:jc w:val="center"/>
              <w:rPr>
                <w:rFonts w:eastAsia="Times New Roman" w:cs="Times New Roman"/>
                <w:color w:val="000000"/>
                <w:sz w:val="18"/>
                <w:szCs w:val="18"/>
              </w:rPr>
            </w:pPr>
            <w:r w:rsidRPr="00226C9F">
              <w:rPr>
                <w:rFonts w:eastAsia="Times New Roman" w:cs="Times New Roman"/>
                <w:color w:val="000000"/>
                <w:sz w:val="18"/>
                <w:szCs w:val="18"/>
              </w:rPr>
              <w:fldChar w:fldCharType="begin" w:fldLock="1"/>
            </w:r>
            <w:r w:rsidR="0049264C">
              <w:rPr>
                <w:rFonts w:eastAsia="Times New Roman" w:cs="Times New Roman"/>
                <w:color w:val="000000"/>
                <w:sz w:val="18"/>
                <w:szCs w:val="18"/>
              </w:rPr>
              <w:instrText>ADDIN CSL_CITATION {"citationItems":[{"id":"ITEM-1","itemData":{"DOI":"10.3389/fmicb.2020.01483","ISSN":"1664-302X","abstract":"Food contamination by staphylococcal enterotoxins (SEs) is responsible for many food poisoning outbreaks (FPOs) each year, and they represent the third leading cause of FPOs in Europe. SEs constitute a protein family with 27 proteins. However, enzyme immunoassays can only detect directly in food the five classical SEs (SEA-SEE). Thus, molecular characterization methods of strains found in food are now used for FPO investigations. Here, we describe the development and implementation of a genomic analysis tool called NAuRA (Nice automatic Research of alleles) that can detect the presence of 27 SEs genes in just one analysis- and create a database of allelic data and protein variants for harmonizing analyses. This tool uses genome assembly data and the 27 protein sequences of SEs. To include the different divergence levels between SE-coding genes, parameters of coverage and identity were generated from 10,000 simulations and a dataset of 244 assembled genomes from strains responsible for outbreaks in Europe as well as the RefSeq reference database. Based on phylogenetic inference performed using maximum-likelihood on the core genomes of the strains in this collection, we demonstrated that strains responsible for FPOs are distributed throughout the phylogenetic tree. Moreover, 71 toxin profiles were obtained using the NAuRA pipeline and these profiles do not follow the evolutionary history of strains. This study presents a pioneering method to investigate strains isolated from food at the genomic level and to analyze the diversity of all 27 SE-coding genes together.","author":[{"dropping-particle":"","family":"Merda","given":"Déborah","non-dropping-particle":"","parse-names":false,"suffix":""},{"dropping-particle":"","family":"Felten","given":"Arnaud","non-dropping-particle":"","parse-names":false,"suffix":""},{"dropping-particle":"","family":"Vingadassalon","given":"Noémie","non-dropping-particle":"","parse-names":false,"suffix":""},{"dropping-particle":"","family":"Denayer","given":"Sarah","non-dropping-particle":"","parse-names":false,"suffix":""},{"dropping-particle":"","family":"Titouche","given":"Yacine","non-dropping-particle":"","parse-names":false,"suffix":""},{"dropping-particle":"","family":"Decastelli","given":"Lucia","non-dropping-particle":"","parse-names":false,"suffix":""},{"dropping-particle":"","family":"Hickey","given":"Bernadette","non-dropping-particle":"","parse-names":false,"suffix":""},{"dropping-particle":"","family":"Kourtis","given":"Christos","non-dropping-particle":"","parse-names":false,"suffix":""},{"dropping-particle":"","family":"Daskalov","given":"Hristo","non-dropping-particle":"","parse-names":false,"suffix":""},{"dropping-particle":"","family":"Mistou","given":"Michel-Yves","non-dropping-particle":"","parse-names":false,"suffix":""},{"dropping-particle":"","family":"Hennekinne","given":"Jacques-Antoine","non-dropping-particle":"","parse-names":false,"suffix":""}],"container-title":"Frontiers in Microbiology","id":"ITEM-1","issue":"June","issued":{"date-parts":[["2020","6","30"]]},"page":"1-12","title":"NAuRA: Genomic Tool to Identify Staphylococcal Enterotoxins in Staphylococcus aureus Strains Responsible for FoodBorne Outbreaks","type":"article-journal","volume":"11"},"uris":["http://www.mendeley.com/documents/?uuid=81fd2be4-1462-4cb9-9b92-3f48a4c75757"]}],"mendeley":{"formattedCitation":"(Merda et al., 2020)","plainTextFormattedCitation":"(Merda et al., 2020)","previouslyFormattedCitation":"(Merda et al., 2020)"},"properties":{"noteIndex":0},"schema":"https://github.com/citation-style-language/schema/raw/master/csl-citation.json"}</w:instrText>
            </w:r>
            <w:r w:rsidRPr="00226C9F">
              <w:rPr>
                <w:rFonts w:eastAsia="Times New Roman" w:cs="Times New Roman"/>
                <w:color w:val="000000"/>
                <w:sz w:val="18"/>
                <w:szCs w:val="18"/>
              </w:rPr>
              <w:fldChar w:fldCharType="separate"/>
            </w:r>
            <w:r w:rsidRPr="00226C9F">
              <w:rPr>
                <w:rFonts w:eastAsia="Times New Roman" w:cs="Times New Roman"/>
                <w:noProof/>
                <w:color w:val="000000"/>
                <w:sz w:val="18"/>
                <w:szCs w:val="18"/>
              </w:rPr>
              <w:t>(Merda et al., 2020)</w:t>
            </w:r>
            <w:r w:rsidRPr="00226C9F">
              <w:rPr>
                <w:rFonts w:eastAsia="Times New Roman" w:cs="Times New Roman"/>
                <w:color w:val="000000"/>
                <w:sz w:val="18"/>
                <w:szCs w:val="18"/>
              </w:rPr>
              <w:fldChar w:fldCharType="end"/>
            </w:r>
          </w:p>
        </w:tc>
      </w:tr>
      <w:tr w:rsidR="00E452BC" w:rsidRPr="00634D63" w14:paraId="1BC8E412" w14:textId="77777777" w:rsidTr="00226C9F">
        <w:trPr>
          <w:trHeight w:val="288"/>
          <w:jc w:val="center"/>
        </w:trPr>
        <w:tc>
          <w:tcPr>
            <w:tcW w:w="1457" w:type="dxa"/>
            <w:tcBorders>
              <w:top w:val="nil"/>
              <w:left w:val="single" w:sz="4" w:space="0" w:color="auto"/>
              <w:bottom w:val="single" w:sz="4" w:space="0" w:color="auto"/>
              <w:right w:val="single" w:sz="4" w:space="0" w:color="auto"/>
            </w:tcBorders>
            <w:shd w:val="clear" w:color="auto" w:fill="auto"/>
            <w:noWrap/>
            <w:vAlign w:val="center"/>
            <w:hideMark/>
          </w:tcPr>
          <w:p w14:paraId="627848A2" w14:textId="77777777" w:rsidR="00E452BC" w:rsidRPr="00226C9F" w:rsidRDefault="00E452BC" w:rsidP="00E452BC">
            <w:pPr>
              <w:spacing w:before="0" w:after="0"/>
              <w:jc w:val="center"/>
              <w:rPr>
                <w:rFonts w:eastAsia="Times New Roman" w:cs="Times New Roman"/>
                <w:color w:val="000000"/>
                <w:sz w:val="18"/>
                <w:szCs w:val="18"/>
              </w:rPr>
            </w:pPr>
            <w:r w:rsidRPr="00226C9F">
              <w:rPr>
                <w:rFonts w:eastAsia="Times New Roman" w:cs="Times New Roman"/>
                <w:color w:val="000000"/>
                <w:sz w:val="18"/>
                <w:szCs w:val="18"/>
              </w:rPr>
              <w:t>SAMN02403200</w:t>
            </w:r>
          </w:p>
        </w:tc>
        <w:tc>
          <w:tcPr>
            <w:tcW w:w="1508" w:type="dxa"/>
            <w:tcBorders>
              <w:top w:val="nil"/>
              <w:left w:val="nil"/>
              <w:bottom w:val="single" w:sz="4" w:space="0" w:color="auto"/>
              <w:right w:val="single" w:sz="4" w:space="0" w:color="auto"/>
            </w:tcBorders>
            <w:shd w:val="clear" w:color="auto" w:fill="auto"/>
            <w:noWrap/>
            <w:vAlign w:val="center"/>
            <w:hideMark/>
          </w:tcPr>
          <w:p w14:paraId="3B876850" w14:textId="77777777" w:rsidR="00E452BC" w:rsidRPr="00226C9F" w:rsidRDefault="00E452BC" w:rsidP="00E452BC">
            <w:pPr>
              <w:spacing w:before="0" w:after="0"/>
              <w:jc w:val="center"/>
              <w:rPr>
                <w:rFonts w:eastAsia="Times New Roman" w:cs="Times New Roman"/>
                <w:color w:val="000000"/>
                <w:sz w:val="18"/>
                <w:szCs w:val="18"/>
              </w:rPr>
            </w:pPr>
            <w:r w:rsidRPr="00226C9F">
              <w:rPr>
                <w:rFonts w:eastAsia="Times New Roman" w:cs="Times New Roman"/>
                <w:color w:val="000000"/>
                <w:sz w:val="18"/>
                <w:szCs w:val="18"/>
              </w:rPr>
              <w:t>GCA_000586795.1</w:t>
            </w:r>
          </w:p>
        </w:tc>
        <w:tc>
          <w:tcPr>
            <w:tcW w:w="1609" w:type="dxa"/>
            <w:tcBorders>
              <w:top w:val="nil"/>
              <w:left w:val="nil"/>
              <w:bottom w:val="single" w:sz="4" w:space="0" w:color="auto"/>
              <w:right w:val="single" w:sz="4" w:space="0" w:color="auto"/>
            </w:tcBorders>
            <w:shd w:val="clear" w:color="auto" w:fill="auto"/>
            <w:noWrap/>
            <w:vAlign w:val="center"/>
            <w:hideMark/>
          </w:tcPr>
          <w:p w14:paraId="54B98965" w14:textId="77777777" w:rsidR="00E452BC" w:rsidRPr="00226C9F" w:rsidRDefault="00E452BC" w:rsidP="00E452BC">
            <w:pPr>
              <w:spacing w:before="0" w:after="0"/>
              <w:jc w:val="center"/>
              <w:rPr>
                <w:rFonts w:eastAsia="Times New Roman" w:cs="Times New Roman"/>
                <w:color w:val="000000"/>
                <w:sz w:val="18"/>
                <w:szCs w:val="18"/>
              </w:rPr>
            </w:pPr>
            <w:r w:rsidRPr="00226C9F">
              <w:rPr>
                <w:rFonts w:eastAsia="Times New Roman" w:cs="Times New Roman"/>
                <w:color w:val="000000"/>
                <w:sz w:val="18"/>
                <w:szCs w:val="18"/>
              </w:rPr>
              <w:t>yes (SRX468300)</w:t>
            </w:r>
          </w:p>
        </w:tc>
        <w:tc>
          <w:tcPr>
            <w:tcW w:w="3487" w:type="dxa"/>
            <w:tcBorders>
              <w:top w:val="nil"/>
              <w:left w:val="nil"/>
              <w:bottom w:val="single" w:sz="4" w:space="0" w:color="auto"/>
              <w:right w:val="single" w:sz="4" w:space="0" w:color="auto"/>
            </w:tcBorders>
            <w:shd w:val="clear" w:color="auto" w:fill="auto"/>
            <w:noWrap/>
            <w:vAlign w:val="center"/>
            <w:hideMark/>
          </w:tcPr>
          <w:p w14:paraId="6CD8DAB4" w14:textId="77777777" w:rsidR="00E452BC" w:rsidRPr="00226C9F" w:rsidRDefault="00E452BC" w:rsidP="00E452BC">
            <w:pPr>
              <w:spacing w:before="0" w:after="0"/>
              <w:jc w:val="center"/>
              <w:rPr>
                <w:rFonts w:eastAsia="Times New Roman" w:cs="Times New Roman"/>
                <w:i/>
                <w:iCs/>
                <w:color w:val="000000"/>
                <w:sz w:val="18"/>
                <w:szCs w:val="18"/>
              </w:rPr>
            </w:pPr>
            <w:r w:rsidRPr="00226C9F">
              <w:rPr>
                <w:rFonts w:eastAsia="Times New Roman" w:cs="Times New Roman"/>
                <w:i/>
                <w:iCs/>
                <w:color w:val="000000"/>
                <w:sz w:val="18"/>
                <w:szCs w:val="18"/>
              </w:rPr>
              <w:t xml:space="preserve">seg, sei, selj, sem, sen, seo, ser, </w:t>
            </w:r>
            <w:r w:rsidRPr="00226C9F">
              <w:rPr>
                <w:rFonts w:eastAsia="Times New Roman" w:cs="Times New Roman"/>
                <w:i/>
                <w:iCs/>
                <w:color w:val="5B9BD5"/>
                <w:sz w:val="18"/>
                <w:szCs w:val="18"/>
              </w:rPr>
              <w:t>ses</w:t>
            </w:r>
            <w:r w:rsidRPr="00226C9F">
              <w:rPr>
                <w:rFonts w:eastAsia="Times New Roman" w:cs="Times New Roman"/>
                <w:i/>
                <w:iCs/>
                <w:color w:val="000000"/>
                <w:sz w:val="18"/>
                <w:szCs w:val="18"/>
              </w:rPr>
              <w:t xml:space="preserve">, </w:t>
            </w:r>
            <w:r w:rsidRPr="00226C9F">
              <w:rPr>
                <w:rFonts w:eastAsia="Times New Roman" w:cs="Times New Roman"/>
                <w:i/>
                <w:iCs/>
                <w:color w:val="5B9BD5"/>
                <w:sz w:val="18"/>
                <w:szCs w:val="18"/>
              </w:rPr>
              <w:t>set</w:t>
            </w:r>
            <w:r w:rsidRPr="00226C9F">
              <w:rPr>
                <w:rFonts w:eastAsia="Times New Roman" w:cs="Times New Roman"/>
                <w:i/>
                <w:iCs/>
                <w:color w:val="000000"/>
                <w:sz w:val="18"/>
                <w:szCs w:val="18"/>
              </w:rPr>
              <w:t>, selu</w:t>
            </w:r>
          </w:p>
        </w:tc>
        <w:tc>
          <w:tcPr>
            <w:tcW w:w="1800" w:type="dxa"/>
            <w:tcBorders>
              <w:top w:val="nil"/>
              <w:left w:val="nil"/>
              <w:bottom w:val="single" w:sz="4" w:space="0" w:color="auto"/>
              <w:right w:val="single" w:sz="4" w:space="0" w:color="auto"/>
            </w:tcBorders>
            <w:shd w:val="clear" w:color="auto" w:fill="auto"/>
            <w:noWrap/>
            <w:vAlign w:val="center"/>
            <w:hideMark/>
          </w:tcPr>
          <w:p w14:paraId="564B24A0" w14:textId="3845A2D1" w:rsidR="00E452BC" w:rsidRPr="00634D63" w:rsidRDefault="00E452BC" w:rsidP="00E452BC">
            <w:pPr>
              <w:spacing w:before="0" w:after="0"/>
              <w:jc w:val="center"/>
              <w:rPr>
                <w:rFonts w:eastAsia="Times New Roman" w:cs="Times New Roman"/>
                <w:color w:val="000000"/>
                <w:sz w:val="18"/>
                <w:szCs w:val="18"/>
                <w:lang w:val="it-IT"/>
              </w:rPr>
            </w:pPr>
            <w:r w:rsidRPr="00226C9F">
              <w:rPr>
                <w:rFonts w:eastAsia="Times New Roman" w:cs="Times New Roman"/>
                <w:color w:val="000000"/>
                <w:sz w:val="18"/>
                <w:szCs w:val="18"/>
              </w:rPr>
              <w:fldChar w:fldCharType="begin" w:fldLock="1"/>
            </w:r>
            <w:r w:rsidR="0049264C">
              <w:rPr>
                <w:rFonts w:eastAsia="Times New Roman" w:cs="Times New Roman"/>
                <w:color w:val="000000"/>
                <w:sz w:val="18"/>
                <w:szCs w:val="18"/>
              </w:rPr>
              <w:instrText>ADDIN CSL_CITATION {"citationItems":[{"id":"ITEM-1","itemData":{"DOI":"10.3389/fmicb.2020.01483","ISSN":"1664-302X","abstract":"Food contamination by staphylococcal enterotoxins (SEs) is responsible for many food poisoning outbreaks (FPOs) each year, and they represent the third leading cause of FPOs in Europe. SEs constitute a protein family with 27 proteins. However, enzyme immunoassays can only detect directly in food the five classical SEs (SEA-SEE). Thus, molecular characterization methods of strains found in food are now used for FPO investigations. Here, we describe the development and implementation of a genomic analysis tool called NAuRA (Nice automatic Research of alleles) that can detect the presence of 27 SEs genes in just one analysis- and create a database of allelic data and protein variants for harmonizing analyses. This tool uses genome assembly data and the 27 protein sequences of SEs. To include the different divergence levels between SE-coding genes, parameters of coverage and identity were generated from 10,000 simulations and a dataset of 244 assembled genomes from strains responsible for outbreaks in Europe as well as the RefSeq reference database. Based on phylogenetic inference performed using maximum-likelihood on the core genomes of the strains in this collection, we demonstrated that strains responsible for FPOs are distributed throughout the phylogenetic tree. Moreover, 71 toxin profiles were obtained using the NAuRA pipeline and these profiles do not follow the evolutionary history of strains. This study presents a pioneering method to investigate strains isolated from food at the genomic level and to analyze the diversity of all 27 SE-coding genes together.","author":[{"dropping-particle":"","family":"Merda","given":"Déborah","non-dropping-particle":"","parse-names":false,"suffix":""},{"dropping-particle":"","family":"Felten","given":"Arnaud","non-dropping-particle":"","parse-names":false,"suffix":""},{"dropping-particle":"","family":"Vingadassalon","given":"Noémie","non-dropping-particle":"","parse-names":false,"suffix":""},{"dropping-particle":"","family":"Denayer","given":"Sarah","non-dropping-particle":"","parse-names":false,"suffix":""},{"dropping-particle":"","family":"Titouche","give</w:instrText>
            </w:r>
            <w:r w:rsidR="0049264C" w:rsidRPr="00634D63">
              <w:rPr>
                <w:rFonts w:eastAsia="Times New Roman" w:cs="Times New Roman"/>
                <w:color w:val="000000"/>
                <w:sz w:val="18"/>
                <w:szCs w:val="18"/>
                <w:lang w:val="it-IT"/>
              </w:rPr>
              <w:instrText>n":"Yacine","non-dropping-particle":"","parse-names":false,"suffix":""},{"dropping-particle":"","family":"Decastelli","given":"Lucia","non-dropping-particle":"","parse-names":false,"suffix":""},{"dropping-particle":"","family":"Hickey","given":"Bernadette","non-dropping-particle":"","parse-names":false,"suffix":""},{"dropping-particle":"","family":"Kourtis","given":"Christos","non-dropping-particle":"","parse-names":false,"suffix":""},{"dropping-particle":"","family":"Daskalov","given":"Hristo","non-dropping-particle":"","parse-names":false,"suffix":""},{"dropping-particle":"","family":"Mistou","given":"Michel-Yves","non-dropping-particle":"","parse-names":false,"suffix":""},{"dropping-particle":"","family":"Hennekinne","given":"Jacques-Antoine","non-dropping-particle":"","parse-names":false,"suffix":""}],"container-title":"Frontiers in Microbiology","id":"ITEM-1","issue":"June","issued":{"date-parts":[["2020","6","30"]]},"page":"1-12","title":"NAuRA: Genomic Tool to Identify Staphylococcal Enterotoxins in Staphylococcus aureus Strains Responsible for FoodBorne Outbreaks","type":"article-journal","volume":"11"},"uris":["http://www.mendeley.com/documents/?uuid=81fd2be4-1462-4cb9-9b92-3f48a4c75757"]}],"mendeley":{"formattedCitation":"(Merda et al., 2020)","plainTextFormattedCitation":"(Merda et al., 2020)","previouslyFormattedCitation":"(Merda et al., 2020)"},"properties":{"noteIndex":0},"schema":"https://github.com/citation-style-language/schema/raw/master/csl-citation.json"}</w:instrText>
            </w:r>
            <w:r w:rsidRPr="00226C9F">
              <w:rPr>
                <w:rFonts w:eastAsia="Times New Roman" w:cs="Times New Roman"/>
                <w:color w:val="000000"/>
                <w:sz w:val="18"/>
                <w:szCs w:val="18"/>
              </w:rPr>
              <w:fldChar w:fldCharType="separate"/>
            </w:r>
            <w:r w:rsidRPr="00634D63">
              <w:rPr>
                <w:rFonts w:eastAsia="Times New Roman" w:cs="Times New Roman"/>
                <w:noProof/>
                <w:color w:val="000000"/>
                <w:sz w:val="18"/>
                <w:szCs w:val="18"/>
                <w:lang w:val="it-IT"/>
              </w:rPr>
              <w:t>(Merda et al., 2020)</w:t>
            </w:r>
            <w:r w:rsidRPr="00226C9F">
              <w:rPr>
                <w:rFonts w:eastAsia="Times New Roman" w:cs="Times New Roman"/>
                <w:color w:val="000000"/>
                <w:sz w:val="18"/>
                <w:szCs w:val="18"/>
              </w:rPr>
              <w:fldChar w:fldCharType="end"/>
            </w:r>
          </w:p>
        </w:tc>
      </w:tr>
      <w:tr w:rsidR="00E452BC" w:rsidRPr="00226C9F" w14:paraId="76093747" w14:textId="77777777" w:rsidTr="00226C9F">
        <w:trPr>
          <w:trHeight w:val="288"/>
          <w:jc w:val="center"/>
        </w:trPr>
        <w:tc>
          <w:tcPr>
            <w:tcW w:w="1457" w:type="dxa"/>
            <w:tcBorders>
              <w:top w:val="nil"/>
              <w:left w:val="single" w:sz="4" w:space="0" w:color="auto"/>
              <w:bottom w:val="single" w:sz="4" w:space="0" w:color="auto"/>
              <w:right w:val="single" w:sz="4" w:space="0" w:color="auto"/>
            </w:tcBorders>
            <w:shd w:val="clear" w:color="auto" w:fill="auto"/>
            <w:noWrap/>
            <w:vAlign w:val="center"/>
            <w:hideMark/>
          </w:tcPr>
          <w:p w14:paraId="04E24722" w14:textId="77777777" w:rsidR="00E452BC" w:rsidRPr="00634D63" w:rsidRDefault="004304AF" w:rsidP="00E452BC">
            <w:pPr>
              <w:spacing w:before="0" w:after="0"/>
              <w:jc w:val="center"/>
              <w:rPr>
                <w:rFonts w:eastAsia="Times New Roman" w:cs="Times New Roman"/>
                <w:color w:val="000000"/>
                <w:sz w:val="18"/>
                <w:szCs w:val="18"/>
                <w:lang w:val="it-IT"/>
              </w:rPr>
            </w:pPr>
            <w:hyperlink r:id="rId19" w:history="1">
              <w:r w:rsidR="00E452BC" w:rsidRPr="00634D63">
                <w:rPr>
                  <w:rFonts w:eastAsia="Times New Roman" w:cs="Times New Roman"/>
                  <w:color w:val="000000"/>
                  <w:sz w:val="18"/>
                  <w:szCs w:val="18"/>
                  <w:lang w:val="it-IT"/>
                </w:rPr>
                <w:t>SAMN13134218</w:t>
              </w:r>
            </w:hyperlink>
          </w:p>
        </w:tc>
        <w:tc>
          <w:tcPr>
            <w:tcW w:w="1508" w:type="dxa"/>
            <w:tcBorders>
              <w:top w:val="nil"/>
              <w:left w:val="nil"/>
              <w:bottom w:val="single" w:sz="4" w:space="0" w:color="auto"/>
              <w:right w:val="single" w:sz="4" w:space="0" w:color="auto"/>
            </w:tcBorders>
            <w:shd w:val="clear" w:color="auto" w:fill="auto"/>
            <w:noWrap/>
            <w:vAlign w:val="center"/>
            <w:hideMark/>
          </w:tcPr>
          <w:p w14:paraId="77CF867D" w14:textId="77777777" w:rsidR="00E452BC" w:rsidRPr="00634D63" w:rsidRDefault="00E452BC" w:rsidP="00E452BC">
            <w:pPr>
              <w:spacing w:before="0" w:after="0"/>
              <w:jc w:val="center"/>
              <w:rPr>
                <w:rFonts w:eastAsia="Times New Roman" w:cs="Times New Roman"/>
                <w:color w:val="000000"/>
                <w:sz w:val="18"/>
                <w:szCs w:val="18"/>
                <w:lang w:val="it-IT"/>
              </w:rPr>
            </w:pPr>
            <w:r w:rsidRPr="00634D63">
              <w:rPr>
                <w:rFonts w:eastAsia="Times New Roman" w:cs="Times New Roman"/>
                <w:color w:val="000000"/>
                <w:sz w:val="18"/>
                <w:szCs w:val="18"/>
                <w:lang w:val="it-IT"/>
              </w:rPr>
              <w:t>GCA_009696775.1</w:t>
            </w:r>
          </w:p>
        </w:tc>
        <w:tc>
          <w:tcPr>
            <w:tcW w:w="1609" w:type="dxa"/>
            <w:tcBorders>
              <w:top w:val="nil"/>
              <w:left w:val="nil"/>
              <w:bottom w:val="single" w:sz="4" w:space="0" w:color="auto"/>
              <w:right w:val="single" w:sz="4" w:space="0" w:color="auto"/>
            </w:tcBorders>
            <w:shd w:val="clear" w:color="auto" w:fill="auto"/>
            <w:noWrap/>
            <w:vAlign w:val="center"/>
            <w:hideMark/>
          </w:tcPr>
          <w:p w14:paraId="6F6770E1" w14:textId="77777777" w:rsidR="00E452BC" w:rsidRPr="00634D63" w:rsidRDefault="00E452BC" w:rsidP="00E452BC">
            <w:pPr>
              <w:spacing w:before="0" w:after="0"/>
              <w:jc w:val="center"/>
              <w:rPr>
                <w:rFonts w:eastAsia="Times New Roman" w:cs="Times New Roman"/>
                <w:color w:val="000000"/>
                <w:sz w:val="18"/>
                <w:szCs w:val="18"/>
                <w:lang w:val="it-IT"/>
              </w:rPr>
            </w:pPr>
            <w:r w:rsidRPr="00634D63">
              <w:rPr>
                <w:rFonts w:eastAsia="Times New Roman" w:cs="Times New Roman"/>
                <w:color w:val="000000"/>
                <w:sz w:val="18"/>
                <w:szCs w:val="18"/>
                <w:lang w:val="it-IT"/>
              </w:rPr>
              <w:t>no</w:t>
            </w:r>
          </w:p>
        </w:tc>
        <w:tc>
          <w:tcPr>
            <w:tcW w:w="3487" w:type="dxa"/>
            <w:tcBorders>
              <w:top w:val="nil"/>
              <w:left w:val="nil"/>
              <w:bottom w:val="single" w:sz="4" w:space="0" w:color="auto"/>
              <w:right w:val="single" w:sz="4" w:space="0" w:color="auto"/>
            </w:tcBorders>
            <w:shd w:val="clear" w:color="auto" w:fill="auto"/>
            <w:noWrap/>
            <w:vAlign w:val="center"/>
            <w:hideMark/>
          </w:tcPr>
          <w:p w14:paraId="6E625129" w14:textId="77777777" w:rsidR="00E452BC" w:rsidRPr="00634D63" w:rsidRDefault="00E452BC" w:rsidP="00E452BC">
            <w:pPr>
              <w:spacing w:before="0" w:after="0"/>
              <w:jc w:val="center"/>
              <w:rPr>
                <w:rFonts w:eastAsia="Times New Roman" w:cs="Times New Roman"/>
                <w:i/>
                <w:iCs/>
                <w:color w:val="000000"/>
                <w:sz w:val="18"/>
                <w:szCs w:val="18"/>
                <w:lang w:val="it-IT"/>
              </w:rPr>
            </w:pPr>
            <w:r w:rsidRPr="00634D63">
              <w:rPr>
                <w:rFonts w:eastAsia="Times New Roman" w:cs="Times New Roman"/>
                <w:i/>
                <w:iCs/>
                <w:color w:val="000000"/>
                <w:sz w:val="18"/>
                <w:szCs w:val="18"/>
                <w:lang w:val="it-IT"/>
              </w:rPr>
              <w:t xml:space="preserve">seg, sei, sem, sen, seo, selu, </w:t>
            </w:r>
            <w:r w:rsidRPr="00634D63">
              <w:rPr>
                <w:rFonts w:eastAsia="Times New Roman" w:cs="Times New Roman"/>
                <w:i/>
                <w:iCs/>
                <w:color w:val="5B9BD5"/>
                <w:sz w:val="18"/>
                <w:szCs w:val="18"/>
                <w:lang w:val="it-IT"/>
              </w:rPr>
              <w:t>selv</w:t>
            </w:r>
          </w:p>
        </w:tc>
        <w:tc>
          <w:tcPr>
            <w:tcW w:w="1800" w:type="dxa"/>
            <w:tcBorders>
              <w:top w:val="nil"/>
              <w:left w:val="nil"/>
              <w:bottom w:val="single" w:sz="4" w:space="0" w:color="auto"/>
              <w:right w:val="single" w:sz="4" w:space="0" w:color="auto"/>
            </w:tcBorders>
            <w:shd w:val="clear" w:color="auto" w:fill="auto"/>
            <w:noWrap/>
            <w:vAlign w:val="center"/>
            <w:hideMark/>
          </w:tcPr>
          <w:p w14:paraId="4CD0819D" w14:textId="5B1435BB" w:rsidR="00E452BC" w:rsidRPr="00226C9F" w:rsidRDefault="00E452BC" w:rsidP="00E452BC">
            <w:pPr>
              <w:spacing w:before="0" w:after="0"/>
              <w:jc w:val="center"/>
              <w:rPr>
                <w:rFonts w:eastAsia="Times New Roman" w:cs="Times New Roman"/>
                <w:color w:val="000000"/>
                <w:sz w:val="18"/>
                <w:szCs w:val="18"/>
              </w:rPr>
            </w:pPr>
            <w:r w:rsidRPr="00226C9F">
              <w:rPr>
                <w:rFonts w:eastAsia="Times New Roman" w:cs="Times New Roman"/>
                <w:color w:val="000000"/>
                <w:sz w:val="18"/>
                <w:szCs w:val="18"/>
              </w:rPr>
              <w:fldChar w:fldCharType="begin" w:fldLock="1"/>
            </w:r>
            <w:r w:rsidR="0049264C" w:rsidRPr="00634D63">
              <w:rPr>
                <w:rFonts w:eastAsia="Times New Roman" w:cs="Times New Roman"/>
                <w:color w:val="000000"/>
                <w:sz w:val="18"/>
                <w:szCs w:val="18"/>
                <w:lang w:val="it-IT"/>
              </w:rPr>
              <w:instrText>ADDIN CSL_CITATION {"citationItems":[{"id":"ITEM-1","itemData":{"DOI":"10.3389/fvets.2020.00135","ISSN":"2297-1769","abstract":"Staphylococcus aureus is a causative agent of different infectious processes, food poisoning, and autoimmune disorders. The horizontal transfer of pathogenic strains can occur from animal to human under both house and farm conditions, and the spread of strains with antibiotic resistance is an existing problem. In addition to the spread of antibiotic-resistant strains in clinics, this problem also exists in veterinary medicine. It is especially important to monitor antibiotic resistance on farms where antibiotics are the standard treatment of animals, which may trigger the spread of antibiotic-resistant strains among animals and to the human population, and these strains can also be distributed in milk products produced by these farms (milk, cheese, and butter). In this work, we investigated 21 S. aureus isolates using whole-genome sequence analysis and tried to establish a relationship between these isolates with the development of bovine mastitis in seven regions of Western Russia. An S. aureus virulence profile was identified. We identified two groups of S. aureus associated with subclinical mastitis, namely, the enterotoxin-positive and enterotoxin-negative groups. The most prevalent facto</w:instrText>
            </w:r>
            <w:r w:rsidR="0049264C">
              <w:rPr>
                <w:rFonts w:eastAsia="Times New Roman" w:cs="Times New Roman"/>
                <w:color w:val="000000"/>
                <w:sz w:val="18"/>
                <w:szCs w:val="18"/>
              </w:rPr>
              <w:instrText>r associated with bovine mastitis in Russia was cytotoxins, including hemolysins and leukocidins. Multidrug resistance strains were investigated, and antibiotic resistance genes were identified. We identified S. aureus ST 97 type as the most common type in the regions in Western Russia. To the best of our knowledge, this is the first in-depth study of a range S. aureus isolates originating from cattle infections in Russia.","author":[{"dropping-particle":"","family":"Fursova","given":"Ksenia","non-dropping-particle":"","parse-names":false,"suffix":""},{"dropping-particle":"","family":"Sorokin","given":"Anatoly","non-dropping-particle":"","parse-names":false,"suffix":""},{"dropping-particle":"","family":"Sokolov","given":"Sergey","non-dropping-particle":"","parse-names":false,"suffix":""},{"dropping-particle":"","family":"Dzhelyadin","given":"Timur","non-dropping-particle":"","parse-names":false,"suffix":""},{"dropping-particle":"","family":"Shulcheva","given":"Irina","non-dropping-particle":"","parse-names":false,"suffix":""},{"dropping-particle":"","family":"Shchannikova","given":"Margarita","non-dropping-particle":"","parse-names":false,"suffix":""},{"dropping-particle":"","family":"Nikanova","given":"Daria","non-dropping-particle":"","parse-names":false,"suffix":""},{"dropping-particle":"","family":"Artem'eva","given":"Olga","non-dropping-particle":"","parse-names":false,"suffix":""},{"dropping-particle":"","family":"Zinovieva","given":"Natalia","non-dropping-particle":"","parse-names":false,"suffix":""},{"dropping-particle":"","family":"Brovko","given":"Fedor","non-dropping-particle":"","parse-names":false,"suffix":""}],"container-title":"Frontiers in Veterinary Science","id":"ITEM-1","issue":"March","issued":{"date-parts":[["2020","3","25"]]},"page":"1-10","title":"Virulence Factors and Phylogeny of Staphylococcus aureus Associated With Bovine Mastitis in Russia Based on Genome Sequences","type":"article-journal","volume":"7"},"uris":["http://www.mendeley.com/documents/?uuid=76cf0e19-0717-49ca-954e-b4d9e4b1a4ac"]}],"mendeley":{"formattedCitation":"(Fursova et al., 2020)","plainTextFormattedCitation":"(Fursova et al., 2020)","previouslyFormattedCitation":"(Fursova et al., 2020)"},"properties":{"noteIndex":0},"schema":"https://github.com/citation-style-language/schema/raw/master/csl-citation.json"}</w:instrText>
            </w:r>
            <w:r w:rsidRPr="00226C9F">
              <w:rPr>
                <w:rFonts w:eastAsia="Times New Roman" w:cs="Times New Roman"/>
                <w:color w:val="000000"/>
                <w:sz w:val="18"/>
                <w:szCs w:val="18"/>
              </w:rPr>
              <w:fldChar w:fldCharType="separate"/>
            </w:r>
            <w:r w:rsidRPr="00226C9F">
              <w:rPr>
                <w:rFonts w:eastAsia="Times New Roman" w:cs="Times New Roman"/>
                <w:noProof/>
                <w:color w:val="000000"/>
                <w:sz w:val="18"/>
                <w:szCs w:val="18"/>
              </w:rPr>
              <w:t>(Fursova et al., 2020)</w:t>
            </w:r>
            <w:r w:rsidRPr="00226C9F">
              <w:rPr>
                <w:rFonts w:eastAsia="Times New Roman" w:cs="Times New Roman"/>
                <w:color w:val="000000"/>
                <w:sz w:val="18"/>
                <w:szCs w:val="18"/>
              </w:rPr>
              <w:fldChar w:fldCharType="end"/>
            </w:r>
          </w:p>
        </w:tc>
      </w:tr>
    </w:tbl>
    <w:p w14:paraId="279BBC0F" w14:textId="1D1560C4" w:rsidR="00A069BC" w:rsidRDefault="00E452BC" w:rsidP="00E452BC">
      <w:pPr>
        <w:pStyle w:val="NoSpacing"/>
        <w:jc w:val="both"/>
      </w:pPr>
      <w:r w:rsidRPr="00E452BC">
        <w:t>For the three isolates of which WGS data were publicly available and used in this study to cover all described se genes within our study, the NCBI BioSample accession and GenBank accession of the assembly are shown. When raw reads were also available, the SRA experiment ID is shown. For all public data, the</w:t>
      </w:r>
      <w:r w:rsidRPr="00E452BC">
        <w:rPr>
          <w:i/>
        </w:rPr>
        <w:t xml:space="preserve"> se</w:t>
      </w:r>
      <w:r w:rsidRPr="00E452BC">
        <w:t xml:space="preserve"> gene profiles as obtained by the respective studies are indicated. The public data were selected because of the previously described presence of </w:t>
      </w:r>
      <w:r w:rsidRPr="00E452BC">
        <w:rPr>
          <w:i/>
        </w:rPr>
        <w:t>se</w:t>
      </w:r>
      <w:r w:rsidRPr="00E452BC">
        <w:t xml:space="preserve"> genes shown in blue</w:t>
      </w:r>
      <w:r>
        <w:t>.</w:t>
      </w:r>
    </w:p>
    <w:p w14:paraId="582E07A8" w14:textId="5A99DF21" w:rsidR="00E452BC" w:rsidRDefault="00E452BC" w:rsidP="00E452BC">
      <w:pPr>
        <w:pStyle w:val="NoSpacing"/>
        <w:jc w:val="both"/>
      </w:pPr>
    </w:p>
    <w:p w14:paraId="260785CE" w14:textId="77777777" w:rsidR="00387444" w:rsidRDefault="00387444" w:rsidP="00387444">
      <w:pPr>
        <w:pStyle w:val="Caption"/>
      </w:pPr>
      <w:r>
        <w:t>Table S</w:t>
      </w:r>
      <w:r w:rsidR="004304AF">
        <w:fldChar w:fldCharType="begin"/>
      </w:r>
      <w:r w:rsidR="004304AF">
        <w:instrText xml:space="preserve"> SEQ Table \* ARABIC </w:instrText>
      </w:r>
      <w:r w:rsidR="004304AF">
        <w:fldChar w:fldCharType="separate"/>
      </w:r>
      <w:r>
        <w:rPr>
          <w:noProof/>
        </w:rPr>
        <w:t>3</w:t>
      </w:r>
      <w:r w:rsidR="004304AF">
        <w:rPr>
          <w:noProof/>
        </w:rPr>
        <w:fldChar w:fldCharType="end"/>
      </w:r>
      <w:r>
        <w:t>. Assembly statistics</w:t>
      </w:r>
    </w:p>
    <w:tbl>
      <w:tblPr>
        <w:tblW w:w="7555" w:type="dxa"/>
        <w:jc w:val="center"/>
        <w:tblLook w:val="04A0" w:firstRow="1" w:lastRow="0" w:firstColumn="1" w:lastColumn="0" w:noHBand="0" w:noVBand="1"/>
      </w:tblPr>
      <w:tblGrid>
        <w:gridCol w:w="1170"/>
        <w:gridCol w:w="1605"/>
        <w:gridCol w:w="1270"/>
        <w:gridCol w:w="1350"/>
        <w:gridCol w:w="2160"/>
      </w:tblGrid>
      <w:tr w:rsidR="00387444" w:rsidRPr="00993524" w14:paraId="3D041F92" w14:textId="77777777" w:rsidTr="00E940C1">
        <w:trPr>
          <w:trHeight w:val="552"/>
          <w:jc w:val="center"/>
        </w:trPr>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A4F2D3" w14:textId="77777777" w:rsidR="00387444" w:rsidRPr="00993524" w:rsidRDefault="00387444" w:rsidP="00E940C1">
            <w:pPr>
              <w:spacing w:before="0" w:after="0"/>
              <w:jc w:val="center"/>
              <w:rPr>
                <w:rFonts w:eastAsia="Times New Roman" w:cs="Times New Roman"/>
                <w:b/>
                <w:color w:val="000000"/>
                <w:sz w:val="22"/>
              </w:rPr>
            </w:pPr>
            <w:r w:rsidRPr="00993524">
              <w:rPr>
                <w:rFonts w:eastAsia="Times New Roman" w:cs="Times New Roman"/>
                <w:b/>
                <w:color w:val="000000"/>
                <w:sz w:val="22"/>
              </w:rPr>
              <w:t>Isolate name</w:t>
            </w:r>
          </w:p>
        </w:tc>
        <w:tc>
          <w:tcPr>
            <w:tcW w:w="1605" w:type="dxa"/>
            <w:tcBorders>
              <w:top w:val="single" w:sz="4" w:space="0" w:color="auto"/>
              <w:left w:val="nil"/>
              <w:bottom w:val="single" w:sz="4" w:space="0" w:color="auto"/>
              <w:right w:val="single" w:sz="4" w:space="0" w:color="auto"/>
            </w:tcBorders>
            <w:shd w:val="clear" w:color="auto" w:fill="auto"/>
            <w:vAlign w:val="center"/>
            <w:hideMark/>
          </w:tcPr>
          <w:p w14:paraId="18044AF7" w14:textId="77777777" w:rsidR="00387444" w:rsidRPr="00993524" w:rsidRDefault="00387444" w:rsidP="00E940C1">
            <w:pPr>
              <w:spacing w:before="0" w:after="0"/>
              <w:jc w:val="center"/>
              <w:rPr>
                <w:rFonts w:eastAsia="Times New Roman" w:cs="Times New Roman"/>
                <w:b/>
                <w:color w:val="000000"/>
                <w:sz w:val="22"/>
              </w:rPr>
            </w:pPr>
            <w:r w:rsidRPr="00993524">
              <w:rPr>
                <w:rFonts w:eastAsia="Times New Roman" w:cs="Times New Roman"/>
                <w:b/>
                <w:color w:val="000000"/>
                <w:sz w:val="22"/>
              </w:rPr>
              <w:t>DNA extraction kit</w:t>
            </w:r>
          </w:p>
        </w:tc>
        <w:tc>
          <w:tcPr>
            <w:tcW w:w="1270" w:type="dxa"/>
            <w:tcBorders>
              <w:top w:val="single" w:sz="4" w:space="0" w:color="auto"/>
              <w:left w:val="nil"/>
              <w:bottom w:val="single" w:sz="4" w:space="0" w:color="auto"/>
              <w:right w:val="single" w:sz="4" w:space="0" w:color="auto"/>
            </w:tcBorders>
            <w:shd w:val="clear" w:color="auto" w:fill="auto"/>
            <w:vAlign w:val="center"/>
            <w:hideMark/>
          </w:tcPr>
          <w:p w14:paraId="77BCB60D" w14:textId="77777777" w:rsidR="00387444" w:rsidRPr="00993524" w:rsidRDefault="00387444" w:rsidP="00E940C1">
            <w:pPr>
              <w:spacing w:before="0" w:after="0"/>
              <w:jc w:val="center"/>
              <w:rPr>
                <w:rFonts w:eastAsia="Times New Roman" w:cs="Times New Roman"/>
                <w:b/>
                <w:color w:val="000000"/>
                <w:sz w:val="22"/>
              </w:rPr>
            </w:pPr>
            <w:r w:rsidRPr="00993524">
              <w:rPr>
                <w:rFonts w:eastAsia="Times New Roman" w:cs="Times New Roman"/>
                <w:b/>
                <w:color w:val="000000"/>
                <w:sz w:val="22"/>
              </w:rPr>
              <w:t>N50</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1DA10623" w14:textId="77777777" w:rsidR="00387444" w:rsidRPr="00993524" w:rsidRDefault="00387444" w:rsidP="00E940C1">
            <w:pPr>
              <w:spacing w:before="0" w:after="0"/>
              <w:jc w:val="center"/>
              <w:rPr>
                <w:rFonts w:eastAsia="Times New Roman" w:cs="Times New Roman"/>
                <w:b/>
                <w:color w:val="000000"/>
                <w:sz w:val="22"/>
              </w:rPr>
            </w:pPr>
            <w:r w:rsidRPr="00993524">
              <w:rPr>
                <w:rFonts w:eastAsia="Times New Roman" w:cs="Times New Roman"/>
                <w:b/>
                <w:color w:val="000000"/>
                <w:sz w:val="22"/>
              </w:rPr>
              <w:t>Number of contigs</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14:paraId="45753878" w14:textId="77777777" w:rsidR="00387444" w:rsidRPr="00993524" w:rsidRDefault="00387444" w:rsidP="00E940C1">
            <w:pPr>
              <w:spacing w:before="0" w:after="0"/>
              <w:jc w:val="center"/>
              <w:rPr>
                <w:rFonts w:eastAsia="Times New Roman" w:cs="Times New Roman"/>
                <w:b/>
                <w:color w:val="000000"/>
                <w:sz w:val="22"/>
              </w:rPr>
            </w:pPr>
            <w:r w:rsidRPr="00993524">
              <w:rPr>
                <w:rFonts w:eastAsia="Times New Roman" w:cs="Times New Roman"/>
                <w:b/>
                <w:color w:val="000000"/>
                <w:sz w:val="22"/>
              </w:rPr>
              <w:t>Median coverage against assembly</w:t>
            </w:r>
          </w:p>
        </w:tc>
      </w:tr>
      <w:tr w:rsidR="00387444" w:rsidRPr="00993524" w14:paraId="22D1CB83"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623C04E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TIAC1840</w:t>
            </w:r>
          </w:p>
        </w:tc>
        <w:tc>
          <w:tcPr>
            <w:tcW w:w="1605" w:type="dxa"/>
            <w:tcBorders>
              <w:top w:val="nil"/>
              <w:left w:val="nil"/>
              <w:bottom w:val="single" w:sz="4" w:space="0" w:color="auto"/>
              <w:right w:val="single" w:sz="4" w:space="0" w:color="auto"/>
            </w:tcBorders>
            <w:shd w:val="clear" w:color="auto" w:fill="auto"/>
            <w:vAlign w:val="center"/>
            <w:hideMark/>
          </w:tcPr>
          <w:p w14:paraId="3395A641"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0F17E142"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536,480</w:t>
            </w:r>
          </w:p>
        </w:tc>
        <w:tc>
          <w:tcPr>
            <w:tcW w:w="1350" w:type="dxa"/>
            <w:tcBorders>
              <w:top w:val="nil"/>
              <w:left w:val="nil"/>
              <w:bottom w:val="single" w:sz="4" w:space="0" w:color="auto"/>
              <w:right w:val="single" w:sz="4" w:space="0" w:color="auto"/>
            </w:tcBorders>
            <w:shd w:val="clear" w:color="auto" w:fill="auto"/>
            <w:vAlign w:val="center"/>
            <w:hideMark/>
          </w:tcPr>
          <w:p w14:paraId="22296C0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16</w:t>
            </w:r>
          </w:p>
        </w:tc>
        <w:tc>
          <w:tcPr>
            <w:tcW w:w="2160" w:type="dxa"/>
            <w:tcBorders>
              <w:top w:val="nil"/>
              <w:left w:val="nil"/>
              <w:bottom w:val="single" w:sz="4" w:space="0" w:color="auto"/>
              <w:right w:val="single" w:sz="4" w:space="0" w:color="auto"/>
            </w:tcBorders>
            <w:shd w:val="clear" w:color="auto" w:fill="auto"/>
            <w:vAlign w:val="center"/>
            <w:hideMark/>
          </w:tcPr>
          <w:p w14:paraId="2A232F14"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57</w:t>
            </w:r>
          </w:p>
        </w:tc>
      </w:tr>
      <w:tr w:rsidR="00387444" w:rsidRPr="00993524" w14:paraId="1A33ED96"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657931BC"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TIAC1848</w:t>
            </w:r>
          </w:p>
        </w:tc>
        <w:tc>
          <w:tcPr>
            <w:tcW w:w="1605" w:type="dxa"/>
            <w:tcBorders>
              <w:top w:val="nil"/>
              <w:left w:val="nil"/>
              <w:bottom w:val="single" w:sz="4" w:space="0" w:color="auto"/>
              <w:right w:val="single" w:sz="4" w:space="0" w:color="auto"/>
            </w:tcBorders>
            <w:shd w:val="clear" w:color="auto" w:fill="auto"/>
            <w:vAlign w:val="center"/>
            <w:hideMark/>
          </w:tcPr>
          <w:p w14:paraId="7575EEA2"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4850A7ED"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510,559</w:t>
            </w:r>
          </w:p>
        </w:tc>
        <w:tc>
          <w:tcPr>
            <w:tcW w:w="1350" w:type="dxa"/>
            <w:tcBorders>
              <w:top w:val="nil"/>
              <w:left w:val="nil"/>
              <w:bottom w:val="single" w:sz="4" w:space="0" w:color="auto"/>
              <w:right w:val="single" w:sz="4" w:space="0" w:color="auto"/>
            </w:tcBorders>
            <w:shd w:val="clear" w:color="auto" w:fill="auto"/>
            <w:vAlign w:val="center"/>
            <w:hideMark/>
          </w:tcPr>
          <w:p w14:paraId="5946F84D"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19</w:t>
            </w:r>
          </w:p>
        </w:tc>
        <w:tc>
          <w:tcPr>
            <w:tcW w:w="2160" w:type="dxa"/>
            <w:tcBorders>
              <w:top w:val="nil"/>
              <w:left w:val="nil"/>
              <w:bottom w:val="single" w:sz="4" w:space="0" w:color="auto"/>
              <w:right w:val="single" w:sz="4" w:space="0" w:color="auto"/>
            </w:tcBorders>
            <w:shd w:val="clear" w:color="auto" w:fill="auto"/>
            <w:vAlign w:val="center"/>
            <w:hideMark/>
          </w:tcPr>
          <w:p w14:paraId="12B08D93"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56</w:t>
            </w:r>
          </w:p>
        </w:tc>
      </w:tr>
      <w:tr w:rsidR="00387444" w:rsidRPr="00993524" w14:paraId="0E229C3F"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552E5B46"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TIAC1991</w:t>
            </w:r>
          </w:p>
        </w:tc>
        <w:tc>
          <w:tcPr>
            <w:tcW w:w="1605" w:type="dxa"/>
            <w:tcBorders>
              <w:top w:val="nil"/>
              <w:left w:val="nil"/>
              <w:bottom w:val="single" w:sz="4" w:space="0" w:color="auto"/>
              <w:right w:val="single" w:sz="4" w:space="0" w:color="auto"/>
            </w:tcBorders>
            <w:shd w:val="clear" w:color="auto" w:fill="auto"/>
            <w:vAlign w:val="center"/>
            <w:hideMark/>
          </w:tcPr>
          <w:p w14:paraId="6E7066B7"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692175F6"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977,656</w:t>
            </w:r>
          </w:p>
        </w:tc>
        <w:tc>
          <w:tcPr>
            <w:tcW w:w="1350" w:type="dxa"/>
            <w:tcBorders>
              <w:top w:val="nil"/>
              <w:left w:val="nil"/>
              <w:bottom w:val="single" w:sz="4" w:space="0" w:color="auto"/>
              <w:right w:val="single" w:sz="4" w:space="0" w:color="auto"/>
            </w:tcBorders>
            <w:shd w:val="clear" w:color="auto" w:fill="auto"/>
            <w:vAlign w:val="center"/>
            <w:hideMark/>
          </w:tcPr>
          <w:p w14:paraId="43B74565"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11</w:t>
            </w:r>
          </w:p>
        </w:tc>
        <w:tc>
          <w:tcPr>
            <w:tcW w:w="2160" w:type="dxa"/>
            <w:tcBorders>
              <w:top w:val="nil"/>
              <w:left w:val="nil"/>
              <w:bottom w:val="single" w:sz="4" w:space="0" w:color="auto"/>
              <w:right w:val="single" w:sz="4" w:space="0" w:color="auto"/>
            </w:tcBorders>
            <w:shd w:val="clear" w:color="auto" w:fill="auto"/>
            <w:vAlign w:val="center"/>
            <w:hideMark/>
          </w:tcPr>
          <w:p w14:paraId="68EE042A"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59</w:t>
            </w:r>
          </w:p>
        </w:tc>
      </w:tr>
      <w:tr w:rsidR="00387444" w:rsidRPr="00993524" w14:paraId="50FCD22C"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60D0E052"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TIAC1992</w:t>
            </w:r>
          </w:p>
        </w:tc>
        <w:tc>
          <w:tcPr>
            <w:tcW w:w="1605" w:type="dxa"/>
            <w:tcBorders>
              <w:top w:val="nil"/>
              <w:left w:val="nil"/>
              <w:bottom w:val="single" w:sz="4" w:space="0" w:color="auto"/>
              <w:right w:val="single" w:sz="4" w:space="0" w:color="auto"/>
            </w:tcBorders>
            <w:shd w:val="clear" w:color="auto" w:fill="auto"/>
            <w:vAlign w:val="center"/>
            <w:hideMark/>
          </w:tcPr>
          <w:p w14:paraId="483A95E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0A95E99C"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168,338</w:t>
            </w:r>
          </w:p>
        </w:tc>
        <w:tc>
          <w:tcPr>
            <w:tcW w:w="1350" w:type="dxa"/>
            <w:tcBorders>
              <w:top w:val="nil"/>
              <w:left w:val="nil"/>
              <w:bottom w:val="single" w:sz="4" w:space="0" w:color="auto"/>
              <w:right w:val="single" w:sz="4" w:space="0" w:color="auto"/>
            </w:tcBorders>
            <w:shd w:val="clear" w:color="auto" w:fill="auto"/>
            <w:vAlign w:val="center"/>
            <w:hideMark/>
          </w:tcPr>
          <w:p w14:paraId="342FB09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28</w:t>
            </w:r>
          </w:p>
        </w:tc>
        <w:tc>
          <w:tcPr>
            <w:tcW w:w="2160" w:type="dxa"/>
            <w:tcBorders>
              <w:top w:val="nil"/>
              <w:left w:val="nil"/>
              <w:bottom w:val="single" w:sz="4" w:space="0" w:color="auto"/>
              <w:right w:val="single" w:sz="4" w:space="0" w:color="auto"/>
            </w:tcBorders>
            <w:shd w:val="clear" w:color="auto" w:fill="auto"/>
            <w:vAlign w:val="center"/>
            <w:hideMark/>
          </w:tcPr>
          <w:p w14:paraId="2497073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67</w:t>
            </w:r>
          </w:p>
        </w:tc>
      </w:tr>
      <w:tr w:rsidR="00387444" w:rsidRPr="00993524" w14:paraId="2320D03E"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0E17D23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TIAC1993</w:t>
            </w:r>
          </w:p>
        </w:tc>
        <w:tc>
          <w:tcPr>
            <w:tcW w:w="1605" w:type="dxa"/>
            <w:tcBorders>
              <w:top w:val="nil"/>
              <w:left w:val="nil"/>
              <w:bottom w:val="single" w:sz="4" w:space="0" w:color="auto"/>
              <w:right w:val="single" w:sz="4" w:space="0" w:color="auto"/>
            </w:tcBorders>
            <w:shd w:val="clear" w:color="auto" w:fill="auto"/>
            <w:vAlign w:val="center"/>
            <w:hideMark/>
          </w:tcPr>
          <w:p w14:paraId="42E8D8A8"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79CC79D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706,096</w:t>
            </w:r>
          </w:p>
        </w:tc>
        <w:tc>
          <w:tcPr>
            <w:tcW w:w="1350" w:type="dxa"/>
            <w:tcBorders>
              <w:top w:val="nil"/>
              <w:left w:val="nil"/>
              <w:bottom w:val="single" w:sz="4" w:space="0" w:color="auto"/>
              <w:right w:val="single" w:sz="4" w:space="0" w:color="auto"/>
            </w:tcBorders>
            <w:shd w:val="clear" w:color="auto" w:fill="auto"/>
            <w:vAlign w:val="center"/>
            <w:hideMark/>
          </w:tcPr>
          <w:p w14:paraId="346B6B5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13</w:t>
            </w:r>
          </w:p>
        </w:tc>
        <w:tc>
          <w:tcPr>
            <w:tcW w:w="2160" w:type="dxa"/>
            <w:tcBorders>
              <w:top w:val="nil"/>
              <w:left w:val="nil"/>
              <w:bottom w:val="single" w:sz="4" w:space="0" w:color="auto"/>
              <w:right w:val="single" w:sz="4" w:space="0" w:color="auto"/>
            </w:tcBorders>
            <w:shd w:val="clear" w:color="auto" w:fill="auto"/>
            <w:vAlign w:val="center"/>
            <w:hideMark/>
          </w:tcPr>
          <w:p w14:paraId="1802165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75</w:t>
            </w:r>
          </w:p>
        </w:tc>
      </w:tr>
      <w:tr w:rsidR="00387444" w:rsidRPr="00993524" w14:paraId="3CAAD8A2"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3CE1A7ED"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TIAC1994</w:t>
            </w:r>
          </w:p>
        </w:tc>
        <w:tc>
          <w:tcPr>
            <w:tcW w:w="1605" w:type="dxa"/>
            <w:tcBorders>
              <w:top w:val="nil"/>
              <w:left w:val="nil"/>
              <w:bottom w:val="single" w:sz="4" w:space="0" w:color="auto"/>
              <w:right w:val="single" w:sz="4" w:space="0" w:color="auto"/>
            </w:tcBorders>
            <w:shd w:val="clear" w:color="auto" w:fill="auto"/>
            <w:vAlign w:val="center"/>
            <w:hideMark/>
          </w:tcPr>
          <w:p w14:paraId="37F3FAED"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25EE290C"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505,583</w:t>
            </w:r>
          </w:p>
        </w:tc>
        <w:tc>
          <w:tcPr>
            <w:tcW w:w="1350" w:type="dxa"/>
            <w:tcBorders>
              <w:top w:val="nil"/>
              <w:left w:val="nil"/>
              <w:bottom w:val="single" w:sz="4" w:space="0" w:color="auto"/>
              <w:right w:val="single" w:sz="4" w:space="0" w:color="auto"/>
            </w:tcBorders>
            <w:shd w:val="clear" w:color="auto" w:fill="auto"/>
            <w:vAlign w:val="center"/>
            <w:hideMark/>
          </w:tcPr>
          <w:p w14:paraId="3CA967C2"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13</w:t>
            </w:r>
          </w:p>
        </w:tc>
        <w:tc>
          <w:tcPr>
            <w:tcW w:w="2160" w:type="dxa"/>
            <w:tcBorders>
              <w:top w:val="nil"/>
              <w:left w:val="nil"/>
              <w:bottom w:val="single" w:sz="4" w:space="0" w:color="auto"/>
              <w:right w:val="single" w:sz="4" w:space="0" w:color="auto"/>
            </w:tcBorders>
            <w:shd w:val="clear" w:color="auto" w:fill="auto"/>
            <w:vAlign w:val="center"/>
            <w:hideMark/>
          </w:tcPr>
          <w:p w14:paraId="49FE525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81</w:t>
            </w:r>
          </w:p>
        </w:tc>
      </w:tr>
      <w:tr w:rsidR="00387444" w:rsidRPr="00993524" w14:paraId="184A0A66"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01459BB1"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TIAC2001</w:t>
            </w:r>
          </w:p>
        </w:tc>
        <w:tc>
          <w:tcPr>
            <w:tcW w:w="1605" w:type="dxa"/>
            <w:tcBorders>
              <w:top w:val="nil"/>
              <w:left w:val="nil"/>
              <w:bottom w:val="single" w:sz="4" w:space="0" w:color="auto"/>
              <w:right w:val="single" w:sz="4" w:space="0" w:color="auto"/>
            </w:tcBorders>
            <w:shd w:val="clear" w:color="auto" w:fill="auto"/>
            <w:vAlign w:val="center"/>
            <w:hideMark/>
          </w:tcPr>
          <w:p w14:paraId="66728ACC"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5343A87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182,240</w:t>
            </w:r>
          </w:p>
        </w:tc>
        <w:tc>
          <w:tcPr>
            <w:tcW w:w="1350" w:type="dxa"/>
            <w:tcBorders>
              <w:top w:val="nil"/>
              <w:left w:val="nil"/>
              <w:bottom w:val="single" w:sz="4" w:space="0" w:color="auto"/>
              <w:right w:val="single" w:sz="4" w:space="0" w:color="auto"/>
            </w:tcBorders>
            <w:shd w:val="clear" w:color="auto" w:fill="auto"/>
            <w:vAlign w:val="center"/>
            <w:hideMark/>
          </w:tcPr>
          <w:p w14:paraId="65A312A1"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28</w:t>
            </w:r>
          </w:p>
        </w:tc>
        <w:tc>
          <w:tcPr>
            <w:tcW w:w="2160" w:type="dxa"/>
            <w:tcBorders>
              <w:top w:val="nil"/>
              <w:left w:val="nil"/>
              <w:bottom w:val="single" w:sz="4" w:space="0" w:color="auto"/>
              <w:right w:val="single" w:sz="4" w:space="0" w:color="auto"/>
            </w:tcBorders>
            <w:shd w:val="clear" w:color="auto" w:fill="auto"/>
            <w:vAlign w:val="center"/>
            <w:hideMark/>
          </w:tcPr>
          <w:p w14:paraId="3C0EA12D"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75</w:t>
            </w:r>
          </w:p>
        </w:tc>
      </w:tr>
      <w:tr w:rsidR="00387444" w:rsidRPr="00993524" w14:paraId="45D653E5"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6B7DB6B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TIAC3462</w:t>
            </w:r>
          </w:p>
        </w:tc>
        <w:tc>
          <w:tcPr>
            <w:tcW w:w="1605" w:type="dxa"/>
            <w:tcBorders>
              <w:top w:val="nil"/>
              <w:left w:val="nil"/>
              <w:bottom w:val="single" w:sz="4" w:space="0" w:color="auto"/>
              <w:right w:val="single" w:sz="4" w:space="0" w:color="auto"/>
            </w:tcBorders>
            <w:shd w:val="clear" w:color="auto" w:fill="auto"/>
            <w:vAlign w:val="center"/>
            <w:hideMark/>
          </w:tcPr>
          <w:p w14:paraId="50D80F4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0BD0086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150,369</w:t>
            </w:r>
          </w:p>
        </w:tc>
        <w:tc>
          <w:tcPr>
            <w:tcW w:w="1350" w:type="dxa"/>
            <w:tcBorders>
              <w:top w:val="nil"/>
              <w:left w:val="nil"/>
              <w:bottom w:val="single" w:sz="4" w:space="0" w:color="auto"/>
              <w:right w:val="single" w:sz="4" w:space="0" w:color="auto"/>
            </w:tcBorders>
            <w:shd w:val="clear" w:color="auto" w:fill="auto"/>
            <w:vAlign w:val="center"/>
            <w:hideMark/>
          </w:tcPr>
          <w:p w14:paraId="46DFA59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45</w:t>
            </w:r>
          </w:p>
        </w:tc>
        <w:tc>
          <w:tcPr>
            <w:tcW w:w="2160" w:type="dxa"/>
            <w:tcBorders>
              <w:top w:val="nil"/>
              <w:left w:val="nil"/>
              <w:bottom w:val="single" w:sz="4" w:space="0" w:color="auto"/>
              <w:right w:val="single" w:sz="4" w:space="0" w:color="auto"/>
            </w:tcBorders>
            <w:shd w:val="clear" w:color="auto" w:fill="auto"/>
            <w:vAlign w:val="center"/>
            <w:hideMark/>
          </w:tcPr>
          <w:p w14:paraId="0CE199C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60</w:t>
            </w:r>
          </w:p>
        </w:tc>
      </w:tr>
      <w:tr w:rsidR="00387444" w:rsidRPr="00993524" w14:paraId="29BEE4DA"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4A5D4CC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TIAC3971</w:t>
            </w:r>
          </w:p>
        </w:tc>
        <w:tc>
          <w:tcPr>
            <w:tcW w:w="1605" w:type="dxa"/>
            <w:tcBorders>
              <w:top w:val="nil"/>
              <w:left w:val="nil"/>
              <w:bottom w:val="single" w:sz="4" w:space="0" w:color="auto"/>
              <w:right w:val="single" w:sz="4" w:space="0" w:color="auto"/>
            </w:tcBorders>
            <w:shd w:val="clear" w:color="auto" w:fill="auto"/>
            <w:vAlign w:val="center"/>
            <w:hideMark/>
          </w:tcPr>
          <w:p w14:paraId="785797A1"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5360E8C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416,754</w:t>
            </w:r>
          </w:p>
        </w:tc>
        <w:tc>
          <w:tcPr>
            <w:tcW w:w="1350" w:type="dxa"/>
            <w:tcBorders>
              <w:top w:val="nil"/>
              <w:left w:val="nil"/>
              <w:bottom w:val="single" w:sz="4" w:space="0" w:color="auto"/>
              <w:right w:val="single" w:sz="4" w:space="0" w:color="auto"/>
            </w:tcBorders>
            <w:shd w:val="clear" w:color="auto" w:fill="auto"/>
            <w:vAlign w:val="center"/>
            <w:hideMark/>
          </w:tcPr>
          <w:p w14:paraId="47D027A3"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19</w:t>
            </w:r>
          </w:p>
        </w:tc>
        <w:tc>
          <w:tcPr>
            <w:tcW w:w="2160" w:type="dxa"/>
            <w:tcBorders>
              <w:top w:val="nil"/>
              <w:left w:val="nil"/>
              <w:bottom w:val="single" w:sz="4" w:space="0" w:color="auto"/>
              <w:right w:val="single" w:sz="4" w:space="0" w:color="auto"/>
            </w:tcBorders>
            <w:shd w:val="clear" w:color="auto" w:fill="auto"/>
            <w:vAlign w:val="center"/>
            <w:hideMark/>
          </w:tcPr>
          <w:p w14:paraId="178D7B46"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64</w:t>
            </w:r>
          </w:p>
        </w:tc>
      </w:tr>
      <w:tr w:rsidR="00387444" w:rsidRPr="00993524" w14:paraId="4444F019" w14:textId="77777777" w:rsidTr="00E940C1">
        <w:trPr>
          <w:trHeight w:val="288"/>
          <w:jc w:val="center"/>
        </w:trPr>
        <w:tc>
          <w:tcPr>
            <w:tcW w:w="1170" w:type="dxa"/>
            <w:tcBorders>
              <w:top w:val="nil"/>
              <w:left w:val="single" w:sz="4" w:space="0" w:color="auto"/>
              <w:bottom w:val="single" w:sz="4" w:space="0" w:color="auto"/>
              <w:right w:val="single" w:sz="4" w:space="0" w:color="auto"/>
            </w:tcBorders>
            <w:shd w:val="clear" w:color="auto" w:fill="auto"/>
            <w:vAlign w:val="center"/>
            <w:hideMark/>
          </w:tcPr>
          <w:p w14:paraId="1B5E506C"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TIAC3972</w:t>
            </w:r>
          </w:p>
        </w:tc>
        <w:tc>
          <w:tcPr>
            <w:tcW w:w="1605" w:type="dxa"/>
            <w:tcBorders>
              <w:top w:val="nil"/>
              <w:left w:val="nil"/>
              <w:bottom w:val="single" w:sz="4" w:space="0" w:color="auto"/>
              <w:right w:val="single" w:sz="4" w:space="0" w:color="auto"/>
            </w:tcBorders>
            <w:shd w:val="clear" w:color="auto" w:fill="auto"/>
            <w:vAlign w:val="center"/>
            <w:hideMark/>
          </w:tcPr>
          <w:p w14:paraId="0C3FEED1"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0BB98884"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616,298</w:t>
            </w:r>
          </w:p>
        </w:tc>
        <w:tc>
          <w:tcPr>
            <w:tcW w:w="1350" w:type="dxa"/>
            <w:tcBorders>
              <w:top w:val="nil"/>
              <w:left w:val="nil"/>
              <w:bottom w:val="single" w:sz="4" w:space="0" w:color="auto"/>
              <w:right w:val="single" w:sz="4" w:space="0" w:color="auto"/>
            </w:tcBorders>
            <w:shd w:val="clear" w:color="auto" w:fill="auto"/>
            <w:vAlign w:val="center"/>
            <w:hideMark/>
          </w:tcPr>
          <w:p w14:paraId="67B6F975"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14</w:t>
            </w:r>
          </w:p>
        </w:tc>
        <w:tc>
          <w:tcPr>
            <w:tcW w:w="2160" w:type="dxa"/>
            <w:tcBorders>
              <w:top w:val="nil"/>
              <w:left w:val="nil"/>
              <w:bottom w:val="single" w:sz="4" w:space="0" w:color="auto"/>
              <w:right w:val="single" w:sz="4" w:space="0" w:color="auto"/>
            </w:tcBorders>
            <w:shd w:val="clear" w:color="auto" w:fill="auto"/>
            <w:vAlign w:val="center"/>
            <w:hideMark/>
          </w:tcPr>
          <w:p w14:paraId="718CDE9C"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66</w:t>
            </w:r>
          </w:p>
        </w:tc>
      </w:tr>
      <w:tr w:rsidR="00387444" w:rsidRPr="00993524" w14:paraId="0C8F31F7" w14:textId="77777777" w:rsidTr="00E940C1">
        <w:trPr>
          <w:trHeight w:val="288"/>
          <w:jc w:val="center"/>
        </w:trPr>
        <w:tc>
          <w:tcPr>
            <w:tcW w:w="1170" w:type="dxa"/>
            <w:vMerge w:val="restart"/>
            <w:tcBorders>
              <w:top w:val="nil"/>
              <w:left w:val="single" w:sz="4" w:space="0" w:color="auto"/>
              <w:bottom w:val="single" w:sz="4" w:space="0" w:color="000000"/>
              <w:right w:val="single" w:sz="4" w:space="0" w:color="auto"/>
            </w:tcBorders>
            <w:shd w:val="clear" w:color="auto" w:fill="auto"/>
            <w:vAlign w:val="center"/>
            <w:hideMark/>
          </w:tcPr>
          <w:p w14:paraId="23BBB870"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TIAC1798</w:t>
            </w:r>
          </w:p>
        </w:tc>
        <w:tc>
          <w:tcPr>
            <w:tcW w:w="1605" w:type="dxa"/>
            <w:tcBorders>
              <w:top w:val="nil"/>
              <w:left w:val="nil"/>
              <w:bottom w:val="single" w:sz="4" w:space="0" w:color="auto"/>
              <w:right w:val="single" w:sz="4" w:space="0" w:color="auto"/>
            </w:tcBorders>
            <w:shd w:val="clear" w:color="auto" w:fill="auto"/>
            <w:vAlign w:val="center"/>
            <w:hideMark/>
          </w:tcPr>
          <w:p w14:paraId="739F73D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472C8A3A"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301,818</w:t>
            </w:r>
          </w:p>
        </w:tc>
        <w:tc>
          <w:tcPr>
            <w:tcW w:w="1350" w:type="dxa"/>
            <w:tcBorders>
              <w:top w:val="nil"/>
              <w:left w:val="nil"/>
              <w:bottom w:val="single" w:sz="4" w:space="0" w:color="auto"/>
              <w:right w:val="single" w:sz="4" w:space="0" w:color="auto"/>
            </w:tcBorders>
            <w:shd w:val="clear" w:color="auto" w:fill="auto"/>
            <w:vAlign w:val="center"/>
            <w:hideMark/>
          </w:tcPr>
          <w:p w14:paraId="12BF9BA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24</w:t>
            </w:r>
          </w:p>
        </w:tc>
        <w:tc>
          <w:tcPr>
            <w:tcW w:w="2160" w:type="dxa"/>
            <w:tcBorders>
              <w:top w:val="nil"/>
              <w:left w:val="nil"/>
              <w:bottom w:val="single" w:sz="4" w:space="0" w:color="auto"/>
              <w:right w:val="single" w:sz="4" w:space="0" w:color="auto"/>
            </w:tcBorders>
            <w:shd w:val="clear" w:color="auto" w:fill="auto"/>
            <w:vAlign w:val="center"/>
            <w:hideMark/>
          </w:tcPr>
          <w:p w14:paraId="5BC4160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48</w:t>
            </w:r>
          </w:p>
        </w:tc>
      </w:tr>
      <w:tr w:rsidR="00387444" w:rsidRPr="00993524" w14:paraId="69C46DF5"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6C7C9583"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0280B90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w:t>
            </w:r>
          </w:p>
        </w:tc>
        <w:tc>
          <w:tcPr>
            <w:tcW w:w="1270" w:type="dxa"/>
            <w:tcBorders>
              <w:top w:val="nil"/>
              <w:left w:val="nil"/>
              <w:bottom w:val="single" w:sz="4" w:space="0" w:color="auto"/>
              <w:right w:val="single" w:sz="4" w:space="0" w:color="auto"/>
            </w:tcBorders>
            <w:shd w:val="clear" w:color="auto" w:fill="auto"/>
            <w:vAlign w:val="center"/>
            <w:hideMark/>
          </w:tcPr>
          <w:p w14:paraId="1F48084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195,799</w:t>
            </w:r>
          </w:p>
        </w:tc>
        <w:tc>
          <w:tcPr>
            <w:tcW w:w="1350" w:type="dxa"/>
            <w:tcBorders>
              <w:top w:val="nil"/>
              <w:left w:val="nil"/>
              <w:bottom w:val="single" w:sz="4" w:space="0" w:color="auto"/>
              <w:right w:val="single" w:sz="4" w:space="0" w:color="auto"/>
            </w:tcBorders>
            <w:shd w:val="clear" w:color="auto" w:fill="auto"/>
            <w:vAlign w:val="center"/>
            <w:hideMark/>
          </w:tcPr>
          <w:p w14:paraId="2973775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27</w:t>
            </w:r>
          </w:p>
        </w:tc>
        <w:tc>
          <w:tcPr>
            <w:tcW w:w="2160" w:type="dxa"/>
            <w:tcBorders>
              <w:top w:val="nil"/>
              <w:left w:val="nil"/>
              <w:bottom w:val="single" w:sz="4" w:space="0" w:color="auto"/>
              <w:right w:val="single" w:sz="4" w:space="0" w:color="auto"/>
            </w:tcBorders>
            <w:shd w:val="clear" w:color="auto" w:fill="auto"/>
            <w:vAlign w:val="center"/>
            <w:hideMark/>
          </w:tcPr>
          <w:p w14:paraId="4DB66819"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76</w:t>
            </w:r>
          </w:p>
        </w:tc>
      </w:tr>
      <w:tr w:rsidR="00387444" w:rsidRPr="00993524" w14:paraId="2176F12C"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2FBB38E8"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3C82DB26"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DNeasy</w:t>
            </w:r>
          </w:p>
        </w:tc>
        <w:tc>
          <w:tcPr>
            <w:tcW w:w="1270" w:type="dxa"/>
            <w:tcBorders>
              <w:top w:val="nil"/>
              <w:left w:val="nil"/>
              <w:bottom w:val="single" w:sz="4" w:space="0" w:color="auto"/>
              <w:right w:val="single" w:sz="4" w:space="0" w:color="auto"/>
            </w:tcBorders>
            <w:shd w:val="clear" w:color="auto" w:fill="auto"/>
            <w:vAlign w:val="center"/>
            <w:hideMark/>
          </w:tcPr>
          <w:p w14:paraId="031E037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208,988</w:t>
            </w:r>
          </w:p>
        </w:tc>
        <w:tc>
          <w:tcPr>
            <w:tcW w:w="1350" w:type="dxa"/>
            <w:tcBorders>
              <w:top w:val="nil"/>
              <w:left w:val="nil"/>
              <w:bottom w:val="single" w:sz="4" w:space="0" w:color="auto"/>
              <w:right w:val="single" w:sz="4" w:space="0" w:color="auto"/>
            </w:tcBorders>
            <w:shd w:val="clear" w:color="auto" w:fill="auto"/>
            <w:vAlign w:val="center"/>
            <w:hideMark/>
          </w:tcPr>
          <w:p w14:paraId="3178C593"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25</w:t>
            </w:r>
          </w:p>
        </w:tc>
        <w:tc>
          <w:tcPr>
            <w:tcW w:w="2160" w:type="dxa"/>
            <w:tcBorders>
              <w:top w:val="nil"/>
              <w:left w:val="nil"/>
              <w:bottom w:val="single" w:sz="4" w:space="0" w:color="auto"/>
              <w:right w:val="single" w:sz="4" w:space="0" w:color="auto"/>
            </w:tcBorders>
            <w:shd w:val="clear" w:color="auto" w:fill="auto"/>
            <w:vAlign w:val="center"/>
            <w:hideMark/>
          </w:tcPr>
          <w:p w14:paraId="01407937"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68</w:t>
            </w:r>
          </w:p>
        </w:tc>
      </w:tr>
      <w:tr w:rsidR="00387444" w:rsidRPr="00993524" w14:paraId="7E263AFF"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6B0EF5AE"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37F4119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Wizard</w:t>
            </w:r>
          </w:p>
        </w:tc>
        <w:tc>
          <w:tcPr>
            <w:tcW w:w="1270" w:type="dxa"/>
            <w:tcBorders>
              <w:top w:val="nil"/>
              <w:left w:val="nil"/>
              <w:bottom w:val="single" w:sz="4" w:space="0" w:color="auto"/>
              <w:right w:val="single" w:sz="4" w:space="0" w:color="auto"/>
            </w:tcBorders>
            <w:shd w:val="clear" w:color="auto" w:fill="auto"/>
            <w:vAlign w:val="center"/>
            <w:hideMark/>
          </w:tcPr>
          <w:p w14:paraId="29542D12"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208,153</w:t>
            </w:r>
          </w:p>
        </w:tc>
        <w:tc>
          <w:tcPr>
            <w:tcW w:w="1350" w:type="dxa"/>
            <w:tcBorders>
              <w:top w:val="nil"/>
              <w:left w:val="nil"/>
              <w:bottom w:val="single" w:sz="4" w:space="0" w:color="auto"/>
              <w:right w:val="single" w:sz="4" w:space="0" w:color="auto"/>
            </w:tcBorders>
            <w:shd w:val="clear" w:color="auto" w:fill="auto"/>
            <w:vAlign w:val="center"/>
            <w:hideMark/>
          </w:tcPr>
          <w:p w14:paraId="1D51C323"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22</w:t>
            </w:r>
          </w:p>
        </w:tc>
        <w:tc>
          <w:tcPr>
            <w:tcW w:w="2160" w:type="dxa"/>
            <w:tcBorders>
              <w:top w:val="nil"/>
              <w:left w:val="nil"/>
              <w:bottom w:val="single" w:sz="4" w:space="0" w:color="auto"/>
              <w:right w:val="single" w:sz="4" w:space="0" w:color="auto"/>
            </w:tcBorders>
            <w:shd w:val="clear" w:color="auto" w:fill="auto"/>
            <w:vAlign w:val="center"/>
            <w:hideMark/>
          </w:tcPr>
          <w:p w14:paraId="64B7E703"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60</w:t>
            </w:r>
          </w:p>
        </w:tc>
      </w:tr>
      <w:tr w:rsidR="00387444" w:rsidRPr="00993524" w14:paraId="7E9C5C0F" w14:textId="77777777" w:rsidTr="00E940C1">
        <w:trPr>
          <w:trHeight w:val="288"/>
          <w:jc w:val="center"/>
        </w:trPr>
        <w:tc>
          <w:tcPr>
            <w:tcW w:w="1170" w:type="dxa"/>
            <w:vMerge w:val="restart"/>
            <w:tcBorders>
              <w:top w:val="nil"/>
              <w:left w:val="single" w:sz="4" w:space="0" w:color="auto"/>
              <w:bottom w:val="single" w:sz="4" w:space="0" w:color="000000"/>
              <w:right w:val="single" w:sz="4" w:space="0" w:color="auto"/>
            </w:tcBorders>
            <w:shd w:val="clear" w:color="auto" w:fill="auto"/>
            <w:vAlign w:val="center"/>
            <w:hideMark/>
          </w:tcPr>
          <w:p w14:paraId="1BB251D5"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TIAC1847</w:t>
            </w:r>
          </w:p>
        </w:tc>
        <w:tc>
          <w:tcPr>
            <w:tcW w:w="1605" w:type="dxa"/>
            <w:tcBorders>
              <w:top w:val="nil"/>
              <w:left w:val="nil"/>
              <w:bottom w:val="single" w:sz="4" w:space="0" w:color="auto"/>
              <w:right w:val="single" w:sz="4" w:space="0" w:color="auto"/>
            </w:tcBorders>
            <w:shd w:val="clear" w:color="auto" w:fill="auto"/>
            <w:vAlign w:val="center"/>
            <w:hideMark/>
          </w:tcPr>
          <w:p w14:paraId="22FA2256"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7103FB6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301,817</w:t>
            </w:r>
          </w:p>
        </w:tc>
        <w:tc>
          <w:tcPr>
            <w:tcW w:w="1350" w:type="dxa"/>
            <w:tcBorders>
              <w:top w:val="nil"/>
              <w:left w:val="nil"/>
              <w:bottom w:val="single" w:sz="4" w:space="0" w:color="auto"/>
              <w:right w:val="single" w:sz="4" w:space="0" w:color="auto"/>
            </w:tcBorders>
            <w:shd w:val="clear" w:color="auto" w:fill="auto"/>
            <w:vAlign w:val="center"/>
            <w:hideMark/>
          </w:tcPr>
          <w:p w14:paraId="40D1A206"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23</w:t>
            </w:r>
          </w:p>
        </w:tc>
        <w:tc>
          <w:tcPr>
            <w:tcW w:w="2160" w:type="dxa"/>
            <w:tcBorders>
              <w:top w:val="nil"/>
              <w:left w:val="nil"/>
              <w:bottom w:val="single" w:sz="4" w:space="0" w:color="auto"/>
              <w:right w:val="single" w:sz="4" w:space="0" w:color="auto"/>
            </w:tcBorders>
            <w:shd w:val="clear" w:color="auto" w:fill="auto"/>
            <w:vAlign w:val="center"/>
            <w:hideMark/>
          </w:tcPr>
          <w:p w14:paraId="45418BC8"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62</w:t>
            </w:r>
          </w:p>
        </w:tc>
      </w:tr>
      <w:tr w:rsidR="00387444" w:rsidRPr="00993524" w14:paraId="6757DACB"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4F849493"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2C449F40"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w:t>
            </w:r>
          </w:p>
        </w:tc>
        <w:tc>
          <w:tcPr>
            <w:tcW w:w="1270" w:type="dxa"/>
            <w:tcBorders>
              <w:top w:val="nil"/>
              <w:left w:val="nil"/>
              <w:bottom w:val="single" w:sz="4" w:space="0" w:color="auto"/>
              <w:right w:val="single" w:sz="4" w:space="0" w:color="auto"/>
            </w:tcBorders>
            <w:shd w:val="clear" w:color="auto" w:fill="auto"/>
            <w:vAlign w:val="center"/>
            <w:hideMark/>
          </w:tcPr>
          <w:p w14:paraId="5F9E178A"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197,001</w:t>
            </w:r>
          </w:p>
        </w:tc>
        <w:tc>
          <w:tcPr>
            <w:tcW w:w="1350" w:type="dxa"/>
            <w:tcBorders>
              <w:top w:val="nil"/>
              <w:left w:val="nil"/>
              <w:bottom w:val="single" w:sz="4" w:space="0" w:color="auto"/>
              <w:right w:val="single" w:sz="4" w:space="0" w:color="auto"/>
            </w:tcBorders>
            <w:shd w:val="clear" w:color="auto" w:fill="auto"/>
            <w:vAlign w:val="center"/>
            <w:hideMark/>
          </w:tcPr>
          <w:p w14:paraId="4EF9F94D"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40</w:t>
            </w:r>
          </w:p>
        </w:tc>
        <w:tc>
          <w:tcPr>
            <w:tcW w:w="2160" w:type="dxa"/>
            <w:tcBorders>
              <w:top w:val="nil"/>
              <w:left w:val="nil"/>
              <w:bottom w:val="single" w:sz="4" w:space="0" w:color="auto"/>
              <w:right w:val="single" w:sz="4" w:space="0" w:color="auto"/>
            </w:tcBorders>
            <w:shd w:val="clear" w:color="auto" w:fill="auto"/>
            <w:vAlign w:val="center"/>
            <w:hideMark/>
          </w:tcPr>
          <w:p w14:paraId="66DDD596"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70</w:t>
            </w:r>
          </w:p>
        </w:tc>
      </w:tr>
      <w:tr w:rsidR="00387444" w:rsidRPr="00993524" w14:paraId="5C691AC6"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30718EE4"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0F837EF2"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DNeasy</w:t>
            </w:r>
          </w:p>
        </w:tc>
        <w:tc>
          <w:tcPr>
            <w:tcW w:w="1270" w:type="dxa"/>
            <w:tcBorders>
              <w:top w:val="nil"/>
              <w:left w:val="nil"/>
              <w:bottom w:val="single" w:sz="4" w:space="0" w:color="auto"/>
              <w:right w:val="single" w:sz="4" w:space="0" w:color="auto"/>
            </w:tcBorders>
            <w:shd w:val="clear" w:color="auto" w:fill="auto"/>
            <w:vAlign w:val="center"/>
            <w:hideMark/>
          </w:tcPr>
          <w:p w14:paraId="42A9D3A5"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241,620</w:t>
            </w:r>
          </w:p>
        </w:tc>
        <w:tc>
          <w:tcPr>
            <w:tcW w:w="1350" w:type="dxa"/>
            <w:tcBorders>
              <w:top w:val="nil"/>
              <w:left w:val="nil"/>
              <w:bottom w:val="single" w:sz="4" w:space="0" w:color="auto"/>
              <w:right w:val="single" w:sz="4" w:space="0" w:color="auto"/>
            </w:tcBorders>
            <w:shd w:val="clear" w:color="auto" w:fill="auto"/>
            <w:vAlign w:val="center"/>
            <w:hideMark/>
          </w:tcPr>
          <w:p w14:paraId="08293098"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23</w:t>
            </w:r>
          </w:p>
        </w:tc>
        <w:tc>
          <w:tcPr>
            <w:tcW w:w="2160" w:type="dxa"/>
            <w:tcBorders>
              <w:top w:val="nil"/>
              <w:left w:val="nil"/>
              <w:bottom w:val="single" w:sz="4" w:space="0" w:color="auto"/>
              <w:right w:val="single" w:sz="4" w:space="0" w:color="auto"/>
            </w:tcBorders>
            <w:shd w:val="clear" w:color="auto" w:fill="auto"/>
            <w:vAlign w:val="center"/>
            <w:hideMark/>
          </w:tcPr>
          <w:p w14:paraId="2F39EDEB"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74</w:t>
            </w:r>
          </w:p>
        </w:tc>
      </w:tr>
      <w:tr w:rsidR="00387444" w:rsidRPr="00993524" w14:paraId="0FC247A6"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473505EE"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583159C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Wizard</w:t>
            </w:r>
          </w:p>
        </w:tc>
        <w:tc>
          <w:tcPr>
            <w:tcW w:w="1270" w:type="dxa"/>
            <w:tcBorders>
              <w:top w:val="nil"/>
              <w:left w:val="nil"/>
              <w:bottom w:val="single" w:sz="4" w:space="0" w:color="auto"/>
              <w:right w:val="single" w:sz="4" w:space="0" w:color="auto"/>
            </w:tcBorders>
            <w:shd w:val="clear" w:color="auto" w:fill="auto"/>
            <w:vAlign w:val="center"/>
            <w:hideMark/>
          </w:tcPr>
          <w:p w14:paraId="784EB4E2"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196,364</w:t>
            </w:r>
          </w:p>
        </w:tc>
        <w:tc>
          <w:tcPr>
            <w:tcW w:w="1350" w:type="dxa"/>
            <w:tcBorders>
              <w:top w:val="nil"/>
              <w:left w:val="nil"/>
              <w:bottom w:val="single" w:sz="4" w:space="0" w:color="auto"/>
              <w:right w:val="single" w:sz="4" w:space="0" w:color="auto"/>
            </w:tcBorders>
            <w:shd w:val="clear" w:color="auto" w:fill="auto"/>
            <w:vAlign w:val="center"/>
            <w:hideMark/>
          </w:tcPr>
          <w:p w14:paraId="7E7E30C4"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27</w:t>
            </w:r>
          </w:p>
        </w:tc>
        <w:tc>
          <w:tcPr>
            <w:tcW w:w="2160" w:type="dxa"/>
            <w:tcBorders>
              <w:top w:val="nil"/>
              <w:left w:val="nil"/>
              <w:bottom w:val="single" w:sz="4" w:space="0" w:color="auto"/>
              <w:right w:val="single" w:sz="4" w:space="0" w:color="auto"/>
            </w:tcBorders>
            <w:shd w:val="clear" w:color="auto" w:fill="auto"/>
            <w:vAlign w:val="center"/>
            <w:hideMark/>
          </w:tcPr>
          <w:p w14:paraId="4A21DA58"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57</w:t>
            </w:r>
          </w:p>
        </w:tc>
      </w:tr>
      <w:tr w:rsidR="00387444" w:rsidRPr="00993524" w14:paraId="03BF87BD" w14:textId="77777777" w:rsidTr="00E940C1">
        <w:trPr>
          <w:trHeight w:val="288"/>
          <w:jc w:val="center"/>
        </w:trPr>
        <w:tc>
          <w:tcPr>
            <w:tcW w:w="1170" w:type="dxa"/>
            <w:vMerge w:val="restart"/>
            <w:tcBorders>
              <w:top w:val="nil"/>
              <w:left w:val="single" w:sz="4" w:space="0" w:color="auto"/>
              <w:bottom w:val="single" w:sz="4" w:space="0" w:color="000000"/>
              <w:right w:val="single" w:sz="4" w:space="0" w:color="auto"/>
            </w:tcBorders>
            <w:shd w:val="clear" w:color="auto" w:fill="auto"/>
            <w:vAlign w:val="center"/>
            <w:hideMark/>
          </w:tcPr>
          <w:p w14:paraId="2B437170"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TIAC3152</w:t>
            </w:r>
          </w:p>
        </w:tc>
        <w:tc>
          <w:tcPr>
            <w:tcW w:w="1605" w:type="dxa"/>
            <w:tcBorders>
              <w:top w:val="nil"/>
              <w:left w:val="nil"/>
              <w:bottom w:val="single" w:sz="4" w:space="0" w:color="auto"/>
              <w:right w:val="single" w:sz="4" w:space="0" w:color="auto"/>
            </w:tcBorders>
            <w:shd w:val="clear" w:color="auto" w:fill="auto"/>
            <w:vAlign w:val="center"/>
            <w:hideMark/>
          </w:tcPr>
          <w:p w14:paraId="5563B020"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GenElute-NL</w:t>
            </w:r>
          </w:p>
        </w:tc>
        <w:tc>
          <w:tcPr>
            <w:tcW w:w="1270" w:type="dxa"/>
            <w:tcBorders>
              <w:top w:val="nil"/>
              <w:left w:val="nil"/>
              <w:bottom w:val="single" w:sz="4" w:space="0" w:color="auto"/>
              <w:right w:val="single" w:sz="4" w:space="0" w:color="auto"/>
            </w:tcBorders>
            <w:shd w:val="clear" w:color="auto" w:fill="auto"/>
            <w:vAlign w:val="center"/>
            <w:hideMark/>
          </w:tcPr>
          <w:p w14:paraId="6C689EA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327,865</w:t>
            </w:r>
          </w:p>
        </w:tc>
        <w:tc>
          <w:tcPr>
            <w:tcW w:w="1350" w:type="dxa"/>
            <w:tcBorders>
              <w:top w:val="nil"/>
              <w:left w:val="nil"/>
              <w:bottom w:val="single" w:sz="4" w:space="0" w:color="auto"/>
              <w:right w:val="single" w:sz="4" w:space="0" w:color="auto"/>
            </w:tcBorders>
            <w:shd w:val="clear" w:color="auto" w:fill="auto"/>
            <w:vAlign w:val="center"/>
            <w:hideMark/>
          </w:tcPr>
          <w:p w14:paraId="049C5800"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15</w:t>
            </w:r>
          </w:p>
        </w:tc>
        <w:tc>
          <w:tcPr>
            <w:tcW w:w="2160" w:type="dxa"/>
            <w:tcBorders>
              <w:top w:val="nil"/>
              <w:left w:val="nil"/>
              <w:bottom w:val="single" w:sz="4" w:space="0" w:color="auto"/>
              <w:right w:val="single" w:sz="4" w:space="0" w:color="auto"/>
            </w:tcBorders>
            <w:shd w:val="clear" w:color="auto" w:fill="auto"/>
            <w:vAlign w:val="center"/>
            <w:hideMark/>
          </w:tcPr>
          <w:p w14:paraId="7CE8A2EE"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74</w:t>
            </w:r>
          </w:p>
        </w:tc>
      </w:tr>
      <w:tr w:rsidR="00387444" w:rsidRPr="00993524" w14:paraId="3FF5E32E"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65C71A20"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22422DDF"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GenElute</w:t>
            </w:r>
          </w:p>
        </w:tc>
        <w:tc>
          <w:tcPr>
            <w:tcW w:w="1270" w:type="dxa"/>
            <w:tcBorders>
              <w:top w:val="nil"/>
              <w:left w:val="nil"/>
              <w:bottom w:val="single" w:sz="4" w:space="0" w:color="auto"/>
              <w:right w:val="single" w:sz="4" w:space="0" w:color="auto"/>
            </w:tcBorders>
            <w:shd w:val="clear" w:color="auto" w:fill="auto"/>
            <w:vAlign w:val="center"/>
            <w:hideMark/>
          </w:tcPr>
          <w:p w14:paraId="5FE67B3B"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267,782</w:t>
            </w:r>
          </w:p>
        </w:tc>
        <w:tc>
          <w:tcPr>
            <w:tcW w:w="1350" w:type="dxa"/>
            <w:tcBorders>
              <w:top w:val="nil"/>
              <w:left w:val="nil"/>
              <w:bottom w:val="single" w:sz="4" w:space="0" w:color="auto"/>
              <w:right w:val="single" w:sz="4" w:space="0" w:color="auto"/>
            </w:tcBorders>
            <w:shd w:val="clear" w:color="auto" w:fill="auto"/>
            <w:vAlign w:val="center"/>
            <w:hideMark/>
          </w:tcPr>
          <w:p w14:paraId="2812819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20</w:t>
            </w:r>
          </w:p>
        </w:tc>
        <w:tc>
          <w:tcPr>
            <w:tcW w:w="2160" w:type="dxa"/>
            <w:tcBorders>
              <w:top w:val="nil"/>
              <w:left w:val="nil"/>
              <w:bottom w:val="single" w:sz="4" w:space="0" w:color="auto"/>
              <w:right w:val="single" w:sz="4" w:space="0" w:color="auto"/>
            </w:tcBorders>
            <w:shd w:val="clear" w:color="auto" w:fill="auto"/>
            <w:vAlign w:val="center"/>
            <w:hideMark/>
          </w:tcPr>
          <w:p w14:paraId="6903558D"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61</w:t>
            </w:r>
          </w:p>
        </w:tc>
      </w:tr>
      <w:tr w:rsidR="00387444" w:rsidRPr="00993524" w14:paraId="5CEC3E5F"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57193733"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7D67710C"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DNeasy</w:t>
            </w:r>
          </w:p>
        </w:tc>
        <w:tc>
          <w:tcPr>
            <w:tcW w:w="1270" w:type="dxa"/>
            <w:tcBorders>
              <w:top w:val="nil"/>
              <w:left w:val="nil"/>
              <w:bottom w:val="single" w:sz="4" w:space="0" w:color="auto"/>
              <w:right w:val="single" w:sz="4" w:space="0" w:color="auto"/>
            </w:tcBorders>
            <w:shd w:val="clear" w:color="auto" w:fill="auto"/>
            <w:vAlign w:val="center"/>
            <w:hideMark/>
          </w:tcPr>
          <w:p w14:paraId="0468CB2E"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477,148</w:t>
            </w:r>
          </w:p>
        </w:tc>
        <w:tc>
          <w:tcPr>
            <w:tcW w:w="1350" w:type="dxa"/>
            <w:tcBorders>
              <w:top w:val="nil"/>
              <w:left w:val="nil"/>
              <w:bottom w:val="single" w:sz="4" w:space="0" w:color="auto"/>
              <w:right w:val="single" w:sz="4" w:space="0" w:color="auto"/>
            </w:tcBorders>
            <w:shd w:val="clear" w:color="auto" w:fill="auto"/>
            <w:vAlign w:val="center"/>
            <w:hideMark/>
          </w:tcPr>
          <w:p w14:paraId="434753E4"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14</w:t>
            </w:r>
          </w:p>
        </w:tc>
        <w:tc>
          <w:tcPr>
            <w:tcW w:w="2160" w:type="dxa"/>
            <w:tcBorders>
              <w:top w:val="nil"/>
              <w:left w:val="nil"/>
              <w:bottom w:val="single" w:sz="4" w:space="0" w:color="auto"/>
              <w:right w:val="single" w:sz="4" w:space="0" w:color="auto"/>
            </w:tcBorders>
            <w:shd w:val="clear" w:color="auto" w:fill="auto"/>
            <w:vAlign w:val="center"/>
            <w:hideMark/>
          </w:tcPr>
          <w:p w14:paraId="226A23CD"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50</w:t>
            </w:r>
          </w:p>
        </w:tc>
      </w:tr>
      <w:tr w:rsidR="00387444" w:rsidRPr="00993524" w14:paraId="627DEAB5" w14:textId="77777777" w:rsidTr="00E940C1">
        <w:trPr>
          <w:trHeight w:val="288"/>
          <w:jc w:val="center"/>
        </w:trPr>
        <w:tc>
          <w:tcPr>
            <w:tcW w:w="1170" w:type="dxa"/>
            <w:vMerge/>
            <w:tcBorders>
              <w:top w:val="nil"/>
              <w:left w:val="single" w:sz="4" w:space="0" w:color="auto"/>
              <w:bottom w:val="single" w:sz="4" w:space="0" w:color="000000"/>
              <w:right w:val="single" w:sz="4" w:space="0" w:color="auto"/>
            </w:tcBorders>
            <w:vAlign w:val="center"/>
            <w:hideMark/>
          </w:tcPr>
          <w:p w14:paraId="6E21A69D" w14:textId="77777777" w:rsidR="00387444" w:rsidRPr="00993524" w:rsidRDefault="00387444" w:rsidP="00E940C1">
            <w:pPr>
              <w:spacing w:before="0" w:after="0"/>
              <w:jc w:val="center"/>
              <w:rPr>
                <w:rFonts w:eastAsia="Times New Roman" w:cs="Times New Roman"/>
                <w:color w:val="000000"/>
                <w:sz w:val="22"/>
              </w:rPr>
            </w:pPr>
          </w:p>
        </w:tc>
        <w:tc>
          <w:tcPr>
            <w:tcW w:w="1605" w:type="dxa"/>
            <w:tcBorders>
              <w:top w:val="nil"/>
              <w:left w:val="nil"/>
              <w:bottom w:val="single" w:sz="4" w:space="0" w:color="auto"/>
              <w:right w:val="single" w:sz="4" w:space="0" w:color="auto"/>
            </w:tcBorders>
            <w:shd w:val="clear" w:color="auto" w:fill="auto"/>
            <w:vAlign w:val="center"/>
            <w:hideMark/>
          </w:tcPr>
          <w:p w14:paraId="1C01C8A7"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Wizard</w:t>
            </w:r>
          </w:p>
        </w:tc>
        <w:tc>
          <w:tcPr>
            <w:tcW w:w="1270" w:type="dxa"/>
            <w:tcBorders>
              <w:top w:val="nil"/>
              <w:left w:val="nil"/>
              <w:bottom w:val="single" w:sz="4" w:space="0" w:color="auto"/>
              <w:right w:val="single" w:sz="4" w:space="0" w:color="auto"/>
            </w:tcBorders>
            <w:shd w:val="clear" w:color="auto" w:fill="auto"/>
            <w:vAlign w:val="center"/>
            <w:hideMark/>
          </w:tcPr>
          <w:p w14:paraId="0B7B6CA3"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327,868</w:t>
            </w:r>
          </w:p>
        </w:tc>
        <w:tc>
          <w:tcPr>
            <w:tcW w:w="1350" w:type="dxa"/>
            <w:tcBorders>
              <w:top w:val="nil"/>
              <w:left w:val="nil"/>
              <w:bottom w:val="single" w:sz="4" w:space="0" w:color="auto"/>
              <w:right w:val="single" w:sz="4" w:space="0" w:color="auto"/>
            </w:tcBorders>
            <w:shd w:val="clear" w:color="auto" w:fill="auto"/>
            <w:vAlign w:val="center"/>
            <w:hideMark/>
          </w:tcPr>
          <w:p w14:paraId="19036503" w14:textId="77777777" w:rsidR="00387444" w:rsidRPr="00993524" w:rsidRDefault="00387444" w:rsidP="00E940C1">
            <w:pPr>
              <w:spacing w:before="0" w:after="0"/>
              <w:jc w:val="center"/>
              <w:rPr>
                <w:rFonts w:eastAsia="Times New Roman" w:cs="Times New Roman"/>
                <w:color w:val="000000"/>
                <w:sz w:val="22"/>
              </w:rPr>
            </w:pPr>
            <w:r w:rsidRPr="00993524">
              <w:rPr>
                <w:rFonts w:eastAsia="Times New Roman" w:cs="Times New Roman"/>
                <w:color w:val="000000"/>
                <w:sz w:val="22"/>
              </w:rPr>
              <w:t>18</w:t>
            </w:r>
          </w:p>
        </w:tc>
        <w:tc>
          <w:tcPr>
            <w:tcW w:w="2160" w:type="dxa"/>
            <w:tcBorders>
              <w:top w:val="nil"/>
              <w:left w:val="nil"/>
              <w:bottom w:val="single" w:sz="4" w:space="0" w:color="auto"/>
              <w:right w:val="single" w:sz="4" w:space="0" w:color="auto"/>
            </w:tcBorders>
            <w:shd w:val="clear" w:color="auto" w:fill="auto"/>
            <w:vAlign w:val="center"/>
            <w:hideMark/>
          </w:tcPr>
          <w:p w14:paraId="3246D59E" w14:textId="77777777" w:rsidR="00387444" w:rsidRPr="00993524" w:rsidRDefault="00387444" w:rsidP="00E940C1">
            <w:pPr>
              <w:spacing w:before="0" w:after="0"/>
              <w:jc w:val="center"/>
              <w:rPr>
                <w:rFonts w:eastAsia="Times New Roman" w:cs="Times New Roman"/>
                <w:color w:val="000000"/>
                <w:sz w:val="22"/>
              </w:rPr>
            </w:pPr>
            <w:r>
              <w:rPr>
                <w:rFonts w:eastAsia="Times New Roman" w:cs="Times New Roman"/>
                <w:color w:val="000000"/>
                <w:sz w:val="22"/>
              </w:rPr>
              <w:t>81</w:t>
            </w:r>
          </w:p>
        </w:tc>
      </w:tr>
    </w:tbl>
    <w:p w14:paraId="13A21991" w14:textId="77777777" w:rsidR="00387444" w:rsidRDefault="00387444" w:rsidP="00387444">
      <w:pPr>
        <w:pStyle w:val="NoSpacing"/>
      </w:pPr>
      <w:r>
        <w:t>For each sample (</w:t>
      </w:r>
      <w:r w:rsidDel="00206534">
        <w:t>i.e. WGS data of an isolate processed with different DNA extraction kits</w:t>
      </w:r>
      <w:r>
        <w:t>), the</w:t>
      </w:r>
      <w:r w:rsidRPr="00993524">
        <w:t xml:space="preserve"> N50, number of contigs, and </w:t>
      </w:r>
      <w:r>
        <w:t>median coverage against the assembly are shown</w:t>
      </w:r>
      <w:r w:rsidRPr="00993524">
        <w:t>, respectively.</w:t>
      </w:r>
      <w:r>
        <w:t xml:space="preserve"> </w:t>
      </w:r>
      <w:r w:rsidRPr="00836EDC">
        <w:t xml:space="preserve">The names of the DNA extraction kits are abbreviated, i.e. GenElute-NL: GenElute Bacterial gDNA kit using the protocol for Gram positive bacteria (without lysostaphin); GenElute: GenElute Bacterial gDNA kit </w:t>
      </w:r>
      <w:r w:rsidRPr="00836EDC">
        <w:lastRenderedPageBreak/>
        <w:t>using the protocol for Staphylococcal species (with lysostaphin); DNeasy: DNeasy Blood &amp; Tissue kit; Wizard: Wizard gDNA Purification kit</w:t>
      </w:r>
      <w:r>
        <w:t>.</w:t>
      </w:r>
    </w:p>
    <w:p w14:paraId="3350A099" w14:textId="77777777" w:rsidR="00836EDC" w:rsidRPr="00993524" w:rsidRDefault="00836EDC" w:rsidP="00993524">
      <w:pPr>
        <w:pStyle w:val="NoSpacing"/>
      </w:pPr>
    </w:p>
    <w:p w14:paraId="5C11D87E" w14:textId="5103FD83" w:rsidR="00E452BC" w:rsidRDefault="00993524" w:rsidP="00E452BC">
      <w:pPr>
        <w:pStyle w:val="Caption"/>
      </w:pPr>
      <w:r>
        <w:t xml:space="preserve">Table S4. </w:t>
      </w:r>
      <w:r w:rsidR="00E452BC">
        <w:t xml:space="preserve">Overview of </w:t>
      </w:r>
      <w:r w:rsidR="00E452BC">
        <w:rPr>
          <w:i/>
        </w:rPr>
        <w:t xml:space="preserve">se </w:t>
      </w:r>
      <w:r w:rsidR="00E452BC">
        <w:t>genes within extended VFDB_Full database</w:t>
      </w:r>
    </w:p>
    <w:tbl>
      <w:tblPr>
        <w:tblStyle w:val="TableGrid20"/>
        <w:tblW w:w="9355" w:type="dxa"/>
        <w:jc w:val="center"/>
        <w:tblLook w:val="04A0" w:firstRow="1" w:lastRow="0" w:firstColumn="1" w:lastColumn="0" w:noHBand="0" w:noVBand="1"/>
      </w:tblPr>
      <w:tblGrid>
        <w:gridCol w:w="1149"/>
        <w:gridCol w:w="1159"/>
        <w:gridCol w:w="2654"/>
        <w:gridCol w:w="4393"/>
      </w:tblGrid>
      <w:tr w:rsidR="00E452BC" w:rsidRPr="00226C9F" w14:paraId="2142F514" w14:textId="77777777" w:rsidTr="00E452BC">
        <w:trPr>
          <w:jc w:val="center"/>
        </w:trPr>
        <w:tc>
          <w:tcPr>
            <w:tcW w:w="1149" w:type="dxa"/>
            <w:vAlign w:val="center"/>
          </w:tcPr>
          <w:p w14:paraId="523FFD60" w14:textId="77777777" w:rsidR="00E452BC" w:rsidRPr="00226C9F" w:rsidRDefault="00E452BC" w:rsidP="00E452BC">
            <w:pPr>
              <w:spacing w:before="0" w:after="0"/>
              <w:jc w:val="center"/>
              <w:rPr>
                <w:rFonts w:eastAsia="Arial" w:cs="Times New Roman"/>
                <w:b/>
                <w:color w:val="auto"/>
                <w:sz w:val="18"/>
                <w:szCs w:val="18"/>
                <w:lang w:val="en-US"/>
              </w:rPr>
            </w:pPr>
            <w:r w:rsidRPr="00226C9F">
              <w:rPr>
                <w:rFonts w:eastAsia="Arial" w:cs="Times New Roman"/>
                <w:b/>
                <w:color w:val="auto"/>
                <w:sz w:val="18"/>
                <w:szCs w:val="18"/>
                <w:lang w:val="en-US"/>
              </w:rPr>
              <w:t>Locus</w:t>
            </w:r>
          </w:p>
        </w:tc>
        <w:tc>
          <w:tcPr>
            <w:tcW w:w="1159" w:type="dxa"/>
            <w:vAlign w:val="center"/>
          </w:tcPr>
          <w:p w14:paraId="7BE83359" w14:textId="77777777" w:rsidR="00E452BC" w:rsidRPr="00226C9F" w:rsidRDefault="00E452BC" w:rsidP="00E452BC">
            <w:pPr>
              <w:spacing w:before="0" w:after="0"/>
              <w:jc w:val="center"/>
              <w:rPr>
                <w:rFonts w:eastAsia="Arial" w:cs="Times New Roman"/>
                <w:b/>
                <w:color w:val="auto"/>
                <w:sz w:val="18"/>
                <w:szCs w:val="18"/>
                <w:lang w:val="en-US"/>
              </w:rPr>
            </w:pPr>
            <w:r w:rsidRPr="00226C9F">
              <w:rPr>
                <w:rFonts w:eastAsia="Arial" w:cs="Times New Roman"/>
                <w:b/>
                <w:color w:val="auto"/>
                <w:sz w:val="18"/>
                <w:szCs w:val="18"/>
                <w:lang w:val="en-US"/>
              </w:rPr>
              <w:t>Variant</w:t>
            </w:r>
          </w:p>
        </w:tc>
        <w:tc>
          <w:tcPr>
            <w:tcW w:w="2654" w:type="dxa"/>
            <w:vAlign w:val="center"/>
          </w:tcPr>
          <w:p w14:paraId="1606D79E" w14:textId="77777777" w:rsidR="00E452BC" w:rsidRPr="00226C9F" w:rsidRDefault="00E452BC" w:rsidP="00E452BC">
            <w:pPr>
              <w:spacing w:before="0" w:after="0"/>
              <w:jc w:val="center"/>
              <w:rPr>
                <w:rFonts w:eastAsia="Arial" w:cs="Times New Roman"/>
                <w:b/>
                <w:color w:val="auto"/>
                <w:sz w:val="18"/>
                <w:szCs w:val="18"/>
                <w:lang w:val="en-US"/>
              </w:rPr>
            </w:pPr>
            <w:r w:rsidRPr="00226C9F">
              <w:rPr>
                <w:rFonts w:eastAsia="Arial" w:cs="Times New Roman"/>
                <w:b/>
                <w:color w:val="auto"/>
                <w:sz w:val="18"/>
                <w:szCs w:val="18"/>
                <w:lang w:val="en-US"/>
              </w:rPr>
              <w:t>Source</w:t>
            </w:r>
          </w:p>
        </w:tc>
        <w:tc>
          <w:tcPr>
            <w:tcW w:w="4393" w:type="dxa"/>
            <w:vAlign w:val="center"/>
          </w:tcPr>
          <w:p w14:paraId="1F8A8CA9" w14:textId="77777777" w:rsidR="00E452BC" w:rsidRPr="00226C9F" w:rsidRDefault="00E452BC" w:rsidP="00E452BC">
            <w:pPr>
              <w:spacing w:before="0" w:after="0"/>
              <w:jc w:val="center"/>
              <w:rPr>
                <w:rFonts w:eastAsia="Arial" w:cs="Times New Roman"/>
                <w:b/>
                <w:color w:val="auto"/>
                <w:sz w:val="18"/>
                <w:szCs w:val="18"/>
                <w:lang w:val="en-US"/>
              </w:rPr>
            </w:pPr>
            <w:r w:rsidRPr="00226C9F">
              <w:rPr>
                <w:rFonts w:eastAsia="Arial" w:cs="Times New Roman"/>
                <w:b/>
                <w:color w:val="auto"/>
                <w:sz w:val="18"/>
                <w:szCs w:val="18"/>
                <w:lang w:val="en-US"/>
              </w:rPr>
              <w:t>RefSeq and/or GenBank accession number(s) to corresponding protein sequences</w:t>
            </w:r>
          </w:p>
        </w:tc>
      </w:tr>
      <w:tr w:rsidR="00E452BC" w:rsidRPr="00226C9F" w14:paraId="528743B8" w14:textId="77777777" w:rsidTr="00E452BC">
        <w:trPr>
          <w:trHeight w:val="290"/>
          <w:jc w:val="center"/>
        </w:trPr>
        <w:tc>
          <w:tcPr>
            <w:tcW w:w="1149" w:type="dxa"/>
            <w:noWrap/>
            <w:vAlign w:val="center"/>
            <w:hideMark/>
          </w:tcPr>
          <w:p w14:paraId="20C0D742"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i/>
                <w:color w:val="auto"/>
                <w:sz w:val="18"/>
                <w:szCs w:val="18"/>
                <w:lang w:val="en-US"/>
              </w:rPr>
              <w:t>sea</w:t>
            </w:r>
            <w:r w:rsidRPr="00226C9F">
              <w:rPr>
                <w:rFonts w:eastAsia="Arial" w:cs="Times New Roman"/>
                <w:color w:val="auto"/>
                <w:sz w:val="18"/>
                <w:szCs w:val="18"/>
                <w:lang w:val="en-US"/>
              </w:rPr>
              <w:t>*</w:t>
            </w:r>
          </w:p>
        </w:tc>
        <w:tc>
          <w:tcPr>
            <w:tcW w:w="1159" w:type="dxa"/>
            <w:vAlign w:val="center"/>
          </w:tcPr>
          <w:p w14:paraId="210ED466"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50F7033A"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2F43AE6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WP_000750412.1; WP_000750406.1</w:t>
            </w:r>
          </w:p>
        </w:tc>
      </w:tr>
      <w:tr w:rsidR="00E452BC" w:rsidRPr="00226C9F" w14:paraId="519181CB" w14:textId="77777777" w:rsidTr="00E452BC">
        <w:trPr>
          <w:trHeight w:val="290"/>
          <w:jc w:val="center"/>
        </w:trPr>
        <w:tc>
          <w:tcPr>
            <w:tcW w:w="1149" w:type="dxa"/>
            <w:noWrap/>
            <w:vAlign w:val="center"/>
            <w:hideMark/>
          </w:tcPr>
          <w:p w14:paraId="2A3DC58F"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seb</w:t>
            </w:r>
          </w:p>
        </w:tc>
        <w:tc>
          <w:tcPr>
            <w:tcW w:w="1159" w:type="dxa"/>
            <w:vAlign w:val="center"/>
          </w:tcPr>
          <w:p w14:paraId="1ED0BF04"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493CBB8B"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39F39B17"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AAA88550.1</w:t>
            </w:r>
          </w:p>
        </w:tc>
      </w:tr>
      <w:tr w:rsidR="00E452BC" w:rsidRPr="00226C9F" w14:paraId="1DB2C103" w14:textId="77777777" w:rsidTr="00E452BC">
        <w:trPr>
          <w:trHeight w:val="290"/>
          <w:jc w:val="center"/>
        </w:trPr>
        <w:tc>
          <w:tcPr>
            <w:tcW w:w="1149" w:type="dxa"/>
            <w:vMerge w:val="restart"/>
            <w:noWrap/>
            <w:vAlign w:val="center"/>
            <w:hideMark/>
          </w:tcPr>
          <w:p w14:paraId="562D2AAD"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i/>
                <w:color w:val="auto"/>
                <w:sz w:val="18"/>
                <w:szCs w:val="18"/>
                <w:lang w:val="en-US"/>
              </w:rPr>
              <w:t>sec</w:t>
            </w:r>
            <w:r w:rsidRPr="00226C9F">
              <w:rPr>
                <w:rFonts w:eastAsia="Arial" w:cs="Times New Roman"/>
                <w:color w:val="auto"/>
                <w:sz w:val="18"/>
                <w:szCs w:val="18"/>
                <w:lang w:val="en-US"/>
              </w:rPr>
              <w:t>**</w:t>
            </w:r>
          </w:p>
        </w:tc>
        <w:tc>
          <w:tcPr>
            <w:tcW w:w="1159" w:type="dxa"/>
            <w:vAlign w:val="center"/>
          </w:tcPr>
          <w:p w14:paraId="1DCB1833"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sec1</w:t>
            </w:r>
          </w:p>
        </w:tc>
        <w:tc>
          <w:tcPr>
            <w:tcW w:w="2654" w:type="dxa"/>
            <w:vAlign w:val="center"/>
          </w:tcPr>
          <w:p w14:paraId="136C1ED8"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35E7EE6E" w14:textId="4AAB9D7C"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ANJ16441.1</w:t>
            </w:r>
          </w:p>
        </w:tc>
      </w:tr>
      <w:tr w:rsidR="00E452BC" w:rsidRPr="00226C9F" w14:paraId="70A3F526" w14:textId="77777777" w:rsidTr="00E452BC">
        <w:trPr>
          <w:trHeight w:val="290"/>
          <w:jc w:val="center"/>
        </w:trPr>
        <w:tc>
          <w:tcPr>
            <w:tcW w:w="1149" w:type="dxa"/>
            <w:vMerge/>
            <w:noWrap/>
            <w:vAlign w:val="center"/>
          </w:tcPr>
          <w:p w14:paraId="6DA35BC4" w14:textId="77777777" w:rsidR="00E452BC" w:rsidRPr="00226C9F" w:rsidRDefault="00E452BC" w:rsidP="00E452BC">
            <w:pPr>
              <w:spacing w:before="0" w:after="0"/>
              <w:jc w:val="center"/>
              <w:rPr>
                <w:rFonts w:eastAsia="Arial" w:cs="Times New Roman"/>
                <w:color w:val="auto"/>
                <w:sz w:val="18"/>
                <w:szCs w:val="18"/>
                <w:lang w:val="en-US"/>
              </w:rPr>
            </w:pPr>
          </w:p>
        </w:tc>
        <w:tc>
          <w:tcPr>
            <w:tcW w:w="1159" w:type="dxa"/>
            <w:vAlign w:val="center"/>
          </w:tcPr>
          <w:p w14:paraId="2F045994"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sec2</w:t>
            </w:r>
          </w:p>
        </w:tc>
        <w:tc>
          <w:tcPr>
            <w:tcW w:w="2654" w:type="dxa"/>
            <w:vAlign w:val="center"/>
          </w:tcPr>
          <w:p w14:paraId="54ED417B"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2CF5E6C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AJP29264.1</w:t>
            </w:r>
          </w:p>
        </w:tc>
      </w:tr>
      <w:tr w:rsidR="00E452BC" w:rsidRPr="00226C9F" w14:paraId="13F0751B" w14:textId="77777777" w:rsidTr="00E452BC">
        <w:trPr>
          <w:trHeight w:val="290"/>
          <w:jc w:val="center"/>
        </w:trPr>
        <w:tc>
          <w:tcPr>
            <w:tcW w:w="1149" w:type="dxa"/>
            <w:vMerge/>
            <w:noWrap/>
            <w:vAlign w:val="center"/>
          </w:tcPr>
          <w:p w14:paraId="5D00B939" w14:textId="77777777" w:rsidR="00E452BC" w:rsidRPr="00226C9F" w:rsidRDefault="00E452BC" w:rsidP="00E452BC">
            <w:pPr>
              <w:spacing w:before="0" w:after="0"/>
              <w:jc w:val="center"/>
              <w:rPr>
                <w:rFonts w:eastAsia="Arial" w:cs="Times New Roman"/>
                <w:color w:val="auto"/>
                <w:sz w:val="18"/>
                <w:szCs w:val="18"/>
                <w:lang w:val="en-US"/>
              </w:rPr>
            </w:pPr>
          </w:p>
        </w:tc>
        <w:tc>
          <w:tcPr>
            <w:tcW w:w="1159" w:type="dxa"/>
            <w:vAlign w:val="center"/>
          </w:tcPr>
          <w:p w14:paraId="7FCEBAD0"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sec3</w:t>
            </w:r>
          </w:p>
        </w:tc>
        <w:tc>
          <w:tcPr>
            <w:tcW w:w="2654" w:type="dxa"/>
            <w:vAlign w:val="center"/>
          </w:tcPr>
          <w:p w14:paraId="38E1A81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43FB1F66"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BAB43097.3</w:t>
            </w:r>
          </w:p>
        </w:tc>
      </w:tr>
      <w:tr w:rsidR="00E452BC" w:rsidRPr="00226C9F" w14:paraId="2D7B8404" w14:textId="77777777" w:rsidTr="00E452BC">
        <w:trPr>
          <w:trHeight w:val="290"/>
          <w:jc w:val="center"/>
        </w:trPr>
        <w:tc>
          <w:tcPr>
            <w:tcW w:w="1149" w:type="dxa"/>
            <w:vMerge/>
            <w:noWrap/>
            <w:vAlign w:val="center"/>
          </w:tcPr>
          <w:p w14:paraId="0AC9599D" w14:textId="77777777" w:rsidR="00E452BC" w:rsidRPr="00226C9F" w:rsidRDefault="00E452BC" w:rsidP="00E452BC">
            <w:pPr>
              <w:spacing w:before="0" w:after="0"/>
              <w:jc w:val="center"/>
              <w:rPr>
                <w:rFonts w:eastAsia="Arial" w:cs="Times New Roman"/>
                <w:color w:val="auto"/>
                <w:sz w:val="18"/>
                <w:szCs w:val="18"/>
                <w:lang w:val="en-US"/>
              </w:rPr>
            </w:pPr>
          </w:p>
        </w:tc>
        <w:tc>
          <w:tcPr>
            <w:tcW w:w="1159" w:type="dxa"/>
            <w:vAlign w:val="center"/>
          </w:tcPr>
          <w:p w14:paraId="697F967A"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selc4</w:t>
            </w:r>
          </w:p>
        </w:tc>
        <w:tc>
          <w:tcPr>
            <w:tcW w:w="2654" w:type="dxa"/>
            <w:vAlign w:val="center"/>
          </w:tcPr>
          <w:p w14:paraId="5EBCBA3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09416991"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BAB94624.1</w:t>
            </w:r>
          </w:p>
        </w:tc>
      </w:tr>
      <w:tr w:rsidR="00E452BC" w:rsidRPr="00226C9F" w14:paraId="71EB72E6" w14:textId="77777777" w:rsidTr="00E452BC">
        <w:trPr>
          <w:trHeight w:val="290"/>
          <w:jc w:val="center"/>
        </w:trPr>
        <w:tc>
          <w:tcPr>
            <w:tcW w:w="1149" w:type="dxa"/>
            <w:vMerge/>
            <w:noWrap/>
            <w:vAlign w:val="center"/>
          </w:tcPr>
          <w:p w14:paraId="76846AF6" w14:textId="77777777" w:rsidR="00E452BC" w:rsidRPr="00226C9F" w:rsidRDefault="00E452BC" w:rsidP="00E452BC">
            <w:pPr>
              <w:spacing w:before="0" w:after="0"/>
              <w:jc w:val="center"/>
              <w:rPr>
                <w:rFonts w:eastAsia="Arial" w:cs="Times New Roman"/>
                <w:color w:val="auto"/>
                <w:sz w:val="18"/>
                <w:szCs w:val="18"/>
                <w:lang w:val="en-US"/>
              </w:rPr>
            </w:pPr>
          </w:p>
        </w:tc>
        <w:tc>
          <w:tcPr>
            <w:tcW w:w="1159" w:type="dxa"/>
            <w:vAlign w:val="center"/>
          </w:tcPr>
          <w:p w14:paraId="51085395"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selc</w:t>
            </w:r>
            <w:r w:rsidRPr="00226C9F">
              <w:rPr>
                <w:rFonts w:eastAsia="Arial" w:cs="Times New Roman"/>
                <w:i/>
                <w:color w:val="auto"/>
                <w:sz w:val="18"/>
                <w:szCs w:val="18"/>
                <w:vertAlign w:val="subscript"/>
                <w:lang w:val="en-US"/>
              </w:rPr>
              <w:t>bov</w:t>
            </w:r>
          </w:p>
        </w:tc>
        <w:tc>
          <w:tcPr>
            <w:tcW w:w="2654" w:type="dxa"/>
            <w:vAlign w:val="center"/>
          </w:tcPr>
          <w:p w14:paraId="477B4A7A"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5FE511DF"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CAI80051.1</w:t>
            </w:r>
          </w:p>
        </w:tc>
      </w:tr>
      <w:tr w:rsidR="00E452BC" w:rsidRPr="00226C9F" w14:paraId="5BFA8668" w14:textId="77777777" w:rsidTr="00E452BC">
        <w:trPr>
          <w:trHeight w:val="290"/>
          <w:jc w:val="center"/>
        </w:trPr>
        <w:tc>
          <w:tcPr>
            <w:tcW w:w="1149" w:type="dxa"/>
            <w:vMerge/>
            <w:noWrap/>
            <w:vAlign w:val="center"/>
          </w:tcPr>
          <w:p w14:paraId="70A3C80E" w14:textId="77777777" w:rsidR="00E452BC" w:rsidRPr="00226C9F" w:rsidRDefault="00E452BC" w:rsidP="00E452BC">
            <w:pPr>
              <w:spacing w:before="0" w:after="0"/>
              <w:jc w:val="center"/>
              <w:rPr>
                <w:rFonts w:eastAsia="Arial" w:cs="Times New Roman"/>
                <w:color w:val="auto"/>
                <w:sz w:val="18"/>
                <w:szCs w:val="18"/>
                <w:lang w:val="en-US"/>
              </w:rPr>
            </w:pPr>
          </w:p>
        </w:tc>
        <w:tc>
          <w:tcPr>
            <w:tcW w:w="1159" w:type="dxa"/>
            <w:vAlign w:val="center"/>
          </w:tcPr>
          <w:p w14:paraId="563EAD82" w14:textId="77777777" w:rsidR="00E452BC" w:rsidRPr="00226C9F" w:rsidRDefault="00E452BC" w:rsidP="00E452BC">
            <w:pPr>
              <w:spacing w:before="0" w:after="0"/>
              <w:jc w:val="center"/>
              <w:rPr>
                <w:rFonts w:eastAsia="Arial" w:cs="Times New Roman"/>
                <w:i/>
                <w:color w:val="auto"/>
                <w:sz w:val="18"/>
                <w:szCs w:val="18"/>
                <w:vertAlign w:val="subscript"/>
                <w:lang w:val="en-US"/>
              </w:rPr>
            </w:pPr>
            <w:r w:rsidRPr="00226C9F">
              <w:rPr>
                <w:rFonts w:eastAsia="Arial" w:cs="Times New Roman"/>
                <w:i/>
                <w:color w:val="auto"/>
                <w:sz w:val="18"/>
                <w:szCs w:val="18"/>
                <w:lang w:val="en-US"/>
              </w:rPr>
              <w:t>selc</w:t>
            </w:r>
            <w:r w:rsidRPr="00226C9F">
              <w:rPr>
                <w:rFonts w:eastAsia="Arial" w:cs="Times New Roman"/>
                <w:i/>
                <w:color w:val="auto"/>
                <w:sz w:val="18"/>
                <w:szCs w:val="18"/>
                <w:vertAlign w:val="subscript"/>
                <w:lang w:val="en-US"/>
              </w:rPr>
              <w:t>ov</w:t>
            </w:r>
          </w:p>
        </w:tc>
        <w:tc>
          <w:tcPr>
            <w:tcW w:w="2654" w:type="dxa"/>
            <w:vAlign w:val="center"/>
          </w:tcPr>
          <w:p w14:paraId="3D9327C6"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51699EB6"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ADI96966.1</w:t>
            </w:r>
          </w:p>
        </w:tc>
      </w:tr>
      <w:tr w:rsidR="00E452BC" w:rsidRPr="00226C9F" w14:paraId="72957642" w14:textId="77777777" w:rsidTr="00E452BC">
        <w:trPr>
          <w:trHeight w:val="290"/>
          <w:jc w:val="center"/>
        </w:trPr>
        <w:tc>
          <w:tcPr>
            <w:tcW w:w="1149" w:type="dxa"/>
            <w:noWrap/>
            <w:vAlign w:val="center"/>
            <w:hideMark/>
          </w:tcPr>
          <w:p w14:paraId="350318E7"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sed</w:t>
            </w:r>
          </w:p>
        </w:tc>
        <w:tc>
          <w:tcPr>
            <w:tcW w:w="1159" w:type="dxa"/>
            <w:vAlign w:val="center"/>
          </w:tcPr>
          <w:p w14:paraId="52DF1695"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5372229A"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5CA64AEE"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AAB06195.1</w:t>
            </w:r>
          </w:p>
        </w:tc>
      </w:tr>
      <w:tr w:rsidR="00E452BC" w:rsidRPr="00226C9F" w14:paraId="6CCA9B9A" w14:textId="77777777" w:rsidTr="00E452BC">
        <w:trPr>
          <w:trHeight w:val="290"/>
          <w:jc w:val="center"/>
        </w:trPr>
        <w:tc>
          <w:tcPr>
            <w:tcW w:w="1149" w:type="dxa"/>
            <w:noWrap/>
            <w:vAlign w:val="center"/>
            <w:hideMark/>
          </w:tcPr>
          <w:p w14:paraId="6AE6AE19"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see</w:t>
            </w:r>
          </w:p>
        </w:tc>
        <w:tc>
          <w:tcPr>
            <w:tcW w:w="1159" w:type="dxa"/>
            <w:vAlign w:val="center"/>
          </w:tcPr>
          <w:p w14:paraId="2EB1D31E"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76FCFE3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62B249EB"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AAA26617.1</w:t>
            </w:r>
          </w:p>
        </w:tc>
      </w:tr>
      <w:tr w:rsidR="00E452BC" w:rsidRPr="00226C9F" w14:paraId="0D4DDE7C" w14:textId="77777777" w:rsidTr="00E452BC">
        <w:trPr>
          <w:trHeight w:val="290"/>
          <w:jc w:val="center"/>
        </w:trPr>
        <w:tc>
          <w:tcPr>
            <w:tcW w:w="1149" w:type="dxa"/>
            <w:noWrap/>
            <w:vAlign w:val="center"/>
            <w:hideMark/>
          </w:tcPr>
          <w:p w14:paraId="33C05DFB"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i/>
                <w:color w:val="auto"/>
                <w:sz w:val="18"/>
                <w:szCs w:val="18"/>
                <w:lang w:val="en-US"/>
              </w:rPr>
              <w:t>seg</w:t>
            </w:r>
            <w:r w:rsidRPr="00226C9F">
              <w:rPr>
                <w:rFonts w:eastAsia="Arial" w:cs="Times New Roman"/>
                <w:color w:val="auto"/>
                <w:sz w:val="18"/>
                <w:szCs w:val="18"/>
                <w:lang w:val="en-US"/>
              </w:rPr>
              <w:t>*</w:t>
            </w:r>
          </w:p>
        </w:tc>
        <w:tc>
          <w:tcPr>
            <w:tcW w:w="1159" w:type="dxa"/>
            <w:vAlign w:val="center"/>
          </w:tcPr>
          <w:p w14:paraId="75E2238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7F7AA8FE"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1FB21149"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WP_000736712.1; WP_000736707.1</w:t>
            </w:r>
          </w:p>
        </w:tc>
      </w:tr>
      <w:tr w:rsidR="00E452BC" w:rsidRPr="00226C9F" w14:paraId="76612A20" w14:textId="77777777" w:rsidTr="00E452BC">
        <w:trPr>
          <w:trHeight w:val="290"/>
          <w:jc w:val="center"/>
        </w:trPr>
        <w:tc>
          <w:tcPr>
            <w:tcW w:w="1149" w:type="dxa"/>
            <w:noWrap/>
            <w:vAlign w:val="center"/>
            <w:hideMark/>
          </w:tcPr>
          <w:p w14:paraId="7F5D0107"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seh</w:t>
            </w:r>
          </w:p>
        </w:tc>
        <w:tc>
          <w:tcPr>
            <w:tcW w:w="1159" w:type="dxa"/>
            <w:vAlign w:val="center"/>
          </w:tcPr>
          <w:p w14:paraId="2DFD5C69"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6BCEED27"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7C6CD62B"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BAB93916.1; WP_000608674.1</w:t>
            </w:r>
          </w:p>
        </w:tc>
      </w:tr>
      <w:tr w:rsidR="00E452BC" w:rsidRPr="00226C9F" w14:paraId="746F7A06" w14:textId="77777777" w:rsidTr="00E452BC">
        <w:trPr>
          <w:trHeight w:val="290"/>
          <w:jc w:val="center"/>
        </w:trPr>
        <w:tc>
          <w:tcPr>
            <w:tcW w:w="1149" w:type="dxa"/>
            <w:noWrap/>
            <w:vAlign w:val="center"/>
            <w:hideMark/>
          </w:tcPr>
          <w:p w14:paraId="089A0D3B"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sei</w:t>
            </w:r>
          </w:p>
        </w:tc>
        <w:tc>
          <w:tcPr>
            <w:tcW w:w="1159" w:type="dxa"/>
            <w:vAlign w:val="center"/>
          </w:tcPr>
          <w:p w14:paraId="18FA50CD"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55FA7D12"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059D0903"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WP_000713850.1; WP_000713847.1; WP_000721567.1</w:t>
            </w:r>
          </w:p>
        </w:tc>
      </w:tr>
      <w:tr w:rsidR="00E452BC" w:rsidRPr="00226C9F" w14:paraId="6FBA3147" w14:textId="77777777" w:rsidTr="00E452BC">
        <w:trPr>
          <w:trHeight w:val="290"/>
          <w:jc w:val="center"/>
        </w:trPr>
        <w:tc>
          <w:tcPr>
            <w:tcW w:w="1149" w:type="dxa"/>
            <w:noWrap/>
            <w:vAlign w:val="center"/>
            <w:hideMark/>
          </w:tcPr>
          <w:p w14:paraId="73A93263"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selj</w:t>
            </w:r>
          </w:p>
        </w:tc>
        <w:tc>
          <w:tcPr>
            <w:tcW w:w="1159" w:type="dxa"/>
            <w:vAlign w:val="center"/>
          </w:tcPr>
          <w:p w14:paraId="3CFEE3B2"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1971F484"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43BE1F0E"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BAC97796.1</w:t>
            </w:r>
          </w:p>
        </w:tc>
      </w:tr>
      <w:tr w:rsidR="00E452BC" w:rsidRPr="00226C9F" w14:paraId="57ABB937" w14:textId="77777777" w:rsidTr="00E452BC">
        <w:trPr>
          <w:trHeight w:val="290"/>
          <w:jc w:val="center"/>
        </w:trPr>
        <w:tc>
          <w:tcPr>
            <w:tcW w:w="1149" w:type="dxa"/>
            <w:noWrap/>
            <w:vAlign w:val="center"/>
            <w:hideMark/>
          </w:tcPr>
          <w:p w14:paraId="55015EC9"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sek</w:t>
            </w:r>
          </w:p>
        </w:tc>
        <w:tc>
          <w:tcPr>
            <w:tcW w:w="1159" w:type="dxa"/>
            <w:vAlign w:val="center"/>
          </w:tcPr>
          <w:p w14:paraId="309E37B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40CD04A8"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14388750"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WP_000733771.1; WP_000734020.1; WP_000733775.1</w:t>
            </w:r>
          </w:p>
        </w:tc>
      </w:tr>
      <w:tr w:rsidR="00E452BC" w:rsidRPr="00226C9F" w14:paraId="3F08A572" w14:textId="77777777" w:rsidTr="00E452BC">
        <w:trPr>
          <w:trHeight w:val="290"/>
          <w:jc w:val="center"/>
        </w:trPr>
        <w:tc>
          <w:tcPr>
            <w:tcW w:w="1149" w:type="dxa"/>
            <w:noWrap/>
            <w:vAlign w:val="center"/>
            <w:hideMark/>
          </w:tcPr>
          <w:p w14:paraId="71ED52D0" w14:textId="77777777" w:rsidR="00E452BC" w:rsidRPr="00226C9F" w:rsidRDefault="00E452BC" w:rsidP="00E452BC">
            <w:pPr>
              <w:spacing w:before="0" w:after="0"/>
              <w:jc w:val="center"/>
              <w:rPr>
                <w:rFonts w:eastAsia="Arial" w:cs="Times New Roman"/>
                <w:i/>
                <w:color w:val="auto"/>
                <w:sz w:val="18"/>
                <w:szCs w:val="18"/>
                <w:lang w:val="en-US"/>
              </w:rPr>
            </w:pPr>
            <w:r w:rsidRPr="00226C9F">
              <w:rPr>
                <w:rFonts w:eastAsia="Arial" w:cs="Times New Roman"/>
                <w:i/>
                <w:color w:val="auto"/>
                <w:sz w:val="18"/>
                <w:szCs w:val="18"/>
                <w:lang w:val="en-US"/>
              </w:rPr>
              <w:t>sel</w:t>
            </w:r>
          </w:p>
        </w:tc>
        <w:tc>
          <w:tcPr>
            <w:tcW w:w="1159" w:type="dxa"/>
            <w:vAlign w:val="center"/>
          </w:tcPr>
          <w:p w14:paraId="388EDB9E"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w:t>
            </w:r>
          </w:p>
        </w:tc>
        <w:tc>
          <w:tcPr>
            <w:tcW w:w="2654" w:type="dxa"/>
            <w:vAlign w:val="center"/>
          </w:tcPr>
          <w:p w14:paraId="5B8BFF28"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Original VFDB_Full</w:t>
            </w:r>
          </w:p>
        </w:tc>
        <w:tc>
          <w:tcPr>
            <w:tcW w:w="4393" w:type="dxa"/>
            <w:vAlign w:val="center"/>
          </w:tcPr>
          <w:p w14:paraId="24C89BAB"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lang w:val="en-US"/>
              </w:rPr>
              <w:t>WP_000746597.1; WP_000746599</w:t>
            </w:r>
            <w:r w:rsidRPr="00226C9F">
              <w:rPr>
                <w:rFonts w:eastAsia="Arial" w:cs="Times New Roman"/>
                <w:color w:val="auto"/>
                <w:sz w:val="18"/>
                <w:szCs w:val="18"/>
              </w:rPr>
              <w:t>.1; WP_000746599.1</w:t>
            </w:r>
          </w:p>
        </w:tc>
      </w:tr>
      <w:tr w:rsidR="00E452BC" w:rsidRPr="00226C9F" w14:paraId="2BEEC72C" w14:textId="77777777" w:rsidTr="00E452BC">
        <w:trPr>
          <w:trHeight w:val="290"/>
          <w:jc w:val="center"/>
        </w:trPr>
        <w:tc>
          <w:tcPr>
            <w:tcW w:w="1149" w:type="dxa"/>
            <w:noWrap/>
            <w:vAlign w:val="center"/>
            <w:hideMark/>
          </w:tcPr>
          <w:p w14:paraId="49BFD457"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sem</w:t>
            </w:r>
          </w:p>
        </w:tc>
        <w:tc>
          <w:tcPr>
            <w:tcW w:w="1159" w:type="dxa"/>
            <w:vAlign w:val="center"/>
          </w:tcPr>
          <w:p w14:paraId="5F41E3D9"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7DCED84A"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034C94A2"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WP_000821658.1; WP_000821649.1</w:t>
            </w:r>
          </w:p>
        </w:tc>
      </w:tr>
      <w:tr w:rsidR="00E452BC" w:rsidRPr="00226C9F" w14:paraId="65595646" w14:textId="77777777" w:rsidTr="00E452BC">
        <w:trPr>
          <w:trHeight w:val="290"/>
          <w:jc w:val="center"/>
        </w:trPr>
        <w:tc>
          <w:tcPr>
            <w:tcW w:w="1149" w:type="dxa"/>
            <w:noWrap/>
            <w:vAlign w:val="center"/>
            <w:hideMark/>
          </w:tcPr>
          <w:p w14:paraId="025B9EEF"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i/>
                <w:color w:val="auto"/>
                <w:sz w:val="18"/>
                <w:szCs w:val="18"/>
              </w:rPr>
              <w:t>sen</w:t>
            </w:r>
            <w:r w:rsidRPr="00226C9F">
              <w:rPr>
                <w:rFonts w:eastAsia="Arial" w:cs="Times New Roman"/>
                <w:color w:val="auto"/>
                <w:sz w:val="18"/>
                <w:szCs w:val="18"/>
              </w:rPr>
              <w:t>*</w:t>
            </w:r>
          </w:p>
        </w:tc>
        <w:tc>
          <w:tcPr>
            <w:tcW w:w="1159" w:type="dxa"/>
            <w:vAlign w:val="center"/>
          </w:tcPr>
          <w:p w14:paraId="0FECE6EE"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0E640378"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2DE5D641"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WP_001236366.1; WP_001235656.1; WP_001236362.1</w:t>
            </w:r>
          </w:p>
        </w:tc>
      </w:tr>
      <w:tr w:rsidR="00E452BC" w:rsidRPr="00226C9F" w14:paraId="710E215D" w14:textId="77777777" w:rsidTr="00E452BC">
        <w:trPr>
          <w:trHeight w:val="290"/>
          <w:jc w:val="center"/>
        </w:trPr>
        <w:tc>
          <w:tcPr>
            <w:tcW w:w="1149" w:type="dxa"/>
            <w:noWrap/>
            <w:vAlign w:val="center"/>
            <w:hideMark/>
          </w:tcPr>
          <w:p w14:paraId="2F4FB364"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seo</w:t>
            </w:r>
          </w:p>
        </w:tc>
        <w:tc>
          <w:tcPr>
            <w:tcW w:w="1159" w:type="dxa"/>
            <w:vAlign w:val="center"/>
          </w:tcPr>
          <w:p w14:paraId="1FA1D5C0"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1E91F919"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610DFF75"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WP_000935742.1; WP_010922839.1; WP_000935739.1; WP_000935747.1</w:t>
            </w:r>
          </w:p>
        </w:tc>
      </w:tr>
      <w:tr w:rsidR="00E452BC" w:rsidRPr="00226C9F" w14:paraId="1279467C" w14:textId="77777777" w:rsidTr="00E452BC">
        <w:trPr>
          <w:trHeight w:val="290"/>
          <w:jc w:val="center"/>
        </w:trPr>
        <w:tc>
          <w:tcPr>
            <w:tcW w:w="1149" w:type="dxa"/>
            <w:noWrap/>
            <w:vAlign w:val="center"/>
            <w:hideMark/>
          </w:tcPr>
          <w:p w14:paraId="4622E246"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i/>
                <w:color w:val="auto"/>
                <w:sz w:val="18"/>
                <w:szCs w:val="18"/>
              </w:rPr>
              <w:t>sep</w:t>
            </w:r>
            <w:r w:rsidRPr="00226C9F">
              <w:rPr>
                <w:rFonts w:eastAsia="Arial" w:cs="Times New Roman"/>
                <w:color w:val="auto"/>
                <w:sz w:val="18"/>
                <w:szCs w:val="18"/>
              </w:rPr>
              <w:t>**</w:t>
            </w:r>
          </w:p>
        </w:tc>
        <w:tc>
          <w:tcPr>
            <w:tcW w:w="1159" w:type="dxa"/>
            <w:vAlign w:val="center"/>
          </w:tcPr>
          <w:p w14:paraId="434F6A13"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58A54227"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56E7B78B"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NP_835571.1</w:t>
            </w:r>
          </w:p>
        </w:tc>
      </w:tr>
      <w:tr w:rsidR="00E452BC" w:rsidRPr="00226C9F" w14:paraId="63BA0C3A" w14:textId="77777777" w:rsidTr="00E452BC">
        <w:trPr>
          <w:trHeight w:val="290"/>
          <w:jc w:val="center"/>
        </w:trPr>
        <w:tc>
          <w:tcPr>
            <w:tcW w:w="1149" w:type="dxa"/>
            <w:noWrap/>
            <w:vAlign w:val="center"/>
            <w:hideMark/>
          </w:tcPr>
          <w:p w14:paraId="5191C79B"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seq</w:t>
            </w:r>
          </w:p>
        </w:tc>
        <w:tc>
          <w:tcPr>
            <w:tcW w:w="1159" w:type="dxa"/>
            <w:vAlign w:val="center"/>
          </w:tcPr>
          <w:p w14:paraId="60A366DD"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77AE1927"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6D07EA72"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WP_001033320.1; WP_001033321.1; WP_001033316.1</w:t>
            </w:r>
          </w:p>
        </w:tc>
      </w:tr>
      <w:tr w:rsidR="00E452BC" w:rsidRPr="00226C9F" w14:paraId="6BD5CBA6" w14:textId="77777777" w:rsidTr="00E452BC">
        <w:trPr>
          <w:trHeight w:val="290"/>
          <w:jc w:val="center"/>
        </w:trPr>
        <w:tc>
          <w:tcPr>
            <w:tcW w:w="1149" w:type="dxa"/>
            <w:noWrap/>
            <w:vAlign w:val="center"/>
            <w:hideMark/>
          </w:tcPr>
          <w:p w14:paraId="7373EDCD"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ser</w:t>
            </w:r>
          </w:p>
        </w:tc>
        <w:tc>
          <w:tcPr>
            <w:tcW w:w="1159" w:type="dxa"/>
            <w:vAlign w:val="center"/>
          </w:tcPr>
          <w:p w14:paraId="4176BE6B"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0373ECE9"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1154588D"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BAC97795.1</w:t>
            </w:r>
          </w:p>
        </w:tc>
      </w:tr>
      <w:tr w:rsidR="00E452BC" w:rsidRPr="00226C9F" w14:paraId="53B04207" w14:textId="77777777" w:rsidTr="00E452BC">
        <w:trPr>
          <w:trHeight w:val="290"/>
          <w:jc w:val="center"/>
        </w:trPr>
        <w:tc>
          <w:tcPr>
            <w:tcW w:w="1149" w:type="dxa"/>
            <w:noWrap/>
            <w:vAlign w:val="center"/>
            <w:hideMark/>
          </w:tcPr>
          <w:p w14:paraId="03F28284"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ses</w:t>
            </w:r>
          </w:p>
        </w:tc>
        <w:tc>
          <w:tcPr>
            <w:tcW w:w="1159" w:type="dxa"/>
            <w:vAlign w:val="center"/>
          </w:tcPr>
          <w:p w14:paraId="0985A1F3"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66A2B041"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0A50AAAC"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BAG06667.1</w:t>
            </w:r>
          </w:p>
        </w:tc>
      </w:tr>
      <w:tr w:rsidR="00E452BC" w:rsidRPr="00226C9F" w14:paraId="631B4B2B" w14:textId="77777777" w:rsidTr="00E452BC">
        <w:trPr>
          <w:trHeight w:val="290"/>
          <w:jc w:val="center"/>
        </w:trPr>
        <w:tc>
          <w:tcPr>
            <w:tcW w:w="1149" w:type="dxa"/>
            <w:noWrap/>
            <w:vAlign w:val="center"/>
            <w:hideMark/>
          </w:tcPr>
          <w:p w14:paraId="2BE1F391"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set</w:t>
            </w:r>
          </w:p>
        </w:tc>
        <w:tc>
          <w:tcPr>
            <w:tcW w:w="1159" w:type="dxa"/>
            <w:vAlign w:val="center"/>
          </w:tcPr>
          <w:p w14:paraId="1649C02B"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265DF7D5"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7DF9616B"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BAG06666.1</w:t>
            </w:r>
          </w:p>
        </w:tc>
      </w:tr>
      <w:tr w:rsidR="00E452BC" w:rsidRPr="00226C9F" w14:paraId="08349D84" w14:textId="77777777" w:rsidTr="00E452BC">
        <w:trPr>
          <w:trHeight w:val="290"/>
          <w:jc w:val="center"/>
        </w:trPr>
        <w:tc>
          <w:tcPr>
            <w:tcW w:w="1149" w:type="dxa"/>
            <w:vMerge w:val="restart"/>
            <w:noWrap/>
            <w:vAlign w:val="center"/>
            <w:hideMark/>
          </w:tcPr>
          <w:p w14:paraId="3ADE993A" w14:textId="426E13EC"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selu</w:t>
            </w:r>
          </w:p>
        </w:tc>
        <w:tc>
          <w:tcPr>
            <w:tcW w:w="1159" w:type="dxa"/>
            <w:vAlign w:val="center"/>
          </w:tcPr>
          <w:p w14:paraId="08A929A7"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selu</w:t>
            </w:r>
          </w:p>
        </w:tc>
        <w:tc>
          <w:tcPr>
            <w:tcW w:w="2654" w:type="dxa"/>
            <w:vAlign w:val="center"/>
          </w:tcPr>
          <w:p w14:paraId="5CAFAE81"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5AC6659A"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WP_000764692.1; WP_000764684.1</w:t>
            </w:r>
          </w:p>
        </w:tc>
      </w:tr>
      <w:tr w:rsidR="00E452BC" w:rsidRPr="00226C9F" w14:paraId="41821FAD" w14:textId="77777777" w:rsidTr="00E452BC">
        <w:trPr>
          <w:trHeight w:val="290"/>
          <w:jc w:val="center"/>
        </w:trPr>
        <w:tc>
          <w:tcPr>
            <w:tcW w:w="1149" w:type="dxa"/>
            <w:vMerge/>
            <w:noWrap/>
            <w:vAlign w:val="center"/>
          </w:tcPr>
          <w:p w14:paraId="658B78E3" w14:textId="77777777" w:rsidR="00E452BC" w:rsidRPr="00226C9F" w:rsidRDefault="00E452BC" w:rsidP="00E452BC">
            <w:pPr>
              <w:spacing w:before="0" w:after="0"/>
              <w:jc w:val="center"/>
              <w:rPr>
                <w:rFonts w:eastAsia="Arial" w:cs="Times New Roman"/>
                <w:i/>
                <w:color w:val="auto"/>
                <w:sz w:val="18"/>
                <w:szCs w:val="18"/>
              </w:rPr>
            </w:pPr>
          </w:p>
        </w:tc>
        <w:tc>
          <w:tcPr>
            <w:tcW w:w="1159" w:type="dxa"/>
            <w:vAlign w:val="center"/>
          </w:tcPr>
          <w:p w14:paraId="32A9958D"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selu2</w:t>
            </w:r>
          </w:p>
        </w:tc>
        <w:tc>
          <w:tcPr>
            <w:tcW w:w="2654" w:type="dxa"/>
            <w:vAlign w:val="center"/>
          </w:tcPr>
          <w:p w14:paraId="2EDB0A15"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241E8286"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ABK27166.1</w:t>
            </w:r>
          </w:p>
        </w:tc>
      </w:tr>
      <w:tr w:rsidR="00E452BC" w:rsidRPr="00226C9F" w14:paraId="08E04D2D" w14:textId="77777777" w:rsidTr="00E452BC">
        <w:trPr>
          <w:trHeight w:val="290"/>
          <w:jc w:val="center"/>
        </w:trPr>
        <w:tc>
          <w:tcPr>
            <w:tcW w:w="1149" w:type="dxa"/>
            <w:noWrap/>
            <w:vAlign w:val="center"/>
          </w:tcPr>
          <w:p w14:paraId="38061740"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selv</w:t>
            </w:r>
          </w:p>
        </w:tc>
        <w:tc>
          <w:tcPr>
            <w:tcW w:w="1159" w:type="dxa"/>
            <w:vAlign w:val="center"/>
          </w:tcPr>
          <w:p w14:paraId="5CB6BF33"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69D1F645"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36E1A0BD"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ABK27165.1</w:t>
            </w:r>
          </w:p>
        </w:tc>
      </w:tr>
      <w:tr w:rsidR="00E452BC" w:rsidRPr="00226C9F" w14:paraId="57C921A9" w14:textId="77777777" w:rsidTr="00E452BC">
        <w:trPr>
          <w:trHeight w:val="290"/>
          <w:jc w:val="center"/>
        </w:trPr>
        <w:tc>
          <w:tcPr>
            <w:tcW w:w="1149" w:type="dxa"/>
            <w:noWrap/>
            <w:vAlign w:val="center"/>
          </w:tcPr>
          <w:p w14:paraId="1FFD7B03"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selw</w:t>
            </w:r>
          </w:p>
        </w:tc>
        <w:tc>
          <w:tcPr>
            <w:tcW w:w="1159" w:type="dxa"/>
            <w:vAlign w:val="center"/>
          </w:tcPr>
          <w:p w14:paraId="5A64D663"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69818BEC"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29E1D585"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QKD77131.1; QKO26035.1; QKD77152.1</w:t>
            </w:r>
          </w:p>
        </w:tc>
      </w:tr>
      <w:tr w:rsidR="00E452BC" w:rsidRPr="00226C9F" w14:paraId="360E4C65" w14:textId="77777777" w:rsidTr="00E452BC">
        <w:trPr>
          <w:trHeight w:val="290"/>
          <w:jc w:val="center"/>
        </w:trPr>
        <w:tc>
          <w:tcPr>
            <w:tcW w:w="1149" w:type="dxa"/>
            <w:noWrap/>
            <w:vAlign w:val="center"/>
          </w:tcPr>
          <w:p w14:paraId="5A1D4222"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selx</w:t>
            </w:r>
          </w:p>
        </w:tc>
        <w:tc>
          <w:tcPr>
            <w:tcW w:w="1159" w:type="dxa"/>
            <w:vAlign w:val="center"/>
          </w:tcPr>
          <w:p w14:paraId="2F7F0837"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376AF51B"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1D49DF75"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QKD77102.1; QKO25999.1; AEI60189.1; AEI60187.1; AEI60188.1; AEI60185.1; AEI60186.1</w:t>
            </w:r>
          </w:p>
        </w:tc>
      </w:tr>
      <w:tr w:rsidR="00E452BC" w:rsidRPr="00226C9F" w14:paraId="07E75FA2" w14:textId="77777777" w:rsidTr="00E452BC">
        <w:trPr>
          <w:trHeight w:val="290"/>
          <w:jc w:val="center"/>
        </w:trPr>
        <w:tc>
          <w:tcPr>
            <w:tcW w:w="1149" w:type="dxa"/>
            <w:noWrap/>
            <w:vAlign w:val="center"/>
          </w:tcPr>
          <w:p w14:paraId="5D957DB4"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sey</w:t>
            </w:r>
          </w:p>
        </w:tc>
        <w:tc>
          <w:tcPr>
            <w:tcW w:w="1159" w:type="dxa"/>
            <w:vAlign w:val="center"/>
          </w:tcPr>
          <w:p w14:paraId="4B045960"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00E5A2CD"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04A34DAC"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BAS21358.1</w:t>
            </w:r>
          </w:p>
        </w:tc>
      </w:tr>
      <w:tr w:rsidR="00E452BC" w:rsidRPr="00226C9F" w14:paraId="1600120E" w14:textId="77777777" w:rsidTr="00E452BC">
        <w:trPr>
          <w:trHeight w:val="290"/>
          <w:jc w:val="center"/>
        </w:trPr>
        <w:tc>
          <w:tcPr>
            <w:tcW w:w="1149" w:type="dxa"/>
            <w:noWrap/>
            <w:vAlign w:val="center"/>
          </w:tcPr>
          <w:p w14:paraId="524C85E7"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selz</w:t>
            </w:r>
          </w:p>
        </w:tc>
        <w:tc>
          <w:tcPr>
            <w:tcW w:w="1159" w:type="dxa"/>
            <w:vAlign w:val="center"/>
          </w:tcPr>
          <w:p w14:paraId="5CB9C464"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5DB01BB3"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48238708"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QFG75941.1</w:t>
            </w:r>
          </w:p>
        </w:tc>
      </w:tr>
      <w:tr w:rsidR="00E452BC" w:rsidRPr="00226C9F" w14:paraId="715857F0" w14:textId="77777777" w:rsidTr="00E452BC">
        <w:trPr>
          <w:trHeight w:val="290"/>
          <w:jc w:val="center"/>
        </w:trPr>
        <w:tc>
          <w:tcPr>
            <w:tcW w:w="1149" w:type="dxa"/>
            <w:noWrap/>
            <w:vAlign w:val="center"/>
          </w:tcPr>
          <w:p w14:paraId="1BC155E4"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sel26</w:t>
            </w:r>
          </w:p>
        </w:tc>
        <w:tc>
          <w:tcPr>
            <w:tcW w:w="1159" w:type="dxa"/>
            <w:vAlign w:val="center"/>
          </w:tcPr>
          <w:p w14:paraId="6308C525"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62801AEB"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67959A96"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AVX35650.1; AVX35641.1</w:t>
            </w:r>
          </w:p>
        </w:tc>
      </w:tr>
      <w:tr w:rsidR="00E452BC" w:rsidRPr="00226C9F" w14:paraId="7BAD38FC" w14:textId="77777777" w:rsidTr="00E452BC">
        <w:trPr>
          <w:trHeight w:val="290"/>
          <w:jc w:val="center"/>
        </w:trPr>
        <w:tc>
          <w:tcPr>
            <w:tcW w:w="1149" w:type="dxa"/>
            <w:noWrap/>
            <w:vAlign w:val="center"/>
          </w:tcPr>
          <w:p w14:paraId="65327E28"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sel27</w:t>
            </w:r>
          </w:p>
        </w:tc>
        <w:tc>
          <w:tcPr>
            <w:tcW w:w="1159" w:type="dxa"/>
            <w:vAlign w:val="center"/>
          </w:tcPr>
          <w:p w14:paraId="5D1EBAFE"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7EF882C7"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1EBE0AB3"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AVX35651.1; AVX35642.1</w:t>
            </w:r>
          </w:p>
        </w:tc>
      </w:tr>
      <w:tr w:rsidR="00E452BC" w:rsidRPr="00226C9F" w14:paraId="0D915042" w14:textId="77777777" w:rsidTr="00E452BC">
        <w:trPr>
          <w:trHeight w:val="290"/>
          <w:jc w:val="center"/>
        </w:trPr>
        <w:tc>
          <w:tcPr>
            <w:tcW w:w="1149" w:type="dxa"/>
            <w:noWrap/>
            <w:vAlign w:val="center"/>
          </w:tcPr>
          <w:p w14:paraId="3F701215"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i/>
                <w:color w:val="auto"/>
                <w:sz w:val="18"/>
                <w:szCs w:val="18"/>
              </w:rPr>
              <w:t>Ψent1</w:t>
            </w:r>
            <w:r w:rsidRPr="00226C9F">
              <w:rPr>
                <w:rFonts w:eastAsia="Arial" w:cs="Times New Roman"/>
                <w:color w:val="auto"/>
                <w:sz w:val="18"/>
                <w:szCs w:val="18"/>
              </w:rPr>
              <w:t>**</w:t>
            </w:r>
          </w:p>
        </w:tc>
        <w:tc>
          <w:tcPr>
            <w:tcW w:w="1159" w:type="dxa"/>
            <w:vAlign w:val="center"/>
          </w:tcPr>
          <w:p w14:paraId="49729741"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4C217A78" w14:textId="77777777" w:rsidR="00E452BC" w:rsidRPr="00226C9F" w:rsidRDefault="00E452BC" w:rsidP="00E452BC">
            <w:pPr>
              <w:spacing w:before="0" w:after="0"/>
              <w:jc w:val="center"/>
              <w:rPr>
                <w:rFonts w:eastAsia="Arial" w:cs="Times New Roman"/>
                <w:color w:val="auto"/>
                <w:sz w:val="18"/>
                <w:szCs w:val="18"/>
                <w:lang w:val="en-US"/>
              </w:rPr>
            </w:pPr>
            <w:r w:rsidRPr="00226C9F">
              <w:rPr>
                <w:rFonts w:eastAsia="Arial" w:cs="Times New Roman"/>
                <w:color w:val="auto"/>
                <w:sz w:val="18"/>
                <w:szCs w:val="18"/>
                <w:lang w:val="en-US"/>
              </w:rPr>
              <w:t>NCBI: added to the database</w:t>
            </w:r>
          </w:p>
        </w:tc>
        <w:tc>
          <w:tcPr>
            <w:tcW w:w="4393" w:type="dxa"/>
            <w:vAlign w:val="center"/>
          </w:tcPr>
          <w:p w14:paraId="3B642FFA"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CAC8477980.1</w:t>
            </w:r>
          </w:p>
        </w:tc>
      </w:tr>
      <w:tr w:rsidR="00E452BC" w:rsidRPr="00226C9F" w14:paraId="188DA3B2" w14:textId="77777777" w:rsidTr="00E452BC">
        <w:trPr>
          <w:trHeight w:val="290"/>
          <w:jc w:val="center"/>
        </w:trPr>
        <w:tc>
          <w:tcPr>
            <w:tcW w:w="1149" w:type="dxa"/>
            <w:noWrap/>
            <w:vAlign w:val="center"/>
          </w:tcPr>
          <w:p w14:paraId="1AC09D90" w14:textId="77777777" w:rsidR="00E452BC" w:rsidRPr="00226C9F" w:rsidRDefault="00E452BC" w:rsidP="00E452BC">
            <w:pPr>
              <w:spacing w:before="0" w:after="0"/>
              <w:jc w:val="center"/>
              <w:rPr>
                <w:rFonts w:eastAsia="Arial" w:cs="Times New Roman"/>
                <w:i/>
                <w:color w:val="auto"/>
                <w:sz w:val="18"/>
                <w:szCs w:val="18"/>
              </w:rPr>
            </w:pPr>
            <w:r w:rsidRPr="00226C9F">
              <w:rPr>
                <w:rFonts w:eastAsia="Arial" w:cs="Times New Roman"/>
                <w:i/>
                <w:color w:val="auto"/>
                <w:sz w:val="18"/>
                <w:szCs w:val="18"/>
              </w:rPr>
              <w:t>Ψent2</w:t>
            </w:r>
          </w:p>
        </w:tc>
        <w:tc>
          <w:tcPr>
            <w:tcW w:w="1159" w:type="dxa"/>
            <w:vAlign w:val="center"/>
          </w:tcPr>
          <w:p w14:paraId="6A696FE2"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t>
            </w:r>
          </w:p>
        </w:tc>
        <w:tc>
          <w:tcPr>
            <w:tcW w:w="2654" w:type="dxa"/>
            <w:vAlign w:val="center"/>
          </w:tcPr>
          <w:p w14:paraId="69F61162"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Original VFDB_Full</w:t>
            </w:r>
          </w:p>
        </w:tc>
        <w:tc>
          <w:tcPr>
            <w:tcW w:w="4393" w:type="dxa"/>
            <w:vAlign w:val="center"/>
          </w:tcPr>
          <w:p w14:paraId="2005C61A" w14:textId="77777777" w:rsidR="00E452BC" w:rsidRPr="00226C9F" w:rsidRDefault="00E452BC" w:rsidP="00E452BC">
            <w:pPr>
              <w:spacing w:before="0" w:after="0"/>
              <w:jc w:val="center"/>
              <w:rPr>
                <w:rFonts w:eastAsia="Arial" w:cs="Times New Roman"/>
                <w:color w:val="auto"/>
                <w:sz w:val="18"/>
                <w:szCs w:val="18"/>
              </w:rPr>
            </w:pPr>
            <w:r w:rsidRPr="00226C9F">
              <w:rPr>
                <w:rFonts w:eastAsia="Arial" w:cs="Times New Roman"/>
                <w:color w:val="auto"/>
                <w:sz w:val="18"/>
                <w:szCs w:val="18"/>
              </w:rPr>
              <w:t>WP_001796875.1</w:t>
            </w:r>
          </w:p>
        </w:tc>
      </w:tr>
    </w:tbl>
    <w:p w14:paraId="3A24FA94" w14:textId="1042891D" w:rsidR="00E452BC" w:rsidRDefault="00E452BC" w:rsidP="00E452BC">
      <w:pPr>
        <w:pStyle w:val="NoSpacing"/>
        <w:jc w:val="both"/>
      </w:pPr>
      <w:r>
        <w:lastRenderedPageBreak/>
        <w:t xml:space="preserve">The VFDB_Full database was extracted from its source at November 16th, 2020. For all </w:t>
      </w:r>
      <w:r w:rsidRPr="00226C9F">
        <w:rPr>
          <w:i/>
        </w:rPr>
        <w:t>se</w:t>
      </w:r>
      <w:r>
        <w:t xml:space="preserve"> genes not present within the database, NCBI sequences were added. Other virulence genes present within this database (related to Staphylococcal and other species) were disregarded and not shown, since they were not further discussed in this study. The source of the sequence (i.e. originally present in the VFDB_Full database, or sequences from NCBI added to the VFDB_Full database) is shown. Since the (Refseq and Genbank) accession numbers of reference sequences in the original VFDB_Full database refer to their corresponding protein sequences, the same nomenclature was extended to all sequences added to the database as well. Moreover, if a RefSeq record in the VFDB_Full database was removed and replaced by another RefSeq accession number on NCBI (identical protein sequence), the most recent accession number was shown. Staphylococcal enterotoxin sequences in the database for which the RefSeq record was suppressed on NCBI because it was no longer annotated on any genome (WP_001797618.1 for </w:t>
      </w:r>
      <w:r w:rsidRPr="00226C9F">
        <w:rPr>
          <w:i/>
        </w:rPr>
        <w:t>sea</w:t>
      </w:r>
      <w:r>
        <w:t xml:space="preserve">, WP_011382313.1 for </w:t>
      </w:r>
      <w:r w:rsidRPr="00226C9F">
        <w:rPr>
          <w:i/>
        </w:rPr>
        <w:t>seg</w:t>
      </w:r>
      <w:r>
        <w:t xml:space="preserve">, WP_010922838.1 for </w:t>
      </w:r>
      <w:r w:rsidRPr="00226C9F">
        <w:rPr>
          <w:i/>
        </w:rPr>
        <w:t>sen</w:t>
      </w:r>
      <w:r>
        <w:t xml:space="preserve">, and WP_000034846.1 for </w:t>
      </w:r>
      <w:r w:rsidRPr="00226C9F">
        <w:rPr>
          <w:i/>
        </w:rPr>
        <w:t>sep</w:t>
      </w:r>
      <w:r>
        <w:t xml:space="preserve">), were removed in the extended VFDB_Full database (*), and if necessary (i.e. when none of the respective </w:t>
      </w:r>
      <w:r w:rsidRPr="00226C9F">
        <w:rPr>
          <w:i/>
        </w:rPr>
        <w:t>se</w:t>
      </w:r>
      <w:r>
        <w:t xml:space="preserve"> gene remains present in the VFDB_Full database) replaced by a new reference sequence (**). Nucleotide sequences for all </w:t>
      </w:r>
      <w:r w:rsidRPr="00226C9F">
        <w:rPr>
          <w:i/>
        </w:rPr>
        <w:t>se</w:t>
      </w:r>
      <w:r>
        <w:t xml:space="preserve"> reference genes present in the extended VFDB_Full database can be found in the accompanied </w:t>
      </w:r>
      <w:r w:rsidR="00226C9F">
        <w:t>FASTA</w:t>
      </w:r>
      <w:r>
        <w:t xml:space="preserve"> file. For this, the nucleotide sequences of all reference genes originally present in the VFDB_Full database were extracted from the original VFDB_Full database and added in the </w:t>
      </w:r>
      <w:r w:rsidR="00226C9F">
        <w:t>FASTA</w:t>
      </w:r>
      <w:r>
        <w:t xml:space="preserve"> file, however, corresponding accession numbers to the nucleotide sequences are not available and could thus not be provided. For </w:t>
      </w:r>
      <w:r w:rsidRPr="00226C9F">
        <w:rPr>
          <w:i/>
        </w:rPr>
        <w:t>se</w:t>
      </w:r>
      <w:r>
        <w:t xml:space="preserve"> genes added to the extended VFDB_Full database, the nucleotide sequences and respective nucleotide RefSeq and/or GenBank accession numbers are provided in the </w:t>
      </w:r>
      <w:r w:rsidR="00226C9F">
        <w:t>FASTA</w:t>
      </w:r>
      <w:r>
        <w:t xml:space="preserve"> file.</w:t>
      </w:r>
      <w:r w:rsidR="0049264C">
        <w:t xml:space="preserve"> </w:t>
      </w:r>
      <w:r>
        <w:t xml:space="preserve">The extended VFDB_Full database allows subtyping of </w:t>
      </w:r>
      <w:r w:rsidRPr="00226C9F">
        <w:rPr>
          <w:i/>
        </w:rPr>
        <w:t>sec</w:t>
      </w:r>
      <w:r>
        <w:t xml:space="preserve"> and </w:t>
      </w:r>
      <w:r w:rsidRPr="00226C9F">
        <w:rPr>
          <w:i/>
        </w:rPr>
        <w:t>selu</w:t>
      </w:r>
      <w:r>
        <w:t xml:space="preserve">. Since variants for </w:t>
      </w:r>
      <w:r w:rsidRPr="00226C9F">
        <w:rPr>
          <w:i/>
        </w:rPr>
        <w:t>sec</w:t>
      </w:r>
      <w:r>
        <w:t xml:space="preserve"> were not all specifically annotated in the database (i.e. the variant was ambiguously described and sequences for some variants were missing), all present </w:t>
      </w:r>
      <w:r w:rsidRPr="00226C9F">
        <w:rPr>
          <w:i/>
        </w:rPr>
        <w:t>sec</w:t>
      </w:r>
      <w:r>
        <w:t xml:space="preserve"> sequences in the VFDB_Full database were removed, and those described in a recently published article were added </w:t>
      </w:r>
      <w:r>
        <w:fldChar w:fldCharType="begin" w:fldLock="1"/>
      </w:r>
      <w:r w:rsidR="0049264C">
        <w:instrText>ADDIN CSL_CITATION {"citationItems":[{"id":"ITEM-1","itemData":{"DOI":"10.3390/toxins12090584","ISSN":"2072-6651","PMID":"32927913","abstract":"Staphylococcal enterotoxins are the most common cause of foodborne intoxications (staphylococcal food poisoning) and cause a wide range of diseases. With at least six variants staphylococcal enterotoxin C (SEC) stands out as particularly diverse amongst the 25 known staphylococcal enterotoxins. Some variants present unique and even host-specific features. Here, we review the role of SEC in human and animal health with a particular focus on its role as a causative agent for foodborne intoxications. We highlight structural features unique to SEC and its variants, particularly, the emetic and superantigen activity, as well as the roles of SEC in mastitis and in dairy products. Information about the genetic organization as well as regulatory mechanisms including the accessory gene regulator and food-related stressors are provided.","author":[{"dropping-particle":"","family":"Etter","given":"Danai","non-dropping-particle":"","parse-names":false,"suffix":""},{"dropping-particle":"","family":"Schelin","given":"Jenny","non-dropping-particle":"","parse-names":false,"suffix":""},{"dropping-particle":"","family":"Schuppler","given":"Markus","non-dropping-particle":"","parse-names":false,"suffix":""},{"dropping-particle":"","family":"Johler","given":"Sophia","non-dropping-particle":"","parse-names":false,"suffix":""}],"container-title":"Toxins","id":"ITEM-1","issue":"9","issued":{"date-parts":[["2020","9","10"]]},"page":"584","title":"Staphylococcal Enterotoxin C—An Update on SEC Variants, Their Structure and Properties, and Their Role in Foodborne Intoxications","type":"article-journal","volume":"12"},"uris":["http://www.mendeley.com/documents/?uuid=dfff972b-4464-48d4-a536-7d872886d2eb"]}],"mendeley":{"formattedCitation":"(Etter et al., 2020)","plainTextFormattedCitation":"(Etter et al., 2020)","previouslyFormattedCitation":"(Etter et al., 2020)"},"properties":{"noteIndex":0},"schema":"https://github.com/citation-style-language/schema/raw/master/csl-citation.json"}</w:instrText>
      </w:r>
      <w:r>
        <w:fldChar w:fldCharType="separate"/>
      </w:r>
      <w:r w:rsidRPr="00E452BC">
        <w:rPr>
          <w:noProof/>
        </w:rPr>
        <w:t>(Etter et al., 2020)</w:t>
      </w:r>
      <w:r>
        <w:fldChar w:fldCharType="end"/>
      </w:r>
      <w:r>
        <w:t>.</w:t>
      </w:r>
    </w:p>
    <w:p w14:paraId="327A629E" w14:textId="5E77BA01" w:rsidR="00226C9F" w:rsidRDefault="00226C9F" w:rsidP="00E452BC">
      <w:pPr>
        <w:pStyle w:val="NoSpacing"/>
        <w:jc w:val="both"/>
      </w:pPr>
    </w:p>
    <w:p w14:paraId="3227A83B" w14:textId="35F2100F" w:rsidR="00226C9F" w:rsidRDefault="00226C9F" w:rsidP="00226C9F">
      <w:pPr>
        <w:pStyle w:val="Caption"/>
      </w:pPr>
      <w:r>
        <w:t xml:space="preserve">Table </w:t>
      </w:r>
      <w:r w:rsidR="009F0A18">
        <w:t>S5</w:t>
      </w:r>
      <w:r>
        <w:t>. Definitions of True Positives (TP), True Negatives (TN), False Positives (FP) and False Negatives (FN) applied in this study</w:t>
      </w:r>
    </w:p>
    <w:tbl>
      <w:tblPr>
        <w:tblW w:w="9895" w:type="dxa"/>
        <w:jc w:val="center"/>
        <w:tblLook w:val="04A0" w:firstRow="1" w:lastRow="0" w:firstColumn="1" w:lastColumn="0" w:noHBand="0" w:noVBand="1"/>
      </w:tblPr>
      <w:tblGrid>
        <w:gridCol w:w="637"/>
        <w:gridCol w:w="1329"/>
        <w:gridCol w:w="4149"/>
        <w:gridCol w:w="3780"/>
      </w:tblGrid>
      <w:tr w:rsidR="00226C9F" w:rsidRPr="00226C9F" w14:paraId="3F7BE6AA" w14:textId="77777777" w:rsidTr="004C7CCB">
        <w:trPr>
          <w:trHeight w:val="288"/>
          <w:jc w:val="center"/>
        </w:trPr>
        <w:tc>
          <w:tcPr>
            <w:tcW w:w="1966"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0D53A9" w14:textId="77777777" w:rsidR="00226C9F" w:rsidRPr="00226C9F" w:rsidRDefault="00226C9F" w:rsidP="00226C9F">
            <w:pPr>
              <w:spacing w:before="0" w:after="0"/>
              <w:jc w:val="center"/>
              <w:rPr>
                <w:rFonts w:eastAsia="Times New Roman" w:cs="Times New Roman"/>
                <w:color w:val="000000"/>
                <w:sz w:val="18"/>
                <w:szCs w:val="18"/>
              </w:rPr>
            </w:pPr>
          </w:p>
        </w:tc>
        <w:tc>
          <w:tcPr>
            <w:tcW w:w="7929" w:type="dxa"/>
            <w:gridSpan w:val="2"/>
            <w:tcBorders>
              <w:top w:val="single" w:sz="4" w:space="0" w:color="auto"/>
              <w:left w:val="nil"/>
              <w:bottom w:val="single" w:sz="4" w:space="0" w:color="auto"/>
              <w:right w:val="single" w:sz="4" w:space="0" w:color="auto"/>
            </w:tcBorders>
            <w:shd w:val="clear" w:color="auto" w:fill="auto"/>
            <w:noWrap/>
            <w:vAlign w:val="center"/>
            <w:hideMark/>
          </w:tcPr>
          <w:p w14:paraId="404F5BA7" w14:textId="77777777" w:rsidR="00226C9F" w:rsidRPr="00226C9F" w:rsidRDefault="00226C9F" w:rsidP="00226C9F">
            <w:pPr>
              <w:spacing w:before="0" w:after="0"/>
              <w:jc w:val="center"/>
              <w:rPr>
                <w:rFonts w:eastAsia="Times New Roman" w:cs="Times New Roman"/>
                <w:b/>
                <w:bCs/>
                <w:i/>
                <w:iCs/>
                <w:color w:val="000000"/>
                <w:sz w:val="18"/>
                <w:szCs w:val="18"/>
              </w:rPr>
            </w:pPr>
            <w:r w:rsidRPr="00226C9F">
              <w:rPr>
                <w:rFonts w:eastAsia="Times New Roman" w:cs="Times New Roman"/>
                <w:b/>
                <w:bCs/>
                <w:i/>
                <w:iCs/>
                <w:color w:val="000000"/>
                <w:sz w:val="18"/>
                <w:szCs w:val="18"/>
              </w:rPr>
              <w:t xml:space="preserve">in silico </w:t>
            </w:r>
            <w:r w:rsidRPr="00226C9F">
              <w:rPr>
                <w:rFonts w:eastAsia="Times New Roman" w:cs="Times New Roman"/>
                <w:b/>
                <w:bCs/>
                <w:color w:val="000000"/>
                <w:sz w:val="18"/>
                <w:szCs w:val="18"/>
              </w:rPr>
              <w:t>PCR</w:t>
            </w:r>
          </w:p>
        </w:tc>
      </w:tr>
      <w:tr w:rsidR="00226C9F" w:rsidRPr="00226C9F" w14:paraId="24FCE04B" w14:textId="77777777" w:rsidTr="004C7CCB">
        <w:trPr>
          <w:trHeight w:val="288"/>
          <w:jc w:val="center"/>
        </w:trPr>
        <w:tc>
          <w:tcPr>
            <w:tcW w:w="1966" w:type="dxa"/>
            <w:gridSpan w:val="2"/>
            <w:vMerge/>
            <w:tcBorders>
              <w:top w:val="single" w:sz="4" w:space="0" w:color="auto"/>
              <w:left w:val="single" w:sz="4" w:space="0" w:color="auto"/>
              <w:bottom w:val="single" w:sz="4" w:space="0" w:color="auto"/>
              <w:right w:val="single" w:sz="4" w:space="0" w:color="auto"/>
            </w:tcBorders>
            <w:vAlign w:val="center"/>
            <w:hideMark/>
          </w:tcPr>
          <w:p w14:paraId="0F4CEF2A" w14:textId="77777777" w:rsidR="00226C9F" w:rsidRPr="00226C9F" w:rsidRDefault="00226C9F" w:rsidP="00226C9F">
            <w:pPr>
              <w:spacing w:before="0" w:after="0"/>
              <w:jc w:val="center"/>
              <w:rPr>
                <w:rFonts w:eastAsia="Times New Roman" w:cs="Times New Roman"/>
                <w:color w:val="000000"/>
                <w:sz w:val="18"/>
                <w:szCs w:val="18"/>
              </w:rPr>
            </w:pPr>
          </w:p>
        </w:tc>
        <w:tc>
          <w:tcPr>
            <w:tcW w:w="4149" w:type="dxa"/>
            <w:tcBorders>
              <w:top w:val="nil"/>
              <w:left w:val="nil"/>
              <w:bottom w:val="single" w:sz="4" w:space="0" w:color="auto"/>
              <w:right w:val="single" w:sz="4" w:space="0" w:color="auto"/>
            </w:tcBorders>
            <w:shd w:val="clear" w:color="auto" w:fill="auto"/>
            <w:noWrap/>
            <w:vAlign w:val="center"/>
            <w:hideMark/>
          </w:tcPr>
          <w:p w14:paraId="157FC4D9" w14:textId="77777777" w:rsidR="00226C9F" w:rsidRPr="00226C9F" w:rsidRDefault="00226C9F" w:rsidP="00226C9F">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Detected</w:t>
            </w:r>
          </w:p>
        </w:tc>
        <w:tc>
          <w:tcPr>
            <w:tcW w:w="3779" w:type="dxa"/>
            <w:tcBorders>
              <w:top w:val="nil"/>
              <w:left w:val="nil"/>
              <w:bottom w:val="single" w:sz="4" w:space="0" w:color="auto"/>
              <w:right w:val="single" w:sz="4" w:space="0" w:color="auto"/>
            </w:tcBorders>
            <w:shd w:val="clear" w:color="auto" w:fill="auto"/>
            <w:noWrap/>
            <w:vAlign w:val="center"/>
            <w:hideMark/>
          </w:tcPr>
          <w:p w14:paraId="61AF8136" w14:textId="77777777" w:rsidR="00226C9F" w:rsidRPr="00226C9F" w:rsidRDefault="00226C9F" w:rsidP="00226C9F">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Not detected</w:t>
            </w:r>
          </w:p>
        </w:tc>
      </w:tr>
      <w:tr w:rsidR="00226C9F" w:rsidRPr="00226C9F" w14:paraId="1A9D370E" w14:textId="77777777" w:rsidTr="004C7CCB">
        <w:trPr>
          <w:trHeight w:val="696"/>
          <w:jc w:val="center"/>
        </w:trPr>
        <w:tc>
          <w:tcPr>
            <w:tcW w:w="63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355166" w14:textId="77777777" w:rsidR="00226C9F" w:rsidRPr="00226C9F" w:rsidRDefault="00226C9F" w:rsidP="00226C9F">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WGS</w:t>
            </w:r>
          </w:p>
        </w:tc>
        <w:tc>
          <w:tcPr>
            <w:tcW w:w="1329" w:type="dxa"/>
            <w:tcBorders>
              <w:top w:val="nil"/>
              <w:left w:val="nil"/>
              <w:bottom w:val="single" w:sz="4" w:space="0" w:color="auto"/>
              <w:right w:val="single" w:sz="4" w:space="0" w:color="auto"/>
            </w:tcBorders>
            <w:shd w:val="clear" w:color="auto" w:fill="auto"/>
            <w:noWrap/>
            <w:vAlign w:val="center"/>
            <w:hideMark/>
          </w:tcPr>
          <w:p w14:paraId="5C8079B7" w14:textId="77777777" w:rsidR="00226C9F" w:rsidRPr="00226C9F" w:rsidRDefault="00226C9F" w:rsidP="00226C9F">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Detected</w:t>
            </w:r>
          </w:p>
        </w:tc>
        <w:tc>
          <w:tcPr>
            <w:tcW w:w="4149" w:type="dxa"/>
            <w:tcBorders>
              <w:top w:val="nil"/>
              <w:left w:val="nil"/>
              <w:bottom w:val="single" w:sz="4" w:space="0" w:color="auto"/>
              <w:right w:val="single" w:sz="4" w:space="0" w:color="auto"/>
            </w:tcBorders>
            <w:shd w:val="clear" w:color="auto" w:fill="auto"/>
            <w:vAlign w:val="center"/>
            <w:hideMark/>
          </w:tcPr>
          <w:p w14:paraId="47CA3C25" w14:textId="77777777" w:rsidR="00226C9F" w:rsidRPr="00226C9F" w:rsidRDefault="00226C9F" w:rsidP="00226C9F">
            <w:pPr>
              <w:spacing w:before="0" w:after="0"/>
              <w:jc w:val="center"/>
              <w:rPr>
                <w:rFonts w:eastAsia="Times New Roman" w:cs="Times New Roman"/>
                <w:color w:val="000000"/>
                <w:sz w:val="18"/>
                <w:szCs w:val="18"/>
              </w:rPr>
            </w:pPr>
            <w:r w:rsidRPr="00226C9F">
              <w:rPr>
                <w:rFonts w:eastAsia="Times New Roman" w:cs="Times New Roman"/>
                <w:b/>
                <w:bCs/>
                <w:color w:val="000000"/>
                <w:sz w:val="18"/>
                <w:szCs w:val="18"/>
              </w:rPr>
              <w:t>True Positive (TP)</w:t>
            </w:r>
            <w:r w:rsidRPr="00226C9F">
              <w:rPr>
                <w:rFonts w:eastAsia="Times New Roman" w:cs="Times New Roman"/>
                <w:color w:val="000000"/>
                <w:sz w:val="18"/>
                <w:szCs w:val="18"/>
              </w:rPr>
              <w:br/>
              <w:t>Gene detected by WGS (BLAST+ and/or SRST2) and PCR</w:t>
            </w:r>
          </w:p>
        </w:tc>
        <w:tc>
          <w:tcPr>
            <w:tcW w:w="3779" w:type="dxa"/>
            <w:tcBorders>
              <w:top w:val="nil"/>
              <w:left w:val="nil"/>
              <w:bottom w:val="single" w:sz="4" w:space="0" w:color="auto"/>
              <w:right w:val="single" w:sz="4" w:space="0" w:color="auto"/>
            </w:tcBorders>
            <w:shd w:val="clear" w:color="auto" w:fill="auto"/>
            <w:vAlign w:val="center"/>
            <w:hideMark/>
          </w:tcPr>
          <w:p w14:paraId="3472290A" w14:textId="77777777" w:rsidR="00226C9F" w:rsidRPr="00226C9F" w:rsidRDefault="00226C9F" w:rsidP="00226C9F">
            <w:pPr>
              <w:spacing w:before="0" w:after="0"/>
              <w:jc w:val="center"/>
              <w:rPr>
                <w:rFonts w:eastAsia="Times New Roman" w:cs="Times New Roman"/>
                <w:color w:val="000000"/>
                <w:sz w:val="18"/>
                <w:szCs w:val="18"/>
              </w:rPr>
            </w:pPr>
            <w:r w:rsidRPr="00226C9F">
              <w:rPr>
                <w:rFonts w:eastAsia="Times New Roman" w:cs="Times New Roman"/>
                <w:b/>
                <w:bCs/>
                <w:color w:val="000000"/>
                <w:sz w:val="18"/>
                <w:szCs w:val="18"/>
              </w:rPr>
              <w:t>False Positive (FP)</w:t>
            </w:r>
            <w:r w:rsidRPr="00226C9F">
              <w:rPr>
                <w:rFonts w:eastAsia="Times New Roman" w:cs="Times New Roman"/>
                <w:color w:val="000000"/>
                <w:sz w:val="18"/>
                <w:szCs w:val="18"/>
              </w:rPr>
              <w:br/>
              <w:t>Gene detected by WGS (BLAST+ and/or SRST2), but not by PCR</w:t>
            </w:r>
          </w:p>
        </w:tc>
      </w:tr>
      <w:tr w:rsidR="00226C9F" w:rsidRPr="00226C9F" w14:paraId="2A81C74A" w14:textId="77777777" w:rsidTr="004C7CCB">
        <w:trPr>
          <w:trHeight w:val="193"/>
          <w:jc w:val="center"/>
        </w:trPr>
        <w:tc>
          <w:tcPr>
            <w:tcW w:w="637" w:type="dxa"/>
            <w:vMerge/>
            <w:tcBorders>
              <w:top w:val="nil"/>
              <w:left w:val="single" w:sz="4" w:space="0" w:color="auto"/>
              <w:bottom w:val="single" w:sz="4" w:space="0" w:color="auto"/>
              <w:right w:val="single" w:sz="4" w:space="0" w:color="auto"/>
            </w:tcBorders>
            <w:vAlign w:val="center"/>
            <w:hideMark/>
          </w:tcPr>
          <w:p w14:paraId="1C55E66F" w14:textId="77777777" w:rsidR="00226C9F" w:rsidRPr="00226C9F" w:rsidRDefault="00226C9F" w:rsidP="00226C9F">
            <w:pPr>
              <w:spacing w:before="0" w:after="0"/>
              <w:jc w:val="center"/>
              <w:rPr>
                <w:rFonts w:eastAsia="Times New Roman" w:cs="Times New Roman"/>
                <w:b/>
                <w:bCs/>
                <w:color w:val="000000"/>
                <w:sz w:val="18"/>
                <w:szCs w:val="18"/>
              </w:rPr>
            </w:pPr>
          </w:p>
        </w:tc>
        <w:tc>
          <w:tcPr>
            <w:tcW w:w="1329" w:type="dxa"/>
            <w:tcBorders>
              <w:top w:val="nil"/>
              <w:left w:val="nil"/>
              <w:bottom w:val="single" w:sz="4" w:space="0" w:color="auto"/>
              <w:right w:val="single" w:sz="4" w:space="0" w:color="auto"/>
            </w:tcBorders>
            <w:shd w:val="clear" w:color="auto" w:fill="auto"/>
            <w:noWrap/>
            <w:vAlign w:val="center"/>
            <w:hideMark/>
          </w:tcPr>
          <w:p w14:paraId="2675FBB4" w14:textId="77777777" w:rsidR="00226C9F" w:rsidRPr="00226C9F" w:rsidRDefault="00226C9F" w:rsidP="00226C9F">
            <w:pPr>
              <w:spacing w:before="0" w:after="0"/>
              <w:jc w:val="center"/>
              <w:rPr>
                <w:rFonts w:eastAsia="Times New Roman" w:cs="Times New Roman"/>
                <w:b/>
                <w:bCs/>
                <w:color w:val="000000"/>
                <w:sz w:val="18"/>
                <w:szCs w:val="18"/>
              </w:rPr>
            </w:pPr>
            <w:r w:rsidRPr="00226C9F">
              <w:rPr>
                <w:rFonts w:eastAsia="Times New Roman" w:cs="Times New Roman"/>
                <w:b/>
                <w:bCs/>
                <w:color w:val="000000"/>
                <w:sz w:val="18"/>
                <w:szCs w:val="18"/>
              </w:rPr>
              <w:t>Not detected</w:t>
            </w:r>
          </w:p>
        </w:tc>
        <w:tc>
          <w:tcPr>
            <w:tcW w:w="4149" w:type="dxa"/>
            <w:tcBorders>
              <w:top w:val="nil"/>
              <w:left w:val="nil"/>
              <w:bottom w:val="single" w:sz="4" w:space="0" w:color="auto"/>
              <w:right w:val="single" w:sz="4" w:space="0" w:color="auto"/>
            </w:tcBorders>
            <w:shd w:val="clear" w:color="auto" w:fill="auto"/>
            <w:vAlign w:val="center"/>
            <w:hideMark/>
          </w:tcPr>
          <w:p w14:paraId="1745F7E4" w14:textId="77777777" w:rsidR="00226C9F" w:rsidRPr="00226C9F" w:rsidRDefault="00226C9F" w:rsidP="00226C9F">
            <w:pPr>
              <w:spacing w:before="0" w:after="0"/>
              <w:jc w:val="center"/>
              <w:rPr>
                <w:rFonts w:eastAsia="Times New Roman" w:cs="Times New Roman"/>
                <w:color w:val="000000"/>
                <w:sz w:val="18"/>
                <w:szCs w:val="18"/>
              </w:rPr>
            </w:pPr>
            <w:r w:rsidRPr="00226C9F">
              <w:rPr>
                <w:rFonts w:eastAsia="Times New Roman" w:cs="Times New Roman"/>
                <w:b/>
                <w:bCs/>
                <w:color w:val="000000"/>
                <w:sz w:val="18"/>
                <w:szCs w:val="18"/>
              </w:rPr>
              <w:t>False Negative (FN)</w:t>
            </w:r>
            <w:r w:rsidRPr="00226C9F">
              <w:rPr>
                <w:rFonts w:eastAsia="Times New Roman" w:cs="Times New Roman"/>
                <w:color w:val="000000"/>
                <w:sz w:val="18"/>
                <w:szCs w:val="18"/>
              </w:rPr>
              <w:br/>
              <w:t>Gene detected by PCR while missed by WGS (BLAST+ and SRST2)</w:t>
            </w:r>
          </w:p>
        </w:tc>
        <w:tc>
          <w:tcPr>
            <w:tcW w:w="3779" w:type="dxa"/>
            <w:tcBorders>
              <w:top w:val="nil"/>
              <w:left w:val="nil"/>
              <w:bottom w:val="single" w:sz="4" w:space="0" w:color="auto"/>
              <w:right w:val="single" w:sz="4" w:space="0" w:color="auto"/>
            </w:tcBorders>
            <w:shd w:val="clear" w:color="auto" w:fill="auto"/>
            <w:vAlign w:val="center"/>
            <w:hideMark/>
          </w:tcPr>
          <w:p w14:paraId="7243B4F3" w14:textId="77777777" w:rsidR="00226C9F" w:rsidRPr="00226C9F" w:rsidRDefault="00226C9F" w:rsidP="00226C9F">
            <w:pPr>
              <w:keepNext/>
              <w:spacing w:before="0" w:after="0"/>
              <w:jc w:val="center"/>
              <w:rPr>
                <w:rFonts w:eastAsia="Times New Roman" w:cs="Times New Roman"/>
                <w:color w:val="000000"/>
                <w:sz w:val="18"/>
                <w:szCs w:val="18"/>
              </w:rPr>
            </w:pPr>
            <w:r w:rsidRPr="00226C9F">
              <w:rPr>
                <w:rFonts w:eastAsia="Times New Roman" w:cs="Times New Roman"/>
                <w:b/>
                <w:bCs/>
                <w:color w:val="000000"/>
                <w:sz w:val="18"/>
                <w:szCs w:val="18"/>
              </w:rPr>
              <w:t>True Negative (TN)</w:t>
            </w:r>
            <w:r w:rsidRPr="00226C9F">
              <w:rPr>
                <w:rFonts w:eastAsia="Times New Roman" w:cs="Times New Roman"/>
                <w:color w:val="000000"/>
                <w:sz w:val="18"/>
                <w:szCs w:val="18"/>
              </w:rPr>
              <w:br/>
              <w:t>Gene detected by neither WGS (BLAST+ and SRST2) nor PCR</w:t>
            </w:r>
          </w:p>
        </w:tc>
      </w:tr>
    </w:tbl>
    <w:p w14:paraId="7DA25ED7" w14:textId="77777777" w:rsidR="00836EDC" w:rsidRDefault="00836EDC" w:rsidP="00836EDC"/>
    <w:p w14:paraId="5AECD0D4" w14:textId="2E9E6841" w:rsidR="00226C9F" w:rsidRDefault="004C7CCB" w:rsidP="004C7CCB">
      <w:pPr>
        <w:pStyle w:val="Caption"/>
      </w:pPr>
      <w:r>
        <w:t xml:space="preserve">Table </w:t>
      </w:r>
      <w:r w:rsidR="009F0A18">
        <w:t>S6</w:t>
      </w:r>
      <w:r>
        <w:t xml:space="preserve">. </w:t>
      </w:r>
      <w:r>
        <w:rPr>
          <w:i/>
        </w:rPr>
        <w:t xml:space="preserve">se </w:t>
      </w:r>
      <w:r>
        <w:t xml:space="preserve">gene profile determined with </w:t>
      </w:r>
      <w:r>
        <w:rPr>
          <w:i/>
        </w:rPr>
        <w:t xml:space="preserve">in silico </w:t>
      </w:r>
      <w:r>
        <w:t>PCR</w:t>
      </w:r>
    </w:p>
    <w:tbl>
      <w:tblPr>
        <w:tblW w:w="9450" w:type="dxa"/>
        <w:jc w:val="center"/>
        <w:tblCellMar>
          <w:left w:w="0" w:type="dxa"/>
          <w:right w:w="0" w:type="dxa"/>
        </w:tblCellMar>
        <w:tblLook w:val="04A0" w:firstRow="1" w:lastRow="0" w:firstColumn="1" w:lastColumn="0" w:noHBand="0" w:noVBand="1"/>
      </w:tblPr>
      <w:tblGrid>
        <w:gridCol w:w="11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315"/>
        <w:gridCol w:w="399"/>
        <w:gridCol w:w="276"/>
        <w:gridCol w:w="270"/>
        <w:gridCol w:w="270"/>
        <w:gridCol w:w="270"/>
        <w:gridCol w:w="270"/>
        <w:gridCol w:w="270"/>
        <w:gridCol w:w="270"/>
        <w:gridCol w:w="270"/>
        <w:gridCol w:w="270"/>
      </w:tblGrid>
      <w:tr w:rsidR="00025134" w:rsidRPr="00025134" w14:paraId="71619922" w14:textId="77777777" w:rsidTr="00025134">
        <w:trPr>
          <w:cantSplit/>
          <w:trHeight w:val="400"/>
          <w:jc w:val="center"/>
        </w:trPr>
        <w:tc>
          <w:tcPr>
            <w:tcW w:w="1170" w:type="dxa"/>
            <w:vMerge w:val="restart"/>
            <w:tcBorders>
              <w:top w:val="single" w:sz="4" w:space="0" w:color="auto"/>
              <w:left w:val="single" w:sz="4" w:space="0" w:color="auto"/>
              <w:right w:val="single" w:sz="4" w:space="0" w:color="auto"/>
            </w:tcBorders>
            <w:shd w:val="clear" w:color="auto" w:fill="auto"/>
            <w:noWrap/>
            <w:vAlign w:val="center"/>
            <w:hideMark/>
          </w:tcPr>
          <w:p w14:paraId="2C2E5B40" w14:textId="77777777" w:rsidR="004C7CCB" w:rsidRPr="00025134" w:rsidRDefault="004C7CCB" w:rsidP="004C7CCB">
            <w:pPr>
              <w:spacing w:before="0" w:after="0"/>
              <w:jc w:val="center"/>
              <w:rPr>
                <w:rFonts w:eastAsia="Times New Roman" w:cs="Times New Roman"/>
                <w:b/>
                <w:bCs/>
                <w:color w:val="000000"/>
                <w:sz w:val="16"/>
                <w:szCs w:val="16"/>
              </w:rPr>
            </w:pPr>
            <w:r w:rsidRPr="00025134">
              <w:rPr>
                <w:rFonts w:eastAsia="Times New Roman" w:cs="Times New Roman"/>
                <w:b/>
                <w:bCs/>
                <w:color w:val="000000"/>
                <w:sz w:val="16"/>
                <w:szCs w:val="16"/>
              </w:rPr>
              <w:t>Isolate</w:t>
            </w:r>
          </w:p>
        </w:tc>
        <w:tc>
          <w:tcPr>
            <w:tcW w:w="270" w:type="dxa"/>
            <w:vMerge w:val="restart"/>
            <w:tcBorders>
              <w:top w:val="single" w:sz="4" w:space="0" w:color="auto"/>
              <w:left w:val="single" w:sz="4" w:space="0" w:color="auto"/>
              <w:right w:val="single" w:sz="4" w:space="0" w:color="auto"/>
            </w:tcBorders>
            <w:shd w:val="clear" w:color="auto" w:fill="auto"/>
            <w:noWrap/>
            <w:textDirection w:val="btLr"/>
            <w:vAlign w:val="center"/>
            <w:hideMark/>
          </w:tcPr>
          <w:p w14:paraId="096F7574"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sea</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13F99665"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seb</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690B5D75"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sec</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740D3741"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sed</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3A0DAC14"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see</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398F51A9"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seg</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4A3C846E"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seh</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0EB1471B"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sei</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420193CD"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selj</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518FF3C4"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sek</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1A878D4F"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5D44C0C7"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sem</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31A46B29"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sen</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0BAFC7B5"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seo</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718D2CFD"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sep</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5003D5A1"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seq</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3E2754BC"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ser</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05EA8292"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ses</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109FDF74"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set</w:t>
            </w:r>
          </w:p>
        </w:tc>
        <w:tc>
          <w:tcPr>
            <w:tcW w:w="714" w:type="dxa"/>
            <w:gridSpan w:val="2"/>
            <w:tcBorders>
              <w:top w:val="single" w:sz="4" w:space="0" w:color="auto"/>
              <w:left w:val="nil"/>
              <w:bottom w:val="single" w:sz="4" w:space="0" w:color="auto"/>
              <w:right w:val="single" w:sz="4" w:space="0" w:color="auto"/>
            </w:tcBorders>
            <w:shd w:val="clear" w:color="auto" w:fill="auto"/>
            <w:noWrap/>
            <w:vAlign w:val="center"/>
            <w:hideMark/>
          </w:tcPr>
          <w:p w14:paraId="604C1265" w14:textId="77777777" w:rsidR="004C7CCB" w:rsidRPr="00025134" w:rsidRDefault="004C7CCB" w:rsidP="004C7CCB">
            <w:pPr>
              <w:spacing w:before="0" w:after="0"/>
              <w:jc w:val="center"/>
              <w:rPr>
                <w:rFonts w:eastAsia="Times New Roman" w:cs="Times New Roman"/>
                <w:b/>
                <w:bCs/>
                <w:i/>
                <w:sz w:val="16"/>
                <w:szCs w:val="16"/>
              </w:rPr>
            </w:pPr>
            <w:r w:rsidRPr="00025134">
              <w:rPr>
                <w:rFonts w:eastAsia="Times New Roman" w:cs="Times New Roman"/>
                <w:b/>
                <w:bCs/>
                <w:i/>
                <w:sz w:val="16"/>
                <w:szCs w:val="16"/>
              </w:rPr>
              <w:t>selu</w:t>
            </w:r>
          </w:p>
        </w:tc>
        <w:tc>
          <w:tcPr>
            <w:tcW w:w="276" w:type="dxa"/>
            <w:vMerge w:val="restart"/>
            <w:tcBorders>
              <w:top w:val="single" w:sz="4" w:space="0" w:color="auto"/>
              <w:left w:val="nil"/>
              <w:right w:val="single" w:sz="4" w:space="0" w:color="auto"/>
            </w:tcBorders>
            <w:shd w:val="clear" w:color="auto" w:fill="auto"/>
            <w:noWrap/>
            <w:textDirection w:val="btLr"/>
            <w:vAlign w:val="center"/>
            <w:hideMark/>
          </w:tcPr>
          <w:p w14:paraId="616AA1CD"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selv</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52CE3201"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selw</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4B6125DB"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selx</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68F62610"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sey</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461F160B"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Selz</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319D82DB"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sel26</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02B1E3C1" w14:textId="77777777" w:rsidR="004C7CCB" w:rsidRPr="00025134" w:rsidRDefault="004C7CCB" w:rsidP="004C7CCB">
            <w:pPr>
              <w:spacing w:before="0" w:after="0"/>
              <w:ind w:left="113" w:right="113"/>
              <w:jc w:val="center"/>
              <w:rPr>
                <w:rFonts w:eastAsia="Times New Roman" w:cs="Times New Roman"/>
                <w:b/>
                <w:bCs/>
                <w:i/>
                <w:sz w:val="16"/>
                <w:szCs w:val="16"/>
              </w:rPr>
            </w:pPr>
            <w:r w:rsidRPr="00025134">
              <w:rPr>
                <w:rFonts w:eastAsia="Times New Roman" w:cs="Times New Roman"/>
                <w:b/>
                <w:bCs/>
                <w:i/>
                <w:sz w:val="16"/>
                <w:szCs w:val="16"/>
              </w:rPr>
              <w:t>sel27</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7D7B0E91" w14:textId="77777777" w:rsidR="004C7CCB" w:rsidRPr="00025134" w:rsidRDefault="004C7CCB" w:rsidP="004C7CCB">
            <w:pPr>
              <w:spacing w:before="0" w:after="0"/>
              <w:ind w:left="113" w:right="113"/>
              <w:jc w:val="center"/>
              <w:rPr>
                <w:rFonts w:eastAsia="Times New Roman" w:cs="Times New Roman"/>
                <w:b/>
                <w:bCs/>
                <w:i/>
                <w:iCs/>
                <w:color w:val="000000"/>
                <w:sz w:val="16"/>
                <w:szCs w:val="16"/>
              </w:rPr>
            </w:pPr>
            <w:r w:rsidRPr="00025134">
              <w:rPr>
                <w:rFonts w:eastAsia="Times New Roman" w:cs="Times New Roman"/>
                <w:b/>
                <w:bCs/>
                <w:i/>
                <w:iCs/>
                <w:color w:val="000000"/>
                <w:sz w:val="16"/>
                <w:szCs w:val="16"/>
              </w:rPr>
              <w:t>Ψent1</w:t>
            </w:r>
          </w:p>
        </w:tc>
        <w:tc>
          <w:tcPr>
            <w:tcW w:w="270" w:type="dxa"/>
            <w:vMerge w:val="restart"/>
            <w:tcBorders>
              <w:top w:val="single" w:sz="4" w:space="0" w:color="auto"/>
              <w:left w:val="nil"/>
              <w:right w:val="single" w:sz="4" w:space="0" w:color="auto"/>
            </w:tcBorders>
            <w:shd w:val="clear" w:color="auto" w:fill="auto"/>
            <w:noWrap/>
            <w:textDirection w:val="btLr"/>
            <w:vAlign w:val="center"/>
            <w:hideMark/>
          </w:tcPr>
          <w:p w14:paraId="74EADE5D" w14:textId="77777777" w:rsidR="004C7CCB" w:rsidRPr="00025134" w:rsidRDefault="004C7CCB" w:rsidP="004C7CCB">
            <w:pPr>
              <w:spacing w:before="0" w:after="0"/>
              <w:ind w:left="113" w:right="113"/>
              <w:jc w:val="center"/>
              <w:rPr>
                <w:rFonts w:eastAsia="Times New Roman" w:cs="Times New Roman"/>
                <w:b/>
                <w:bCs/>
                <w:i/>
                <w:iCs/>
                <w:color w:val="000000"/>
                <w:sz w:val="16"/>
                <w:szCs w:val="16"/>
              </w:rPr>
            </w:pPr>
            <w:r w:rsidRPr="00025134">
              <w:rPr>
                <w:rFonts w:eastAsia="Times New Roman" w:cs="Times New Roman"/>
                <w:b/>
                <w:bCs/>
                <w:i/>
                <w:iCs/>
                <w:color w:val="000000"/>
                <w:sz w:val="16"/>
                <w:szCs w:val="16"/>
              </w:rPr>
              <w:t>Ψent2</w:t>
            </w:r>
          </w:p>
        </w:tc>
      </w:tr>
      <w:tr w:rsidR="00025134" w:rsidRPr="00025134" w14:paraId="124AA728" w14:textId="77777777" w:rsidTr="00025134">
        <w:trPr>
          <w:cantSplit/>
          <w:trHeight w:val="301"/>
          <w:jc w:val="center"/>
        </w:trPr>
        <w:tc>
          <w:tcPr>
            <w:tcW w:w="1170" w:type="dxa"/>
            <w:vMerge/>
            <w:tcBorders>
              <w:left w:val="single" w:sz="4" w:space="0" w:color="auto"/>
              <w:bottom w:val="single" w:sz="4" w:space="0" w:color="auto"/>
              <w:right w:val="single" w:sz="4" w:space="0" w:color="auto"/>
            </w:tcBorders>
            <w:shd w:val="clear" w:color="auto" w:fill="auto"/>
            <w:noWrap/>
            <w:vAlign w:val="center"/>
          </w:tcPr>
          <w:p w14:paraId="483C973A" w14:textId="77777777" w:rsidR="004C7CCB" w:rsidRPr="00025134" w:rsidRDefault="004C7CCB" w:rsidP="004C7CCB">
            <w:pPr>
              <w:spacing w:before="0" w:after="0"/>
              <w:jc w:val="center"/>
              <w:rPr>
                <w:rFonts w:eastAsia="Times New Roman" w:cs="Times New Roman"/>
                <w:b/>
                <w:bCs/>
                <w:color w:val="000000"/>
                <w:sz w:val="16"/>
                <w:szCs w:val="16"/>
              </w:rPr>
            </w:pPr>
          </w:p>
        </w:tc>
        <w:tc>
          <w:tcPr>
            <w:tcW w:w="270" w:type="dxa"/>
            <w:vMerge/>
            <w:tcBorders>
              <w:left w:val="single" w:sz="4" w:space="0" w:color="auto"/>
              <w:bottom w:val="single" w:sz="4" w:space="0" w:color="auto"/>
              <w:right w:val="single" w:sz="4" w:space="0" w:color="auto"/>
            </w:tcBorders>
            <w:shd w:val="clear" w:color="auto" w:fill="auto"/>
            <w:noWrap/>
            <w:textDirection w:val="btLr"/>
            <w:vAlign w:val="center"/>
          </w:tcPr>
          <w:p w14:paraId="578258DF"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3E9843D2"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726E9CD6"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1883BDDF"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1117DEDE"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5BCDAFBB"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7CDB84E7"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0C86884F"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2027F1E1"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3776FA8A"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6A7643A4"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560DDDAB"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6CFDC2F5"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5E2D290A"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058C3E2D"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7039FA25"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7B3E4750"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1F42BB3B"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5E1580F3"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315" w:type="dxa"/>
            <w:tcBorders>
              <w:top w:val="single" w:sz="4" w:space="0" w:color="auto"/>
              <w:left w:val="nil"/>
              <w:bottom w:val="single" w:sz="4" w:space="0" w:color="auto"/>
              <w:right w:val="single" w:sz="4" w:space="0" w:color="auto"/>
            </w:tcBorders>
            <w:shd w:val="clear" w:color="auto" w:fill="auto"/>
            <w:noWrap/>
            <w:vAlign w:val="center"/>
          </w:tcPr>
          <w:p w14:paraId="7A00E528" w14:textId="77777777" w:rsidR="004C7CCB" w:rsidRPr="00025134" w:rsidRDefault="004C7CCB" w:rsidP="004C7CCB">
            <w:pPr>
              <w:spacing w:before="0" w:after="0"/>
              <w:jc w:val="center"/>
              <w:rPr>
                <w:rFonts w:eastAsia="Times New Roman" w:cs="Times New Roman"/>
                <w:b/>
                <w:bCs/>
                <w:i/>
                <w:sz w:val="16"/>
                <w:szCs w:val="16"/>
              </w:rPr>
            </w:pPr>
            <w:r w:rsidRPr="00025134">
              <w:rPr>
                <w:rFonts w:eastAsia="Times New Roman" w:cs="Times New Roman"/>
                <w:b/>
                <w:bCs/>
                <w:i/>
                <w:sz w:val="16"/>
                <w:szCs w:val="16"/>
              </w:rPr>
              <w:t>u</w:t>
            </w:r>
          </w:p>
        </w:tc>
        <w:tc>
          <w:tcPr>
            <w:tcW w:w="399" w:type="dxa"/>
            <w:tcBorders>
              <w:top w:val="single" w:sz="4" w:space="0" w:color="auto"/>
              <w:left w:val="nil"/>
              <w:bottom w:val="single" w:sz="4" w:space="0" w:color="auto"/>
              <w:right w:val="single" w:sz="4" w:space="0" w:color="auto"/>
            </w:tcBorders>
            <w:shd w:val="clear" w:color="auto" w:fill="auto"/>
            <w:vAlign w:val="center"/>
          </w:tcPr>
          <w:p w14:paraId="0F642B8A" w14:textId="77777777" w:rsidR="004C7CCB" w:rsidRPr="00025134" w:rsidRDefault="004C7CCB" w:rsidP="004C7CCB">
            <w:pPr>
              <w:spacing w:before="0" w:after="0"/>
              <w:jc w:val="center"/>
              <w:rPr>
                <w:rFonts w:eastAsia="Times New Roman" w:cs="Times New Roman"/>
                <w:b/>
                <w:bCs/>
                <w:i/>
                <w:sz w:val="16"/>
                <w:szCs w:val="16"/>
              </w:rPr>
            </w:pPr>
            <w:r w:rsidRPr="00025134">
              <w:rPr>
                <w:rFonts w:eastAsia="Times New Roman" w:cs="Times New Roman"/>
                <w:b/>
                <w:bCs/>
                <w:i/>
                <w:sz w:val="16"/>
                <w:szCs w:val="16"/>
              </w:rPr>
              <w:t>u2</w:t>
            </w:r>
          </w:p>
        </w:tc>
        <w:tc>
          <w:tcPr>
            <w:tcW w:w="276" w:type="dxa"/>
            <w:vMerge/>
            <w:tcBorders>
              <w:left w:val="nil"/>
              <w:bottom w:val="single" w:sz="4" w:space="0" w:color="auto"/>
              <w:right w:val="single" w:sz="4" w:space="0" w:color="auto"/>
            </w:tcBorders>
            <w:shd w:val="clear" w:color="auto" w:fill="auto"/>
            <w:noWrap/>
            <w:textDirection w:val="btLr"/>
            <w:vAlign w:val="center"/>
          </w:tcPr>
          <w:p w14:paraId="10E7184A"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0C9B897B"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45F5E8CF"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05F11EBA"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0E346AAA"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0BECABDE"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118A084B" w14:textId="77777777" w:rsidR="004C7CCB" w:rsidRPr="00025134" w:rsidRDefault="004C7CCB" w:rsidP="004C7CCB">
            <w:pPr>
              <w:spacing w:before="0" w:after="0"/>
              <w:ind w:left="113" w:right="113"/>
              <w:jc w:val="center"/>
              <w:rPr>
                <w:rFonts w:eastAsia="Times New Roman" w:cs="Times New Roman"/>
                <w:b/>
                <w:bCs/>
                <w:i/>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776CD1E6" w14:textId="77777777" w:rsidR="004C7CCB" w:rsidRPr="00025134" w:rsidRDefault="004C7CCB" w:rsidP="004C7CCB">
            <w:pPr>
              <w:spacing w:before="0" w:after="0"/>
              <w:ind w:left="113" w:right="113"/>
              <w:jc w:val="center"/>
              <w:rPr>
                <w:rFonts w:eastAsia="Times New Roman" w:cs="Times New Roman"/>
                <w:b/>
                <w:bCs/>
                <w:i/>
                <w:iCs/>
                <w:color w:val="000000"/>
                <w:sz w:val="16"/>
                <w:szCs w:val="16"/>
              </w:rPr>
            </w:pPr>
          </w:p>
        </w:tc>
        <w:tc>
          <w:tcPr>
            <w:tcW w:w="270" w:type="dxa"/>
            <w:vMerge/>
            <w:tcBorders>
              <w:left w:val="nil"/>
              <w:bottom w:val="single" w:sz="4" w:space="0" w:color="auto"/>
              <w:right w:val="single" w:sz="4" w:space="0" w:color="auto"/>
            </w:tcBorders>
            <w:shd w:val="clear" w:color="auto" w:fill="auto"/>
            <w:noWrap/>
            <w:textDirection w:val="btLr"/>
            <w:vAlign w:val="center"/>
          </w:tcPr>
          <w:p w14:paraId="24BD6EA6" w14:textId="77777777" w:rsidR="004C7CCB" w:rsidRPr="00025134" w:rsidRDefault="004C7CCB" w:rsidP="004C7CCB">
            <w:pPr>
              <w:spacing w:before="0" w:after="0"/>
              <w:ind w:left="113" w:right="113"/>
              <w:jc w:val="center"/>
              <w:rPr>
                <w:rFonts w:eastAsia="Times New Roman" w:cs="Times New Roman"/>
                <w:b/>
                <w:bCs/>
                <w:i/>
                <w:iCs/>
                <w:color w:val="000000"/>
                <w:sz w:val="16"/>
                <w:szCs w:val="16"/>
              </w:rPr>
            </w:pPr>
          </w:p>
        </w:tc>
      </w:tr>
      <w:tr w:rsidR="004537D3" w:rsidRPr="00025134" w14:paraId="3BC6D624"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54FB5CA2"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TIAC1798</w:t>
            </w:r>
          </w:p>
        </w:tc>
        <w:tc>
          <w:tcPr>
            <w:tcW w:w="270" w:type="dxa"/>
            <w:tcBorders>
              <w:top w:val="nil"/>
              <w:left w:val="single" w:sz="4" w:space="0" w:color="auto"/>
              <w:bottom w:val="single" w:sz="4" w:space="0" w:color="auto"/>
              <w:right w:val="single" w:sz="4" w:space="0" w:color="auto"/>
            </w:tcBorders>
            <w:shd w:val="clear" w:color="000000" w:fill="A9D08E"/>
            <w:noWrap/>
            <w:vAlign w:val="center"/>
            <w:hideMark/>
          </w:tcPr>
          <w:p w14:paraId="4A1D880B" w14:textId="74EB1B16"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9F8FBFD" w14:textId="11586427"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FE80BA1" w14:textId="08FCDF03" w:rsidR="004537D3" w:rsidRPr="00025134" w:rsidRDefault="004537D3" w:rsidP="004537D3">
            <w:pPr>
              <w:spacing w:before="0" w:after="0"/>
              <w:jc w:val="center"/>
              <w:rPr>
                <w:rFonts w:eastAsia="Times New Roman" w:cs="Times New Roman"/>
                <w:color w:val="000000"/>
                <w:sz w:val="16"/>
                <w:szCs w:val="16"/>
              </w:rPr>
            </w:pPr>
            <w:r w:rsidRPr="00C219F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5412D67C" w14:textId="7BFE68B6"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71BB3952" w14:textId="473FA7BC"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3692FCAB" w14:textId="70E404CA"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3FF40BF4" w14:textId="366B9462" w:rsidR="004537D3" w:rsidRPr="00025134" w:rsidRDefault="004537D3" w:rsidP="004537D3">
            <w:pPr>
              <w:spacing w:before="0" w:after="0"/>
              <w:jc w:val="center"/>
              <w:rPr>
                <w:rFonts w:eastAsia="Times New Roman" w:cs="Times New Roman"/>
                <w:color w:val="000000"/>
                <w:sz w:val="16"/>
                <w:szCs w:val="16"/>
              </w:rPr>
            </w:pPr>
            <w:r w:rsidRPr="001937E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107B75B2" w14:textId="36158BC5" w:rsidR="004537D3" w:rsidRPr="00025134" w:rsidRDefault="004537D3" w:rsidP="004537D3">
            <w:pPr>
              <w:spacing w:before="0" w:after="0"/>
              <w:jc w:val="center"/>
              <w:rPr>
                <w:rFonts w:eastAsia="Times New Roman" w:cs="Times New Roman"/>
                <w:color w:val="000000"/>
                <w:sz w:val="16"/>
                <w:szCs w:val="16"/>
              </w:rPr>
            </w:pPr>
            <w:r w:rsidRPr="008C682F">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6B5EF046" w14:textId="739FD077" w:rsidR="004537D3" w:rsidRPr="00025134" w:rsidRDefault="004537D3" w:rsidP="004537D3">
            <w:pPr>
              <w:spacing w:before="0" w:after="0"/>
              <w:jc w:val="center"/>
              <w:rPr>
                <w:rFonts w:eastAsia="Times New Roman" w:cs="Times New Roman"/>
                <w:color w:val="000000"/>
                <w:sz w:val="16"/>
                <w:szCs w:val="16"/>
              </w:rPr>
            </w:pPr>
            <w:r w:rsidRPr="008C682F">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343499A1" w14:textId="1234C441"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0F6740D" w14:textId="5C0D09F4"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69CF0A43" w14:textId="1712955C" w:rsidR="004537D3" w:rsidRPr="00025134" w:rsidRDefault="004537D3" w:rsidP="004537D3">
            <w:pPr>
              <w:spacing w:before="0" w:after="0"/>
              <w:jc w:val="center"/>
              <w:rPr>
                <w:rFonts w:eastAsia="Times New Roman" w:cs="Times New Roman"/>
                <w:color w:val="000000"/>
                <w:sz w:val="16"/>
                <w:szCs w:val="16"/>
              </w:rPr>
            </w:pPr>
            <w:r w:rsidRPr="00EC67E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46C989A0" w14:textId="3EF8B68D" w:rsidR="004537D3" w:rsidRPr="00025134" w:rsidRDefault="004537D3" w:rsidP="004537D3">
            <w:pPr>
              <w:spacing w:before="0" w:after="0"/>
              <w:jc w:val="center"/>
              <w:rPr>
                <w:rFonts w:eastAsia="Times New Roman" w:cs="Times New Roman"/>
                <w:color w:val="000000"/>
                <w:sz w:val="16"/>
                <w:szCs w:val="16"/>
              </w:rPr>
            </w:pPr>
            <w:r w:rsidRPr="00EC67E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3CB19E6F" w14:textId="668007AD" w:rsidR="004537D3" w:rsidRPr="00025134" w:rsidRDefault="004537D3" w:rsidP="004537D3">
            <w:pPr>
              <w:spacing w:before="0" w:after="0"/>
              <w:jc w:val="center"/>
              <w:rPr>
                <w:rFonts w:eastAsia="Times New Roman" w:cs="Times New Roman"/>
                <w:color w:val="000000"/>
                <w:sz w:val="16"/>
                <w:szCs w:val="16"/>
              </w:rPr>
            </w:pPr>
            <w:r w:rsidRPr="00EC67E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0517E3F7" w14:textId="63410609" w:rsidR="004537D3" w:rsidRPr="00025134" w:rsidRDefault="004537D3" w:rsidP="004537D3">
            <w:pPr>
              <w:spacing w:before="0" w:after="0"/>
              <w:jc w:val="center"/>
              <w:rPr>
                <w:rFonts w:eastAsia="Times New Roman" w:cs="Times New Roman"/>
                <w:color w:val="000000"/>
                <w:sz w:val="16"/>
                <w:szCs w:val="16"/>
              </w:rPr>
            </w:pPr>
            <w:r w:rsidRPr="00CD5D3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09133D4" w14:textId="50918320" w:rsidR="004537D3" w:rsidRPr="00025134" w:rsidRDefault="004537D3" w:rsidP="004537D3">
            <w:pPr>
              <w:spacing w:before="0" w:after="0"/>
              <w:jc w:val="center"/>
              <w:rPr>
                <w:rFonts w:eastAsia="Times New Roman" w:cs="Times New Roman"/>
                <w:color w:val="000000"/>
                <w:sz w:val="16"/>
                <w:szCs w:val="16"/>
              </w:rPr>
            </w:pPr>
            <w:r w:rsidRPr="00CD5D3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5D7E0F3A" w14:textId="6651EF18"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481AFB4A" w14:textId="5F0591B4"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E27154E" w14:textId="1BA404A0"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4C693FDB" w14:textId="686F9BB7"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7CC38B52" w14:textId="037987E5"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74C4D607" w14:textId="51986FA2" w:rsidR="004537D3" w:rsidRPr="00025134" w:rsidRDefault="004537D3" w:rsidP="004537D3">
            <w:pPr>
              <w:spacing w:before="0" w:after="0"/>
              <w:jc w:val="center"/>
              <w:rPr>
                <w:rFonts w:eastAsia="Times New Roman" w:cs="Times New Roman"/>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3E53B385" w14:textId="4AFF7753"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2C1ABB3A" w14:textId="11919806" w:rsidR="004537D3" w:rsidRPr="00025134" w:rsidRDefault="004537D3" w:rsidP="004537D3">
            <w:pPr>
              <w:spacing w:before="0" w:after="0"/>
              <w:jc w:val="center"/>
              <w:rPr>
                <w:rFonts w:eastAsia="Times New Roman" w:cs="Times New Roman"/>
                <w:color w:val="000000"/>
                <w:sz w:val="16"/>
                <w:szCs w:val="16"/>
              </w:rPr>
            </w:pPr>
            <w:r w:rsidRPr="009B369D">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88D659B" w14:textId="01486B29"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37FB45E" w14:textId="35168A55"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5373172" w14:textId="55804F6B"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170BE34" w14:textId="6ED7F47A"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1D3D97ED" w14:textId="02896F47"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5EFA1A11" w14:textId="2282914E" w:rsidR="004537D3" w:rsidRPr="00025134" w:rsidRDefault="004537D3" w:rsidP="004537D3">
            <w:pPr>
              <w:spacing w:before="0" w:after="0"/>
              <w:jc w:val="center"/>
              <w:rPr>
                <w:rFonts w:eastAsia="Times New Roman" w:cs="Times New Roman"/>
                <w:b/>
                <w:color w:val="000000"/>
                <w:sz w:val="16"/>
                <w:szCs w:val="16"/>
                <w:u w:val="single"/>
              </w:rPr>
            </w:pPr>
            <w:r>
              <w:rPr>
                <w:rFonts w:eastAsia="Times New Roman" w:cs="Times New Roman"/>
                <w:b/>
                <w:color w:val="000000"/>
                <w:sz w:val="16"/>
                <w:szCs w:val="16"/>
                <w:u w:val="single"/>
              </w:rPr>
              <w:t>1</w:t>
            </w:r>
          </w:p>
        </w:tc>
      </w:tr>
      <w:tr w:rsidR="004537D3" w:rsidRPr="00025134" w14:paraId="71B474BA"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5612065B"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TIAC1840</w:t>
            </w:r>
          </w:p>
        </w:tc>
        <w:tc>
          <w:tcPr>
            <w:tcW w:w="270" w:type="dxa"/>
            <w:tcBorders>
              <w:top w:val="nil"/>
              <w:left w:val="single" w:sz="4" w:space="0" w:color="auto"/>
              <w:bottom w:val="single" w:sz="4" w:space="0" w:color="auto"/>
              <w:right w:val="single" w:sz="4" w:space="0" w:color="auto"/>
            </w:tcBorders>
            <w:shd w:val="clear" w:color="000000" w:fill="FFCCCC"/>
            <w:noWrap/>
            <w:vAlign w:val="center"/>
            <w:hideMark/>
          </w:tcPr>
          <w:p w14:paraId="0C8AC4C0" w14:textId="7EDB1E08"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2AABE9C" w14:textId="0706DA2E"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B5F3DBD" w14:textId="68043062" w:rsidR="004537D3" w:rsidRPr="00025134" w:rsidRDefault="004537D3" w:rsidP="004537D3">
            <w:pPr>
              <w:spacing w:before="0" w:after="0"/>
              <w:jc w:val="center"/>
              <w:rPr>
                <w:rFonts w:eastAsia="Times New Roman" w:cs="Times New Roman"/>
                <w:color w:val="000000"/>
                <w:sz w:val="16"/>
                <w:szCs w:val="16"/>
              </w:rPr>
            </w:pPr>
            <w:r w:rsidRPr="00C219F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FD0580B" w14:textId="72C350F4"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6CE9CC6" w14:textId="4A05A257"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F613EA7" w14:textId="5531CDA1"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0AD8E13" w14:textId="1CA00031" w:rsidR="004537D3" w:rsidRPr="00025134" w:rsidRDefault="004537D3" w:rsidP="004537D3">
            <w:pPr>
              <w:spacing w:before="0" w:after="0"/>
              <w:jc w:val="center"/>
              <w:rPr>
                <w:rFonts w:eastAsia="Times New Roman" w:cs="Times New Roman"/>
                <w:color w:val="000000"/>
                <w:sz w:val="16"/>
                <w:szCs w:val="16"/>
              </w:rPr>
            </w:pPr>
            <w:r w:rsidRPr="001937E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D3016B1" w14:textId="1036CDC5"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8E34916" w14:textId="2180AAB4"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277AC98" w14:textId="42393F60"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4250C0C" w14:textId="722DCB22"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C4C177A" w14:textId="08A399F3"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E2D8B79" w14:textId="0755A4AC"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44C6705" w14:textId="7B9B0018" w:rsidR="004537D3" w:rsidRPr="00025134" w:rsidRDefault="004537D3" w:rsidP="004537D3">
            <w:pPr>
              <w:spacing w:before="0" w:after="0"/>
              <w:jc w:val="center"/>
              <w:rPr>
                <w:rFonts w:eastAsia="Times New Roman" w:cs="Times New Roman"/>
                <w:color w:val="000000"/>
                <w:sz w:val="16"/>
                <w:szCs w:val="16"/>
              </w:rPr>
            </w:pPr>
            <w:r w:rsidRPr="00213C7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0218D7ED" w14:textId="579CA2ED"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0E205FEA" w14:textId="574D3D0B" w:rsidR="004537D3" w:rsidRPr="00025134" w:rsidRDefault="004537D3" w:rsidP="004537D3">
            <w:pPr>
              <w:spacing w:before="0" w:after="0"/>
              <w:jc w:val="center"/>
              <w:rPr>
                <w:rFonts w:eastAsia="Times New Roman" w:cs="Times New Roman"/>
                <w:color w:val="000000"/>
                <w:sz w:val="16"/>
                <w:szCs w:val="16"/>
              </w:rPr>
            </w:pPr>
            <w:r w:rsidRPr="00B75C7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B0C4C0F" w14:textId="492BC4DC" w:rsidR="004537D3" w:rsidRPr="00025134" w:rsidRDefault="004537D3" w:rsidP="004537D3">
            <w:pPr>
              <w:spacing w:before="0" w:after="0"/>
              <w:jc w:val="center"/>
              <w:rPr>
                <w:rFonts w:eastAsia="Times New Roman" w:cs="Times New Roman"/>
                <w:color w:val="000000"/>
                <w:sz w:val="16"/>
                <w:szCs w:val="16"/>
              </w:rPr>
            </w:pPr>
            <w:r w:rsidRPr="00B75C7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1CEA0D5" w14:textId="4BC64104"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1EFCECDD" w14:textId="31B76469"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681799E6" w14:textId="7E5EEEC0"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6C77EE8F" w14:textId="24082C5A"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5007D444" w14:textId="645CB21C" w:rsidR="004537D3" w:rsidRPr="00025134" w:rsidRDefault="004537D3" w:rsidP="004537D3">
            <w:pPr>
              <w:spacing w:before="0" w:after="0"/>
              <w:jc w:val="center"/>
              <w:rPr>
                <w:rFonts w:eastAsia="Times New Roman" w:cs="Times New Roman"/>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57671955" w14:textId="459192DA"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2943A98C" w14:textId="1981D362" w:rsidR="004537D3" w:rsidRPr="00025134" w:rsidRDefault="004537D3" w:rsidP="004537D3">
            <w:pPr>
              <w:spacing w:before="0" w:after="0"/>
              <w:jc w:val="center"/>
              <w:rPr>
                <w:rFonts w:eastAsia="Times New Roman" w:cs="Times New Roman"/>
                <w:color w:val="000000"/>
                <w:sz w:val="16"/>
                <w:szCs w:val="16"/>
              </w:rPr>
            </w:pPr>
            <w:r w:rsidRPr="009B369D">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3CC2745" w14:textId="5243B8B8"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A0B3983" w14:textId="3CC59D24"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BAA4050" w14:textId="36739CC1"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D722237" w14:textId="6DCADA16"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7E977A0F" w14:textId="39422A5A" w:rsidR="004537D3" w:rsidRPr="00025134" w:rsidRDefault="004537D3" w:rsidP="004537D3">
            <w:pPr>
              <w:spacing w:before="0" w:after="0"/>
              <w:jc w:val="center"/>
              <w:rPr>
                <w:rFonts w:eastAsia="Times New Roman" w:cs="Times New Roman"/>
                <w:color w:val="000000"/>
                <w:sz w:val="16"/>
                <w:szCs w:val="16"/>
              </w:rPr>
            </w:pPr>
            <w:r w:rsidRPr="00310B7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143288BD" w14:textId="3A5F8714" w:rsidR="004537D3" w:rsidRPr="00025134" w:rsidRDefault="004537D3" w:rsidP="004537D3">
            <w:pPr>
              <w:spacing w:before="0" w:after="0"/>
              <w:jc w:val="center"/>
              <w:rPr>
                <w:rFonts w:eastAsia="Times New Roman" w:cs="Times New Roman"/>
                <w:color w:val="000000"/>
                <w:sz w:val="16"/>
                <w:szCs w:val="16"/>
              </w:rPr>
            </w:pPr>
            <w:r w:rsidRPr="00310B7B">
              <w:rPr>
                <w:rFonts w:eastAsia="Times New Roman" w:cs="Times New Roman"/>
                <w:color w:val="000000"/>
                <w:sz w:val="16"/>
                <w:szCs w:val="16"/>
              </w:rPr>
              <w:t>0</w:t>
            </w:r>
          </w:p>
        </w:tc>
      </w:tr>
      <w:tr w:rsidR="004537D3" w:rsidRPr="00025134" w14:paraId="05E7FFF4"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32EEFB02"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TIAC1847</w:t>
            </w:r>
          </w:p>
        </w:tc>
        <w:tc>
          <w:tcPr>
            <w:tcW w:w="270" w:type="dxa"/>
            <w:tcBorders>
              <w:top w:val="nil"/>
              <w:left w:val="single" w:sz="4" w:space="0" w:color="auto"/>
              <w:bottom w:val="single" w:sz="4" w:space="0" w:color="auto"/>
              <w:right w:val="single" w:sz="4" w:space="0" w:color="auto"/>
            </w:tcBorders>
            <w:shd w:val="clear" w:color="auto" w:fill="A9D08E"/>
            <w:noWrap/>
            <w:vAlign w:val="center"/>
            <w:hideMark/>
          </w:tcPr>
          <w:p w14:paraId="152043E3" w14:textId="2A6D3E13"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1D90BDF" w14:textId="2CECB80E"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EA92A86" w14:textId="03C10595" w:rsidR="004537D3" w:rsidRPr="00025134" w:rsidRDefault="004537D3" w:rsidP="004537D3">
            <w:pPr>
              <w:spacing w:before="0" w:after="0"/>
              <w:jc w:val="center"/>
              <w:rPr>
                <w:rFonts w:eastAsia="Times New Roman" w:cs="Times New Roman"/>
                <w:color w:val="000000"/>
                <w:sz w:val="16"/>
                <w:szCs w:val="16"/>
              </w:rPr>
            </w:pPr>
            <w:r w:rsidRPr="00C219F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4AD13F94" w14:textId="285EC516" w:rsidR="004537D3" w:rsidRPr="00025134" w:rsidRDefault="004537D3" w:rsidP="004537D3">
            <w:pPr>
              <w:spacing w:before="0" w:after="0"/>
              <w:jc w:val="center"/>
              <w:rPr>
                <w:rFonts w:eastAsia="Times New Roman" w:cs="Times New Roman"/>
                <w:color w:val="000000"/>
                <w:sz w:val="16"/>
                <w:szCs w:val="16"/>
              </w:rPr>
            </w:pPr>
            <w:r w:rsidRPr="000C02DA">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5880F5FE" w14:textId="4BFAFD59" w:rsidR="004537D3" w:rsidRPr="00025134" w:rsidRDefault="004537D3" w:rsidP="004537D3">
            <w:pPr>
              <w:spacing w:before="0" w:after="0"/>
              <w:jc w:val="center"/>
              <w:rPr>
                <w:rFonts w:eastAsia="Times New Roman" w:cs="Times New Roman"/>
                <w:color w:val="000000"/>
                <w:sz w:val="16"/>
                <w:szCs w:val="16"/>
              </w:rPr>
            </w:pPr>
            <w:r w:rsidRPr="00FE4E1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6669FA52" w14:textId="45998164"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0AB50EF5" w14:textId="41341910" w:rsidR="004537D3" w:rsidRPr="00025134" w:rsidRDefault="004537D3" w:rsidP="004537D3">
            <w:pPr>
              <w:spacing w:before="0" w:after="0"/>
              <w:jc w:val="center"/>
              <w:rPr>
                <w:rFonts w:eastAsia="Times New Roman" w:cs="Times New Roman"/>
                <w:color w:val="000000"/>
                <w:sz w:val="16"/>
                <w:szCs w:val="16"/>
              </w:rPr>
            </w:pPr>
            <w:r w:rsidRPr="001937E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5F0B8772" w14:textId="205CFE7A" w:rsidR="004537D3" w:rsidRPr="00025134" w:rsidRDefault="004537D3" w:rsidP="004537D3">
            <w:pPr>
              <w:spacing w:before="0" w:after="0"/>
              <w:jc w:val="center"/>
              <w:rPr>
                <w:rFonts w:eastAsia="Times New Roman" w:cs="Times New Roman"/>
                <w:color w:val="000000"/>
                <w:sz w:val="16"/>
                <w:szCs w:val="16"/>
              </w:rPr>
            </w:pPr>
            <w:r w:rsidRPr="00AB5327">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58581454" w14:textId="22ADAFF9" w:rsidR="004537D3" w:rsidRPr="00025134" w:rsidRDefault="004537D3" w:rsidP="004537D3">
            <w:pPr>
              <w:spacing w:before="0" w:after="0"/>
              <w:jc w:val="center"/>
              <w:rPr>
                <w:rFonts w:eastAsia="Times New Roman" w:cs="Times New Roman"/>
                <w:color w:val="000000"/>
                <w:sz w:val="16"/>
                <w:szCs w:val="16"/>
              </w:rPr>
            </w:pPr>
            <w:r w:rsidRPr="00AB5327">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4610B448" w14:textId="29410FAE"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9E0F8DD" w14:textId="61D6C784"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16B7ED6F" w14:textId="592C8019" w:rsidR="004537D3" w:rsidRPr="00025134" w:rsidRDefault="004537D3" w:rsidP="004537D3">
            <w:pPr>
              <w:spacing w:before="0" w:after="0"/>
              <w:jc w:val="center"/>
              <w:rPr>
                <w:rFonts w:eastAsia="Times New Roman" w:cs="Times New Roman"/>
                <w:color w:val="000000"/>
                <w:sz w:val="16"/>
                <w:szCs w:val="16"/>
              </w:rPr>
            </w:pPr>
            <w:r w:rsidRPr="00710C6C">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291C892D" w14:textId="44AB0DBE" w:rsidR="004537D3" w:rsidRPr="00025134" w:rsidRDefault="004537D3" w:rsidP="004537D3">
            <w:pPr>
              <w:spacing w:before="0" w:after="0"/>
              <w:jc w:val="center"/>
              <w:rPr>
                <w:rFonts w:eastAsia="Times New Roman" w:cs="Times New Roman"/>
                <w:color w:val="000000"/>
                <w:sz w:val="16"/>
                <w:szCs w:val="16"/>
              </w:rPr>
            </w:pPr>
            <w:r w:rsidRPr="00710C6C">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46C7529F" w14:textId="02B5BE47" w:rsidR="004537D3" w:rsidRPr="00025134" w:rsidRDefault="004537D3" w:rsidP="004537D3">
            <w:pPr>
              <w:spacing w:before="0" w:after="0"/>
              <w:jc w:val="center"/>
              <w:rPr>
                <w:rFonts w:eastAsia="Times New Roman" w:cs="Times New Roman"/>
                <w:color w:val="000000"/>
                <w:sz w:val="16"/>
                <w:szCs w:val="16"/>
              </w:rPr>
            </w:pPr>
            <w:r w:rsidRPr="00710C6C">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7B97E58" w14:textId="525F140F" w:rsidR="004537D3" w:rsidRPr="00025134" w:rsidRDefault="004537D3" w:rsidP="004537D3">
            <w:pPr>
              <w:spacing w:before="0" w:after="0"/>
              <w:jc w:val="center"/>
              <w:rPr>
                <w:rFonts w:eastAsia="Times New Roman" w:cs="Times New Roman"/>
                <w:color w:val="000000"/>
                <w:sz w:val="16"/>
                <w:szCs w:val="16"/>
              </w:rPr>
            </w:pPr>
            <w:r w:rsidRPr="00DE33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230D4FA" w14:textId="768F7EBE" w:rsidR="004537D3" w:rsidRPr="00025134" w:rsidRDefault="004537D3" w:rsidP="004537D3">
            <w:pPr>
              <w:spacing w:before="0" w:after="0"/>
              <w:jc w:val="center"/>
              <w:rPr>
                <w:rFonts w:eastAsia="Times New Roman" w:cs="Times New Roman"/>
                <w:color w:val="000000"/>
                <w:sz w:val="16"/>
                <w:szCs w:val="16"/>
              </w:rPr>
            </w:pPr>
            <w:r w:rsidRPr="00DE33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366760F3" w14:textId="20B3CA57" w:rsidR="004537D3" w:rsidRPr="00025134" w:rsidRDefault="004537D3" w:rsidP="004537D3">
            <w:pPr>
              <w:spacing w:before="0" w:after="0"/>
              <w:jc w:val="center"/>
              <w:rPr>
                <w:rFonts w:eastAsia="Times New Roman" w:cs="Times New Roman"/>
                <w:color w:val="000000"/>
                <w:sz w:val="16"/>
                <w:szCs w:val="16"/>
              </w:rPr>
            </w:pPr>
            <w:r w:rsidRPr="007D367D">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36FF13DC" w14:textId="0FB9044F"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2A9A0A2" w14:textId="6393EF3A"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70844C27" w14:textId="1AFA2CAB"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1E6A6430" w14:textId="689A4678" w:rsidR="004537D3" w:rsidRPr="00025134" w:rsidRDefault="004537D3" w:rsidP="004537D3">
            <w:pPr>
              <w:spacing w:before="0" w:after="0"/>
              <w:jc w:val="center"/>
              <w:rPr>
                <w:rFonts w:eastAsia="Times New Roman" w:cs="Times New Roman"/>
                <w:b/>
                <w:color w:val="000000"/>
                <w:sz w:val="16"/>
                <w:szCs w:val="16"/>
                <w:u w:val="single"/>
              </w:rPr>
            </w:pPr>
            <w:r w:rsidRPr="00701458">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72924E31" w14:textId="5329D807" w:rsidR="004537D3" w:rsidRPr="00025134" w:rsidRDefault="004537D3" w:rsidP="004537D3">
            <w:pPr>
              <w:spacing w:before="0" w:after="0"/>
              <w:jc w:val="center"/>
              <w:rPr>
                <w:rFonts w:eastAsia="Times New Roman" w:cs="Times New Roman"/>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71CE95F3" w14:textId="7CBB9E04"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1D5B77B3" w14:textId="249708BB" w:rsidR="004537D3" w:rsidRPr="00025134" w:rsidRDefault="004537D3" w:rsidP="004537D3">
            <w:pPr>
              <w:spacing w:before="0" w:after="0"/>
              <w:jc w:val="center"/>
              <w:rPr>
                <w:rFonts w:eastAsia="Times New Roman" w:cs="Times New Roman"/>
                <w:color w:val="000000"/>
                <w:sz w:val="16"/>
                <w:szCs w:val="16"/>
              </w:rPr>
            </w:pPr>
            <w:r w:rsidRPr="009B369D">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590BE192" w14:textId="0B1246DC"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7D98C2F" w14:textId="042A3E1B"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FE3C15D" w14:textId="0C516CA3"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F7DE1E7" w14:textId="1A1D823E"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2B5041F2" w14:textId="2A4B67DC"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40FEB163" w14:textId="76ACE03C" w:rsidR="004537D3" w:rsidRPr="00025134" w:rsidRDefault="004537D3" w:rsidP="004537D3">
            <w:pPr>
              <w:spacing w:before="0" w:after="0"/>
              <w:jc w:val="center"/>
              <w:rPr>
                <w:rFonts w:eastAsia="Times New Roman" w:cs="Times New Roman"/>
                <w:b/>
                <w:color w:val="000000"/>
                <w:sz w:val="16"/>
                <w:szCs w:val="16"/>
                <w:u w:val="single"/>
              </w:rPr>
            </w:pPr>
            <w:r>
              <w:rPr>
                <w:rFonts w:eastAsia="Times New Roman" w:cs="Times New Roman"/>
                <w:b/>
                <w:color w:val="000000"/>
                <w:sz w:val="16"/>
                <w:szCs w:val="16"/>
                <w:u w:val="single"/>
              </w:rPr>
              <w:t>1</w:t>
            </w:r>
          </w:p>
        </w:tc>
      </w:tr>
      <w:tr w:rsidR="004537D3" w:rsidRPr="00025134" w14:paraId="2F8E9CB5"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3052F714"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TIAC1848</w:t>
            </w:r>
          </w:p>
        </w:tc>
        <w:tc>
          <w:tcPr>
            <w:tcW w:w="270" w:type="dxa"/>
            <w:tcBorders>
              <w:top w:val="nil"/>
              <w:left w:val="single" w:sz="4" w:space="0" w:color="auto"/>
              <w:bottom w:val="single" w:sz="4" w:space="0" w:color="auto"/>
              <w:right w:val="single" w:sz="4" w:space="0" w:color="auto"/>
            </w:tcBorders>
            <w:shd w:val="clear" w:color="000000" w:fill="A9D08E"/>
            <w:noWrap/>
            <w:vAlign w:val="center"/>
            <w:hideMark/>
          </w:tcPr>
          <w:p w14:paraId="79DD8005" w14:textId="47EFB7C4"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41854424" w14:textId="105DC469"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093EA87" w14:textId="1EFFE0C6" w:rsidR="004537D3" w:rsidRPr="00025134" w:rsidRDefault="004537D3" w:rsidP="004537D3">
            <w:pPr>
              <w:spacing w:before="0" w:after="0"/>
              <w:jc w:val="center"/>
              <w:rPr>
                <w:rFonts w:eastAsia="Times New Roman" w:cs="Times New Roman"/>
                <w:color w:val="000000"/>
                <w:sz w:val="16"/>
                <w:szCs w:val="16"/>
              </w:rPr>
            </w:pPr>
            <w:r w:rsidRPr="00C219F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35990187" w14:textId="56BB9EA1" w:rsidR="004537D3" w:rsidRPr="00025134" w:rsidRDefault="004537D3" w:rsidP="004537D3">
            <w:pPr>
              <w:spacing w:before="0" w:after="0"/>
              <w:jc w:val="center"/>
              <w:rPr>
                <w:rFonts w:eastAsia="Times New Roman" w:cs="Times New Roman"/>
                <w:color w:val="000000"/>
                <w:sz w:val="16"/>
                <w:szCs w:val="16"/>
              </w:rPr>
            </w:pPr>
            <w:r w:rsidRPr="000C02DA">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49DC72A2" w14:textId="76D60A68" w:rsidR="004537D3" w:rsidRPr="00025134" w:rsidRDefault="004537D3" w:rsidP="004537D3">
            <w:pPr>
              <w:spacing w:before="0" w:after="0"/>
              <w:jc w:val="center"/>
              <w:rPr>
                <w:rFonts w:eastAsia="Times New Roman" w:cs="Times New Roman"/>
                <w:color w:val="000000"/>
                <w:sz w:val="16"/>
                <w:szCs w:val="16"/>
              </w:rPr>
            </w:pPr>
            <w:r w:rsidRPr="00FE4E1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29267B7B" w14:textId="1F60946D"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445BF43A" w14:textId="06B25CAC" w:rsidR="004537D3" w:rsidRPr="00025134" w:rsidRDefault="004537D3" w:rsidP="004537D3">
            <w:pPr>
              <w:spacing w:before="0" w:after="0"/>
              <w:jc w:val="center"/>
              <w:rPr>
                <w:rFonts w:eastAsia="Times New Roman" w:cs="Times New Roman"/>
                <w:color w:val="000000"/>
                <w:sz w:val="16"/>
                <w:szCs w:val="16"/>
              </w:rPr>
            </w:pPr>
            <w:r w:rsidRPr="001937E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16B5270B" w14:textId="2A9B4B8A" w:rsidR="004537D3" w:rsidRPr="00025134" w:rsidRDefault="004537D3" w:rsidP="004537D3">
            <w:pPr>
              <w:spacing w:before="0" w:after="0"/>
              <w:jc w:val="center"/>
              <w:rPr>
                <w:rFonts w:eastAsia="Times New Roman" w:cs="Times New Roman"/>
                <w:color w:val="000000"/>
                <w:sz w:val="16"/>
                <w:szCs w:val="16"/>
              </w:rPr>
            </w:pPr>
            <w:r w:rsidRPr="00AB5327">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3EA79FE5" w14:textId="7C4497D4" w:rsidR="004537D3" w:rsidRPr="00025134" w:rsidRDefault="004537D3" w:rsidP="004537D3">
            <w:pPr>
              <w:spacing w:before="0" w:after="0"/>
              <w:jc w:val="center"/>
              <w:rPr>
                <w:rFonts w:eastAsia="Times New Roman" w:cs="Times New Roman"/>
                <w:color w:val="000000"/>
                <w:sz w:val="16"/>
                <w:szCs w:val="16"/>
              </w:rPr>
            </w:pPr>
            <w:r w:rsidRPr="00AB5327">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3FADF84C" w14:textId="40035CD4"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01B48DD" w14:textId="07B11003" w:rsidR="004537D3" w:rsidRPr="00025134" w:rsidRDefault="004537D3" w:rsidP="004537D3">
            <w:pPr>
              <w:spacing w:before="0" w:after="0"/>
              <w:jc w:val="center"/>
              <w:rPr>
                <w:rFonts w:eastAsia="Times New Roman" w:cs="Times New Roman"/>
                <w:color w:val="000000"/>
                <w:sz w:val="16"/>
                <w:szCs w:val="16"/>
              </w:rPr>
            </w:pPr>
            <w:r w:rsidRPr="00FB4A8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01C7042E" w14:textId="1B3B1541" w:rsidR="004537D3" w:rsidRPr="00025134" w:rsidRDefault="004537D3" w:rsidP="004537D3">
            <w:pPr>
              <w:spacing w:before="0" w:after="0"/>
              <w:jc w:val="center"/>
              <w:rPr>
                <w:rFonts w:eastAsia="Times New Roman" w:cs="Times New Roman"/>
                <w:color w:val="000000"/>
                <w:sz w:val="16"/>
                <w:szCs w:val="16"/>
              </w:rPr>
            </w:pPr>
            <w:r w:rsidRPr="00710C6C">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4AF80D89" w14:textId="713B1587" w:rsidR="004537D3" w:rsidRPr="00025134" w:rsidRDefault="004537D3" w:rsidP="004537D3">
            <w:pPr>
              <w:spacing w:before="0" w:after="0"/>
              <w:jc w:val="center"/>
              <w:rPr>
                <w:rFonts w:eastAsia="Times New Roman" w:cs="Times New Roman"/>
                <w:color w:val="000000"/>
                <w:sz w:val="16"/>
                <w:szCs w:val="16"/>
              </w:rPr>
            </w:pPr>
            <w:r w:rsidRPr="00710C6C">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292C1CC9" w14:textId="1151625E" w:rsidR="004537D3" w:rsidRPr="00025134" w:rsidRDefault="004537D3" w:rsidP="004537D3">
            <w:pPr>
              <w:spacing w:before="0" w:after="0"/>
              <w:jc w:val="center"/>
              <w:rPr>
                <w:rFonts w:eastAsia="Times New Roman" w:cs="Times New Roman"/>
                <w:color w:val="000000"/>
                <w:sz w:val="16"/>
                <w:szCs w:val="16"/>
              </w:rPr>
            </w:pPr>
            <w:r w:rsidRPr="00710C6C">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C591799" w14:textId="249155A6" w:rsidR="004537D3" w:rsidRPr="00025134" w:rsidRDefault="004537D3" w:rsidP="004537D3">
            <w:pPr>
              <w:spacing w:before="0" w:after="0"/>
              <w:jc w:val="center"/>
              <w:rPr>
                <w:rFonts w:eastAsia="Times New Roman" w:cs="Times New Roman"/>
                <w:color w:val="000000"/>
                <w:sz w:val="16"/>
                <w:szCs w:val="16"/>
              </w:rPr>
            </w:pPr>
            <w:r w:rsidRPr="00DE33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0EB147D" w14:textId="79FE3D20" w:rsidR="004537D3" w:rsidRPr="00025134" w:rsidRDefault="004537D3" w:rsidP="004537D3">
            <w:pPr>
              <w:spacing w:before="0" w:after="0"/>
              <w:jc w:val="center"/>
              <w:rPr>
                <w:rFonts w:eastAsia="Times New Roman" w:cs="Times New Roman"/>
                <w:color w:val="000000"/>
                <w:sz w:val="16"/>
                <w:szCs w:val="16"/>
              </w:rPr>
            </w:pPr>
            <w:r w:rsidRPr="00DE33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757DB2F5" w14:textId="2C6630C4" w:rsidR="004537D3" w:rsidRPr="00025134" w:rsidRDefault="004537D3" w:rsidP="004537D3">
            <w:pPr>
              <w:spacing w:before="0" w:after="0"/>
              <w:jc w:val="center"/>
              <w:rPr>
                <w:rFonts w:eastAsia="Times New Roman" w:cs="Times New Roman"/>
                <w:color w:val="000000"/>
                <w:sz w:val="16"/>
                <w:szCs w:val="16"/>
              </w:rPr>
            </w:pPr>
            <w:r w:rsidRPr="007D367D">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72476001" w14:textId="47E6F39C"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73B0212" w14:textId="3D4D712B"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6DCB422E" w14:textId="0A906BC6"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29B6D027" w14:textId="018E5844" w:rsidR="004537D3" w:rsidRPr="00025134" w:rsidRDefault="004537D3" w:rsidP="004537D3">
            <w:pPr>
              <w:spacing w:before="0" w:after="0"/>
              <w:jc w:val="center"/>
              <w:rPr>
                <w:rFonts w:eastAsia="Times New Roman" w:cs="Times New Roman"/>
                <w:b/>
                <w:color w:val="000000"/>
                <w:sz w:val="16"/>
                <w:szCs w:val="16"/>
                <w:u w:val="single"/>
              </w:rPr>
            </w:pPr>
            <w:r w:rsidRPr="00701458">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655C424E" w14:textId="0751680D" w:rsidR="004537D3" w:rsidRPr="00025134" w:rsidRDefault="004537D3" w:rsidP="004537D3">
            <w:pPr>
              <w:spacing w:before="0" w:after="0"/>
              <w:jc w:val="center"/>
              <w:rPr>
                <w:rFonts w:eastAsia="Times New Roman" w:cs="Times New Roman"/>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1F6897E2" w14:textId="44AA0414"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0A978203" w14:textId="5136B544" w:rsidR="004537D3" w:rsidRPr="00025134" w:rsidRDefault="004537D3" w:rsidP="004537D3">
            <w:pPr>
              <w:spacing w:before="0" w:after="0"/>
              <w:jc w:val="center"/>
              <w:rPr>
                <w:rFonts w:eastAsia="Times New Roman" w:cs="Times New Roman"/>
                <w:color w:val="000000"/>
                <w:sz w:val="16"/>
                <w:szCs w:val="16"/>
              </w:rPr>
            </w:pPr>
            <w:r w:rsidRPr="009B369D">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71635673" w14:textId="573526F5"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AF85DCF" w14:textId="639D44FC"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533948E" w14:textId="2AC1587F"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6D6FAEE" w14:textId="791A4EED"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1065534E" w14:textId="38C27288"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1A399ED2" w14:textId="0F32F71E" w:rsidR="004537D3" w:rsidRPr="00025134" w:rsidRDefault="004537D3" w:rsidP="004537D3">
            <w:pPr>
              <w:spacing w:before="0" w:after="0"/>
              <w:jc w:val="center"/>
              <w:rPr>
                <w:rFonts w:eastAsia="Times New Roman" w:cs="Times New Roman"/>
                <w:b/>
                <w:color w:val="000000"/>
                <w:sz w:val="16"/>
                <w:szCs w:val="16"/>
                <w:u w:val="single"/>
              </w:rPr>
            </w:pPr>
            <w:r>
              <w:rPr>
                <w:rFonts w:eastAsia="Times New Roman" w:cs="Times New Roman"/>
                <w:b/>
                <w:color w:val="000000"/>
                <w:sz w:val="16"/>
                <w:szCs w:val="16"/>
                <w:u w:val="single"/>
              </w:rPr>
              <w:t>1</w:t>
            </w:r>
          </w:p>
        </w:tc>
      </w:tr>
      <w:tr w:rsidR="004537D3" w:rsidRPr="00025134" w14:paraId="0D495350"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0D1E8AFF"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lastRenderedPageBreak/>
              <w:t>TIAC1991</w:t>
            </w:r>
          </w:p>
        </w:tc>
        <w:tc>
          <w:tcPr>
            <w:tcW w:w="270" w:type="dxa"/>
            <w:tcBorders>
              <w:top w:val="nil"/>
              <w:left w:val="single" w:sz="4" w:space="0" w:color="auto"/>
              <w:bottom w:val="single" w:sz="4" w:space="0" w:color="auto"/>
              <w:right w:val="single" w:sz="4" w:space="0" w:color="auto"/>
            </w:tcBorders>
            <w:shd w:val="clear" w:color="000000" w:fill="A9D08E"/>
            <w:noWrap/>
            <w:vAlign w:val="center"/>
            <w:hideMark/>
          </w:tcPr>
          <w:p w14:paraId="67C717CD" w14:textId="1A72983D"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5BE8F208" w14:textId="7844A305"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299FF97" w14:textId="595ED5E2" w:rsidR="004537D3" w:rsidRPr="00025134" w:rsidRDefault="004537D3" w:rsidP="004537D3">
            <w:pPr>
              <w:spacing w:before="0" w:after="0"/>
              <w:jc w:val="center"/>
              <w:rPr>
                <w:rFonts w:eastAsia="Times New Roman" w:cs="Times New Roman"/>
                <w:color w:val="000000"/>
                <w:sz w:val="16"/>
                <w:szCs w:val="16"/>
              </w:rPr>
            </w:pPr>
            <w:r w:rsidRPr="00C219F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8EEFFCD" w14:textId="430D2270" w:rsidR="004537D3" w:rsidRPr="00025134" w:rsidRDefault="004537D3" w:rsidP="004537D3">
            <w:pPr>
              <w:spacing w:before="0" w:after="0"/>
              <w:jc w:val="center"/>
              <w:rPr>
                <w:rFonts w:eastAsia="Times New Roman" w:cs="Times New Roman"/>
                <w:color w:val="000000"/>
                <w:sz w:val="16"/>
                <w:szCs w:val="16"/>
              </w:rPr>
            </w:pPr>
            <w:r w:rsidRPr="002D716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3D81AF0" w14:textId="0C5A3823" w:rsidR="004537D3" w:rsidRPr="00025134" w:rsidRDefault="004537D3" w:rsidP="004537D3">
            <w:pPr>
              <w:spacing w:before="0" w:after="0"/>
              <w:jc w:val="center"/>
              <w:rPr>
                <w:rFonts w:eastAsia="Times New Roman" w:cs="Times New Roman"/>
                <w:color w:val="000000"/>
                <w:sz w:val="16"/>
                <w:szCs w:val="16"/>
              </w:rPr>
            </w:pPr>
            <w:r w:rsidRPr="00FE4E1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48E3D42" w14:textId="4FB06723"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6FD0DF2C" w14:textId="22E1C5AF"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3B0E7ECA" w14:textId="79F006EB" w:rsidR="004537D3" w:rsidRPr="00025134" w:rsidRDefault="004537D3" w:rsidP="004537D3">
            <w:pPr>
              <w:spacing w:before="0" w:after="0"/>
              <w:jc w:val="center"/>
              <w:rPr>
                <w:rFonts w:eastAsia="Times New Roman" w:cs="Times New Roman"/>
                <w:color w:val="000000"/>
                <w:sz w:val="16"/>
                <w:szCs w:val="16"/>
              </w:rPr>
            </w:pPr>
            <w:r w:rsidRPr="008B1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622E320" w14:textId="08466BB9" w:rsidR="004537D3" w:rsidRPr="00025134" w:rsidRDefault="004537D3" w:rsidP="004537D3">
            <w:pPr>
              <w:spacing w:before="0" w:after="0"/>
              <w:jc w:val="center"/>
              <w:rPr>
                <w:rFonts w:eastAsia="Times New Roman" w:cs="Times New Roman"/>
                <w:color w:val="000000"/>
                <w:sz w:val="16"/>
                <w:szCs w:val="16"/>
              </w:rPr>
            </w:pPr>
            <w:r w:rsidRPr="008B1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737010FF" w14:textId="339FFCDB"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D4906B1" w14:textId="69DE1818" w:rsidR="004537D3" w:rsidRPr="00025134" w:rsidRDefault="004537D3" w:rsidP="004537D3">
            <w:pPr>
              <w:spacing w:before="0" w:after="0"/>
              <w:jc w:val="center"/>
              <w:rPr>
                <w:rFonts w:eastAsia="Times New Roman" w:cs="Times New Roman"/>
                <w:color w:val="000000"/>
                <w:sz w:val="16"/>
                <w:szCs w:val="16"/>
              </w:rPr>
            </w:pPr>
            <w:r w:rsidRPr="00AB66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592781C" w14:textId="084F35E0" w:rsidR="004537D3" w:rsidRPr="00025134" w:rsidRDefault="004537D3" w:rsidP="004537D3">
            <w:pPr>
              <w:spacing w:before="0" w:after="0"/>
              <w:jc w:val="center"/>
              <w:rPr>
                <w:rFonts w:eastAsia="Times New Roman" w:cs="Times New Roman"/>
                <w:color w:val="000000"/>
                <w:sz w:val="16"/>
                <w:szCs w:val="16"/>
              </w:rPr>
            </w:pPr>
            <w:r w:rsidRPr="00AB66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F16B2C6" w14:textId="61D28E17" w:rsidR="004537D3" w:rsidRPr="00025134" w:rsidRDefault="004537D3" w:rsidP="004537D3">
            <w:pPr>
              <w:spacing w:before="0" w:after="0"/>
              <w:jc w:val="center"/>
              <w:rPr>
                <w:rFonts w:eastAsia="Times New Roman" w:cs="Times New Roman"/>
                <w:color w:val="000000"/>
                <w:sz w:val="16"/>
                <w:szCs w:val="16"/>
              </w:rPr>
            </w:pPr>
            <w:r w:rsidRPr="00AB66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4D51F48" w14:textId="65A1FFA4" w:rsidR="004537D3" w:rsidRPr="00025134" w:rsidRDefault="004537D3" w:rsidP="004537D3">
            <w:pPr>
              <w:spacing w:before="0" w:after="0"/>
              <w:jc w:val="center"/>
              <w:rPr>
                <w:rFonts w:eastAsia="Times New Roman" w:cs="Times New Roman"/>
                <w:color w:val="000000"/>
                <w:sz w:val="16"/>
                <w:szCs w:val="16"/>
              </w:rPr>
            </w:pPr>
            <w:r w:rsidRPr="00AB66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F1E06B0" w14:textId="12D91704" w:rsidR="004537D3" w:rsidRPr="00025134" w:rsidRDefault="004537D3" w:rsidP="004537D3">
            <w:pPr>
              <w:spacing w:before="0" w:after="0"/>
              <w:jc w:val="center"/>
              <w:rPr>
                <w:rFonts w:eastAsia="Times New Roman" w:cs="Times New Roman"/>
                <w:color w:val="000000"/>
                <w:sz w:val="16"/>
                <w:szCs w:val="16"/>
              </w:rPr>
            </w:pPr>
            <w:r w:rsidRPr="00AB66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1DF37F9B" w14:textId="499C7EC8"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17325D7" w14:textId="33A0831F"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97F7C59" w14:textId="298EAFBC"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AD25AF8" w14:textId="2FB1644D"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42F8A081" w14:textId="321544E2"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5732487B" w14:textId="4CDCE70B" w:rsidR="004537D3" w:rsidRPr="00025134" w:rsidRDefault="004537D3" w:rsidP="004537D3">
            <w:pPr>
              <w:spacing w:before="0" w:after="0"/>
              <w:jc w:val="center"/>
              <w:rPr>
                <w:rFonts w:eastAsia="Times New Roman" w:cs="Times New Roman"/>
                <w:color w:val="000000"/>
                <w:sz w:val="16"/>
                <w:szCs w:val="16"/>
              </w:rPr>
            </w:pPr>
            <w:r w:rsidRPr="00701458">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3F138BCC" w14:textId="59117697" w:rsidR="004537D3" w:rsidRPr="00025134" w:rsidRDefault="004537D3" w:rsidP="004537D3">
            <w:pPr>
              <w:spacing w:before="0" w:after="0"/>
              <w:jc w:val="center"/>
              <w:rPr>
                <w:rFonts w:eastAsia="Times New Roman" w:cs="Times New Roman"/>
                <w:sz w:val="16"/>
                <w:szCs w:val="16"/>
              </w:rPr>
            </w:pPr>
            <w:r w:rsidRPr="0070145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6BE6E746" w14:textId="496B3A39"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1443644A" w14:textId="4123C79A"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786B2819" w14:textId="2D247852"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1EE3048" w14:textId="236C53B6"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9BF14E4" w14:textId="566CCB37"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2916DC1" w14:textId="0152C21A"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002C79C8" w14:textId="743D3DD9"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45489A04" w14:textId="2F4F4C49"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3D6A2ADE"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510DED57"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TIAC1992</w:t>
            </w:r>
          </w:p>
        </w:tc>
        <w:tc>
          <w:tcPr>
            <w:tcW w:w="270" w:type="dxa"/>
            <w:tcBorders>
              <w:top w:val="nil"/>
              <w:left w:val="single" w:sz="4" w:space="0" w:color="auto"/>
              <w:bottom w:val="single" w:sz="4" w:space="0" w:color="auto"/>
              <w:right w:val="single" w:sz="4" w:space="0" w:color="auto"/>
            </w:tcBorders>
            <w:shd w:val="clear" w:color="000000" w:fill="FFCCCC"/>
            <w:noWrap/>
            <w:vAlign w:val="center"/>
            <w:hideMark/>
          </w:tcPr>
          <w:p w14:paraId="1E57152C" w14:textId="4D04424B"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DD40869" w14:textId="7C2EDD77"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1A536C4E" w14:textId="4B277AC7" w:rsidR="004537D3" w:rsidRPr="00025134" w:rsidRDefault="004537D3" w:rsidP="004537D3">
            <w:pPr>
              <w:spacing w:before="0" w:after="0"/>
              <w:jc w:val="center"/>
              <w:rPr>
                <w:rFonts w:eastAsia="Times New Roman" w:cs="Times New Roman"/>
                <w:bCs/>
                <w:sz w:val="16"/>
                <w:szCs w:val="16"/>
              </w:rPr>
            </w:pPr>
            <w:r>
              <w:rPr>
                <w:rFonts w:eastAsia="Times New Roman" w:cs="Times New Roman"/>
                <w:color w:val="000000"/>
                <w:sz w:val="16"/>
                <w:szCs w:val="16"/>
              </w:rPr>
              <w:t>1</w:t>
            </w:r>
            <w:r w:rsidRPr="00025134">
              <w:rPr>
                <w:rFonts w:eastAsia="Times New Roman" w:cs="Times New Roman"/>
                <w:bCs/>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0D6E9CBE" w14:textId="69EF0B0F" w:rsidR="004537D3" w:rsidRPr="00025134" w:rsidRDefault="004537D3" w:rsidP="004537D3">
            <w:pPr>
              <w:spacing w:before="0" w:after="0"/>
              <w:jc w:val="center"/>
              <w:rPr>
                <w:rFonts w:eastAsia="Times New Roman" w:cs="Times New Roman"/>
                <w:color w:val="000000"/>
                <w:sz w:val="16"/>
                <w:szCs w:val="16"/>
              </w:rPr>
            </w:pPr>
            <w:r w:rsidRPr="002D716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77FE589" w14:textId="7C285008" w:rsidR="004537D3" w:rsidRPr="00025134" w:rsidRDefault="004537D3" w:rsidP="004537D3">
            <w:pPr>
              <w:spacing w:before="0" w:after="0"/>
              <w:jc w:val="center"/>
              <w:rPr>
                <w:rFonts w:eastAsia="Times New Roman" w:cs="Times New Roman"/>
                <w:color w:val="000000"/>
                <w:sz w:val="16"/>
                <w:szCs w:val="16"/>
              </w:rPr>
            </w:pPr>
            <w:r w:rsidRPr="00FE4E1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3095A1AC" w14:textId="64982C25" w:rsidR="004537D3" w:rsidRPr="00025134" w:rsidRDefault="004537D3" w:rsidP="004537D3">
            <w:pPr>
              <w:spacing w:before="0" w:after="0"/>
              <w:jc w:val="center"/>
              <w:rPr>
                <w:rFonts w:eastAsia="Times New Roman" w:cs="Times New Roman"/>
                <w:bCs/>
                <w:color w:val="000000"/>
                <w:sz w:val="16"/>
                <w:szCs w:val="16"/>
              </w:rPr>
            </w:pPr>
            <w:r>
              <w:rPr>
                <w:rFonts w:eastAsia="Times New Roman" w:cs="Times New Roman"/>
                <w:color w:val="000000"/>
                <w:sz w:val="16"/>
                <w:szCs w:val="16"/>
              </w:rPr>
              <w:t>1</w:t>
            </w:r>
            <w:r w:rsidRPr="00025134">
              <w:rPr>
                <w:rFonts w:eastAsia="Times New Roman" w:cs="Times New Roman"/>
                <w:bCs/>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77680259" w14:textId="48D6A835"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6C2EF961" w14:textId="3EB59F41"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121F18D" w14:textId="719E968B" w:rsidR="004537D3" w:rsidRPr="00025134" w:rsidRDefault="004537D3" w:rsidP="004537D3">
            <w:pPr>
              <w:spacing w:before="0" w:after="0"/>
              <w:jc w:val="center"/>
              <w:rPr>
                <w:rFonts w:eastAsia="Times New Roman" w:cs="Times New Roman"/>
                <w:color w:val="000000"/>
                <w:sz w:val="16"/>
                <w:szCs w:val="16"/>
              </w:rPr>
            </w:pPr>
            <w:r w:rsidRPr="00C03899">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E3C9D0A" w14:textId="6C024F8D" w:rsidR="004537D3" w:rsidRPr="00025134" w:rsidRDefault="004537D3" w:rsidP="004537D3">
            <w:pPr>
              <w:spacing w:before="0" w:after="0"/>
              <w:jc w:val="center"/>
              <w:rPr>
                <w:rFonts w:eastAsia="Times New Roman" w:cs="Times New Roman"/>
                <w:color w:val="000000"/>
                <w:sz w:val="16"/>
                <w:szCs w:val="16"/>
              </w:rPr>
            </w:pPr>
            <w:r w:rsidRPr="00C03899">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26617B46" w14:textId="59E94A50" w:rsidR="004537D3" w:rsidRPr="00025134" w:rsidRDefault="004537D3" w:rsidP="004537D3">
            <w:pPr>
              <w:spacing w:before="0" w:after="0"/>
              <w:jc w:val="center"/>
              <w:rPr>
                <w:rFonts w:eastAsia="Times New Roman" w:cs="Times New Roman"/>
                <w:color w:val="000000"/>
                <w:sz w:val="16"/>
                <w:szCs w:val="16"/>
              </w:rPr>
            </w:pPr>
            <w:r w:rsidRPr="00CE7981">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04C302FA" w14:textId="65D4D1C7" w:rsidR="004537D3" w:rsidRPr="00025134" w:rsidRDefault="004537D3" w:rsidP="004537D3">
            <w:pPr>
              <w:spacing w:before="0" w:after="0"/>
              <w:jc w:val="center"/>
              <w:rPr>
                <w:rFonts w:eastAsia="Times New Roman" w:cs="Times New Roman"/>
                <w:color w:val="000000"/>
                <w:sz w:val="16"/>
                <w:szCs w:val="16"/>
              </w:rPr>
            </w:pPr>
            <w:r w:rsidRPr="00CE7981">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4855DC6E" w14:textId="30809CA8" w:rsidR="004537D3" w:rsidRPr="00025134" w:rsidRDefault="004537D3" w:rsidP="004537D3">
            <w:pPr>
              <w:spacing w:before="0" w:after="0"/>
              <w:jc w:val="center"/>
              <w:rPr>
                <w:rFonts w:eastAsia="Times New Roman" w:cs="Times New Roman"/>
                <w:color w:val="000000"/>
                <w:sz w:val="16"/>
                <w:szCs w:val="16"/>
              </w:rPr>
            </w:pPr>
            <w:r w:rsidRPr="00CE7981">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20F636DD" w14:textId="510698F2" w:rsidR="004537D3" w:rsidRPr="00025134" w:rsidRDefault="004537D3" w:rsidP="004537D3">
            <w:pPr>
              <w:spacing w:before="0" w:after="0"/>
              <w:jc w:val="center"/>
              <w:rPr>
                <w:rFonts w:eastAsia="Times New Roman" w:cs="Times New Roman"/>
                <w:color w:val="000000"/>
                <w:sz w:val="16"/>
                <w:szCs w:val="16"/>
              </w:rPr>
            </w:pPr>
            <w:r w:rsidRPr="00CE7981">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0A37A07" w14:textId="1D883FB1" w:rsidR="004537D3" w:rsidRPr="00025134" w:rsidRDefault="004537D3" w:rsidP="004537D3">
            <w:pPr>
              <w:spacing w:before="0" w:after="0"/>
              <w:jc w:val="center"/>
              <w:rPr>
                <w:rFonts w:eastAsia="Times New Roman" w:cs="Times New Roman"/>
                <w:color w:val="000000"/>
                <w:sz w:val="16"/>
                <w:szCs w:val="16"/>
              </w:rPr>
            </w:pPr>
            <w:r w:rsidRPr="00EC6FF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A8D2BCB" w14:textId="246A735F"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4D5EF00" w14:textId="2FD30611"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E3EAE30" w14:textId="61F875FE"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5AD4373" w14:textId="43619D4A"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53016EB7" w14:textId="750052B0"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A9D08E"/>
            <w:noWrap/>
            <w:vAlign w:val="center"/>
            <w:hideMark/>
          </w:tcPr>
          <w:p w14:paraId="79013772" w14:textId="4BA77186"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6" w:type="dxa"/>
            <w:tcBorders>
              <w:top w:val="nil"/>
              <w:left w:val="nil"/>
              <w:bottom w:val="single" w:sz="4" w:space="0" w:color="auto"/>
              <w:right w:val="single" w:sz="4" w:space="0" w:color="auto"/>
            </w:tcBorders>
            <w:shd w:val="clear" w:color="auto" w:fill="FFCCCC"/>
            <w:noWrap/>
            <w:vAlign w:val="center"/>
            <w:hideMark/>
          </w:tcPr>
          <w:p w14:paraId="3EB90FDE" w14:textId="75DDEF93" w:rsidR="004537D3" w:rsidRPr="00025134" w:rsidRDefault="004537D3" w:rsidP="004537D3">
            <w:pPr>
              <w:spacing w:before="0" w:after="0"/>
              <w:jc w:val="center"/>
              <w:rPr>
                <w:rFonts w:eastAsia="Times New Roman" w:cs="Times New Roman"/>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5CA29070" w14:textId="31A57712"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638BFBE4" w14:textId="449D9779"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0C4B468D" w14:textId="6B28AA2B"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EDE5834" w14:textId="0DD430A2"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2EA9994" w14:textId="26BCD6F9"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D12C90A" w14:textId="5EED176A"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44B74B4A" w14:textId="6C7A989A"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46D03ABC" w14:textId="102E640A"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772643C7"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2CFB680F"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TIAC1993</w:t>
            </w:r>
          </w:p>
        </w:tc>
        <w:tc>
          <w:tcPr>
            <w:tcW w:w="270" w:type="dxa"/>
            <w:tcBorders>
              <w:top w:val="nil"/>
              <w:left w:val="single" w:sz="4" w:space="0" w:color="auto"/>
              <w:bottom w:val="single" w:sz="4" w:space="0" w:color="auto"/>
              <w:right w:val="single" w:sz="4" w:space="0" w:color="auto"/>
            </w:tcBorders>
            <w:shd w:val="clear" w:color="000000" w:fill="A9D08E"/>
            <w:noWrap/>
            <w:vAlign w:val="center"/>
            <w:hideMark/>
          </w:tcPr>
          <w:p w14:paraId="43D3C005" w14:textId="5342926A" w:rsidR="004537D3" w:rsidRPr="00025134" w:rsidRDefault="004537D3" w:rsidP="004537D3">
            <w:pPr>
              <w:spacing w:before="0" w:after="0"/>
              <w:jc w:val="center"/>
              <w:rPr>
                <w:rFonts w:eastAsia="Times New Roman" w:cs="Times New Roman"/>
                <w:color w:val="000000"/>
                <w:sz w:val="16"/>
                <w:szCs w:val="16"/>
              </w:rPr>
            </w:pPr>
            <w:r w:rsidRPr="00A479FA">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D7A5EFA" w14:textId="2CF318BD"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A9A6A85" w14:textId="45244542"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0F55805" w14:textId="765D9917"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F3E7A46" w14:textId="5B888BCB"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AE5D40E" w14:textId="0E97C655"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7E04E40A" w14:textId="69977936" w:rsidR="004537D3" w:rsidRPr="00025134" w:rsidRDefault="004537D3" w:rsidP="004537D3">
            <w:pPr>
              <w:spacing w:before="0" w:after="0"/>
              <w:jc w:val="center"/>
              <w:rPr>
                <w:rFonts w:eastAsia="Times New Roman" w:cs="Times New Roman"/>
                <w:color w:val="000000"/>
                <w:sz w:val="16"/>
                <w:szCs w:val="16"/>
              </w:rPr>
            </w:pPr>
            <w:r w:rsidRPr="001870B5">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CAD545D" w14:textId="59E3FF21" w:rsidR="004537D3" w:rsidRPr="00025134" w:rsidRDefault="004537D3" w:rsidP="004537D3">
            <w:pPr>
              <w:spacing w:before="0" w:after="0"/>
              <w:jc w:val="center"/>
              <w:rPr>
                <w:rFonts w:eastAsia="Times New Roman" w:cs="Times New Roman"/>
                <w:color w:val="000000"/>
                <w:sz w:val="16"/>
                <w:szCs w:val="16"/>
              </w:rPr>
            </w:pPr>
            <w:r w:rsidRPr="003E03F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08A29A9" w14:textId="4B5EC2A3" w:rsidR="004537D3" w:rsidRPr="00025134" w:rsidRDefault="004537D3" w:rsidP="004537D3">
            <w:pPr>
              <w:spacing w:before="0" w:after="0"/>
              <w:jc w:val="center"/>
              <w:rPr>
                <w:rFonts w:eastAsia="Times New Roman" w:cs="Times New Roman"/>
                <w:color w:val="000000"/>
                <w:sz w:val="16"/>
                <w:szCs w:val="16"/>
              </w:rPr>
            </w:pPr>
            <w:r w:rsidRPr="003E03F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0F6D02E0" w14:textId="5D089517" w:rsidR="004537D3" w:rsidRPr="00025134" w:rsidRDefault="004537D3" w:rsidP="004537D3">
            <w:pPr>
              <w:spacing w:before="0" w:after="0"/>
              <w:jc w:val="center"/>
              <w:rPr>
                <w:rFonts w:eastAsia="Times New Roman" w:cs="Times New Roman"/>
                <w:color w:val="000000"/>
                <w:sz w:val="16"/>
                <w:szCs w:val="16"/>
              </w:rPr>
            </w:pPr>
            <w:r w:rsidRPr="003051BE">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41413FB" w14:textId="588F10E7"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14F5E65" w14:textId="107CD31E"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CE53D35" w14:textId="2B257F93"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169DF1D" w14:textId="6C2F3210"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5A1329A" w14:textId="0F001909" w:rsidR="004537D3" w:rsidRPr="00025134" w:rsidRDefault="004537D3" w:rsidP="004537D3">
            <w:pPr>
              <w:spacing w:before="0" w:after="0"/>
              <w:jc w:val="center"/>
              <w:rPr>
                <w:rFonts w:eastAsia="Times New Roman" w:cs="Times New Roman"/>
                <w:color w:val="000000"/>
                <w:sz w:val="16"/>
                <w:szCs w:val="16"/>
              </w:rPr>
            </w:pPr>
            <w:r w:rsidRPr="00EC6FF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741F1A54" w14:textId="6E1ABF6D" w:rsidR="004537D3" w:rsidRPr="00025134" w:rsidRDefault="004537D3" w:rsidP="004537D3">
            <w:pPr>
              <w:spacing w:before="0" w:after="0"/>
              <w:jc w:val="center"/>
              <w:rPr>
                <w:rFonts w:eastAsia="Times New Roman" w:cs="Times New Roman"/>
                <w:color w:val="000000"/>
                <w:sz w:val="16"/>
                <w:szCs w:val="16"/>
              </w:rPr>
            </w:pPr>
            <w:r w:rsidRPr="00CD3D34">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842074B" w14:textId="4D9C90CB"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81EAEF9" w14:textId="13D3820B"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C2B616B" w14:textId="12DBE605"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07453358" w14:textId="287119CF"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04CF78E9" w14:textId="51994E20" w:rsidR="004537D3" w:rsidRPr="00025134" w:rsidRDefault="004537D3" w:rsidP="004537D3">
            <w:pPr>
              <w:spacing w:before="0" w:after="0"/>
              <w:jc w:val="center"/>
              <w:rPr>
                <w:rFonts w:eastAsia="Times New Roman" w:cs="Times New Roman"/>
                <w:color w:val="000000"/>
                <w:sz w:val="16"/>
                <w:szCs w:val="16"/>
              </w:rPr>
            </w:pPr>
            <w:r w:rsidRPr="00E44A9F">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265E3021" w14:textId="191E4EF9" w:rsidR="004537D3" w:rsidRPr="00025134" w:rsidRDefault="004537D3" w:rsidP="004537D3">
            <w:pPr>
              <w:spacing w:before="0" w:after="0"/>
              <w:jc w:val="center"/>
              <w:rPr>
                <w:rFonts w:eastAsia="Times New Roman" w:cs="Times New Roman"/>
                <w:sz w:val="16"/>
                <w:szCs w:val="16"/>
              </w:rPr>
            </w:pPr>
            <w:r w:rsidRPr="00E44A9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06691F49" w14:textId="33D5C9A1"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09E1D6F7" w14:textId="7C0AD65C"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380071FC" w14:textId="12151F4C"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421A97E" w14:textId="205A5D38"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A6FEB31" w14:textId="358FC7B4"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29E74EA" w14:textId="48A831A6"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23F8251A" w14:textId="363D4601"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01B42619" w14:textId="5EC08D1A"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7648EABA"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12031A11"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TIAC1994</w:t>
            </w:r>
          </w:p>
        </w:tc>
        <w:tc>
          <w:tcPr>
            <w:tcW w:w="270" w:type="dxa"/>
            <w:tcBorders>
              <w:top w:val="nil"/>
              <w:left w:val="single" w:sz="4" w:space="0" w:color="auto"/>
              <w:bottom w:val="single" w:sz="4" w:space="0" w:color="auto"/>
              <w:right w:val="single" w:sz="4" w:space="0" w:color="auto"/>
            </w:tcBorders>
            <w:shd w:val="clear" w:color="000000" w:fill="A9D08E"/>
            <w:noWrap/>
            <w:vAlign w:val="center"/>
            <w:hideMark/>
          </w:tcPr>
          <w:p w14:paraId="1C0BB075" w14:textId="3BF7CB25" w:rsidR="004537D3" w:rsidRPr="00025134" w:rsidRDefault="004537D3" w:rsidP="004537D3">
            <w:pPr>
              <w:spacing w:before="0" w:after="0"/>
              <w:jc w:val="center"/>
              <w:rPr>
                <w:rFonts w:eastAsia="Times New Roman" w:cs="Times New Roman"/>
                <w:color w:val="000000"/>
                <w:sz w:val="16"/>
                <w:szCs w:val="16"/>
              </w:rPr>
            </w:pPr>
            <w:r w:rsidRPr="00A479FA">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077D276A" w14:textId="0508E3E7"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75DB5BE" w14:textId="1B81C5D4"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112289F" w14:textId="7FC6F559"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0AD1323" w14:textId="2067D7FE"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AC3E21C" w14:textId="6FA0670B"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17C60F16" w14:textId="73120181" w:rsidR="004537D3" w:rsidRPr="00025134" w:rsidRDefault="004537D3" w:rsidP="004537D3">
            <w:pPr>
              <w:spacing w:before="0" w:after="0"/>
              <w:jc w:val="center"/>
              <w:rPr>
                <w:rFonts w:eastAsia="Times New Roman" w:cs="Times New Roman"/>
                <w:color w:val="000000"/>
                <w:sz w:val="16"/>
                <w:szCs w:val="16"/>
              </w:rPr>
            </w:pPr>
            <w:r w:rsidRPr="001870B5">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43D85D7" w14:textId="1ABF853C" w:rsidR="004537D3" w:rsidRPr="00025134" w:rsidRDefault="004537D3" w:rsidP="004537D3">
            <w:pPr>
              <w:spacing w:before="0" w:after="0"/>
              <w:jc w:val="center"/>
              <w:rPr>
                <w:rFonts w:eastAsia="Times New Roman" w:cs="Times New Roman"/>
                <w:color w:val="000000"/>
                <w:sz w:val="16"/>
                <w:szCs w:val="16"/>
              </w:rPr>
            </w:pPr>
            <w:r w:rsidRPr="003E03F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74445D5" w14:textId="0D5DB25F" w:rsidR="004537D3" w:rsidRPr="00025134" w:rsidRDefault="004537D3" w:rsidP="004537D3">
            <w:pPr>
              <w:spacing w:before="0" w:after="0"/>
              <w:jc w:val="center"/>
              <w:rPr>
                <w:rFonts w:eastAsia="Times New Roman" w:cs="Times New Roman"/>
                <w:color w:val="000000"/>
                <w:sz w:val="16"/>
                <w:szCs w:val="16"/>
              </w:rPr>
            </w:pPr>
            <w:r w:rsidRPr="003E03F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4137F1D4" w14:textId="2D4C6D32" w:rsidR="004537D3" w:rsidRPr="00025134" w:rsidRDefault="004537D3" w:rsidP="004537D3">
            <w:pPr>
              <w:spacing w:before="0" w:after="0"/>
              <w:jc w:val="center"/>
              <w:rPr>
                <w:rFonts w:eastAsia="Times New Roman" w:cs="Times New Roman"/>
                <w:color w:val="000000"/>
                <w:sz w:val="16"/>
                <w:szCs w:val="16"/>
              </w:rPr>
            </w:pPr>
            <w:r w:rsidRPr="003051BE">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A453453" w14:textId="038847AD"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BF5139D" w14:textId="1FBBF074"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3FE6878" w14:textId="589BF8ED"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1FA95F1" w14:textId="69A07257"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55709EE" w14:textId="11CD166F" w:rsidR="004537D3" w:rsidRPr="00025134" w:rsidRDefault="004537D3" w:rsidP="004537D3">
            <w:pPr>
              <w:spacing w:before="0" w:after="0"/>
              <w:jc w:val="center"/>
              <w:rPr>
                <w:rFonts w:eastAsia="Times New Roman" w:cs="Times New Roman"/>
                <w:color w:val="000000"/>
                <w:sz w:val="16"/>
                <w:szCs w:val="16"/>
              </w:rPr>
            </w:pPr>
            <w:r w:rsidRPr="00EC6FFE">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3724BEF6" w14:textId="132EA9D1" w:rsidR="004537D3" w:rsidRPr="00025134" w:rsidRDefault="004537D3" w:rsidP="004537D3">
            <w:pPr>
              <w:spacing w:before="0" w:after="0"/>
              <w:jc w:val="center"/>
              <w:rPr>
                <w:rFonts w:eastAsia="Times New Roman" w:cs="Times New Roman"/>
                <w:color w:val="000000"/>
                <w:sz w:val="16"/>
                <w:szCs w:val="16"/>
              </w:rPr>
            </w:pPr>
            <w:r w:rsidRPr="00CD3D34">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7BEB27F" w14:textId="0A6B94B1"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9D25E6C" w14:textId="3430A1A2"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67D161F" w14:textId="191401E5"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67C688A3" w14:textId="15F7D505"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4674CC33" w14:textId="0157049C" w:rsidR="004537D3" w:rsidRPr="00025134" w:rsidRDefault="004537D3" w:rsidP="004537D3">
            <w:pPr>
              <w:spacing w:before="0" w:after="0"/>
              <w:jc w:val="center"/>
              <w:rPr>
                <w:rFonts w:eastAsia="Times New Roman" w:cs="Times New Roman"/>
                <w:color w:val="000000"/>
                <w:sz w:val="16"/>
                <w:szCs w:val="16"/>
              </w:rPr>
            </w:pPr>
            <w:r w:rsidRPr="00E44A9F">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09CAAB74" w14:textId="3AC86129" w:rsidR="004537D3" w:rsidRPr="00025134" w:rsidRDefault="004537D3" w:rsidP="004537D3">
            <w:pPr>
              <w:spacing w:before="0" w:after="0"/>
              <w:jc w:val="center"/>
              <w:rPr>
                <w:rFonts w:eastAsia="Times New Roman" w:cs="Times New Roman"/>
                <w:sz w:val="16"/>
                <w:szCs w:val="16"/>
              </w:rPr>
            </w:pPr>
            <w:r w:rsidRPr="00E44A9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3F203C56" w14:textId="2BA4E208"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52B775C0" w14:textId="7D9AE84B"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632D1DAA" w14:textId="4F5E5AD5"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4D7F792" w14:textId="45B6E0D2"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C417CB1" w14:textId="67ED1589"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7599EA3" w14:textId="77858112"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4427DBA9" w14:textId="67B36A27"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4822B364" w14:textId="1BF20480"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360E572A"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6661D4E2"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TIAC2001</w:t>
            </w:r>
          </w:p>
        </w:tc>
        <w:tc>
          <w:tcPr>
            <w:tcW w:w="270" w:type="dxa"/>
            <w:tcBorders>
              <w:top w:val="nil"/>
              <w:left w:val="single" w:sz="4" w:space="0" w:color="auto"/>
              <w:bottom w:val="single" w:sz="4" w:space="0" w:color="auto"/>
              <w:right w:val="single" w:sz="4" w:space="0" w:color="auto"/>
            </w:tcBorders>
            <w:shd w:val="clear" w:color="000000" w:fill="FFCCCC"/>
            <w:noWrap/>
            <w:vAlign w:val="center"/>
            <w:hideMark/>
          </w:tcPr>
          <w:p w14:paraId="5230D0EB" w14:textId="448BE94F" w:rsidR="004537D3" w:rsidRPr="00025134" w:rsidRDefault="004537D3" w:rsidP="004537D3">
            <w:pPr>
              <w:spacing w:before="0" w:after="0"/>
              <w:jc w:val="center"/>
              <w:rPr>
                <w:rFonts w:eastAsia="Times New Roman" w:cs="Times New Roman"/>
                <w:color w:val="000000"/>
                <w:sz w:val="16"/>
                <w:szCs w:val="16"/>
              </w:rPr>
            </w:pPr>
            <w:r w:rsidRPr="003F2C6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5CBBA03" w14:textId="411BD535"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3ABDB7B" w14:textId="5C8F091E"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30FE815" w14:textId="0EBF4A0D"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44744C6" w14:textId="4AD5FEAB"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D261CEB" w14:textId="779E0BBA" w:rsidR="004537D3" w:rsidRPr="00025134" w:rsidRDefault="004537D3" w:rsidP="004537D3">
            <w:pPr>
              <w:spacing w:before="0" w:after="0"/>
              <w:jc w:val="center"/>
              <w:rPr>
                <w:rFonts w:eastAsia="Times New Roman" w:cs="Times New Roman"/>
                <w:color w:val="000000"/>
                <w:sz w:val="16"/>
                <w:szCs w:val="16"/>
              </w:rPr>
            </w:pPr>
            <w:r w:rsidRPr="000C42A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A305E08" w14:textId="17ECD6EF"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C9419A5" w14:textId="40670605" w:rsidR="004537D3" w:rsidRPr="00025134" w:rsidRDefault="004537D3" w:rsidP="004537D3">
            <w:pPr>
              <w:spacing w:before="0" w:after="0"/>
              <w:jc w:val="center"/>
              <w:rPr>
                <w:rFonts w:eastAsia="Times New Roman" w:cs="Times New Roman"/>
                <w:color w:val="000000"/>
                <w:sz w:val="16"/>
                <w:szCs w:val="16"/>
              </w:rPr>
            </w:pPr>
            <w:r w:rsidRPr="003E03F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8A8A661" w14:textId="394D9A60" w:rsidR="004537D3" w:rsidRPr="00025134" w:rsidRDefault="004537D3" w:rsidP="004537D3">
            <w:pPr>
              <w:spacing w:before="0" w:after="0"/>
              <w:jc w:val="center"/>
              <w:rPr>
                <w:rFonts w:eastAsia="Times New Roman" w:cs="Times New Roman"/>
                <w:color w:val="000000"/>
                <w:sz w:val="16"/>
                <w:szCs w:val="16"/>
              </w:rPr>
            </w:pPr>
            <w:r w:rsidRPr="00E9318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903D678" w14:textId="623EF185" w:rsidR="004537D3" w:rsidRPr="00025134" w:rsidRDefault="004537D3" w:rsidP="004537D3">
            <w:pPr>
              <w:spacing w:before="0" w:after="0"/>
              <w:jc w:val="center"/>
              <w:rPr>
                <w:rFonts w:eastAsia="Times New Roman" w:cs="Times New Roman"/>
                <w:color w:val="000000"/>
                <w:sz w:val="16"/>
                <w:szCs w:val="16"/>
              </w:rPr>
            </w:pPr>
            <w:r w:rsidRPr="00E9318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3477D68" w14:textId="1E327345"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8A2C105" w14:textId="080461B8"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6D3A62C" w14:textId="72A983B9"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09AB928" w14:textId="4B4F6E6A" w:rsidR="004537D3" w:rsidRPr="00025134" w:rsidRDefault="004537D3" w:rsidP="004537D3">
            <w:pPr>
              <w:spacing w:before="0" w:after="0"/>
              <w:jc w:val="center"/>
              <w:rPr>
                <w:rFonts w:eastAsia="Times New Roman" w:cs="Times New Roman"/>
                <w:color w:val="000000"/>
                <w:sz w:val="16"/>
                <w:szCs w:val="16"/>
              </w:rPr>
            </w:pPr>
            <w:r w:rsidRPr="0033279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1ABDFED6" w14:textId="71E6ACB1"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05E62047" w14:textId="0E1AE644"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870F0AC" w14:textId="5458BE59"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FCDEF1E" w14:textId="65235E19"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A5B3CAC" w14:textId="05C2C715"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0933661C" w14:textId="5FB3EAD8"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13E0E890" w14:textId="02588621" w:rsidR="004537D3" w:rsidRPr="00025134" w:rsidRDefault="004537D3" w:rsidP="004537D3">
            <w:pPr>
              <w:spacing w:before="0" w:after="0"/>
              <w:jc w:val="center"/>
              <w:rPr>
                <w:rFonts w:eastAsia="Times New Roman" w:cs="Times New Roman"/>
                <w:color w:val="000000"/>
                <w:sz w:val="16"/>
                <w:szCs w:val="16"/>
              </w:rPr>
            </w:pPr>
            <w:r w:rsidRPr="00E44A9F">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36468C1E" w14:textId="34444404" w:rsidR="004537D3" w:rsidRPr="00025134" w:rsidRDefault="004537D3" w:rsidP="004537D3">
            <w:pPr>
              <w:spacing w:before="0" w:after="0"/>
              <w:jc w:val="center"/>
              <w:rPr>
                <w:rFonts w:eastAsia="Times New Roman" w:cs="Times New Roman"/>
                <w:sz w:val="16"/>
                <w:szCs w:val="16"/>
              </w:rPr>
            </w:pPr>
            <w:r w:rsidRPr="00E44A9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4B7A3064" w14:textId="6F801DC0"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299F4FD6" w14:textId="62585CB0"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5FC6809C" w14:textId="71CF8E5E"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D40BF88" w14:textId="13DBA9F7"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8009C9A" w14:textId="0D601E1C"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A846B67" w14:textId="57B59296"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751935BE" w14:textId="68FC598B"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632FA65E" w14:textId="2EA3651D"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3C8D189F"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5F32B920"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TIAC3152</w:t>
            </w:r>
          </w:p>
        </w:tc>
        <w:tc>
          <w:tcPr>
            <w:tcW w:w="270" w:type="dxa"/>
            <w:tcBorders>
              <w:top w:val="nil"/>
              <w:left w:val="single" w:sz="4" w:space="0" w:color="auto"/>
              <w:bottom w:val="single" w:sz="4" w:space="0" w:color="auto"/>
              <w:right w:val="single" w:sz="4" w:space="0" w:color="auto"/>
            </w:tcBorders>
            <w:shd w:val="clear" w:color="000000" w:fill="FFCCCC"/>
            <w:noWrap/>
            <w:vAlign w:val="center"/>
            <w:hideMark/>
          </w:tcPr>
          <w:p w14:paraId="37F4FCC8" w14:textId="4682657F" w:rsidR="004537D3" w:rsidRPr="00025134" w:rsidRDefault="004537D3" w:rsidP="004537D3">
            <w:pPr>
              <w:spacing w:before="0" w:after="0"/>
              <w:jc w:val="center"/>
              <w:rPr>
                <w:rFonts w:eastAsia="Times New Roman" w:cs="Times New Roman"/>
                <w:color w:val="000000"/>
                <w:sz w:val="16"/>
                <w:szCs w:val="16"/>
              </w:rPr>
            </w:pPr>
            <w:r w:rsidRPr="003F2C6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C925DAC" w14:textId="63CF263F"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2620613C" w14:textId="6D68EA58"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433EF4CB" w14:textId="6928CA2F" w:rsidR="004537D3" w:rsidRPr="00025134" w:rsidRDefault="004537D3" w:rsidP="004537D3">
            <w:pPr>
              <w:spacing w:before="0" w:after="0"/>
              <w:jc w:val="center"/>
              <w:rPr>
                <w:rFonts w:eastAsia="Times New Roman" w:cs="Times New Roman"/>
                <w:color w:val="000000"/>
                <w:sz w:val="16"/>
                <w:szCs w:val="16"/>
              </w:rPr>
            </w:pPr>
            <w:r w:rsidRPr="00317B7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141D9D9" w14:textId="5CE1615D" w:rsidR="004537D3" w:rsidRPr="00025134" w:rsidRDefault="004537D3" w:rsidP="004537D3">
            <w:pPr>
              <w:spacing w:before="0" w:after="0"/>
              <w:jc w:val="center"/>
              <w:rPr>
                <w:rFonts w:eastAsia="Times New Roman" w:cs="Times New Roman"/>
                <w:color w:val="000000"/>
                <w:sz w:val="16"/>
                <w:szCs w:val="16"/>
              </w:rPr>
            </w:pPr>
            <w:r w:rsidRPr="00317B73">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364F4C53" w14:textId="59FCE269" w:rsidR="004537D3" w:rsidRPr="00025134" w:rsidRDefault="004537D3" w:rsidP="004537D3">
            <w:pPr>
              <w:spacing w:before="0" w:after="0"/>
              <w:jc w:val="center"/>
              <w:rPr>
                <w:rFonts w:eastAsia="Times New Roman" w:cs="Times New Roman"/>
                <w:color w:val="000000"/>
                <w:sz w:val="16"/>
                <w:szCs w:val="16"/>
              </w:rPr>
            </w:pPr>
            <w:r w:rsidRPr="003B4E53">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B2FD49C" w14:textId="73FE4C0A"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14FC30F4" w14:textId="093E6D1E" w:rsidR="004537D3" w:rsidRPr="00025134" w:rsidRDefault="004537D3" w:rsidP="004537D3">
            <w:pPr>
              <w:spacing w:before="0" w:after="0"/>
              <w:jc w:val="center"/>
              <w:rPr>
                <w:rFonts w:eastAsia="Times New Roman" w:cs="Times New Roman"/>
                <w:color w:val="000000"/>
                <w:sz w:val="16"/>
                <w:szCs w:val="16"/>
              </w:rPr>
            </w:pPr>
            <w:r w:rsidRPr="00AC7886">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9EEB0AC" w14:textId="712823C6" w:rsidR="004537D3" w:rsidRPr="00025134" w:rsidRDefault="004537D3" w:rsidP="004537D3">
            <w:pPr>
              <w:spacing w:before="0" w:after="0"/>
              <w:jc w:val="center"/>
              <w:rPr>
                <w:rFonts w:eastAsia="Times New Roman" w:cs="Times New Roman"/>
                <w:color w:val="000000"/>
                <w:sz w:val="16"/>
                <w:szCs w:val="16"/>
              </w:rPr>
            </w:pPr>
            <w:r w:rsidRPr="00E9318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4FC7A85" w14:textId="23C45F93" w:rsidR="004537D3" w:rsidRPr="00025134" w:rsidRDefault="004537D3" w:rsidP="004537D3">
            <w:pPr>
              <w:spacing w:before="0" w:after="0"/>
              <w:jc w:val="center"/>
              <w:rPr>
                <w:rFonts w:eastAsia="Times New Roman" w:cs="Times New Roman"/>
                <w:color w:val="000000"/>
                <w:sz w:val="16"/>
                <w:szCs w:val="16"/>
              </w:rPr>
            </w:pPr>
            <w:r w:rsidRPr="00E9318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24F51776" w14:textId="735058A9" w:rsidR="004537D3" w:rsidRPr="00025134" w:rsidRDefault="004537D3" w:rsidP="004537D3">
            <w:pPr>
              <w:spacing w:before="0" w:after="0"/>
              <w:jc w:val="center"/>
              <w:rPr>
                <w:rFonts w:eastAsia="Times New Roman" w:cs="Times New Roman"/>
                <w:color w:val="000000"/>
                <w:sz w:val="16"/>
                <w:szCs w:val="16"/>
              </w:rPr>
            </w:pPr>
            <w:r w:rsidRPr="00E609A5">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6991C6DB" w14:textId="6C66515D" w:rsidR="004537D3" w:rsidRPr="00025134" w:rsidRDefault="004537D3" w:rsidP="004537D3">
            <w:pPr>
              <w:spacing w:before="0" w:after="0"/>
              <w:jc w:val="center"/>
              <w:rPr>
                <w:rFonts w:eastAsia="Times New Roman" w:cs="Times New Roman"/>
                <w:color w:val="000000"/>
                <w:sz w:val="16"/>
                <w:szCs w:val="16"/>
              </w:rPr>
            </w:pPr>
            <w:r w:rsidRPr="00E609A5">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1886BA38" w14:textId="2C4C544C" w:rsidR="004537D3" w:rsidRPr="00025134" w:rsidRDefault="004537D3" w:rsidP="004537D3">
            <w:pPr>
              <w:spacing w:before="0" w:after="0"/>
              <w:jc w:val="center"/>
              <w:rPr>
                <w:rFonts w:eastAsia="Times New Roman" w:cs="Times New Roman"/>
                <w:color w:val="000000"/>
                <w:sz w:val="16"/>
                <w:szCs w:val="16"/>
              </w:rPr>
            </w:pPr>
            <w:r w:rsidRPr="00E609A5">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03A2B716" w14:textId="074AB6AA" w:rsidR="004537D3" w:rsidRPr="00025134" w:rsidRDefault="004537D3" w:rsidP="004537D3">
            <w:pPr>
              <w:spacing w:before="0" w:after="0"/>
              <w:jc w:val="center"/>
              <w:rPr>
                <w:rFonts w:eastAsia="Times New Roman" w:cs="Times New Roman"/>
                <w:color w:val="000000"/>
                <w:sz w:val="16"/>
                <w:szCs w:val="16"/>
              </w:rPr>
            </w:pPr>
            <w:r w:rsidRPr="00E609A5">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14567813" w14:textId="016311F1" w:rsidR="004537D3" w:rsidRPr="00025134" w:rsidRDefault="004537D3" w:rsidP="004537D3">
            <w:pPr>
              <w:spacing w:before="0" w:after="0"/>
              <w:jc w:val="center"/>
              <w:rPr>
                <w:rFonts w:eastAsia="Times New Roman" w:cs="Times New Roman"/>
                <w:color w:val="000000"/>
                <w:sz w:val="16"/>
                <w:szCs w:val="16"/>
              </w:rPr>
            </w:pPr>
            <w:r w:rsidRPr="002827C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54492367" w14:textId="228FD674" w:rsidR="004537D3" w:rsidRPr="00025134" w:rsidRDefault="004537D3" w:rsidP="004537D3">
            <w:pPr>
              <w:spacing w:before="0" w:after="0"/>
              <w:jc w:val="center"/>
              <w:rPr>
                <w:rFonts w:eastAsia="Times New Roman" w:cs="Times New Roman"/>
                <w:color w:val="000000"/>
                <w:sz w:val="16"/>
                <w:szCs w:val="16"/>
              </w:rPr>
            </w:pPr>
            <w:r w:rsidRPr="002827C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4E01098" w14:textId="596D27D7"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2E95974" w14:textId="0F5C651D"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D19A6DB" w14:textId="131351D1"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5C23192A" w14:textId="14454BFE" w:rsidR="004537D3" w:rsidRPr="00025134" w:rsidRDefault="004537D3" w:rsidP="004537D3">
            <w:pPr>
              <w:spacing w:before="0" w:after="0"/>
              <w:jc w:val="center"/>
              <w:rPr>
                <w:rFonts w:eastAsia="Times New Roman" w:cs="Times New Roman"/>
                <w:color w:val="000000"/>
                <w:sz w:val="16"/>
                <w:szCs w:val="16"/>
              </w:rPr>
            </w:pPr>
            <w:r w:rsidRPr="00E85C9A">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A9D08E"/>
            <w:noWrap/>
            <w:vAlign w:val="center"/>
            <w:hideMark/>
          </w:tcPr>
          <w:p w14:paraId="498958F8" w14:textId="163B3477"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6" w:type="dxa"/>
            <w:tcBorders>
              <w:top w:val="nil"/>
              <w:left w:val="nil"/>
              <w:bottom w:val="single" w:sz="4" w:space="0" w:color="auto"/>
              <w:right w:val="single" w:sz="4" w:space="0" w:color="auto"/>
            </w:tcBorders>
            <w:shd w:val="clear" w:color="auto" w:fill="FFCCCC"/>
            <w:noWrap/>
            <w:vAlign w:val="center"/>
            <w:hideMark/>
          </w:tcPr>
          <w:p w14:paraId="3526ED79" w14:textId="6217490E" w:rsidR="004537D3" w:rsidRPr="00025134" w:rsidRDefault="004537D3" w:rsidP="004537D3">
            <w:pPr>
              <w:spacing w:before="0" w:after="0"/>
              <w:jc w:val="center"/>
              <w:rPr>
                <w:rFonts w:eastAsia="Times New Roman" w:cs="Times New Roman"/>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31710A75" w14:textId="21024E94"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58AAF9A1" w14:textId="23F28B7B"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32376823" w14:textId="4295A90E"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2A2C79B" w14:textId="6D141BC1"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9D04454" w14:textId="3B6FDCE2"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5D9F4C7" w14:textId="6BC578DA"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65903ADA" w14:textId="3404219B"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692E9EC0" w14:textId="4D6ACF5E"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61442CA2"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0BF662AF"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TIAC3462</w:t>
            </w:r>
          </w:p>
        </w:tc>
        <w:tc>
          <w:tcPr>
            <w:tcW w:w="270" w:type="dxa"/>
            <w:tcBorders>
              <w:top w:val="nil"/>
              <w:left w:val="single" w:sz="4" w:space="0" w:color="auto"/>
              <w:bottom w:val="single" w:sz="4" w:space="0" w:color="auto"/>
              <w:right w:val="single" w:sz="4" w:space="0" w:color="auto"/>
            </w:tcBorders>
            <w:shd w:val="clear" w:color="000000" w:fill="A9D08E"/>
            <w:noWrap/>
            <w:vAlign w:val="center"/>
            <w:hideMark/>
          </w:tcPr>
          <w:p w14:paraId="06347BAA" w14:textId="6C28CE0B" w:rsidR="004537D3" w:rsidRPr="00025134" w:rsidRDefault="004537D3" w:rsidP="004537D3">
            <w:pPr>
              <w:spacing w:before="0" w:after="0"/>
              <w:jc w:val="center"/>
              <w:rPr>
                <w:rFonts w:eastAsia="Times New Roman" w:cs="Times New Roman"/>
                <w:color w:val="000000"/>
                <w:sz w:val="16"/>
                <w:szCs w:val="16"/>
              </w:rPr>
            </w:pPr>
            <w:r w:rsidRPr="00EB0B6E">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678E30E" w14:textId="1CFB307B" w:rsidR="004537D3" w:rsidRPr="00025134" w:rsidRDefault="004537D3" w:rsidP="004537D3">
            <w:pPr>
              <w:spacing w:before="0" w:after="0"/>
              <w:jc w:val="center"/>
              <w:rPr>
                <w:rFonts w:eastAsia="Times New Roman" w:cs="Times New Roman"/>
                <w:color w:val="000000"/>
                <w:sz w:val="16"/>
                <w:szCs w:val="16"/>
              </w:rPr>
            </w:pPr>
            <w:r w:rsidRPr="0011448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6AB4FB4" w14:textId="148A2DA2" w:rsidR="004537D3" w:rsidRPr="00025134" w:rsidRDefault="004537D3" w:rsidP="004537D3">
            <w:pPr>
              <w:spacing w:before="0" w:after="0"/>
              <w:jc w:val="center"/>
              <w:rPr>
                <w:rFonts w:eastAsia="Times New Roman" w:cs="Times New Roman"/>
                <w:color w:val="000000"/>
                <w:sz w:val="16"/>
                <w:szCs w:val="16"/>
              </w:rPr>
            </w:pPr>
            <w:r w:rsidRPr="00430CC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51D6808" w14:textId="2BC7CA46" w:rsidR="004537D3" w:rsidRPr="00025134" w:rsidRDefault="004537D3" w:rsidP="004537D3">
            <w:pPr>
              <w:spacing w:before="0" w:after="0"/>
              <w:jc w:val="center"/>
              <w:rPr>
                <w:rFonts w:eastAsia="Times New Roman" w:cs="Times New Roman"/>
                <w:color w:val="000000"/>
                <w:sz w:val="16"/>
                <w:szCs w:val="16"/>
              </w:rPr>
            </w:pPr>
            <w:r w:rsidRPr="00430CC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42CEB3A" w14:textId="7EF163F1" w:rsidR="004537D3" w:rsidRPr="00025134" w:rsidRDefault="004537D3" w:rsidP="004537D3">
            <w:pPr>
              <w:spacing w:before="0" w:after="0"/>
              <w:jc w:val="center"/>
              <w:rPr>
                <w:rFonts w:eastAsia="Times New Roman" w:cs="Times New Roman"/>
                <w:color w:val="000000"/>
                <w:sz w:val="16"/>
                <w:szCs w:val="16"/>
              </w:rPr>
            </w:pPr>
            <w:r w:rsidRPr="00430CC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4A48CE56" w14:textId="5586CE07" w:rsidR="004537D3" w:rsidRPr="00025134" w:rsidRDefault="004537D3" w:rsidP="004537D3">
            <w:pPr>
              <w:spacing w:before="0" w:after="0"/>
              <w:jc w:val="center"/>
              <w:rPr>
                <w:rFonts w:eastAsia="Times New Roman" w:cs="Times New Roman"/>
                <w:color w:val="000000"/>
                <w:sz w:val="16"/>
                <w:szCs w:val="16"/>
              </w:rPr>
            </w:pPr>
            <w:r w:rsidRPr="003B4E53">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62090E8" w14:textId="7DB804D4"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0A64020E" w14:textId="3AECC202" w:rsidR="004537D3" w:rsidRPr="00025134" w:rsidRDefault="004537D3" w:rsidP="004537D3">
            <w:pPr>
              <w:spacing w:before="0" w:after="0"/>
              <w:jc w:val="center"/>
              <w:rPr>
                <w:rFonts w:eastAsia="Times New Roman" w:cs="Times New Roman"/>
                <w:color w:val="000000"/>
                <w:sz w:val="16"/>
                <w:szCs w:val="16"/>
              </w:rPr>
            </w:pPr>
            <w:r w:rsidRPr="00AC7886">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39AF8A89" w14:textId="2BF14709" w:rsidR="004537D3" w:rsidRPr="00025134" w:rsidRDefault="004537D3" w:rsidP="004537D3">
            <w:pPr>
              <w:spacing w:before="0" w:after="0"/>
              <w:jc w:val="center"/>
              <w:rPr>
                <w:rFonts w:eastAsia="Times New Roman" w:cs="Times New Roman"/>
                <w:color w:val="000000"/>
                <w:sz w:val="16"/>
                <w:szCs w:val="16"/>
              </w:rPr>
            </w:pPr>
            <w:r w:rsidRPr="00E9318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E626D22" w14:textId="3F933F3A" w:rsidR="004537D3" w:rsidRPr="00025134" w:rsidRDefault="004537D3" w:rsidP="004537D3">
            <w:pPr>
              <w:spacing w:before="0" w:after="0"/>
              <w:jc w:val="center"/>
              <w:rPr>
                <w:rFonts w:eastAsia="Times New Roman" w:cs="Times New Roman"/>
                <w:color w:val="000000"/>
                <w:sz w:val="16"/>
                <w:szCs w:val="16"/>
              </w:rPr>
            </w:pPr>
            <w:r w:rsidRPr="00E9318F">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1017024" w14:textId="3B88017D" w:rsidR="004537D3" w:rsidRPr="00025134" w:rsidRDefault="004537D3" w:rsidP="004537D3">
            <w:pPr>
              <w:spacing w:before="0" w:after="0"/>
              <w:jc w:val="center"/>
              <w:rPr>
                <w:rFonts w:eastAsia="Times New Roman" w:cs="Times New Roman"/>
                <w:color w:val="000000"/>
                <w:sz w:val="16"/>
                <w:szCs w:val="16"/>
              </w:rPr>
            </w:pPr>
            <w:r w:rsidRPr="00D618A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6F37F728" w14:textId="24B20F46" w:rsidR="004537D3" w:rsidRPr="00025134" w:rsidRDefault="004537D3" w:rsidP="004537D3">
            <w:pPr>
              <w:spacing w:before="0" w:after="0"/>
              <w:jc w:val="center"/>
              <w:rPr>
                <w:rFonts w:eastAsia="Times New Roman" w:cs="Times New Roman"/>
                <w:bCs/>
                <w:color w:val="000000"/>
                <w:sz w:val="16"/>
                <w:szCs w:val="16"/>
              </w:rPr>
            </w:pPr>
            <w:r>
              <w:rPr>
                <w:rFonts w:eastAsia="Times New Roman" w:cs="Times New Roman"/>
                <w:color w:val="000000"/>
                <w:sz w:val="16"/>
                <w:szCs w:val="16"/>
              </w:rPr>
              <w:t>1</w:t>
            </w:r>
            <w:r w:rsidRPr="00025134">
              <w:rPr>
                <w:rFonts w:eastAsia="Times New Roman" w:cs="Times New Roman"/>
                <w:bCs/>
                <w:color w:val="000000"/>
                <w:sz w:val="16"/>
                <w:szCs w:val="16"/>
              </w:rPr>
              <w:t>**</w:t>
            </w:r>
          </w:p>
        </w:tc>
        <w:tc>
          <w:tcPr>
            <w:tcW w:w="270" w:type="dxa"/>
            <w:tcBorders>
              <w:top w:val="nil"/>
              <w:left w:val="nil"/>
              <w:bottom w:val="single" w:sz="4" w:space="0" w:color="auto"/>
              <w:right w:val="single" w:sz="4" w:space="0" w:color="auto"/>
            </w:tcBorders>
            <w:shd w:val="clear" w:color="000000" w:fill="A9D08E"/>
            <w:noWrap/>
            <w:vAlign w:val="center"/>
            <w:hideMark/>
          </w:tcPr>
          <w:p w14:paraId="5111B0D1" w14:textId="6ABB8F93"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2EB9225C" w14:textId="3C9F3630" w:rsidR="004537D3" w:rsidRPr="00025134" w:rsidRDefault="004537D3" w:rsidP="004537D3">
            <w:pPr>
              <w:spacing w:before="0" w:after="0"/>
              <w:jc w:val="center"/>
              <w:rPr>
                <w:rFonts w:eastAsia="Times New Roman" w:cs="Times New Roman"/>
                <w:bCs/>
                <w:color w:val="000000"/>
                <w:sz w:val="16"/>
                <w:szCs w:val="16"/>
              </w:rPr>
            </w:pPr>
            <w:r>
              <w:rPr>
                <w:rFonts w:eastAsia="Times New Roman" w:cs="Times New Roman"/>
                <w:color w:val="000000"/>
                <w:sz w:val="16"/>
                <w:szCs w:val="16"/>
              </w:rPr>
              <w:t>1</w:t>
            </w:r>
            <w:r w:rsidRPr="00025134">
              <w:rPr>
                <w:rFonts w:eastAsia="Times New Roman" w:cs="Times New Roman"/>
                <w:bCs/>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0F67F47F" w14:textId="50B3F376" w:rsidR="004537D3" w:rsidRPr="00025134" w:rsidRDefault="004537D3" w:rsidP="004537D3">
            <w:pPr>
              <w:spacing w:before="0" w:after="0"/>
              <w:jc w:val="center"/>
              <w:rPr>
                <w:rFonts w:eastAsia="Times New Roman" w:cs="Times New Roman"/>
                <w:color w:val="000000"/>
                <w:sz w:val="16"/>
                <w:szCs w:val="16"/>
              </w:rPr>
            </w:pPr>
            <w:r w:rsidRPr="002827C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21B7425" w14:textId="0322E441" w:rsidR="004537D3" w:rsidRPr="00025134" w:rsidRDefault="004537D3" w:rsidP="004537D3">
            <w:pPr>
              <w:spacing w:before="0" w:after="0"/>
              <w:jc w:val="center"/>
              <w:rPr>
                <w:rFonts w:eastAsia="Times New Roman" w:cs="Times New Roman"/>
                <w:color w:val="000000"/>
                <w:sz w:val="16"/>
                <w:szCs w:val="16"/>
              </w:rPr>
            </w:pPr>
            <w:r w:rsidRPr="002827C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2437846" w14:textId="4B9E5286"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169DE2F" w14:textId="669FCE64"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57D993A" w14:textId="67366C68"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A9D08E"/>
            <w:noWrap/>
            <w:vAlign w:val="center"/>
            <w:hideMark/>
          </w:tcPr>
          <w:p w14:paraId="0E6C0BFB" w14:textId="1ABD65E1"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399" w:type="dxa"/>
            <w:tcBorders>
              <w:top w:val="nil"/>
              <w:left w:val="nil"/>
              <w:bottom w:val="single" w:sz="4" w:space="0" w:color="auto"/>
              <w:right w:val="single" w:sz="4" w:space="0" w:color="auto"/>
            </w:tcBorders>
            <w:shd w:val="clear" w:color="auto" w:fill="FFCCCC"/>
            <w:noWrap/>
            <w:vAlign w:val="center"/>
            <w:hideMark/>
          </w:tcPr>
          <w:p w14:paraId="621461B7" w14:textId="5BF908D8" w:rsidR="004537D3" w:rsidRPr="00025134" w:rsidRDefault="004537D3" w:rsidP="004537D3">
            <w:pPr>
              <w:spacing w:before="0" w:after="0"/>
              <w:jc w:val="center"/>
              <w:rPr>
                <w:rFonts w:eastAsia="Times New Roman" w:cs="Times New Roman"/>
                <w:color w:val="000000"/>
                <w:sz w:val="16"/>
                <w:szCs w:val="16"/>
              </w:rPr>
            </w:pPr>
            <w:r w:rsidRPr="003A7740">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42F598E6" w14:textId="7BD53EF3" w:rsidR="004537D3" w:rsidRPr="00025134" w:rsidRDefault="004537D3" w:rsidP="004537D3">
            <w:pPr>
              <w:spacing w:before="0" w:after="0"/>
              <w:jc w:val="center"/>
              <w:rPr>
                <w:rFonts w:eastAsia="Times New Roman" w:cs="Times New Roman"/>
                <w:sz w:val="16"/>
                <w:szCs w:val="16"/>
              </w:rPr>
            </w:pPr>
            <w:r w:rsidRPr="003A774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62F78D37" w14:textId="708D591B"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4DF152C4" w14:textId="4F945BFF" w:rsidR="004537D3" w:rsidRPr="00025134" w:rsidRDefault="004537D3" w:rsidP="004537D3">
            <w:pPr>
              <w:spacing w:before="0" w:after="0"/>
              <w:jc w:val="center"/>
              <w:rPr>
                <w:rFonts w:eastAsia="Times New Roman" w:cs="Times New Roman"/>
                <w:color w:val="000000"/>
                <w:sz w:val="16"/>
                <w:szCs w:val="16"/>
              </w:rPr>
            </w:pPr>
          </w:p>
        </w:tc>
        <w:tc>
          <w:tcPr>
            <w:tcW w:w="270" w:type="dxa"/>
            <w:tcBorders>
              <w:top w:val="nil"/>
              <w:left w:val="nil"/>
              <w:bottom w:val="single" w:sz="4" w:space="0" w:color="auto"/>
              <w:right w:val="single" w:sz="4" w:space="0" w:color="auto"/>
            </w:tcBorders>
            <w:shd w:val="clear" w:color="000000" w:fill="FFCCCC"/>
            <w:noWrap/>
            <w:vAlign w:val="center"/>
            <w:hideMark/>
          </w:tcPr>
          <w:p w14:paraId="3E011699" w14:textId="02835023"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4ACCCCEA" w14:textId="3779AFB4"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DDE04FA" w14:textId="4D79933B"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971A7BD" w14:textId="11BA46C6"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583CCAFC" w14:textId="1D8A17AB"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2F4410C5" w14:textId="15A22E14"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6CE04B0B"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0F711F3E"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TIAC3971</w:t>
            </w:r>
          </w:p>
        </w:tc>
        <w:tc>
          <w:tcPr>
            <w:tcW w:w="270" w:type="dxa"/>
            <w:tcBorders>
              <w:top w:val="nil"/>
              <w:left w:val="single" w:sz="4" w:space="0" w:color="auto"/>
              <w:bottom w:val="single" w:sz="4" w:space="0" w:color="auto"/>
              <w:right w:val="single" w:sz="4" w:space="0" w:color="auto"/>
            </w:tcBorders>
            <w:shd w:val="clear" w:color="000000" w:fill="A9D08E"/>
            <w:noWrap/>
            <w:vAlign w:val="center"/>
            <w:hideMark/>
          </w:tcPr>
          <w:p w14:paraId="01C83F94" w14:textId="74756677" w:rsidR="004537D3" w:rsidRPr="00025134" w:rsidRDefault="004537D3" w:rsidP="004537D3">
            <w:pPr>
              <w:spacing w:before="0" w:after="0"/>
              <w:jc w:val="center"/>
              <w:rPr>
                <w:rFonts w:eastAsia="Times New Roman" w:cs="Times New Roman"/>
                <w:color w:val="000000"/>
                <w:sz w:val="16"/>
                <w:szCs w:val="16"/>
              </w:rPr>
            </w:pPr>
            <w:r w:rsidRPr="00EB0B6E">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A9D08E"/>
            <w:noWrap/>
            <w:vAlign w:val="center"/>
            <w:hideMark/>
          </w:tcPr>
          <w:p w14:paraId="7A3BD120" w14:textId="62C847F2"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3D2B9F4" w14:textId="1405562D" w:rsidR="004537D3" w:rsidRPr="00025134" w:rsidRDefault="004537D3" w:rsidP="004537D3">
            <w:pPr>
              <w:spacing w:before="0" w:after="0"/>
              <w:jc w:val="center"/>
              <w:rPr>
                <w:rFonts w:eastAsia="Times New Roman" w:cs="Times New Roman"/>
                <w:color w:val="000000"/>
                <w:sz w:val="16"/>
                <w:szCs w:val="16"/>
              </w:rPr>
            </w:pPr>
            <w:r w:rsidRPr="00430CC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634A3D4" w14:textId="2AA7B5AC" w:rsidR="004537D3" w:rsidRPr="00025134" w:rsidRDefault="004537D3" w:rsidP="004537D3">
            <w:pPr>
              <w:spacing w:before="0" w:after="0"/>
              <w:jc w:val="center"/>
              <w:rPr>
                <w:rFonts w:eastAsia="Times New Roman" w:cs="Times New Roman"/>
                <w:color w:val="000000"/>
                <w:sz w:val="16"/>
                <w:szCs w:val="16"/>
              </w:rPr>
            </w:pPr>
            <w:r w:rsidRPr="00430CC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C7DBBDB" w14:textId="0D941A4D" w:rsidR="004537D3" w:rsidRPr="00025134" w:rsidRDefault="004537D3" w:rsidP="004537D3">
            <w:pPr>
              <w:spacing w:before="0" w:after="0"/>
              <w:jc w:val="center"/>
              <w:rPr>
                <w:rFonts w:eastAsia="Times New Roman" w:cs="Times New Roman"/>
                <w:color w:val="000000"/>
                <w:sz w:val="16"/>
                <w:szCs w:val="16"/>
              </w:rPr>
            </w:pPr>
            <w:r w:rsidRPr="00430CC1">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E9C911C" w14:textId="6F0D792E" w:rsidR="004537D3" w:rsidRPr="00025134" w:rsidRDefault="004537D3" w:rsidP="004537D3">
            <w:pPr>
              <w:spacing w:before="0" w:after="0"/>
              <w:jc w:val="center"/>
              <w:rPr>
                <w:rFonts w:eastAsia="Times New Roman" w:cs="Times New Roman"/>
                <w:color w:val="000000"/>
                <w:sz w:val="16"/>
                <w:szCs w:val="16"/>
              </w:rPr>
            </w:pPr>
            <w:r w:rsidRPr="0036360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7779CC4" w14:textId="179E3A1F"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2C5CA85" w14:textId="54BDC575" w:rsidR="004537D3" w:rsidRPr="00025134" w:rsidRDefault="004537D3" w:rsidP="004537D3">
            <w:pPr>
              <w:spacing w:before="0" w:after="0"/>
              <w:jc w:val="center"/>
              <w:rPr>
                <w:rFonts w:eastAsia="Times New Roman" w:cs="Times New Roman"/>
                <w:color w:val="000000"/>
                <w:sz w:val="16"/>
                <w:szCs w:val="16"/>
              </w:rPr>
            </w:pPr>
            <w:r w:rsidRPr="00D1433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8F71672" w14:textId="19002789" w:rsidR="004537D3" w:rsidRPr="00025134" w:rsidRDefault="004537D3" w:rsidP="004537D3">
            <w:pPr>
              <w:spacing w:before="0" w:after="0"/>
              <w:jc w:val="center"/>
              <w:rPr>
                <w:rFonts w:eastAsia="Times New Roman" w:cs="Times New Roman"/>
                <w:color w:val="000000"/>
                <w:sz w:val="16"/>
                <w:szCs w:val="16"/>
              </w:rPr>
            </w:pPr>
            <w:r w:rsidRPr="00D1433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6A251437" w14:textId="0AF77A97"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B85650A" w14:textId="6BADFC36" w:rsidR="004537D3" w:rsidRPr="00025134" w:rsidRDefault="004537D3" w:rsidP="004537D3">
            <w:pPr>
              <w:spacing w:before="0" w:after="0"/>
              <w:jc w:val="center"/>
              <w:rPr>
                <w:rFonts w:eastAsia="Times New Roman" w:cs="Times New Roman"/>
                <w:color w:val="000000"/>
                <w:sz w:val="16"/>
                <w:szCs w:val="16"/>
              </w:rPr>
            </w:pPr>
            <w:r w:rsidRPr="00D618A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781E90E" w14:textId="29951431"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DD68F50" w14:textId="0DEEBBAA"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B449FA4" w14:textId="5A2A440F"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2AD3D88" w14:textId="6BCF5D78"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1B1E5410" w14:textId="513EF7C6"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758BB27D" w14:textId="13D0BC58"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B4B6CF5" w14:textId="1BBDCFC3"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79FBD1B" w14:textId="2DE9B570"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7626A74C" w14:textId="7C588009" w:rsidR="004537D3" w:rsidRPr="00025134" w:rsidRDefault="004537D3" w:rsidP="004537D3">
            <w:pPr>
              <w:spacing w:before="0" w:after="0"/>
              <w:jc w:val="center"/>
              <w:rPr>
                <w:rFonts w:eastAsia="Times New Roman" w:cs="Times New Roman"/>
                <w:color w:val="000000"/>
                <w:sz w:val="16"/>
                <w:szCs w:val="16"/>
              </w:rPr>
            </w:pPr>
            <w:r w:rsidRPr="00823F48">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43ECFD6E" w14:textId="054ECDC0" w:rsidR="004537D3" w:rsidRPr="00025134" w:rsidRDefault="004537D3" w:rsidP="004537D3">
            <w:pPr>
              <w:spacing w:before="0" w:after="0"/>
              <w:jc w:val="center"/>
              <w:rPr>
                <w:rFonts w:eastAsia="Times New Roman" w:cs="Times New Roman"/>
                <w:color w:val="000000"/>
                <w:sz w:val="16"/>
                <w:szCs w:val="16"/>
              </w:rPr>
            </w:pPr>
            <w:r w:rsidRPr="00823F48">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75C3314F" w14:textId="6B4918C4" w:rsidR="004537D3" w:rsidRPr="00025134" w:rsidRDefault="004537D3" w:rsidP="004537D3">
            <w:pPr>
              <w:spacing w:before="0" w:after="0"/>
              <w:jc w:val="center"/>
              <w:rPr>
                <w:rFonts w:eastAsia="Times New Roman" w:cs="Times New Roman"/>
                <w:sz w:val="16"/>
                <w:szCs w:val="16"/>
              </w:rPr>
            </w:pPr>
            <w:r w:rsidRPr="00823F4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5C47A76C" w14:textId="79A05CBD"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43EEC0A9" w14:textId="158D9C60"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3961F8D9" w14:textId="02A5FE39"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E94746B" w14:textId="52565824"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0433A0A" w14:textId="4C122310"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E164D33" w14:textId="3239CBE8" w:rsidR="004537D3" w:rsidRPr="00025134" w:rsidRDefault="004537D3" w:rsidP="004537D3">
            <w:pPr>
              <w:spacing w:before="0" w:after="0"/>
              <w:jc w:val="center"/>
              <w:rPr>
                <w:rFonts w:eastAsia="Times New Roman" w:cs="Times New Roman"/>
                <w:color w:val="000000"/>
                <w:sz w:val="16"/>
                <w:szCs w:val="16"/>
              </w:rPr>
            </w:pPr>
            <w:r w:rsidRPr="009B6385">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489C86E0" w14:textId="55BAC539"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37EF280D" w14:textId="09CE8272"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6DBCF290" w14:textId="77777777" w:rsidTr="004537D3">
        <w:trPr>
          <w:trHeight w:val="288"/>
          <w:jc w:val="center"/>
        </w:trPr>
        <w:tc>
          <w:tcPr>
            <w:tcW w:w="1170" w:type="dxa"/>
            <w:tcBorders>
              <w:top w:val="nil"/>
              <w:left w:val="single" w:sz="4" w:space="0" w:color="auto"/>
              <w:bottom w:val="single" w:sz="4" w:space="0" w:color="auto"/>
              <w:right w:val="single" w:sz="4" w:space="0" w:color="auto"/>
            </w:tcBorders>
            <w:shd w:val="clear" w:color="auto" w:fill="auto"/>
            <w:noWrap/>
            <w:vAlign w:val="center"/>
            <w:hideMark/>
          </w:tcPr>
          <w:p w14:paraId="73ABDA68"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TIAC3972</w:t>
            </w:r>
          </w:p>
        </w:tc>
        <w:tc>
          <w:tcPr>
            <w:tcW w:w="270" w:type="dxa"/>
            <w:tcBorders>
              <w:top w:val="nil"/>
              <w:left w:val="single" w:sz="4" w:space="0" w:color="auto"/>
              <w:bottom w:val="single" w:sz="4" w:space="0" w:color="auto"/>
              <w:right w:val="single" w:sz="4" w:space="0" w:color="auto"/>
            </w:tcBorders>
            <w:shd w:val="clear" w:color="000000" w:fill="FFCCCC"/>
            <w:noWrap/>
            <w:vAlign w:val="center"/>
            <w:hideMark/>
          </w:tcPr>
          <w:p w14:paraId="22E6B9E6" w14:textId="4096CE8D"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876789C" w14:textId="0EE13669"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43FDBA29" w14:textId="237B1971"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7DB874A" w14:textId="79BF8A0B"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A9D08E"/>
            <w:noWrap/>
            <w:vAlign w:val="center"/>
            <w:hideMark/>
          </w:tcPr>
          <w:p w14:paraId="3BE21E44" w14:textId="2B5FA50F"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6CAFDE42" w14:textId="72EED441" w:rsidR="004537D3" w:rsidRPr="00025134" w:rsidRDefault="004537D3" w:rsidP="004537D3">
            <w:pPr>
              <w:spacing w:before="0" w:after="0"/>
              <w:jc w:val="center"/>
              <w:rPr>
                <w:rFonts w:eastAsia="Times New Roman" w:cs="Times New Roman"/>
                <w:color w:val="000000"/>
                <w:sz w:val="16"/>
                <w:szCs w:val="16"/>
              </w:rPr>
            </w:pPr>
            <w:r w:rsidRPr="0036360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1EE75BA" w14:textId="2C28698A"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24271BD7" w14:textId="0F4D0687" w:rsidR="004537D3" w:rsidRPr="00025134" w:rsidRDefault="004537D3" w:rsidP="004537D3">
            <w:pPr>
              <w:spacing w:before="0" w:after="0"/>
              <w:jc w:val="center"/>
              <w:rPr>
                <w:rFonts w:eastAsia="Times New Roman" w:cs="Times New Roman"/>
                <w:color w:val="000000"/>
                <w:sz w:val="16"/>
                <w:szCs w:val="16"/>
              </w:rPr>
            </w:pPr>
            <w:r w:rsidRPr="00D1433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0B63D496" w14:textId="35F978FA" w:rsidR="004537D3" w:rsidRPr="00025134" w:rsidRDefault="004537D3" w:rsidP="004537D3">
            <w:pPr>
              <w:spacing w:before="0" w:after="0"/>
              <w:jc w:val="center"/>
              <w:rPr>
                <w:rFonts w:eastAsia="Times New Roman" w:cs="Times New Roman"/>
                <w:color w:val="000000"/>
                <w:sz w:val="16"/>
                <w:szCs w:val="16"/>
              </w:rPr>
            </w:pPr>
            <w:r w:rsidRPr="00D1433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0FDF2AEE" w14:textId="6DF9B466" w:rsidR="004537D3" w:rsidRPr="00025134" w:rsidRDefault="004537D3" w:rsidP="004537D3">
            <w:pPr>
              <w:spacing w:before="0" w:after="0"/>
              <w:jc w:val="center"/>
              <w:rPr>
                <w:rFonts w:eastAsia="Times New Roman" w:cs="Times New Roman"/>
                <w:color w:val="000000"/>
                <w:sz w:val="16"/>
                <w:szCs w:val="16"/>
              </w:rPr>
            </w:pPr>
            <w:r w:rsidRPr="0050053C">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F7E94EB" w14:textId="0CB1A1BA" w:rsidR="004537D3" w:rsidRPr="00025134" w:rsidRDefault="004537D3" w:rsidP="004537D3">
            <w:pPr>
              <w:spacing w:before="0" w:after="0"/>
              <w:jc w:val="center"/>
              <w:rPr>
                <w:rFonts w:eastAsia="Times New Roman" w:cs="Times New Roman"/>
                <w:color w:val="000000"/>
                <w:sz w:val="16"/>
                <w:szCs w:val="16"/>
              </w:rPr>
            </w:pPr>
            <w:r w:rsidRPr="00D618AB">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623FEDF" w14:textId="573456B1"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DF58276" w14:textId="1AA229CC"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E9AAD59" w14:textId="2281E232"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3EF93049" w14:textId="0D41C579" w:rsidR="004537D3" w:rsidRPr="00025134" w:rsidRDefault="004537D3" w:rsidP="004537D3">
            <w:pPr>
              <w:spacing w:before="0" w:after="0"/>
              <w:jc w:val="center"/>
              <w:rPr>
                <w:rFonts w:eastAsia="Times New Roman" w:cs="Times New Roman"/>
                <w:color w:val="000000"/>
                <w:sz w:val="16"/>
                <w:szCs w:val="16"/>
              </w:rPr>
            </w:pPr>
            <w:r w:rsidRPr="001760A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78BE2B38" w14:textId="372E5FF9" w:rsidR="004537D3" w:rsidRPr="00025134" w:rsidRDefault="004537D3" w:rsidP="004537D3">
            <w:pPr>
              <w:spacing w:before="0" w:after="0"/>
              <w:jc w:val="center"/>
              <w:rPr>
                <w:rFonts w:eastAsia="Times New Roman" w:cs="Times New Roman"/>
                <w:bCs/>
                <w:color w:val="000000"/>
                <w:sz w:val="16"/>
                <w:szCs w:val="16"/>
              </w:rPr>
            </w:pPr>
            <w:r>
              <w:rPr>
                <w:rFonts w:eastAsia="Times New Roman" w:cs="Times New Roman"/>
                <w:color w:val="000000"/>
                <w:sz w:val="16"/>
                <w:szCs w:val="16"/>
              </w:rPr>
              <w:t>1</w:t>
            </w:r>
            <w:r w:rsidRPr="00025134">
              <w:rPr>
                <w:rFonts w:eastAsia="Times New Roman" w:cs="Times New Roman"/>
                <w:bCs/>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328D0738" w14:textId="49D63164"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675ABD31" w14:textId="5BD821DD"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1F18F671" w14:textId="79E2537D"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315" w:type="dxa"/>
            <w:tcBorders>
              <w:top w:val="nil"/>
              <w:left w:val="nil"/>
              <w:bottom w:val="single" w:sz="4" w:space="0" w:color="auto"/>
              <w:right w:val="single" w:sz="4" w:space="0" w:color="auto"/>
            </w:tcBorders>
            <w:shd w:val="clear" w:color="000000" w:fill="FFCCCC"/>
            <w:noWrap/>
            <w:vAlign w:val="center"/>
            <w:hideMark/>
          </w:tcPr>
          <w:p w14:paraId="1BB30746" w14:textId="6A34C3F7" w:rsidR="004537D3" w:rsidRPr="00025134" w:rsidRDefault="004537D3" w:rsidP="004537D3">
            <w:pPr>
              <w:spacing w:before="0" w:after="0"/>
              <w:jc w:val="center"/>
              <w:rPr>
                <w:rFonts w:eastAsia="Times New Roman" w:cs="Times New Roman"/>
                <w:color w:val="000000"/>
                <w:sz w:val="16"/>
                <w:szCs w:val="16"/>
              </w:rPr>
            </w:pPr>
            <w:r w:rsidRPr="00823F48">
              <w:rPr>
                <w:rFonts w:eastAsia="Times New Roman" w:cs="Times New Roman"/>
                <w:color w:val="000000"/>
                <w:sz w:val="16"/>
                <w:szCs w:val="16"/>
              </w:rPr>
              <w:t>0</w:t>
            </w:r>
          </w:p>
        </w:tc>
        <w:tc>
          <w:tcPr>
            <w:tcW w:w="399" w:type="dxa"/>
            <w:tcBorders>
              <w:top w:val="nil"/>
              <w:left w:val="nil"/>
              <w:bottom w:val="single" w:sz="4" w:space="0" w:color="auto"/>
              <w:right w:val="single" w:sz="4" w:space="0" w:color="auto"/>
            </w:tcBorders>
            <w:shd w:val="clear" w:color="auto" w:fill="FFCCCC"/>
            <w:noWrap/>
            <w:vAlign w:val="center"/>
            <w:hideMark/>
          </w:tcPr>
          <w:p w14:paraId="3E2AC113" w14:textId="3B37EB42" w:rsidR="004537D3" w:rsidRPr="00025134" w:rsidRDefault="004537D3" w:rsidP="004537D3">
            <w:pPr>
              <w:spacing w:before="0" w:after="0"/>
              <w:jc w:val="center"/>
              <w:rPr>
                <w:rFonts w:eastAsia="Times New Roman" w:cs="Times New Roman"/>
                <w:color w:val="000000"/>
                <w:sz w:val="16"/>
                <w:szCs w:val="16"/>
              </w:rPr>
            </w:pPr>
            <w:r w:rsidRPr="00823F48">
              <w:rPr>
                <w:rFonts w:eastAsia="Times New Roman" w:cs="Times New Roman"/>
                <w:color w:val="000000"/>
                <w:sz w:val="16"/>
                <w:szCs w:val="16"/>
              </w:rPr>
              <w:t>0</w:t>
            </w:r>
          </w:p>
        </w:tc>
        <w:tc>
          <w:tcPr>
            <w:tcW w:w="276" w:type="dxa"/>
            <w:tcBorders>
              <w:top w:val="nil"/>
              <w:left w:val="nil"/>
              <w:bottom w:val="single" w:sz="4" w:space="0" w:color="auto"/>
              <w:right w:val="single" w:sz="4" w:space="0" w:color="auto"/>
            </w:tcBorders>
            <w:shd w:val="clear" w:color="auto" w:fill="FFCCCC"/>
            <w:noWrap/>
            <w:vAlign w:val="center"/>
            <w:hideMark/>
          </w:tcPr>
          <w:p w14:paraId="093DDC09" w14:textId="6E481694" w:rsidR="004537D3" w:rsidRPr="00025134" w:rsidRDefault="004537D3" w:rsidP="004537D3">
            <w:pPr>
              <w:spacing w:before="0" w:after="0"/>
              <w:jc w:val="center"/>
              <w:rPr>
                <w:rFonts w:eastAsia="Times New Roman" w:cs="Times New Roman"/>
                <w:sz w:val="16"/>
                <w:szCs w:val="16"/>
              </w:rPr>
            </w:pPr>
            <w:r w:rsidRPr="00823F48">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252EE87D" w14:textId="1812A949"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auto" w:fill="A9D08E"/>
            <w:noWrap/>
            <w:vAlign w:val="center"/>
            <w:hideMark/>
          </w:tcPr>
          <w:p w14:paraId="1399C520" w14:textId="2790C685"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nil"/>
              <w:left w:val="nil"/>
              <w:bottom w:val="single" w:sz="4" w:space="0" w:color="auto"/>
              <w:right w:val="single" w:sz="4" w:space="0" w:color="auto"/>
            </w:tcBorders>
            <w:shd w:val="clear" w:color="000000" w:fill="FFCCCC"/>
            <w:noWrap/>
            <w:vAlign w:val="center"/>
            <w:hideMark/>
          </w:tcPr>
          <w:p w14:paraId="0D2C1B91" w14:textId="4C757DF4"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A9D08E"/>
            <w:noWrap/>
            <w:vAlign w:val="center"/>
            <w:hideMark/>
          </w:tcPr>
          <w:p w14:paraId="702A5354" w14:textId="7344D241"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nil"/>
              <w:left w:val="nil"/>
              <w:bottom w:val="single" w:sz="4" w:space="0" w:color="auto"/>
              <w:right w:val="single" w:sz="4" w:space="0" w:color="auto"/>
            </w:tcBorders>
            <w:shd w:val="clear" w:color="000000" w:fill="FFCCCC"/>
            <w:noWrap/>
            <w:vAlign w:val="center"/>
            <w:hideMark/>
          </w:tcPr>
          <w:p w14:paraId="22CBAC90" w14:textId="16EDD500" w:rsidR="004537D3" w:rsidRPr="00025134" w:rsidRDefault="004537D3" w:rsidP="004537D3">
            <w:pPr>
              <w:spacing w:before="0" w:after="0"/>
              <w:jc w:val="center"/>
              <w:rPr>
                <w:rFonts w:eastAsia="Times New Roman" w:cs="Times New Roman"/>
                <w:color w:val="000000"/>
                <w:sz w:val="16"/>
                <w:szCs w:val="16"/>
              </w:rPr>
            </w:pPr>
            <w:r w:rsidRPr="003A777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000000" w:fill="FFCCCC"/>
            <w:noWrap/>
            <w:vAlign w:val="center"/>
            <w:hideMark/>
          </w:tcPr>
          <w:p w14:paraId="7AA7CB47" w14:textId="3D112243" w:rsidR="004537D3" w:rsidRPr="00025134" w:rsidRDefault="004537D3" w:rsidP="004537D3">
            <w:pPr>
              <w:spacing w:before="0" w:after="0"/>
              <w:jc w:val="center"/>
              <w:rPr>
                <w:rFonts w:eastAsia="Times New Roman" w:cs="Times New Roman"/>
                <w:color w:val="000000"/>
                <w:sz w:val="16"/>
                <w:szCs w:val="16"/>
              </w:rPr>
            </w:pPr>
            <w:r w:rsidRPr="003A7770">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122E6120" w14:textId="792D0E32"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nil"/>
              <w:left w:val="nil"/>
              <w:bottom w:val="single" w:sz="4" w:space="0" w:color="auto"/>
              <w:right w:val="single" w:sz="4" w:space="0" w:color="auto"/>
            </w:tcBorders>
            <w:shd w:val="clear" w:color="auto" w:fill="FFCCCC"/>
            <w:noWrap/>
            <w:vAlign w:val="center"/>
            <w:hideMark/>
          </w:tcPr>
          <w:p w14:paraId="1850C5B2" w14:textId="526F0656"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1BD6F230" w14:textId="77777777" w:rsidTr="004537D3">
        <w:trPr>
          <w:trHeight w:val="288"/>
          <w:jc w:val="center"/>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B2614C"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SAMN02391177</w:t>
            </w:r>
          </w:p>
        </w:tc>
        <w:tc>
          <w:tcPr>
            <w:tcW w:w="270" w:type="dxa"/>
            <w:tcBorders>
              <w:top w:val="single" w:sz="4" w:space="0" w:color="auto"/>
              <w:left w:val="single" w:sz="4" w:space="0" w:color="auto"/>
              <w:bottom w:val="single" w:sz="4" w:space="0" w:color="auto"/>
              <w:right w:val="single" w:sz="4" w:space="0" w:color="auto"/>
            </w:tcBorders>
            <w:shd w:val="clear" w:color="000000" w:fill="FFCCCC"/>
            <w:noWrap/>
            <w:vAlign w:val="center"/>
          </w:tcPr>
          <w:p w14:paraId="4A4B5223" w14:textId="747EC166"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469AE507" w14:textId="70F10287"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3F510EFE" w14:textId="448BB7D4"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23B8EAC3" w14:textId="441FD264"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0812EF12" w14:textId="5BA20D16" w:rsidR="004537D3" w:rsidRPr="00025134" w:rsidRDefault="004537D3" w:rsidP="004537D3">
            <w:pPr>
              <w:spacing w:before="0" w:after="0"/>
              <w:jc w:val="center"/>
              <w:rPr>
                <w:rFonts w:eastAsia="Times New Roman" w:cs="Times New Roman"/>
                <w:color w:val="000000"/>
                <w:sz w:val="16"/>
                <w:szCs w:val="16"/>
              </w:rPr>
            </w:pPr>
            <w:r w:rsidRPr="004359A3">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596A29CE" w14:textId="39DF6610" w:rsidR="004537D3" w:rsidRPr="00025134" w:rsidRDefault="004537D3" w:rsidP="004537D3">
            <w:pPr>
              <w:spacing w:before="0" w:after="0"/>
              <w:jc w:val="center"/>
              <w:rPr>
                <w:rFonts w:eastAsia="Times New Roman" w:cs="Times New Roman"/>
                <w:color w:val="000000"/>
                <w:sz w:val="16"/>
                <w:szCs w:val="16"/>
              </w:rPr>
            </w:pPr>
            <w:r w:rsidRPr="00764778">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58D29A60" w14:textId="2565A867"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22794D36" w14:textId="3C33F445" w:rsidR="004537D3" w:rsidRPr="00025134" w:rsidRDefault="004537D3" w:rsidP="004537D3">
            <w:pPr>
              <w:spacing w:before="0" w:after="0"/>
              <w:jc w:val="center"/>
              <w:rPr>
                <w:rFonts w:eastAsia="Times New Roman" w:cs="Times New Roman"/>
                <w:color w:val="000000"/>
                <w:sz w:val="16"/>
                <w:szCs w:val="16"/>
              </w:rPr>
            </w:pPr>
            <w:r w:rsidRPr="00137827">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2293DF85" w14:textId="028C0913"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1DF2AF0F" w14:textId="1F8AAD8F" w:rsidR="004537D3" w:rsidRPr="00025134" w:rsidRDefault="004537D3" w:rsidP="004537D3">
            <w:pPr>
              <w:spacing w:before="0" w:after="0"/>
              <w:jc w:val="center"/>
              <w:rPr>
                <w:rFonts w:eastAsia="Times New Roman" w:cs="Times New Roman"/>
                <w:color w:val="000000"/>
                <w:sz w:val="16"/>
                <w:szCs w:val="16"/>
              </w:rPr>
            </w:pPr>
            <w:r w:rsidRPr="0050053C">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02329FB4" w14:textId="159604A9" w:rsidR="004537D3" w:rsidRPr="00025134" w:rsidRDefault="004537D3" w:rsidP="004537D3">
            <w:pPr>
              <w:spacing w:before="0" w:after="0"/>
              <w:jc w:val="center"/>
              <w:rPr>
                <w:rFonts w:eastAsia="Times New Roman" w:cs="Times New Roman"/>
                <w:color w:val="000000"/>
                <w:sz w:val="16"/>
                <w:szCs w:val="16"/>
              </w:rPr>
            </w:pPr>
            <w:r w:rsidRPr="00D618AB">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6B257A47" w14:textId="4357D879"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17D0F759" w14:textId="1303DC3B"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46ADDDFC" w14:textId="68D8B499"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1729DF6C" w14:textId="569334C5" w:rsidR="004537D3" w:rsidRPr="00025134" w:rsidRDefault="004537D3" w:rsidP="004537D3">
            <w:pPr>
              <w:spacing w:before="0" w:after="0"/>
              <w:jc w:val="center"/>
              <w:rPr>
                <w:rFonts w:eastAsia="Times New Roman" w:cs="Times New Roman"/>
                <w:color w:val="000000"/>
                <w:sz w:val="16"/>
                <w:szCs w:val="16"/>
              </w:rPr>
            </w:pPr>
            <w:r w:rsidRPr="009E01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3C6CE1AA" w14:textId="3C750AD4" w:rsidR="004537D3" w:rsidRPr="00025134" w:rsidRDefault="004537D3" w:rsidP="004537D3">
            <w:pPr>
              <w:spacing w:before="0" w:after="0"/>
              <w:jc w:val="center"/>
              <w:rPr>
                <w:rFonts w:eastAsia="Times New Roman" w:cs="Times New Roman"/>
                <w:bCs/>
                <w:color w:val="000000"/>
                <w:sz w:val="16"/>
                <w:szCs w:val="16"/>
              </w:rPr>
            </w:pPr>
            <w:r w:rsidRPr="009E01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381A0FC6" w14:textId="3931B6B9"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5ADBF0AD" w14:textId="0D97F3B4"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42ACFD35" w14:textId="7AA9DF63" w:rsidR="004537D3" w:rsidRPr="00025134" w:rsidRDefault="004537D3" w:rsidP="004537D3">
            <w:pPr>
              <w:spacing w:before="0" w:after="0"/>
              <w:jc w:val="center"/>
              <w:rPr>
                <w:rFonts w:eastAsia="Times New Roman" w:cs="Times New Roman"/>
                <w:color w:val="000000"/>
                <w:sz w:val="16"/>
                <w:szCs w:val="16"/>
              </w:rPr>
            </w:pPr>
            <w:r w:rsidRPr="008916A4">
              <w:rPr>
                <w:rFonts w:eastAsia="Times New Roman" w:cs="Times New Roman"/>
                <w:color w:val="000000"/>
                <w:sz w:val="16"/>
                <w:szCs w:val="16"/>
              </w:rPr>
              <w:t>0</w:t>
            </w:r>
          </w:p>
        </w:tc>
        <w:tc>
          <w:tcPr>
            <w:tcW w:w="315" w:type="dxa"/>
            <w:tcBorders>
              <w:top w:val="single" w:sz="4" w:space="0" w:color="auto"/>
              <w:left w:val="nil"/>
              <w:bottom w:val="single" w:sz="4" w:space="0" w:color="auto"/>
              <w:right w:val="single" w:sz="4" w:space="0" w:color="auto"/>
            </w:tcBorders>
            <w:shd w:val="clear" w:color="000000" w:fill="FFCCCC"/>
            <w:noWrap/>
            <w:vAlign w:val="center"/>
          </w:tcPr>
          <w:p w14:paraId="017AA45D" w14:textId="46778B78" w:rsidR="004537D3" w:rsidRPr="00025134" w:rsidRDefault="004537D3" w:rsidP="004537D3">
            <w:pPr>
              <w:spacing w:before="0" w:after="0"/>
              <w:jc w:val="center"/>
              <w:rPr>
                <w:rFonts w:eastAsia="Times New Roman" w:cs="Times New Roman"/>
                <w:color w:val="000000"/>
                <w:sz w:val="16"/>
                <w:szCs w:val="16"/>
              </w:rPr>
            </w:pPr>
            <w:r w:rsidRPr="00B843E7">
              <w:rPr>
                <w:rFonts w:eastAsia="Times New Roman" w:cs="Times New Roman"/>
                <w:color w:val="000000"/>
                <w:sz w:val="16"/>
                <w:szCs w:val="16"/>
              </w:rPr>
              <w:t>0</w:t>
            </w:r>
          </w:p>
        </w:tc>
        <w:tc>
          <w:tcPr>
            <w:tcW w:w="399" w:type="dxa"/>
            <w:tcBorders>
              <w:top w:val="single" w:sz="4" w:space="0" w:color="auto"/>
              <w:left w:val="nil"/>
              <w:bottom w:val="single" w:sz="4" w:space="0" w:color="auto"/>
              <w:right w:val="single" w:sz="4" w:space="0" w:color="auto"/>
            </w:tcBorders>
            <w:shd w:val="clear" w:color="auto" w:fill="A9D08E"/>
            <w:noWrap/>
            <w:vAlign w:val="center"/>
          </w:tcPr>
          <w:p w14:paraId="5900298C" w14:textId="6ECFDAAC" w:rsidR="004537D3" w:rsidRPr="00025134" w:rsidRDefault="004537D3" w:rsidP="004537D3">
            <w:pPr>
              <w:spacing w:before="0" w:after="0"/>
              <w:jc w:val="center"/>
              <w:rPr>
                <w:rFonts w:eastAsia="Times New Roman" w:cs="Times New Roman"/>
                <w:color w:val="000000"/>
                <w:sz w:val="16"/>
                <w:szCs w:val="16"/>
              </w:rPr>
            </w:pPr>
            <w:r w:rsidRPr="00414F0E">
              <w:rPr>
                <w:rFonts w:eastAsia="Times New Roman" w:cs="Times New Roman"/>
                <w:color w:val="000000"/>
                <w:sz w:val="16"/>
                <w:szCs w:val="16"/>
              </w:rPr>
              <w:t>1</w:t>
            </w:r>
          </w:p>
        </w:tc>
        <w:tc>
          <w:tcPr>
            <w:tcW w:w="276" w:type="dxa"/>
            <w:tcBorders>
              <w:top w:val="single" w:sz="4" w:space="0" w:color="auto"/>
              <w:left w:val="nil"/>
              <w:bottom w:val="single" w:sz="4" w:space="0" w:color="auto"/>
              <w:right w:val="single" w:sz="4" w:space="0" w:color="auto"/>
            </w:tcBorders>
            <w:shd w:val="clear" w:color="auto" w:fill="FFCCCC"/>
            <w:noWrap/>
            <w:vAlign w:val="center"/>
          </w:tcPr>
          <w:p w14:paraId="7646CEAD" w14:textId="0DD04190" w:rsidR="004537D3" w:rsidRPr="00025134" w:rsidRDefault="004537D3" w:rsidP="004537D3">
            <w:pPr>
              <w:spacing w:before="0" w:after="0"/>
              <w:jc w:val="center"/>
              <w:rPr>
                <w:rFonts w:eastAsia="Times New Roman" w:cs="Times New Roman"/>
                <w:color w:val="000000"/>
                <w:sz w:val="16"/>
                <w:szCs w:val="16"/>
              </w:rPr>
            </w:pPr>
            <w:r w:rsidRPr="000B3620">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1573C0F4" w14:textId="1EF51B48"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14BE1F18" w14:textId="7F722F7D"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5CBB9603" w14:textId="61D2F7B5"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2376D712" w14:textId="03BEC79E"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2125892F" w14:textId="4CD50BC3"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380C9A07" w14:textId="5ACC1335"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567DE318" w14:textId="508682FB"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367E06C8" w14:textId="0852F08E"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1565F3BB" w14:textId="77777777" w:rsidTr="004537D3">
        <w:trPr>
          <w:trHeight w:val="288"/>
          <w:jc w:val="center"/>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15D283"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SAMN02403200</w:t>
            </w:r>
          </w:p>
        </w:tc>
        <w:tc>
          <w:tcPr>
            <w:tcW w:w="270" w:type="dxa"/>
            <w:tcBorders>
              <w:top w:val="single" w:sz="4" w:space="0" w:color="auto"/>
              <w:left w:val="single" w:sz="4" w:space="0" w:color="auto"/>
              <w:bottom w:val="single" w:sz="4" w:space="0" w:color="auto"/>
              <w:right w:val="single" w:sz="4" w:space="0" w:color="auto"/>
            </w:tcBorders>
            <w:shd w:val="clear" w:color="000000" w:fill="FFCCCC"/>
            <w:noWrap/>
            <w:vAlign w:val="center"/>
          </w:tcPr>
          <w:p w14:paraId="0039B27A" w14:textId="3DCE5F84"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40809F5A" w14:textId="68FAF192"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216E1FE8" w14:textId="3F180733"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18CAD1D6" w14:textId="13D70CB0"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37E0CE51" w14:textId="72DCE6FF" w:rsidR="004537D3" w:rsidRPr="00025134" w:rsidRDefault="004537D3" w:rsidP="004537D3">
            <w:pPr>
              <w:spacing w:before="0" w:after="0"/>
              <w:jc w:val="center"/>
              <w:rPr>
                <w:rFonts w:eastAsia="Times New Roman" w:cs="Times New Roman"/>
                <w:color w:val="000000"/>
                <w:sz w:val="16"/>
                <w:szCs w:val="16"/>
              </w:rPr>
            </w:pPr>
            <w:r w:rsidRPr="004359A3">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4657CF85" w14:textId="4A5B49FB" w:rsidR="004537D3" w:rsidRPr="00025134" w:rsidRDefault="004537D3" w:rsidP="004537D3">
            <w:pPr>
              <w:spacing w:before="0" w:after="0"/>
              <w:jc w:val="center"/>
              <w:rPr>
                <w:rFonts w:eastAsia="Times New Roman" w:cs="Times New Roman"/>
                <w:color w:val="000000"/>
                <w:sz w:val="16"/>
                <w:szCs w:val="16"/>
              </w:rPr>
            </w:pPr>
            <w:r w:rsidRPr="00764778">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31C0EFD8" w14:textId="47FA4605"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51BDF2BB" w14:textId="302EDF2C" w:rsidR="004537D3" w:rsidRPr="00025134" w:rsidRDefault="004537D3" w:rsidP="004537D3">
            <w:pPr>
              <w:spacing w:before="0" w:after="0"/>
              <w:jc w:val="center"/>
              <w:rPr>
                <w:rFonts w:eastAsia="Times New Roman" w:cs="Times New Roman"/>
                <w:color w:val="000000"/>
                <w:sz w:val="16"/>
                <w:szCs w:val="16"/>
              </w:rPr>
            </w:pPr>
            <w:r w:rsidRPr="00137827">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7F15D1C9" w14:textId="1C541391"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031E14C5" w14:textId="26310E35" w:rsidR="004537D3" w:rsidRPr="00025134" w:rsidRDefault="004537D3" w:rsidP="004537D3">
            <w:pPr>
              <w:spacing w:before="0" w:after="0"/>
              <w:jc w:val="center"/>
              <w:rPr>
                <w:rFonts w:eastAsia="Times New Roman" w:cs="Times New Roman"/>
                <w:color w:val="000000"/>
                <w:sz w:val="16"/>
                <w:szCs w:val="16"/>
              </w:rPr>
            </w:pPr>
            <w:r w:rsidRPr="0050053C">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340F69B6" w14:textId="373D81B1" w:rsidR="004537D3" w:rsidRPr="00025134" w:rsidRDefault="004537D3" w:rsidP="004537D3">
            <w:pPr>
              <w:spacing w:before="0" w:after="0"/>
              <w:jc w:val="center"/>
              <w:rPr>
                <w:rFonts w:eastAsia="Times New Roman" w:cs="Times New Roman"/>
                <w:color w:val="000000"/>
                <w:sz w:val="16"/>
                <w:szCs w:val="16"/>
              </w:rPr>
            </w:pPr>
            <w:r w:rsidRPr="00D618AB">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4E574209" w14:textId="1C1868B6"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048D38BA" w14:textId="162480A7"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38C5E8CD" w14:textId="5C955082"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1B80C0EA" w14:textId="685C46A0" w:rsidR="004537D3" w:rsidRPr="00025134" w:rsidRDefault="004537D3" w:rsidP="004537D3">
            <w:pPr>
              <w:spacing w:before="0" w:after="0"/>
              <w:jc w:val="center"/>
              <w:rPr>
                <w:rFonts w:eastAsia="Times New Roman" w:cs="Times New Roman"/>
                <w:color w:val="000000"/>
                <w:sz w:val="16"/>
                <w:szCs w:val="16"/>
              </w:rPr>
            </w:pPr>
            <w:r w:rsidRPr="009E01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35758C94" w14:textId="712D4559" w:rsidR="004537D3" w:rsidRPr="00025134" w:rsidRDefault="004537D3" w:rsidP="004537D3">
            <w:pPr>
              <w:spacing w:before="0" w:after="0"/>
              <w:jc w:val="center"/>
              <w:rPr>
                <w:rFonts w:eastAsia="Times New Roman" w:cs="Times New Roman"/>
                <w:bCs/>
                <w:color w:val="000000"/>
                <w:sz w:val="16"/>
                <w:szCs w:val="16"/>
              </w:rPr>
            </w:pPr>
            <w:r w:rsidRPr="009E01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799ECCC0" w14:textId="5A43D6D1" w:rsidR="004537D3" w:rsidRPr="00025134" w:rsidRDefault="004537D3" w:rsidP="004537D3">
            <w:pPr>
              <w:spacing w:before="0" w:after="0"/>
              <w:jc w:val="center"/>
              <w:rPr>
                <w:rFonts w:eastAsia="Times New Roman" w:cs="Times New Roman"/>
                <w:color w:val="000000"/>
                <w:sz w:val="16"/>
                <w:szCs w:val="16"/>
              </w:rPr>
            </w:pPr>
            <w:r w:rsidRPr="0065781F">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5C21CA6C" w14:textId="7794FDC5" w:rsidR="004537D3" w:rsidRPr="00025134" w:rsidRDefault="004537D3" w:rsidP="004537D3">
            <w:pPr>
              <w:spacing w:before="0" w:after="0"/>
              <w:jc w:val="center"/>
              <w:rPr>
                <w:rFonts w:eastAsia="Times New Roman" w:cs="Times New Roman"/>
                <w:color w:val="000000"/>
                <w:sz w:val="16"/>
                <w:szCs w:val="16"/>
              </w:rPr>
            </w:pPr>
            <w:r w:rsidRPr="0065781F">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175F8800" w14:textId="29D85359" w:rsidR="004537D3" w:rsidRPr="00025134" w:rsidRDefault="004537D3" w:rsidP="004537D3">
            <w:pPr>
              <w:spacing w:before="0" w:after="0"/>
              <w:jc w:val="center"/>
              <w:rPr>
                <w:rFonts w:eastAsia="Times New Roman" w:cs="Times New Roman"/>
                <w:color w:val="000000"/>
                <w:sz w:val="16"/>
                <w:szCs w:val="16"/>
              </w:rPr>
            </w:pPr>
            <w:r w:rsidRPr="0065781F">
              <w:rPr>
                <w:rFonts w:eastAsia="Times New Roman" w:cs="Times New Roman"/>
                <w:color w:val="000000"/>
                <w:sz w:val="16"/>
                <w:szCs w:val="16"/>
              </w:rPr>
              <w:t>1</w:t>
            </w:r>
          </w:p>
        </w:tc>
        <w:tc>
          <w:tcPr>
            <w:tcW w:w="315" w:type="dxa"/>
            <w:tcBorders>
              <w:top w:val="single" w:sz="4" w:space="0" w:color="auto"/>
              <w:left w:val="nil"/>
              <w:bottom w:val="single" w:sz="4" w:space="0" w:color="auto"/>
              <w:right w:val="single" w:sz="4" w:space="0" w:color="auto"/>
            </w:tcBorders>
            <w:shd w:val="clear" w:color="000000" w:fill="FFCCCC"/>
            <w:noWrap/>
            <w:vAlign w:val="center"/>
          </w:tcPr>
          <w:p w14:paraId="46F117A8" w14:textId="732E5A46" w:rsidR="004537D3" w:rsidRPr="00025134" w:rsidRDefault="004537D3" w:rsidP="004537D3">
            <w:pPr>
              <w:spacing w:before="0" w:after="0"/>
              <w:jc w:val="center"/>
              <w:rPr>
                <w:rFonts w:eastAsia="Times New Roman" w:cs="Times New Roman"/>
                <w:color w:val="000000"/>
                <w:sz w:val="16"/>
                <w:szCs w:val="16"/>
              </w:rPr>
            </w:pPr>
            <w:r w:rsidRPr="00B843E7">
              <w:rPr>
                <w:rFonts w:eastAsia="Times New Roman" w:cs="Times New Roman"/>
                <w:color w:val="000000"/>
                <w:sz w:val="16"/>
                <w:szCs w:val="16"/>
              </w:rPr>
              <w:t>0</w:t>
            </w:r>
          </w:p>
        </w:tc>
        <w:tc>
          <w:tcPr>
            <w:tcW w:w="399" w:type="dxa"/>
            <w:tcBorders>
              <w:top w:val="single" w:sz="4" w:space="0" w:color="auto"/>
              <w:left w:val="nil"/>
              <w:bottom w:val="single" w:sz="4" w:space="0" w:color="auto"/>
              <w:right w:val="single" w:sz="4" w:space="0" w:color="auto"/>
            </w:tcBorders>
            <w:shd w:val="clear" w:color="auto" w:fill="A9D08E"/>
            <w:noWrap/>
            <w:vAlign w:val="center"/>
          </w:tcPr>
          <w:p w14:paraId="2A254F97" w14:textId="3704F4A4" w:rsidR="004537D3" w:rsidRPr="00025134" w:rsidRDefault="004537D3" w:rsidP="004537D3">
            <w:pPr>
              <w:spacing w:before="0" w:after="0"/>
              <w:jc w:val="center"/>
              <w:rPr>
                <w:rFonts w:eastAsia="Times New Roman" w:cs="Times New Roman"/>
                <w:color w:val="000000"/>
                <w:sz w:val="16"/>
                <w:szCs w:val="16"/>
              </w:rPr>
            </w:pPr>
            <w:r w:rsidRPr="00414F0E">
              <w:rPr>
                <w:rFonts w:eastAsia="Times New Roman" w:cs="Times New Roman"/>
                <w:color w:val="000000"/>
                <w:sz w:val="16"/>
                <w:szCs w:val="16"/>
              </w:rPr>
              <w:t>1</w:t>
            </w:r>
          </w:p>
        </w:tc>
        <w:tc>
          <w:tcPr>
            <w:tcW w:w="276" w:type="dxa"/>
            <w:tcBorders>
              <w:top w:val="single" w:sz="4" w:space="0" w:color="auto"/>
              <w:left w:val="nil"/>
              <w:bottom w:val="single" w:sz="4" w:space="0" w:color="auto"/>
              <w:right w:val="single" w:sz="4" w:space="0" w:color="auto"/>
            </w:tcBorders>
            <w:shd w:val="clear" w:color="auto" w:fill="FFCCCC"/>
            <w:noWrap/>
            <w:vAlign w:val="center"/>
          </w:tcPr>
          <w:p w14:paraId="746B193C" w14:textId="096FEBC3" w:rsidR="004537D3" w:rsidRPr="00025134" w:rsidRDefault="004537D3" w:rsidP="004537D3">
            <w:pPr>
              <w:spacing w:before="0" w:after="0"/>
              <w:jc w:val="center"/>
              <w:rPr>
                <w:rFonts w:eastAsia="Times New Roman" w:cs="Times New Roman"/>
                <w:color w:val="000000"/>
                <w:sz w:val="16"/>
                <w:szCs w:val="16"/>
              </w:rPr>
            </w:pPr>
            <w:r w:rsidRPr="000B3620">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4BB41AA4" w14:textId="3C2450C1"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576EEB8E" w14:textId="4E57C7DC"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554F8897" w14:textId="5E69FC09"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6737F92C" w14:textId="700E3B55"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695EF189" w14:textId="43E8B958"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7A650BD4" w14:textId="79486840"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1183B5E9" w14:textId="535BC9E6"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04E662B9" w14:textId="70E32CDB"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r w:rsidR="004537D3" w:rsidRPr="00025134" w14:paraId="4C7D29AE" w14:textId="77777777" w:rsidTr="004537D3">
        <w:trPr>
          <w:trHeight w:val="288"/>
          <w:jc w:val="center"/>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43F9F8" w14:textId="77777777" w:rsidR="004537D3" w:rsidRPr="00025134" w:rsidRDefault="004537D3" w:rsidP="004537D3">
            <w:pPr>
              <w:spacing w:before="0" w:after="0"/>
              <w:jc w:val="center"/>
              <w:rPr>
                <w:rFonts w:eastAsia="Times New Roman" w:cs="Times New Roman"/>
                <w:color w:val="000000"/>
                <w:sz w:val="16"/>
                <w:szCs w:val="16"/>
              </w:rPr>
            </w:pPr>
            <w:r w:rsidRPr="00025134">
              <w:rPr>
                <w:rFonts w:eastAsia="Times New Roman" w:cs="Times New Roman"/>
                <w:color w:val="000000"/>
                <w:sz w:val="16"/>
                <w:szCs w:val="16"/>
              </w:rPr>
              <w:t>SAMN13134218</w:t>
            </w:r>
          </w:p>
        </w:tc>
        <w:tc>
          <w:tcPr>
            <w:tcW w:w="270" w:type="dxa"/>
            <w:tcBorders>
              <w:top w:val="single" w:sz="4" w:space="0" w:color="auto"/>
              <w:left w:val="single" w:sz="4" w:space="0" w:color="auto"/>
              <w:bottom w:val="single" w:sz="4" w:space="0" w:color="auto"/>
              <w:right w:val="single" w:sz="4" w:space="0" w:color="auto"/>
            </w:tcBorders>
            <w:shd w:val="clear" w:color="000000" w:fill="FFCCCC"/>
            <w:noWrap/>
            <w:vAlign w:val="center"/>
          </w:tcPr>
          <w:p w14:paraId="61D958F0" w14:textId="31330F5D"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6A35D1B8" w14:textId="7E126A0B"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2DBB6B38" w14:textId="17D8F86F"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0A0D01FD" w14:textId="3C0E84EB" w:rsidR="004537D3" w:rsidRPr="00025134" w:rsidRDefault="004537D3" w:rsidP="004537D3">
            <w:pPr>
              <w:spacing w:before="0" w:after="0"/>
              <w:jc w:val="center"/>
              <w:rPr>
                <w:rFonts w:eastAsia="Times New Roman" w:cs="Times New Roman"/>
                <w:color w:val="000000"/>
                <w:sz w:val="16"/>
                <w:szCs w:val="16"/>
              </w:rPr>
            </w:pPr>
            <w:r w:rsidRPr="00C77682">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3011F4B1" w14:textId="1F96B4F5" w:rsidR="004537D3" w:rsidRPr="00025134" w:rsidRDefault="004537D3" w:rsidP="004537D3">
            <w:pPr>
              <w:spacing w:before="0" w:after="0"/>
              <w:jc w:val="center"/>
              <w:rPr>
                <w:rFonts w:eastAsia="Times New Roman" w:cs="Times New Roman"/>
                <w:color w:val="000000"/>
                <w:sz w:val="16"/>
                <w:szCs w:val="16"/>
              </w:rPr>
            </w:pPr>
            <w:r w:rsidRPr="004359A3">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3BE50377" w14:textId="2B31F7AE" w:rsidR="004537D3" w:rsidRPr="00025134" w:rsidRDefault="004537D3" w:rsidP="004537D3">
            <w:pPr>
              <w:spacing w:before="0" w:after="0"/>
              <w:jc w:val="center"/>
              <w:rPr>
                <w:rFonts w:eastAsia="Times New Roman" w:cs="Times New Roman"/>
                <w:color w:val="000000"/>
                <w:sz w:val="16"/>
                <w:szCs w:val="16"/>
              </w:rPr>
            </w:pPr>
            <w:r w:rsidRPr="00764778">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5BC2CBEA" w14:textId="675CF60C" w:rsidR="004537D3" w:rsidRPr="00025134" w:rsidRDefault="004537D3" w:rsidP="004537D3">
            <w:pPr>
              <w:spacing w:before="0" w:after="0"/>
              <w:jc w:val="center"/>
              <w:rPr>
                <w:rFonts w:eastAsia="Times New Roman" w:cs="Times New Roman"/>
                <w:color w:val="000000"/>
                <w:sz w:val="16"/>
                <w:szCs w:val="16"/>
              </w:rPr>
            </w:pPr>
            <w:r w:rsidRPr="004C66E7">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5B15A81F" w14:textId="1134683D" w:rsidR="004537D3" w:rsidRPr="00025134" w:rsidRDefault="004537D3" w:rsidP="004537D3">
            <w:pPr>
              <w:spacing w:before="0" w:after="0"/>
              <w:jc w:val="center"/>
              <w:rPr>
                <w:rFonts w:eastAsia="Times New Roman" w:cs="Times New Roman"/>
                <w:color w:val="000000"/>
                <w:sz w:val="16"/>
                <w:szCs w:val="16"/>
              </w:rPr>
            </w:pPr>
            <w:r w:rsidRPr="00137827">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68DF9E7A" w14:textId="5A2DF5B9"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65CF99C4" w14:textId="42FAD721" w:rsidR="004537D3" w:rsidRPr="00025134" w:rsidRDefault="004537D3" w:rsidP="004537D3">
            <w:pPr>
              <w:spacing w:before="0" w:after="0"/>
              <w:jc w:val="center"/>
              <w:rPr>
                <w:rFonts w:eastAsia="Times New Roman" w:cs="Times New Roman"/>
                <w:color w:val="000000"/>
                <w:sz w:val="16"/>
                <w:szCs w:val="16"/>
              </w:rPr>
            </w:pPr>
            <w:r w:rsidRPr="0050053C">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684AE02C" w14:textId="4DA522EA" w:rsidR="004537D3" w:rsidRPr="00025134" w:rsidRDefault="004537D3" w:rsidP="004537D3">
            <w:pPr>
              <w:spacing w:before="0" w:after="0"/>
              <w:jc w:val="center"/>
              <w:rPr>
                <w:rFonts w:eastAsia="Times New Roman" w:cs="Times New Roman"/>
                <w:color w:val="000000"/>
                <w:sz w:val="16"/>
                <w:szCs w:val="16"/>
              </w:rPr>
            </w:pPr>
            <w:r w:rsidRPr="00D618AB">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1B86EE60" w14:textId="6F75BDEB"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22738C0E" w14:textId="11684982"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45D0AAE2" w14:textId="673E7FE3" w:rsidR="004537D3" w:rsidRPr="00025134" w:rsidRDefault="004537D3" w:rsidP="004537D3">
            <w:pPr>
              <w:spacing w:before="0" w:after="0"/>
              <w:jc w:val="center"/>
              <w:rPr>
                <w:rFonts w:eastAsia="Times New Roman" w:cs="Times New Roman"/>
                <w:color w:val="000000"/>
                <w:sz w:val="16"/>
                <w:szCs w:val="16"/>
              </w:rPr>
            </w:pPr>
            <w:r w:rsidRPr="00BB3039">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713889F9" w14:textId="370E58E5" w:rsidR="004537D3" w:rsidRPr="00025134" w:rsidRDefault="004537D3" w:rsidP="004537D3">
            <w:pPr>
              <w:spacing w:before="0" w:after="0"/>
              <w:jc w:val="center"/>
              <w:rPr>
                <w:rFonts w:eastAsia="Times New Roman" w:cs="Times New Roman"/>
                <w:color w:val="000000"/>
                <w:sz w:val="16"/>
                <w:szCs w:val="16"/>
              </w:rPr>
            </w:pPr>
            <w:r w:rsidRPr="009E01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2112088D" w14:textId="70CA5B78" w:rsidR="004537D3" w:rsidRPr="00025134" w:rsidRDefault="004537D3" w:rsidP="004537D3">
            <w:pPr>
              <w:spacing w:before="0" w:after="0"/>
              <w:jc w:val="center"/>
              <w:rPr>
                <w:rFonts w:eastAsia="Times New Roman" w:cs="Times New Roman"/>
                <w:bCs/>
                <w:color w:val="000000"/>
                <w:sz w:val="16"/>
                <w:szCs w:val="16"/>
              </w:rPr>
            </w:pPr>
            <w:r w:rsidRPr="009E01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4BDEBCB3" w14:textId="48A37AE2" w:rsidR="004537D3" w:rsidRPr="00025134" w:rsidRDefault="004537D3" w:rsidP="004537D3">
            <w:pPr>
              <w:spacing w:before="0" w:after="0"/>
              <w:jc w:val="center"/>
              <w:rPr>
                <w:rFonts w:eastAsia="Times New Roman" w:cs="Times New Roman"/>
                <w:color w:val="000000"/>
                <w:sz w:val="16"/>
                <w:szCs w:val="16"/>
              </w:rPr>
            </w:pPr>
            <w:r w:rsidRPr="009D29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3AF9F0B3" w14:textId="42AE1B06" w:rsidR="004537D3" w:rsidRPr="00025134" w:rsidRDefault="004537D3" w:rsidP="004537D3">
            <w:pPr>
              <w:spacing w:before="0" w:after="0"/>
              <w:jc w:val="center"/>
              <w:rPr>
                <w:rFonts w:eastAsia="Times New Roman" w:cs="Times New Roman"/>
                <w:color w:val="000000"/>
                <w:sz w:val="16"/>
                <w:szCs w:val="16"/>
              </w:rPr>
            </w:pPr>
            <w:r w:rsidRPr="009D2954">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2193DC6B" w14:textId="2C4F96BD" w:rsidR="004537D3" w:rsidRPr="00025134" w:rsidRDefault="004537D3" w:rsidP="004537D3">
            <w:pPr>
              <w:spacing w:before="0" w:after="0"/>
              <w:jc w:val="center"/>
              <w:rPr>
                <w:rFonts w:eastAsia="Times New Roman" w:cs="Times New Roman"/>
                <w:color w:val="000000"/>
                <w:sz w:val="16"/>
                <w:szCs w:val="16"/>
              </w:rPr>
            </w:pPr>
            <w:r w:rsidRPr="009D2954">
              <w:rPr>
                <w:rFonts w:eastAsia="Times New Roman" w:cs="Times New Roman"/>
                <w:color w:val="000000"/>
                <w:sz w:val="16"/>
                <w:szCs w:val="16"/>
              </w:rPr>
              <w:t>0</w:t>
            </w:r>
          </w:p>
        </w:tc>
        <w:tc>
          <w:tcPr>
            <w:tcW w:w="315" w:type="dxa"/>
            <w:tcBorders>
              <w:top w:val="single" w:sz="4" w:space="0" w:color="auto"/>
              <w:left w:val="nil"/>
              <w:bottom w:val="single" w:sz="4" w:space="0" w:color="auto"/>
              <w:right w:val="single" w:sz="4" w:space="0" w:color="auto"/>
            </w:tcBorders>
            <w:shd w:val="clear" w:color="auto" w:fill="A9D08E"/>
            <w:noWrap/>
            <w:vAlign w:val="center"/>
          </w:tcPr>
          <w:p w14:paraId="407BC319" w14:textId="22B8CA0C"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p>
        </w:tc>
        <w:tc>
          <w:tcPr>
            <w:tcW w:w="399" w:type="dxa"/>
            <w:tcBorders>
              <w:top w:val="single" w:sz="4" w:space="0" w:color="auto"/>
              <w:left w:val="nil"/>
              <w:bottom w:val="single" w:sz="4" w:space="0" w:color="auto"/>
              <w:right w:val="single" w:sz="4" w:space="0" w:color="auto"/>
            </w:tcBorders>
            <w:shd w:val="clear" w:color="auto" w:fill="FFCCCC"/>
            <w:noWrap/>
            <w:vAlign w:val="center"/>
          </w:tcPr>
          <w:p w14:paraId="66F861D5" w14:textId="6EF281D5"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0</w:t>
            </w:r>
          </w:p>
        </w:tc>
        <w:tc>
          <w:tcPr>
            <w:tcW w:w="276" w:type="dxa"/>
            <w:tcBorders>
              <w:top w:val="single" w:sz="4" w:space="0" w:color="auto"/>
              <w:left w:val="nil"/>
              <w:bottom w:val="single" w:sz="4" w:space="0" w:color="auto"/>
              <w:right w:val="single" w:sz="4" w:space="0" w:color="auto"/>
            </w:tcBorders>
            <w:shd w:val="clear" w:color="auto" w:fill="FFCCCC"/>
            <w:noWrap/>
            <w:vAlign w:val="center"/>
          </w:tcPr>
          <w:p w14:paraId="61CE1AB8" w14:textId="25B43F07" w:rsidR="004537D3" w:rsidRPr="00025134" w:rsidRDefault="004537D3" w:rsidP="004537D3">
            <w:pPr>
              <w:spacing w:before="0" w:after="0"/>
              <w:jc w:val="center"/>
              <w:rPr>
                <w:rFonts w:eastAsia="Times New Roman" w:cs="Times New Roman"/>
                <w:color w:val="000000"/>
                <w:sz w:val="16"/>
                <w:szCs w:val="16"/>
              </w:rPr>
            </w:pPr>
            <w:r w:rsidRPr="000B3620">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3AE3E5BA" w14:textId="583ACD69" w:rsidR="004537D3" w:rsidRPr="00025134" w:rsidRDefault="004537D3" w:rsidP="004537D3">
            <w:pPr>
              <w:spacing w:before="0" w:after="0"/>
              <w:jc w:val="center"/>
              <w:rPr>
                <w:rFonts w:eastAsia="Times New Roman" w:cs="Times New Roman"/>
                <w:color w:val="000000"/>
                <w:sz w:val="16"/>
                <w:szCs w:val="16"/>
              </w:rPr>
            </w:pPr>
            <w:r w:rsidRPr="003B4FD8">
              <w:rPr>
                <w:rFonts w:eastAsia="Times New Roman" w:cs="Times New Roman"/>
                <w:color w:val="000000"/>
                <w:sz w:val="16"/>
                <w:szCs w:val="16"/>
              </w:rPr>
              <w:t>1</w:t>
            </w:r>
          </w:p>
        </w:tc>
        <w:tc>
          <w:tcPr>
            <w:tcW w:w="270" w:type="dxa"/>
            <w:tcBorders>
              <w:top w:val="single" w:sz="4" w:space="0" w:color="auto"/>
              <w:left w:val="nil"/>
              <w:bottom w:val="single" w:sz="4" w:space="0" w:color="auto"/>
              <w:right w:val="single" w:sz="4" w:space="0" w:color="auto"/>
            </w:tcBorders>
            <w:shd w:val="clear" w:color="auto" w:fill="A9D08E"/>
            <w:noWrap/>
            <w:vAlign w:val="center"/>
          </w:tcPr>
          <w:p w14:paraId="53F0E517" w14:textId="556A6784" w:rsidR="004537D3" w:rsidRPr="00025134" w:rsidRDefault="004537D3" w:rsidP="004537D3">
            <w:pPr>
              <w:spacing w:before="0" w:after="0"/>
              <w:jc w:val="center"/>
              <w:rPr>
                <w:rFonts w:eastAsia="Times New Roman" w:cs="Times New Roman"/>
                <w:color w:val="000000"/>
                <w:sz w:val="16"/>
                <w:szCs w:val="16"/>
              </w:rPr>
            </w:pPr>
            <w:r>
              <w:rPr>
                <w:rFonts w:eastAsia="Times New Roman" w:cs="Times New Roman"/>
                <w:color w:val="000000"/>
                <w:sz w:val="16"/>
                <w:szCs w:val="16"/>
              </w:rPr>
              <w:t>1</w:t>
            </w:r>
            <w:r w:rsidRPr="00025134">
              <w:rPr>
                <w:rFonts w:eastAsia="Times New Roman" w:cs="Times New Roman"/>
                <w:color w:val="000000"/>
                <w:sz w:val="16"/>
                <w:szCs w:val="16"/>
              </w:rPr>
              <w:t>**</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5B9178FF" w14:textId="22F6C5C7"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76DBC013" w14:textId="6D071620"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67649941" w14:textId="521B3837"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000000" w:fill="FFCCCC"/>
            <w:noWrap/>
            <w:vAlign w:val="center"/>
          </w:tcPr>
          <w:p w14:paraId="1958324D" w14:textId="69D44A05" w:rsidR="004537D3" w:rsidRPr="00025134" w:rsidRDefault="004537D3" w:rsidP="004537D3">
            <w:pPr>
              <w:spacing w:before="0" w:after="0"/>
              <w:jc w:val="center"/>
              <w:rPr>
                <w:rFonts w:eastAsia="Times New Roman" w:cs="Times New Roman"/>
                <w:color w:val="000000"/>
                <w:sz w:val="16"/>
                <w:szCs w:val="16"/>
              </w:rPr>
            </w:pPr>
            <w:r w:rsidRPr="004D025F">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678E65B9" w14:textId="035D59EB"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c>
          <w:tcPr>
            <w:tcW w:w="270" w:type="dxa"/>
            <w:tcBorders>
              <w:top w:val="single" w:sz="4" w:space="0" w:color="auto"/>
              <w:left w:val="nil"/>
              <w:bottom w:val="single" w:sz="4" w:space="0" w:color="auto"/>
              <w:right w:val="single" w:sz="4" w:space="0" w:color="auto"/>
            </w:tcBorders>
            <w:shd w:val="clear" w:color="auto" w:fill="FFCCCC"/>
            <w:noWrap/>
            <w:vAlign w:val="center"/>
          </w:tcPr>
          <w:p w14:paraId="5CE15B6C" w14:textId="563CD361" w:rsidR="004537D3" w:rsidRPr="00025134" w:rsidRDefault="004537D3" w:rsidP="004537D3">
            <w:pPr>
              <w:spacing w:before="0" w:after="0"/>
              <w:jc w:val="center"/>
              <w:rPr>
                <w:rFonts w:eastAsia="Times New Roman" w:cs="Times New Roman"/>
                <w:color w:val="000000"/>
                <w:sz w:val="16"/>
                <w:szCs w:val="16"/>
              </w:rPr>
            </w:pPr>
            <w:r w:rsidRPr="002F248D">
              <w:rPr>
                <w:rFonts w:eastAsia="Times New Roman" w:cs="Times New Roman"/>
                <w:color w:val="000000"/>
                <w:sz w:val="16"/>
                <w:szCs w:val="16"/>
              </w:rPr>
              <w:t>0</w:t>
            </w:r>
          </w:p>
        </w:tc>
      </w:tr>
    </w:tbl>
    <w:p w14:paraId="108F13FC" w14:textId="0DCE4042" w:rsidR="004C7CCB" w:rsidRDefault="00025134" w:rsidP="00025134">
      <w:pPr>
        <w:pStyle w:val="NoSpacing"/>
        <w:jc w:val="both"/>
      </w:pPr>
      <w:r>
        <w:t xml:space="preserve">The table shows the </w:t>
      </w:r>
      <w:r w:rsidRPr="00025134">
        <w:rPr>
          <w:i/>
        </w:rPr>
        <w:t>se</w:t>
      </w:r>
      <w:r>
        <w:t xml:space="preserve"> gene profiles determined based on </w:t>
      </w:r>
      <w:r w:rsidRPr="00025134">
        <w:rPr>
          <w:i/>
        </w:rPr>
        <w:t>in silico</w:t>
      </w:r>
      <w:r>
        <w:t xml:space="preserve"> PCR using all specific primer pairs described in literature (Supplementary table S1), and the amplicon alignment results to distinguish between </w:t>
      </w:r>
      <w:r w:rsidRPr="00025134">
        <w:rPr>
          <w:i/>
        </w:rPr>
        <w:t>selu</w:t>
      </w:r>
      <w:r>
        <w:t xml:space="preserve">, </w:t>
      </w:r>
      <w:r w:rsidRPr="00025134">
        <w:rPr>
          <w:i/>
        </w:rPr>
        <w:t>selu2</w:t>
      </w:r>
      <w:r>
        <w:t xml:space="preserve"> and the pseudogenes </w:t>
      </w:r>
      <w:r w:rsidRPr="00025134">
        <w:rPr>
          <w:i/>
        </w:rPr>
        <w:t>Ψent1</w:t>
      </w:r>
      <w:r>
        <w:t xml:space="preserve"> and </w:t>
      </w:r>
      <w:r w:rsidRPr="00025134">
        <w:rPr>
          <w:i/>
        </w:rPr>
        <w:t>Ψent2</w:t>
      </w:r>
      <w:r>
        <w:t xml:space="preserve">. Gene presence is indicated with </w:t>
      </w:r>
      <w:r w:rsidR="004537D3">
        <w:t xml:space="preserve">‘1’ in </w:t>
      </w:r>
      <w:r>
        <w:t xml:space="preserve">a green box, absence with </w:t>
      </w:r>
      <w:r w:rsidR="004537D3">
        <w:t xml:space="preserve">‘0’ in </w:t>
      </w:r>
      <w:r>
        <w:t>a pink box, as determined by all gene-specific primer pairs.</w:t>
      </w:r>
      <w:r w:rsidR="0049264C">
        <w:t xml:space="preserve"> </w:t>
      </w:r>
      <w:r>
        <w:t xml:space="preserve">*Not all gene-specific primer pairs (i.e. primer pairs with names as referred to in Supplementary Table S1: sec-3, sec-5 sec-10 and sec-12; and seg-2, seg-7, seg-8, seg-9 and seg-10) led to an </w:t>
      </w:r>
      <w:r w:rsidRPr="00025134">
        <w:rPr>
          <w:i/>
        </w:rPr>
        <w:t>in silico</w:t>
      </w:r>
      <w:r>
        <w:t xml:space="preserve"> PCR product because of assembly fragmentation.</w:t>
      </w:r>
      <w:r w:rsidR="0049264C">
        <w:t xml:space="preserve"> </w:t>
      </w:r>
      <w:r>
        <w:t xml:space="preserve">**Not all gene-specific primer pairs (i.e. primer pairs with names as referred to in Supplementary Table S1: sem-1 and sem-3; seo-1 and seo-2; seq-6; selx-1 and selx-3) led to an </w:t>
      </w:r>
      <w:r w:rsidRPr="00025134">
        <w:rPr>
          <w:i/>
        </w:rPr>
        <w:t>in silico</w:t>
      </w:r>
      <w:r>
        <w:t xml:space="preserve"> PCR product because of nucleotide variation within the primer binding sides, higher than accepted by the preset criteria (indicated in yellow in Supplementary Table S1).</w:t>
      </w:r>
    </w:p>
    <w:p w14:paraId="48D9DDBB" w14:textId="149747D7" w:rsidR="0049264C" w:rsidRDefault="0049264C" w:rsidP="00025134">
      <w:pPr>
        <w:pStyle w:val="NoSpacing"/>
        <w:jc w:val="both"/>
      </w:pPr>
    </w:p>
    <w:p w14:paraId="0AABD1C9" w14:textId="6F80725B" w:rsidR="009E0F3F" w:rsidRDefault="009E0F3F" w:rsidP="009E0F3F">
      <w:pPr>
        <w:pStyle w:val="Caption"/>
      </w:pPr>
      <w:r>
        <w:t xml:space="preserve">Table </w:t>
      </w:r>
      <w:r w:rsidR="009F0A18">
        <w:t>S7</w:t>
      </w:r>
      <w:r>
        <w:t>. NCBI SRA accession numbers of WGS data of all isolates on BioProject ID PRJNA750393</w:t>
      </w:r>
    </w:p>
    <w:tbl>
      <w:tblPr>
        <w:tblStyle w:val="TableGrid"/>
        <w:tblW w:w="0" w:type="auto"/>
        <w:tblLook w:val="04A0" w:firstRow="1" w:lastRow="0" w:firstColumn="1" w:lastColumn="0" w:noHBand="0" w:noVBand="1"/>
      </w:tblPr>
      <w:tblGrid>
        <w:gridCol w:w="4883"/>
        <w:gridCol w:w="4884"/>
      </w:tblGrid>
      <w:tr w:rsidR="009E0F3F" w14:paraId="614C99DC" w14:textId="77777777" w:rsidTr="009E0F3F">
        <w:tc>
          <w:tcPr>
            <w:tcW w:w="4883" w:type="dxa"/>
          </w:tcPr>
          <w:p w14:paraId="1AF76C5F" w14:textId="0FBF09C9" w:rsidR="009E0F3F" w:rsidRPr="009E0F3F" w:rsidRDefault="009E0F3F" w:rsidP="009E0F3F">
            <w:pPr>
              <w:pStyle w:val="NoSpacing"/>
              <w:jc w:val="center"/>
              <w:rPr>
                <w:rFonts w:cs="Times New Roman"/>
                <w:b/>
              </w:rPr>
            </w:pPr>
            <w:r w:rsidRPr="009E0F3F">
              <w:rPr>
                <w:rFonts w:cs="Times New Roman"/>
                <w:b/>
              </w:rPr>
              <w:t>Isolate Name</w:t>
            </w:r>
          </w:p>
        </w:tc>
        <w:tc>
          <w:tcPr>
            <w:tcW w:w="4884" w:type="dxa"/>
          </w:tcPr>
          <w:p w14:paraId="21053EF2" w14:textId="3BB7FB86" w:rsidR="009E0F3F" w:rsidRPr="009E0F3F" w:rsidRDefault="009E0F3F" w:rsidP="009E0F3F">
            <w:pPr>
              <w:pStyle w:val="NoSpacing"/>
              <w:jc w:val="center"/>
              <w:rPr>
                <w:rFonts w:cs="Times New Roman"/>
                <w:b/>
              </w:rPr>
            </w:pPr>
            <w:r w:rsidRPr="009E0F3F">
              <w:rPr>
                <w:rFonts w:cs="Times New Roman"/>
                <w:b/>
              </w:rPr>
              <w:t>Accession number</w:t>
            </w:r>
          </w:p>
        </w:tc>
      </w:tr>
      <w:tr w:rsidR="009E0F3F" w14:paraId="6D54DB9A" w14:textId="77777777" w:rsidTr="00993524">
        <w:tc>
          <w:tcPr>
            <w:tcW w:w="4883" w:type="dxa"/>
            <w:vAlign w:val="bottom"/>
          </w:tcPr>
          <w:p w14:paraId="52B785DB" w14:textId="144A50C8" w:rsidR="009E0F3F" w:rsidRPr="009E0F3F" w:rsidRDefault="009E0F3F" w:rsidP="009E0F3F">
            <w:pPr>
              <w:pStyle w:val="NoSpacing"/>
              <w:jc w:val="center"/>
              <w:rPr>
                <w:rFonts w:cs="Times New Roman"/>
              </w:rPr>
            </w:pPr>
            <w:r w:rsidRPr="009E0F3F">
              <w:rPr>
                <w:rFonts w:cs="Times New Roman"/>
                <w:color w:val="000000"/>
                <w:sz w:val="22"/>
              </w:rPr>
              <w:t>TIAC1840_GenElute-NL</w:t>
            </w:r>
          </w:p>
        </w:tc>
        <w:tc>
          <w:tcPr>
            <w:tcW w:w="4884" w:type="dxa"/>
            <w:vAlign w:val="bottom"/>
          </w:tcPr>
          <w:p w14:paraId="659702D7" w14:textId="1F3F86D7" w:rsidR="009E0F3F" w:rsidRPr="009E0F3F" w:rsidRDefault="009E0F3F" w:rsidP="009E0F3F">
            <w:pPr>
              <w:pStyle w:val="NoSpacing"/>
              <w:jc w:val="center"/>
              <w:rPr>
                <w:rFonts w:cs="Times New Roman"/>
              </w:rPr>
            </w:pPr>
            <w:r w:rsidRPr="009E0F3F">
              <w:rPr>
                <w:rFonts w:cs="Times New Roman"/>
                <w:color w:val="000000"/>
                <w:sz w:val="22"/>
              </w:rPr>
              <w:t>SAMN20456185</w:t>
            </w:r>
          </w:p>
        </w:tc>
      </w:tr>
      <w:tr w:rsidR="009E0F3F" w14:paraId="59F0A1A6" w14:textId="77777777" w:rsidTr="00993524">
        <w:tc>
          <w:tcPr>
            <w:tcW w:w="4883" w:type="dxa"/>
            <w:vAlign w:val="bottom"/>
          </w:tcPr>
          <w:p w14:paraId="6B79998E" w14:textId="0209BB33" w:rsidR="009E0F3F" w:rsidRPr="009E0F3F" w:rsidRDefault="009E0F3F" w:rsidP="009E0F3F">
            <w:pPr>
              <w:pStyle w:val="NoSpacing"/>
              <w:jc w:val="center"/>
              <w:rPr>
                <w:rFonts w:cs="Times New Roman"/>
              </w:rPr>
            </w:pPr>
            <w:r w:rsidRPr="009E0F3F">
              <w:rPr>
                <w:rFonts w:cs="Times New Roman"/>
                <w:color w:val="000000"/>
                <w:sz w:val="22"/>
              </w:rPr>
              <w:t>TIAC1848_GenElute-NL</w:t>
            </w:r>
          </w:p>
        </w:tc>
        <w:tc>
          <w:tcPr>
            <w:tcW w:w="4884" w:type="dxa"/>
            <w:vAlign w:val="bottom"/>
          </w:tcPr>
          <w:p w14:paraId="3304CB1B" w14:textId="6324B4C7" w:rsidR="009E0F3F" w:rsidRPr="009E0F3F" w:rsidRDefault="009E0F3F" w:rsidP="009E0F3F">
            <w:pPr>
              <w:pStyle w:val="NoSpacing"/>
              <w:jc w:val="center"/>
              <w:rPr>
                <w:rFonts w:cs="Times New Roman"/>
              </w:rPr>
            </w:pPr>
            <w:r w:rsidRPr="009E0F3F">
              <w:rPr>
                <w:rFonts w:cs="Times New Roman"/>
                <w:color w:val="000000"/>
                <w:sz w:val="22"/>
              </w:rPr>
              <w:t>SAMN20456186</w:t>
            </w:r>
          </w:p>
        </w:tc>
      </w:tr>
      <w:tr w:rsidR="009E0F3F" w14:paraId="11679ACF" w14:textId="77777777" w:rsidTr="00993524">
        <w:tc>
          <w:tcPr>
            <w:tcW w:w="4883" w:type="dxa"/>
            <w:vAlign w:val="bottom"/>
          </w:tcPr>
          <w:p w14:paraId="7F764B25" w14:textId="4A5F47A4" w:rsidR="009E0F3F" w:rsidRPr="009E0F3F" w:rsidRDefault="009E0F3F" w:rsidP="009E0F3F">
            <w:pPr>
              <w:pStyle w:val="NoSpacing"/>
              <w:jc w:val="center"/>
              <w:rPr>
                <w:rFonts w:cs="Times New Roman"/>
              </w:rPr>
            </w:pPr>
            <w:r w:rsidRPr="009E0F3F">
              <w:rPr>
                <w:rFonts w:cs="Times New Roman"/>
                <w:color w:val="000000"/>
                <w:sz w:val="22"/>
              </w:rPr>
              <w:t>TIAC1991_GenElute-NL</w:t>
            </w:r>
          </w:p>
        </w:tc>
        <w:tc>
          <w:tcPr>
            <w:tcW w:w="4884" w:type="dxa"/>
            <w:vAlign w:val="bottom"/>
          </w:tcPr>
          <w:p w14:paraId="782DD595" w14:textId="12382BDC" w:rsidR="009E0F3F" w:rsidRPr="009E0F3F" w:rsidRDefault="009E0F3F" w:rsidP="009E0F3F">
            <w:pPr>
              <w:pStyle w:val="NoSpacing"/>
              <w:jc w:val="center"/>
              <w:rPr>
                <w:rFonts w:cs="Times New Roman"/>
              </w:rPr>
            </w:pPr>
            <w:r w:rsidRPr="009E0F3F">
              <w:rPr>
                <w:rFonts w:cs="Times New Roman"/>
                <w:color w:val="000000"/>
                <w:sz w:val="22"/>
              </w:rPr>
              <w:t>SAMN20456187</w:t>
            </w:r>
          </w:p>
        </w:tc>
      </w:tr>
      <w:tr w:rsidR="009E0F3F" w14:paraId="02ACB060" w14:textId="77777777" w:rsidTr="00993524">
        <w:tc>
          <w:tcPr>
            <w:tcW w:w="4883" w:type="dxa"/>
            <w:vAlign w:val="bottom"/>
          </w:tcPr>
          <w:p w14:paraId="4EAABD68" w14:textId="444C31F0" w:rsidR="009E0F3F" w:rsidRPr="009E0F3F" w:rsidRDefault="009E0F3F" w:rsidP="009E0F3F">
            <w:pPr>
              <w:pStyle w:val="NoSpacing"/>
              <w:jc w:val="center"/>
              <w:rPr>
                <w:rFonts w:cs="Times New Roman"/>
              </w:rPr>
            </w:pPr>
            <w:r w:rsidRPr="009E0F3F">
              <w:rPr>
                <w:rFonts w:cs="Times New Roman"/>
                <w:color w:val="000000"/>
                <w:sz w:val="22"/>
              </w:rPr>
              <w:t>TIAC1992_GenElute-NL</w:t>
            </w:r>
          </w:p>
        </w:tc>
        <w:tc>
          <w:tcPr>
            <w:tcW w:w="4884" w:type="dxa"/>
            <w:vAlign w:val="bottom"/>
          </w:tcPr>
          <w:p w14:paraId="07312031" w14:textId="0FF74A2D" w:rsidR="009E0F3F" w:rsidRPr="009E0F3F" w:rsidRDefault="009E0F3F" w:rsidP="009E0F3F">
            <w:pPr>
              <w:pStyle w:val="NoSpacing"/>
              <w:jc w:val="center"/>
              <w:rPr>
                <w:rFonts w:cs="Times New Roman"/>
              </w:rPr>
            </w:pPr>
            <w:r w:rsidRPr="009E0F3F">
              <w:rPr>
                <w:rFonts w:cs="Times New Roman"/>
                <w:color w:val="000000"/>
                <w:sz w:val="22"/>
              </w:rPr>
              <w:t>SAMN20456188</w:t>
            </w:r>
          </w:p>
        </w:tc>
      </w:tr>
      <w:tr w:rsidR="009E0F3F" w14:paraId="292670C8" w14:textId="77777777" w:rsidTr="00993524">
        <w:tc>
          <w:tcPr>
            <w:tcW w:w="4883" w:type="dxa"/>
            <w:vAlign w:val="bottom"/>
          </w:tcPr>
          <w:p w14:paraId="35F70BAC" w14:textId="3A24A4B2" w:rsidR="009E0F3F" w:rsidRPr="009E0F3F" w:rsidRDefault="009E0F3F" w:rsidP="009E0F3F">
            <w:pPr>
              <w:pStyle w:val="NoSpacing"/>
              <w:jc w:val="center"/>
              <w:rPr>
                <w:rFonts w:cs="Times New Roman"/>
              </w:rPr>
            </w:pPr>
            <w:r w:rsidRPr="009E0F3F">
              <w:rPr>
                <w:rFonts w:cs="Times New Roman"/>
                <w:color w:val="000000"/>
                <w:sz w:val="22"/>
              </w:rPr>
              <w:t>TIAC1993_GenElute-NL</w:t>
            </w:r>
          </w:p>
        </w:tc>
        <w:tc>
          <w:tcPr>
            <w:tcW w:w="4884" w:type="dxa"/>
            <w:vAlign w:val="bottom"/>
          </w:tcPr>
          <w:p w14:paraId="61879330" w14:textId="1CE55D1E" w:rsidR="009E0F3F" w:rsidRPr="009E0F3F" w:rsidRDefault="009E0F3F" w:rsidP="009E0F3F">
            <w:pPr>
              <w:pStyle w:val="NoSpacing"/>
              <w:jc w:val="center"/>
              <w:rPr>
                <w:rFonts w:cs="Times New Roman"/>
              </w:rPr>
            </w:pPr>
            <w:r w:rsidRPr="009E0F3F">
              <w:rPr>
                <w:rFonts w:cs="Times New Roman"/>
                <w:color w:val="000000"/>
                <w:sz w:val="22"/>
              </w:rPr>
              <w:t>SAMN20456189</w:t>
            </w:r>
          </w:p>
        </w:tc>
      </w:tr>
      <w:tr w:rsidR="009E0F3F" w14:paraId="6FC3AAEE" w14:textId="77777777" w:rsidTr="00993524">
        <w:tc>
          <w:tcPr>
            <w:tcW w:w="4883" w:type="dxa"/>
            <w:vAlign w:val="bottom"/>
          </w:tcPr>
          <w:p w14:paraId="42C1620D" w14:textId="2ACF18B5" w:rsidR="009E0F3F" w:rsidRPr="009E0F3F" w:rsidRDefault="009E0F3F" w:rsidP="009E0F3F">
            <w:pPr>
              <w:pStyle w:val="NoSpacing"/>
              <w:jc w:val="center"/>
              <w:rPr>
                <w:rFonts w:cs="Times New Roman"/>
              </w:rPr>
            </w:pPr>
            <w:r w:rsidRPr="009E0F3F">
              <w:rPr>
                <w:rFonts w:cs="Times New Roman"/>
                <w:color w:val="000000"/>
                <w:sz w:val="22"/>
              </w:rPr>
              <w:t>TIAC1994_GenElute-NL</w:t>
            </w:r>
          </w:p>
        </w:tc>
        <w:tc>
          <w:tcPr>
            <w:tcW w:w="4884" w:type="dxa"/>
            <w:vAlign w:val="bottom"/>
          </w:tcPr>
          <w:p w14:paraId="0FDB6BCF" w14:textId="2632074A" w:rsidR="009E0F3F" w:rsidRPr="009E0F3F" w:rsidRDefault="009E0F3F" w:rsidP="009E0F3F">
            <w:pPr>
              <w:pStyle w:val="NoSpacing"/>
              <w:jc w:val="center"/>
              <w:rPr>
                <w:rFonts w:cs="Times New Roman"/>
              </w:rPr>
            </w:pPr>
            <w:r w:rsidRPr="009E0F3F">
              <w:rPr>
                <w:rFonts w:cs="Times New Roman"/>
                <w:color w:val="000000"/>
                <w:sz w:val="22"/>
              </w:rPr>
              <w:t>SAMN20456190</w:t>
            </w:r>
          </w:p>
        </w:tc>
      </w:tr>
      <w:tr w:rsidR="009E0F3F" w14:paraId="42B4BDF6" w14:textId="77777777" w:rsidTr="00993524">
        <w:tc>
          <w:tcPr>
            <w:tcW w:w="4883" w:type="dxa"/>
            <w:vAlign w:val="bottom"/>
          </w:tcPr>
          <w:p w14:paraId="40815848" w14:textId="65F39BA3" w:rsidR="009E0F3F" w:rsidRPr="009E0F3F" w:rsidRDefault="009E0F3F" w:rsidP="009E0F3F">
            <w:pPr>
              <w:pStyle w:val="NoSpacing"/>
              <w:jc w:val="center"/>
              <w:rPr>
                <w:rFonts w:cs="Times New Roman"/>
              </w:rPr>
            </w:pPr>
            <w:r w:rsidRPr="009E0F3F">
              <w:rPr>
                <w:rFonts w:cs="Times New Roman"/>
                <w:color w:val="000000"/>
                <w:sz w:val="22"/>
              </w:rPr>
              <w:t>TIAC2001_GenElute-NL</w:t>
            </w:r>
          </w:p>
        </w:tc>
        <w:tc>
          <w:tcPr>
            <w:tcW w:w="4884" w:type="dxa"/>
            <w:vAlign w:val="bottom"/>
          </w:tcPr>
          <w:p w14:paraId="3D24AAAF" w14:textId="684E6EFB" w:rsidR="009E0F3F" w:rsidRPr="009E0F3F" w:rsidRDefault="009E0F3F" w:rsidP="009E0F3F">
            <w:pPr>
              <w:pStyle w:val="NoSpacing"/>
              <w:jc w:val="center"/>
              <w:rPr>
                <w:rFonts w:cs="Times New Roman"/>
              </w:rPr>
            </w:pPr>
            <w:r w:rsidRPr="009E0F3F">
              <w:rPr>
                <w:rFonts w:cs="Times New Roman"/>
                <w:color w:val="000000"/>
                <w:sz w:val="22"/>
              </w:rPr>
              <w:t>SAMN20456191</w:t>
            </w:r>
          </w:p>
        </w:tc>
      </w:tr>
      <w:tr w:rsidR="009E0F3F" w14:paraId="40802734" w14:textId="77777777" w:rsidTr="00993524">
        <w:tc>
          <w:tcPr>
            <w:tcW w:w="4883" w:type="dxa"/>
            <w:vAlign w:val="bottom"/>
          </w:tcPr>
          <w:p w14:paraId="2AE85DA9" w14:textId="4DA6ABC8" w:rsidR="009E0F3F" w:rsidRPr="009E0F3F" w:rsidRDefault="009E0F3F" w:rsidP="009E0F3F">
            <w:pPr>
              <w:pStyle w:val="NoSpacing"/>
              <w:jc w:val="center"/>
              <w:rPr>
                <w:rFonts w:cs="Times New Roman"/>
              </w:rPr>
            </w:pPr>
            <w:r w:rsidRPr="009E0F3F">
              <w:rPr>
                <w:rFonts w:cs="Times New Roman"/>
                <w:color w:val="000000"/>
                <w:sz w:val="22"/>
              </w:rPr>
              <w:t>TIAC3462_GenElute-NL</w:t>
            </w:r>
          </w:p>
        </w:tc>
        <w:tc>
          <w:tcPr>
            <w:tcW w:w="4884" w:type="dxa"/>
            <w:vAlign w:val="bottom"/>
          </w:tcPr>
          <w:p w14:paraId="2F5DE753" w14:textId="24048FDE" w:rsidR="009E0F3F" w:rsidRPr="009E0F3F" w:rsidRDefault="009E0F3F" w:rsidP="009E0F3F">
            <w:pPr>
              <w:pStyle w:val="NoSpacing"/>
              <w:jc w:val="center"/>
              <w:rPr>
                <w:rFonts w:cs="Times New Roman"/>
              </w:rPr>
            </w:pPr>
            <w:r w:rsidRPr="009E0F3F">
              <w:rPr>
                <w:rFonts w:cs="Times New Roman"/>
                <w:color w:val="000000"/>
                <w:sz w:val="22"/>
              </w:rPr>
              <w:t>SAMN20456192</w:t>
            </w:r>
          </w:p>
        </w:tc>
      </w:tr>
      <w:tr w:rsidR="009E0F3F" w14:paraId="78950F40" w14:textId="77777777" w:rsidTr="00993524">
        <w:tc>
          <w:tcPr>
            <w:tcW w:w="4883" w:type="dxa"/>
            <w:vAlign w:val="bottom"/>
          </w:tcPr>
          <w:p w14:paraId="0F6CDDBF" w14:textId="0E190342" w:rsidR="009E0F3F" w:rsidRPr="009E0F3F" w:rsidRDefault="009E0F3F" w:rsidP="009E0F3F">
            <w:pPr>
              <w:pStyle w:val="NoSpacing"/>
              <w:jc w:val="center"/>
              <w:rPr>
                <w:rFonts w:cs="Times New Roman"/>
              </w:rPr>
            </w:pPr>
            <w:r w:rsidRPr="009E0F3F">
              <w:rPr>
                <w:rFonts w:cs="Times New Roman"/>
                <w:color w:val="000000"/>
                <w:sz w:val="22"/>
              </w:rPr>
              <w:t>TIAC3971_GenElute-NL</w:t>
            </w:r>
          </w:p>
        </w:tc>
        <w:tc>
          <w:tcPr>
            <w:tcW w:w="4884" w:type="dxa"/>
            <w:vAlign w:val="bottom"/>
          </w:tcPr>
          <w:p w14:paraId="5E83926C" w14:textId="5E0FF4B7" w:rsidR="009E0F3F" w:rsidRPr="009E0F3F" w:rsidRDefault="009E0F3F" w:rsidP="009E0F3F">
            <w:pPr>
              <w:pStyle w:val="NoSpacing"/>
              <w:jc w:val="center"/>
              <w:rPr>
                <w:rFonts w:cs="Times New Roman"/>
              </w:rPr>
            </w:pPr>
            <w:r w:rsidRPr="009E0F3F">
              <w:rPr>
                <w:rFonts w:cs="Times New Roman"/>
                <w:color w:val="000000"/>
                <w:sz w:val="22"/>
              </w:rPr>
              <w:t>SAMN20456193</w:t>
            </w:r>
          </w:p>
        </w:tc>
      </w:tr>
      <w:tr w:rsidR="009E0F3F" w14:paraId="1C755881" w14:textId="77777777" w:rsidTr="00993524">
        <w:tc>
          <w:tcPr>
            <w:tcW w:w="4883" w:type="dxa"/>
            <w:vAlign w:val="bottom"/>
          </w:tcPr>
          <w:p w14:paraId="0976F82C" w14:textId="709EA828" w:rsidR="009E0F3F" w:rsidRPr="009E0F3F" w:rsidRDefault="009E0F3F" w:rsidP="009E0F3F">
            <w:pPr>
              <w:pStyle w:val="NoSpacing"/>
              <w:jc w:val="center"/>
              <w:rPr>
                <w:rFonts w:cs="Times New Roman"/>
              </w:rPr>
            </w:pPr>
            <w:r w:rsidRPr="009E0F3F">
              <w:rPr>
                <w:rFonts w:cs="Times New Roman"/>
                <w:color w:val="000000"/>
                <w:sz w:val="22"/>
              </w:rPr>
              <w:t>TIAC3972_GenElute-NL</w:t>
            </w:r>
          </w:p>
        </w:tc>
        <w:tc>
          <w:tcPr>
            <w:tcW w:w="4884" w:type="dxa"/>
            <w:vAlign w:val="bottom"/>
          </w:tcPr>
          <w:p w14:paraId="341B7572" w14:textId="252BEBBF" w:rsidR="009E0F3F" w:rsidRPr="009E0F3F" w:rsidRDefault="009E0F3F" w:rsidP="009E0F3F">
            <w:pPr>
              <w:pStyle w:val="NoSpacing"/>
              <w:jc w:val="center"/>
              <w:rPr>
                <w:rFonts w:cs="Times New Roman"/>
              </w:rPr>
            </w:pPr>
            <w:r w:rsidRPr="009E0F3F">
              <w:rPr>
                <w:rFonts w:cs="Times New Roman"/>
                <w:color w:val="000000"/>
                <w:sz w:val="22"/>
              </w:rPr>
              <w:t>SAMN20456194</w:t>
            </w:r>
          </w:p>
        </w:tc>
      </w:tr>
      <w:tr w:rsidR="009E0F3F" w14:paraId="203EE498" w14:textId="77777777" w:rsidTr="00993524">
        <w:tc>
          <w:tcPr>
            <w:tcW w:w="4883" w:type="dxa"/>
            <w:vAlign w:val="bottom"/>
          </w:tcPr>
          <w:p w14:paraId="5CD10848" w14:textId="11A5F4AE" w:rsidR="009E0F3F" w:rsidRPr="009E0F3F" w:rsidRDefault="009E0F3F" w:rsidP="009E0F3F">
            <w:pPr>
              <w:pStyle w:val="NoSpacing"/>
              <w:jc w:val="center"/>
              <w:rPr>
                <w:rFonts w:cs="Times New Roman"/>
              </w:rPr>
            </w:pPr>
            <w:r w:rsidRPr="009E0F3F">
              <w:rPr>
                <w:rFonts w:cs="Times New Roman"/>
                <w:color w:val="000000"/>
                <w:sz w:val="22"/>
              </w:rPr>
              <w:t>TIAC1798_GenElute-NL</w:t>
            </w:r>
          </w:p>
        </w:tc>
        <w:tc>
          <w:tcPr>
            <w:tcW w:w="4884" w:type="dxa"/>
            <w:vAlign w:val="bottom"/>
          </w:tcPr>
          <w:p w14:paraId="5A378D91" w14:textId="20FFBB02" w:rsidR="009E0F3F" w:rsidRPr="009E0F3F" w:rsidRDefault="009E0F3F" w:rsidP="009E0F3F">
            <w:pPr>
              <w:pStyle w:val="NoSpacing"/>
              <w:jc w:val="center"/>
              <w:rPr>
                <w:rFonts w:cs="Times New Roman"/>
              </w:rPr>
            </w:pPr>
            <w:r w:rsidRPr="009E0F3F">
              <w:rPr>
                <w:rFonts w:cs="Times New Roman"/>
                <w:color w:val="000000"/>
                <w:sz w:val="22"/>
              </w:rPr>
              <w:t>SAMN20456195</w:t>
            </w:r>
          </w:p>
        </w:tc>
      </w:tr>
      <w:tr w:rsidR="009E0F3F" w14:paraId="1392DDA2" w14:textId="77777777" w:rsidTr="00993524">
        <w:tc>
          <w:tcPr>
            <w:tcW w:w="4883" w:type="dxa"/>
            <w:vAlign w:val="bottom"/>
          </w:tcPr>
          <w:p w14:paraId="27D46ACB" w14:textId="26A86B4A" w:rsidR="009E0F3F" w:rsidRPr="009E0F3F" w:rsidRDefault="009E0F3F" w:rsidP="009E0F3F">
            <w:pPr>
              <w:pStyle w:val="NoSpacing"/>
              <w:jc w:val="center"/>
              <w:rPr>
                <w:rFonts w:cs="Times New Roman"/>
              </w:rPr>
            </w:pPr>
            <w:r w:rsidRPr="009E0F3F">
              <w:rPr>
                <w:rFonts w:cs="Times New Roman"/>
                <w:color w:val="000000"/>
                <w:sz w:val="22"/>
              </w:rPr>
              <w:t>TIAC1798_GenElute</w:t>
            </w:r>
          </w:p>
        </w:tc>
        <w:tc>
          <w:tcPr>
            <w:tcW w:w="4884" w:type="dxa"/>
            <w:vAlign w:val="bottom"/>
          </w:tcPr>
          <w:p w14:paraId="1B11C3D7" w14:textId="0DB5ED2F" w:rsidR="009E0F3F" w:rsidRPr="009E0F3F" w:rsidRDefault="009E0F3F" w:rsidP="009E0F3F">
            <w:pPr>
              <w:pStyle w:val="NoSpacing"/>
              <w:jc w:val="center"/>
              <w:rPr>
                <w:rFonts w:cs="Times New Roman"/>
              </w:rPr>
            </w:pPr>
            <w:r w:rsidRPr="009E0F3F">
              <w:rPr>
                <w:rFonts w:cs="Times New Roman"/>
                <w:color w:val="000000"/>
                <w:sz w:val="22"/>
              </w:rPr>
              <w:t>SAMN20456196</w:t>
            </w:r>
          </w:p>
        </w:tc>
      </w:tr>
      <w:tr w:rsidR="009E0F3F" w14:paraId="637B89B5" w14:textId="77777777" w:rsidTr="00993524">
        <w:tc>
          <w:tcPr>
            <w:tcW w:w="4883" w:type="dxa"/>
            <w:vAlign w:val="bottom"/>
          </w:tcPr>
          <w:p w14:paraId="044D511E" w14:textId="2628B294" w:rsidR="009E0F3F" w:rsidRPr="009E0F3F" w:rsidRDefault="009E0F3F" w:rsidP="009E0F3F">
            <w:pPr>
              <w:pStyle w:val="NoSpacing"/>
              <w:jc w:val="center"/>
              <w:rPr>
                <w:rFonts w:cs="Times New Roman"/>
              </w:rPr>
            </w:pPr>
            <w:r w:rsidRPr="009E0F3F">
              <w:rPr>
                <w:rFonts w:cs="Times New Roman"/>
                <w:color w:val="000000"/>
                <w:sz w:val="22"/>
              </w:rPr>
              <w:t>TIAC1798_DNeasy</w:t>
            </w:r>
          </w:p>
        </w:tc>
        <w:tc>
          <w:tcPr>
            <w:tcW w:w="4884" w:type="dxa"/>
            <w:vAlign w:val="bottom"/>
          </w:tcPr>
          <w:p w14:paraId="252DA765" w14:textId="1758D30F" w:rsidR="009E0F3F" w:rsidRPr="009E0F3F" w:rsidRDefault="009E0F3F" w:rsidP="009E0F3F">
            <w:pPr>
              <w:pStyle w:val="NoSpacing"/>
              <w:jc w:val="center"/>
              <w:rPr>
                <w:rFonts w:cs="Times New Roman"/>
              </w:rPr>
            </w:pPr>
            <w:r w:rsidRPr="009E0F3F">
              <w:rPr>
                <w:rFonts w:cs="Times New Roman"/>
                <w:color w:val="000000"/>
                <w:sz w:val="22"/>
              </w:rPr>
              <w:t>SAMN20456197</w:t>
            </w:r>
          </w:p>
        </w:tc>
      </w:tr>
      <w:tr w:rsidR="009E0F3F" w14:paraId="36ED108E" w14:textId="77777777" w:rsidTr="00993524">
        <w:tc>
          <w:tcPr>
            <w:tcW w:w="4883" w:type="dxa"/>
            <w:vAlign w:val="bottom"/>
          </w:tcPr>
          <w:p w14:paraId="155ED18D" w14:textId="02579031" w:rsidR="009E0F3F" w:rsidRPr="009E0F3F" w:rsidRDefault="009E0F3F" w:rsidP="009E0F3F">
            <w:pPr>
              <w:pStyle w:val="NoSpacing"/>
              <w:jc w:val="center"/>
              <w:rPr>
                <w:rFonts w:cs="Times New Roman"/>
              </w:rPr>
            </w:pPr>
            <w:r w:rsidRPr="009E0F3F">
              <w:rPr>
                <w:rFonts w:cs="Times New Roman"/>
                <w:color w:val="000000"/>
                <w:sz w:val="22"/>
              </w:rPr>
              <w:t>TIAC1798_Wizard</w:t>
            </w:r>
          </w:p>
        </w:tc>
        <w:tc>
          <w:tcPr>
            <w:tcW w:w="4884" w:type="dxa"/>
            <w:vAlign w:val="bottom"/>
          </w:tcPr>
          <w:p w14:paraId="7199DE2B" w14:textId="45A595A7" w:rsidR="009E0F3F" w:rsidRPr="009E0F3F" w:rsidRDefault="009E0F3F" w:rsidP="009E0F3F">
            <w:pPr>
              <w:pStyle w:val="NoSpacing"/>
              <w:jc w:val="center"/>
              <w:rPr>
                <w:rFonts w:cs="Times New Roman"/>
              </w:rPr>
            </w:pPr>
            <w:r w:rsidRPr="009E0F3F">
              <w:rPr>
                <w:rFonts w:cs="Times New Roman"/>
                <w:color w:val="000000"/>
                <w:sz w:val="22"/>
              </w:rPr>
              <w:t>SAMN20456198</w:t>
            </w:r>
          </w:p>
        </w:tc>
      </w:tr>
      <w:tr w:rsidR="009E0F3F" w14:paraId="46F6FAD6" w14:textId="77777777" w:rsidTr="00993524">
        <w:tc>
          <w:tcPr>
            <w:tcW w:w="4883" w:type="dxa"/>
            <w:vAlign w:val="bottom"/>
          </w:tcPr>
          <w:p w14:paraId="3FA0F805" w14:textId="744352A8" w:rsidR="009E0F3F" w:rsidRPr="009E0F3F" w:rsidRDefault="009E0F3F" w:rsidP="009E0F3F">
            <w:pPr>
              <w:pStyle w:val="NoSpacing"/>
              <w:jc w:val="center"/>
              <w:rPr>
                <w:rFonts w:cs="Times New Roman"/>
              </w:rPr>
            </w:pPr>
            <w:r w:rsidRPr="009E0F3F">
              <w:rPr>
                <w:rFonts w:cs="Times New Roman"/>
                <w:color w:val="000000"/>
                <w:sz w:val="22"/>
              </w:rPr>
              <w:t>TIAC1847_GenElute-NL</w:t>
            </w:r>
          </w:p>
        </w:tc>
        <w:tc>
          <w:tcPr>
            <w:tcW w:w="4884" w:type="dxa"/>
            <w:vAlign w:val="bottom"/>
          </w:tcPr>
          <w:p w14:paraId="1D57A8E4" w14:textId="7C6B1223" w:rsidR="009E0F3F" w:rsidRPr="009E0F3F" w:rsidRDefault="009E0F3F" w:rsidP="009E0F3F">
            <w:pPr>
              <w:pStyle w:val="NoSpacing"/>
              <w:jc w:val="center"/>
              <w:rPr>
                <w:rFonts w:cs="Times New Roman"/>
              </w:rPr>
            </w:pPr>
            <w:r w:rsidRPr="009E0F3F">
              <w:rPr>
                <w:rFonts w:cs="Times New Roman"/>
                <w:color w:val="000000"/>
                <w:sz w:val="22"/>
              </w:rPr>
              <w:t>SAMN20456199</w:t>
            </w:r>
          </w:p>
        </w:tc>
      </w:tr>
      <w:tr w:rsidR="009E0F3F" w14:paraId="1EE482AF" w14:textId="77777777" w:rsidTr="00993524">
        <w:tc>
          <w:tcPr>
            <w:tcW w:w="4883" w:type="dxa"/>
            <w:vAlign w:val="bottom"/>
          </w:tcPr>
          <w:p w14:paraId="0C01AC93" w14:textId="55C6F357" w:rsidR="009E0F3F" w:rsidRPr="009E0F3F" w:rsidRDefault="009E0F3F" w:rsidP="009E0F3F">
            <w:pPr>
              <w:pStyle w:val="NoSpacing"/>
              <w:jc w:val="center"/>
              <w:rPr>
                <w:rFonts w:cs="Times New Roman"/>
              </w:rPr>
            </w:pPr>
            <w:r w:rsidRPr="009E0F3F">
              <w:rPr>
                <w:rFonts w:cs="Times New Roman"/>
                <w:color w:val="000000"/>
                <w:sz w:val="22"/>
              </w:rPr>
              <w:t>TIAC1847_GenElute</w:t>
            </w:r>
          </w:p>
        </w:tc>
        <w:tc>
          <w:tcPr>
            <w:tcW w:w="4884" w:type="dxa"/>
            <w:vAlign w:val="bottom"/>
          </w:tcPr>
          <w:p w14:paraId="37464C29" w14:textId="32A3CD30" w:rsidR="009E0F3F" w:rsidRPr="009E0F3F" w:rsidRDefault="009E0F3F" w:rsidP="009E0F3F">
            <w:pPr>
              <w:pStyle w:val="NoSpacing"/>
              <w:jc w:val="center"/>
              <w:rPr>
                <w:rFonts w:cs="Times New Roman"/>
              </w:rPr>
            </w:pPr>
            <w:r w:rsidRPr="009E0F3F">
              <w:rPr>
                <w:rFonts w:cs="Times New Roman"/>
                <w:color w:val="000000"/>
                <w:sz w:val="22"/>
              </w:rPr>
              <w:t>SAMN20456200</w:t>
            </w:r>
          </w:p>
        </w:tc>
      </w:tr>
      <w:tr w:rsidR="009E0F3F" w14:paraId="3FCA902F" w14:textId="77777777" w:rsidTr="00993524">
        <w:tc>
          <w:tcPr>
            <w:tcW w:w="4883" w:type="dxa"/>
            <w:vAlign w:val="bottom"/>
          </w:tcPr>
          <w:p w14:paraId="3F76397C" w14:textId="4C722832" w:rsidR="009E0F3F" w:rsidRPr="009E0F3F" w:rsidRDefault="009E0F3F" w:rsidP="009E0F3F">
            <w:pPr>
              <w:pStyle w:val="NoSpacing"/>
              <w:jc w:val="center"/>
              <w:rPr>
                <w:rFonts w:cs="Times New Roman"/>
              </w:rPr>
            </w:pPr>
            <w:r w:rsidRPr="009E0F3F">
              <w:rPr>
                <w:rFonts w:cs="Times New Roman"/>
                <w:color w:val="000000"/>
                <w:sz w:val="22"/>
              </w:rPr>
              <w:t>TIAC1847_DNeasy</w:t>
            </w:r>
          </w:p>
        </w:tc>
        <w:tc>
          <w:tcPr>
            <w:tcW w:w="4884" w:type="dxa"/>
            <w:vAlign w:val="bottom"/>
          </w:tcPr>
          <w:p w14:paraId="35880F95" w14:textId="510389AC" w:rsidR="009E0F3F" w:rsidRPr="009E0F3F" w:rsidRDefault="009E0F3F" w:rsidP="009E0F3F">
            <w:pPr>
              <w:pStyle w:val="NoSpacing"/>
              <w:jc w:val="center"/>
              <w:rPr>
                <w:rFonts w:cs="Times New Roman"/>
              </w:rPr>
            </w:pPr>
            <w:r w:rsidRPr="009E0F3F">
              <w:rPr>
                <w:rFonts w:cs="Times New Roman"/>
                <w:color w:val="000000"/>
                <w:sz w:val="22"/>
              </w:rPr>
              <w:t>SAMN20456201</w:t>
            </w:r>
          </w:p>
        </w:tc>
      </w:tr>
      <w:tr w:rsidR="009E0F3F" w14:paraId="4C85F306" w14:textId="77777777" w:rsidTr="00993524">
        <w:tc>
          <w:tcPr>
            <w:tcW w:w="4883" w:type="dxa"/>
            <w:vAlign w:val="bottom"/>
          </w:tcPr>
          <w:p w14:paraId="590A38BC" w14:textId="527CECF7" w:rsidR="009E0F3F" w:rsidRPr="009E0F3F" w:rsidRDefault="009E0F3F" w:rsidP="009E0F3F">
            <w:pPr>
              <w:pStyle w:val="NoSpacing"/>
              <w:jc w:val="center"/>
              <w:rPr>
                <w:rFonts w:cs="Times New Roman"/>
              </w:rPr>
            </w:pPr>
            <w:r w:rsidRPr="009E0F3F">
              <w:rPr>
                <w:rFonts w:cs="Times New Roman"/>
                <w:color w:val="000000"/>
                <w:sz w:val="22"/>
              </w:rPr>
              <w:t>TIAC1847_Wizard</w:t>
            </w:r>
          </w:p>
        </w:tc>
        <w:tc>
          <w:tcPr>
            <w:tcW w:w="4884" w:type="dxa"/>
            <w:vAlign w:val="bottom"/>
          </w:tcPr>
          <w:p w14:paraId="782F6015" w14:textId="0FC56028" w:rsidR="009E0F3F" w:rsidRPr="009E0F3F" w:rsidRDefault="009E0F3F" w:rsidP="009E0F3F">
            <w:pPr>
              <w:pStyle w:val="NoSpacing"/>
              <w:jc w:val="center"/>
              <w:rPr>
                <w:rFonts w:cs="Times New Roman"/>
              </w:rPr>
            </w:pPr>
            <w:r w:rsidRPr="009E0F3F">
              <w:rPr>
                <w:rFonts w:cs="Times New Roman"/>
                <w:color w:val="000000"/>
                <w:sz w:val="22"/>
              </w:rPr>
              <w:t>SAMN20456202</w:t>
            </w:r>
          </w:p>
        </w:tc>
      </w:tr>
      <w:tr w:rsidR="009E0F3F" w14:paraId="18161DDE" w14:textId="77777777" w:rsidTr="00993524">
        <w:tc>
          <w:tcPr>
            <w:tcW w:w="4883" w:type="dxa"/>
            <w:vAlign w:val="bottom"/>
          </w:tcPr>
          <w:p w14:paraId="49C90E83" w14:textId="1D9BA1AA" w:rsidR="009E0F3F" w:rsidRPr="009E0F3F" w:rsidRDefault="009E0F3F" w:rsidP="009E0F3F">
            <w:pPr>
              <w:pStyle w:val="NoSpacing"/>
              <w:jc w:val="center"/>
              <w:rPr>
                <w:rFonts w:cs="Times New Roman"/>
              </w:rPr>
            </w:pPr>
            <w:r w:rsidRPr="009E0F3F">
              <w:rPr>
                <w:rFonts w:cs="Times New Roman"/>
                <w:color w:val="000000"/>
                <w:sz w:val="22"/>
              </w:rPr>
              <w:t>TIAC3152_GenElute-NL</w:t>
            </w:r>
          </w:p>
        </w:tc>
        <w:tc>
          <w:tcPr>
            <w:tcW w:w="4884" w:type="dxa"/>
            <w:vAlign w:val="bottom"/>
          </w:tcPr>
          <w:p w14:paraId="413E8F8E" w14:textId="22069BC0" w:rsidR="009E0F3F" w:rsidRPr="009E0F3F" w:rsidRDefault="009E0F3F" w:rsidP="009E0F3F">
            <w:pPr>
              <w:pStyle w:val="NoSpacing"/>
              <w:jc w:val="center"/>
              <w:rPr>
                <w:rFonts w:cs="Times New Roman"/>
              </w:rPr>
            </w:pPr>
            <w:r w:rsidRPr="009E0F3F">
              <w:rPr>
                <w:rFonts w:cs="Times New Roman"/>
                <w:color w:val="000000"/>
                <w:sz w:val="22"/>
              </w:rPr>
              <w:t>SAMN20456203</w:t>
            </w:r>
          </w:p>
        </w:tc>
      </w:tr>
      <w:tr w:rsidR="009E0F3F" w14:paraId="1FF74348" w14:textId="77777777" w:rsidTr="00993524">
        <w:tc>
          <w:tcPr>
            <w:tcW w:w="4883" w:type="dxa"/>
            <w:vAlign w:val="bottom"/>
          </w:tcPr>
          <w:p w14:paraId="23849AFA" w14:textId="7695B9BE" w:rsidR="009E0F3F" w:rsidRPr="009E0F3F" w:rsidRDefault="009E0F3F" w:rsidP="009E0F3F">
            <w:pPr>
              <w:pStyle w:val="NoSpacing"/>
              <w:jc w:val="center"/>
              <w:rPr>
                <w:rFonts w:cs="Times New Roman"/>
              </w:rPr>
            </w:pPr>
            <w:r w:rsidRPr="009E0F3F">
              <w:rPr>
                <w:rFonts w:cs="Times New Roman"/>
                <w:color w:val="000000"/>
                <w:sz w:val="22"/>
              </w:rPr>
              <w:t>TIAC3152_GenElute</w:t>
            </w:r>
          </w:p>
        </w:tc>
        <w:tc>
          <w:tcPr>
            <w:tcW w:w="4884" w:type="dxa"/>
            <w:vAlign w:val="bottom"/>
          </w:tcPr>
          <w:p w14:paraId="313A2DAE" w14:textId="7291D795" w:rsidR="009E0F3F" w:rsidRPr="009E0F3F" w:rsidRDefault="009E0F3F" w:rsidP="009E0F3F">
            <w:pPr>
              <w:pStyle w:val="NoSpacing"/>
              <w:jc w:val="center"/>
              <w:rPr>
                <w:rFonts w:cs="Times New Roman"/>
              </w:rPr>
            </w:pPr>
            <w:r w:rsidRPr="009E0F3F">
              <w:rPr>
                <w:rFonts w:cs="Times New Roman"/>
                <w:color w:val="000000"/>
                <w:sz w:val="22"/>
              </w:rPr>
              <w:t>SAMN20456204</w:t>
            </w:r>
          </w:p>
        </w:tc>
      </w:tr>
      <w:tr w:rsidR="009E0F3F" w14:paraId="036B2A5B" w14:textId="77777777" w:rsidTr="00993524">
        <w:tc>
          <w:tcPr>
            <w:tcW w:w="4883" w:type="dxa"/>
            <w:vAlign w:val="bottom"/>
          </w:tcPr>
          <w:p w14:paraId="6BDCD72D" w14:textId="690396B2" w:rsidR="009E0F3F" w:rsidRPr="009E0F3F" w:rsidRDefault="009E0F3F" w:rsidP="009E0F3F">
            <w:pPr>
              <w:pStyle w:val="NoSpacing"/>
              <w:jc w:val="center"/>
              <w:rPr>
                <w:rFonts w:cs="Times New Roman"/>
              </w:rPr>
            </w:pPr>
            <w:r w:rsidRPr="009E0F3F">
              <w:rPr>
                <w:rFonts w:cs="Times New Roman"/>
                <w:color w:val="000000"/>
                <w:sz w:val="22"/>
              </w:rPr>
              <w:lastRenderedPageBreak/>
              <w:t>TIAC3152_DNeasy</w:t>
            </w:r>
          </w:p>
        </w:tc>
        <w:tc>
          <w:tcPr>
            <w:tcW w:w="4884" w:type="dxa"/>
            <w:vAlign w:val="bottom"/>
          </w:tcPr>
          <w:p w14:paraId="1237D821" w14:textId="6008703B" w:rsidR="009E0F3F" w:rsidRPr="009E0F3F" w:rsidRDefault="009E0F3F" w:rsidP="009E0F3F">
            <w:pPr>
              <w:pStyle w:val="NoSpacing"/>
              <w:jc w:val="center"/>
              <w:rPr>
                <w:rFonts w:cs="Times New Roman"/>
              </w:rPr>
            </w:pPr>
            <w:r w:rsidRPr="009E0F3F">
              <w:rPr>
                <w:rFonts w:cs="Times New Roman"/>
                <w:color w:val="000000"/>
                <w:sz w:val="22"/>
              </w:rPr>
              <w:t>SAMN20456205</w:t>
            </w:r>
          </w:p>
        </w:tc>
      </w:tr>
      <w:tr w:rsidR="009E0F3F" w14:paraId="2AA4A9CD" w14:textId="77777777" w:rsidTr="00993524">
        <w:tc>
          <w:tcPr>
            <w:tcW w:w="4883" w:type="dxa"/>
            <w:vAlign w:val="bottom"/>
          </w:tcPr>
          <w:p w14:paraId="414499A9" w14:textId="49B9216D" w:rsidR="009E0F3F" w:rsidRPr="009E0F3F" w:rsidRDefault="009E0F3F" w:rsidP="009E0F3F">
            <w:pPr>
              <w:pStyle w:val="NoSpacing"/>
              <w:jc w:val="center"/>
              <w:rPr>
                <w:rFonts w:cs="Times New Roman"/>
              </w:rPr>
            </w:pPr>
            <w:r w:rsidRPr="009E0F3F">
              <w:rPr>
                <w:rFonts w:cs="Times New Roman"/>
                <w:color w:val="000000"/>
                <w:sz w:val="22"/>
              </w:rPr>
              <w:t>TIAC3152_Wizard</w:t>
            </w:r>
          </w:p>
        </w:tc>
        <w:tc>
          <w:tcPr>
            <w:tcW w:w="4884" w:type="dxa"/>
            <w:vAlign w:val="bottom"/>
          </w:tcPr>
          <w:p w14:paraId="7FC7AF7F" w14:textId="3EC66013" w:rsidR="009E0F3F" w:rsidRPr="009E0F3F" w:rsidRDefault="009E0F3F" w:rsidP="009E0F3F">
            <w:pPr>
              <w:pStyle w:val="NoSpacing"/>
              <w:jc w:val="center"/>
              <w:rPr>
                <w:rFonts w:cs="Times New Roman"/>
              </w:rPr>
            </w:pPr>
            <w:r w:rsidRPr="009E0F3F">
              <w:rPr>
                <w:rFonts w:cs="Times New Roman"/>
                <w:color w:val="000000"/>
                <w:sz w:val="22"/>
              </w:rPr>
              <w:t>SAMN20456206</w:t>
            </w:r>
          </w:p>
        </w:tc>
      </w:tr>
    </w:tbl>
    <w:p w14:paraId="17B7C25D" w14:textId="246A2797" w:rsidR="009E0F3F" w:rsidRPr="009E0F3F" w:rsidRDefault="009E0F3F" w:rsidP="0024549B">
      <w:pPr>
        <w:pStyle w:val="NoSpacing"/>
        <w:jc w:val="both"/>
      </w:pPr>
      <w:r w:rsidRPr="009E0F3F">
        <w:t>The datasets supporting the conclusions of this study have been deposite</w:t>
      </w:r>
      <w:r w:rsidR="0024549B">
        <w:t>d in the NCBI SRA under the BioP</w:t>
      </w:r>
      <w:r w:rsidRPr="009E0F3F">
        <w:t xml:space="preserve">roject accession number </w:t>
      </w:r>
      <w:r>
        <w:t>PRJNA750393</w:t>
      </w:r>
      <w:r w:rsidRPr="009E0F3F">
        <w:t xml:space="preserve"> (all in-house sequenced data). The accession number of each </w:t>
      </w:r>
      <w:r w:rsidR="0024549B">
        <w:t>sample</w:t>
      </w:r>
      <w:r w:rsidRPr="009E0F3F">
        <w:t xml:space="preserve"> is shown</w:t>
      </w:r>
      <w:r>
        <w:t>.</w:t>
      </w:r>
      <w:r w:rsidR="0024549B">
        <w:t xml:space="preserve"> </w:t>
      </w:r>
      <w:r w:rsidR="0024549B" w:rsidRPr="00F44CD1">
        <w:t xml:space="preserve">The </w:t>
      </w:r>
      <w:r w:rsidR="0024549B">
        <w:t>sample</w:t>
      </w:r>
      <w:r w:rsidR="0024549B" w:rsidRPr="00F44CD1">
        <w:t xml:space="preserve"> names consist of the</w:t>
      </w:r>
      <w:r w:rsidR="0024549B">
        <w:t xml:space="preserve"> name of the respective isolate </w:t>
      </w:r>
      <w:r w:rsidR="0024549B" w:rsidRPr="00F44CD1">
        <w:t>and an abbreviation of the applied DN</w:t>
      </w:r>
      <w:r w:rsidR="0024549B">
        <w:t>A extraction kit, i.e. GenElute</w:t>
      </w:r>
      <w:r w:rsidR="0024549B" w:rsidRPr="00F44CD1">
        <w:t>-NL: GenElute Bacterial gDNA kit using the protocol for Gram positive bacteria (without (i.e. no) lysostaph</w:t>
      </w:r>
      <w:r w:rsidR="0024549B">
        <w:t>in, NL); GenElute</w:t>
      </w:r>
      <w:r w:rsidR="0024549B" w:rsidRPr="00F44CD1">
        <w:t>: GenElute Bacterial gDNA kit using the protocol for Staphylococcal species (with lys</w:t>
      </w:r>
      <w:r w:rsidR="0024549B">
        <w:t>ostaphin); DNeasy</w:t>
      </w:r>
      <w:r w:rsidR="0024549B" w:rsidRPr="00F44CD1">
        <w:t>: DN</w:t>
      </w:r>
      <w:r w:rsidR="0024549B">
        <w:t>easy Blood &amp; Tissue kit; Wizard</w:t>
      </w:r>
      <w:r w:rsidR="0024549B" w:rsidRPr="00F44CD1">
        <w:t>: Wizard gDNA Purification kit.</w:t>
      </w:r>
    </w:p>
    <w:p w14:paraId="0F70DB10" w14:textId="6CE6157C" w:rsidR="0049264C" w:rsidRDefault="0049264C" w:rsidP="0049264C">
      <w:pPr>
        <w:pStyle w:val="Heading1"/>
      </w:pPr>
      <w:r>
        <w:t>References</w:t>
      </w:r>
    </w:p>
    <w:p w14:paraId="5AFB152D" w14:textId="2C2FE32F" w:rsidR="0049264C" w:rsidRPr="0049264C" w:rsidRDefault="0049264C" w:rsidP="002A2676">
      <w:pPr>
        <w:widowControl w:val="0"/>
        <w:autoSpaceDE w:val="0"/>
        <w:autoSpaceDN w:val="0"/>
        <w:adjustRightInd w:val="0"/>
        <w:ind w:left="480" w:hanging="480"/>
        <w:jc w:val="both"/>
        <w:rPr>
          <w:rFonts w:cs="Times New Roman"/>
          <w:noProof/>
          <w:szCs w:val="24"/>
        </w:rPr>
      </w:pPr>
      <w:r>
        <w:fldChar w:fldCharType="begin" w:fldLock="1"/>
      </w:r>
      <w:r>
        <w:instrText xml:space="preserve">ADDIN Mendeley Bibliography CSL_BIBLIOGRAPHY </w:instrText>
      </w:r>
      <w:r>
        <w:fldChar w:fldCharType="separate"/>
      </w:r>
      <w:r w:rsidRPr="0049264C">
        <w:rPr>
          <w:rFonts w:cs="Times New Roman"/>
          <w:noProof/>
          <w:szCs w:val="24"/>
        </w:rPr>
        <w:t>Agilent Technologies (2015). Assay Quick Guide for 4200 TapeStation System. 3, 1–4.</w:t>
      </w:r>
    </w:p>
    <w:p w14:paraId="6D685296"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Aguilar, J. L., Varshney, A. K., Wang, X., Stanford, L., Scharff, M., and Fries, B. C. (2014). Detection and measurement of staphylococcal enterotoxin-like K (SEl-K) secretion by </w:t>
      </w:r>
      <w:r w:rsidRPr="002A2676">
        <w:rPr>
          <w:rFonts w:cs="Times New Roman"/>
          <w:i/>
          <w:noProof/>
          <w:szCs w:val="24"/>
        </w:rPr>
        <w:t>Staphylococcus aureus</w:t>
      </w:r>
      <w:r w:rsidRPr="0049264C">
        <w:rPr>
          <w:rFonts w:cs="Times New Roman"/>
          <w:noProof/>
          <w:szCs w:val="24"/>
        </w:rPr>
        <w:t xml:space="preserve"> clinical isolates. </w:t>
      </w:r>
      <w:r w:rsidRPr="0049264C">
        <w:rPr>
          <w:rFonts w:cs="Times New Roman"/>
          <w:i/>
          <w:iCs/>
          <w:noProof/>
          <w:szCs w:val="24"/>
        </w:rPr>
        <w:t>J. Clin. Microbiol.</w:t>
      </w:r>
      <w:r w:rsidRPr="0049264C">
        <w:rPr>
          <w:rFonts w:cs="Times New Roman"/>
          <w:noProof/>
          <w:szCs w:val="24"/>
        </w:rPr>
        <w:t xml:space="preserve"> 52, 2536–2543. doi:10.1128/JCM.00387-14.</w:t>
      </w:r>
    </w:p>
    <w:p w14:paraId="56352C44"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Aung, M. S., San, T., Aye, M. M., Mya, S., Maw, W. W., Zan, K. N., et al. (2017). Prevalence and genetic characteristics of </w:t>
      </w:r>
      <w:r w:rsidRPr="002A2676">
        <w:rPr>
          <w:rFonts w:cs="Times New Roman"/>
          <w:i/>
          <w:noProof/>
          <w:szCs w:val="24"/>
        </w:rPr>
        <w:t>Staphylococcus aureus</w:t>
      </w:r>
      <w:r w:rsidRPr="0049264C">
        <w:rPr>
          <w:rFonts w:cs="Times New Roman"/>
          <w:noProof/>
          <w:szCs w:val="24"/>
        </w:rPr>
        <w:t xml:space="preserve"> and </w:t>
      </w:r>
      <w:r w:rsidRPr="002A2676">
        <w:rPr>
          <w:rFonts w:cs="Times New Roman"/>
          <w:i/>
          <w:noProof/>
          <w:szCs w:val="24"/>
        </w:rPr>
        <w:t>Staphylococcus argenteus</w:t>
      </w:r>
      <w:r w:rsidRPr="0049264C">
        <w:rPr>
          <w:rFonts w:cs="Times New Roman"/>
          <w:noProof/>
          <w:szCs w:val="24"/>
        </w:rPr>
        <w:t xml:space="preserve"> isolates harboring panton-valentine leukocidin, enterotoxins, and TSST-1 genes from food handlers in Myanmar. </w:t>
      </w:r>
      <w:r w:rsidRPr="0049264C">
        <w:rPr>
          <w:rFonts w:cs="Times New Roman"/>
          <w:i/>
          <w:iCs/>
          <w:noProof/>
          <w:szCs w:val="24"/>
        </w:rPr>
        <w:t>Toxins (Basel).</w:t>
      </w:r>
      <w:r w:rsidRPr="0049264C">
        <w:rPr>
          <w:rFonts w:cs="Times New Roman"/>
          <w:noProof/>
          <w:szCs w:val="24"/>
        </w:rPr>
        <w:t xml:space="preserve"> 9, 1–13. doi:10.3390/toxins9080241.</w:t>
      </w:r>
    </w:p>
    <w:p w14:paraId="50F01C92"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Aung, M. S., Urushibara, N., Kawaguchiya, M., Sumi, A., Takahashi, S., Ike, M., et al. (2019). Molecular epidemiological characterization of </w:t>
      </w:r>
      <w:r w:rsidRPr="002A2676">
        <w:rPr>
          <w:rFonts w:cs="Times New Roman"/>
          <w:i/>
          <w:noProof/>
          <w:szCs w:val="24"/>
        </w:rPr>
        <w:t>Staphylococcus argenteus</w:t>
      </w:r>
      <w:r w:rsidRPr="0049264C">
        <w:rPr>
          <w:rFonts w:cs="Times New Roman"/>
          <w:noProof/>
          <w:szCs w:val="24"/>
        </w:rPr>
        <w:t xml:space="preserve"> clinical isolates in Japan: Identification of three clones (ST1223, ST2198, and ST2550) and a novel staphylocoagulase genotype XV. </w:t>
      </w:r>
      <w:r w:rsidRPr="0049264C">
        <w:rPr>
          <w:rFonts w:cs="Times New Roman"/>
          <w:i/>
          <w:iCs/>
          <w:noProof/>
          <w:szCs w:val="24"/>
        </w:rPr>
        <w:t>Microorganisms</w:t>
      </w:r>
      <w:r w:rsidRPr="0049264C">
        <w:rPr>
          <w:rFonts w:cs="Times New Roman"/>
          <w:noProof/>
          <w:szCs w:val="24"/>
        </w:rPr>
        <w:t xml:space="preserve"> 7, 27–29. doi:10.3390/microorganisms7100389.</w:t>
      </w:r>
    </w:p>
    <w:p w14:paraId="2684EE26"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Bania, J., Dabrowska, A., Bystron, J., Korzekwa, K., Chrzanowska, J., and Molenda, J. (2006). Distribution of newly described enterotoxin-like genes in </w:t>
      </w:r>
      <w:r w:rsidRPr="002A2676">
        <w:rPr>
          <w:rFonts w:cs="Times New Roman"/>
          <w:i/>
          <w:noProof/>
          <w:szCs w:val="24"/>
        </w:rPr>
        <w:t>Staphylococcus aureus</w:t>
      </w:r>
      <w:r w:rsidRPr="0049264C">
        <w:rPr>
          <w:rFonts w:cs="Times New Roman"/>
          <w:noProof/>
          <w:szCs w:val="24"/>
        </w:rPr>
        <w:t xml:space="preserve"> from food. </w:t>
      </w:r>
      <w:r w:rsidRPr="0049264C">
        <w:rPr>
          <w:rFonts w:cs="Times New Roman"/>
          <w:i/>
          <w:iCs/>
          <w:noProof/>
          <w:szCs w:val="24"/>
        </w:rPr>
        <w:t>Int. J. Food Microbiol.</w:t>
      </w:r>
      <w:r w:rsidRPr="0049264C">
        <w:rPr>
          <w:rFonts w:cs="Times New Roman"/>
          <w:noProof/>
          <w:szCs w:val="24"/>
        </w:rPr>
        <w:t xml:space="preserve"> 108.</w:t>
      </w:r>
    </w:p>
    <w:p w14:paraId="54B0EADD"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Bankevich, A., Nurk, S., Antipov, D., Gurevich, A. A., Dvorkin, M., Kulikov, A. S., et al. (2012). SPAdes: A New Genome Assembly Algorithm and Its Applications to Single-Cell Sequencing. </w:t>
      </w:r>
      <w:r w:rsidRPr="0049264C">
        <w:rPr>
          <w:rFonts w:cs="Times New Roman"/>
          <w:i/>
          <w:iCs/>
          <w:noProof/>
          <w:szCs w:val="24"/>
        </w:rPr>
        <w:t>J. Comput. Biol.</w:t>
      </w:r>
      <w:r w:rsidRPr="0049264C">
        <w:rPr>
          <w:rFonts w:cs="Times New Roman"/>
          <w:noProof/>
          <w:szCs w:val="24"/>
        </w:rPr>
        <w:t xml:space="preserve"> 19, 455–477. doi:10.1089/cmb.2012.0021.</w:t>
      </w:r>
    </w:p>
    <w:p w14:paraId="222F0FEE"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Becker, K., Roth, R., and Peters, G. (1998). Rapid and Specific Detection of Toxigenic Staphylococcus aureus : Use of Two Multiplex PCR Enzyme Immunoassays for Amplification and Hybridization of Staphylococcal Enterotoxin Genes, Exfoliative Toxin Genes, and Toxic Shock Syndrome Toxin 1 Gene. </w:t>
      </w:r>
      <w:r w:rsidRPr="0049264C">
        <w:rPr>
          <w:rFonts w:cs="Times New Roman"/>
          <w:i/>
          <w:iCs/>
          <w:noProof/>
          <w:szCs w:val="24"/>
        </w:rPr>
        <w:t>J. Clin. Microbiol.</w:t>
      </w:r>
      <w:r w:rsidRPr="0049264C">
        <w:rPr>
          <w:rFonts w:cs="Times New Roman"/>
          <w:noProof/>
          <w:szCs w:val="24"/>
        </w:rPr>
        <w:t xml:space="preserve"> 36, 2548–2553. doi:10.1128/JCM.36.9.2548-2553.1998.</w:t>
      </w:r>
    </w:p>
    <w:p w14:paraId="0282E9AB"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Bohach, G. A., and Schlievert, P. M. (1987). Nucleotide sequence of the staphylococcal enterotoxin C1 gene and relatedness to other pyrogenic toxins. </w:t>
      </w:r>
      <w:r w:rsidRPr="0049264C">
        <w:rPr>
          <w:rFonts w:cs="Times New Roman"/>
          <w:i/>
          <w:iCs/>
          <w:noProof/>
          <w:szCs w:val="24"/>
        </w:rPr>
        <w:t>MGG Mol. Gen. Genet.</w:t>
      </w:r>
      <w:r w:rsidRPr="0049264C">
        <w:rPr>
          <w:rFonts w:cs="Times New Roman"/>
          <w:noProof/>
          <w:szCs w:val="24"/>
        </w:rPr>
        <w:t xml:space="preserve"> 209, 15–20. doi:10.1007/BF00329830.</w:t>
      </w:r>
    </w:p>
    <w:p w14:paraId="734AEE2E"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Bolger, A. M., Lohse, M., and Usadel, B. (2014). Trimmomatic: a flexible trimmer for Illumina sequence data. </w:t>
      </w:r>
      <w:r w:rsidRPr="0049264C">
        <w:rPr>
          <w:rFonts w:cs="Times New Roman"/>
          <w:i/>
          <w:iCs/>
          <w:noProof/>
          <w:szCs w:val="24"/>
        </w:rPr>
        <w:t>Bioinformatics</w:t>
      </w:r>
      <w:r w:rsidRPr="0049264C">
        <w:rPr>
          <w:rFonts w:cs="Times New Roman"/>
          <w:noProof/>
          <w:szCs w:val="24"/>
        </w:rPr>
        <w:t xml:space="preserve"> 30, 2114–2120. doi:10.1093/bioinformatics/btu170.</w:t>
      </w:r>
    </w:p>
    <w:p w14:paraId="1CA0493C"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lastRenderedPageBreak/>
        <w:t xml:space="preserve">Chiang, Y. C., Liao, W. W., Fan, C. M., Pai, W. Y., Chiou, C. S., and Tsen, H. Y. (2008). PCR detection of Staphylococcal enterotoxins (SEs) N, O, P, Q, R, U, and survey of SE types in </w:t>
      </w:r>
      <w:r w:rsidRPr="002A2676">
        <w:rPr>
          <w:rFonts w:cs="Times New Roman"/>
          <w:i/>
          <w:noProof/>
          <w:szCs w:val="24"/>
        </w:rPr>
        <w:t>Staphylococcus aureus</w:t>
      </w:r>
      <w:r w:rsidRPr="0049264C">
        <w:rPr>
          <w:rFonts w:cs="Times New Roman"/>
          <w:noProof/>
          <w:szCs w:val="24"/>
        </w:rPr>
        <w:t xml:space="preserve"> isolates from food-poisoning cases in Taiwan. </w:t>
      </w:r>
      <w:r w:rsidRPr="0049264C">
        <w:rPr>
          <w:rFonts w:cs="Times New Roman"/>
          <w:i/>
          <w:iCs/>
          <w:noProof/>
          <w:szCs w:val="24"/>
        </w:rPr>
        <w:t>Int. J. Food Microbiol.</w:t>
      </w:r>
      <w:r w:rsidRPr="0049264C">
        <w:rPr>
          <w:rFonts w:cs="Times New Roman"/>
          <w:noProof/>
          <w:szCs w:val="24"/>
        </w:rPr>
        <w:t xml:space="preserve"> 121, 66–73. doi:10.1016/j.ijfoodmicro.2007.10.005.</w:t>
      </w:r>
    </w:p>
    <w:p w14:paraId="4C264A34"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Collery, M. M., and Smyth, C. J. (2007). Rapid differentiation of </w:t>
      </w:r>
      <w:r w:rsidRPr="002A2676">
        <w:rPr>
          <w:rFonts w:cs="Times New Roman"/>
          <w:i/>
          <w:noProof/>
          <w:szCs w:val="24"/>
        </w:rPr>
        <w:t>Staphylococcus aureus</w:t>
      </w:r>
      <w:r w:rsidRPr="0049264C">
        <w:rPr>
          <w:rFonts w:cs="Times New Roman"/>
          <w:noProof/>
          <w:szCs w:val="24"/>
        </w:rPr>
        <w:t xml:space="preserve"> isolates harbouring </w:t>
      </w:r>
      <w:r w:rsidRPr="002A2676">
        <w:rPr>
          <w:rFonts w:cs="Times New Roman"/>
          <w:i/>
          <w:noProof/>
          <w:szCs w:val="24"/>
        </w:rPr>
        <w:t>egc</w:t>
      </w:r>
      <w:r w:rsidRPr="0049264C">
        <w:rPr>
          <w:rFonts w:cs="Times New Roman"/>
          <w:noProof/>
          <w:szCs w:val="24"/>
        </w:rPr>
        <w:t xml:space="preserve"> loci with pseudogenes </w:t>
      </w:r>
      <w:r w:rsidRPr="002A2676">
        <w:rPr>
          <w:rFonts w:cs="Times New Roman"/>
          <w:i/>
          <w:noProof/>
          <w:szCs w:val="24"/>
        </w:rPr>
        <w:t>ψent1</w:t>
      </w:r>
      <w:r w:rsidRPr="0049264C">
        <w:rPr>
          <w:rFonts w:cs="Times New Roman"/>
          <w:noProof/>
          <w:szCs w:val="24"/>
        </w:rPr>
        <w:t xml:space="preserve"> and </w:t>
      </w:r>
      <w:r w:rsidRPr="002A2676">
        <w:rPr>
          <w:rFonts w:cs="Times New Roman"/>
          <w:i/>
          <w:noProof/>
          <w:szCs w:val="24"/>
        </w:rPr>
        <w:t>ψent2</w:t>
      </w:r>
      <w:r w:rsidRPr="0049264C">
        <w:rPr>
          <w:rFonts w:cs="Times New Roman"/>
          <w:noProof/>
          <w:szCs w:val="24"/>
        </w:rPr>
        <w:t xml:space="preserve"> and the </w:t>
      </w:r>
      <w:r w:rsidRPr="002A2676">
        <w:rPr>
          <w:rFonts w:cs="Times New Roman"/>
          <w:i/>
          <w:noProof/>
          <w:szCs w:val="24"/>
        </w:rPr>
        <w:t xml:space="preserve">selu </w:t>
      </w:r>
      <w:r w:rsidRPr="0049264C">
        <w:rPr>
          <w:rFonts w:cs="Times New Roman"/>
          <w:noProof/>
          <w:szCs w:val="24"/>
        </w:rPr>
        <w:t xml:space="preserve">or </w:t>
      </w:r>
      <w:r w:rsidRPr="002A2676">
        <w:rPr>
          <w:rFonts w:cs="Times New Roman"/>
          <w:i/>
          <w:noProof/>
          <w:szCs w:val="24"/>
        </w:rPr>
        <w:t>selu v</w:t>
      </w:r>
      <w:r w:rsidRPr="0049264C">
        <w:rPr>
          <w:rFonts w:cs="Times New Roman"/>
          <w:noProof/>
          <w:szCs w:val="24"/>
        </w:rPr>
        <w:t xml:space="preserve"> gene using PCR-RFLP. </w:t>
      </w:r>
      <w:r w:rsidRPr="0049264C">
        <w:rPr>
          <w:rFonts w:cs="Times New Roman"/>
          <w:i/>
          <w:iCs/>
          <w:noProof/>
          <w:szCs w:val="24"/>
        </w:rPr>
        <w:t>J. Med. Microbiol.</w:t>
      </w:r>
      <w:r w:rsidRPr="0049264C">
        <w:rPr>
          <w:rFonts w:cs="Times New Roman"/>
          <w:noProof/>
          <w:szCs w:val="24"/>
        </w:rPr>
        <w:t xml:space="preserve"> 56, 208–216. doi:10.1099/jmm.0.46948-0.</w:t>
      </w:r>
    </w:p>
    <w:p w14:paraId="73F98AB3"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Couch, J. L., and Betley, M. J. (1989). Nucleotide sequence of the type C3 staphylococcal enterotoxin gene suggests that intergenic recombination causes antigenic variation. </w:t>
      </w:r>
      <w:r w:rsidRPr="0049264C">
        <w:rPr>
          <w:rFonts w:cs="Times New Roman"/>
          <w:i/>
          <w:iCs/>
          <w:noProof/>
          <w:szCs w:val="24"/>
        </w:rPr>
        <w:t>J. Bacteriol.</w:t>
      </w:r>
      <w:r w:rsidRPr="0049264C">
        <w:rPr>
          <w:rFonts w:cs="Times New Roman"/>
          <w:noProof/>
          <w:szCs w:val="24"/>
        </w:rPr>
        <w:t xml:space="preserve"> 171, 4507–4510. doi:10.1128/jb.171.8.4507-4510.1989.</w:t>
      </w:r>
    </w:p>
    <w:p w14:paraId="474ADEC0" w14:textId="77777777" w:rsidR="0049264C" w:rsidRPr="009E0F3F" w:rsidRDefault="0049264C" w:rsidP="002A2676">
      <w:pPr>
        <w:widowControl w:val="0"/>
        <w:autoSpaceDE w:val="0"/>
        <w:autoSpaceDN w:val="0"/>
        <w:adjustRightInd w:val="0"/>
        <w:ind w:left="480" w:hanging="480"/>
        <w:jc w:val="both"/>
        <w:rPr>
          <w:rFonts w:cs="Times New Roman"/>
          <w:noProof/>
          <w:szCs w:val="24"/>
          <w:lang w:val="fr-FR"/>
        </w:rPr>
      </w:pPr>
      <w:r w:rsidRPr="0049264C">
        <w:rPr>
          <w:rFonts w:cs="Times New Roman"/>
          <w:noProof/>
          <w:szCs w:val="24"/>
        </w:rPr>
        <w:t xml:space="preserve">Couch, J. L., Soltis, M. T., and Betley, M. J. (1988). Cloning and nucleotide sequence of the type E staphylococcal enterotoxin gene. </w:t>
      </w:r>
      <w:r w:rsidRPr="009E0F3F">
        <w:rPr>
          <w:rFonts w:cs="Times New Roman"/>
          <w:i/>
          <w:iCs/>
          <w:noProof/>
          <w:szCs w:val="24"/>
          <w:lang w:val="fr-FR"/>
        </w:rPr>
        <w:t>J. Bacteriol.</w:t>
      </w:r>
      <w:r w:rsidRPr="009E0F3F">
        <w:rPr>
          <w:rFonts w:cs="Times New Roman"/>
          <w:noProof/>
          <w:szCs w:val="24"/>
          <w:lang w:val="fr-FR"/>
        </w:rPr>
        <w:t xml:space="preserve"> 170, 2954–2970. doi:10.1128/jb.170.7.2954-2960.1988.</w:t>
      </w:r>
    </w:p>
    <w:p w14:paraId="1E5050FB"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9E0F3F">
        <w:rPr>
          <w:rFonts w:cs="Times New Roman"/>
          <w:noProof/>
          <w:szCs w:val="24"/>
          <w:lang w:val="fr-FR"/>
        </w:rPr>
        <w:t xml:space="preserve">Cremonesi, P., Luzzana, M., Brasca, M., Morandi, S., Lodi, R., Vimercati, C., et al. </w:t>
      </w:r>
      <w:r w:rsidRPr="0049264C">
        <w:rPr>
          <w:rFonts w:cs="Times New Roman"/>
          <w:noProof/>
          <w:szCs w:val="24"/>
        </w:rPr>
        <w:t xml:space="preserve">(2005). Development of a multiplex PCR assay for the identification of </w:t>
      </w:r>
      <w:r w:rsidRPr="002A2676">
        <w:rPr>
          <w:rFonts w:cs="Times New Roman"/>
          <w:i/>
          <w:noProof/>
          <w:szCs w:val="24"/>
        </w:rPr>
        <w:t>Staphylococcus aureus</w:t>
      </w:r>
      <w:r w:rsidRPr="0049264C">
        <w:rPr>
          <w:rFonts w:cs="Times New Roman"/>
          <w:noProof/>
          <w:szCs w:val="24"/>
        </w:rPr>
        <w:t xml:space="preserve"> enterotoxigenic strains isolated from milk and dairy products. </w:t>
      </w:r>
      <w:r w:rsidRPr="0049264C">
        <w:rPr>
          <w:rFonts w:cs="Times New Roman"/>
          <w:i/>
          <w:iCs/>
          <w:noProof/>
          <w:szCs w:val="24"/>
        </w:rPr>
        <w:t>Mol. Cell. Probes</w:t>
      </w:r>
      <w:r w:rsidRPr="0049264C">
        <w:rPr>
          <w:rFonts w:cs="Times New Roman"/>
          <w:noProof/>
          <w:szCs w:val="24"/>
        </w:rPr>
        <w:t xml:space="preserve"> 19, 299–305. doi:10.1016/j.mcp.2005.03.002.</w:t>
      </w:r>
    </w:p>
    <w:p w14:paraId="0A3F6FE0"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Etter, D., Schelin, J., Schuppler, M., and Johler, S. (2020). Staphylococcal Enterotoxin C—An Update on SEC Variants, Their Structure and Properties, and Their Role in Foodborne Intoxications. </w:t>
      </w:r>
      <w:r w:rsidRPr="0049264C">
        <w:rPr>
          <w:rFonts w:cs="Times New Roman"/>
          <w:i/>
          <w:iCs/>
          <w:noProof/>
          <w:szCs w:val="24"/>
        </w:rPr>
        <w:t>Toxins (Basel).</w:t>
      </w:r>
      <w:r w:rsidRPr="0049264C">
        <w:rPr>
          <w:rFonts w:cs="Times New Roman"/>
          <w:noProof/>
          <w:szCs w:val="24"/>
        </w:rPr>
        <w:t xml:space="preserve"> 12, 584. doi:10.3390/toxins12090584.</w:t>
      </w:r>
    </w:p>
    <w:p w14:paraId="3EB38AD0"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Fitzgerald, J. R., Monday, S. R., Foster, T. J., Bohach, G. A., Hartigan, P. J., Meaney, W. J., et al. (2001). Characterization of a putative pathogenicity island from bovine </w:t>
      </w:r>
      <w:r w:rsidRPr="002A2676">
        <w:rPr>
          <w:rFonts w:cs="Times New Roman"/>
          <w:i/>
          <w:noProof/>
          <w:szCs w:val="24"/>
        </w:rPr>
        <w:t>Staphylococcus aureus</w:t>
      </w:r>
      <w:r w:rsidRPr="0049264C">
        <w:rPr>
          <w:rFonts w:cs="Times New Roman"/>
          <w:noProof/>
          <w:szCs w:val="24"/>
        </w:rPr>
        <w:t xml:space="preserve"> encoding multiple superantigens. </w:t>
      </w:r>
      <w:r w:rsidRPr="0049264C">
        <w:rPr>
          <w:rFonts w:cs="Times New Roman"/>
          <w:i/>
          <w:iCs/>
          <w:noProof/>
          <w:szCs w:val="24"/>
        </w:rPr>
        <w:t>J. Bacteriol.</w:t>
      </w:r>
      <w:r w:rsidRPr="0049264C">
        <w:rPr>
          <w:rFonts w:cs="Times New Roman"/>
          <w:noProof/>
          <w:szCs w:val="24"/>
        </w:rPr>
        <w:t xml:space="preserve"> 183, 63–70. doi:10.1128/JB.183.1.63-70.2001.</w:t>
      </w:r>
    </w:p>
    <w:p w14:paraId="08E12E60" w14:textId="77777777" w:rsidR="0049264C" w:rsidRPr="009E0F3F" w:rsidRDefault="0049264C" w:rsidP="002A2676">
      <w:pPr>
        <w:widowControl w:val="0"/>
        <w:autoSpaceDE w:val="0"/>
        <w:autoSpaceDN w:val="0"/>
        <w:adjustRightInd w:val="0"/>
        <w:ind w:left="480" w:hanging="480"/>
        <w:jc w:val="both"/>
        <w:rPr>
          <w:rFonts w:cs="Times New Roman"/>
          <w:noProof/>
          <w:szCs w:val="24"/>
          <w:lang w:val="fr-FR"/>
        </w:rPr>
      </w:pPr>
      <w:r w:rsidRPr="0049264C">
        <w:rPr>
          <w:rFonts w:cs="Times New Roman"/>
          <w:noProof/>
          <w:szCs w:val="24"/>
        </w:rPr>
        <w:t xml:space="preserve">Fursova, K., Sorokin, A., Sokolov, S., Dzhelyadin, T., Shulcheva, I., Shchannikova, M., et al. (2020). Virulence Factors and Phylogeny of </w:t>
      </w:r>
      <w:r w:rsidRPr="002A2676">
        <w:rPr>
          <w:rFonts w:cs="Times New Roman"/>
          <w:i/>
          <w:noProof/>
          <w:szCs w:val="24"/>
        </w:rPr>
        <w:t>Staphylococcus aureus</w:t>
      </w:r>
      <w:r w:rsidRPr="0049264C">
        <w:rPr>
          <w:rFonts w:cs="Times New Roman"/>
          <w:noProof/>
          <w:szCs w:val="24"/>
        </w:rPr>
        <w:t xml:space="preserve"> Associated With Bovine Mastitis in Russia Based on Genome Sequences. </w:t>
      </w:r>
      <w:r w:rsidRPr="009E0F3F">
        <w:rPr>
          <w:rFonts w:cs="Times New Roman"/>
          <w:i/>
          <w:iCs/>
          <w:noProof/>
          <w:szCs w:val="24"/>
          <w:lang w:val="fr-FR"/>
        </w:rPr>
        <w:t>Front. Vet. Sci.</w:t>
      </w:r>
      <w:r w:rsidRPr="009E0F3F">
        <w:rPr>
          <w:rFonts w:cs="Times New Roman"/>
          <w:noProof/>
          <w:szCs w:val="24"/>
          <w:lang w:val="fr-FR"/>
        </w:rPr>
        <w:t xml:space="preserve"> 7, 1–10. doi:10.3389/fvets.2020.00135.</w:t>
      </w:r>
    </w:p>
    <w:p w14:paraId="41BCC010"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9E0F3F">
        <w:rPr>
          <w:rFonts w:cs="Times New Roman"/>
          <w:noProof/>
          <w:szCs w:val="24"/>
          <w:lang w:val="fr-FR"/>
        </w:rPr>
        <w:t xml:space="preserve">Heymans, F., Fischer, A., Stow, N. W., Girard, M., Vourexakis, Z., Courtis, A. Des, et al. </w:t>
      </w:r>
      <w:r w:rsidRPr="0049264C">
        <w:rPr>
          <w:rFonts w:cs="Times New Roman"/>
          <w:noProof/>
          <w:szCs w:val="24"/>
        </w:rPr>
        <w:t xml:space="preserve">(2010). Screening for Staphylococcal Superantigen Genes Shows No Correlation with the Presence or the Severity of Chronic Rhinosinusitis and Nasal Polyposis. </w:t>
      </w:r>
      <w:r w:rsidRPr="0049264C">
        <w:rPr>
          <w:rFonts w:cs="Times New Roman"/>
          <w:i/>
          <w:iCs/>
          <w:noProof/>
          <w:szCs w:val="24"/>
        </w:rPr>
        <w:t>PLoS One</w:t>
      </w:r>
      <w:r w:rsidRPr="0049264C">
        <w:rPr>
          <w:rFonts w:cs="Times New Roman"/>
          <w:noProof/>
          <w:szCs w:val="24"/>
        </w:rPr>
        <w:t xml:space="preserve"> 5, e9525. doi:10.1371/journal.pone.0009525.</w:t>
      </w:r>
    </w:p>
    <w:p w14:paraId="0120FF95"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Holtfreter, S., Grumann, D., Schmudde, M., Nguyen, H. T. T., Eichler, P., Strommenger, B., et al. (2007). Clonal distribution of superantigen genes in clinical </w:t>
      </w:r>
      <w:r w:rsidRPr="002A2676">
        <w:rPr>
          <w:rFonts w:cs="Times New Roman"/>
          <w:i/>
          <w:noProof/>
          <w:szCs w:val="24"/>
        </w:rPr>
        <w:t>Staphylococcus aureus</w:t>
      </w:r>
      <w:r w:rsidRPr="0049264C">
        <w:rPr>
          <w:rFonts w:cs="Times New Roman"/>
          <w:noProof/>
          <w:szCs w:val="24"/>
        </w:rPr>
        <w:t xml:space="preserve"> isolates. </w:t>
      </w:r>
      <w:r w:rsidRPr="0049264C">
        <w:rPr>
          <w:rFonts w:cs="Times New Roman"/>
          <w:i/>
          <w:iCs/>
          <w:noProof/>
          <w:szCs w:val="24"/>
        </w:rPr>
        <w:t>J. Clin. Microbiol.</w:t>
      </w:r>
      <w:r w:rsidRPr="0049264C">
        <w:rPr>
          <w:rFonts w:cs="Times New Roman"/>
          <w:noProof/>
          <w:szCs w:val="24"/>
        </w:rPr>
        <w:t xml:space="preserve"> 45, 2669–2680. doi:10.1128/JCM.00204-07.</w:t>
      </w:r>
    </w:p>
    <w:p w14:paraId="69F99B78" w14:textId="77777777" w:rsidR="0049264C" w:rsidRPr="009E0F3F" w:rsidRDefault="0049264C" w:rsidP="002A2676">
      <w:pPr>
        <w:widowControl w:val="0"/>
        <w:autoSpaceDE w:val="0"/>
        <w:autoSpaceDN w:val="0"/>
        <w:adjustRightInd w:val="0"/>
        <w:ind w:left="480" w:hanging="480"/>
        <w:jc w:val="both"/>
        <w:rPr>
          <w:rFonts w:cs="Times New Roman"/>
          <w:noProof/>
          <w:szCs w:val="24"/>
          <w:lang w:val="fr-FR"/>
        </w:rPr>
      </w:pPr>
      <w:r w:rsidRPr="0049264C">
        <w:rPr>
          <w:rFonts w:cs="Times New Roman"/>
          <w:noProof/>
          <w:szCs w:val="24"/>
        </w:rPr>
        <w:t xml:space="preserve">Jarraud, S., Cozon, G., Vandenesch, F., Bes, M., Etienne, J., and Lina, G. (1999). Involvement of enterotoxins G and I in staphylococcal toxic shock syndrome and staphylococcal scarlet fever. </w:t>
      </w:r>
      <w:r w:rsidRPr="009E0F3F">
        <w:rPr>
          <w:rFonts w:cs="Times New Roman"/>
          <w:i/>
          <w:iCs/>
          <w:noProof/>
          <w:szCs w:val="24"/>
          <w:lang w:val="fr-FR"/>
        </w:rPr>
        <w:t>J. Clin. Microbiol.</w:t>
      </w:r>
      <w:r w:rsidRPr="009E0F3F">
        <w:rPr>
          <w:rFonts w:cs="Times New Roman"/>
          <w:noProof/>
          <w:szCs w:val="24"/>
          <w:lang w:val="fr-FR"/>
        </w:rPr>
        <w:t xml:space="preserve"> 37, 2446–2449. doi:10.1128/jcm.37.8.2446-2449.1999.</w:t>
      </w:r>
    </w:p>
    <w:p w14:paraId="27CE281B"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9E0F3F">
        <w:rPr>
          <w:rFonts w:cs="Times New Roman"/>
          <w:noProof/>
          <w:szCs w:val="24"/>
          <w:lang w:val="fr-FR"/>
        </w:rPr>
        <w:t xml:space="preserve">Jarraud, S., Mougel, C., Thioulouse, J., Lina, G., Meugnier, H., Forey, F., et al. </w:t>
      </w:r>
      <w:r w:rsidRPr="0049264C">
        <w:rPr>
          <w:rFonts w:cs="Times New Roman"/>
          <w:noProof/>
          <w:szCs w:val="24"/>
        </w:rPr>
        <w:t xml:space="preserve">(2002). Relationships between </w:t>
      </w:r>
      <w:r w:rsidRPr="002A2676">
        <w:rPr>
          <w:rFonts w:cs="Times New Roman"/>
          <w:i/>
          <w:noProof/>
          <w:szCs w:val="24"/>
        </w:rPr>
        <w:t>Staphylococcus aureus</w:t>
      </w:r>
      <w:r w:rsidRPr="0049264C">
        <w:rPr>
          <w:rFonts w:cs="Times New Roman"/>
          <w:noProof/>
          <w:szCs w:val="24"/>
        </w:rPr>
        <w:t xml:space="preserve"> genetic background, virulence factors, agr groups (alleles), and </w:t>
      </w:r>
      <w:r w:rsidRPr="0049264C">
        <w:rPr>
          <w:rFonts w:cs="Times New Roman"/>
          <w:noProof/>
          <w:szCs w:val="24"/>
        </w:rPr>
        <w:lastRenderedPageBreak/>
        <w:t xml:space="preserve">human disease. </w:t>
      </w:r>
      <w:r w:rsidRPr="0049264C">
        <w:rPr>
          <w:rFonts w:cs="Times New Roman"/>
          <w:i/>
          <w:iCs/>
          <w:noProof/>
          <w:szCs w:val="24"/>
        </w:rPr>
        <w:t>Infect. Immun.</w:t>
      </w:r>
      <w:r w:rsidRPr="0049264C">
        <w:rPr>
          <w:rFonts w:cs="Times New Roman"/>
          <w:noProof/>
          <w:szCs w:val="24"/>
        </w:rPr>
        <w:t xml:space="preserve"> 70, 631–641. doi:10.1128/IAI.70.2.631-641.2002.</w:t>
      </w:r>
    </w:p>
    <w:p w14:paraId="2AE56D20"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Johler, S., Sihto, H.-M., Macori, G., and Stephan, R. (2016). Sequence Variability in Staphylococcal Enterotoxin Genes </w:t>
      </w:r>
      <w:r w:rsidRPr="002A2676">
        <w:rPr>
          <w:rFonts w:cs="Times New Roman"/>
          <w:i/>
          <w:noProof/>
          <w:szCs w:val="24"/>
        </w:rPr>
        <w:t>seb</w:t>
      </w:r>
      <w:r w:rsidRPr="0049264C">
        <w:rPr>
          <w:rFonts w:cs="Times New Roman"/>
          <w:noProof/>
          <w:szCs w:val="24"/>
        </w:rPr>
        <w:t xml:space="preserve">, </w:t>
      </w:r>
      <w:r w:rsidRPr="002A2676">
        <w:rPr>
          <w:rFonts w:cs="Times New Roman"/>
          <w:i/>
          <w:noProof/>
          <w:szCs w:val="24"/>
        </w:rPr>
        <w:t>sec</w:t>
      </w:r>
      <w:r w:rsidRPr="0049264C">
        <w:rPr>
          <w:rFonts w:cs="Times New Roman"/>
          <w:noProof/>
          <w:szCs w:val="24"/>
        </w:rPr>
        <w:t xml:space="preserve">, and </w:t>
      </w:r>
      <w:r w:rsidRPr="002A2676">
        <w:rPr>
          <w:rFonts w:cs="Times New Roman"/>
          <w:i/>
          <w:noProof/>
          <w:szCs w:val="24"/>
        </w:rPr>
        <w:t>sed</w:t>
      </w:r>
      <w:r w:rsidRPr="0049264C">
        <w:rPr>
          <w:rFonts w:cs="Times New Roman"/>
          <w:noProof/>
          <w:szCs w:val="24"/>
        </w:rPr>
        <w:t xml:space="preserve">. </w:t>
      </w:r>
      <w:r w:rsidRPr="0049264C">
        <w:rPr>
          <w:rFonts w:cs="Times New Roman"/>
          <w:i/>
          <w:iCs/>
          <w:noProof/>
          <w:szCs w:val="24"/>
        </w:rPr>
        <w:t>Toxins (Basel).</w:t>
      </w:r>
      <w:r w:rsidRPr="0049264C">
        <w:rPr>
          <w:rFonts w:cs="Times New Roman"/>
          <w:noProof/>
          <w:szCs w:val="24"/>
        </w:rPr>
        <w:t xml:space="preserve"> 8, 169. doi:10.3390/toxins8060169.</w:t>
      </w:r>
    </w:p>
    <w:p w14:paraId="3E982BE2"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Johnson, W. M., Tyler, S. D., Ewan, E. P., Ashton, F. E., Pollard, D. R., and Rozee, K. R. (1991). Detection of genes for enterotoxins, exfoliative toxins, and toxic shock syndrome toxin 1 in </w:t>
      </w:r>
      <w:r w:rsidRPr="002A2676">
        <w:rPr>
          <w:rFonts w:cs="Times New Roman"/>
          <w:i/>
          <w:noProof/>
          <w:szCs w:val="24"/>
        </w:rPr>
        <w:t>Staphylococcus aureus</w:t>
      </w:r>
      <w:r w:rsidRPr="0049264C">
        <w:rPr>
          <w:rFonts w:cs="Times New Roman"/>
          <w:noProof/>
          <w:szCs w:val="24"/>
        </w:rPr>
        <w:t xml:space="preserve"> by the polymerase chain reaction. </w:t>
      </w:r>
      <w:r w:rsidRPr="0049264C">
        <w:rPr>
          <w:rFonts w:cs="Times New Roman"/>
          <w:i/>
          <w:iCs/>
          <w:noProof/>
          <w:szCs w:val="24"/>
        </w:rPr>
        <w:t>J. Clin. Microbiol.</w:t>
      </w:r>
      <w:r w:rsidRPr="0049264C">
        <w:rPr>
          <w:rFonts w:cs="Times New Roman"/>
          <w:noProof/>
          <w:szCs w:val="24"/>
        </w:rPr>
        <w:t xml:space="preserve"> 29, 426–430. doi:10.1128/jcm.29.3.426-430.1991.</w:t>
      </w:r>
    </w:p>
    <w:p w14:paraId="6ED84CF9"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Letertre, C., Perelle, S., Dilasser, F., and Fach, P. (2003). Identification of a new putative enterotoxin SEU encoded by the </w:t>
      </w:r>
      <w:r w:rsidRPr="002A2676">
        <w:rPr>
          <w:rFonts w:cs="Times New Roman"/>
          <w:i/>
          <w:noProof/>
          <w:szCs w:val="24"/>
        </w:rPr>
        <w:t>egc</w:t>
      </w:r>
      <w:r w:rsidRPr="0049264C">
        <w:rPr>
          <w:rFonts w:cs="Times New Roman"/>
          <w:noProof/>
          <w:szCs w:val="24"/>
        </w:rPr>
        <w:t xml:space="preserve"> cluster of </w:t>
      </w:r>
      <w:r w:rsidRPr="002A2676">
        <w:rPr>
          <w:rFonts w:cs="Times New Roman"/>
          <w:i/>
          <w:noProof/>
          <w:szCs w:val="24"/>
        </w:rPr>
        <w:t>Staphylococcus aureus</w:t>
      </w:r>
      <w:r w:rsidRPr="0049264C">
        <w:rPr>
          <w:rFonts w:cs="Times New Roman"/>
          <w:noProof/>
          <w:szCs w:val="24"/>
        </w:rPr>
        <w:t xml:space="preserve">. </w:t>
      </w:r>
      <w:r w:rsidRPr="0049264C">
        <w:rPr>
          <w:rFonts w:cs="Times New Roman"/>
          <w:i/>
          <w:iCs/>
          <w:noProof/>
          <w:szCs w:val="24"/>
        </w:rPr>
        <w:t>J. Appl. Microbiol.</w:t>
      </w:r>
      <w:r w:rsidRPr="0049264C">
        <w:rPr>
          <w:rFonts w:cs="Times New Roman"/>
          <w:noProof/>
          <w:szCs w:val="24"/>
        </w:rPr>
        <w:t xml:space="preserve"> 95, 38–43. doi:10.1046/j.1365-2672.2003.01957.x.</w:t>
      </w:r>
    </w:p>
    <w:p w14:paraId="7B0DDE6B"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Liang, C., Schaack, D., Srivastava, M., Gupta, S., Sarukhanyan, E., Giese, A., et al. (2016). A </w:t>
      </w:r>
      <w:r w:rsidRPr="002A2676">
        <w:rPr>
          <w:rFonts w:cs="Times New Roman"/>
          <w:i/>
          <w:noProof/>
          <w:szCs w:val="24"/>
        </w:rPr>
        <w:t>Staphylococcus aureus</w:t>
      </w:r>
      <w:r w:rsidRPr="0049264C">
        <w:rPr>
          <w:rFonts w:cs="Times New Roman"/>
          <w:noProof/>
          <w:szCs w:val="24"/>
        </w:rPr>
        <w:t xml:space="preserve"> Proteome Overview: Shared and Specific Proteins and Protein Complexes from Representative Strains of All Three Clades. </w:t>
      </w:r>
      <w:r w:rsidRPr="0049264C">
        <w:rPr>
          <w:rFonts w:cs="Times New Roman"/>
          <w:i/>
          <w:iCs/>
          <w:noProof/>
          <w:szCs w:val="24"/>
        </w:rPr>
        <w:t>Proteomes</w:t>
      </w:r>
      <w:r w:rsidRPr="0049264C">
        <w:rPr>
          <w:rFonts w:cs="Times New Roman"/>
          <w:noProof/>
          <w:szCs w:val="24"/>
        </w:rPr>
        <w:t xml:space="preserve"> 4, 8. doi:10.3390/proteomes4010008.</w:t>
      </w:r>
    </w:p>
    <w:p w14:paraId="5E1AB9B6"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Mclauchlin, J., Narayanan, G. L., Mithani, V., and O’Neill, G. (2000). The detection of enterotoxins and toxic shock syndrome toxin genes in </w:t>
      </w:r>
      <w:r w:rsidRPr="002A2676">
        <w:rPr>
          <w:rFonts w:cs="Times New Roman"/>
          <w:i/>
          <w:noProof/>
          <w:szCs w:val="24"/>
        </w:rPr>
        <w:t>Staphylococcus aureus</w:t>
      </w:r>
      <w:r w:rsidRPr="0049264C">
        <w:rPr>
          <w:rFonts w:cs="Times New Roman"/>
          <w:noProof/>
          <w:szCs w:val="24"/>
        </w:rPr>
        <w:t xml:space="preserve"> by polymerase chain reaction. </w:t>
      </w:r>
      <w:r w:rsidRPr="0049264C">
        <w:rPr>
          <w:rFonts w:cs="Times New Roman"/>
          <w:i/>
          <w:iCs/>
          <w:noProof/>
          <w:szCs w:val="24"/>
        </w:rPr>
        <w:t>J. Food Prot.</w:t>
      </w:r>
      <w:r w:rsidRPr="0049264C">
        <w:rPr>
          <w:rFonts w:cs="Times New Roman"/>
          <w:noProof/>
          <w:szCs w:val="24"/>
        </w:rPr>
        <w:t xml:space="preserve"> 63, 479–488. doi:10.4315/0362-028X-63.4.479.</w:t>
      </w:r>
    </w:p>
    <w:p w14:paraId="42536B49"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Mehrotra, M., Wang, G., and Johnson, W. M. (2000). Multiplex PCR for Detection of Genes for Staphylococcus aureus Enterotoxins, Exfoliative Toxins, Toxic Shock Syndrome Toxin 1, and Methicillin Resistance. </w:t>
      </w:r>
      <w:r w:rsidRPr="0049264C">
        <w:rPr>
          <w:rFonts w:cs="Times New Roman"/>
          <w:i/>
          <w:iCs/>
          <w:noProof/>
          <w:szCs w:val="24"/>
        </w:rPr>
        <w:t>J. Clin. Microbiol.</w:t>
      </w:r>
      <w:r w:rsidRPr="0049264C">
        <w:rPr>
          <w:rFonts w:cs="Times New Roman"/>
          <w:noProof/>
          <w:szCs w:val="24"/>
        </w:rPr>
        <w:t xml:space="preserve"> 38, 1032–1035. doi:10.1128/JCM.38.3.1032-1035.2000.</w:t>
      </w:r>
    </w:p>
    <w:p w14:paraId="1547A624"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Merda, D., Felten, A., Vingadassalon, N., Denayer, S., Titouche, Y., Decastelli, L., et al. (2020). NAuRA: Genomic Tool to Identify Staphylococcal Enterotoxins in </w:t>
      </w:r>
      <w:r w:rsidRPr="002A2676">
        <w:rPr>
          <w:rFonts w:cs="Times New Roman"/>
          <w:i/>
          <w:noProof/>
          <w:szCs w:val="24"/>
        </w:rPr>
        <w:t>Staphylococcus aureus</w:t>
      </w:r>
      <w:r w:rsidRPr="0049264C">
        <w:rPr>
          <w:rFonts w:cs="Times New Roman"/>
          <w:noProof/>
          <w:szCs w:val="24"/>
        </w:rPr>
        <w:t xml:space="preserve"> Strains Responsible for FoodBorne Outbreaks. </w:t>
      </w:r>
      <w:r w:rsidRPr="0049264C">
        <w:rPr>
          <w:rFonts w:cs="Times New Roman"/>
          <w:i/>
          <w:iCs/>
          <w:noProof/>
          <w:szCs w:val="24"/>
        </w:rPr>
        <w:t>Front. Microbiol.</w:t>
      </w:r>
      <w:r w:rsidRPr="0049264C">
        <w:rPr>
          <w:rFonts w:cs="Times New Roman"/>
          <w:noProof/>
          <w:szCs w:val="24"/>
        </w:rPr>
        <w:t xml:space="preserve"> 11, 1–12. doi:10.3389/fmicb.2020.01483.</w:t>
      </w:r>
    </w:p>
    <w:p w14:paraId="78BD65A7"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Monday, S. R., and Bohach, G. A. (1999). Use of Multiplex PCR To Detect Classical and Newly Described Pyrogenic Toxin Genes in Staphylococcal Isolates. </w:t>
      </w:r>
      <w:r w:rsidRPr="0049264C">
        <w:rPr>
          <w:rFonts w:cs="Times New Roman"/>
          <w:i/>
          <w:iCs/>
          <w:noProof/>
          <w:szCs w:val="24"/>
        </w:rPr>
        <w:t>J. Clin. Microbiol.</w:t>
      </w:r>
      <w:r w:rsidRPr="0049264C">
        <w:rPr>
          <w:rFonts w:cs="Times New Roman"/>
          <w:noProof/>
          <w:szCs w:val="24"/>
        </w:rPr>
        <w:t xml:space="preserve"> 37, 3411–3414. doi:10.1128/JCM.37.10.3411-3414.1999.</w:t>
      </w:r>
    </w:p>
    <w:p w14:paraId="14F1A8D0"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Nagaraj, S., Ramlal, S., Sripathy, M. H., and Batra, H. V. (2014). Development and evaluation of a novel combinatorial selective enrichment and multiplex PCR technique for molecular detection of major virulence-associated genes of enterotoxigenic </w:t>
      </w:r>
      <w:r w:rsidRPr="002A2676">
        <w:rPr>
          <w:rFonts w:cs="Times New Roman"/>
          <w:i/>
          <w:noProof/>
          <w:szCs w:val="24"/>
        </w:rPr>
        <w:t>Staphylococcus aureus</w:t>
      </w:r>
      <w:r w:rsidRPr="0049264C">
        <w:rPr>
          <w:rFonts w:cs="Times New Roman"/>
          <w:noProof/>
          <w:szCs w:val="24"/>
        </w:rPr>
        <w:t xml:space="preserve"> in food samples. </w:t>
      </w:r>
      <w:r w:rsidRPr="0049264C">
        <w:rPr>
          <w:rFonts w:cs="Times New Roman"/>
          <w:i/>
          <w:iCs/>
          <w:noProof/>
          <w:szCs w:val="24"/>
        </w:rPr>
        <w:t>J. Appl. Microbiol.</w:t>
      </w:r>
      <w:r w:rsidRPr="0049264C">
        <w:rPr>
          <w:rFonts w:cs="Times New Roman"/>
          <w:noProof/>
          <w:szCs w:val="24"/>
        </w:rPr>
        <w:t xml:space="preserve"> 116, 435–446. doi:10.1111/jam.12364.</w:t>
      </w:r>
    </w:p>
    <w:p w14:paraId="15E5F1D5"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Omoe, K., Hu, D. L., Takahashi-Omoe, H., Nakane, A., and Shinagawa, K. (2005). Comprehensive analysis of classical and newly described staphylococcal superantigenic toxin genes in </w:t>
      </w:r>
      <w:r w:rsidRPr="002A2676">
        <w:rPr>
          <w:rFonts w:cs="Times New Roman"/>
          <w:i/>
          <w:noProof/>
          <w:szCs w:val="24"/>
        </w:rPr>
        <w:t>Staphylococcus aureus</w:t>
      </w:r>
      <w:r w:rsidRPr="0049264C">
        <w:rPr>
          <w:rFonts w:cs="Times New Roman"/>
          <w:noProof/>
          <w:szCs w:val="24"/>
        </w:rPr>
        <w:t xml:space="preserve"> isolates. </w:t>
      </w:r>
      <w:r w:rsidRPr="0049264C">
        <w:rPr>
          <w:rFonts w:cs="Times New Roman"/>
          <w:i/>
          <w:iCs/>
          <w:noProof/>
          <w:szCs w:val="24"/>
        </w:rPr>
        <w:t>FEMS Microbiol. Lett.</w:t>
      </w:r>
      <w:r w:rsidRPr="0049264C">
        <w:rPr>
          <w:rFonts w:cs="Times New Roman"/>
          <w:noProof/>
          <w:szCs w:val="24"/>
        </w:rPr>
        <w:t xml:space="preserve"> 246, 191–198. doi:10.1016/j.femsle.2005.04.007.</w:t>
      </w:r>
    </w:p>
    <w:p w14:paraId="317B29AF"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Omoe, K., Ishikawa, M., Shimoda, Y., Hu, D. L., Ueda, S., and Shinagawa, K. (2002). Detection of </w:t>
      </w:r>
      <w:r w:rsidRPr="002A2676">
        <w:rPr>
          <w:rFonts w:cs="Times New Roman"/>
          <w:i/>
          <w:noProof/>
          <w:szCs w:val="24"/>
        </w:rPr>
        <w:t>seg</w:t>
      </w:r>
      <w:r w:rsidRPr="0049264C">
        <w:rPr>
          <w:rFonts w:cs="Times New Roman"/>
          <w:noProof/>
          <w:szCs w:val="24"/>
        </w:rPr>
        <w:t xml:space="preserve">, </w:t>
      </w:r>
      <w:r w:rsidRPr="002A2676">
        <w:rPr>
          <w:rFonts w:cs="Times New Roman"/>
          <w:i/>
          <w:noProof/>
          <w:szCs w:val="24"/>
        </w:rPr>
        <w:t>seh</w:t>
      </w:r>
      <w:r w:rsidRPr="0049264C">
        <w:rPr>
          <w:rFonts w:cs="Times New Roman"/>
          <w:noProof/>
          <w:szCs w:val="24"/>
        </w:rPr>
        <w:t xml:space="preserve">, and </w:t>
      </w:r>
      <w:r w:rsidRPr="002A2676">
        <w:rPr>
          <w:rFonts w:cs="Times New Roman"/>
          <w:i/>
          <w:noProof/>
          <w:szCs w:val="24"/>
        </w:rPr>
        <w:t xml:space="preserve">sei </w:t>
      </w:r>
      <w:r w:rsidRPr="0049264C">
        <w:rPr>
          <w:rFonts w:cs="Times New Roman"/>
          <w:noProof/>
          <w:szCs w:val="24"/>
        </w:rPr>
        <w:t xml:space="preserve">genes in </w:t>
      </w:r>
      <w:r w:rsidRPr="002A2676">
        <w:rPr>
          <w:rFonts w:cs="Times New Roman"/>
          <w:i/>
          <w:noProof/>
          <w:szCs w:val="24"/>
        </w:rPr>
        <w:t>Staphylococcus aureus</w:t>
      </w:r>
      <w:r w:rsidRPr="0049264C">
        <w:rPr>
          <w:rFonts w:cs="Times New Roman"/>
          <w:noProof/>
          <w:szCs w:val="24"/>
        </w:rPr>
        <w:t xml:space="preserve"> isolates and determination of the enterotoxin productivities of </w:t>
      </w:r>
      <w:r w:rsidRPr="002A2676">
        <w:rPr>
          <w:rFonts w:cs="Times New Roman"/>
          <w:i/>
          <w:noProof/>
          <w:szCs w:val="24"/>
        </w:rPr>
        <w:t>S. aureus</w:t>
      </w:r>
      <w:r w:rsidRPr="0049264C">
        <w:rPr>
          <w:rFonts w:cs="Times New Roman"/>
          <w:noProof/>
          <w:szCs w:val="24"/>
        </w:rPr>
        <w:t xml:space="preserve"> isolates harboring </w:t>
      </w:r>
      <w:r w:rsidRPr="002A2676">
        <w:rPr>
          <w:rFonts w:cs="Times New Roman"/>
          <w:i/>
          <w:noProof/>
          <w:szCs w:val="24"/>
        </w:rPr>
        <w:t>seg</w:t>
      </w:r>
      <w:r w:rsidRPr="0049264C">
        <w:rPr>
          <w:rFonts w:cs="Times New Roman"/>
          <w:noProof/>
          <w:szCs w:val="24"/>
        </w:rPr>
        <w:t xml:space="preserve">, </w:t>
      </w:r>
      <w:r w:rsidRPr="002A2676">
        <w:rPr>
          <w:rFonts w:cs="Times New Roman"/>
          <w:i/>
          <w:noProof/>
          <w:szCs w:val="24"/>
        </w:rPr>
        <w:t>seh</w:t>
      </w:r>
      <w:r w:rsidRPr="0049264C">
        <w:rPr>
          <w:rFonts w:cs="Times New Roman"/>
          <w:noProof/>
          <w:szCs w:val="24"/>
        </w:rPr>
        <w:t xml:space="preserve">, or </w:t>
      </w:r>
      <w:r w:rsidRPr="002A2676">
        <w:rPr>
          <w:rFonts w:cs="Times New Roman"/>
          <w:i/>
          <w:noProof/>
          <w:szCs w:val="24"/>
        </w:rPr>
        <w:t>sei</w:t>
      </w:r>
      <w:r w:rsidRPr="0049264C">
        <w:rPr>
          <w:rFonts w:cs="Times New Roman"/>
          <w:noProof/>
          <w:szCs w:val="24"/>
        </w:rPr>
        <w:t xml:space="preserve"> genes. </w:t>
      </w:r>
      <w:r w:rsidRPr="0049264C">
        <w:rPr>
          <w:rFonts w:cs="Times New Roman"/>
          <w:i/>
          <w:iCs/>
          <w:noProof/>
          <w:szCs w:val="24"/>
        </w:rPr>
        <w:t>J. Clin. Microbiol.</w:t>
      </w:r>
      <w:r w:rsidRPr="0049264C">
        <w:rPr>
          <w:rFonts w:cs="Times New Roman"/>
          <w:noProof/>
          <w:szCs w:val="24"/>
        </w:rPr>
        <w:t xml:space="preserve"> 40, 857–</w:t>
      </w:r>
      <w:r w:rsidRPr="0049264C">
        <w:rPr>
          <w:rFonts w:cs="Times New Roman"/>
          <w:noProof/>
          <w:szCs w:val="24"/>
        </w:rPr>
        <w:lastRenderedPageBreak/>
        <w:t>862. doi:10.1128/JCM.40.3.857-862.2002.</w:t>
      </w:r>
    </w:p>
    <w:p w14:paraId="5CFAE5FB" w14:textId="77777777" w:rsidR="0049264C" w:rsidRPr="009E0F3F" w:rsidRDefault="0049264C" w:rsidP="002A2676">
      <w:pPr>
        <w:widowControl w:val="0"/>
        <w:autoSpaceDE w:val="0"/>
        <w:autoSpaceDN w:val="0"/>
        <w:adjustRightInd w:val="0"/>
        <w:ind w:left="480" w:hanging="480"/>
        <w:jc w:val="both"/>
        <w:rPr>
          <w:rFonts w:cs="Times New Roman"/>
          <w:noProof/>
          <w:szCs w:val="24"/>
          <w:lang w:val="fr-FR"/>
        </w:rPr>
      </w:pPr>
      <w:r w:rsidRPr="0049264C">
        <w:rPr>
          <w:rFonts w:cs="Times New Roman"/>
          <w:noProof/>
          <w:szCs w:val="24"/>
        </w:rPr>
        <w:t xml:space="preserve">Ono, H. K., Omoe, K., Imanishi, K., Iwakabe, Y., Hu, D. L., Kato, H., et al. (2008). Identification and characterization of two novel staphylococcal enterotoxins, types S and T. </w:t>
      </w:r>
      <w:r w:rsidRPr="0049264C">
        <w:rPr>
          <w:rFonts w:cs="Times New Roman"/>
          <w:i/>
          <w:iCs/>
          <w:noProof/>
          <w:szCs w:val="24"/>
        </w:rPr>
        <w:t xml:space="preserve">Infect. </w:t>
      </w:r>
      <w:r w:rsidRPr="009E0F3F">
        <w:rPr>
          <w:rFonts w:cs="Times New Roman"/>
          <w:i/>
          <w:iCs/>
          <w:noProof/>
          <w:szCs w:val="24"/>
          <w:lang w:val="fr-FR"/>
        </w:rPr>
        <w:t>Immun.</w:t>
      </w:r>
      <w:r w:rsidRPr="009E0F3F">
        <w:rPr>
          <w:rFonts w:cs="Times New Roman"/>
          <w:noProof/>
          <w:szCs w:val="24"/>
          <w:lang w:val="fr-FR"/>
        </w:rPr>
        <w:t xml:space="preserve"> 76, 4999–5005. doi:10.1128/IAI.00045-08.</w:t>
      </w:r>
    </w:p>
    <w:p w14:paraId="2055ABFF" w14:textId="77777777" w:rsidR="0049264C" w:rsidRPr="009E0F3F" w:rsidRDefault="0049264C" w:rsidP="002A2676">
      <w:pPr>
        <w:widowControl w:val="0"/>
        <w:autoSpaceDE w:val="0"/>
        <w:autoSpaceDN w:val="0"/>
        <w:adjustRightInd w:val="0"/>
        <w:ind w:left="480" w:hanging="480"/>
        <w:jc w:val="both"/>
        <w:rPr>
          <w:rFonts w:cs="Times New Roman"/>
          <w:noProof/>
          <w:szCs w:val="24"/>
          <w:lang w:val="fr-FR"/>
        </w:rPr>
      </w:pPr>
      <w:r w:rsidRPr="009E0F3F">
        <w:rPr>
          <w:rFonts w:cs="Times New Roman"/>
          <w:noProof/>
          <w:szCs w:val="24"/>
          <w:lang w:val="fr-FR"/>
        </w:rPr>
        <w:t xml:space="preserve">Ono, H. K., Sato’o, Y., Narita, K., Naito, I., Hirose, S., Hisatsune, J., et al. </w:t>
      </w:r>
      <w:r w:rsidRPr="0049264C">
        <w:rPr>
          <w:rFonts w:cs="Times New Roman"/>
          <w:noProof/>
          <w:szCs w:val="24"/>
        </w:rPr>
        <w:t xml:space="preserve">(2015). Identification and characterization of a novel staphylococcal emetic toxin. </w:t>
      </w:r>
      <w:r w:rsidRPr="0049264C">
        <w:rPr>
          <w:rFonts w:cs="Times New Roman"/>
          <w:i/>
          <w:iCs/>
          <w:noProof/>
          <w:szCs w:val="24"/>
        </w:rPr>
        <w:t xml:space="preserve">Appl. </w:t>
      </w:r>
      <w:r w:rsidRPr="009E0F3F">
        <w:rPr>
          <w:rFonts w:cs="Times New Roman"/>
          <w:i/>
          <w:iCs/>
          <w:noProof/>
          <w:szCs w:val="24"/>
          <w:lang w:val="fr-FR"/>
        </w:rPr>
        <w:t>Environ. Microbiol.</w:t>
      </w:r>
      <w:r w:rsidRPr="009E0F3F">
        <w:rPr>
          <w:rFonts w:cs="Times New Roman"/>
          <w:noProof/>
          <w:szCs w:val="24"/>
          <w:lang w:val="fr-FR"/>
        </w:rPr>
        <w:t xml:space="preserve"> 81, 7034–7040. doi:10.1128/AEM.01873-15.</w:t>
      </w:r>
    </w:p>
    <w:p w14:paraId="11B41900"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9E0F3F">
        <w:rPr>
          <w:rFonts w:cs="Times New Roman"/>
          <w:noProof/>
          <w:szCs w:val="24"/>
          <w:lang w:val="fr-FR"/>
        </w:rPr>
        <w:t xml:space="preserve">Park, J. Y., Fox, L. K., Seo, K. S., McGuire, M. A., Park, Y. H., Rurangirwa, F. R., et al. </w:t>
      </w:r>
      <w:r w:rsidRPr="0049264C">
        <w:rPr>
          <w:rFonts w:cs="Times New Roman"/>
          <w:noProof/>
          <w:szCs w:val="24"/>
        </w:rPr>
        <w:t xml:space="preserve">(2011). Detection of classical and newly described staphylococcal superantigen genes in coagulase-negative staphylococci isolated from bovine intramammary infections. </w:t>
      </w:r>
      <w:r w:rsidRPr="0049264C">
        <w:rPr>
          <w:rFonts w:cs="Times New Roman"/>
          <w:i/>
          <w:iCs/>
          <w:noProof/>
          <w:szCs w:val="24"/>
        </w:rPr>
        <w:t>Vet. Microbiol.</w:t>
      </w:r>
      <w:r w:rsidRPr="0049264C">
        <w:rPr>
          <w:rFonts w:cs="Times New Roman"/>
          <w:noProof/>
          <w:szCs w:val="24"/>
        </w:rPr>
        <w:t xml:space="preserve"> 147, 149–154. doi:10.1016/j.vetmic.2010.06.021.</w:t>
      </w:r>
    </w:p>
    <w:p w14:paraId="452FD3CA" w14:textId="77777777" w:rsidR="0049264C" w:rsidRPr="009E0F3F" w:rsidRDefault="0049264C" w:rsidP="002A2676">
      <w:pPr>
        <w:widowControl w:val="0"/>
        <w:autoSpaceDE w:val="0"/>
        <w:autoSpaceDN w:val="0"/>
        <w:adjustRightInd w:val="0"/>
        <w:ind w:left="480" w:hanging="480"/>
        <w:jc w:val="both"/>
        <w:rPr>
          <w:rFonts w:cs="Times New Roman"/>
          <w:noProof/>
          <w:szCs w:val="24"/>
          <w:lang w:val="fr-FR"/>
        </w:rPr>
      </w:pPr>
      <w:r w:rsidRPr="0049264C">
        <w:rPr>
          <w:rFonts w:cs="Times New Roman"/>
          <w:noProof/>
          <w:szCs w:val="24"/>
        </w:rPr>
        <w:t xml:space="preserve">Roetzer, A., Haller, G., Beyerly, J., Geier, C. B., Wolf, H. M., Gruener, C. S., et al. (2016). Genotypic and phenotypic analysis of clinical isolates of </w:t>
      </w:r>
      <w:r w:rsidRPr="002A2676">
        <w:rPr>
          <w:rFonts w:cs="Times New Roman"/>
          <w:i/>
          <w:noProof/>
          <w:szCs w:val="24"/>
        </w:rPr>
        <w:t>Staphylococcus aureus</w:t>
      </w:r>
      <w:r w:rsidRPr="0049264C">
        <w:rPr>
          <w:rFonts w:cs="Times New Roman"/>
          <w:noProof/>
          <w:szCs w:val="24"/>
        </w:rPr>
        <w:t xml:space="preserve"> revealed production patterns and hemolytic potentials unlinked to gene profiles and source Clinical microbiology and vaccines. </w:t>
      </w:r>
      <w:r w:rsidRPr="009E0F3F">
        <w:rPr>
          <w:rFonts w:cs="Times New Roman"/>
          <w:i/>
          <w:iCs/>
          <w:noProof/>
          <w:szCs w:val="24"/>
          <w:lang w:val="fr-FR"/>
        </w:rPr>
        <w:t>BMC Microbiol.</w:t>
      </w:r>
      <w:r w:rsidRPr="009E0F3F">
        <w:rPr>
          <w:rFonts w:cs="Times New Roman"/>
          <w:noProof/>
          <w:szCs w:val="24"/>
          <w:lang w:val="fr-FR"/>
        </w:rPr>
        <w:t xml:space="preserve"> 16, 1–14. doi:10.1186/s12866-016-0630-x.</w:t>
      </w:r>
    </w:p>
    <w:p w14:paraId="56DCCE76" w14:textId="77777777" w:rsidR="0049264C" w:rsidRPr="009E0F3F" w:rsidRDefault="0049264C" w:rsidP="002A2676">
      <w:pPr>
        <w:widowControl w:val="0"/>
        <w:autoSpaceDE w:val="0"/>
        <w:autoSpaceDN w:val="0"/>
        <w:adjustRightInd w:val="0"/>
        <w:ind w:left="480" w:hanging="480"/>
        <w:jc w:val="both"/>
        <w:rPr>
          <w:rFonts w:cs="Times New Roman"/>
          <w:noProof/>
          <w:szCs w:val="24"/>
          <w:lang w:val="nl-BE"/>
        </w:rPr>
      </w:pPr>
      <w:r w:rsidRPr="009E0F3F">
        <w:rPr>
          <w:rFonts w:cs="Times New Roman"/>
          <w:noProof/>
          <w:szCs w:val="24"/>
          <w:lang w:val="fr-FR"/>
        </w:rPr>
        <w:t xml:space="preserve">Roussel, S., Felix, B., Vingadassalon, N., Grout, J., Hennekinne, J.-A., Guillier, L., et al. </w:t>
      </w:r>
      <w:r w:rsidRPr="0049264C">
        <w:rPr>
          <w:rFonts w:cs="Times New Roman"/>
          <w:noProof/>
          <w:szCs w:val="24"/>
        </w:rPr>
        <w:t xml:space="preserve">(2015). </w:t>
      </w:r>
      <w:r w:rsidRPr="002A2676">
        <w:rPr>
          <w:rFonts w:cs="Times New Roman"/>
          <w:i/>
          <w:noProof/>
          <w:szCs w:val="24"/>
        </w:rPr>
        <w:t>Staphylococcus aureus</w:t>
      </w:r>
      <w:r w:rsidRPr="0049264C">
        <w:rPr>
          <w:rFonts w:cs="Times New Roman"/>
          <w:noProof/>
          <w:szCs w:val="24"/>
        </w:rPr>
        <w:t xml:space="preserve"> strains associated with food poisoning outbreaks in France: comparison of different molecular typing methods, including MLVA. </w:t>
      </w:r>
      <w:r w:rsidRPr="009E0F3F">
        <w:rPr>
          <w:rFonts w:cs="Times New Roman"/>
          <w:i/>
          <w:iCs/>
          <w:noProof/>
          <w:szCs w:val="24"/>
          <w:lang w:val="nl-BE"/>
        </w:rPr>
        <w:t>Front. Microbiol.</w:t>
      </w:r>
      <w:r w:rsidRPr="009E0F3F">
        <w:rPr>
          <w:rFonts w:cs="Times New Roman"/>
          <w:noProof/>
          <w:szCs w:val="24"/>
          <w:lang w:val="nl-BE"/>
        </w:rPr>
        <w:t xml:space="preserve"> 6, 1–12. doi:10.3389/fmicb.2015.00882.</w:t>
      </w:r>
    </w:p>
    <w:p w14:paraId="6FE97C27"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9E0F3F">
        <w:rPr>
          <w:rFonts w:cs="Times New Roman"/>
          <w:noProof/>
          <w:szCs w:val="24"/>
          <w:lang w:val="nl-BE"/>
        </w:rPr>
        <w:t xml:space="preserve">Schmitz, F.-J., Steiert, M., Hofmann, B., Verhoef, J., Hadding, U., Heinz, H.-P., et al. </w:t>
      </w:r>
      <w:r w:rsidRPr="0049264C">
        <w:rPr>
          <w:rFonts w:cs="Times New Roman"/>
          <w:noProof/>
          <w:szCs w:val="24"/>
        </w:rPr>
        <w:t xml:space="preserve">(1998). Development of a multiplex-PCR for direct detection of the genes for enterotoxin B and C, and toxic shock syndrome toxin-1 in </w:t>
      </w:r>
      <w:r w:rsidRPr="002A2676">
        <w:rPr>
          <w:rFonts w:cs="Times New Roman"/>
          <w:i/>
          <w:noProof/>
          <w:szCs w:val="24"/>
        </w:rPr>
        <w:t>Staphylococcus aureus</w:t>
      </w:r>
      <w:r w:rsidRPr="0049264C">
        <w:rPr>
          <w:rFonts w:cs="Times New Roman"/>
          <w:noProof/>
          <w:szCs w:val="24"/>
        </w:rPr>
        <w:t xml:space="preserve"> isolates. </w:t>
      </w:r>
      <w:r w:rsidRPr="0049264C">
        <w:rPr>
          <w:rFonts w:cs="Times New Roman"/>
          <w:i/>
          <w:iCs/>
          <w:noProof/>
          <w:szCs w:val="24"/>
        </w:rPr>
        <w:t>J. Med. Microbiol.</w:t>
      </w:r>
      <w:r w:rsidRPr="0049264C">
        <w:rPr>
          <w:rFonts w:cs="Times New Roman"/>
          <w:noProof/>
          <w:szCs w:val="24"/>
        </w:rPr>
        <w:t xml:space="preserve"> 47, 335–340. doi:10.1099/00222615-47-4-335.</w:t>
      </w:r>
    </w:p>
    <w:p w14:paraId="6B4CC499"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Sharma, N. K., Rees, C. E. D., and Dodd, C. E. R. (2000). Development of a Single-Reaction Multiplex PCR Toxin Typing Assay for </w:t>
      </w:r>
      <w:r w:rsidRPr="002A2676">
        <w:rPr>
          <w:rFonts w:cs="Times New Roman"/>
          <w:i/>
          <w:noProof/>
          <w:szCs w:val="24"/>
        </w:rPr>
        <w:t>Staphylococcus aureus</w:t>
      </w:r>
      <w:r w:rsidRPr="0049264C">
        <w:rPr>
          <w:rFonts w:cs="Times New Roman"/>
          <w:noProof/>
          <w:szCs w:val="24"/>
        </w:rPr>
        <w:t xml:space="preserve"> Strains. </w:t>
      </w:r>
      <w:r w:rsidRPr="0049264C">
        <w:rPr>
          <w:rFonts w:cs="Times New Roman"/>
          <w:i/>
          <w:iCs/>
          <w:noProof/>
          <w:szCs w:val="24"/>
        </w:rPr>
        <w:t>Appl. Environ. Microbiol.</w:t>
      </w:r>
      <w:r w:rsidRPr="0049264C">
        <w:rPr>
          <w:rFonts w:cs="Times New Roman"/>
          <w:noProof/>
          <w:szCs w:val="24"/>
        </w:rPr>
        <w:t xml:space="preserve"> 66, 1347–1353. doi:10.1128/AEM.66.4.1347-1353.2000.</w:t>
      </w:r>
    </w:p>
    <w:p w14:paraId="7B1F1917" w14:textId="77777777" w:rsidR="0049264C" w:rsidRPr="009E0F3F" w:rsidRDefault="0049264C" w:rsidP="002A2676">
      <w:pPr>
        <w:widowControl w:val="0"/>
        <w:autoSpaceDE w:val="0"/>
        <w:autoSpaceDN w:val="0"/>
        <w:adjustRightInd w:val="0"/>
        <w:ind w:left="480" w:hanging="480"/>
        <w:jc w:val="both"/>
        <w:rPr>
          <w:rFonts w:cs="Times New Roman"/>
          <w:noProof/>
          <w:szCs w:val="24"/>
          <w:lang w:val="fr-FR"/>
        </w:rPr>
      </w:pPr>
      <w:r w:rsidRPr="0049264C">
        <w:rPr>
          <w:rFonts w:cs="Times New Roman"/>
          <w:noProof/>
          <w:szCs w:val="24"/>
        </w:rPr>
        <w:t xml:space="preserve">Shylaja, R., Murali, H. S., Batra, H. V., and Bawa, A. S. (2010). A novel multiplex PCR system for the detection of Staphylococcal enterotoxin B, </w:t>
      </w:r>
      <w:r w:rsidRPr="002A2676">
        <w:rPr>
          <w:rFonts w:cs="Times New Roman"/>
          <w:i/>
          <w:noProof/>
          <w:szCs w:val="24"/>
        </w:rPr>
        <w:t>tsst</w:t>
      </w:r>
      <w:r w:rsidRPr="0049264C">
        <w:rPr>
          <w:rFonts w:cs="Times New Roman"/>
          <w:noProof/>
          <w:szCs w:val="24"/>
        </w:rPr>
        <w:t xml:space="preserve">, </w:t>
      </w:r>
      <w:r w:rsidRPr="002A2676">
        <w:rPr>
          <w:rFonts w:cs="Times New Roman"/>
          <w:i/>
          <w:noProof/>
          <w:szCs w:val="24"/>
        </w:rPr>
        <w:t>nuc</w:t>
      </w:r>
      <w:r w:rsidRPr="0049264C">
        <w:rPr>
          <w:rFonts w:cs="Times New Roman"/>
          <w:noProof/>
          <w:szCs w:val="24"/>
        </w:rPr>
        <w:t xml:space="preserve"> and </w:t>
      </w:r>
      <w:r w:rsidRPr="002A2676">
        <w:rPr>
          <w:rFonts w:cs="Times New Roman"/>
          <w:i/>
          <w:noProof/>
          <w:szCs w:val="24"/>
        </w:rPr>
        <w:t>fem</w:t>
      </w:r>
      <w:r w:rsidRPr="0049264C">
        <w:rPr>
          <w:rFonts w:cs="Times New Roman"/>
          <w:noProof/>
          <w:szCs w:val="24"/>
        </w:rPr>
        <w:t xml:space="preserve"> genes of </w:t>
      </w:r>
      <w:r w:rsidRPr="002A2676">
        <w:rPr>
          <w:rFonts w:cs="Times New Roman"/>
          <w:i/>
          <w:noProof/>
          <w:szCs w:val="24"/>
        </w:rPr>
        <w:t>Staphylococcus aureus</w:t>
      </w:r>
      <w:r w:rsidRPr="0049264C">
        <w:rPr>
          <w:rFonts w:cs="Times New Roman"/>
          <w:noProof/>
          <w:szCs w:val="24"/>
        </w:rPr>
        <w:t xml:space="preserve"> in food system. </w:t>
      </w:r>
      <w:r w:rsidRPr="009E0F3F">
        <w:rPr>
          <w:rFonts w:cs="Times New Roman"/>
          <w:i/>
          <w:iCs/>
          <w:noProof/>
          <w:szCs w:val="24"/>
          <w:lang w:val="fr-FR"/>
        </w:rPr>
        <w:t>J. Food Saf.</w:t>
      </w:r>
      <w:r w:rsidRPr="009E0F3F">
        <w:rPr>
          <w:rFonts w:cs="Times New Roman"/>
          <w:noProof/>
          <w:szCs w:val="24"/>
          <w:lang w:val="fr-FR"/>
        </w:rPr>
        <w:t xml:space="preserve"> 30, 443–454. doi:10.1111/j.1745-4565.2010.00218.x.</w:t>
      </w:r>
    </w:p>
    <w:p w14:paraId="73127CC4"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9E0F3F">
        <w:rPr>
          <w:rFonts w:cs="Times New Roman"/>
          <w:noProof/>
          <w:szCs w:val="24"/>
          <w:lang w:val="fr-FR"/>
        </w:rPr>
        <w:t xml:space="preserve">Thomas, D. Y., Jarraud, S., Lemercier, B., Cozon, G., Echasserieau, K., Etienne, J., et al. </w:t>
      </w:r>
      <w:r w:rsidRPr="0049264C">
        <w:rPr>
          <w:rFonts w:cs="Times New Roman"/>
          <w:noProof/>
          <w:szCs w:val="24"/>
        </w:rPr>
        <w:t xml:space="preserve">(2006). Staphylococcal Enterotoxin-Like Toxins U2 and V, Two New Staphylococcal Superantigens Arising from Recombination within the Enterotoxin Gene Cluster. </w:t>
      </w:r>
      <w:r w:rsidRPr="0049264C">
        <w:rPr>
          <w:rFonts w:cs="Times New Roman"/>
          <w:i/>
          <w:iCs/>
          <w:noProof/>
          <w:szCs w:val="24"/>
        </w:rPr>
        <w:t>Infect. Immun.</w:t>
      </w:r>
      <w:r w:rsidRPr="0049264C">
        <w:rPr>
          <w:rFonts w:cs="Times New Roman"/>
          <w:noProof/>
          <w:szCs w:val="24"/>
        </w:rPr>
        <w:t xml:space="preserve"> 74, 4724–4734. doi:10.1128/IAI.00132-06.</w:t>
      </w:r>
    </w:p>
    <w:p w14:paraId="27495D52" w14:textId="77777777" w:rsidR="0049264C" w:rsidRPr="009E0F3F" w:rsidRDefault="0049264C" w:rsidP="002A2676">
      <w:pPr>
        <w:widowControl w:val="0"/>
        <w:autoSpaceDE w:val="0"/>
        <w:autoSpaceDN w:val="0"/>
        <w:adjustRightInd w:val="0"/>
        <w:ind w:left="480" w:hanging="480"/>
        <w:jc w:val="both"/>
        <w:rPr>
          <w:rFonts w:cs="Times New Roman"/>
          <w:noProof/>
          <w:szCs w:val="24"/>
          <w:lang w:val="nl-BE"/>
        </w:rPr>
      </w:pPr>
      <w:r w:rsidRPr="0049264C">
        <w:rPr>
          <w:rFonts w:cs="Times New Roman"/>
          <w:noProof/>
          <w:szCs w:val="24"/>
        </w:rPr>
        <w:t xml:space="preserve">Tsen, H. Y., and Chen, T. R. (1992). Use of the polymerase chain reaction for specific detection of type A, D and E enterotoxigenic </w:t>
      </w:r>
      <w:r w:rsidRPr="002A2676">
        <w:rPr>
          <w:rFonts w:cs="Times New Roman"/>
          <w:i/>
          <w:noProof/>
          <w:szCs w:val="24"/>
        </w:rPr>
        <w:t>Staphylococcus aureus</w:t>
      </w:r>
      <w:r w:rsidRPr="0049264C">
        <w:rPr>
          <w:rFonts w:cs="Times New Roman"/>
          <w:noProof/>
          <w:szCs w:val="24"/>
        </w:rPr>
        <w:t xml:space="preserve"> in foods. </w:t>
      </w:r>
      <w:r w:rsidRPr="009E0F3F">
        <w:rPr>
          <w:rFonts w:cs="Times New Roman"/>
          <w:i/>
          <w:iCs/>
          <w:noProof/>
          <w:szCs w:val="24"/>
          <w:lang w:val="nl-BE"/>
        </w:rPr>
        <w:t>Appl. Microbiol. Biotechnol.</w:t>
      </w:r>
      <w:r w:rsidRPr="009E0F3F">
        <w:rPr>
          <w:rFonts w:cs="Times New Roman"/>
          <w:noProof/>
          <w:szCs w:val="24"/>
          <w:lang w:val="nl-BE"/>
        </w:rPr>
        <w:t xml:space="preserve"> 37, 685–690. doi:10.1007/BF00240750.</w:t>
      </w:r>
    </w:p>
    <w:p w14:paraId="448DDED7"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9E0F3F">
        <w:rPr>
          <w:rFonts w:cs="Times New Roman"/>
          <w:noProof/>
          <w:szCs w:val="24"/>
          <w:lang w:val="nl-BE"/>
        </w:rPr>
        <w:t xml:space="preserve">Vanneste, K., Garlant, L., Broeders, S., Van Gucht, S., and Roosens, N. H. (2018). </w:t>
      </w:r>
      <w:r w:rsidRPr="0049264C">
        <w:rPr>
          <w:rFonts w:cs="Times New Roman"/>
          <w:noProof/>
          <w:szCs w:val="24"/>
        </w:rPr>
        <w:t xml:space="preserve">Application of whole genome data for in silico evaluation of primers and probes routinely employed for the </w:t>
      </w:r>
      <w:r w:rsidRPr="0049264C">
        <w:rPr>
          <w:rFonts w:cs="Times New Roman"/>
          <w:noProof/>
          <w:szCs w:val="24"/>
        </w:rPr>
        <w:lastRenderedPageBreak/>
        <w:t xml:space="preserve">detection of viral species by RT-qPCR using dengue virus as a case study. </w:t>
      </w:r>
      <w:r w:rsidRPr="0049264C">
        <w:rPr>
          <w:rFonts w:cs="Times New Roman"/>
          <w:i/>
          <w:iCs/>
          <w:noProof/>
          <w:szCs w:val="24"/>
        </w:rPr>
        <w:t>BMC Bioinformatics</w:t>
      </w:r>
      <w:r w:rsidRPr="0049264C">
        <w:rPr>
          <w:rFonts w:cs="Times New Roman"/>
          <w:noProof/>
          <w:szCs w:val="24"/>
        </w:rPr>
        <w:t xml:space="preserve"> 19, 312. doi:10.1186/s12859-018-2313-0.</w:t>
      </w:r>
    </w:p>
    <w:p w14:paraId="11AAC5F6" w14:textId="77777777" w:rsidR="0049264C" w:rsidRPr="0049264C" w:rsidRDefault="0049264C" w:rsidP="002A2676">
      <w:pPr>
        <w:widowControl w:val="0"/>
        <w:autoSpaceDE w:val="0"/>
        <w:autoSpaceDN w:val="0"/>
        <w:adjustRightInd w:val="0"/>
        <w:ind w:left="480" w:hanging="480"/>
        <w:jc w:val="both"/>
        <w:rPr>
          <w:rFonts w:cs="Times New Roman"/>
          <w:noProof/>
          <w:szCs w:val="24"/>
        </w:rPr>
      </w:pPr>
      <w:r w:rsidRPr="0049264C">
        <w:rPr>
          <w:rFonts w:cs="Times New Roman"/>
          <w:noProof/>
          <w:szCs w:val="24"/>
        </w:rPr>
        <w:t xml:space="preserve">Varshney, A. K., Mediavilla, J. R., Robiou, N., Guh, A., Wang, X., Gialanella, P., et al. (2009). Diverse enterotoxin gene profiles among clonal complexes of </w:t>
      </w:r>
      <w:r w:rsidRPr="002A2676">
        <w:rPr>
          <w:rFonts w:cs="Times New Roman"/>
          <w:i/>
          <w:noProof/>
          <w:szCs w:val="24"/>
        </w:rPr>
        <w:t>Staphylococcus aureus</w:t>
      </w:r>
      <w:r w:rsidRPr="0049264C">
        <w:rPr>
          <w:rFonts w:cs="Times New Roman"/>
          <w:noProof/>
          <w:szCs w:val="24"/>
        </w:rPr>
        <w:t xml:space="preserve"> isolates from the Bronx, New York. </w:t>
      </w:r>
      <w:r w:rsidRPr="0049264C">
        <w:rPr>
          <w:rFonts w:cs="Times New Roman"/>
          <w:i/>
          <w:iCs/>
          <w:noProof/>
          <w:szCs w:val="24"/>
        </w:rPr>
        <w:t>Appl. Environ. Microbiol.</w:t>
      </w:r>
      <w:r w:rsidRPr="0049264C">
        <w:rPr>
          <w:rFonts w:cs="Times New Roman"/>
          <w:noProof/>
          <w:szCs w:val="24"/>
        </w:rPr>
        <w:t xml:space="preserve"> 75, 6839–6849. doi:10.1128/AEM.00272-09.</w:t>
      </w:r>
    </w:p>
    <w:p w14:paraId="5F791866" w14:textId="77777777" w:rsidR="0049264C" w:rsidRPr="0049264C" w:rsidRDefault="0049264C" w:rsidP="002A2676">
      <w:pPr>
        <w:widowControl w:val="0"/>
        <w:autoSpaceDE w:val="0"/>
        <w:autoSpaceDN w:val="0"/>
        <w:adjustRightInd w:val="0"/>
        <w:ind w:left="480" w:hanging="480"/>
        <w:jc w:val="both"/>
        <w:rPr>
          <w:rFonts w:cs="Times New Roman"/>
          <w:noProof/>
        </w:rPr>
      </w:pPr>
      <w:r w:rsidRPr="0049264C">
        <w:rPr>
          <w:rFonts w:cs="Times New Roman"/>
          <w:noProof/>
          <w:szCs w:val="24"/>
        </w:rPr>
        <w:t xml:space="preserve">Wilson, G. J., Seo, K. S., Cartwright, R. A., Connelley, T., Chuang-Smith, O. N., Merriman, J. A., et al. (2011). A novel core genome-encoded superantigen contributes to lethality of community-associated MRSA necrotizing pneumonia. </w:t>
      </w:r>
      <w:r w:rsidRPr="0049264C">
        <w:rPr>
          <w:rFonts w:cs="Times New Roman"/>
          <w:i/>
          <w:iCs/>
          <w:noProof/>
          <w:szCs w:val="24"/>
        </w:rPr>
        <w:t>PLoS Pathog.</w:t>
      </w:r>
      <w:r w:rsidRPr="0049264C">
        <w:rPr>
          <w:rFonts w:cs="Times New Roman"/>
          <w:noProof/>
          <w:szCs w:val="24"/>
        </w:rPr>
        <w:t xml:space="preserve"> 7. doi:10.1371/journal.ppat.1002271.</w:t>
      </w:r>
    </w:p>
    <w:p w14:paraId="51D31BCC" w14:textId="47EB6288" w:rsidR="0049264C" w:rsidRPr="0049264C" w:rsidRDefault="0049264C" w:rsidP="002A2676">
      <w:pPr>
        <w:jc w:val="both"/>
      </w:pPr>
      <w:r>
        <w:fldChar w:fldCharType="end"/>
      </w:r>
    </w:p>
    <w:sectPr w:rsidR="0049264C" w:rsidRPr="0049264C" w:rsidSect="00025134">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8D4DBB" w14:textId="77777777" w:rsidR="004304AF" w:rsidRDefault="004304AF" w:rsidP="00117666">
      <w:pPr>
        <w:spacing w:after="0"/>
      </w:pPr>
      <w:r>
        <w:separator/>
      </w:r>
    </w:p>
  </w:endnote>
  <w:endnote w:type="continuationSeparator" w:id="0">
    <w:p w14:paraId="59E187D2" w14:textId="77777777" w:rsidR="004304AF" w:rsidRDefault="004304AF"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025F" w14:textId="77777777" w:rsidR="00993524" w:rsidRPr="00577C4C" w:rsidRDefault="00993524">
    <w:pPr>
      <w:rPr>
        <w:color w:val="C00000"/>
        <w:szCs w:val="24"/>
      </w:rPr>
    </w:pPr>
    <w:r>
      <w:rPr>
        <w:noProof/>
      </w:rPr>
      <mc:AlternateContent>
        <mc:Choice Requires="wps">
          <w:drawing>
            <wp:anchor distT="0" distB="0" distL="114300" distR="114300" simplePos="0" relativeHeight="251659264" behindDoc="0" locked="0" layoutInCell="1" allowOverlap="1" wp14:anchorId="382EAD14" wp14:editId="71B2BC98">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0BC4D33" w14:textId="37F0C66F" w:rsidR="00993524" w:rsidRPr="00577C4C" w:rsidRDefault="00993524">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F0A18">
                            <w:rPr>
                              <w:noProof/>
                              <w:color w:val="000000" w:themeColor="text1"/>
                              <w:szCs w:val="40"/>
                            </w:rPr>
                            <w:t>18</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82EAD14"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50BC4D33" w14:textId="37F0C66F" w:rsidR="00993524" w:rsidRPr="00577C4C" w:rsidRDefault="00993524">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F0A18">
                      <w:rPr>
                        <w:noProof/>
                        <w:color w:val="000000" w:themeColor="text1"/>
                        <w:szCs w:val="40"/>
                      </w:rPr>
                      <w:t>18</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D6A35" w14:textId="77777777" w:rsidR="00993524" w:rsidRPr="00577C4C" w:rsidRDefault="00993524">
    <w:pPr>
      <w:rPr>
        <w:b/>
        <w:sz w:val="20"/>
        <w:szCs w:val="24"/>
      </w:rPr>
    </w:pPr>
    <w:r>
      <w:rPr>
        <w:noProof/>
      </w:rPr>
      <mc:AlternateContent>
        <mc:Choice Requires="wps">
          <w:drawing>
            <wp:anchor distT="0" distB="0" distL="114300" distR="114300" simplePos="0" relativeHeight="251646976" behindDoc="0" locked="0" layoutInCell="1" allowOverlap="1" wp14:anchorId="70F9F55F" wp14:editId="40473BEB">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70F0D09" w14:textId="3C08A758" w:rsidR="00993524" w:rsidRPr="00577C4C" w:rsidRDefault="00993524">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F0A18">
                            <w:rPr>
                              <w:noProof/>
                              <w:color w:val="000000" w:themeColor="text1"/>
                              <w:szCs w:val="40"/>
                            </w:rPr>
                            <w:t>19</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0F9F55F"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570F0D09" w14:textId="3C08A758" w:rsidR="00993524" w:rsidRPr="00577C4C" w:rsidRDefault="00993524">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F0A18">
                      <w:rPr>
                        <w:noProof/>
                        <w:color w:val="000000" w:themeColor="text1"/>
                        <w:szCs w:val="40"/>
                      </w:rPr>
                      <w:t>19</w:t>
                    </w:r>
                    <w:r w:rsidRPr="00577C4C">
                      <w:rPr>
                        <w:color w:val="000000" w:themeColor="text1"/>
                        <w:szCs w:val="40"/>
                      </w:rPr>
                      <w:fldChar w:fldCharType="end"/>
                    </w:r>
                  </w:p>
                </w:txbxContent>
              </v:textbox>
              <w10:wrap anchorx="margin" anchory="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250941" w14:textId="77777777" w:rsidR="00847FD8" w:rsidRDefault="00847F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C2D4D8" w14:textId="77777777" w:rsidR="004304AF" w:rsidRDefault="004304AF" w:rsidP="00117666">
      <w:pPr>
        <w:spacing w:after="0"/>
      </w:pPr>
      <w:r>
        <w:separator/>
      </w:r>
    </w:p>
  </w:footnote>
  <w:footnote w:type="continuationSeparator" w:id="0">
    <w:p w14:paraId="53E7C223" w14:textId="77777777" w:rsidR="004304AF" w:rsidRDefault="004304AF" w:rsidP="00117666">
      <w:pPr>
        <w:spacing w:after="0"/>
      </w:pPr>
      <w:r>
        <w:continuationSeparator/>
      </w:r>
    </w:p>
  </w:footnote>
  <w:footnote w:id="1">
    <w:p w14:paraId="765A0309" w14:textId="30D1032A" w:rsidR="00993524" w:rsidRPr="00C32661" w:rsidRDefault="00993524">
      <w:pPr>
        <w:pStyle w:val="FootnoteText"/>
        <w:rPr>
          <w:lang w:val="nl-BE"/>
        </w:rPr>
      </w:pPr>
      <w:r>
        <w:rPr>
          <w:rStyle w:val="FootnoteReference"/>
        </w:rPr>
        <w:footnoteRef/>
      </w:r>
      <w:r>
        <w:t xml:space="preserve"> </w:t>
      </w:r>
      <w:hyperlink r:id="rId1" w:history="1">
        <w:r w:rsidRPr="003056DB">
          <w:rPr>
            <w:rStyle w:val="Hyperlink"/>
          </w:rPr>
          <w:t>https://github.com/lh3/seqtk</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EF00C" w14:textId="77777777" w:rsidR="00993524" w:rsidRPr="009151AA" w:rsidRDefault="00993524">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6BB76" w14:textId="77777777" w:rsidR="00847FD8" w:rsidRDefault="00847FD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D68C6" w14:textId="77777777" w:rsidR="00993524" w:rsidRDefault="00993524" w:rsidP="0093429D">
    <w:r w:rsidRPr="005A1D84">
      <w:rPr>
        <w:b/>
        <w:noProof/>
        <w:color w:val="A6A6A6" w:themeColor="background1" w:themeShade="A6"/>
      </w:rPr>
      <w:drawing>
        <wp:inline distT="0" distB="0" distL="0" distR="0" wp14:anchorId="07D26A56" wp14:editId="2E460F0E">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Pr="007E3148">
      <w:rPr>
        <w:b/>
      </w:rPr>
      <w:ptab w:relativeTo="margin" w:alignment="center" w:leader="none"/>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2FAA88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30AB856"/>
    <w:lvl w:ilvl="0">
      <w:start w:val="1"/>
      <w:numFmt w:val="decimal"/>
      <w:pStyle w:val="ListNumber4"/>
      <w:lvlText w:val="%1."/>
      <w:lvlJc w:val="left"/>
      <w:pPr>
        <w:tabs>
          <w:tab w:val="num" w:pos="1209"/>
        </w:tabs>
        <w:ind w:left="1209" w:hanging="360"/>
      </w:pPr>
    </w:lvl>
  </w:abstractNum>
  <w:abstractNum w:abstractNumId="2" w15:restartNumberingAfterBreak="0">
    <w:nsid w:val="FFFFFF80"/>
    <w:multiLevelType w:val="singleLevel"/>
    <w:tmpl w:val="F974A2EE"/>
    <w:lvl w:ilvl="0">
      <w:start w:val="1"/>
      <w:numFmt w:val="bullet"/>
      <w:pStyle w:val="ListBullet5"/>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E95E7BF0"/>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02077161"/>
    <w:multiLevelType w:val="multilevel"/>
    <w:tmpl w:val="E0E2D1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6807A1E"/>
    <w:multiLevelType w:val="multilevel"/>
    <w:tmpl w:val="F2F420E0"/>
    <w:styleLink w:val="ScienscanoListNumbers"/>
    <w:lvl w:ilvl="0">
      <w:start w:val="1"/>
      <w:numFmt w:val="decimal"/>
      <w:pStyle w:val="ListNumber"/>
      <w:lvlText w:val="%1."/>
      <w:lvlJc w:val="left"/>
      <w:pPr>
        <w:ind w:left="363" w:hanging="363"/>
      </w:pPr>
      <w:rPr>
        <w:rFonts w:ascii="Arial" w:hAnsi="Arial" w:hint="default"/>
        <w:b/>
        <w:i w:val="0"/>
        <w:color w:val="BCCF00"/>
      </w:rPr>
    </w:lvl>
    <w:lvl w:ilvl="1">
      <w:start w:val="1"/>
      <w:numFmt w:val="decimal"/>
      <w:pStyle w:val="ListNumber2"/>
      <w:lvlText w:val="%1.%2."/>
      <w:lvlJc w:val="left"/>
      <w:pPr>
        <w:ind w:left="680" w:hanging="538"/>
      </w:pPr>
      <w:rPr>
        <w:rFonts w:ascii="Arial" w:hAnsi="Arial" w:hint="default"/>
        <w:color w:val="58595B"/>
      </w:rPr>
    </w:lvl>
    <w:lvl w:ilvl="2">
      <w:start w:val="1"/>
      <w:numFmt w:val="decimal"/>
      <w:pStyle w:val="ListNumber3"/>
      <w:lvlText w:val="%1.%2.%3."/>
      <w:lvlJc w:val="left"/>
      <w:pPr>
        <w:ind w:left="1089" w:hanging="805"/>
      </w:pPr>
      <w:rPr>
        <w:rFonts w:ascii="Arial" w:hAnsi="Arial" w:hint="default"/>
        <w:color w:val="58595B"/>
      </w:rPr>
    </w:lvl>
    <w:lvl w:ilvl="3">
      <w:start w:val="1"/>
      <w:numFmt w:val="decimal"/>
      <w:lvlText w:val="%4."/>
      <w:lvlJc w:val="left"/>
      <w:pPr>
        <w:ind w:left="568" w:hanging="142"/>
      </w:pPr>
      <w:rPr>
        <w:rFonts w:hint="default"/>
      </w:rPr>
    </w:lvl>
    <w:lvl w:ilvl="4">
      <w:start w:val="1"/>
      <w:numFmt w:val="lowerLetter"/>
      <w:lvlText w:val="%5."/>
      <w:lvlJc w:val="left"/>
      <w:pPr>
        <w:ind w:left="710" w:hanging="142"/>
      </w:pPr>
      <w:rPr>
        <w:rFonts w:hint="default"/>
      </w:rPr>
    </w:lvl>
    <w:lvl w:ilvl="5">
      <w:start w:val="1"/>
      <w:numFmt w:val="lowerRoman"/>
      <w:lvlText w:val="%6."/>
      <w:lvlJc w:val="right"/>
      <w:pPr>
        <w:ind w:left="852" w:hanging="142"/>
      </w:pPr>
      <w:rPr>
        <w:rFonts w:hint="default"/>
      </w:rPr>
    </w:lvl>
    <w:lvl w:ilvl="6">
      <w:start w:val="1"/>
      <w:numFmt w:val="decimal"/>
      <w:lvlText w:val="%7."/>
      <w:lvlJc w:val="left"/>
      <w:pPr>
        <w:ind w:left="994" w:hanging="142"/>
      </w:pPr>
      <w:rPr>
        <w:rFonts w:hint="default"/>
      </w:rPr>
    </w:lvl>
    <w:lvl w:ilvl="7">
      <w:start w:val="1"/>
      <w:numFmt w:val="lowerLetter"/>
      <w:lvlText w:val="%8."/>
      <w:lvlJc w:val="left"/>
      <w:pPr>
        <w:ind w:left="1136" w:hanging="142"/>
      </w:pPr>
      <w:rPr>
        <w:rFonts w:hint="default"/>
      </w:rPr>
    </w:lvl>
    <w:lvl w:ilvl="8">
      <w:start w:val="1"/>
      <w:numFmt w:val="lowerRoman"/>
      <w:lvlText w:val="%9."/>
      <w:lvlJc w:val="right"/>
      <w:pPr>
        <w:ind w:left="1278" w:hanging="142"/>
      </w:pPr>
      <w:rPr>
        <w:rFonts w:hint="default"/>
      </w:rPr>
    </w:lvl>
  </w:abstractNum>
  <w:abstractNum w:abstractNumId="7" w15:restartNumberingAfterBreak="0">
    <w:nsid w:val="06D42CA1"/>
    <w:multiLevelType w:val="multilevel"/>
    <w:tmpl w:val="97C008F8"/>
    <w:styleLink w:val="SciensanoListBullets"/>
    <w:lvl w:ilvl="0">
      <w:start w:val="1"/>
      <w:numFmt w:val="bullet"/>
      <w:pStyle w:val="ListBullet"/>
      <w:lvlText w:val=""/>
      <w:lvlJc w:val="left"/>
      <w:pPr>
        <w:tabs>
          <w:tab w:val="num" w:pos="363"/>
        </w:tabs>
        <w:ind w:left="363" w:hanging="363"/>
      </w:pPr>
      <w:rPr>
        <w:rFonts w:ascii="Symbol" w:hAnsi="Symbol" w:hint="default"/>
        <w:color w:val="BCCF00"/>
        <w:sz w:val="20"/>
      </w:rPr>
    </w:lvl>
    <w:lvl w:ilvl="1">
      <w:start w:val="1"/>
      <w:numFmt w:val="bullet"/>
      <w:pStyle w:val="ListBullet2"/>
      <w:lvlText w:val="•"/>
      <w:lvlJc w:val="left"/>
      <w:pPr>
        <w:tabs>
          <w:tab w:val="num" w:pos="505"/>
        </w:tabs>
        <w:ind w:left="505" w:hanging="363"/>
      </w:pPr>
      <w:rPr>
        <w:rFonts w:ascii="Arial" w:hAnsi="Arial" w:hint="default"/>
        <w:color w:val="58595B"/>
      </w:rPr>
    </w:lvl>
    <w:lvl w:ilvl="2">
      <w:start w:val="1"/>
      <w:numFmt w:val="bullet"/>
      <w:pStyle w:val="ListBullet3"/>
      <w:lvlText w:val="-"/>
      <w:lvlJc w:val="left"/>
      <w:pPr>
        <w:tabs>
          <w:tab w:val="num" w:pos="646"/>
        </w:tabs>
        <w:ind w:left="646" w:hanging="362"/>
      </w:pPr>
      <w:rPr>
        <w:rFonts w:ascii="Calibri" w:hAnsi="Calibri" w:hint="default"/>
        <w:color w:val="58595B"/>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2F5B9E"/>
    <w:multiLevelType w:val="multilevel"/>
    <w:tmpl w:val="F2F420E0"/>
    <w:numStyleLink w:val="ScienscanoListNumbers"/>
  </w:abstractNum>
  <w:abstractNum w:abstractNumId="10" w15:restartNumberingAfterBreak="0">
    <w:nsid w:val="1B4903CA"/>
    <w:multiLevelType w:val="hybridMultilevel"/>
    <w:tmpl w:val="EA7AF15C"/>
    <w:lvl w:ilvl="0" w:tplc="FC644CFC">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955ECB"/>
    <w:multiLevelType w:val="hybridMultilevel"/>
    <w:tmpl w:val="DF70594A"/>
    <w:lvl w:ilvl="0" w:tplc="88127C7A">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3" w15:restartNumberingAfterBreak="0">
    <w:nsid w:val="210E471E"/>
    <w:multiLevelType w:val="hybridMultilevel"/>
    <w:tmpl w:val="B1EAFD7A"/>
    <w:lvl w:ilvl="0" w:tplc="46B60C3A">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6746DB0"/>
    <w:multiLevelType w:val="multilevel"/>
    <w:tmpl w:val="F2F420E0"/>
    <w:numStyleLink w:val="ScienscanoListNumbers"/>
  </w:abstractNum>
  <w:abstractNum w:abstractNumId="16" w15:restartNumberingAfterBreak="0">
    <w:nsid w:val="38606AE4"/>
    <w:multiLevelType w:val="hybridMultilevel"/>
    <w:tmpl w:val="F6F0F076"/>
    <w:lvl w:ilvl="0" w:tplc="84367D38">
      <w:start w:val="1"/>
      <w:numFmt w:val="decimal"/>
      <w:lvlText w:val="%1."/>
      <w:lvlJc w:val="left"/>
      <w:pPr>
        <w:ind w:left="720" w:hanging="360"/>
      </w:pPr>
      <w:rPr>
        <w:rFonts w:hint="default"/>
        <w:b/>
        <w:i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FF6738"/>
    <w:multiLevelType w:val="hybridMultilevel"/>
    <w:tmpl w:val="DD70B322"/>
    <w:lvl w:ilvl="0" w:tplc="91968A74">
      <w:start w:val="1"/>
      <w:numFmt w:val="decimal"/>
      <w:lvlText w:val="%1."/>
      <w:lvlJc w:val="left"/>
      <w:pPr>
        <w:ind w:left="720" w:hanging="360"/>
      </w:pPr>
      <w:rPr>
        <w:rFonts w:hint="default"/>
        <w:b/>
        <w:i/>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0B22C6"/>
    <w:multiLevelType w:val="hybridMultilevel"/>
    <w:tmpl w:val="DD70B322"/>
    <w:lvl w:ilvl="0" w:tplc="91968A74">
      <w:start w:val="1"/>
      <w:numFmt w:val="decimal"/>
      <w:lvlText w:val="%1."/>
      <w:lvlJc w:val="left"/>
      <w:pPr>
        <w:ind w:left="720" w:hanging="360"/>
      </w:pPr>
      <w:rPr>
        <w:rFonts w:hint="default"/>
        <w:b/>
        <w:i/>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AA2F90"/>
    <w:multiLevelType w:val="hybridMultilevel"/>
    <w:tmpl w:val="EDBCD7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AA3321"/>
    <w:multiLevelType w:val="multilevel"/>
    <w:tmpl w:val="9A206C38"/>
    <w:lvl w:ilvl="0">
      <w:start w:val="1"/>
      <w:numFmt w:val="none"/>
      <w:suff w:val="nothing"/>
      <w:lvlText w:val=""/>
      <w:lvlJc w:val="left"/>
      <w:pPr>
        <w:ind w:left="357" w:hanging="357"/>
      </w:pPr>
      <w:rPr>
        <w:rFonts w:hint="default"/>
      </w:rPr>
    </w:lvl>
    <w:lvl w:ilvl="1">
      <w:start w:val="1"/>
      <w:numFmt w:val="decimal"/>
      <w:suff w:val="space"/>
      <w:lvlText w:val="%2."/>
      <w:lvlJc w:val="left"/>
      <w:pPr>
        <w:ind w:left="357" w:hanging="357"/>
      </w:pPr>
      <w:rPr>
        <w:rFonts w:ascii="Calibri" w:hAnsi="Calibri" w:cs="Calibri" w:hint="default"/>
        <w:color w:val="auto"/>
        <w:sz w:val="24"/>
        <w:szCs w:val="24"/>
      </w:rPr>
    </w:lvl>
    <w:lvl w:ilvl="2">
      <w:start w:val="1"/>
      <w:numFmt w:val="decimal"/>
      <w:suff w:val="space"/>
      <w:lvlText w:val="%2.%3."/>
      <w:lvlJc w:val="left"/>
      <w:pPr>
        <w:ind w:left="357" w:hanging="357"/>
      </w:pPr>
      <w:rPr>
        <w:rFonts w:hint="default"/>
        <w:i w:val="0"/>
        <w:color w:val="auto"/>
        <w:sz w:val="20"/>
      </w:rPr>
    </w:lvl>
    <w:lvl w:ilvl="3">
      <w:start w:val="1"/>
      <w:numFmt w:val="decimal"/>
      <w:suff w:val="space"/>
      <w:lvlText w:val="%2.%3.%4."/>
      <w:lvlJc w:val="left"/>
      <w:pPr>
        <w:ind w:left="357" w:hanging="357"/>
      </w:pPr>
      <w:rPr>
        <w:rFonts w:hint="default"/>
      </w:rPr>
    </w:lvl>
    <w:lvl w:ilvl="4">
      <w:start w:val="1"/>
      <w:numFmt w:val="decimal"/>
      <w:suff w:val="space"/>
      <w:lvlText w:val="%2.%3.%4.%5."/>
      <w:lvlJc w:val="left"/>
      <w:pPr>
        <w:ind w:left="357" w:hanging="357"/>
      </w:pPr>
      <w:rPr>
        <w:rFonts w:hint="default"/>
      </w:rPr>
    </w:lvl>
    <w:lvl w:ilvl="5">
      <w:start w:val="1"/>
      <w:numFmt w:val="lowerRoman"/>
      <w:lvlText w:val="(%6)"/>
      <w:lvlJc w:val="left"/>
      <w:pPr>
        <w:ind w:left="357" w:hanging="357"/>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357" w:hanging="357"/>
      </w:pPr>
      <w:rPr>
        <w:rFonts w:hint="default"/>
      </w:rPr>
    </w:lvl>
    <w:lvl w:ilvl="8">
      <w:start w:val="1"/>
      <w:numFmt w:val="lowerRoman"/>
      <w:lvlText w:val="%9."/>
      <w:lvlJc w:val="left"/>
      <w:pPr>
        <w:ind w:left="357" w:hanging="357"/>
      </w:pPr>
      <w:rPr>
        <w:rFonts w:hint="default"/>
      </w:rPr>
    </w:lvl>
  </w:abstractNum>
  <w:abstractNum w:abstractNumId="22" w15:restartNumberingAfterBreak="0">
    <w:nsid w:val="5EC14EDE"/>
    <w:multiLevelType w:val="hybridMultilevel"/>
    <w:tmpl w:val="BDDEA006"/>
    <w:lvl w:ilvl="0" w:tplc="E5E07AC0">
      <w:start w:val="1"/>
      <w:numFmt w:val="bullet"/>
      <w:lvlText w:val=""/>
      <w:lvlJc w:val="left"/>
      <w:pPr>
        <w:ind w:left="720" w:hanging="360"/>
      </w:pPr>
      <w:rPr>
        <w:rFonts w:ascii="Symbol" w:hAnsi="Symbol" w:hint="default"/>
        <w:color w:val="BCCF50"/>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3" w15:restartNumberingAfterBreak="0">
    <w:nsid w:val="601D7BC4"/>
    <w:multiLevelType w:val="hybridMultilevel"/>
    <w:tmpl w:val="C1568580"/>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66C736AB"/>
    <w:multiLevelType w:val="multilevel"/>
    <w:tmpl w:val="F2F420E0"/>
    <w:numStyleLink w:val="ScienscanoListNumbers"/>
  </w:abstractNum>
  <w:abstractNum w:abstractNumId="2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27" w15:restartNumberingAfterBreak="0">
    <w:nsid w:val="6C9B3E31"/>
    <w:multiLevelType w:val="multilevel"/>
    <w:tmpl w:val="4CDC121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6F851D86"/>
    <w:multiLevelType w:val="multilevel"/>
    <w:tmpl w:val="F2F420E0"/>
    <w:numStyleLink w:val="ScienscanoListNumbers"/>
  </w:abstractNum>
  <w:abstractNum w:abstractNumId="29" w15:restartNumberingAfterBreak="0">
    <w:nsid w:val="735D1621"/>
    <w:multiLevelType w:val="multilevel"/>
    <w:tmpl w:val="8BCCBBB0"/>
    <w:lvl w:ilvl="0">
      <w:start w:val="1"/>
      <w:numFmt w:val="none"/>
      <w:suff w:val="nothing"/>
      <w:lvlText w:val=""/>
      <w:lvlJc w:val="left"/>
      <w:pPr>
        <w:ind w:left="357" w:hanging="357"/>
      </w:pPr>
      <w:rPr>
        <w:rFonts w:hint="default"/>
      </w:rPr>
    </w:lvl>
    <w:lvl w:ilvl="1">
      <w:start w:val="1"/>
      <w:numFmt w:val="decimal"/>
      <w:suff w:val="space"/>
      <w:lvlText w:val="%2."/>
      <w:lvlJc w:val="left"/>
      <w:pPr>
        <w:ind w:left="357" w:hanging="357"/>
      </w:pPr>
      <w:rPr>
        <w:rFonts w:hint="default"/>
      </w:rPr>
    </w:lvl>
    <w:lvl w:ilvl="2">
      <w:start w:val="1"/>
      <w:numFmt w:val="decimal"/>
      <w:suff w:val="space"/>
      <w:lvlText w:val="%2.%3."/>
      <w:lvlJc w:val="left"/>
      <w:pPr>
        <w:ind w:left="357" w:hanging="357"/>
      </w:pPr>
      <w:rPr>
        <w:rFonts w:hint="default"/>
      </w:rPr>
    </w:lvl>
    <w:lvl w:ilvl="3">
      <w:start w:val="1"/>
      <w:numFmt w:val="decimal"/>
      <w:suff w:val="space"/>
      <w:lvlText w:val="%2.%3.%4."/>
      <w:lvlJc w:val="left"/>
      <w:pPr>
        <w:ind w:left="357" w:hanging="357"/>
      </w:pPr>
      <w:rPr>
        <w:rFonts w:hint="default"/>
      </w:rPr>
    </w:lvl>
    <w:lvl w:ilvl="4">
      <w:start w:val="1"/>
      <w:numFmt w:val="decimal"/>
      <w:suff w:val="space"/>
      <w:lvlText w:val="%2.%3.%4.%5."/>
      <w:lvlJc w:val="left"/>
      <w:pPr>
        <w:ind w:left="357" w:hanging="357"/>
      </w:pPr>
      <w:rPr>
        <w:rFonts w:hint="default"/>
      </w:rPr>
    </w:lvl>
    <w:lvl w:ilvl="5">
      <w:start w:val="1"/>
      <w:numFmt w:val="lowerRoman"/>
      <w:lvlText w:val="(%6)"/>
      <w:lvlJc w:val="left"/>
      <w:pPr>
        <w:ind w:left="357" w:hanging="357"/>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357" w:hanging="357"/>
      </w:pPr>
      <w:rPr>
        <w:rFonts w:hint="default"/>
      </w:rPr>
    </w:lvl>
    <w:lvl w:ilvl="8">
      <w:start w:val="1"/>
      <w:numFmt w:val="lowerRoman"/>
      <w:lvlText w:val="%9."/>
      <w:lvlJc w:val="left"/>
      <w:pPr>
        <w:ind w:left="357" w:hanging="357"/>
      </w:pPr>
      <w:rPr>
        <w:rFonts w:hint="default"/>
      </w:rPr>
    </w:lvl>
  </w:abstractNum>
  <w:abstractNum w:abstractNumId="30" w15:restartNumberingAfterBreak="0">
    <w:nsid w:val="75A80DC9"/>
    <w:multiLevelType w:val="multilevel"/>
    <w:tmpl w:val="97C008F8"/>
    <w:numStyleLink w:val="SciensanoListBullets"/>
  </w:abstractNum>
  <w:abstractNum w:abstractNumId="31" w15:restartNumberingAfterBreak="0">
    <w:nsid w:val="7ACC4A42"/>
    <w:multiLevelType w:val="multilevel"/>
    <w:tmpl w:val="F2F420E0"/>
    <w:numStyleLink w:val="ScienscanoListNumbers"/>
  </w:abstractNum>
  <w:num w:numId="1">
    <w:abstractNumId w:val="5"/>
  </w:num>
  <w:num w:numId="2">
    <w:abstractNumId w:val="19"/>
  </w:num>
  <w:num w:numId="3">
    <w:abstractNumId w:val="8"/>
  </w:num>
  <w:num w:numId="4">
    <w:abstractNumId w:val="25"/>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26"/>
  </w:num>
  <w:num w:numId="8">
    <w:abstractNumId w:val="26"/>
  </w:num>
  <w:num w:numId="9">
    <w:abstractNumId w:val="26"/>
  </w:num>
  <w:num w:numId="10">
    <w:abstractNumId w:val="26"/>
  </w:num>
  <w:num w:numId="11">
    <w:abstractNumId w:val="26"/>
  </w:num>
  <w:num w:numId="12">
    <w:abstractNumId w:val="26"/>
  </w:num>
  <w:num w:numId="13">
    <w:abstractNumId w:val="14"/>
  </w:num>
  <w:num w:numId="14">
    <w:abstractNumId w:val="12"/>
  </w:num>
  <w:num w:numId="15">
    <w:abstractNumId w:val="12"/>
  </w:num>
  <w:num w:numId="16">
    <w:abstractNumId w:val="12"/>
  </w:num>
  <w:num w:numId="17">
    <w:abstractNumId w:val="12"/>
  </w:num>
  <w:num w:numId="18">
    <w:abstractNumId w:val="12"/>
  </w:num>
  <w:num w:numId="19">
    <w:abstractNumId w:val="12"/>
  </w:num>
  <w:num w:numId="20">
    <w:abstractNumId w:val="7"/>
  </w:num>
  <w:num w:numId="21">
    <w:abstractNumId w:val="6"/>
  </w:num>
  <w:num w:numId="22">
    <w:abstractNumId w:val="21"/>
  </w:num>
  <w:num w:numId="23">
    <w:abstractNumId w:val="30"/>
  </w:num>
  <w:num w:numId="24">
    <w:abstractNumId w:val="28"/>
  </w:num>
  <w:num w:numId="25">
    <w:abstractNumId w:val="15"/>
  </w:num>
  <w:num w:numId="26">
    <w:abstractNumId w:val="24"/>
  </w:num>
  <w:num w:numId="27">
    <w:abstractNumId w:val="31"/>
  </w:num>
  <w:num w:numId="28">
    <w:abstractNumId w:val="9"/>
  </w:num>
  <w:num w:numId="29">
    <w:abstractNumId w:val="3"/>
  </w:num>
  <w:num w:numId="30">
    <w:abstractNumId w:val="2"/>
  </w:num>
  <w:num w:numId="31">
    <w:abstractNumId w:val="1"/>
  </w:num>
  <w:num w:numId="32">
    <w:abstractNumId w:val="0"/>
  </w:num>
  <w:num w:numId="33">
    <w:abstractNumId w:val="10"/>
  </w:num>
  <w:num w:numId="34">
    <w:abstractNumId w:val="29"/>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3"/>
  </w:num>
  <w:num w:numId="37">
    <w:abstractNumId w:val="22"/>
  </w:num>
  <w:num w:numId="38">
    <w:abstractNumId w:val="13"/>
  </w:num>
  <w:num w:numId="39">
    <w:abstractNumId w:val="18"/>
  </w:num>
  <w:num w:numId="40">
    <w:abstractNumId w:val="16"/>
  </w:num>
  <w:num w:numId="41">
    <w:abstractNumId w:val="17"/>
  </w:num>
  <w:num w:numId="42">
    <w:abstractNumId w:val="4"/>
  </w:num>
  <w:num w:numId="43">
    <w:abstractNumId w:val="20"/>
  </w:num>
  <w:num w:numId="44">
    <w:abstractNumId w:val="27"/>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PersonalInformation/>
  <w:removeDateAndTime/>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0B5"/>
    <w:rsid w:val="0001436A"/>
    <w:rsid w:val="00025134"/>
    <w:rsid w:val="00034304"/>
    <w:rsid w:val="00035434"/>
    <w:rsid w:val="00052A14"/>
    <w:rsid w:val="00077D53"/>
    <w:rsid w:val="00105FD9"/>
    <w:rsid w:val="00117666"/>
    <w:rsid w:val="001549D3"/>
    <w:rsid w:val="00160065"/>
    <w:rsid w:val="00177D84"/>
    <w:rsid w:val="00226C9F"/>
    <w:rsid w:val="0024549B"/>
    <w:rsid w:val="00267D18"/>
    <w:rsid w:val="00274347"/>
    <w:rsid w:val="002868E2"/>
    <w:rsid w:val="002869C3"/>
    <w:rsid w:val="002936E4"/>
    <w:rsid w:val="002A2676"/>
    <w:rsid w:val="002B4A57"/>
    <w:rsid w:val="002C74CA"/>
    <w:rsid w:val="002F58D7"/>
    <w:rsid w:val="003123F4"/>
    <w:rsid w:val="003544FB"/>
    <w:rsid w:val="00387444"/>
    <w:rsid w:val="003D2F2D"/>
    <w:rsid w:val="00401590"/>
    <w:rsid w:val="004304AF"/>
    <w:rsid w:val="00447801"/>
    <w:rsid w:val="00452E9C"/>
    <w:rsid w:val="004537D3"/>
    <w:rsid w:val="004735C8"/>
    <w:rsid w:val="0049264C"/>
    <w:rsid w:val="004947A6"/>
    <w:rsid w:val="004961FF"/>
    <w:rsid w:val="004C7CCB"/>
    <w:rsid w:val="00504B02"/>
    <w:rsid w:val="00517A89"/>
    <w:rsid w:val="005250F2"/>
    <w:rsid w:val="00593EEA"/>
    <w:rsid w:val="005A5EEE"/>
    <w:rsid w:val="00634D63"/>
    <w:rsid w:val="006375C7"/>
    <w:rsid w:val="00643794"/>
    <w:rsid w:val="00654E8F"/>
    <w:rsid w:val="00660D05"/>
    <w:rsid w:val="006820B1"/>
    <w:rsid w:val="006B7D14"/>
    <w:rsid w:val="006C34E3"/>
    <w:rsid w:val="00701727"/>
    <w:rsid w:val="0070566C"/>
    <w:rsid w:val="00714C50"/>
    <w:rsid w:val="00720FCE"/>
    <w:rsid w:val="00725A7D"/>
    <w:rsid w:val="007501BE"/>
    <w:rsid w:val="00790BB3"/>
    <w:rsid w:val="007C206C"/>
    <w:rsid w:val="007D2526"/>
    <w:rsid w:val="00817DD6"/>
    <w:rsid w:val="00836EDC"/>
    <w:rsid w:val="0083759F"/>
    <w:rsid w:val="00847FD8"/>
    <w:rsid w:val="00885156"/>
    <w:rsid w:val="009151AA"/>
    <w:rsid w:val="0093429D"/>
    <w:rsid w:val="00943573"/>
    <w:rsid w:val="00964134"/>
    <w:rsid w:val="00970F7D"/>
    <w:rsid w:val="00993524"/>
    <w:rsid w:val="00994A3D"/>
    <w:rsid w:val="009C2B12"/>
    <w:rsid w:val="009E0F3F"/>
    <w:rsid w:val="009F0A18"/>
    <w:rsid w:val="00A069BC"/>
    <w:rsid w:val="00A174D9"/>
    <w:rsid w:val="00A80118"/>
    <w:rsid w:val="00AA4D24"/>
    <w:rsid w:val="00AB6715"/>
    <w:rsid w:val="00B1671E"/>
    <w:rsid w:val="00B25EB8"/>
    <w:rsid w:val="00B37F4D"/>
    <w:rsid w:val="00C32661"/>
    <w:rsid w:val="00C52A7B"/>
    <w:rsid w:val="00C56BAF"/>
    <w:rsid w:val="00C662E9"/>
    <w:rsid w:val="00C679AA"/>
    <w:rsid w:val="00C75972"/>
    <w:rsid w:val="00CD066B"/>
    <w:rsid w:val="00CE4FEE"/>
    <w:rsid w:val="00D060CF"/>
    <w:rsid w:val="00D72566"/>
    <w:rsid w:val="00DB59C3"/>
    <w:rsid w:val="00DC259A"/>
    <w:rsid w:val="00DE23E8"/>
    <w:rsid w:val="00E452BC"/>
    <w:rsid w:val="00E52377"/>
    <w:rsid w:val="00E537AD"/>
    <w:rsid w:val="00E64E17"/>
    <w:rsid w:val="00E866C9"/>
    <w:rsid w:val="00EA3D3C"/>
    <w:rsid w:val="00EC090A"/>
    <w:rsid w:val="00ED20B5"/>
    <w:rsid w:val="00EF076C"/>
    <w:rsid w:val="00F46900"/>
    <w:rsid w:val="00F61D89"/>
    <w:rsid w:val="00F901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6DB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18"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18" w:unhideWhenUsed="1"/>
    <w:lsdException w:name="annotation reference" w:semiHidden="1" w:unhideWhenUsed="1"/>
    <w:lsdException w:name="line number" w:semiHidden="1" w:unhideWhenUsed="1"/>
    <w:lsdException w:name="page number" w:semiHidden="1" w:unhideWhenUsed="1"/>
    <w:lsdException w:name="endnote reference" w:semiHidden="1" w:uiPriority="18" w:unhideWhenUsed="1"/>
    <w:lsdException w:name="endnote text" w:semiHidden="1" w:uiPriority="18"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lsdException w:name="List Bullet 3" w:semiHidden="1" w:uiPriority="10" w:unhideWhenUsed="1"/>
    <w:lsdException w:name="List Bullet 4" w:semiHidden="1" w:unhideWhenUsed="1"/>
    <w:lsdException w:name="List Bullet 5" w:semiHidden="1" w:unhideWhenUsed="1"/>
    <w:lsdException w:name="List Number 2" w:semiHidden="1" w:uiPriority="13" w:unhideWhenUsed="1"/>
    <w:lsdException w:name="List Number 3" w:semiHidden="1" w:uiPriority="13" w:unhideWhenUsed="1"/>
    <w:lsdException w:name="List Number 4" w:semiHidden="1" w:unhideWhenUsed="1"/>
    <w:lsdException w:name="List Number 5" w:semiHidden="1" w:unhideWhenUsed="1"/>
    <w:lsdException w:name="Title" w:uiPriority="1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7"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aliases w:val="T1 Sciensano,T1"/>
    <w:basedOn w:val="ListParagraph"/>
    <w:next w:val="Normal"/>
    <w:link w:val="Heading1Char"/>
    <w:uiPriority w:val="9"/>
    <w:qFormat/>
    <w:rsid w:val="00AB6715"/>
    <w:pPr>
      <w:numPr>
        <w:numId w:val="19"/>
      </w:numPr>
      <w:spacing w:before="240"/>
      <w:contextualSpacing w:val="0"/>
      <w:outlineLvl w:val="0"/>
    </w:pPr>
    <w:rPr>
      <w:b/>
    </w:rPr>
  </w:style>
  <w:style w:type="paragraph" w:styleId="Heading2">
    <w:name w:val="heading 2"/>
    <w:aliases w:val="T2 Sciensano,T2"/>
    <w:basedOn w:val="Heading1"/>
    <w:next w:val="Normal"/>
    <w:link w:val="Heading2Char"/>
    <w:uiPriority w:val="9"/>
    <w:qFormat/>
    <w:rsid w:val="00AB6715"/>
    <w:pPr>
      <w:numPr>
        <w:ilvl w:val="1"/>
      </w:numPr>
      <w:spacing w:after="200"/>
      <w:outlineLvl w:val="1"/>
    </w:pPr>
  </w:style>
  <w:style w:type="paragraph" w:styleId="Heading3">
    <w:name w:val="heading 3"/>
    <w:aliases w:val="T3 Sciensano,T3"/>
    <w:basedOn w:val="Normal"/>
    <w:next w:val="Normal"/>
    <w:link w:val="Heading3Char"/>
    <w:uiPriority w:val="9"/>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aliases w:val="T4 Sciensano,T4"/>
    <w:basedOn w:val="Heading3"/>
    <w:next w:val="Normal"/>
    <w:link w:val="Heading4Char"/>
    <w:uiPriority w:val="9"/>
    <w:qFormat/>
    <w:rsid w:val="00AB6715"/>
    <w:pPr>
      <w:numPr>
        <w:ilvl w:val="3"/>
      </w:numPr>
      <w:outlineLvl w:val="3"/>
    </w:pPr>
    <w:rPr>
      <w:iCs/>
    </w:rPr>
  </w:style>
  <w:style w:type="paragraph" w:styleId="Heading5">
    <w:name w:val="heading 5"/>
    <w:aliases w:val="T5 Sciensano,T5"/>
    <w:basedOn w:val="Heading4"/>
    <w:next w:val="Normal"/>
    <w:link w:val="Heading5Char"/>
    <w:uiPriority w:val="9"/>
    <w:qFormat/>
    <w:rsid w:val="00AB6715"/>
    <w:pPr>
      <w:numPr>
        <w:ilvl w:val="4"/>
      </w:numPr>
      <w:outlineLvl w:val="4"/>
    </w:pPr>
  </w:style>
  <w:style w:type="paragraph" w:styleId="Heading6">
    <w:name w:val="heading 6"/>
    <w:basedOn w:val="Normal"/>
    <w:next w:val="Normal"/>
    <w:link w:val="Heading6Char"/>
    <w:uiPriority w:val="9"/>
    <w:semiHidden/>
    <w:unhideWhenUsed/>
    <w:qFormat/>
    <w:rsid w:val="00F90100"/>
    <w:pPr>
      <w:keepNext/>
      <w:keepLines/>
      <w:spacing w:before="40" w:after="0"/>
      <w:outlineLvl w:val="5"/>
    </w:pPr>
    <w:rPr>
      <w:rFonts w:ascii="Arial" w:eastAsia="Times New Roman" w:hAnsi="Arial" w:cs="Times New Roman"/>
      <w:i/>
      <w:iCs/>
      <w:color w:val="1C541A"/>
      <w:sz w:val="22"/>
      <w:lang w:val="nl-BE"/>
    </w:rPr>
  </w:style>
  <w:style w:type="paragraph" w:styleId="Heading7">
    <w:name w:val="heading 7"/>
    <w:basedOn w:val="Normal"/>
    <w:next w:val="Normal"/>
    <w:link w:val="Heading7Char"/>
    <w:uiPriority w:val="9"/>
    <w:semiHidden/>
    <w:unhideWhenUsed/>
    <w:qFormat/>
    <w:rsid w:val="00F90100"/>
    <w:pPr>
      <w:keepNext/>
      <w:keepLines/>
      <w:spacing w:before="40" w:after="0"/>
      <w:outlineLvl w:val="6"/>
    </w:pPr>
    <w:rPr>
      <w:rFonts w:ascii="Arial" w:eastAsia="Times New Roman" w:hAnsi="Arial" w:cs="Times New Roman"/>
      <w:i/>
      <w:iCs/>
      <w:color w:val="808285"/>
      <w:sz w:val="22"/>
      <w:lang w:val="nl-BE"/>
    </w:rPr>
  </w:style>
  <w:style w:type="paragraph" w:styleId="Heading8">
    <w:name w:val="heading 8"/>
    <w:basedOn w:val="Normal"/>
    <w:next w:val="Normal"/>
    <w:link w:val="Heading8Char"/>
    <w:uiPriority w:val="9"/>
    <w:semiHidden/>
    <w:unhideWhenUsed/>
    <w:qFormat/>
    <w:rsid w:val="00F90100"/>
    <w:pPr>
      <w:keepNext/>
      <w:keepLines/>
      <w:spacing w:before="40" w:after="0"/>
      <w:outlineLvl w:val="7"/>
    </w:pPr>
    <w:rPr>
      <w:rFonts w:ascii="Arial" w:eastAsia="Times New Roman" w:hAnsi="Arial" w:cs="Times New Roman"/>
      <w:color w:val="808285"/>
      <w:sz w:val="22"/>
      <w:szCs w:val="20"/>
      <w:lang w:val="nl-BE"/>
    </w:rPr>
  </w:style>
  <w:style w:type="paragraph" w:styleId="Heading9">
    <w:name w:val="heading 9"/>
    <w:basedOn w:val="Normal"/>
    <w:next w:val="Normal"/>
    <w:link w:val="Heading9Char"/>
    <w:uiPriority w:val="9"/>
    <w:semiHidden/>
    <w:unhideWhenUsed/>
    <w:qFormat/>
    <w:rsid w:val="00F90100"/>
    <w:pPr>
      <w:keepNext/>
      <w:keepLines/>
      <w:spacing w:before="40" w:after="0"/>
      <w:outlineLvl w:val="8"/>
    </w:pPr>
    <w:rPr>
      <w:rFonts w:ascii="Arial" w:eastAsia="Times New Roman" w:hAnsi="Arial" w:cs="Times New Roman"/>
      <w:i/>
      <w:iCs/>
      <w:color w:val="808285"/>
      <w:sz w:val="22"/>
      <w:szCs w:val="20"/>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1 Sciensano Char,T1 Char"/>
    <w:basedOn w:val="DefaultParagraphFont"/>
    <w:link w:val="Heading1"/>
    <w:uiPriority w:val="9"/>
    <w:rsid w:val="00AB6715"/>
    <w:rPr>
      <w:rFonts w:ascii="Times New Roman" w:eastAsia="Cambria" w:hAnsi="Times New Roman" w:cs="Times New Roman"/>
      <w:b/>
      <w:sz w:val="24"/>
      <w:szCs w:val="24"/>
    </w:rPr>
  </w:style>
  <w:style w:type="character" w:customStyle="1" w:styleId="Heading2Char">
    <w:name w:val="Heading 2 Char"/>
    <w:aliases w:val="T2 Sciensano Char,T2 Char"/>
    <w:basedOn w:val="DefaultParagraphFont"/>
    <w:link w:val="Heading2"/>
    <w:uiPriority w:val="9"/>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17"/>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17"/>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aliases w:val="Caption Sciensano"/>
    <w:basedOn w:val="Normal"/>
    <w:next w:val="NoSpacing"/>
    <w:uiPriority w:val="19"/>
    <w:unhideWhenUsed/>
    <w:qFormat/>
    <w:rsid w:val="00AB6715"/>
    <w:pPr>
      <w:keepNext/>
    </w:pPr>
    <w:rPr>
      <w:rFonts w:cs="Times New Roman"/>
      <w:b/>
      <w:bCs/>
      <w:szCs w:val="24"/>
    </w:rPr>
  </w:style>
  <w:style w:type="paragraph" w:styleId="NoSpacing">
    <w:name w:val="No Spacing"/>
    <w:uiPriority w:val="17"/>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18"/>
    <w:semiHidden/>
    <w:unhideWhenUsed/>
    <w:rsid w:val="00AB6715"/>
    <w:rPr>
      <w:vertAlign w:val="superscript"/>
    </w:rPr>
  </w:style>
  <w:style w:type="paragraph" w:styleId="EndnoteText">
    <w:name w:val="endnote text"/>
    <w:aliases w:val="Endnote Text Sciensano"/>
    <w:basedOn w:val="Normal"/>
    <w:link w:val="EndnoteTextChar"/>
    <w:uiPriority w:val="18"/>
    <w:unhideWhenUsed/>
    <w:rsid w:val="00AB6715"/>
    <w:pPr>
      <w:spacing w:after="0"/>
    </w:pPr>
    <w:rPr>
      <w:sz w:val="20"/>
      <w:szCs w:val="20"/>
    </w:rPr>
  </w:style>
  <w:style w:type="character" w:customStyle="1" w:styleId="EndnoteTextChar">
    <w:name w:val="Endnote Text Char"/>
    <w:aliases w:val="Endnote Text Sciensano Char"/>
    <w:basedOn w:val="DefaultParagraphFont"/>
    <w:link w:val="EndnoteText"/>
    <w:uiPriority w:val="18"/>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aliases w:val="Footnote Reference Sciensano"/>
    <w:basedOn w:val="DefaultParagraphFont"/>
    <w:uiPriority w:val="18"/>
    <w:unhideWhenUsed/>
    <w:rsid w:val="00AB6715"/>
    <w:rPr>
      <w:vertAlign w:val="superscript"/>
    </w:rPr>
  </w:style>
  <w:style w:type="paragraph" w:styleId="FootnoteText">
    <w:name w:val="footnote text"/>
    <w:aliases w:val="Footnote Text Sciensano"/>
    <w:basedOn w:val="Normal"/>
    <w:link w:val="FootnoteTextChar"/>
    <w:uiPriority w:val="18"/>
    <w:unhideWhenUsed/>
    <w:rsid w:val="00AB6715"/>
    <w:pPr>
      <w:spacing w:after="0"/>
    </w:pPr>
    <w:rPr>
      <w:sz w:val="20"/>
      <w:szCs w:val="20"/>
    </w:rPr>
  </w:style>
  <w:style w:type="character" w:customStyle="1" w:styleId="FootnoteTextChar">
    <w:name w:val="Footnote Text Char"/>
    <w:aliases w:val="Footnote Text Sciensano Char"/>
    <w:basedOn w:val="DefaultParagraphFont"/>
    <w:link w:val="FootnoteText"/>
    <w:uiPriority w:val="18"/>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qFormat/>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aliases w:val="T3 Sciensano Char,T3 Char"/>
    <w:basedOn w:val="DefaultParagraphFont"/>
    <w:link w:val="Heading3"/>
    <w:uiPriority w:val="9"/>
    <w:rsid w:val="00AB6715"/>
    <w:rPr>
      <w:rFonts w:ascii="Times New Roman" w:eastAsiaTheme="majorEastAsia" w:hAnsi="Times New Roman" w:cstheme="majorBidi"/>
      <w:b/>
      <w:sz w:val="24"/>
      <w:szCs w:val="24"/>
    </w:rPr>
  </w:style>
  <w:style w:type="character" w:customStyle="1" w:styleId="Heading4Char">
    <w:name w:val="Heading 4 Char"/>
    <w:aliases w:val="T4 Sciensano Char,T4 Char"/>
    <w:basedOn w:val="DefaultParagraphFont"/>
    <w:link w:val="Heading4"/>
    <w:uiPriority w:val="9"/>
    <w:rsid w:val="00AB6715"/>
    <w:rPr>
      <w:rFonts w:ascii="Times New Roman" w:eastAsiaTheme="majorEastAsia" w:hAnsi="Times New Roman" w:cstheme="majorBidi"/>
      <w:b/>
      <w:iCs/>
      <w:sz w:val="24"/>
      <w:szCs w:val="24"/>
    </w:rPr>
  </w:style>
  <w:style w:type="character" w:customStyle="1" w:styleId="Heading5Char">
    <w:name w:val="Heading 5 Char"/>
    <w:aliases w:val="T5 Sciensano Char,T5 Char"/>
    <w:basedOn w:val="DefaultParagraphFont"/>
    <w:link w:val="Heading5"/>
    <w:uiPriority w:val="9"/>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9"/>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uiPriority w:val="19"/>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customStyle="1" w:styleId="Heading61">
    <w:name w:val="Heading 61"/>
    <w:basedOn w:val="Normal"/>
    <w:next w:val="Normal"/>
    <w:uiPriority w:val="9"/>
    <w:semiHidden/>
    <w:qFormat/>
    <w:rsid w:val="00F90100"/>
    <w:pPr>
      <w:keepNext/>
      <w:keepLines/>
      <w:spacing w:before="200" w:after="0" w:line="276" w:lineRule="auto"/>
      <w:jc w:val="both"/>
      <w:outlineLvl w:val="5"/>
    </w:pPr>
    <w:rPr>
      <w:rFonts w:ascii="Arial" w:eastAsia="Times New Roman" w:hAnsi="Arial" w:cs="Times New Roman"/>
      <w:i/>
      <w:iCs/>
      <w:color w:val="1C541A"/>
      <w:sz w:val="20"/>
      <w:lang w:val="nl-BE"/>
    </w:rPr>
  </w:style>
  <w:style w:type="paragraph" w:customStyle="1" w:styleId="Heading71">
    <w:name w:val="Heading 71"/>
    <w:basedOn w:val="Normal"/>
    <w:next w:val="Normal"/>
    <w:uiPriority w:val="9"/>
    <w:semiHidden/>
    <w:unhideWhenUsed/>
    <w:qFormat/>
    <w:rsid w:val="00F90100"/>
    <w:pPr>
      <w:keepNext/>
      <w:keepLines/>
      <w:spacing w:before="200" w:after="0" w:line="276" w:lineRule="auto"/>
      <w:jc w:val="both"/>
      <w:outlineLvl w:val="6"/>
    </w:pPr>
    <w:rPr>
      <w:rFonts w:ascii="Arial" w:eastAsia="Times New Roman" w:hAnsi="Arial" w:cs="Times New Roman"/>
      <w:i/>
      <w:iCs/>
      <w:color w:val="808285"/>
      <w:sz w:val="20"/>
      <w:lang w:val="nl-BE"/>
    </w:rPr>
  </w:style>
  <w:style w:type="paragraph" w:customStyle="1" w:styleId="Heading81">
    <w:name w:val="Heading 81"/>
    <w:basedOn w:val="Normal"/>
    <w:next w:val="Normal"/>
    <w:uiPriority w:val="9"/>
    <w:semiHidden/>
    <w:unhideWhenUsed/>
    <w:qFormat/>
    <w:rsid w:val="00F90100"/>
    <w:pPr>
      <w:keepNext/>
      <w:keepLines/>
      <w:spacing w:before="200" w:after="0" w:line="276" w:lineRule="auto"/>
      <w:jc w:val="both"/>
      <w:outlineLvl w:val="7"/>
    </w:pPr>
    <w:rPr>
      <w:rFonts w:ascii="Arial" w:eastAsia="Times New Roman" w:hAnsi="Arial" w:cs="Times New Roman"/>
      <w:color w:val="808285"/>
      <w:sz w:val="20"/>
      <w:szCs w:val="20"/>
      <w:lang w:val="nl-BE"/>
    </w:rPr>
  </w:style>
  <w:style w:type="paragraph" w:customStyle="1" w:styleId="Heading91">
    <w:name w:val="Heading 91"/>
    <w:basedOn w:val="Normal"/>
    <w:next w:val="Normal"/>
    <w:uiPriority w:val="9"/>
    <w:semiHidden/>
    <w:unhideWhenUsed/>
    <w:qFormat/>
    <w:rsid w:val="00F90100"/>
    <w:pPr>
      <w:keepNext/>
      <w:keepLines/>
      <w:spacing w:before="200" w:after="0" w:line="276" w:lineRule="auto"/>
      <w:jc w:val="both"/>
      <w:outlineLvl w:val="8"/>
    </w:pPr>
    <w:rPr>
      <w:rFonts w:ascii="Arial" w:eastAsia="Times New Roman" w:hAnsi="Arial" w:cs="Times New Roman"/>
      <w:i/>
      <w:iCs/>
      <w:color w:val="808285"/>
      <w:sz w:val="20"/>
      <w:szCs w:val="20"/>
      <w:lang w:val="nl-BE"/>
    </w:rPr>
  </w:style>
  <w:style w:type="numbering" w:customStyle="1" w:styleId="NoList1">
    <w:name w:val="No List1"/>
    <w:next w:val="NoList"/>
    <w:uiPriority w:val="99"/>
    <w:semiHidden/>
    <w:unhideWhenUsed/>
    <w:rsid w:val="00F90100"/>
  </w:style>
  <w:style w:type="paragraph" w:customStyle="1" w:styleId="BodySciensano">
    <w:name w:val="Body Sciensano"/>
    <w:basedOn w:val="Normal"/>
    <w:qFormat/>
    <w:rsid w:val="00F90100"/>
    <w:pPr>
      <w:spacing w:before="0" w:after="0" w:line="276" w:lineRule="auto"/>
      <w:contextualSpacing/>
      <w:jc w:val="both"/>
    </w:pPr>
    <w:rPr>
      <w:rFonts w:ascii="Arial" w:hAnsi="Arial"/>
      <w:color w:val="58595B"/>
      <w:sz w:val="20"/>
      <w:lang w:val="nl-BE"/>
    </w:rPr>
  </w:style>
  <w:style w:type="paragraph" w:customStyle="1" w:styleId="BodyStrongSciensano">
    <w:name w:val="BodyStrong Sciensano"/>
    <w:basedOn w:val="Normal"/>
    <w:link w:val="BodyStrongSciensanoChar"/>
    <w:uiPriority w:val="17"/>
    <w:qFormat/>
    <w:rsid w:val="00F90100"/>
    <w:pPr>
      <w:spacing w:before="0" w:after="0" w:line="276" w:lineRule="auto"/>
      <w:contextualSpacing/>
      <w:jc w:val="both"/>
    </w:pPr>
    <w:rPr>
      <w:rFonts w:ascii="Arial" w:hAnsi="Arial"/>
      <w:b/>
      <w:color w:val="58595B"/>
      <w:sz w:val="20"/>
      <w:lang w:val="nl-BE"/>
    </w:rPr>
  </w:style>
  <w:style w:type="character" w:customStyle="1" w:styleId="BodyStrongSciensanoChar">
    <w:name w:val="BodyStrong Sciensano Char"/>
    <w:basedOn w:val="DefaultParagraphFont"/>
    <w:link w:val="BodyStrongSciensano"/>
    <w:uiPriority w:val="17"/>
    <w:rsid w:val="00F90100"/>
    <w:rPr>
      <w:rFonts w:ascii="Arial" w:hAnsi="Arial"/>
      <w:b/>
      <w:color w:val="58595B"/>
      <w:sz w:val="20"/>
      <w:lang w:val="nl-BE"/>
    </w:rPr>
  </w:style>
  <w:style w:type="table" w:customStyle="1" w:styleId="TableGridLight1">
    <w:name w:val="Table Grid Light1"/>
    <w:basedOn w:val="TableNormal"/>
    <w:uiPriority w:val="40"/>
    <w:rsid w:val="00F90100"/>
    <w:pPr>
      <w:spacing w:after="0" w:line="240" w:lineRule="auto"/>
      <w:jc w:val="both"/>
    </w:pPr>
    <w:rPr>
      <w:rFonts w:ascii="Arial" w:hAnsi="Arial"/>
      <w:color w:val="58595B"/>
      <w:sz w:val="20"/>
      <w:lang w:val="nl-BE"/>
    </w:rPr>
    <w:tblPr>
      <w:tblBorders>
        <w:top w:val="single" w:sz="4" w:space="0" w:color="7B7B7B"/>
        <w:left w:val="single" w:sz="4" w:space="0" w:color="7B7B7B"/>
        <w:bottom w:val="single" w:sz="4" w:space="0" w:color="7B7B7B"/>
        <w:right w:val="single" w:sz="4" w:space="0" w:color="7B7B7B"/>
        <w:insideH w:val="single" w:sz="4" w:space="0" w:color="7B7B7B"/>
        <w:insideV w:val="single" w:sz="4" w:space="0" w:color="7B7B7B"/>
      </w:tblBorders>
    </w:tblPr>
  </w:style>
  <w:style w:type="paragraph" w:customStyle="1" w:styleId="HeadingT2hyphen">
    <w:name w:val="Heading T2 hyphen"/>
    <w:basedOn w:val="Normal"/>
    <w:uiPriority w:val="9"/>
    <w:qFormat/>
    <w:rsid w:val="00F90100"/>
    <w:pPr>
      <w:spacing w:before="0" w:after="360" w:line="276" w:lineRule="auto"/>
      <w:contextualSpacing/>
      <w:jc w:val="center"/>
    </w:pPr>
    <w:rPr>
      <w:rFonts w:ascii="Arial" w:hAnsi="Arial"/>
      <w:b/>
      <w:caps/>
      <w:color w:val="BCCF00"/>
      <w:sz w:val="36"/>
      <w:lang w:val="nl-BE"/>
    </w:rPr>
  </w:style>
  <w:style w:type="paragraph" w:styleId="ListBullet">
    <w:name w:val="List Bullet"/>
    <w:aliases w:val="Bullet level 1 Sciensano"/>
    <w:basedOn w:val="Normal"/>
    <w:uiPriority w:val="10"/>
    <w:qFormat/>
    <w:rsid w:val="00F90100"/>
    <w:pPr>
      <w:numPr>
        <w:numId w:val="20"/>
      </w:numPr>
      <w:tabs>
        <w:tab w:val="clear" w:pos="363"/>
      </w:tabs>
      <w:spacing w:before="0" w:after="0" w:line="276" w:lineRule="auto"/>
      <w:ind w:left="0" w:firstLine="0"/>
      <w:jc w:val="both"/>
    </w:pPr>
    <w:rPr>
      <w:rFonts w:ascii="Arial" w:hAnsi="Arial"/>
      <w:color w:val="58595B"/>
      <w:sz w:val="20"/>
      <w:lang w:val="nl-BE"/>
    </w:rPr>
  </w:style>
  <w:style w:type="paragraph" w:styleId="ListBullet2">
    <w:name w:val="List Bullet 2"/>
    <w:aliases w:val="Bullet level 2 Sciensano"/>
    <w:basedOn w:val="Normal"/>
    <w:uiPriority w:val="10"/>
    <w:rsid w:val="00F90100"/>
    <w:pPr>
      <w:numPr>
        <w:ilvl w:val="1"/>
        <w:numId w:val="20"/>
      </w:numPr>
      <w:tabs>
        <w:tab w:val="clear" w:pos="505"/>
      </w:tabs>
      <w:spacing w:before="0" w:after="0" w:line="276" w:lineRule="auto"/>
      <w:ind w:left="0" w:firstLine="0"/>
      <w:jc w:val="both"/>
    </w:pPr>
    <w:rPr>
      <w:rFonts w:ascii="Arial" w:hAnsi="Arial"/>
      <w:color w:val="58595B"/>
      <w:sz w:val="20"/>
      <w:lang w:val="nl-BE"/>
    </w:rPr>
  </w:style>
  <w:style w:type="paragraph" w:styleId="ListBullet3">
    <w:name w:val="List Bullet 3"/>
    <w:aliases w:val="Bullet level 3 Sciensano"/>
    <w:basedOn w:val="Normal"/>
    <w:uiPriority w:val="10"/>
    <w:rsid w:val="00F90100"/>
    <w:pPr>
      <w:numPr>
        <w:ilvl w:val="2"/>
        <w:numId w:val="20"/>
      </w:numPr>
      <w:tabs>
        <w:tab w:val="clear" w:pos="646"/>
      </w:tabs>
      <w:spacing w:before="0" w:after="0" w:line="276" w:lineRule="auto"/>
      <w:ind w:left="0" w:firstLine="0"/>
      <w:contextualSpacing/>
      <w:jc w:val="both"/>
    </w:pPr>
    <w:rPr>
      <w:rFonts w:ascii="Arial" w:hAnsi="Arial"/>
      <w:color w:val="58595B"/>
      <w:sz w:val="20"/>
      <w:lang w:val="nl-BE"/>
    </w:rPr>
  </w:style>
  <w:style w:type="paragraph" w:styleId="ListNumber">
    <w:name w:val="List Number"/>
    <w:aliases w:val="Numbering level 1 Sciensano"/>
    <w:basedOn w:val="Normal"/>
    <w:uiPriority w:val="12"/>
    <w:rsid w:val="00F90100"/>
    <w:pPr>
      <w:numPr>
        <w:numId w:val="24"/>
      </w:numPr>
      <w:spacing w:before="0" w:after="0" w:line="276" w:lineRule="auto"/>
      <w:ind w:left="0" w:firstLine="0"/>
      <w:jc w:val="both"/>
    </w:pPr>
    <w:rPr>
      <w:rFonts w:ascii="Arial" w:hAnsi="Arial"/>
      <w:color w:val="58595B"/>
      <w:sz w:val="20"/>
      <w:lang w:val="nl-BE"/>
    </w:rPr>
  </w:style>
  <w:style w:type="paragraph" w:styleId="ListNumber2">
    <w:name w:val="List Number 2"/>
    <w:aliases w:val="Numbering level 2 Sciensano"/>
    <w:basedOn w:val="Normal"/>
    <w:uiPriority w:val="13"/>
    <w:rsid w:val="00F90100"/>
    <w:pPr>
      <w:numPr>
        <w:ilvl w:val="1"/>
        <w:numId w:val="24"/>
      </w:numPr>
      <w:spacing w:before="0" w:after="0" w:line="276" w:lineRule="auto"/>
      <w:ind w:left="0" w:firstLine="0"/>
      <w:jc w:val="both"/>
    </w:pPr>
    <w:rPr>
      <w:rFonts w:ascii="Arial" w:hAnsi="Arial"/>
      <w:color w:val="58595B"/>
      <w:sz w:val="20"/>
      <w:lang w:val="nl-BE"/>
    </w:rPr>
  </w:style>
  <w:style w:type="paragraph" w:styleId="ListNumber3">
    <w:name w:val="List Number 3"/>
    <w:aliases w:val="Numbering level 3 Sciensano"/>
    <w:basedOn w:val="Normal"/>
    <w:uiPriority w:val="13"/>
    <w:rsid w:val="00F90100"/>
    <w:pPr>
      <w:numPr>
        <w:ilvl w:val="2"/>
        <w:numId w:val="24"/>
      </w:numPr>
      <w:spacing w:before="0" w:after="0" w:line="276" w:lineRule="auto"/>
      <w:ind w:left="0" w:firstLine="0"/>
      <w:jc w:val="both"/>
    </w:pPr>
    <w:rPr>
      <w:rFonts w:ascii="Arial" w:hAnsi="Arial"/>
      <w:color w:val="58595B"/>
      <w:sz w:val="20"/>
      <w:lang w:val="nl-BE"/>
    </w:rPr>
  </w:style>
  <w:style w:type="character" w:styleId="PlaceholderText">
    <w:name w:val="Placeholder Text"/>
    <w:basedOn w:val="DefaultParagraphFont"/>
    <w:uiPriority w:val="99"/>
    <w:semiHidden/>
    <w:rsid w:val="00F90100"/>
    <w:rPr>
      <w:color w:val="808080"/>
      <w:lang w:val="nl-BE"/>
    </w:rPr>
  </w:style>
  <w:style w:type="paragraph" w:customStyle="1" w:styleId="AddressSciensano">
    <w:name w:val="Address Sciensano"/>
    <w:basedOn w:val="Normal"/>
    <w:uiPriority w:val="14"/>
    <w:qFormat/>
    <w:rsid w:val="00F90100"/>
    <w:pPr>
      <w:tabs>
        <w:tab w:val="left" w:pos="5103"/>
      </w:tabs>
      <w:spacing w:before="0" w:after="120"/>
      <w:contextualSpacing/>
      <w:jc w:val="both"/>
    </w:pPr>
    <w:rPr>
      <w:rFonts w:ascii="Arial" w:hAnsi="Arial"/>
      <w:color w:val="58595B"/>
      <w:sz w:val="20"/>
      <w:lang w:val="nl-BE"/>
    </w:rPr>
  </w:style>
  <w:style w:type="numbering" w:customStyle="1" w:styleId="SciensanoListBullets">
    <w:name w:val="Sciensano List Bullets"/>
    <w:uiPriority w:val="99"/>
    <w:rsid w:val="00F90100"/>
    <w:pPr>
      <w:numPr>
        <w:numId w:val="20"/>
      </w:numPr>
    </w:pPr>
  </w:style>
  <w:style w:type="numbering" w:customStyle="1" w:styleId="SciensanoListNumber">
    <w:name w:val="Sciensano List Number"/>
    <w:uiPriority w:val="99"/>
    <w:rsid w:val="00F90100"/>
  </w:style>
  <w:style w:type="table" w:customStyle="1" w:styleId="SciensanoTable">
    <w:name w:val="Sciensano Table"/>
    <w:basedOn w:val="TableNormal"/>
    <w:uiPriority w:val="99"/>
    <w:rsid w:val="00F90100"/>
    <w:pPr>
      <w:spacing w:after="0" w:line="240" w:lineRule="auto"/>
      <w:jc w:val="center"/>
    </w:pPr>
    <w:rPr>
      <w:rFonts w:ascii="Arial" w:hAnsi="Arial"/>
      <w:color w:val="58595B"/>
      <w:sz w:val="20"/>
      <w:lang w:val="nl-BE"/>
    </w:rPr>
    <w:tblPr>
      <w:tblStyleRowBandSize w:val="1"/>
      <w:tblBorders>
        <w:insideH w:val="single" w:sz="4" w:space="0" w:color="BCCF00"/>
      </w:tblBorders>
    </w:tblPr>
    <w:tblStylePr w:type="firstRow">
      <w:rPr>
        <w:rFonts w:ascii="Arial" w:hAnsi="Arial"/>
        <w:b/>
        <w:color w:val="FFFFFF"/>
        <w:sz w:val="20"/>
      </w:rPr>
      <w:tblPr/>
      <w:tcPr>
        <w:shd w:val="clear" w:color="auto" w:fill="3AAA35"/>
      </w:tcPr>
    </w:tblStylePr>
    <w:tblStylePr w:type="lastRow">
      <w:rPr>
        <w:rFonts w:ascii="Arial" w:hAnsi="Arial"/>
        <w:b w:val="0"/>
        <w:i w:val="0"/>
        <w:caps/>
        <w:smallCaps w:val="0"/>
        <w:color w:val="58595B"/>
        <w:sz w:val="20"/>
      </w:rPr>
      <w:tblPr/>
      <w:tcPr>
        <w:shd w:val="clear" w:color="auto" w:fill="BCCF00"/>
      </w:tcPr>
    </w:tblStylePr>
    <w:tblStylePr w:type="firstCol">
      <w:pPr>
        <w:wordWrap/>
        <w:jc w:val="left"/>
      </w:pPr>
    </w:tblStylePr>
    <w:tblStylePr w:type="band1Horz">
      <w:rPr>
        <w:rFonts w:ascii="Arial" w:hAnsi="Arial"/>
        <w:color w:val="58595B"/>
        <w:sz w:val="20"/>
      </w:rPr>
    </w:tblStylePr>
    <w:tblStylePr w:type="band2Horz">
      <w:rPr>
        <w:rFonts w:ascii="Arial" w:hAnsi="Arial"/>
        <w:color w:val="58595B"/>
      </w:rPr>
    </w:tblStylePr>
  </w:style>
  <w:style w:type="paragraph" w:customStyle="1" w:styleId="TableHeaderStyleSciensano">
    <w:name w:val="Table Header Style Sciensano"/>
    <w:basedOn w:val="Normal"/>
    <w:uiPriority w:val="16"/>
    <w:qFormat/>
    <w:rsid w:val="00F90100"/>
    <w:pPr>
      <w:suppressAutoHyphens/>
      <w:spacing w:before="0" w:after="0"/>
      <w:contextualSpacing/>
      <w:jc w:val="both"/>
    </w:pPr>
    <w:rPr>
      <w:rFonts w:ascii="Arial" w:hAnsi="Arial"/>
      <w:b/>
      <w:color w:val="A5A5A5"/>
      <w:sz w:val="20"/>
      <w:lang w:val="nl-BE"/>
    </w:rPr>
  </w:style>
  <w:style w:type="numbering" w:customStyle="1" w:styleId="ScienscanoListNumbers">
    <w:name w:val="Scienscano List Numbers"/>
    <w:uiPriority w:val="99"/>
    <w:rsid w:val="00F90100"/>
    <w:pPr>
      <w:numPr>
        <w:numId w:val="21"/>
      </w:numPr>
    </w:pPr>
  </w:style>
  <w:style w:type="table" w:customStyle="1" w:styleId="TableGrid1">
    <w:name w:val="Table Grid1"/>
    <w:basedOn w:val="TableNormal"/>
    <w:next w:val="TableGrid"/>
    <w:uiPriority w:val="39"/>
    <w:rsid w:val="00F90100"/>
    <w:pPr>
      <w:spacing w:after="0" w:line="240" w:lineRule="auto"/>
      <w:jc w:val="both"/>
    </w:pPr>
    <w:rPr>
      <w:rFonts w:ascii="Arial" w:hAnsi="Arial"/>
      <w:color w:val="58595B"/>
      <w:sz w:val="20"/>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BodySciensano"/>
    <w:uiPriority w:val="99"/>
    <w:unhideWhenUsed/>
    <w:rsid w:val="00F90100"/>
    <w:pPr>
      <w:suppressAutoHyphens/>
      <w:spacing w:before="0" w:after="0" w:line="276" w:lineRule="auto"/>
      <w:ind w:right="567"/>
      <w:contextualSpacing/>
      <w:jc w:val="both"/>
    </w:pPr>
    <w:rPr>
      <w:rFonts w:ascii="Arial" w:hAnsi="Arial"/>
      <w:color w:val="58595B"/>
      <w:sz w:val="18"/>
      <w:lang w:val="nl-BE"/>
    </w:rPr>
  </w:style>
  <w:style w:type="paragraph" w:styleId="TOC1">
    <w:name w:val="toc 1"/>
    <w:basedOn w:val="Normal"/>
    <w:next w:val="BodySciensano"/>
    <w:autoRedefine/>
    <w:uiPriority w:val="39"/>
    <w:rsid w:val="00F90100"/>
    <w:pPr>
      <w:tabs>
        <w:tab w:val="right" w:leader="dot" w:pos="9016"/>
      </w:tabs>
      <w:suppressAutoHyphens/>
      <w:spacing w:before="0" w:after="0" w:line="276" w:lineRule="auto"/>
      <w:ind w:right="454"/>
      <w:contextualSpacing/>
      <w:jc w:val="both"/>
    </w:pPr>
    <w:rPr>
      <w:rFonts w:ascii="Arial" w:hAnsi="Arial"/>
      <w:b/>
      <w:caps/>
      <w:color w:val="3AAA35"/>
      <w:sz w:val="18"/>
      <w:lang w:val="nl-BE"/>
    </w:rPr>
  </w:style>
  <w:style w:type="paragraph" w:styleId="TOC2">
    <w:name w:val="toc 2"/>
    <w:basedOn w:val="Normal"/>
    <w:next w:val="BodySciensano"/>
    <w:autoRedefine/>
    <w:uiPriority w:val="39"/>
    <w:rsid w:val="00F90100"/>
    <w:pPr>
      <w:tabs>
        <w:tab w:val="right" w:leader="dot" w:pos="9016"/>
      </w:tabs>
      <w:suppressAutoHyphens/>
      <w:spacing w:before="60" w:after="0" w:line="276" w:lineRule="auto"/>
      <w:ind w:left="170" w:right="454"/>
      <w:contextualSpacing/>
      <w:jc w:val="both"/>
    </w:pPr>
    <w:rPr>
      <w:rFonts w:ascii="Arial" w:hAnsi="Arial"/>
      <w:b/>
      <w:noProof/>
      <w:color w:val="58595B"/>
      <w:sz w:val="18"/>
      <w:lang w:val="nl-BE"/>
    </w:rPr>
  </w:style>
  <w:style w:type="paragraph" w:styleId="TOC3">
    <w:name w:val="toc 3"/>
    <w:basedOn w:val="Normal"/>
    <w:next w:val="BodySciensano"/>
    <w:autoRedefine/>
    <w:uiPriority w:val="39"/>
    <w:rsid w:val="00F90100"/>
    <w:pPr>
      <w:tabs>
        <w:tab w:val="right" w:leader="dot" w:pos="9016"/>
      </w:tabs>
      <w:suppressAutoHyphens/>
      <w:spacing w:before="0" w:after="0" w:line="276" w:lineRule="auto"/>
      <w:ind w:left="340" w:right="454"/>
      <w:contextualSpacing/>
      <w:jc w:val="both"/>
    </w:pPr>
    <w:rPr>
      <w:rFonts w:ascii="Arial" w:hAnsi="Arial"/>
      <w:noProof/>
      <w:color w:val="58595B"/>
      <w:sz w:val="18"/>
      <w:lang w:val="nl-BE"/>
    </w:rPr>
  </w:style>
  <w:style w:type="paragraph" w:styleId="TOCHeading">
    <w:name w:val="TOC Heading"/>
    <w:basedOn w:val="Heading1"/>
    <w:next w:val="BodySciensano"/>
    <w:uiPriority w:val="39"/>
    <w:qFormat/>
    <w:rsid w:val="00F90100"/>
    <w:pPr>
      <w:keepNext/>
      <w:keepLines/>
      <w:numPr>
        <w:numId w:val="0"/>
      </w:numPr>
      <w:suppressAutoHyphens/>
      <w:spacing w:before="480" w:after="0" w:line="276" w:lineRule="auto"/>
      <w:jc w:val="center"/>
      <w:outlineLvl w:val="9"/>
    </w:pPr>
    <w:rPr>
      <w:rFonts w:ascii="Arial" w:eastAsia="Times New Roman" w:hAnsi="Arial"/>
      <w:bCs/>
      <w:caps/>
      <w:color w:val="3AAA35"/>
      <w:spacing w:val="20"/>
      <w:sz w:val="40"/>
      <w:szCs w:val="28"/>
      <w:lang w:val="nl-BE" w:eastAsia="ja-JP"/>
    </w:rPr>
  </w:style>
  <w:style w:type="paragraph" w:customStyle="1" w:styleId="HeadingT2HyphenNoSpacing">
    <w:name w:val="Heading T2 Hyphen No Spacing"/>
    <w:basedOn w:val="HeadingT2hyphen"/>
    <w:next w:val="BodySciensano"/>
    <w:qFormat/>
    <w:rsid w:val="00F90100"/>
    <w:pPr>
      <w:spacing w:after="0"/>
    </w:pPr>
  </w:style>
  <w:style w:type="paragraph" w:customStyle="1" w:styleId="ChapterHeaderSciensano">
    <w:name w:val="Chapter Header Sciensano"/>
    <w:basedOn w:val="BodySciensano"/>
    <w:uiPriority w:val="14"/>
    <w:qFormat/>
    <w:rsid w:val="00F90100"/>
    <w:pPr>
      <w:jc w:val="center"/>
    </w:pPr>
    <w:rPr>
      <w:caps/>
      <w:color w:val="A5A5A5"/>
    </w:rPr>
  </w:style>
  <w:style w:type="paragraph" w:customStyle="1" w:styleId="AbbreviationsSciensano">
    <w:name w:val="Abbreviations Sciensano"/>
    <w:basedOn w:val="BodySciensano"/>
    <w:next w:val="BodySciensano"/>
    <w:uiPriority w:val="17"/>
    <w:qFormat/>
    <w:rsid w:val="00F90100"/>
    <w:rPr>
      <w:b/>
      <w:color w:val="3AAA35"/>
    </w:rPr>
  </w:style>
  <w:style w:type="paragraph" w:customStyle="1" w:styleId="CaptionAnnexesSciensano">
    <w:name w:val="Caption Annexes Sciensano"/>
    <w:basedOn w:val="Caption"/>
    <w:next w:val="BodySciensano"/>
    <w:uiPriority w:val="19"/>
    <w:qFormat/>
    <w:rsid w:val="00F90100"/>
    <w:pPr>
      <w:keepNext w:val="0"/>
      <w:suppressAutoHyphens/>
      <w:spacing w:before="0" w:after="0" w:line="276" w:lineRule="auto"/>
      <w:contextualSpacing/>
      <w:jc w:val="center"/>
    </w:pPr>
    <w:rPr>
      <w:rFonts w:ascii="Arial" w:hAnsi="Arial"/>
      <w:color w:val="3AAA35"/>
      <w:sz w:val="20"/>
      <w:szCs w:val="18"/>
      <w:lang w:val="nl-BE"/>
    </w:rPr>
  </w:style>
  <w:style w:type="paragraph" w:styleId="Bibliography">
    <w:name w:val="Bibliography"/>
    <w:basedOn w:val="Normal"/>
    <w:next w:val="Normal"/>
    <w:uiPriority w:val="37"/>
    <w:semiHidden/>
    <w:unhideWhenUsed/>
    <w:rsid w:val="00F90100"/>
    <w:pPr>
      <w:spacing w:before="0" w:after="0" w:line="276" w:lineRule="auto"/>
      <w:jc w:val="both"/>
    </w:pPr>
    <w:rPr>
      <w:rFonts w:ascii="Arial" w:hAnsi="Arial"/>
      <w:color w:val="58595B"/>
      <w:sz w:val="20"/>
      <w:lang w:val="nl-BE"/>
    </w:rPr>
  </w:style>
  <w:style w:type="paragraph" w:customStyle="1" w:styleId="BlockText1">
    <w:name w:val="Block Text1"/>
    <w:basedOn w:val="Normal"/>
    <w:next w:val="BlockText"/>
    <w:uiPriority w:val="99"/>
    <w:semiHidden/>
    <w:unhideWhenUsed/>
    <w:rsid w:val="00F90100"/>
    <w:pPr>
      <w:pBdr>
        <w:top w:val="single" w:sz="2" w:space="10" w:color="3AAA35" w:shadow="1" w:frame="1"/>
        <w:left w:val="single" w:sz="2" w:space="10" w:color="3AAA35" w:shadow="1" w:frame="1"/>
        <w:bottom w:val="single" w:sz="2" w:space="10" w:color="3AAA35" w:shadow="1" w:frame="1"/>
        <w:right w:val="single" w:sz="2" w:space="10" w:color="3AAA35" w:shadow="1" w:frame="1"/>
      </w:pBdr>
      <w:spacing w:before="0" w:after="0" w:line="276" w:lineRule="auto"/>
      <w:ind w:left="1152" w:right="1152"/>
      <w:jc w:val="both"/>
    </w:pPr>
    <w:rPr>
      <w:rFonts w:ascii="Arial" w:eastAsia="Times New Roman" w:hAnsi="Arial"/>
      <w:i/>
      <w:iCs/>
      <w:color w:val="3AAA35"/>
      <w:sz w:val="20"/>
      <w:lang w:val="nl-BE"/>
    </w:rPr>
  </w:style>
  <w:style w:type="paragraph" w:styleId="BodyText">
    <w:name w:val="Body Text"/>
    <w:basedOn w:val="Normal"/>
    <w:link w:val="BodyTextChar"/>
    <w:uiPriority w:val="99"/>
    <w:semiHidden/>
    <w:unhideWhenUsed/>
    <w:rsid w:val="00F90100"/>
    <w:pPr>
      <w:spacing w:before="0" w:after="120" w:line="276" w:lineRule="auto"/>
      <w:jc w:val="both"/>
    </w:pPr>
    <w:rPr>
      <w:rFonts w:ascii="Arial" w:hAnsi="Arial"/>
      <w:color w:val="58595B"/>
      <w:sz w:val="20"/>
      <w:lang w:val="nl-BE"/>
    </w:rPr>
  </w:style>
  <w:style w:type="character" w:customStyle="1" w:styleId="BodyTextChar">
    <w:name w:val="Body Text Char"/>
    <w:basedOn w:val="DefaultParagraphFont"/>
    <w:link w:val="BodyText"/>
    <w:uiPriority w:val="99"/>
    <w:semiHidden/>
    <w:rsid w:val="00F90100"/>
    <w:rPr>
      <w:rFonts w:ascii="Arial" w:hAnsi="Arial"/>
      <w:color w:val="58595B"/>
      <w:sz w:val="20"/>
      <w:lang w:val="nl-BE"/>
    </w:rPr>
  </w:style>
  <w:style w:type="paragraph" w:styleId="BodyText2">
    <w:name w:val="Body Text 2"/>
    <w:basedOn w:val="Normal"/>
    <w:link w:val="BodyText2Char"/>
    <w:uiPriority w:val="99"/>
    <w:semiHidden/>
    <w:unhideWhenUsed/>
    <w:rsid w:val="00F90100"/>
    <w:pPr>
      <w:spacing w:before="0" w:after="120" w:line="480" w:lineRule="auto"/>
      <w:jc w:val="both"/>
    </w:pPr>
    <w:rPr>
      <w:rFonts w:ascii="Arial" w:hAnsi="Arial"/>
      <w:color w:val="58595B"/>
      <w:sz w:val="20"/>
      <w:lang w:val="nl-BE"/>
    </w:rPr>
  </w:style>
  <w:style w:type="character" w:customStyle="1" w:styleId="BodyText2Char">
    <w:name w:val="Body Text 2 Char"/>
    <w:basedOn w:val="DefaultParagraphFont"/>
    <w:link w:val="BodyText2"/>
    <w:uiPriority w:val="99"/>
    <w:semiHidden/>
    <w:rsid w:val="00F90100"/>
    <w:rPr>
      <w:rFonts w:ascii="Arial" w:hAnsi="Arial"/>
      <w:color w:val="58595B"/>
      <w:sz w:val="20"/>
      <w:lang w:val="nl-BE"/>
    </w:rPr>
  </w:style>
  <w:style w:type="paragraph" w:styleId="BodyText3">
    <w:name w:val="Body Text 3"/>
    <w:basedOn w:val="Normal"/>
    <w:link w:val="BodyText3Char"/>
    <w:uiPriority w:val="99"/>
    <w:semiHidden/>
    <w:unhideWhenUsed/>
    <w:rsid w:val="00F90100"/>
    <w:pPr>
      <w:spacing w:before="0" w:after="120" w:line="276" w:lineRule="auto"/>
      <w:jc w:val="both"/>
    </w:pPr>
    <w:rPr>
      <w:rFonts w:ascii="Arial" w:hAnsi="Arial"/>
      <w:color w:val="58595B"/>
      <w:sz w:val="16"/>
      <w:szCs w:val="16"/>
      <w:lang w:val="nl-BE"/>
    </w:rPr>
  </w:style>
  <w:style w:type="character" w:customStyle="1" w:styleId="BodyText3Char">
    <w:name w:val="Body Text 3 Char"/>
    <w:basedOn w:val="DefaultParagraphFont"/>
    <w:link w:val="BodyText3"/>
    <w:uiPriority w:val="99"/>
    <w:semiHidden/>
    <w:rsid w:val="00F90100"/>
    <w:rPr>
      <w:rFonts w:ascii="Arial" w:hAnsi="Arial"/>
      <w:color w:val="58595B"/>
      <w:sz w:val="16"/>
      <w:szCs w:val="16"/>
      <w:lang w:val="nl-BE"/>
    </w:rPr>
  </w:style>
  <w:style w:type="paragraph" w:styleId="BodyTextFirstIndent">
    <w:name w:val="Body Text First Indent"/>
    <w:basedOn w:val="BodyText"/>
    <w:link w:val="BodyTextFirstIndentChar"/>
    <w:uiPriority w:val="99"/>
    <w:semiHidden/>
    <w:unhideWhenUsed/>
    <w:rsid w:val="00F90100"/>
    <w:pPr>
      <w:spacing w:after="0"/>
      <w:ind w:firstLine="360"/>
    </w:pPr>
  </w:style>
  <w:style w:type="character" w:customStyle="1" w:styleId="BodyTextFirstIndentChar">
    <w:name w:val="Body Text First Indent Char"/>
    <w:basedOn w:val="BodyTextChar"/>
    <w:link w:val="BodyTextFirstIndent"/>
    <w:uiPriority w:val="99"/>
    <w:semiHidden/>
    <w:rsid w:val="00F90100"/>
    <w:rPr>
      <w:rFonts w:ascii="Arial" w:hAnsi="Arial"/>
      <w:color w:val="58595B"/>
      <w:sz w:val="20"/>
      <w:lang w:val="nl-BE"/>
    </w:rPr>
  </w:style>
  <w:style w:type="paragraph" w:styleId="BodyTextIndent">
    <w:name w:val="Body Text Indent"/>
    <w:basedOn w:val="Normal"/>
    <w:link w:val="BodyTextIndentChar"/>
    <w:uiPriority w:val="99"/>
    <w:semiHidden/>
    <w:unhideWhenUsed/>
    <w:rsid w:val="00F90100"/>
    <w:pPr>
      <w:spacing w:before="0" w:after="120" w:line="276" w:lineRule="auto"/>
      <w:ind w:left="283"/>
      <w:jc w:val="both"/>
    </w:pPr>
    <w:rPr>
      <w:rFonts w:ascii="Arial" w:hAnsi="Arial"/>
      <w:color w:val="58595B"/>
      <w:sz w:val="20"/>
      <w:lang w:val="nl-BE"/>
    </w:rPr>
  </w:style>
  <w:style w:type="character" w:customStyle="1" w:styleId="BodyTextIndentChar">
    <w:name w:val="Body Text Indent Char"/>
    <w:basedOn w:val="DefaultParagraphFont"/>
    <w:link w:val="BodyTextIndent"/>
    <w:uiPriority w:val="99"/>
    <w:semiHidden/>
    <w:rsid w:val="00F90100"/>
    <w:rPr>
      <w:rFonts w:ascii="Arial" w:hAnsi="Arial"/>
      <w:color w:val="58595B"/>
      <w:sz w:val="20"/>
      <w:lang w:val="nl-BE"/>
    </w:rPr>
  </w:style>
  <w:style w:type="paragraph" w:styleId="BodyTextFirstIndent2">
    <w:name w:val="Body Text First Indent 2"/>
    <w:basedOn w:val="BodyTextIndent"/>
    <w:link w:val="BodyTextFirstIndent2Char"/>
    <w:uiPriority w:val="99"/>
    <w:semiHidden/>
    <w:unhideWhenUsed/>
    <w:rsid w:val="00F90100"/>
    <w:pPr>
      <w:spacing w:after="0"/>
      <w:ind w:left="360" w:firstLine="360"/>
    </w:pPr>
  </w:style>
  <w:style w:type="character" w:customStyle="1" w:styleId="BodyTextFirstIndent2Char">
    <w:name w:val="Body Text First Indent 2 Char"/>
    <w:basedOn w:val="BodyTextIndentChar"/>
    <w:link w:val="BodyTextFirstIndent2"/>
    <w:uiPriority w:val="99"/>
    <w:semiHidden/>
    <w:rsid w:val="00F90100"/>
    <w:rPr>
      <w:rFonts w:ascii="Arial" w:hAnsi="Arial"/>
      <w:color w:val="58595B"/>
      <w:sz w:val="20"/>
      <w:lang w:val="nl-BE"/>
    </w:rPr>
  </w:style>
  <w:style w:type="paragraph" w:styleId="BodyTextIndent2">
    <w:name w:val="Body Text Indent 2"/>
    <w:basedOn w:val="Normal"/>
    <w:link w:val="BodyTextIndent2Char"/>
    <w:uiPriority w:val="99"/>
    <w:semiHidden/>
    <w:unhideWhenUsed/>
    <w:rsid w:val="00F90100"/>
    <w:pPr>
      <w:spacing w:before="0" w:after="120" w:line="480" w:lineRule="auto"/>
      <w:ind w:left="283"/>
      <w:jc w:val="both"/>
    </w:pPr>
    <w:rPr>
      <w:rFonts w:ascii="Arial" w:hAnsi="Arial"/>
      <w:color w:val="58595B"/>
      <w:sz w:val="20"/>
      <w:lang w:val="nl-BE"/>
    </w:rPr>
  </w:style>
  <w:style w:type="character" w:customStyle="1" w:styleId="BodyTextIndent2Char">
    <w:name w:val="Body Text Indent 2 Char"/>
    <w:basedOn w:val="DefaultParagraphFont"/>
    <w:link w:val="BodyTextIndent2"/>
    <w:uiPriority w:val="99"/>
    <w:semiHidden/>
    <w:rsid w:val="00F90100"/>
    <w:rPr>
      <w:rFonts w:ascii="Arial" w:hAnsi="Arial"/>
      <w:color w:val="58595B"/>
      <w:sz w:val="20"/>
      <w:lang w:val="nl-BE"/>
    </w:rPr>
  </w:style>
  <w:style w:type="paragraph" w:styleId="BodyTextIndent3">
    <w:name w:val="Body Text Indent 3"/>
    <w:basedOn w:val="Normal"/>
    <w:link w:val="BodyTextIndent3Char"/>
    <w:uiPriority w:val="99"/>
    <w:semiHidden/>
    <w:unhideWhenUsed/>
    <w:rsid w:val="00F90100"/>
    <w:pPr>
      <w:spacing w:before="0" w:after="120" w:line="276" w:lineRule="auto"/>
      <w:ind w:left="283"/>
      <w:jc w:val="both"/>
    </w:pPr>
    <w:rPr>
      <w:rFonts w:ascii="Arial" w:hAnsi="Arial"/>
      <w:color w:val="58595B"/>
      <w:sz w:val="16"/>
      <w:szCs w:val="16"/>
      <w:lang w:val="nl-BE"/>
    </w:rPr>
  </w:style>
  <w:style w:type="character" w:customStyle="1" w:styleId="BodyTextIndent3Char">
    <w:name w:val="Body Text Indent 3 Char"/>
    <w:basedOn w:val="DefaultParagraphFont"/>
    <w:link w:val="BodyTextIndent3"/>
    <w:uiPriority w:val="99"/>
    <w:semiHidden/>
    <w:rsid w:val="00F90100"/>
    <w:rPr>
      <w:rFonts w:ascii="Arial" w:hAnsi="Arial"/>
      <w:color w:val="58595B"/>
      <w:sz w:val="16"/>
      <w:szCs w:val="16"/>
      <w:lang w:val="nl-BE"/>
    </w:rPr>
  </w:style>
  <w:style w:type="paragraph" w:styleId="Closing">
    <w:name w:val="Closing"/>
    <w:basedOn w:val="Normal"/>
    <w:link w:val="ClosingChar"/>
    <w:uiPriority w:val="99"/>
    <w:semiHidden/>
    <w:unhideWhenUsed/>
    <w:rsid w:val="00F90100"/>
    <w:pPr>
      <w:spacing w:before="0" w:after="0"/>
      <w:ind w:left="4252"/>
      <w:jc w:val="both"/>
    </w:pPr>
    <w:rPr>
      <w:rFonts w:ascii="Arial" w:hAnsi="Arial"/>
      <w:color w:val="58595B"/>
      <w:sz w:val="20"/>
      <w:lang w:val="nl-BE"/>
    </w:rPr>
  </w:style>
  <w:style w:type="character" w:customStyle="1" w:styleId="ClosingChar">
    <w:name w:val="Closing Char"/>
    <w:basedOn w:val="DefaultParagraphFont"/>
    <w:link w:val="Closing"/>
    <w:uiPriority w:val="99"/>
    <w:semiHidden/>
    <w:rsid w:val="00F90100"/>
    <w:rPr>
      <w:rFonts w:ascii="Arial" w:hAnsi="Arial"/>
      <w:color w:val="58595B"/>
      <w:sz w:val="20"/>
      <w:lang w:val="nl-BE"/>
    </w:rPr>
  </w:style>
  <w:style w:type="table" w:customStyle="1" w:styleId="ColorfulGrid1">
    <w:name w:val="Colorful Grid1"/>
    <w:basedOn w:val="TableNormal"/>
    <w:next w:val="ColorfulGrid"/>
    <w:uiPriority w:val="73"/>
    <w:rsid w:val="00F90100"/>
    <w:pPr>
      <w:spacing w:after="0" w:line="240" w:lineRule="auto"/>
      <w:jc w:val="both"/>
    </w:pPr>
    <w:rPr>
      <w:rFonts w:ascii="Arial" w:hAnsi="Arial"/>
      <w:color w:val="58595B"/>
      <w:sz w:val="20"/>
      <w:lang w:val="nl-BE"/>
    </w:rPr>
    <w:tblPr>
      <w:tblStyleRowBandSize w:val="1"/>
      <w:tblStyleColBandSize w:val="1"/>
      <w:tblBorders>
        <w:insideH w:val="single" w:sz="4" w:space="0" w:color="A5A5A5"/>
      </w:tblBorders>
    </w:tblPr>
    <w:tcPr>
      <w:shd w:val="clear" w:color="auto" w:fill="DDDDDE"/>
    </w:tcPr>
    <w:tblStylePr w:type="firstRow">
      <w:rPr>
        <w:b/>
        <w:bCs/>
      </w:rPr>
      <w:tblPr/>
      <w:tcPr>
        <w:shd w:val="clear" w:color="auto" w:fill="BBBCBD"/>
      </w:tcPr>
    </w:tblStylePr>
    <w:tblStylePr w:type="lastRow">
      <w:rPr>
        <w:b/>
        <w:bCs/>
        <w:color w:val="58595B"/>
      </w:rPr>
      <w:tblPr/>
      <w:tcPr>
        <w:shd w:val="clear" w:color="auto" w:fill="BBBCBD"/>
      </w:tcPr>
    </w:tblStylePr>
    <w:tblStylePr w:type="firstCol">
      <w:rPr>
        <w:color w:val="A5A5A5"/>
      </w:rPr>
      <w:tblPr/>
      <w:tcPr>
        <w:shd w:val="clear" w:color="auto" w:fill="424244"/>
      </w:tcPr>
    </w:tblStylePr>
    <w:tblStylePr w:type="lastCol">
      <w:rPr>
        <w:color w:val="A5A5A5"/>
      </w:rPr>
      <w:tblPr/>
      <w:tcPr>
        <w:shd w:val="clear" w:color="auto" w:fill="424244"/>
      </w:tcPr>
    </w:tblStylePr>
    <w:tblStylePr w:type="band1Vert">
      <w:tblPr/>
      <w:tcPr>
        <w:shd w:val="clear" w:color="auto" w:fill="ABACAE"/>
      </w:tcPr>
    </w:tblStylePr>
    <w:tblStylePr w:type="band1Horz">
      <w:tblPr/>
      <w:tcPr>
        <w:shd w:val="clear" w:color="auto" w:fill="ABACAE"/>
      </w:tcPr>
    </w:tblStylePr>
  </w:style>
  <w:style w:type="table" w:customStyle="1" w:styleId="ColorfulGrid-Accent11">
    <w:name w:val="Colorful Grid - Accent 11"/>
    <w:basedOn w:val="TableNormal"/>
    <w:next w:val="ColorfulGrid-Accent1"/>
    <w:uiPriority w:val="73"/>
    <w:rsid w:val="00F90100"/>
    <w:pPr>
      <w:spacing w:after="0" w:line="240" w:lineRule="auto"/>
      <w:jc w:val="both"/>
    </w:pPr>
    <w:rPr>
      <w:rFonts w:ascii="Arial" w:hAnsi="Arial"/>
      <w:color w:val="58595B"/>
      <w:sz w:val="20"/>
      <w:lang w:val="nl-BE"/>
    </w:rPr>
    <w:tblPr>
      <w:tblStyleRowBandSize w:val="1"/>
      <w:tblStyleColBandSize w:val="1"/>
      <w:tblBorders>
        <w:insideH w:val="single" w:sz="4" w:space="0" w:color="A5A5A5"/>
      </w:tblBorders>
    </w:tblPr>
    <w:tcPr>
      <w:shd w:val="clear" w:color="auto" w:fill="D4F1D3"/>
    </w:tcPr>
    <w:tblStylePr w:type="firstRow">
      <w:rPr>
        <w:b/>
        <w:bCs/>
      </w:rPr>
      <w:tblPr/>
      <w:tcPr>
        <w:shd w:val="clear" w:color="auto" w:fill="A9E3A7"/>
      </w:tcPr>
    </w:tblStylePr>
    <w:tblStylePr w:type="lastRow">
      <w:rPr>
        <w:b/>
        <w:bCs/>
        <w:color w:val="58595B"/>
      </w:rPr>
      <w:tblPr/>
      <w:tcPr>
        <w:shd w:val="clear" w:color="auto" w:fill="A9E3A7"/>
      </w:tcPr>
    </w:tblStylePr>
    <w:tblStylePr w:type="firstCol">
      <w:rPr>
        <w:color w:val="A5A5A5"/>
      </w:rPr>
      <w:tblPr/>
      <w:tcPr>
        <w:shd w:val="clear" w:color="auto" w:fill="2B7F27"/>
      </w:tcPr>
    </w:tblStylePr>
    <w:tblStylePr w:type="lastCol">
      <w:rPr>
        <w:color w:val="A5A5A5"/>
      </w:rPr>
      <w:tblPr/>
      <w:tcPr>
        <w:shd w:val="clear" w:color="auto" w:fill="2B7F27"/>
      </w:tcPr>
    </w:tblStylePr>
    <w:tblStylePr w:type="band1Vert">
      <w:tblPr/>
      <w:tcPr>
        <w:shd w:val="clear" w:color="auto" w:fill="94DD92"/>
      </w:tcPr>
    </w:tblStylePr>
    <w:tblStylePr w:type="band1Horz">
      <w:tblPr/>
      <w:tcPr>
        <w:shd w:val="clear" w:color="auto" w:fill="94DD92"/>
      </w:tcPr>
    </w:tblStylePr>
  </w:style>
  <w:style w:type="table" w:customStyle="1" w:styleId="ColorfulGrid-Accent21">
    <w:name w:val="Colorful Grid - Accent 21"/>
    <w:basedOn w:val="TableNormal"/>
    <w:next w:val="ColorfulGrid-Accent2"/>
    <w:uiPriority w:val="73"/>
    <w:rsid w:val="00F90100"/>
    <w:pPr>
      <w:spacing w:after="0" w:line="240" w:lineRule="auto"/>
      <w:jc w:val="both"/>
    </w:pPr>
    <w:rPr>
      <w:rFonts w:ascii="Arial" w:hAnsi="Arial"/>
      <w:color w:val="58595B"/>
      <w:sz w:val="20"/>
      <w:lang w:val="nl-BE"/>
    </w:rPr>
    <w:tblPr>
      <w:tblStyleRowBandSize w:val="1"/>
      <w:tblStyleColBandSize w:val="1"/>
      <w:tblBorders>
        <w:insideH w:val="single" w:sz="4" w:space="0" w:color="A5A5A5"/>
      </w:tblBorders>
    </w:tblPr>
    <w:tcPr>
      <w:shd w:val="clear" w:color="auto" w:fill="ADFFD6"/>
    </w:tcPr>
    <w:tblStylePr w:type="firstRow">
      <w:rPr>
        <w:b/>
        <w:bCs/>
      </w:rPr>
      <w:tblPr/>
      <w:tcPr>
        <w:shd w:val="clear" w:color="auto" w:fill="5BFFAD"/>
      </w:tcPr>
    </w:tblStylePr>
    <w:tblStylePr w:type="lastRow">
      <w:rPr>
        <w:b/>
        <w:bCs/>
        <w:color w:val="58595B"/>
      </w:rPr>
      <w:tblPr/>
      <w:tcPr>
        <w:shd w:val="clear" w:color="auto" w:fill="5BFFAD"/>
      </w:tcPr>
    </w:tblStylePr>
    <w:tblStylePr w:type="firstCol">
      <w:rPr>
        <w:color w:val="A5A5A5"/>
      </w:rPr>
      <w:tblPr/>
      <w:tcPr>
        <w:shd w:val="clear" w:color="auto" w:fill="004C26"/>
      </w:tcPr>
    </w:tblStylePr>
    <w:tblStylePr w:type="lastCol">
      <w:rPr>
        <w:color w:val="A5A5A5"/>
      </w:rPr>
      <w:tblPr/>
      <w:tcPr>
        <w:shd w:val="clear" w:color="auto" w:fill="004C26"/>
      </w:tcPr>
    </w:tblStylePr>
    <w:tblStylePr w:type="band1Vert">
      <w:tblPr/>
      <w:tcPr>
        <w:shd w:val="clear" w:color="auto" w:fill="33FF98"/>
      </w:tcPr>
    </w:tblStylePr>
    <w:tblStylePr w:type="band1Horz">
      <w:tblPr/>
      <w:tcPr>
        <w:shd w:val="clear" w:color="auto" w:fill="33FF98"/>
      </w:tcPr>
    </w:tblStylePr>
  </w:style>
  <w:style w:type="table" w:customStyle="1" w:styleId="ColorfulGrid-Accent31">
    <w:name w:val="Colorful Grid - Accent 31"/>
    <w:basedOn w:val="TableNormal"/>
    <w:next w:val="ColorfulGrid-Accent3"/>
    <w:uiPriority w:val="73"/>
    <w:rsid w:val="00F90100"/>
    <w:pPr>
      <w:spacing w:after="0" w:line="240" w:lineRule="auto"/>
      <w:jc w:val="both"/>
    </w:pPr>
    <w:rPr>
      <w:rFonts w:ascii="Arial" w:hAnsi="Arial"/>
      <w:color w:val="58595B"/>
      <w:sz w:val="20"/>
      <w:lang w:val="nl-BE"/>
    </w:rPr>
    <w:tblPr>
      <w:tblStyleRowBandSize w:val="1"/>
      <w:tblStyleColBandSize w:val="1"/>
      <w:tblBorders>
        <w:insideH w:val="single" w:sz="4" w:space="0" w:color="A5A5A5"/>
      </w:tblBorders>
    </w:tblPr>
    <w:tcPr>
      <w:shd w:val="clear" w:color="auto" w:fill="F9FFC2"/>
    </w:tcPr>
    <w:tblStylePr w:type="firstRow">
      <w:rPr>
        <w:b/>
        <w:bCs/>
      </w:rPr>
      <w:tblPr/>
      <w:tcPr>
        <w:shd w:val="clear" w:color="auto" w:fill="F3FF85"/>
      </w:tcPr>
    </w:tblStylePr>
    <w:tblStylePr w:type="lastRow">
      <w:rPr>
        <w:b/>
        <w:bCs/>
        <w:color w:val="58595B"/>
      </w:rPr>
      <w:tblPr/>
      <w:tcPr>
        <w:shd w:val="clear" w:color="auto" w:fill="F3FF85"/>
      </w:tcPr>
    </w:tblStylePr>
    <w:tblStylePr w:type="firstCol">
      <w:rPr>
        <w:color w:val="A5A5A5"/>
      </w:rPr>
      <w:tblPr/>
      <w:tcPr>
        <w:shd w:val="clear" w:color="auto" w:fill="8C9B00"/>
      </w:tcPr>
    </w:tblStylePr>
    <w:tblStylePr w:type="lastCol">
      <w:rPr>
        <w:color w:val="A5A5A5"/>
      </w:rPr>
      <w:tblPr/>
      <w:tcPr>
        <w:shd w:val="clear" w:color="auto" w:fill="8C9B00"/>
      </w:tcPr>
    </w:tblStylePr>
    <w:tblStylePr w:type="band1Vert">
      <w:tblPr/>
      <w:tcPr>
        <w:shd w:val="clear" w:color="auto" w:fill="F0FF68"/>
      </w:tcPr>
    </w:tblStylePr>
    <w:tblStylePr w:type="band1Horz">
      <w:tblPr/>
      <w:tcPr>
        <w:shd w:val="clear" w:color="auto" w:fill="F0FF68"/>
      </w:tcPr>
    </w:tblStylePr>
  </w:style>
  <w:style w:type="table" w:customStyle="1" w:styleId="ColorfulGrid-Accent41">
    <w:name w:val="Colorful Grid - Accent 41"/>
    <w:basedOn w:val="TableNormal"/>
    <w:next w:val="ColorfulGrid-Accent4"/>
    <w:uiPriority w:val="73"/>
    <w:rsid w:val="00F90100"/>
    <w:pPr>
      <w:spacing w:after="0" w:line="240" w:lineRule="auto"/>
      <w:jc w:val="both"/>
    </w:pPr>
    <w:rPr>
      <w:rFonts w:ascii="Arial" w:hAnsi="Arial"/>
      <w:color w:val="58595B"/>
      <w:sz w:val="20"/>
      <w:lang w:val="nl-BE"/>
    </w:rPr>
    <w:tblPr>
      <w:tblStyleRowBandSize w:val="1"/>
      <w:tblStyleColBandSize w:val="1"/>
      <w:tblBorders>
        <w:insideH w:val="single" w:sz="4" w:space="0" w:color="A5A5A5"/>
      </w:tblBorders>
    </w:tblPr>
    <w:tcPr>
      <w:shd w:val="clear" w:color="auto" w:fill="FFF7CB"/>
    </w:tcPr>
    <w:tblStylePr w:type="firstRow">
      <w:rPr>
        <w:b/>
        <w:bCs/>
      </w:rPr>
      <w:tblPr/>
      <w:tcPr>
        <w:shd w:val="clear" w:color="auto" w:fill="FFEF97"/>
      </w:tcPr>
    </w:tblStylePr>
    <w:tblStylePr w:type="lastRow">
      <w:rPr>
        <w:b/>
        <w:bCs/>
        <w:color w:val="58595B"/>
      </w:rPr>
      <w:tblPr/>
      <w:tcPr>
        <w:shd w:val="clear" w:color="auto" w:fill="FFEF97"/>
      </w:tcPr>
    </w:tblStylePr>
    <w:tblStylePr w:type="firstCol">
      <w:rPr>
        <w:color w:val="A5A5A5"/>
      </w:rPr>
      <w:tblPr/>
      <w:tcPr>
        <w:shd w:val="clear" w:color="auto" w:fill="BB9F00"/>
      </w:tcPr>
    </w:tblStylePr>
    <w:tblStylePr w:type="lastCol">
      <w:rPr>
        <w:color w:val="A5A5A5"/>
      </w:rPr>
      <w:tblPr/>
      <w:tcPr>
        <w:shd w:val="clear" w:color="auto" w:fill="BB9F00"/>
      </w:tcPr>
    </w:tblStylePr>
    <w:tblStylePr w:type="band1Vert">
      <w:tblPr/>
      <w:tcPr>
        <w:shd w:val="clear" w:color="auto" w:fill="FFEB7D"/>
      </w:tcPr>
    </w:tblStylePr>
    <w:tblStylePr w:type="band1Horz">
      <w:tblPr/>
      <w:tcPr>
        <w:shd w:val="clear" w:color="auto" w:fill="FFEB7D"/>
      </w:tcPr>
    </w:tblStylePr>
  </w:style>
  <w:style w:type="table" w:customStyle="1" w:styleId="ColorfulGrid-Accent51">
    <w:name w:val="Colorful Grid - Accent 51"/>
    <w:basedOn w:val="TableNormal"/>
    <w:next w:val="ColorfulGrid-Accent5"/>
    <w:uiPriority w:val="73"/>
    <w:rsid w:val="00F90100"/>
    <w:pPr>
      <w:spacing w:after="0" w:line="240" w:lineRule="auto"/>
      <w:jc w:val="both"/>
    </w:pPr>
    <w:rPr>
      <w:rFonts w:ascii="Arial" w:hAnsi="Arial"/>
      <w:color w:val="58595B"/>
      <w:sz w:val="20"/>
      <w:lang w:val="nl-BE"/>
    </w:rPr>
    <w:tblPr>
      <w:tblStyleRowBandSize w:val="1"/>
      <w:tblStyleColBandSize w:val="1"/>
      <w:tblBorders>
        <w:insideH w:val="single" w:sz="4" w:space="0" w:color="A5A5A5"/>
      </w:tblBorders>
    </w:tblPr>
    <w:tcPr>
      <w:shd w:val="clear" w:color="auto" w:fill="FFECC9"/>
    </w:tcPr>
    <w:tblStylePr w:type="firstRow">
      <w:rPr>
        <w:b/>
        <w:bCs/>
      </w:rPr>
      <w:tblPr/>
      <w:tcPr>
        <w:shd w:val="clear" w:color="auto" w:fill="FFD993"/>
      </w:tcPr>
    </w:tblStylePr>
    <w:tblStylePr w:type="lastRow">
      <w:rPr>
        <w:b/>
        <w:bCs/>
        <w:color w:val="58595B"/>
      </w:rPr>
      <w:tblPr/>
      <w:tcPr>
        <w:shd w:val="clear" w:color="auto" w:fill="FFD993"/>
      </w:tcPr>
    </w:tblStylePr>
    <w:tblStylePr w:type="firstCol">
      <w:rPr>
        <w:color w:val="A5A5A5"/>
      </w:rPr>
      <w:tblPr/>
      <w:tcPr>
        <w:shd w:val="clear" w:color="auto" w:fill="B57500"/>
      </w:tcPr>
    </w:tblStylePr>
    <w:tblStylePr w:type="lastCol">
      <w:rPr>
        <w:color w:val="A5A5A5"/>
      </w:rPr>
      <w:tblPr/>
      <w:tcPr>
        <w:shd w:val="clear" w:color="auto" w:fill="B57500"/>
      </w:tcPr>
    </w:tblStylePr>
    <w:tblStylePr w:type="band1Vert">
      <w:tblPr/>
      <w:tcPr>
        <w:shd w:val="clear" w:color="auto" w:fill="FFCF79"/>
      </w:tcPr>
    </w:tblStylePr>
    <w:tblStylePr w:type="band1Horz">
      <w:tblPr/>
      <w:tcPr>
        <w:shd w:val="clear" w:color="auto" w:fill="FFCF79"/>
      </w:tcPr>
    </w:tblStylePr>
  </w:style>
  <w:style w:type="table" w:customStyle="1" w:styleId="ColorfulGrid-Accent61">
    <w:name w:val="Colorful Grid - Accent 61"/>
    <w:basedOn w:val="TableNormal"/>
    <w:next w:val="ColorfulGrid-Accent6"/>
    <w:uiPriority w:val="73"/>
    <w:rsid w:val="00F90100"/>
    <w:pPr>
      <w:spacing w:after="0" w:line="240" w:lineRule="auto"/>
      <w:jc w:val="both"/>
    </w:pPr>
    <w:rPr>
      <w:rFonts w:ascii="Arial" w:hAnsi="Arial"/>
      <w:color w:val="58595B"/>
      <w:sz w:val="20"/>
      <w:lang w:val="nl-BE"/>
    </w:rPr>
    <w:tblPr>
      <w:tblStyleRowBandSize w:val="1"/>
      <w:tblStyleColBandSize w:val="1"/>
      <w:tblBorders>
        <w:insideH w:val="single" w:sz="4" w:space="0" w:color="A5A5A5"/>
      </w:tblBorders>
    </w:tblPr>
    <w:tcPr>
      <w:shd w:val="clear" w:color="auto" w:fill="F8DACC"/>
    </w:tcPr>
    <w:tblStylePr w:type="firstRow">
      <w:rPr>
        <w:b/>
        <w:bCs/>
      </w:rPr>
      <w:tblPr/>
      <w:tcPr>
        <w:shd w:val="clear" w:color="auto" w:fill="F2B599"/>
      </w:tcPr>
    </w:tblStylePr>
    <w:tblStylePr w:type="lastRow">
      <w:rPr>
        <w:b/>
        <w:bCs/>
        <w:color w:val="58595B"/>
      </w:rPr>
      <w:tblPr/>
      <w:tcPr>
        <w:shd w:val="clear" w:color="auto" w:fill="F2B599"/>
      </w:tcPr>
    </w:tblStylePr>
    <w:tblStylePr w:type="firstCol">
      <w:rPr>
        <w:color w:val="A5A5A5"/>
      </w:rPr>
      <w:tblPr/>
      <w:tcPr>
        <w:shd w:val="clear" w:color="auto" w:fill="953B12"/>
      </w:tcPr>
    </w:tblStylePr>
    <w:tblStylePr w:type="lastCol">
      <w:rPr>
        <w:color w:val="A5A5A5"/>
      </w:rPr>
      <w:tblPr/>
      <w:tcPr>
        <w:shd w:val="clear" w:color="auto" w:fill="953B12"/>
      </w:tcPr>
    </w:tblStylePr>
    <w:tblStylePr w:type="band1Vert">
      <w:tblPr/>
      <w:tcPr>
        <w:shd w:val="clear" w:color="auto" w:fill="EFA380"/>
      </w:tcPr>
    </w:tblStylePr>
    <w:tblStylePr w:type="band1Horz">
      <w:tblPr/>
      <w:tcPr>
        <w:shd w:val="clear" w:color="auto" w:fill="EFA380"/>
      </w:tcPr>
    </w:tblStylePr>
  </w:style>
  <w:style w:type="table" w:customStyle="1" w:styleId="ColorfulList1">
    <w:name w:val="Colorful List1"/>
    <w:basedOn w:val="TableNormal"/>
    <w:next w:val="ColorfulList"/>
    <w:uiPriority w:val="72"/>
    <w:rsid w:val="00F90100"/>
    <w:pPr>
      <w:spacing w:after="0" w:line="240" w:lineRule="auto"/>
      <w:jc w:val="both"/>
    </w:pPr>
    <w:rPr>
      <w:rFonts w:ascii="Arial" w:hAnsi="Arial"/>
      <w:color w:val="58595B"/>
      <w:sz w:val="20"/>
      <w:lang w:val="nl-BE"/>
    </w:rPr>
    <w:tblPr>
      <w:tblStyleRowBandSize w:val="1"/>
      <w:tblStyleColBandSize w:val="1"/>
    </w:tblPr>
    <w:tcPr>
      <w:shd w:val="clear" w:color="auto" w:fill="EEEEEF"/>
    </w:tcPr>
    <w:tblStylePr w:type="firstRow">
      <w:rPr>
        <w:b/>
        <w:bCs/>
        <w:color w:val="A5A5A5"/>
      </w:rPr>
      <w:tblPr/>
      <w:tcPr>
        <w:tcBorders>
          <w:bottom w:val="single" w:sz="12" w:space="0" w:color="A5A5A5"/>
        </w:tcBorders>
        <w:shd w:val="clear" w:color="auto" w:fill="005128"/>
      </w:tcPr>
    </w:tblStylePr>
    <w:tblStylePr w:type="lastRow">
      <w:rPr>
        <w:b/>
        <w:bCs/>
        <w:color w:val="005128"/>
      </w:rPr>
      <w:tblPr/>
      <w:tcPr>
        <w:tcBorders>
          <w:top w:val="single" w:sz="12" w:space="0" w:color="58595B"/>
        </w:tcBorders>
        <w:shd w:val="clear" w:color="auto" w:fill="A5A5A5"/>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5D5D6"/>
      </w:tcPr>
    </w:tblStylePr>
    <w:tblStylePr w:type="band1Horz">
      <w:tblPr/>
      <w:tcPr>
        <w:shd w:val="clear" w:color="auto" w:fill="DDDDDE"/>
      </w:tcPr>
    </w:tblStylePr>
  </w:style>
  <w:style w:type="table" w:customStyle="1" w:styleId="ColorfulList-Accent11">
    <w:name w:val="Colorful List - Accent 11"/>
    <w:basedOn w:val="TableNormal"/>
    <w:next w:val="ColorfulList-Accent1"/>
    <w:uiPriority w:val="72"/>
    <w:rsid w:val="00F90100"/>
    <w:pPr>
      <w:spacing w:after="0" w:line="240" w:lineRule="auto"/>
      <w:jc w:val="both"/>
    </w:pPr>
    <w:rPr>
      <w:rFonts w:ascii="Arial" w:hAnsi="Arial"/>
      <w:color w:val="58595B"/>
      <w:sz w:val="20"/>
      <w:lang w:val="nl-BE"/>
    </w:rPr>
    <w:tblPr>
      <w:tblStyleRowBandSize w:val="1"/>
      <w:tblStyleColBandSize w:val="1"/>
    </w:tblPr>
    <w:tcPr>
      <w:shd w:val="clear" w:color="auto" w:fill="E9F8E9"/>
    </w:tcPr>
    <w:tblStylePr w:type="firstRow">
      <w:rPr>
        <w:b/>
        <w:bCs/>
        <w:color w:val="A5A5A5"/>
      </w:rPr>
      <w:tblPr/>
      <w:tcPr>
        <w:tcBorders>
          <w:bottom w:val="single" w:sz="12" w:space="0" w:color="A5A5A5"/>
        </w:tcBorders>
        <w:shd w:val="clear" w:color="auto" w:fill="005128"/>
      </w:tcPr>
    </w:tblStylePr>
    <w:tblStylePr w:type="lastRow">
      <w:rPr>
        <w:b/>
        <w:bCs/>
        <w:color w:val="005128"/>
      </w:rPr>
      <w:tblPr/>
      <w:tcPr>
        <w:tcBorders>
          <w:top w:val="single" w:sz="12" w:space="0" w:color="58595B"/>
        </w:tcBorders>
        <w:shd w:val="clear" w:color="auto" w:fill="A5A5A5"/>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AEEC8"/>
      </w:tcPr>
    </w:tblStylePr>
    <w:tblStylePr w:type="band1Horz">
      <w:tblPr/>
      <w:tcPr>
        <w:shd w:val="clear" w:color="auto" w:fill="D4F1D3"/>
      </w:tcPr>
    </w:tblStylePr>
  </w:style>
  <w:style w:type="table" w:customStyle="1" w:styleId="ColorfulList-Accent21">
    <w:name w:val="Colorful List - Accent 21"/>
    <w:basedOn w:val="TableNormal"/>
    <w:next w:val="ColorfulList-Accent2"/>
    <w:uiPriority w:val="72"/>
    <w:rsid w:val="00F90100"/>
    <w:pPr>
      <w:spacing w:after="0" w:line="240" w:lineRule="auto"/>
      <w:jc w:val="both"/>
    </w:pPr>
    <w:rPr>
      <w:rFonts w:ascii="Arial" w:hAnsi="Arial"/>
      <w:color w:val="58595B"/>
      <w:sz w:val="20"/>
      <w:lang w:val="nl-BE"/>
    </w:rPr>
    <w:tblPr>
      <w:tblStyleRowBandSize w:val="1"/>
      <w:tblStyleColBandSize w:val="1"/>
    </w:tblPr>
    <w:tcPr>
      <w:shd w:val="clear" w:color="auto" w:fill="D7FFEA"/>
    </w:tcPr>
    <w:tblStylePr w:type="firstRow">
      <w:rPr>
        <w:b/>
        <w:bCs/>
        <w:color w:val="A5A5A5"/>
      </w:rPr>
      <w:tblPr/>
      <w:tcPr>
        <w:tcBorders>
          <w:bottom w:val="single" w:sz="12" w:space="0" w:color="A5A5A5"/>
        </w:tcBorders>
        <w:shd w:val="clear" w:color="auto" w:fill="005128"/>
      </w:tcPr>
    </w:tblStylePr>
    <w:tblStylePr w:type="lastRow">
      <w:rPr>
        <w:b/>
        <w:bCs/>
        <w:color w:val="005128"/>
      </w:rPr>
      <w:tblPr/>
      <w:tcPr>
        <w:tcBorders>
          <w:top w:val="single" w:sz="12" w:space="0" w:color="58595B"/>
        </w:tcBorders>
        <w:shd w:val="clear" w:color="auto" w:fill="A5A5A5"/>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9AFFCC"/>
      </w:tcPr>
    </w:tblStylePr>
    <w:tblStylePr w:type="band1Horz">
      <w:tblPr/>
      <w:tcPr>
        <w:shd w:val="clear" w:color="auto" w:fill="ADFFD6"/>
      </w:tcPr>
    </w:tblStylePr>
  </w:style>
  <w:style w:type="table" w:customStyle="1" w:styleId="ColorfulList-Accent31">
    <w:name w:val="Colorful List - Accent 31"/>
    <w:basedOn w:val="TableNormal"/>
    <w:next w:val="ColorfulList-Accent3"/>
    <w:uiPriority w:val="72"/>
    <w:rsid w:val="00F90100"/>
    <w:pPr>
      <w:spacing w:after="0" w:line="240" w:lineRule="auto"/>
      <w:jc w:val="both"/>
    </w:pPr>
    <w:rPr>
      <w:rFonts w:ascii="Arial" w:hAnsi="Arial"/>
      <w:color w:val="58595B"/>
      <w:sz w:val="20"/>
      <w:lang w:val="nl-BE"/>
    </w:rPr>
    <w:tblPr>
      <w:tblStyleRowBandSize w:val="1"/>
      <w:tblStyleColBandSize w:val="1"/>
    </w:tblPr>
    <w:tcPr>
      <w:shd w:val="clear" w:color="auto" w:fill="FCFFE1"/>
    </w:tcPr>
    <w:tblStylePr w:type="firstRow">
      <w:rPr>
        <w:b/>
        <w:bCs/>
        <w:color w:val="A5A5A5"/>
      </w:rPr>
      <w:tblPr/>
      <w:tcPr>
        <w:tcBorders>
          <w:bottom w:val="single" w:sz="12" w:space="0" w:color="A5A5A5"/>
        </w:tcBorders>
        <w:shd w:val="clear" w:color="auto" w:fill="C8AA00"/>
      </w:tcPr>
    </w:tblStylePr>
    <w:tblStylePr w:type="lastRow">
      <w:rPr>
        <w:b/>
        <w:bCs/>
        <w:color w:val="C8AA00"/>
      </w:rPr>
      <w:tblPr/>
      <w:tcPr>
        <w:tcBorders>
          <w:top w:val="single" w:sz="12" w:space="0" w:color="58595B"/>
        </w:tcBorders>
        <w:shd w:val="clear" w:color="auto" w:fill="A5A5A5"/>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FFB4"/>
      </w:tcPr>
    </w:tblStylePr>
    <w:tblStylePr w:type="band1Horz">
      <w:tblPr/>
      <w:tcPr>
        <w:shd w:val="clear" w:color="auto" w:fill="F9FFC2"/>
      </w:tcPr>
    </w:tblStylePr>
  </w:style>
  <w:style w:type="table" w:customStyle="1" w:styleId="ColorfulList-Accent41">
    <w:name w:val="Colorful List - Accent 41"/>
    <w:basedOn w:val="TableNormal"/>
    <w:next w:val="ColorfulList-Accent4"/>
    <w:uiPriority w:val="72"/>
    <w:rsid w:val="00F90100"/>
    <w:pPr>
      <w:spacing w:after="0" w:line="240" w:lineRule="auto"/>
      <w:jc w:val="both"/>
    </w:pPr>
    <w:rPr>
      <w:rFonts w:ascii="Arial" w:hAnsi="Arial"/>
      <w:color w:val="58595B"/>
      <w:sz w:val="20"/>
      <w:lang w:val="nl-BE"/>
    </w:rPr>
    <w:tblPr>
      <w:tblStyleRowBandSize w:val="1"/>
      <w:tblStyleColBandSize w:val="1"/>
    </w:tblPr>
    <w:tcPr>
      <w:shd w:val="clear" w:color="auto" w:fill="FFFBE5"/>
    </w:tcPr>
    <w:tblStylePr w:type="firstRow">
      <w:rPr>
        <w:b/>
        <w:bCs/>
        <w:color w:val="A5A5A5"/>
      </w:rPr>
      <w:tblPr/>
      <w:tcPr>
        <w:tcBorders>
          <w:bottom w:val="single" w:sz="12" w:space="0" w:color="A5A5A5"/>
        </w:tcBorders>
        <w:shd w:val="clear" w:color="auto" w:fill="95A500"/>
      </w:tcPr>
    </w:tblStylePr>
    <w:tblStylePr w:type="lastRow">
      <w:rPr>
        <w:b/>
        <w:bCs/>
        <w:color w:val="95A500"/>
      </w:rPr>
      <w:tblPr/>
      <w:tcPr>
        <w:tcBorders>
          <w:top w:val="single" w:sz="12" w:space="0" w:color="58595B"/>
        </w:tcBorders>
        <w:shd w:val="clear" w:color="auto" w:fill="A5A5A5"/>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F5BE"/>
      </w:tcPr>
    </w:tblStylePr>
    <w:tblStylePr w:type="band1Horz">
      <w:tblPr/>
      <w:tcPr>
        <w:shd w:val="clear" w:color="auto" w:fill="FFF7CB"/>
      </w:tcPr>
    </w:tblStylePr>
  </w:style>
  <w:style w:type="table" w:customStyle="1" w:styleId="ColorfulList-Accent51">
    <w:name w:val="Colorful List - Accent 51"/>
    <w:basedOn w:val="TableNormal"/>
    <w:next w:val="ColorfulList-Accent5"/>
    <w:uiPriority w:val="72"/>
    <w:rsid w:val="00F90100"/>
    <w:pPr>
      <w:spacing w:after="0" w:line="240" w:lineRule="auto"/>
      <w:jc w:val="both"/>
    </w:pPr>
    <w:rPr>
      <w:rFonts w:ascii="Arial" w:hAnsi="Arial"/>
      <w:color w:val="58595B"/>
      <w:sz w:val="20"/>
      <w:lang w:val="nl-BE"/>
    </w:rPr>
    <w:tblPr>
      <w:tblStyleRowBandSize w:val="1"/>
      <w:tblStyleColBandSize w:val="1"/>
    </w:tblPr>
    <w:tcPr>
      <w:shd w:val="clear" w:color="auto" w:fill="FFF5E4"/>
    </w:tcPr>
    <w:tblStylePr w:type="firstRow">
      <w:rPr>
        <w:b/>
        <w:bCs/>
        <w:color w:val="A5A5A5"/>
      </w:rPr>
      <w:tblPr/>
      <w:tcPr>
        <w:tcBorders>
          <w:bottom w:val="single" w:sz="12" w:space="0" w:color="A5A5A5"/>
        </w:tcBorders>
        <w:shd w:val="clear" w:color="auto" w:fill="A03F14"/>
      </w:tcPr>
    </w:tblStylePr>
    <w:tblStylePr w:type="lastRow">
      <w:rPr>
        <w:b/>
        <w:bCs/>
        <w:color w:val="A03F14"/>
      </w:rPr>
      <w:tblPr/>
      <w:tcPr>
        <w:tcBorders>
          <w:top w:val="single" w:sz="12" w:space="0" w:color="58595B"/>
        </w:tcBorders>
        <w:shd w:val="clear" w:color="auto" w:fill="A5A5A5"/>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7BC"/>
      </w:tcPr>
    </w:tblStylePr>
    <w:tblStylePr w:type="band1Horz">
      <w:tblPr/>
      <w:tcPr>
        <w:shd w:val="clear" w:color="auto" w:fill="FFECC9"/>
      </w:tcPr>
    </w:tblStylePr>
  </w:style>
  <w:style w:type="table" w:customStyle="1" w:styleId="ColorfulList-Accent61">
    <w:name w:val="Colorful List - Accent 61"/>
    <w:basedOn w:val="TableNormal"/>
    <w:next w:val="ColorfulList-Accent6"/>
    <w:uiPriority w:val="72"/>
    <w:rsid w:val="00F90100"/>
    <w:pPr>
      <w:spacing w:after="0" w:line="240" w:lineRule="auto"/>
      <w:jc w:val="both"/>
    </w:pPr>
    <w:rPr>
      <w:rFonts w:ascii="Arial" w:hAnsi="Arial"/>
      <w:color w:val="58595B"/>
      <w:sz w:val="20"/>
      <w:lang w:val="nl-BE"/>
    </w:rPr>
    <w:tblPr>
      <w:tblStyleRowBandSize w:val="1"/>
      <w:tblStyleColBandSize w:val="1"/>
    </w:tblPr>
    <w:tcPr>
      <w:shd w:val="clear" w:color="auto" w:fill="FCECE6"/>
    </w:tcPr>
    <w:tblStylePr w:type="firstRow">
      <w:rPr>
        <w:b/>
        <w:bCs/>
        <w:color w:val="A5A5A5"/>
      </w:rPr>
      <w:tblPr/>
      <w:tcPr>
        <w:tcBorders>
          <w:bottom w:val="single" w:sz="12" w:space="0" w:color="A5A5A5"/>
        </w:tcBorders>
        <w:shd w:val="clear" w:color="auto" w:fill="C17D00"/>
      </w:tcPr>
    </w:tblStylePr>
    <w:tblStylePr w:type="lastRow">
      <w:rPr>
        <w:b/>
        <w:bCs/>
        <w:color w:val="C17D00"/>
      </w:rPr>
      <w:tblPr/>
      <w:tcPr>
        <w:tcBorders>
          <w:top w:val="single" w:sz="12" w:space="0" w:color="58595B"/>
        </w:tcBorders>
        <w:shd w:val="clear" w:color="auto" w:fill="A5A5A5"/>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D1C0"/>
      </w:tcPr>
    </w:tblStylePr>
    <w:tblStylePr w:type="band1Horz">
      <w:tblPr/>
      <w:tcPr>
        <w:shd w:val="clear" w:color="auto" w:fill="F8DACC"/>
      </w:tcPr>
    </w:tblStylePr>
  </w:style>
  <w:style w:type="table" w:customStyle="1" w:styleId="ColorfulShading1">
    <w:name w:val="Colorful Shading1"/>
    <w:basedOn w:val="TableNormal"/>
    <w:next w:val="ColorfulShading"/>
    <w:uiPriority w:val="71"/>
    <w:rsid w:val="00F90100"/>
    <w:pPr>
      <w:spacing w:after="0" w:line="240" w:lineRule="auto"/>
      <w:jc w:val="both"/>
    </w:pPr>
    <w:rPr>
      <w:rFonts w:ascii="Arial" w:hAnsi="Arial"/>
      <w:color w:val="58595B"/>
      <w:sz w:val="20"/>
      <w:lang w:val="nl-BE"/>
    </w:rPr>
    <w:tblPr>
      <w:tblStyleRowBandSize w:val="1"/>
      <w:tblStyleColBandSize w:val="1"/>
      <w:tblBorders>
        <w:top w:val="single" w:sz="24" w:space="0" w:color="006633"/>
        <w:left w:val="single" w:sz="4" w:space="0" w:color="58595B"/>
        <w:bottom w:val="single" w:sz="4" w:space="0" w:color="58595B"/>
        <w:right w:val="single" w:sz="4" w:space="0" w:color="58595B"/>
        <w:insideH w:val="single" w:sz="4" w:space="0" w:color="A5A5A5"/>
        <w:insideV w:val="single" w:sz="4" w:space="0" w:color="A5A5A5"/>
      </w:tblBorders>
    </w:tblPr>
    <w:tcPr>
      <w:shd w:val="clear" w:color="auto" w:fill="EEEEEF"/>
    </w:tcPr>
    <w:tblStylePr w:type="firstRow">
      <w:rPr>
        <w:b/>
        <w:bCs/>
      </w:rPr>
      <w:tblPr/>
      <w:tcPr>
        <w:tcBorders>
          <w:top w:val="nil"/>
          <w:left w:val="nil"/>
          <w:bottom w:val="single" w:sz="24" w:space="0" w:color="006633"/>
          <w:right w:val="nil"/>
          <w:insideH w:val="nil"/>
          <w:insideV w:val="nil"/>
        </w:tcBorders>
        <w:shd w:val="clear" w:color="auto" w:fill="A5A5A5"/>
      </w:tcPr>
    </w:tblStylePr>
    <w:tblStylePr w:type="lastRow">
      <w:rPr>
        <w:b/>
        <w:bCs/>
        <w:color w:val="A5A5A5"/>
      </w:rPr>
      <w:tblPr/>
      <w:tcPr>
        <w:tcBorders>
          <w:top w:val="single" w:sz="6" w:space="0" w:color="A5A5A5"/>
        </w:tcBorders>
        <w:shd w:val="clear" w:color="auto" w:fill="343536"/>
      </w:tcPr>
    </w:tblStylePr>
    <w:tblStylePr w:type="firstCol">
      <w:rPr>
        <w:color w:val="A5A5A5"/>
      </w:rPr>
      <w:tblPr/>
      <w:tcPr>
        <w:tcBorders>
          <w:top w:val="nil"/>
          <w:left w:val="nil"/>
          <w:bottom w:val="nil"/>
          <w:right w:val="nil"/>
          <w:insideH w:val="single" w:sz="4" w:space="0" w:color="343536"/>
          <w:insideV w:val="nil"/>
        </w:tcBorders>
        <w:shd w:val="clear" w:color="auto" w:fill="343536"/>
      </w:tcPr>
    </w:tblStylePr>
    <w:tblStylePr w:type="lastCol">
      <w:rPr>
        <w:color w:val="A5A5A5"/>
      </w:rPr>
      <w:tblPr/>
      <w:tcPr>
        <w:tcBorders>
          <w:top w:val="nil"/>
          <w:left w:val="nil"/>
          <w:bottom w:val="nil"/>
          <w:right w:val="nil"/>
          <w:insideH w:val="nil"/>
          <w:insideV w:val="nil"/>
        </w:tcBorders>
        <w:shd w:val="clear" w:color="auto" w:fill="424244"/>
      </w:tcPr>
    </w:tblStylePr>
    <w:tblStylePr w:type="band1Vert">
      <w:tblPr/>
      <w:tcPr>
        <w:shd w:val="clear" w:color="auto" w:fill="BBBCBD"/>
      </w:tcPr>
    </w:tblStylePr>
    <w:tblStylePr w:type="band1Horz">
      <w:tblPr/>
      <w:tcPr>
        <w:shd w:val="clear" w:color="auto" w:fill="ABACAE"/>
      </w:tcPr>
    </w:tblStylePr>
    <w:tblStylePr w:type="neCell">
      <w:rPr>
        <w:color w:val="58595B"/>
      </w:rPr>
    </w:tblStylePr>
    <w:tblStylePr w:type="nwCell">
      <w:rPr>
        <w:color w:val="58595B"/>
      </w:rPr>
    </w:tblStylePr>
  </w:style>
  <w:style w:type="table" w:customStyle="1" w:styleId="ColorfulShading-Accent11">
    <w:name w:val="Colorful Shading - Accent 11"/>
    <w:basedOn w:val="TableNormal"/>
    <w:next w:val="ColorfulShading-Accent1"/>
    <w:uiPriority w:val="71"/>
    <w:rsid w:val="00F90100"/>
    <w:pPr>
      <w:spacing w:after="0" w:line="240" w:lineRule="auto"/>
      <w:jc w:val="both"/>
    </w:pPr>
    <w:rPr>
      <w:rFonts w:ascii="Arial" w:hAnsi="Arial"/>
      <w:color w:val="58595B"/>
      <w:sz w:val="20"/>
      <w:lang w:val="nl-BE"/>
    </w:rPr>
    <w:tblPr>
      <w:tblStyleRowBandSize w:val="1"/>
      <w:tblStyleColBandSize w:val="1"/>
      <w:tblBorders>
        <w:top w:val="single" w:sz="24" w:space="0" w:color="006633"/>
        <w:left w:val="single" w:sz="4" w:space="0" w:color="3AAA35"/>
        <w:bottom w:val="single" w:sz="4" w:space="0" w:color="3AAA35"/>
        <w:right w:val="single" w:sz="4" w:space="0" w:color="3AAA35"/>
        <w:insideH w:val="single" w:sz="4" w:space="0" w:color="A5A5A5"/>
        <w:insideV w:val="single" w:sz="4" w:space="0" w:color="A5A5A5"/>
      </w:tblBorders>
    </w:tblPr>
    <w:tcPr>
      <w:shd w:val="clear" w:color="auto" w:fill="E9F8E9"/>
    </w:tcPr>
    <w:tblStylePr w:type="firstRow">
      <w:rPr>
        <w:b/>
        <w:bCs/>
      </w:rPr>
      <w:tblPr/>
      <w:tcPr>
        <w:tcBorders>
          <w:top w:val="nil"/>
          <w:left w:val="nil"/>
          <w:bottom w:val="single" w:sz="24" w:space="0" w:color="006633"/>
          <w:right w:val="nil"/>
          <w:insideH w:val="nil"/>
          <w:insideV w:val="nil"/>
        </w:tcBorders>
        <w:shd w:val="clear" w:color="auto" w:fill="A5A5A5"/>
      </w:tcPr>
    </w:tblStylePr>
    <w:tblStylePr w:type="lastRow">
      <w:rPr>
        <w:b/>
        <w:bCs/>
        <w:color w:val="A5A5A5"/>
      </w:rPr>
      <w:tblPr/>
      <w:tcPr>
        <w:tcBorders>
          <w:top w:val="single" w:sz="6" w:space="0" w:color="A5A5A5"/>
        </w:tcBorders>
        <w:shd w:val="clear" w:color="auto" w:fill="22651F"/>
      </w:tcPr>
    </w:tblStylePr>
    <w:tblStylePr w:type="firstCol">
      <w:rPr>
        <w:color w:val="A5A5A5"/>
      </w:rPr>
      <w:tblPr/>
      <w:tcPr>
        <w:tcBorders>
          <w:top w:val="nil"/>
          <w:left w:val="nil"/>
          <w:bottom w:val="nil"/>
          <w:right w:val="nil"/>
          <w:insideH w:val="single" w:sz="4" w:space="0" w:color="22651F"/>
          <w:insideV w:val="nil"/>
        </w:tcBorders>
        <w:shd w:val="clear" w:color="auto" w:fill="22651F"/>
      </w:tcPr>
    </w:tblStylePr>
    <w:tblStylePr w:type="lastCol">
      <w:rPr>
        <w:color w:val="A5A5A5"/>
      </w:rPr>
      <w:tblPr/>
      <w:tcPr>
        <w:tcBorders>
          <w:top w:val="nil"/>
          <w:left w:val="nil"/>
          <w:bottom w:val="nil"/>
          <w:right w:val="nil"/>
          <w:insideH w:val="nil"/>
          <w:insideV w:val="nil"/>
        </w:tcBorders>
        <w:shd w:val="clear" w:color="auto" w:fill="22651F"/>
      </w:tcPr>
    </w:tblStylePr>
    <w:tblStylePr w:type="band1Vert">
      <w:tblPr/>
      <w:tcPr>
        <w:shd w:val="clear" w:color="auto" w:fill="A9E3A7"/>
      </w:tcPr>
    </w:tblStylePr>
    <w:tblStylePr w:type="band1Horz">
      <w:tblPr/>
      <w:tcPr>
        <w:shd w:val="clear" w:color="auto" w:fill="94DD92"/>
      </w:tcPr>
    </w:tblStylePr>
    <w:tblStylePr w:type="neCell">
      <w:rPr>
        <w:color w:val="58595B"/>
      </w:rPr>
    </w:tblStylePr>
    <w:tblStylePr w:type="nwCell">
      <w:rPr>
        <w:color w:val="58595B"/>
      </w:rPr>
    </w:tblStylePr>
  </w:style>
  <w:style w:type="table" w:customStyle="1" w:styleId="ColorfulShading-Accent21">
    <w:name w:val="Colorful Shading - Accent 21"/>
    <w:basedOn w:val="TableNormal"/>
    <w:next w:val="ColorfulShading-Accent2"/>
    <w:uiPriority w:val="71"/>
    <w:rsid w:val="00F90100"/>
    <w:pPr>
      <w:spacing w:after="0" w:line="240" w:lineRule="auto"/>
      <w:jc w:val="both"/>
    </w:pPr>
    <w:rPr>
      <w:rFonts w:ascii="Arial" w:hAnsi="Arial"/>
      <w:color w:val="58595B"/>
      <w:sz w:val="20"/>
      <w:lang w:val="nl-BE"/>
    </w:rPr>
    <w:tblPr>
      <w:tblStyleRowBandSize w:val="1"/>
      <w:tblStyleColBandSize w:val="1"/>
      <w:tblBorders>
        <w:top w:val="single" w:sz="24" w:space="0" w:color="006633"/>
        <w:left w:val="single" w:sz="4" w:space="0" w:color="006633"/>
        <w:bottom w:val="single" w:sz="4" w:space="0" w:color="006633"/>
        <w:right w:val="single" w:sz="4" w:space="0" w:color="006633"/>
        <w:insideH w:val="single" w:sz="4" w:space="0" w:color="A5A5A5"/>
        <w:insideV w:val="single" w:sz="4" w:space="0" w:color="A5A5A5"/>
      </w:tblBorders>
    </w:tblPr>
    <w:tcPr>
      <w:shd w:val="clear" w:color="auto" w:fill="D7FFEA"/>
    </w:tcPr>
    <w:tblStylePr w:type="firstRow">
      <w:rPr>
        <w:b/>
        <w:bCs/>
      </w:rPr>
      <w:tblPr/>
      <w:tcPr>
        <w:tcBorders>
          <w:top w:val="nil"/>
          <w:left w:val="nil"/>
          <w:bottom w:val="single" w:sz="24" w:space="0" w:color="006633"/>
          <w:right w:val="nil"/>
          <w:insideH w:val="nil"/>
          <w:insideV w:val="nil"/>
        </w:tcBorders>
        <w:shd w:val="clear" w:color="auto" w:fill="A5A5A5"/>
      </w:tcPr>
    </w:tblStylePr>
    <w:tblStylePr w:type="lastRow">
      <w:rPr>
        <w:b/>
        <w:bCs/>
        <w:color w:val="A5A5A5"/>
      </w:rPr>
      <w:tblPr/>
      <w:tcPr>
        <w:tcBorders>
          <w:top w:val="single" w:sz="6" w:space="0" w:color="A5A5A5"/>
        </w:tcBorders>
        <w:shd w:val="clear" w:color="auto" w:fill="003D1E"/>
      </w:tcPr>
    </w:tblStylePr>
    <w:tblStylePr w:type="firstCol">
      <w:rPr>
        <w:color w:val="A5A5A5"/>
      </w:rPr>
      <w:tblPr/>
      <w:tcPr>
        <w:tcBorders>
          <w:top w:val="nil"/>
          <w:left w:val="nil"/>
          <w:bottom w:val="nil"/>
          <w:right w:val="nil"/>
          <w:insideH w:val="single" w:sz="4" w:space="0" w:color="003D1E"/>
          <w:insideV w:val="nil"/>
        </w:tcBorders>
        <w:shd w:val="clear" w:color="auto" w:fill="003D1E"/>
      </w:tcPr>
    </w:tblStylePr>
    <w:tblStylePr w:type="lastCol">
      <w:rPr>
        <w:color w:val="A5A5A5"/>
      </w:rPr>
      <w:tblPr/>
      <w:tcPr>
        <w:tcBorders>
          <w:top w:val="nil"/>
          <w:left w:val="nil"/>
          <w:bottom w:val="nil"/>
          <w:right w:val="nil"/>
          <w:insideH w:val="nil"/>
          <w:insideV w:val="nil"/>
        </w:tcBorders>
        <w:shd w:val="clear" w:color="auto" w:fill="003D1E"/>
      </w:tcPr>
    </w:tblStylePr>
    <w:tblStylePr w:type="band1Vert">
      <w:tblPr/>
      <w:tcPr>
        <w:shd w:val="clear" w:color="auto" w:fill="5BFFAD"/>
      </w:tcPr>
    </w:tblStylePr>
    <w:tblStylePr w:type="band1Horz">
      <w:tblPr/>
      <w:tcPr>
        <w:shd w:val="clear" w:color="auto" w:fill="33FF98"/>
      </w:tcPr>
    </w:tblStylePr>
    <w:tblStylePr w:type="neCell">
      <w:rPr>
        <w:color w:val="58595B"/>
      </w:rPr>
    </w:tblStylePr>
    <w:tblStylePr w:type="nwCell">
      <w:rPr>
        <w:color w:val="58595B"/>
      </w:rPr>
    </w:tblStylePr>
  </w:style>
  <w:style w:type="table" w:customStyle="1" w:styleId="ColorfulShading-Accent31">
    <w:name w:val="Colorful Shading - Accent 31"/>
    <w:basedOn w:val="TableNormal"/>
    <w:next w:val="ColorfulShading-Accent3"/>
    <w:uiPriority w:val="71"/>
    <w:rsid w:val="00F90100"/>
    <w:pPr>
      <w:spacing w:after="0" w:line="240" w:lineRule="auto"/>
      <w:jc w:val="both"/>
    </w:pPr>
    <w:rPr>
      <w:rFonts w:ascii="Arial" w:hAnsi="Arial"/>
      <w:color w:val="58595B"/>
      <w:sz w:val="20"/>
      <w:lang w:val="nl-BE"/>
    </w:rPr>
    <w:tblPr>
      <w:tblStyleRowBandSize w:val="1"/>
      <w:tblStyleColBandSize w:val="1"/>
      <w:tblBorders>
        <w:top w:val="single" w:sz="24" w:space="0" w:color="FAD500"/>
        <w:left w:val="single" w:sz="4" w:space="0" w:color="BCCF00"/>
        <w:bottom w:val="single" w:sz="4" w:space="0" w:color="BCCF00"/>
        <w:right w:val="single" w:sz="4" w:space="0" w:color="BCCF00"/>
        <w:insideH w:val="single" w:sz="4" w:space="0" w:color="A5A5A5"/>
        <w:insideV w:val="single" w:sz="4" w:space="0" w:color="A5A5A5"/>
      </w:tblBorders>
    </w:tblPr>
    <w:tcPr>
      <w:shd w:val="clear" w:color="auto" w:fill="FCFFE1"/>
    </w:tcPr>
    <w:tblStylePr w:type="firstRow">
      <w:rPr>
        <w:b/>
        <w:bCs/>
      </w:rPr>
      <w:tblPr/>
      <w:tcPr>
        <w:tcBorders>
          <w:top w:val="nil"/>
          <w:left w:val="nil"/>
          <w:bottom w:val="single" w:sz="24" w:space="0" w:color="FAD500"/>
          <w:right w:val="nil"/>
          <w:insideH w:val="nil"/>
          <w:insideV w:val="nil"/>
        </w:tcBorders>
        <w:shd w:val="clear" w:color="auto" w:fill="A5A5A5"/>
      </w:tcPr>
    </w:tblStylePr>
    <w:tblStylePr w:type="lastRow">
      <w:rPr>
        <w:b/>
        <w:bCs/>
        <w:color w:val="A5A5A5"/>
      </w:rPr>
      <w:tblPr/>
      <w:tcPr>
        <w:tcBorders>
          <w:top w:val="single" w:sz="6" w:space="0" w:color="A5A5A5"/>
        </w:tcBorders>
        <w:shd w:val="clear" w:color="auto" w:fill="707C00"/>
      </w:tcPr>
    </w:tblStylePr>
    <w:tblStylePr w:type="firstCol">
      <w:rPr>
        <w:color w:val="A5A5A5"/>
      </w:rPr>
      <w:tblPr/>
      <w:tcPr>
        <w:tcBorders>
          <w:top w:val="nil"/>
          <w:left w:val="nil"/>
          <w:bottom w:val="nil"/>
          <w:right w:val="nil"/>
          <w:insideH w:val="single" w:sz="4" w:space="0" w:color="707C00"/>
          <w:insideV w:val="nil"/>
        </w:tcBorders>
        <w:shd w:val="clear" w:color="auto" w:fill="707C00"/>
      </w:tcPr>
    </w:tblStylePr>
    <w:tblStylePr w:type="lastCol">
      <w:rPr>
        <w:color w:val="A5A5A5"/>
      </w:rPr>
      <w:tblPr/>
      <w:tcPr>
        <w:tcBorders>
          <w:top w:val="nil"/>
          <w:left w:val="nil"/>
          <w:bottom w:val="nil"/>
          <w:right w:val="nil"/>
          <w:insideH w:val="nil"/>
          <w:insideV w:val="nil"/>
        </w:tcBorders>
        <w:shd w:val="clear" w:color="auto" w:fill="707C00"/>
      </w:tcPr>
    </w:tblStylePr>
    <w:tblStylePr w:type="band1Vert">
      <w:tblPr/>
      <w:tcPr>
        <w:shd w:val="clear" w:color="auto" w:fill="F3FF85"/>
      </w:tcPr>
    </w:tblStylePr>
    <w:tblStylePr w:type="band1Horz">
      <w:tblPr/>
      <w:tcPr>
        <w:shd w:val="clear" w:color="auto" w:fill="F0FF68"/>
      </w:tcPr>
    </w:tblStylePr>
  </w:style>
  <w:style w:type="table" w:customStyle="1" w:styleId="ColorfulShading-Accent41">
    <w:name w:val="Colorful Shading - Accent 41"/>
    <w:basedOn w:val="TableNormal"/>
    <w:next w:val="ColorfulShading-Accent4"/>
    <w:uiPriority w:val="71"/>
    <w:rsid w:val="00F90100"/>
    <w:pPr>
      <w:spacing w:after="0" w:line="240" w:lineRule="auto"/>
      <w:jc w:val="both"/>
    </w:pPr>
    <w:rPr>
      <w:rFonts w:ascii="Arial" w:hAnsi="Arial"/>
      <w:color w:val="58595B"/>
      <w:sz w:val="20"/>
      <w:lang w:val="nl-BE"/>
    </w:rPr>
    <w:tblPr>
      <w:tblStyleRowBandSize w:val="1"/>
      <w:tblStyleColBandSize w:val="1"/>
      <w:tblBorders>
        <w:top w:val="single" w:sz="24" w:space="0" w:color="BCCF00"/>
        <w:left w:val="single" w:sz="4" w:space="0" w:color="FAD500"/>
        <w:bottom w:val="single" w:sz="4" w:space="0" w:color="FAD500"/>
        <w:right w:val="single" w:sz="4" w:space="0" w:color="FAD500"/>
        <w:insideH w:val="single" w:sz="4" w:space="0" w:color="A5A5A5"/>
        <w:insideV w:val="single" w:sz="4" w:space="0" w:color="A5A5A5"/>
      </w:tblBorders>
    </w:tblPr>
    <w:tcPr>
      <w:shd w:val="clear" w:color="auto" w:fill="FFFBE5"/>
    </w:tcPr>
    <w:tblStylePr w:type="firstRow">
      <w:rPr>
        <w:b/>
        <w:bCs/>
      </w:rPr>
      <w:tblPr/>
      <w:tcPr>
        <w:tcBorders>
          <w:top w:val="nil"/>
          <w:left w:val="nil"/>
          <w:bottom w:val="single" w:sz="24" w:space="0" w:color="BCCF00"/>
          <w:right w:val="nil"/>
          <w:insideH w:val="nil"/>
          <w:insideV w:val="nil"/>
        </w:tcBorders>
        <w:shd w:val="clear" w:color="auto" w:fill="A5A5A5"/>
      </w:tcPr>
    </w:tblStylePr>
    <w:tblStylePr w:type="lastRow">
      <w:rPr>
        <w:b/>
        <w:bCs/>
        <w:color w:val="A5A5A5"/>
      </w:rPr>
      <w:tblPr/>
      <w:tcPr>
        <w:tcBorders>
          <w:top w:val="single" w:sz="6" w:space="0" w:color="A5A5A5"/>
        </w:tcBorders>
        <w:shd w:val="clear" w:color="auto" w:fill="967F00"/>
      </w:tcPr>
    </w:tblStylePr>
    <w:tblStylePr w:type="firstCol">
      <w:rPr>
        <w:color w:val="A5A5A5"/>
      </w:rPr>
      <w:tblPr/>
      <w:tcPr>
        <w:tcBorders>
          <w:top w:val="nil"/>
          <w:left w:val="nil"/>
          <w:bottom w:val="nil"/>
          <w:right w:val="nil"/>
          <w:insideH w:val="single" w:sz="4" w:space="0" w:color="967F00"/>
          <w:insideV w:val="nil"/>
        </w:tcBorders>
        <w:shd w:val="clear" w:color="auto" w:fill="967F00"/>
      </w:tcPr>
    </w:tblStylePr>
    <w:tblStylePr w:type="lastCol">
      <w:rPr>
        <w:color w:val="A5A5A5"/>
      </w:rPr>
      <w:tblPr/>
      <w:tcPr>
        <w:tcBorders>
          <w:top w:val="nil"/>
          <w:left w:val="nil"/>
          <w:bottom w:val="nil"/>
          <w:right w:val="nil"/>
          <w:insideH w:val="nil"/>
          <w:insideV w:val="nil"/>
        </w:tcBorders>
        <w:shd w:val="clear" w:color="auto" w:fill="967F00"/>
      </w:tcPr>
    </w:tblStylePr>
    <w:tblStylePr w:type="band1Vert">
      <w:tblPr/>
      <w:tcPr>
        <w:shd w:val="clear" w:color="auto" w:fill="FFEF97"/>
      </w:tcPr>
    </w:tblStylePr>
    <w:tblStylePr w:type="band1Horz">
      <w:tblPr/>
      <w:tcPr>
        <w:shd w:val="clear" w:color="auto" w:fill="FFEB7D"/>
      </w:tcPr>
    </w:tblStylePr>
    <w:tblStylePr w:type="neCell">
      <w:rPr>
        <w:color w:val="58595B"/>
      </w:rPr>
    </w:tblStylePr>
    <w:tblStylePr w:type="nwCell">
      <w:rPr>
        <w:color w:val="58595B"/>
      </w:rPr>
    </w:tblStylePr>
  </w:style>
  <w:style w:type="table" w:customStyle="1" w:styleId="ColorfulShading-Accent51">
    <w:name w:val="Colorful Shading - Accent 51"/>
    <w:basedOn w:val="TableNormal"/>
    <w:next w:val="ColorfulShading-Accent5"/>
    <w:uiPriority w:val="71"/>
    <w:rsid w:val="00F90100"/>
    <w:pPr>
      <w:spacing w:after="0" w:line="240" w:lineRule="auto"/>
      <w:jc w:val="both"/>
    </w:pPr>
    <w:rPr>
      <w:rFonts w:ascii="Arial" w:hAnsi="Arial"/>
      <w:color w:val="58595B"/>
      <w:sz w:val="20"/>
      <w:lang w:val="nl-BE"/>
    </w:rPr>
    <w:tblPr>
      <w:tblStyleRowBandSize w:val="1"/>
      <w:tblStyleColBandSize w:val="1"/>
      <w:tblBorders>
        <w:top w:val="single" w:sz="24" w:space="0" w:color="C85019"/>
        <w:left w:val="single" w:sz="4" w:space="0" w:color="F29D00"/>
        <w:bottom w:val="single" w:sz="4" w:space="0" w:color="F29D00"/>
        <w:right w:val="single" w:sz="4" w:space="0" w:color="F29D00"/>
        <w:insideH w:val="single" w:sz="4" w:space="0" w:color="A5A5A5"/>
        <w:insideV w:val="single" w:sz="4" w:space="0" w:color="A5A5A5"/>
      </w:tblBorders>
    </w:tblPr>
    <w:tcPr>
      <w:shd w:val="clear" w:color="auto" w:fill="FFF5E4"/>
    </w:tcPr>
    <w:tblStylePr w:type="firstRow">
      <w:rPr>
        <w:b/>
        <w:bCs/>
      </w:rPr>
      <w:tblPr/>
      <w:tcPr>
        <w:tcBorders>
          <w:top w:val="nil"/>
          <w:left w:val="nil"/>
          <w:bottom w:val="single" w:sz="24" w:space="0" w:color="C85019"/>
          <w:right w:val="nil"/>
          <w:insideH w:val="nil"/>
          <w:insideV w:val="nil"/>
        </w:tcBorders>
        <w:shd w:val="clear" w:color="auto" w:fill="A5A5A5"/>
      </w:tcPr>
    </w:tblStylePr>
    <w:tblStylePr w:type="lastRow">
      <w:rPr>
        <w:b/>
        <w:bCs/>
        <w:color w:val="A5A5A5"/>
      </w:rPr>
      <w:tblPr/>
      <w:tcPr>
        <w:tcBorders>
          <w:top w:val="single" w:sz="6" w:space="0" w:color="A5A5A5"/>
        </w:tcBorders>
        <w:shd w:val="clear" w:color="auto" w:fill="915D00"/>
      </w:tcPr>
    </w:tblStylePr>
    <w:tblStylePr w:type="firstCol">
      <w:rPr>
        <w:color w:val="A5A5A5"/>
      </w:rPr>
      <w:tblPr/>
      <w:tcPr>
        <w:tcBorders>
          <w:top w:val="nil"/>
          <w:left w:val="nil"/>
          <w:bottom w:val="nil"/>
          <w:right w:val="nil"/>
          <w:insideH w:val="single" w:sz="4" w:space="0" w:color="915D00"/>
          <w:insideV w:val="nil"/>
        </w:tcBorders>
        <w:shd w:val="clear" w:color="auto" w:fill="915D00"/>
      </w:tcPr>
    </w:tblStylePr>
    <w:tblStylePr w:type="lastCol">
      <w:rPr>
        <w:color w:val="A5A5A5"/>
      </w:rPr>
      <w:tblPr/>
      <w:tcPr>
        <w:tcBorders>
          <w:top w:val="nil"/>
          <w:left w:val="nil"/>
          <w:bottom w:val="nil"/>
          <w:right w:val="nil"/>
          <w:insideH w:val="nil"/>
          <w:insideV w:val="nil"/>
        </w:tcBorders>
        <w:shd w:val="clear" w:color="auto" w:fill="915D00"/>
      </w:tcPr>
    </w:tblStylePr>
    <w:tblStylePr w:type="band1Vert">
      <w:tblPr/>
      <w:tcPr>
        <w:shd w:val="clear" w:color="auto" w:fill="FFD993"/>
      </w:tcPr>
    </w:tblStylePr>
    <w:tblStylePr w:type="band1Horz">
      <w:tblPr/>
      <w:tcPr>
        <w:shd w:val="clear" w:color="auto" w:fill="FFCF79"/>
      </w:tcPr>
    </w:tblStylePr>
    <w:tblStylePr w:type="neCell">
      <w:rPr>
        <w:color w:val="58595B"/>
      </w:rPr>
    </w:tblStylePr>
    <w:tblStylePr w:type="nwCell">
      <w:rPr>
        <w:color w:val="58595B"/>
      </w:rPr>
    </w:tblStylePr>
  </w:style>
  <w:style w:type="table" w:customStyle="1" w:styleId="ColorfulShading-Accent61">
    <w:name w:val="Colorful Shading - Accent 61"/>
    <w:basedOn w:val="TableNormal"/>
    <w:next w:val="ColorfulShading-Accent6"/>
    <w:uiPriority w:val="71"/>
    <w:rsid w:val="00F90100"/>
    <w:pPr>
      <w:spacing w:after="0" w:line="240" w:lineRule="auto"/>
      <w:jc w:val="both"/>
    </w:pPr>
    <w:rPr>
      <w:rFonts w:ascii="Arial" w:hAnsi="Arial"/>
      <w:color w:val="58595B"/>
      <w:sz w:val="20"/>
      <w:lang w:val="nl-BE"/>
    </w:rPr>
    <w:tblPr>
      <w:tblStyleRowBandSize w:val="1"/>
      <w:tblStyleColBandSize w:val="1"/>
      <w:tblBorders>
        <w:top w:val="single" w:sz="24" w:space="0" w:color="F29D00"/>
        <w:left w:val="single" w:sz="4" w:space="0" w:color="C85019"/>
        <w:bottom w:val="single" w:sz="4" w:space="0" w:color="C85019"/>
        <w:right w:val="single" w:sz="4" w:space="0" w:color="C85019"/>
        <w:insideH w:val="single" w:sz="4" w:space="0" w:color="A5A5A5"/>
        <w:insideV w:val="single" w:sz="4" w:space="0" w:color="A5A5A5"/>
      </w:tblBorders>
    </w:tblPr>
    <w:tcPr>
      <w:shd w:val="clear" w:color="auto" w:fill="FCECE6"/>
    </w:tcPr>
    <w:tblStylePr w:type="firstRow">
      <w:rPr>
        <w:b/>
        <w:bCs/>
      </w:rPr>
      <w:tblPr/>
      <w:tcPr>
        <w:tcBorders>
          <w:top w:val="nil"/>
          <w:left w:val="nil"/>
          <w:bottom w:val="single" w:sz="24" w:space="0" w:color="F29D00"/>
          <w:right w:val="nil"/>
          <w:insideH w:val="nil"/>
          <w:insideV w:val="nil"/>
        </w:tcBorders>
        <w:shd w:val="clear" w:color="auto" w:fill="A5A5A5"/>
      </w:tcPr>
    </w:tblStylePr>
    <w:tblStylePr w:type="lastRow">
      <w:rPr>
        <w:b/>
        <w:bCs/>
        <w:color w:val="A5A5A5"/>
      </w:rPr>
      <w:tblPr/>
      <w:tcPr>
        <w:tcBorders>
          <w:top w:val="single" w:sz="6" w:space="0" w:color="A5A5A5"/>
        </w:tcBorders>
        <w:shd w:val="clear" w:color="auto" w:fill="782F0F"/>
      </w:tcPr>
    </w:tblStylePr>
    <w:tblStylePr w:type="firstCol">
      <w:rPr>
        <w:color w:val="A5A5A5"/>
      </w:rPr>
      <w:tblPr/>
      <w:tcPr>
        <w:tcBorders>
          <w:top w:val="nil"/>
          <w:left w:val="nil"/>
          <w:bottom w:val="nil"/>
          <w:right w:val="nil"/>
          <w:insideH w:val="single" w:sz="4" w:space="0" w:color="782F0F"/>
          <w:insideV w:val="nil"/>
        </w:tcBorders>
        <w:shd w:val="clear" w:color="auto" w:fill="782F0F"/>
      </w:tcPr>
    </w:tblStylePr>
    <w:tblStylePr w:type="lastCol">
      <w:rPr>
        <w:color w:val="A5A5A5"/>
      </w:rPr>
      <w:tblPr/>
      <w:tcPr>
        <w:tcBorders>
          <w:top w:val="nil"/>
          <w:left w:val="nil"/>
          <w:bottom w:val="nil"/>
          <w:right w:val="nil"/>
          <w:insideH w:val="nil"/>
          <w:insideV w:val="nil"/>
        </w:tcBorders>
        <w:shd w:val="clear" w:color="auto" w:fill="782F0F"/>
      </w:tcPr>
    </w:tblStylePr>
    <w:tblStylePr w:type="band1Vert">
      <w:tblPr/>
      <w:tcPr>
        <w:shd w:val="clear" w:color="auto" w:fill="F2B599"/>
      </w:tcPr>
    </w:tblStylePr>
    <w:tblStylePr w:type="band1Horz">
      <w:tblPr/>
      <w:tcPr>
        <w:shd w:val="clear" w:color="auto" w:fill="EFA380"/>
      </w:tcPr>
    </w:tblStylePr>
    <w:tblStylePr w:type="neCell">
      <w:rPr>
        <w:color w:val="58595B"/>
      </w:rPr>
    </w:tblStylePr>
    <w:tblStylePr w:type="nwCell">
      <w:rPr>
        <w:color w:val="58595B"/>
      </w:rPr>
    </w:tblStylePr>
  </w:style>
  <w:style w:type="table" w:customStyle="1" w:styleId="DarkList1">
    <w:name w:val="Dark List1"/>
    <w:basedOn w:val="TableNormal"/>
    <w:next w:val="DarkList"/>
    <w:uiPriority w:val="70"/>
    <w:rsid w:val="00F90100"/>
    <w:pPr>
      <w:spacing w:after="0" w:line="240" w:lineRule="auto"/>
      <w:jc w:val="both"/>
    </w:pPr>
    <w:rPr>
      <w:rFonts w:ascii="Arial" w:hAnsi="Arial"/>
      <w:color w:val="A5A5A5"/>
      <w:sz w:val="20"/>
      <w:lang w:val="nl-BE"/>
    </w:rPr>
    <w:tblPr>
      <w:tblStyleRowBandSize w:val="1"/>
      <w:tblStyleColBandSize w:val="1"/>
    </w:tblPr>
    <w:tcPr>
      <w:shd w:val="clear" w:color="auto" w:fill="58595B"/>
    </w:tcPr>
    <w:tblStylePr w:type="firstRow">
      <w:rPr>
        <w:b/>
        <w:bCs/>
      </w:rPr>
      <w:tblPr/>
      <w:tcPr>
        <w:tcBorders>
          <w:top w:val="nil"/>
          <w:left w:val="nil"/>
          <w:bottom w:val="single" w:sz="18" w:space="0" w:color="A5A5A5"/>
          <w:right w:val="nil"/>
          <w:insideH w:val="nil"/>
          <w:insideV w:val="nil"/>
        </w:tcBorders>
        <w:shd w:val="clear" w:color="auto" w:fill="58595B"/>
      </w:tcPr>
    </w:tblStylePr>
    <w:tblStylePr w:type="lastRow">
      <w:tblPr/>
      <w:tcPr>
        <w:tcBorders>
          <w:top w:val="single" w:sz="18" w:space="0" w:color="A5A5A5"/>
          <w:left w:val="nil"/>
          <w:bottom w:val="nil"/>
          <w:right w:val="nil"/>
          <w:insideH w:val="nil"/>
          <w:insideV w:val="nil"/>
        </w:tcBorders>
        <w:shd w:val="clear" w:color="auto" w:fill="2B2C2D"/>
      </w:tcPr>
    </w:tblStylePr>
    <w:tblStylePr w:type="firstCol">
      <w:tblPr/>
      <w:tcPr>
        <w:tcBorders>
          <w:top w:val="nil"/>
          <w:left w:val="nil"/>
          <w:bottom w:val="nil"/>
          <w:right w:val="single" w:sz="18" w:space="0" w:color="A5A5A5"/>
          <w:insideH w:val="nil"/>
          <w:insideV w:val="nil"/>
        </w:tcBorders>
        <w:shd w:val="clear" w:color="auto" w:fill="424244"/>
      </w:tcPr>
    </w:tblStylePr>
    <w:tblStylePr w:type="lastCol">
      <w:tblPr/>
      <w:tcPr>
        <w:tcBorders>
          <w:top w:val="nil"/>
          <w:left w:val="single" w:sz="18" w:space="0" w:color="A5A5A5"/>
          <w:bottom w:val="nil"/>
          <w:right w:val="nil"/>
          <w:insideH w:val="nil"/>
          <w:insideV w:val="nil"/>
        </w:tcBorders>
        <w:shd w:val="clear" w:color="auto" w:fill="424244"/>
      </w:tcPr>
    </w:tblStylePr>
    <w:tblStylePr w:type="band1Vert">
      <w:tblPr/>
      <w:tcPr>
        <w:tcBorders>
          <w:top w:val="nil"/>
          <w:left w:val="nil"/>
          <w:bottom w:val="nil"/>
          <w:right w:val="nil"/>
          <w:insideH w:val="nil"/>
          <w:insideV w:val="nil"/>
        </w:tcBorders>
        <w:shd w:val="clear" w:color="auto" w:fill="424244"/>
      </w:tcPr>
    </w:tblStylePr>
    <w:tblStylePr w:type="band1Horz">
      <w:tblPr/>
      <w:tcPr>
        <w:tcBorders>
          <w:top w:val="nil"/>
          <w:left w:val="nil"/>
          <w:bottom w:val="nil"/>
          <w:right w:val="nil"/>
          <w:insideH w:val="nil"/>
          <w:insideV w:val="nil"/>
        </w:tcBorders>
        <w:shd w:val="clear" w:color="auto" w:fill="424244"/>
      </w:tcPr>
    </w:tblStylePr>
  </w:style>
  <w:style w:type="table" w:customStyle="1" w:styleId="DarkList-Accent11">
    <w:name w:val="Dark List - Accent 11"/>
    <w:basedOn w:val="TableNormal"/>
    <w:next w:val="DarkList-Accent1"/>
    <w:uiPriority w:val="70"/>
    <w:rsid w:val="00F90100"/>
    <w:pPr>
      <w:spacing w:after="0" w:line="240" w:lineRule="auto"/>
      <w:jc w:val="both"/>
    </w:pPr>
    <w:rPr>
      <w:rFonts w:ascii="Arial" w:hAnsi="Arial"/>
      <w:color w:val="A5A5A5"/>
      <w:sz w:val="20"/>
      <w:lang w:val="nl-BE"/>
    </w:rPr>
    <w:tblPr>
      <w:tblStyleRowBandSize w:val="1"/>
      <w:tblStyleColBandSize w:val="1"/>
    </w:tblPr>
    <w:tcPr>
      <w:shd w:val="clear" w:color="auto" w:fill="3AAA35"/>
    </w:tcPr>
    <w:tblStylePr w:type="firstRow">
      <w:rPr>
        <w:b/>
        <w:bCs/>
      </w:rPr>
      <w:tblPr/>
      <w:tcPr>
        <w:tcBorders>
          <w:top w:val="nil"/>
          <w:left w:val="nil"/>
          <w:bottom w:val="single" w:sz="18" w:space="0" w:color="A5A5A5"/>
          <w:right w:val="nil"/>
          <w:insideH w:val="nil"/>
          <w:insideV w:val="nil"/>
        </w:tcBorders>
        <w:shd w:val="clear" w:color="auto" w:fill="58595B"/>
      </w:tcPr>
    </w:tblStylePr>
    <w:tblStylePr w:type="lastRow">
      <w:tblPr/>
      <w:tcPr>
        <w:tcBorders>
          <w:top w:val="single" w:sz="18" w:space="0" w:color="A5A5A5"/>
          <w:left w:val="nil"/>
          <w:bottom w:val="nil"/>
          <w:right w:val="nil"/>
          <w:insideH w:val="nil"/>
          <w:insideV w:val="nil"/>
        </w:tcBorders>
        <w:shd w:val="clear" w:color="auto" w:fill="1C541A"/>
      </w:tcPr>
    </w:tblStylePr>
    <w:tblStylePr w:type="firstCol">
      <w:tblPr/>
      <w:tcPr>
        <w:tcBorders>
          <w:top w:val="nil"/>
          <w:left w:val="nil"/>
          <w:bottom w:val="nil"/>
          <w:right w:val="single" w:sz="18" w:space="0" w:color="A5A5A5"/>
          <w:insideH w:val="nil"/>
          <w:insideV w:val="nil"/>
        </w:tcBorders>
        <w:shd w:val="clear" w:color="auto" w:fill="2B7F27"/>
      </w:tcPr>
    </w:tblStylePr>
    <w:tblStylePr w:type="lastCol">
      <w:tblPr/>
      <w:tcPr>
        <w:tcBorders>
          <w:top w:val="nil"/>
          <w:left w:val="single" w:sz="18" w:space="0" w:color="A5A5A5"/>
          <w:bottom w:val="nil"/>
          <w:right w:val="nil"/>
          <w:insideH w:val="nil"/>
          <w:insideV w:val="nil"/>
        </w:tcBorders>
        <w:shd w:val="clear" w:color="auto" w:fill="2B7F27"/>
      </w:tcPr>
    </w:tblStylePr>
    <w:tblStylePr w:type="band1Vert">
      <w:tblPr/>
      <w:tcPr>
        <w:tcBorders>
          <w:top w:val="nil"/>
          <w:left w:val="nil"/>
          <w:bottom w:val="nil"/>
          <w:right w:val="nil"/>
          <w:insideH w:val="nil"/>
          <w:insideV w:val="nil"/>
        </w:tcBorders>
        <w:shd w:val="clear" w:color="auto" w:fill="2B7F27"/>
      </w:tcPr>
    </w:tblStylePr>
    <w:tblStylePr w:type="band1Horz">
      <w:tblPr/>
      <w:tcPr>
        <w:tcBorders>
          <w:top w:val="nil"/>
          <w:left w:val="nil"/>
          <w:bottom w:val="nil"/>
          <w:right w:val="nil"/>
          <w:insideH w:val="nil"/>
          <w:insideV w:val="nil"/>
        </w:tcBorders>
        <w:shd w:val="clear" w:color="auto" w:fill="2B7F27"/>
      </w:tcPr>
    </w:tblStylePr>
  </w:style>
  <w:style w:type="table" w:customStyle="1" w:styleId="DarkList-Accent21">
    <w:name w:val="Dark List - Accent 21"/>
    <w:basedOn w:val="TableNormal"/>
    <w:next w:val="DarkList-Accent2"/>
    <w:uiPriority w:val="70"/>
    <w:rsid w:val="00F90100"/>
    <w:pPr>
      <w:spacing w:after="0" w:line="240" w:lineRule="auto"/>
      <w:jc w:val="both"/>
    </w:pPr>
    <w:rPr>
      <w:rFonts w:ascii="Arial" w:hAnsi="Arial"/>
      <w:color w:val="A5A5A5"/>
      <w:sz w:val="20"/>
      <w:lang w:val="nl-BE"/>
    </w:rPr>
    <w:tblPr>
      <w:tblStyleRowBandSize w:val="1"/>
      <w:tblStyleColBandSize w:val="1"/>
    </w:tblPr>
    <w:tcPr>
      <w:shd w:val="clear" w:color="auto" w:fill="006633"/>
    </w:tcPr>
    <w:tblStylePr w:type="firstRow">
      <w:rPr>
        <w:b/>
        <w:bCs/>
      </w:rPr>
      <w:tblPr/>
      <w:tcPr>
        <w:tcBorders>
          <w:top w:val="nil"/>
          <w:left w:val="nil"/>
          <w:bottom w:val="single" w:sz="18" w:space="0" w:color="A5A5A5"/>
          <w:right w:val="nil"/>
          <w:insideH w:val="nil"/>
          <w:insideV w:val="nil"/>
        </w:tcBorders>
        <w:shd w:val="clear" w:color="auto" w:fill="58595B"/>
      </w:tcPr>
    </w:tblStylePr>
    <w:tblStylePr w:type="lastRow">
      <w:tblPr/>
      <w:tcPr>
        <w:tcBorders>
          <w:top w:val="single" w:sz="18" w:space="0" w:color="A5A5A5"/>
          <w:left w:val="nil"/>
          <w:bottom w:val="nil"/>
          <w:right w:val="nil"/>
          <w:insideH w:val="nil"/>
          <w:insideV w:val="nil"/>
        </w:tcBorders>
        <w:shd w:val="clear" w:color="auto" w:fill="003219"/>
      </w:tcPr>
    </w:tblStylePr>
    <w:tblStylePr w:type="firstCol">
      <w:tblPr/>
      <w:tcPr>
        <w:tcBorders>
          <w:top w:val="nil"/>
          <w:left w:val="nil"/>
          <w:bottom w:val="nil"/>
          <w:right w:val="single" w:sz="18" w:space="0" w:color="A5A5A5"/>
          <w:insideH w:val="nil"/>
          <w:insideV w:val="nil"/>
        </w:tcBorders>
        <w:shd w:val="clear" w:color="auto" w:fill="004C26"/>
      </w:tcPr>
    </w:tblStylePr>
    <w:tblStylePr w:type="lastCol">
      <w:tblPr/>
      <w:tcPr>
        <w:tcBorders>
          <w:top w:val="nil"/>
          <w:left w:val="single" w:sz="18" w:space="0" w:color="A5A5A5"/>
          <w:bottom w:val="nil"/>
          <w:right w:val="nil"/>
          <w:insideH w:val="nil"/>
          <w:insideV w:val="nil"/>
        </w:tcBorders>
        <w:shd w:val="clear" w:color="auto" w:fill="004C26"/>
      </w:tcPr>
    </w:tblStylePr>
    <w:tblStylePr w:type="band1Vert">
      <w:tblPr/>
      <w:tcPr>
        <w:tcBorders>
          <w:top w:val="nil"/>
          <w:left w:val="nil"/>
          <w:bottom w:val="nil"/>
          <w:right w:val="nil"/>
          <w:insideH w:val="nil"/>
          <w:insideV w:val="nil"/>
        </w:tcBorders>
        <w:shd w:val="clear" w:color="auto" w:fill="004C26"/>
      </w:tcPr>
    </w:tblStylePr>
    <w:tblStylePr w:type="band1Horz">
      <w:tblPr/>
      <w:tcPr>
        <w:tcBorders>
          <w:top w:val="nil"/>
          <w:left w:val="nil"/>
          <w:bottom w:val="nil"/>
          <w:right w:val="nil"/>
          <w:insideH w:val="nil"/>
          <w:insideV w:val="nil"/>
        </w:tcBorders>
        <w:shd w:val="clear" w:color="auto" w:fill="004C26"/>
      </w:tcPr>
    </w:tblStylePr>
  </w:style>
  <w:style w:type="table" w:customStyle="1" w:styleId="DarkList-Accent31">
    <w:name w:val="Dark List - Accent 31"/>
    <w:basedOn w:val="TableNormal"/>
    <w:next w:val="DarkList-Accent3"/>
    <w:uiPriority w:val="70"/>
    <w:rsid w:val="00F90100"/>
    <w:pPr>
      <w:spacing w:after="0" w:line="240" w:lineRule="auto"/>
      <w:jc w:val="both"/>
    </w:pPr>
    <w:rPr>
      <w:rFonts w:ascii="Arial" w:hAnsi="Arial"/>
      <w:color w:val="A5A5A5"/>
      <w:sz w:val="20"/>
      <w:lang w:val="nl-BE"/>
    </w:rPr>
    <w:tblPr>
      <w:tblStyleRowBandSize w:val="1"/>
      <w:tblStyleColBandSize w:val="1"/>
    </w:tblPr>
    <w:tcPr>
      <w:shd w:val="clear" w:color="auto" w:fill="BCCF00"/>
    </w:tcPr>
    <w:tblStylePr w:type="firstRow">
      <w:rPr>
        <w:b/>
        <w:bCs/>
      </w:rPr>
      <w:tblPr/>
      <w:tcPr>
        <w:tcBorders>
          <w:top w:val="nil"/>
          <w:left w:val="nil"/>
          <w:bottom w:val="single" w:sz="18" w:space="0" w:color="A5A5A5"/>
          <w:right w:val="nil"/>
          <w:insideH w:val="nil"/>
          <w:insideV w:val="nil"/>
        </w:tcBorders>
        <w:shd w:val="clear" w:color="auto" w:fill="58595B"/>
      </w:tcPr>
    </w:tblStylePr>
    <w:tblStylePr w:type="lastRow">
      <w:tblPr/>
      <w:tcPr>
        <w:tcBorders>
          <w:top w:val="single" w:sz="18" w:space="0" w:color="A5A5A5"/>
          <w:left w:val="nil"/>
          <w:bottom w:val="nil"/>
          <w:right w:val="nil"/>
          <w:insideH w:val="nil"/>
          <w:insideV w:val="nil"/>
        </w:tcBorders>
        <w:shd w:val="clear" w:color="auto" w:fill="5D6700"/>
      </w:tcPr>
    </w:tblStylePr>
    <w:tblStylePr w:type="firstCol">
      <w:tblPr/>
      <w:tcPr>
        <w:tcBorders>
          <w:top w:val="nil"/>
          <w:left w:val="nil"/>
          <w:bottom w:val="nil"/>
          <w:right w:val="single" w:sz="18" w:space="0" w:color="A5A5A5"/>
          <w:insideH w:val="nil"/>
          <w:insideV w:val="nil"/>
        </w:tcBorders>
        <w:shd w:val="clear" w:color="auto" w:fill="8C9B00"/>
      </w:tcPr>
    </w:tblStylePr>
    <w:tblStylePr w:type="lastCol">
      <w:tblPr/>
      <w:tcPr>
        <w:tcBorders>
          <w:top w:val="nil"/>
          <w:left w:val="single" w:sz="18" w:space="0" w:color="A5A5A5"/>
          <w:bottom w:val="nil"/>
          <w:right w:val="nil"/>
          <w:insideH w:val="nil"/>
          <w:insideV w:val="nil"/>
        </w:tcBorders>
        <w:shd w:val="clear" w:color="auto" w:fill="8C9B00"/>
      </w:tcPr>
    </w:tblStylePr>
    <w:tblStylePr w:type="band1Vert">
      <w:tblPr/>
      <w:tcPr>
        <w:tcBorders>
          <w:top w:val="nil"/>
          <w:left w:val="nil"/>
          <w:bottom w:val="nil"/>
          <w:right w:val="nil"/>
          <w:insideH w:val="nil"/>
          <w:insideV w:val="nil"/>
        </w:tcBorders>
        <w:shd w:val="clear" w:color="auto" w:fill="8C9B00"/>
      </w:tcPr>
    </w:tblStylePr>
    <w:tblStylePr w:type="band1Horz">
      <w:tblPr/>
      <w:tcPr>
        <w:tcBorders>
          <w:top w:val="nil"/>
          <w:left w:val="nil"/>
          <w:bottom w:val="nil"/>
          <w:right w:val="nil"/>
          <w:insideH w:val="nil"/>
          <w:insideV w:val="nil"/>
        </w:tcBorders>
        <w:shd w:val="clear" w:color="auto" w:fill="8C9B00"/>
      </w:tcPr>
    </w:tblStylePr>
  </w:style>
  <w:style w:type="table" w:customStyle="1" w:styleId="DarkList-Accent41">
    <w:name w:val="Dark List - Accent 41"/>
    <w:basedOn w:val="TableNormal"/>
    <w:next w:val="DarkList-Accent4"/>
    <w:uiPriority w:val="70"/>
    <w:rsid w:val="00F90100"/>
    <w:pPr>
      <w:spacing w:after="0" w:line="240" w:lineRule="auto"/>
      <w:jc w:val="both"/>
    </w:pPr>
    <w:rPr>
      <w:rFonts w:ascii="Arial" w:hAnsi="Arial"/>
      <w:color w:val="A5A5A5"/>
      <w:sz w:val="20"/>
      <w:lang w:val="nl-BE"/>
    </w:rPr>
    <w:tblPr>
      <w:tblStyleRowBandSize w:val="1"/>
      <w:tblStyleColBandSize w:val="1"/>
    </w:tblPr>
    <w:tcPr>
      <w:shd w:val="clear" w:color="auto" w:fill="FAD500"/>
    </w:tcPr>
    <w:tblStylePr w:type="firstRow">
      <w:rPr>
        <w:b/>
        <w:bCs/>
      </w:rPr>
      <w:tblPr/>
      <w:tcPr>
        <w:tcBorders>
          <w:top w:val="nil"/>
          <w:left w:val="nil"/>
          <w:bottom w:val="single" w:sz="18" w:space="0" w:color="A5A5A5"/>
          <w:right w:val="nil"/>
          <w:insideH w:val="nil"/>
          <w:insideV w:val="nil"/>
        </w:tcBorders>
        <w:shd w:val="clear" w:color="auto" w:fill="58595B"/>
      </w:tcPr>
    </w:tblStylePr>
    <w:tblStylePr w:type="lastRow">
      <w:tblPr/>
      <w:tcPr>
        <w:tcBorders>
          <w:top w:val="single" w:sz="18" w:space="0" w:color="A5A5A5"/>
          <w:left w:val="nil"/>
          <w:bottom w:val="nil"/>
          <w:right w:val="nil"/>
          <w:insideH w:val="nil"/>
          <w:insideV w:val="nil"/>
        </w:tcBorders>
        <w:shd w:val="clear" w:color="auto" w:fill="7C6900"/>
      </w:tcPr>
    </w:tblStylePr>
    <w:tblStylePr w:type="firstCol">
      <w:tblPr/>
      <w:tcPr>
        <w:tcBorders>
          <w:top w:val="nil"/>
          <w:left w:val="nil"/>
          <w:bottom w:val="nil"/>
          <w:right w:val="single" w:sz="18" w:space="0" w:color="A5A5A5"/>
          <w:insideH w:val="nil"/>
          <w:insideV w:val="nil"/>
        </w:tcBorders>
        <w:shd w:val="clear" w:color="auto" w:fill="BB9F00"/>
      </w:tcPr>
    </w:tblStylePr>
    <w:tblStylePr w:type="lastCol">
      <w:tblPr/>
      <w:tcPr>
        <w:tcBorders>
          <w:top w:val="nil"/>
          <w:left w:val="single" w:sz="18" w:space="0" w:color="A5A5A5"/>
          <w:bottom w:val="nil"/>
          <w:right w:val="nil"/>
          <w:insideH w:val="nil"/>
          <w:insideV w:val="nil"/>
        </w:tcBorders>
        <w:shd w:val="clear" w:color="auto" w:fill="BB9F00"/>
      </w:tcPr>
    </w:tblStylePr>
    <w:tblStylePr w:type="band1Vert">
      <w:tblPr/>
      <w:tcPr>
        <w:tcBorders>
          <w:top w:val="nil"/>
          <w:left w:val="nil"/>
          <w:bottom w:val="nil"/>
          <w:right w:val="nil"/>
          <w:insideH w:val="nil"/>
          <w:insideV w:val="nil"/>
        </w:tcBorders>
        <w:shd w:val="clear" w:color="auto" w:fill="BB9F00"/>
      </w:tcPr>
    </w:tblStylePr>
    <w:tblStylePr w:type="band1Horz">
      <w:tblPr/>
      <w:tcPr>
        <w:tcBorders>
          <w:top w:val="nil"/>
          <w:left w:val="nil"/>
          <w:bottom w:val="nil"/>
          <w:right w:val="nil"/>
          <w:insideH w:val="nil"/>
          <w:insideV w:val="nil"/>
        </w:tcBorders>
        <w:shd w:val="clear" w:color="auto" w:fill="BB9F00"/>
      </w:tcPr>
    </w:tblStylePr>
  </w:style>
  <w:style w:type="table" w:customStyle="1" w:styleId="DarkList-Accent51">
    <w:name w:val="Dark List - Accent 51"/>
    <w:basedOn w:val="TableNormal"/>
    <w:next w:val="DarkList-Accent5"/>
    <w:uiPriority w:val="70"/>
    <w:rsid w:val="00F90100"/>
    <w:pPr>
      <w:spacing w:after="0" w:line="240" w:lineRule="auto"/>
      <w:jc w:val="both"/>
    </w:pPr>
    <w:rPr>
      <w:rFonts w:ascii="Arial" w:hAnsi="Arial"/>
      <w:color w:val="A5A5A5"/>
      <w:sz w:val="20"/>
      <w:lang w:val="nl-BE"/>
    </w:rPr>
    <w:tblPr>
      <w:tblStyleRowBandSize w:val="1"/>
      <w:tblStyleColBandSize w:val="1"/>
    </w:tblPr>
    <w:tcPr>
      <w:shd w:val="clear" w:color="auto" w:fill="F29D00"/>
    </w:tcPr>
    <w:tblStylePr w:type="firstRow">
      <w:rPr>
        <w:b/>
        <w:bCs/>
      </w:rPr>
      <w:tblPr/>
      <w:tcPr>
        <w:tcBorders>
          <w:top w:val="nil"/>
          <w:left w:val="nil"/>
          <w:bottom w:val="single" w:sz="18" w:space="0" w:color="A5A5A5"/>
          <w:right w:val="nil"/>
          <w:insideH w:val="nil"/>
          <w:insideV w:val="nil"/>
        </w:tcBorders>
        <w:shd w:val="clear" w:color="auto" w:fill="58595B"/>
      </w:tcPr>
    </w:tblStylePr>
    <w:tblStylePr w:type="lastRow">
      <w:tblPr/>
      <w:tcPr>
        <w:tcBorders>
          <w:top w:val="single" w:sz="18" w:space="0" w:color="A5A5A5"/>
          <w:left w:val="nil"/>
          <w:bottom w:val="nil"/>
          <w:right w:val="nil"/>
          <w:insideH w:val="nil"/>
          <w:insideV w:val="nil"/>
        </w:tcBorders>
        <w:shd w:val="clear" w:color="auto" w:fill="784D00"/>
      </w:tcPr>
    </w:tblStylePr>
    <w:tblStylePr w:type="firstCol">
      <w:tblPr/>
      <w:tcPr>
        <w:tcBorders>
          <w:top w:val="nil"/>
          <w:left w:val="nil"/>
          <w:bottom w:val="nil"/>
          <w:right w:val="single" w:sz="18" w:space="0" w:color="A5A5A5"/>
          <w:insideH w:val="nil"/>
          <w:insideV w:val="nil"/>
        </w:tcBorders>
        <w:shd w:val="clear" w:color="auto" w:fill="B57500"/>
      </w:tcPr>
    </w:tblStylePr>
    <w:tblStylePr w:type="lastCol">
      <w:tblPr/>
      <w:tcPr>
        <w:tcBorders>
          <w:top w:val="nil"/>
          <w:left w:val="single" w:sz="18" w:space="0" w:color="A5A5A5"/>
          <w:bottom w:val="nil"/>
          <w:right w:val="nil"/>
          <w:insideH w:val="nil"/>
          <w:insideV w:val="nil"/>
        </w:tcBorders>
        <w:shd w:val="clear" w:color="auto" w:fill="B57500"/>
      </w:tcPr>
    </w:tblStylePr>
    <w:tblStylePr w:type="band1Vert">
      <w:tblPr/>
      <w:tcPr>
        <w:tcBorders>
          <w:top w:val="nil"/>
          <w:left w:val="nil"/>
          <w:bottom w:val="nil"/>
          <w:right w:val="nil"/>
          <w:insideH w:val="nil"/>
          <w:insideV w:val="nil"/>
        </w:tcBorders>
        <w:shd w:val="clear" w:color="auto" w:fill="B57500"/>
      </w:tcPr>
    </w:tblStylePr>
    <w:tblStylePr w:type="band1Horz">
      <w:tblPr/>
      <w:tcPr>
        <w:tcBorders>
          <w:top w:val="nil"/>
          <w:left w:val="nil"/>
          <w:bottom w:val="nil"/>
          <w:right w:val="nil"/>
          <w:insideH w:val="nil"/>
          <w:insideV w:val="nil"/>
        </w:tcBorders>
        <w:shd w:val="clear" w:color="auto" w:fill="B57500"/>
      </w:tcPr>
    </w:tblStylePr>
  </w:style>
  <w:style w:type="table" w:customStyle="1" w:styleId="DarkList-Accent61">
    <w:name w:val="Dark List - Accent 61"/>
    <w:basedOn w:val="TableNormal"/>
    <w:next w:val="DarkList-Accent6"/>
    <w:uiPriority w:val="70"/>
    <w:rsid w:val="00F90100"/>
    <w:pPr>
      <w:spacing w:after="0" w:line="240" w:lineRule="auto"/>
      <w:jc w:val="both"/>
    </w:pPr>
    <w:rPr>
      <w:rFonts w:ascii="Arial" w:hAnsi="Arial"/>
      <w:color w:val="A5A5A5"/>
      <w:sz w:val="20"/>
      <w:lang w:val="nl-BE"/>
    </w:rPr>
    <w:tblPr>
      <w:tblStyleRowBandSize w:val="1"/>
      <w:tblStyleColBandSize w:val="1"/>
    </w:tblPr>
    <w:tcPr>
      <w:shd w:val="clear" w:color="auto" w:fill="C85019"/>
    </w:tcPr>
    <w:tblStylePr w:type="firstRow">
      <w:rPr>
        <w:b/>
        <w:bCs/>
      </w:rPr>
      <w:tblPr/>
      <w:tcPr>
        <w:tcBorders>
          <w:top w:val="nil"/>
          <w:left w:val="nil"/>
          <w:bottom w:val="single" w:sz="18" w:space="0" w:color="A5A5A5"/>
          <w:right w:val="nil"/>
          <w:insideH w:val="nil"/>
          <w:insideV w:val="nil"/>
        </w:tcBorders>
        <w:shd w:val="clear" w:color="auto" w:fill="58595B"/>
      </w:tcPr>
    </w:tblStylePr>
    <w:tblStylePr w:type="lastRow">
      <w:tblPr/>
      <w:tcPr>
        <w:tcBorders>
          <w:top w:val="single" w:sz="18" w:space="0" w:color="A5A5A5"/>
          <w:left w:val="nil"/>
          <w:bottom w:val="nil"/>
          <w:right w:val="nil"/>
          <w:insideH w:val="nil"/>
          <w:insideV w:val="nil"/>
        </w:tcBorders>
        <w:shd w:val="clear" w:color="auto" w:fill="63270C"/>
      </w:tcPr>
    </w:tblStylePr>
    <w:tblStylePr w:type="firstCol">
      <w:tblPr/>
      <w:tcPr>
        <w:tcBorders>
          <w:top w:val="nil"/>
          <w:left w:val="nil"/>
          <w:bottom w:val="nil"/>
          <w:right w:val="single" w:sz="18" w:space="0" w:color="A5A5A5"/>
          <w:insideH w:val="nil"/>
          <w:insideV w:val="nil"/>
        </w:tcBorders>
        <w:shd w:val="clear" w:color="auto" w:fill="953B12"/>
      </w:tcPr>
    </w:tblStylePr>
    <w:tblStylePr w:type="lastCol">
      <w:tblPr/>
      <w:tcPr>
        <w:tcBorders>
          <w:top w:val="nil"/>
          <w:left w:val="single" w:sz="18" w:space="0" w:color="A5A5A5"/>
          <w:bottom w:val="nil"/>
          <w:right w:val="nil"/>
          <w:insideH w:val="nil"/>
          <w:insideV w:val="nil"/>
        </w:tcBorders>
        <w:shd w:val="clear" w:color="auto" w:fill="953B12"/>
      </w:tcPr>
    </w:tblStylePr>
    <w:tblStylePr w:type="band1Vert">
      <w:tblPr/>
      <w:tcPr>
        <w:tcBorders>
          <w:top w:val="nil"/>
          <w:left w:val="nil"/>
          <w:bottom w:val="nil"/>
          <w:right w:val="nil"/>
          <w:insideH w:val="nil"/>
          <w:insideV w:val="nil"/>
        </w:tcBorders>
        <w:shd w:val="clear" w:color="auto" w:fill="953B12"/>
      </w:tcPr>
    </w:tblStylePr>
    <w:tblStylePr w:type="band1Horz">
      <w:tblPr/>
      <w:tcPr>
        <w:tcBorders>
          <w:top w:val="nil"/>
          <w:left w:val="nil"/>
          <w:bottom w:val="nil"/>
          <w:right w:val="nil"/>
          <w:insideH w:val="nil"/>
          <w:insideV w:val="nil"/>
        </w:tcBorders>
        <w:shd w:val="clear" w:color="auto" w:fill="953B12"/>
      </w:tcPr>
    </w:tblStylePr>
  </w:style>
  <w:style w:type="paragraph" w:styleId="Date">
    <w:name w:val="Date"/>
    <w:basedOn w:val="Normal"/>
    <w:next w:val="Normal"/>
    <w:link w:val="DateChar"/>
    <w:uiPriority w:val="99"/>
    <w:semiHidden/>
    <w:unhideWhenUsed/>
    <w:rsid w:val="00F90100"/>
    <w:pPr>
      <w:spacing w:before="0" w:after="0" w:line="276" w:lineRule="auto"/>
      <w:jc w:val="both"/>
    </w:pPr>
    <w:rPr>
      <w:rFonts w:ascii="Arial" w:hAnsi="Arial"/>
      <w:color w:val="58595B"/>
      <w:sz w:val="20"/>
      <w:lang w:val="nl-BE"/>
    </w:rPr>
  </w:style>
  <w:style w:type="character" w:customStyle="1" w:styleId="DateChar">
    <w:name w:val="Date Char"/>
    <w:basedOn w:val="DefaultParagraphFont"/>
    <w:link w:val="Date"/>
    <w:uiPriority w:val="99"/>
    <w:semiHidden/>
    <w:rsid w:val="00F90100"/>
    <w:rPr>
      <w:rFonts w:ascii="Arial" w:hAnsi="Arial"/>
      <w:color w:val="58595B"/>
      <w:sz w:val="20"/>
      <w:lang w:val="nl-BE"/>
    </w:rPr>
  </w:style>
  <w:style w:type="paragraph" w:styleId="DocumentMap">
    <w:name w:val="Document Map"/>
    <w:basedOn w:val="Normal"/>
    <w:link w:val="DocumentMapChar"/>
    <w:uiPriority w:val="99"/>
    <w:semiHidden/>
    <w:unhideWhenUsed/>
    <w:rsid w:val="00F90100"/>
    <w:pPr>
      <w:spacing w:before="0" w:after="0"/>
      <w:jc w:val="both"/>
    </w:pPr>
    <w:rPr>
      <w:rFonts w:ascii="Tahoma" w:hAnsi="Tahoma" w:cs="Tahoma"/>
      <w:color w:val="58595B"/>
      <w:sz w:val="16"/>
      <w:szCs w:val="16"/>
      <w:lang w:val="nl-BE"/>
    </w:rPr>
  </w:style>
  <w:style w:type="character" w:customStyle="1" w:styleId="DocumentMapChar">
    <w:name w:val="Document Map Char"/>
    <w:basedOn w:val="DefaultParagraphFont"/>
    <w:link w:val="DocumentMap"/>
    <w:uiPriority w:val="99"/>
    <w:semiHidden/>
    <w:rsid w:val="00F90100"/>
    <w:rPr>
      <w:rFonts w:ascii="Tahoma" w:hAnsi="Tahoma" w:cs="Tahoma"/>
      <w:color w:val="58595B"/>
      <w:sz w:val="16"/>
      <w:szCs w:val="16"/>
      <w:lang w:val="nl-BE"/>
    </w:rPr>
  </w:style>
  <w:style w:type="paragraph" w:styleId="E-mailSignature">
    <w:name w:val="E-mail Signature"/>
    <w:basedOn w:val="Normal"/>
    <w:link w:val="E-mailSignatureChar"/>
    <w:uiPriority w:val="99"/>
    <w:semiHidden/>
    <w:unhideWhenUsed/>
    <w:rsid w:val="00F90100"/>
    <w:pPr>
      <w:spacing w:before="0" w:after="0"/>
      <w:jc w:val="both"/>
    </w:pPr>
    <w:rPr>
      <w:rFonts w:ascii="Arial" w:hAnsi="Arial"/>
      <w:color w:val="58595B"/>
      <w:sz w:val="20"/>
      <w:lang w:val="nl-BE"/>
    </w:rPr>
  </w:style>
  <w:style w:type="character" w:customStyle="1" w:styleId="E-mailSignatureChar">
    <w:name w:val="E-mail Signature Char"/>
    <w:basedOn w:val="DefaultParagraphFont"/>
    <w:link w:val="E-mailSignature"/>
    <w:uiPriority w:val="99"/>
    <w:semiHidden/>
    <w:rsid w:val="00F90100"/>
    <w:rPr>
      <w:rFonts w:ascii="Arial" w:hAnsi="Arial"/>
      <w:color w:val="58595B"/>
      <w:sz w:val="20"/>
      <w:lang w:val="nl-BE"/>
    </w:rPr>
  </w:style>
  <w:style w:type="paragraph" w:customStyle="1" w:styleId="EnvelopeAddress1">
    <w:name w:val="Envelope Address1"/>
    <w:basedOn w:val="Normal"/>
    <w:next w:val="EnvelopeAddress"/>
    <w:uiPriority w:val="99"/>
    <w:semiHidden/>
    <w:unhideWhenUsed/>
    <w:rsid w:val="00F90100"/>
    <w:pPr>
      <w:framePr w:w="7920" w:h="1980" w:hRule="exact" w:hSpace="180" w:wrap="auto" w:hAnchor="page" w:xAlign="center" w:yAlign="bottom"/>
      <w:spacing w:before="0" w:after="0"/>
      <w:ind w:left="2880"/>
      <w:jc w:val="both"/>
    </w:pPr>
    <w:rPr>
      <w:rFonts w:ascii="Arial" w:eastAsia="Times New Roman" w:hAnsi="Arial" w:cs="Times New Roman"/>
      <w:color w:val="58595B"/>
      <w:szCs w:val="24"/>
      <w:lang w:val="nl-BE"/>
    </w:rPr>
  </w:style>
  <w:style w:type="paragraph" w:customStyle="1" w:styleId="EnvelopeReturn1">
    <w:name w:val="Envelope Return1"/>
    <w:basedOn w:val="Normal"/>
    <w:next w:val="EnvelopeReturn"/>
    <w:uiPriority w:val="99"/>
    <w:semiHidden/>
    <w:unhideWhenUsed/>
    <w:rsid w:val="00F90100"/>
    <w:pPr>
      <w:spacing w:before="0" w:after="0"/>
      <w:jc w:val="both"/>
    </w:pPr>
    <w:rPr>
      <w:rFonts w:ascii="Arial" w:eastAsia="Times New Roman" w:hAnsi="Arial" w:cs="Times New Roman"/>
      <w:color w:val="58595B"/>
      <w:sz w:val="20"/>
      <w:szCs w:val="20"/>
      <w:lang w:val="nl-BE"/>
    </w:rPr>
  </w:style>
  <w:style w:type="character" w:customStyle="1" w:styleId="Heading6Char">
    <w:name w:val="Heading 6 Char"/>
    <w:basedOn w:val="DefaultParagraphFont"/>
    <w:link w:val="Heading6"/>
    <w:uiPriority w:val="9"/>
    <w:semiHidden/>
    <w:rsid w:val="00F90100"/>
    <w:rPr>
      <w:rFonts w:ascii="Arial" w:eastAsia="Times New Roman" w:hAnsi="Arial" w:cs="Times New Roman"/>
      <w:i/>
      <w:iCs/>
      <w:color w:val="1C541A"/>
      <w:lang w:val="nl-BE"/>
    </w:rPr>
  </w:style>
  <w:style w:type="character" w:customStyle="1" w:styleId="Heading7Char">
    <w:name w:val="Heading 7 Char"/>
    <w:basedOn w:val="DefaultParagraphFont"/>
    <w:link w:val="Heading7"/>
    <w:uiPriority w:val="9"/>
    <w:semiHidden/>
    <w:rsid w:val="00F90100"/>
    <w:rPr>
      <w:rFonts w:ascii="Arial" w:eastAsia="Times New Roman" w:hAnsi="Arial" w:cs="Times New Roman"/>
      <w:i/>
      <w:iCs/>
      <w:color w:val="808285"/>
      <w:lang w:val="nl-BE"/>
    </w:rPr>
  </w:style>
  <w:style w:type="character" w:customStyle="1" w:styleId="Heading8Char">
    <w:name w:val="Heading 8 Char"/>
    <w:basedOn w:val="DefaultParagraphFont"/>
    <w:link w:val="Heading8"/>
    <w:uiPriority w:val="9"/>
    <w:semiHidden/>
    <w:rsid w:val="00F90100"/>
    <w:rPr>
      <w:rFonts w:ascii="Arial" w:eastAsia="Times New Roman" w:hAnsi="Arial" w:cs="Times New Roman"/>
      <w:color w:val="808285"/>
      <w:szCs w:val="20"/>
      <w:lang w:val="nl-BE"/>
    </w:rPr>
  </w:style>
  <w:style w:type="character" w:customStyle="1" w:styleId="Heading9Char">
    <w:name w:val="Heading 9 Char"/>
    <w:basedOn w:val="DefaultParagraphFont"/>
    <w:link w:val="Heading9"/>
    <w:uiPriority w:val="9"/>
    <w:semiHidden/>
    <w:rsid w:val="00F90100"/>
    <w:rPr>
      <w:rFonts w:ascii="Arial" w:eastAsia="Times New Roman" w:hAnsi="Arial" w:cs="Times New Roman"/>
      <w:i/>
      <w:iCs/>
      <w:color w:val="808285"/>
      <w:szCs w:val="20"/>
      <w:lang w:val="nl-BE"/>
    </w:rPr>
  </w:style>
  <w:style w:type="paragraph" w:styleId="HTMLAddress">
    <w:name w:val="HTML Address"/>
    <w:basedOn w:val="Normal"/>
    <w:link w:val="HTMLAddressChar"/>
    <w:uiPriority w:val="99"/>
    <w:semiHidden/>
    <w:unhideWhenUsed/>
    <w:rsid w:val="00F90100"/>
    <w:pPr>
      <w:spacing w:before="0" w:after="0"/>
      <w:jc w:val="both"/>
    </w:pPr>
    <w:rPr>
      <w:rFonts w:ascii="Arial" w:hAnsi="Arial"/>
      <w:i/>
      <w:iCs/>
      <w:color w:val="58595B"/>
      <w:sz w:val="20"/>
      <w:lang w:val="nl-BE"/>
    </w:rPr>
  </w:style>
  <w:style w:type="character" w:customStyle="1" w:styleId="HTMLAddressChar">
    <w:name w:val="HTML Address Char"/>
    <w:basedOn w:val="DefaultParagraphFont"/>
    <w:link w:val="HTMLAddress"/>
    <w:uiPriority w:val="99"/>
    <w:semiHidden/>
    <w:rsid w:val="00F90100"/>
    <w:rPr>
      <w:rFonts w:ascii="Arial" w:hAnsi="Arial"/>
      <w:i/>
      <w:iCs/>
      <w:color w:val="58595B"/>
      <w:sz w:val="20"/>
      <w:lang w:val="nl-BE"/>
    </w:rPr>
  </w:style>
  <w:style w:type="paragraph" w:styleId="HTMLPreformatted">
    <w:name w:val="HTML Preformatted"/>
    <w:basedOn w:val="Normal"/>
    <w:link w:val="HTMLPreformattedChar"/>
    <w:uiPriority w:val="99"/>
    <w:semiHidden/>
    <w:unhideWhenUsed/>
    <w:rsid w:val="00F90100"/>
    <w:pPr>
      <w:spacing w:before="0" w:after="0"/>
      <w:jc w:val="both"/>
    </w:pPr>
    <w:rPr>
      <w:rFonts w:ascii="Consolas" w:hAnsi="Consolas"/>
      <w:color w:val="58595B"/>
      <w:sz w:val="20"/>
      <w:szCs w:val="20"/>
      <w:lang w:val="nl-BE"/>
    </w:rPr>
  </w:style>
  <w:style w:type="character" w:customStyle="1" w:styleId="HTMLPreformattedChar">
    <w:name w:val="HTML Preformatted Char"/>
    <w:basedOn w:val="DefaultParagraphFont"/>
    <w:link w:val="HTMLPreformatted"/>
    <w:uiPriority w:val="99"/>
    <w:semiHidden/>
    <w:rsid w:val="00F90100"/>
    <w:rPr>
      <w:rFonts w:ascii="Consolas" w:hAnsi="Consolas"/>
      <w:color w:val="58595B"/>
      <w:sz w:val="20"/>
      <w:szCs w:val="20"/>
      <w:lang w:val="nl-BE"/>
    </w:rPr>
  </w:style>
  <w:style w:type="paragraph" w:styleId="Index1">
    <w:name w:val="index 1"/>
    <w:basedOn w:val="Normal"/>
    <w:next w:val="Normal"/>
    <w:autoRedefine/>
    <w:uiPriority w:val="99"/>
    <w:semiHidden/>
    <w:unhideWhenUsed/>
    <w:rsid w:val="00F90100"/>
    <w:pPr>
      <w:spacing w:before="0" w:after="0"/>
      <w:ind w:left="220" w:hanging="220"/>
      <w:jc w:val="both"/>
    </w:pPr>
    <w:rPr>
      <w:rFonts w:ascii="Arial" w:hAnsi="Arial"/>
      <w:color w:val="58595B"/>
      <w:sz w:val="20"/>
      <w:lang w:val="nl-BE"/>
    </w:rPr>
  </w:style>
  <w:style w:type="paragraph" w:styleId="Index2">
    <w:name w:val="index 2"/>
    <w:basedOn w:val="Normal"/>
    <w:next w:val="Normal"/>
    <w:autoRedefine/>
    <w:uiPriority w:val="99"/>
    <w:semiHidden/>
    <w:unhideWhenUsed/>
    <w:rsid w:val="00F90100"/>
    <w:pPr>
      <w:spacing w:before="0" w:after="0"/>
      <w:ind w:left="440" w:hanging="220"/>
      <w:jc w:val="both"/>
    </w:pPr>
    <w:rPr>
      <w:rFonts w:ascii="Arial" w:hAnsi="Arial"/>
      <w:color w:val="58595B"/>
      <w:sz w:val="20"/>
      <w:lang w:val="nl-BE"/>
    </w:rPr>
  </w:style>
  <w:style w:type="paragraph" w:styleId="Index3">
    <w:name w:val="index 3"/>
    <w:basedOn w:val="Normal"/>
    <w:next w:val="Normal"/>
    <w:autoRedefine/>
    <w:uiPriority w:val="99"/>
    <w:semiHidden/>
    <w:unhideWhenUsed/>
    <w:rsid w:val="00F90100"/>
    <w:pPr>
      <w:spacing w:before="0" w:after="0"/>
      <w:ind w:left="660" w:hanging="220"/>
      <w:jc w:val="both"/>
    </w:pPr>
    <w:rPr>
      <w:rFonts w:ascii="Arial" w:hAnsi="Arial"/>
      <w:color w:val="58595B"/>
      <w:sz w:val="20"/>
      <w:lang w:val="nl-BE"/>
    </w:rPr>
  </w:style>
  <w:style w:type="paragraph" w:styleId="Index4">
    <w:name w:val="index 4"/>
    <w:basedOn w:val="Normal"/>
    <w:next w:val="Normal"/>
    <w:autoRedefine/>
    <w:uiPriority w:val="99"/>
    <w:semiHidden/>
    <w:unhideWhenUsed/>
    <w:rsid w:val="00F90100"/>
    <w:pPr>
      <w:spacing w:before="0" w:after="0"/>
      <w:ind w:left="880" w:hanging="220"/>
      <w:jc w:val="both"/>
    </w:pPr>
    <w:rPr>
      <w:rFonts w:ascii="Arial" w:hAnsi="Arial"/>
      <w:color w:val="58595B"/>
      <w:sz w:val="20"/>
      <w:lang w:val="nl-BE"/>
    </w:rPr>
  </w:style>
  <w:style w:type="paragraph" w:styleId="Index5">
    <w:name w:val="index 5"/>
    <w:basedOn w:val="Normal"/>
    <w:next w:val="Normal"/>
    <w:autoRedefine/>
    <w:uiPriority w:val="99"/>
    <w:semiHidden/>
    <w:unhideWhenUsed/>
    <w:rsid w:val="00F90100"/>
    <w:pPr>
      <w:spacing w:before="0" w:after="0"/>
      <w:ind w:left="1100" w:hanging="220"/>
      <w:jc w:val="both"/>
    </w:pPr>
    <w:rPr>
      <w:rFonts w:ascii="Arial" w:hAnsi="Arial"/>
      <w:color w:val="58595B"/>
      <w:sz w:val="20"/>
      <w:lang w:val="nl-BE"/>
    </w:rPr>
  </w:style>
  <w:style w:type="paragraph" w:styleId="Index6">
    <w:name w:val="index 6"/>
    <w:basedOn w:val="Normal"/>
    <w:next w:val="Normal"/>
    <w:autoRedefine/>
    <w:uiPriority w:val="99"/>
    <w:semiHidden/>
    <w:unhideWhenUsed/>
    <w:rsid w:val="00F90100"/>
    <w:pPr>
      <w:spacing w:before="0" w:after="0"/>
      <w:ind w:left="1320" w:hanging="220"/>
      <w:jc w:val="both"/>
    </w:pPr>
    <w:rPr>
      <w:rFonts w:ascii="Arial" w:hAnsi="Arial"/>
      <w:color w:val="58595B"/>
      <w:sz w:val="20"/>
      <w:lang w:val="nl-BE"/>
    </w:rPr>
  </w:style>
  <w:style w:type="paragraph" w:styleId="Index7">
    <w:name w:val="index 7"/>
    <w:basedOn w:val="Normal"/>
    <w:next w:val="Normal"/>
    <w:autoRedefine/>
    <w:uiPriority w:val="99"/>
    <w:semiHidden/>
    <w:unhideWhenUsed/>
    <w:rsid w:val="00F90100"/>
    <w:pPr>
      <w:spacing w:before="0" w:after="0"/>
      <w:ind w:left="1540" w:hanging="220"/>
      <w:jc w:val="both"/>
    </w:pPr>
    <w:rPr>
      <w:rFonts w:ascii="Arial" w:hAnsi="Arial"/>
      <w:color w:val="58595B"/>
      <w:sz w:val="20"/>
      <w:lang w:val="nl-BE"/>
    </w:rPr>
  </w:style>
  <w:style w:type="paragraph" w:styleId="Index8">
    <w:name w:val="index 8"/>
    <w:basedOn w:val="Normal"/>
    <w:next w:val="Normal"/>
    <w:autoRedefine/>
    <w:uiPriority w:val="99"/>
    <w:semiHidden/>
    <w:unhideWhenUsed/>
    <w:rsid w:val="00F90100"/>
    <w:pPr>
      <w:spacing w:before="0" w:after="0"/>
      <w:ind w:left="1760" w:hanging="220"/>
      <w:jc w:val="both"/>
    </w:pPr>
    <w:rPr>
      <w:rFonts w:ascii="Arial" w:hAnsi="Arial"/>
      <w:color w:val="58595B"/>
      <w:sz w:val="20"/>
      <w:lang w:val="nl-BE"/>
    </w:rPr>
  </w:style>
  <w:style w:type="paragraph" w:styleId="Index9">
    <w:name w:val="index 9"/>
    <w:basedOn w:val="Normal"/>
    <w:next w:val="Normal"/>
    <w:autoRedefine/>
    <w:uiPriority w:val="99"/>
    <w:semiHidden/>
    <w:unhideWhenUsed/>
    <w:rsid w:val="00F90100"/>
    <w:pPr>
      <w:spacing w:before="0" w:after="0"/>
      <w:ind w:left="1980" w:hanging="220"/>
      <w:jc w:val="both"/>
    </w:pPr>
    <w:rPr>
      <w:rFonts w:ascii="Arial" w:hAnsi="Arial"/>
      <w:color w:val="58595B"/>
      <w:sz w:val="20"/>
      <w:lang w:val="nl-BE"/>
    </w:rPr>
  </w:style>
  <w:style w:type="paragraph" w:customStyle="1" w:styleId="IndexHeading1">
    <w:name w:val="Index Heading1"/>
    <w:basedOn w:val="Normal"/>
    <w:next w:val="Index1"/>
    <w:uiPriority w:val="99"/>
    <w:semiHidden/>
    <w:unhideWhenUsed/>
    <w:rsid w:val="00F90100"/>
    <w:pPr>
      <w:spacing w:before="0" w:after="0" w:line="276" w:lineRule="auto"/>
      <w:jc w:val="both"/>
    </w:pPr>
    <w:rPr>
      <w:rFonts w:ascii="Arial" w:eastAsia="Times New Roman" w:hAnsi="Arial" w:cs="Times New Roman"/>
      <w:b/>
      <w:bCs/>
      <w:color w:val="58595B"/>
      <w:sz w:val="20"/>
      <w:lang w:val="nl-BE"/>
    </w:rPr>
  </w:style>
  <w:style w:type="paragraph" w:customStyle="1" w:styleId="IntenseQuote1">
    <w:name w:val="Intense Quote1"/>
    <w:basedOn w:val="Normal"/>
    <w:next w:val="Normal"/>
    <w:uiPriority w:val="30"/>
    <w:qFormat/>
    <w:rsid w:val="00F90100"/>
    <w:pPr>
      <w:pBdr>
        <w:bottom w:val="single" w:sz="4" w:space="4" w:color="3AAA35"/>
      </w:pBdr>
      <w:spacing w:before="200" w:after="280" w:line="276" w:lineRule="auto"/>
      <w:ind w:left="936" w:right="936"/>
      <w:jc w:val="both"/>
    </w:pPr>
    <w:rPr>
      <w:rFonts w:ascii="Arial" w:hAnsi="Arial"/>
      <w:b/>
      <w:bCs/>
      <w:i/>
      <w:iCs/>
      <w:color w:val="3AAA35"/>
      <w:sz w:val="20"/>
      <w:lang w:val="nl-BE"/>
    </w:rPr>
  </w:style>
  <w:style w:type="character" w:customStyle="1" w:styleId="IntenseQuoteChar">
    <w:name w:val="Intense Quote Char"/>
    <w:basedOn w:val="DefaultParagraphFont"/>
    <w:link w:val="IntenseQuote"/>
    <w:uiPriority w:val="30"/>
    <w:rsid w:val="00F90100"/>
    <w:rPr>
      <w:b/>
      <w:bCs/>
      <w:i/>
      <w:iCs/>
      <w:color w:val="3AAA35"/>
      <w:lang w:val="nl-BE"/>
    </w:rPr>
  </w:style>
  <w:style w:type="table" w:customStyle="1" w:styleId="LightGrid1">
    <w:name w:val="Light Grid1"/>
    <w:basedOn w:val="TableNormal"/>
    <w:next w:val="LightGrid"/>
    <w:uiPriority w:val="62"/>
    <w:rsid w:val="00F90100"/>
    <w:pPr>
      <w:spacing w:after="0" w:line="240" w:lineRule="auto"/>
      <w:jc w:val="both"/>
    </w:pPr>
    <w:rPr>
      <w:rFonts w:ascii="Arial" w:hAnsi="Arial"/>
      <w:color w:val="58595B"/>
      <w:sz w:val="20"/>
      <w:lang w:val="nl-BE"/>
    </w:rPr>
    <w:tblPr>
      <w:tblStyleRowBandSize w:val="1"/>
      <w:tblStyleColBandSize w:val="1"/>
      <w:tblBorders>
        <w:top w:val="single" w:sz="8" w:space="0" w:color="58595B"/>
        <w:left w:val="single" w:sz="8" w:space="0" w:color="58595B"/>
        <w:bottom w:val="single" w:sz="8" w:space="0" w:color="58595B"/>
        <w:right w:val="single" w:sz="8" w:space="0" w:color="58595B"/>
        <w:insideH w:val="single" w:sz="8" w:space="0" w:color="58595B"/>
        <w:insideV w:val="single" w:sz="8" w:space="0" w:color="58595B"/>
      </w:tblBorders>
    </w:tblPr>
    <w:tblStylePr w:type="firstRow">
      <w:pPr>
        <w:spacing w:before="0" w:after="0" w:line="240" w:lineRule="auto"/>
      </w:pPr>
      <w:rPr>
        <w:rFonts w:ascii="Arial" w:eastAsia="Times New Roman" w:hAnsi="Arial" w:cs="Times New Roman"/>
        <w:b/>
        <w:bCs/>
      </w:rPr>
      <w:tblPr/>
      <w:tcPr>
        <w:tcBorders>
          <w:top w:val="single" w:sz="8" w:space="0" w:color="58595B"/>
          <w:left w:val="single" w:sz="8" w:space="0" w:color="58595B"/>
          <w:bottom w:val="single" w:sz="18" w:space="0" w:color="58595B"/>
          <w:right w:val="single" w:sz="8" w:space="0" w:color="58595B"/>
          <w:insideH w:val="nil"/>
          <w:insideV w:val="single" w:sz="8" w:space="0" w:color="58595B"/>
        </w:tcBorders>
      </w:tcPr>
    </w:tblStylePr>
    <w:tblStylePr w:type="lastRow">
      <w:pPr>
        <w:spacing w:before="0" w:after="0" w:line="240" w:lineRule="auto"/>
      </w:pPr>
      <w:rPr>
        <w:rFonts w:ascii="Arial" w:eastAsia="Times New Roman" w:hAnsi="Arial" w:cs="Times New Roman"/>
        <w:b/>
        <w:bCs/>
      </w:rPr>
      <w:tblPr/>
      <w:tcPr>
        <w:tcBorders>
          <w:top w:val="double" w:sz="6" w:space="0" w:color="58595B"/>
          <w:left w:val="single" w:sz="8" w:space="0" w:color="58595B"/>
          <w:bottom w:val="single" w:sz="8" w:space="0" w:color="58595B"/>
          <w:right w:val="single" w:sz="8" w:space="0" w:color="58595B"/>
          <w:insideH w:val="nil"/>
          <w:insideV w:val="single" w:sz="8" w:space="0" w:color="58595B"/>
        </w:tcBorders>
      </w:tcPr>
    </w:tblStylePr>
    <w:tblStylePr w:type="firstCol">
      <w:rPr>
        <w:rFonts w:ascii="Arial" w:eastAsia="Times New Roman" w:hAnsi="Arial" w:cs="Times New Roman"/>
        <w:b/>
        <w:bCs/>
      </w:rPr>
    </w:tblStylePr>
    <w:tblStylePr w:type="lastCol">
      <w:rPr>
        <w:rFonts w:ascii="Arial" w:eastAsia="Times New Roman" w:hAnsi="Arial" w:cs="Times New Roman"/>
        <w:b/>
        <w:bCs/>
      </w:rPr>
      <w:tblPr/>
      <w:tcPr>
        <w:tcBorders>
          <w:top w:val="single" w:sz="8" w:space="0" w:color="58595B"/>
          <w:left w:val="single" w:sz="8" w:space="0" w:color="58595B"/>
          <w:bottom w:val="single" w:sz="8" w:space="0" w:color="58595B"/>
          <w:right w:val="single" w:sz="8" w:space="0" w:color="58595B"/>
        </w:tcBorders>
      </w:tcPr>
    </w:tblStylePr>
    <w:tblStylePr w:type="band1Vert">
      <w:tblPr/>
      <w:tcPr>
        <w:tcBorders>
          <w:top w:val="single" w:sz="8" w:space="0" w:color="58595B"/>
          <w:left w:val="single" w:sz="8" w:space="0" w:color="58595B"/>
          <w:bottom w:val="single" w:sz="8" w:space="0" w:color="58595B"/>
          <w:right w:val="single" w:sz="8" w:space="0" w:color="58595B"/>
        </w:tcBorders>
        <w:shd w:val="clear" w:color="auto" w:fill="D5D5D6"/>
      </w:tcPr>
    </w:tblStylePr>
    <w:tblStylePr w:type="band1Horz">
      <w:tblPr/>
      <w:tcPr>
        <w:tcBorders>
          <w:top w:val="single" w:sz="8" w:space="0" w:color="58595B"/>
          <w:left w:val="single" w:sz="8" w:space="0" w:color="58595B"/>
          <w:bottom w:val="single" w:sz="8" w:space="0" w:color="58595B"/>
          <w:right w:val="single" w:sz="8" w:space="0" w:color="58595B"/>
          <w:insideV w:val="single" w:sz="8" w:space="0" w:color="58595B"/>
        </w:tcBorders>
        <w:shd w:val="clear" w:color="auto" w:fill="D5D5D6"/>
      </w:tcPr>
    </w:tblStylePr>
    <w:tblStylePr w:type="band2Horz">
      <w:tblPr/>
      <w:tcPr>
        <w:tcBorders>
          <w:top w:val="single" w:sz="8" w:space="0" w:color="58595B"/>
          <w:left w:val="single" w:sz="8" w:space="0" w:color="58595B"/>
          <w:bottom w:val="single" w:sz="8" w:space="0" w:color="58595B"/>
          <w:right w:val="single" w:sz="8" w:space="0" w:color="58595B"/>
          <w:insideV w:val="single" w:sz="8" w:space="0" w:color="58595B"/>
        </w:tcBorders>
      </w:tcPr>
    </w:tblStylePr>
  </w:style>
  <w:style w:type="table" w:customStyle="1" w:styleId="LightGrid-Accent11">
    <w:name w:val="Light Grid - Accent 11"/>
    <w:basedOn w:val="TableNormal"/>
    <w:next w:val="LightGrid-Accent1"/>
    <w:uiPriority w:val="62"/>
    <w:rsid w:val="00F90100"/>
    <w:pPr>
      <w:spacing w:after="0" w:line="240" w:lineRule="auto"/>
      <w:jc w:val="both"/>
    </w:pPr>
    <w:rPr>
      <w:rFonts w:ascii="Arial" w:hAnsi="Arial"/>
      <w:color w:val="58595B"/>
      <w:sz w:val="20"/>
      <w:lang w:val="nl-BE"/>
    </w:rPr>
    <w:tblPr>
      <w:tblStyleRowBandSize w:val="1"/>
      <w:tblStyleColBandSize w:val="1"/>
      <w:tblBorders>
        <w:top w:val="single" w:sz="8" w:space="0" w:color="3AAA35"/>
        <w:left w:val="single" w:sz="8" w:space="0" w:color="3AAA35"/>
        <w:bottom w:val="single" w:sz="8" w:space="0" w:color="3AAA35"/>
        <w:right w:val="single" w:sz="8" w:space="0" w:color="3AAA35"/>
        <w:insideH w:val="single" w:sz="8" w:space="0" w:color="3AAA35"/>
        <w:insideV w:val="single" w:sz="8" w:space="0" w:color="3AAA35"/>
      </w:tblBorders>
    </w:tblPr>
    <w:tblStylePr w:type="firstRow">
      <w:pPr>
        <w:spacing w:before="0" w:after="0" w:line="240" w:lineRule="auto"/>
      </w:pPr>
      <w:rPr>
        <w:rFonts w:ascii="Arial" w:eastAsia="Times New Roman" w:hAnsi="Arial" w:cs="Times New Roman"/>
        <w:b/>
        <w:bCs/>
      </w:rPr>
      <w:tblPr/>
      <w:tcPr>
        <w:tcBorders>
          <w:top w:val="single" w:sz="8" w:space="0" w:color="3AAA35"/>
          <w:left w:val="single" w:sz="8" w:space="0" w:color="3AAA35"/>
          <w:bottom w:val="single" w:sz="18" w:space="0" w:color="3AAA35"/>
          <w:right w:val="single" w:sz="8" w:space="0" w:color="3AAA35"/>
          <w:insideH w:val="nil"/>
          <w:insideV w:val="single" w:sz="8" w:space="0" w:color="3AAA35"/>
        </w:tcBorders>
      </w:tcPr>
    </w:tblStylePr>
    <w:tblStylePr w:type="lastRow">
      <w:pPr>
        <w:spacing w:before="0" w:after="0" w:line="240" w:lineRule="auto"/>
      </w:pPr>
      <w:rPr>
        <w:rFonts w:ascii="Arial" w:eastAsia="Times New Roman" w:hAnsi="Arial" w:cs="Times New Roman"/>
        <w:b/>
        <w:bCs/>
      </w:rPr>
      <w:tblPr/>
      <w:tcPr>
        <w:tcBorders>
          <w:top w:val="double" w:sz="6" w:space="0" w:color="3AAA35"/>
          <w:left w:val="single" w:sz="8" w:space="0" w:color="3AAA35"/>
          <w:bottom w:val="single" w:sz="8" w:space="0" w:color="3AAA35"/>
          <w:right w:val="single" w:sz="8" w:space="0" w:color="3AAA35"/>
          <w:insideH w:val="nil"/>
          <w:insideV w:val="single" w:sz="8" w:space="0" w:color="3AAA35"/>
        </w:tcBorders>
      </w:tcPr>
    </w:tblStylePr>
    <w:tblStylePr w:type="firstCol">
      <w:rPr>
        <w:rFonts w:ascii="Arial" w:eastAsia="Times New Roman" w:hAnsi="Arial" w:cs="Times New Roman"/>
        <w:b/>
        <w:bCs/>
      </w:rPr>
    </w:tblStylePr>
    <w:tblStylePr w:type="lastCol">
      <w:rPr>
        <w:rFonts w:ascii="Arial" w:eastAsia="Times New Roman" w:hAnsi="Arial" w:cs="Times New Roman"/>
        <w:b/>
        <w:bCs/>
      </w:rPr>
      <w:tblPr/>
      <w:tcPr>
        <w:tcBorders>
          <w:top w:val="single" w:sz="8" w:space="0" w:color="3AAA35"/>
          <w:left w:val="single" w:sz="8" w:space="0" w:color="3AAA35"/>
          <w:bottom w:val="single" w:sz="8" w:space="0" w:color="3AAA35"/>
          <w:right w:val="single" w:sz="8" w:space="0" w:color="3AAA35"/>
        </w:tcBorders>
      </w:tcPr>
    </w:tblStylePr>
    <w:tblStylePr w:type="band1Vert">
      <w:tblPr/>
      <w:tcPr>
        <w:tcBorders>
          <w:top w:val="single" w:sz="8" w:space="0" w:color="3AAA35"/>
          <w:left w:val="single" w:sz="8" w:space="0" w:color="3AAA35"/>
          <w:bottom w:val="single" w:sz="8" w:space="0" w:color="3AAA35"/>
          <w:right w:val="single" w:sz="8" w:space="0" w:color="3AAA35"/>
        </w:tcBorders>
        <w:shd w:val="clear" w:color="auto" w:fill="CAEEC8"/>
      </w:tcPr>
    </w:tblStylePr>
    <w:tblStylePr w:type="band1Horz">
      <w:tblPr/>
      <w:tcPr>
        <w:tcBorders>
          <w:top w:val="single" w:sz="8" w:space="0" w:color="3AAA35"/>
          <w:left w:val="single" w:sz="8" w:space="0" w:color="3AAA35"/>
          <w:bottom w:val="single" w:sz="8" w:space="0" w:color="3AAA35"/>
          <w:right w:val="single" w:sz="8" w:space="0" w:color="3AAA35"/>
          <w:insideV w:val="single" w:sz="8" w:space="0" w:color="3AAA35"/>
        </w:tcBorders>
        <w:shd w:val="clear" w:color="auto" w:fill="CAEEC8"/>
      </w:tcPr>
    </w:tblStylePr>
    <w:tblStylePr w:type="band2Horz">
      <w:tblPr/>
      <w:tcPr>
        <w:tcBorders>
          <w:top w:val="single" w:sz="8" w:space="0" w:color="3AAA35"/>
          <w:left w:val="single" w:sz="8" w:space="0" w:color="3AAA35"/>
          <w:bottom w:val="single" w:sz="8" w:space="0" w:color="3AAA35"/>
          <w:right w:val="single" w:sz="8" w:space="0" w:color="3AAA35"/>
          <w:insideV w:val="single" w:sz="8" w:space="0" w:color="3AAA35"/>
        </w:tcBorders>
      </w:tcPr>
    </w:tblStylePr>
  </w:style>
  <w:style w:type="table" w:customStyle="1" w:styleId="LightGrid-Accent21">
    <w:name w:val="Light Grid - Accent 21"/>
    <w:basedOn w:val="TableNormal"/>
    <w:next w:val="LightGrid-Accent2"/>
    <w:uiPriority w:val="62"/>
    <w:rsid w:val="00F90100"/>
    <w:pPr>
      <w:spacing w:after="0" w:line="240" w:lineRule="auto"/>
      <w:jc w:val="both"/>
    </w:pPr>
    <w:rPr>
      <w:rFonts w:ascii="Arial" w:hAnsi="Arial"/>
      <w:color w:val="58595B"/>
      <w:sz w:val="20"/>
      <w:lang w:val="nl-BE"/>
    </w:rPr>
    <w:tblPr>
      <w:tblStyleRowBandSize w:val="1"/>
      <w:tblStyleColBandSize w:val="1"/>
      <w:tblBorders>
        <w:top w:val="single" w:sz="8" w:space="0" w:color="006633"/>
        <w:left w:val="single" w:sz="8" w:space="0" w:color="006633"/>
        <w:bottom w:val="single" w:sz="8" w:space="0" w:color="006633"/>
        <w:right w:val="single" w:sz="8" w:space="0" w:color="006633"/>
        <w:insideH w:val="single" w:sz="8" w:space="0" w:color="006633"/>
        <w:insideV w:val="single" w:sz="8" w:space="0" w:color="006633"/>
      </w:tblBorders>
    </w:tblPr>
    <w:tblStylePr w:type="firstRow">
      <w:pPr>
        <w:spacing w:before="0" w:after="0" w:line="240" w:lineRule="auto"/>
      </w:pPr>
      <w:rPr>
        <w:rFonts w:ascii="Arial" w:eastAsia="Times New Roman" w:hAnsi="Arial" w:cs="Times New Roman"/>
        <w:b/>
        <w:bCs/>
      </w:rPr>
      <w:tblPr/>
      <w:tcPr>
        <w:tcBorders>
          <w:top w:val="single" w:sz="8" w:space="0" w:color="006633"/>
          <w:left w:val="single" w:sz="8" w:space="0" w:color="006633"/>
          <w:bottom w:val="single" w:sz="18" w:space="0" w:color="006633"/>
          <w:right w:val="single" w:sz="8" w:space="0" w:color="006633"/>
          <w:insideH w:val="nil"/>
          <w:insideV w:val="single" w:sz="8" w:space="0" w:color="006633"/>
        </w:tcBorders>
      </w:tcPr>
    </w:tblStylePr>
    <w:tblStylePr w:type="lastRow">
      <w:pPr>
        <w:spacing w:before="0" w:after="0" w:line="240" w:lineRule="auto"/>
      </w:pPr>
      <w:rPr>
        <w:rFonts w:ascii="Arial" w:eastAsia="Times New Roman" w:hAnsi="Arial" w:cs="Times New Roman"/>
        <w:b/>
        <w:bCs/>
      </w:rPr>
      <w:tblPr/>
      <w:tcPr>
        <w:tcBorders>
          <w:top w:val="double" w:sz="6" w:space="0" w:color="006633"/>
          <w:left w:val="single" w:sz="8" w:space="0" w:color="006633"/>
          <w:bottom w:val="single" w:sz="8" w:space="0" w:color="006633"/>
          <w:right w:val="single" w:sz="8" w:space="0" w:color="006633"/>
          <w:insideH w:val="nil"/>
          <w:insideV w:val="single" w:sz="8" w:space="0" w:color="006633"/>
        </w:tcBorders>
      </w:tcPr>
    </w:tblStylePr>
    <w:tblStylePr w:type="firstCol">
      <w:rPr>
        <w:rFonts w:ascii="Arial" w:eastAsia="Times New Roman" w:hAnsi="Arial" w:cs="Times New Roman"/>
        <w:b/>
        <w:bCs/>
      </w:rPr>
    </w:tblStylePr>
    <w:tblStylePr w:type="lastCol">
      <w:rPr>
        <w:rFonts w:ascii="Arial" w:eastAsia="Times New Roman" w:hAnsi="Arial" w:cs="Times New Roman"/>
        <w:b/>
        <w:bCs/>
      </w:rPr>
      <w:tblPr/>
      <w:tcPr>
        <w:tcBorders>
          <w:top w:val="single" w:sz="8" w:space="0" w:color="006633"/>
          <w:left w:val="single" w:sz="8" w:space="0" w:color="006633"/>
          <w:bottom w:val="single" w:sz="8" w:space="0" w:color="006633"/>
          <w:right w:val="single" w:sz="8" w:space="0" w:color="006633"/>
        </w:tcBorders>
      </w:tcPr>
    </w:tblStylePr>
    <w:tblStylePr w:type="band1Vert">
      <w:tblPr/>
      <w:tcPr>
        <w:tcBorders>
          <w:top w:val="single" w:sz="8" w:space="0" w:color="006633"/>
          <w:left w:val="single" w:sz="8" w:space="0" w:color="006633"/>
          <w:bottom w:val="single" w:sz="8" w:space="0" w:color="006633"/>
          <w:right w:val="single" w:sz="8" w:space="0" w:color="006633"/>
        </w:tcBorders>
        <w:shd w:val="clear" w:color="auto" w:fill="9AFFCC"/>
      </w:tcPr>
    </w:tblStylePr>
    <w:tblStylePr w:type="band1Horz">
      <w:tblPr/>
      <w:tcPr>
        <w:tcBorders>
          <w:top w:val="single" w:sz="8" w:space="0" w:color="006633"/>
          <w:left w:val="single" w:sz="8" w:space="0" w:color="006633"/>
          <w:bottom w:val="single" w:sz="8" w:space="0" w:color="006633"/>
          <w:right w:val="single" w:sz="8" w:space="0" w:color="006633"/>
          <w:insideV w:val="single" w:sz="8" w:space="0" w:color="006633"/>
        </w:tcBorders>
        <w:shd w:val="clear" w:color="auto" w:fill="9AFFCC"/>
      </w:tcPr>
    </w:tblStylePr>
    <w:tblStylePr w:type="band2Horz">
      <w:tblPr/>
      <w:tcPr>
        <w:tcBorders>
          <w:top w:val="single" w:sz="8" w:space="0" w:color="006633"/>
          <w:left w:val="single" w:sz="8" w:space="0" w:color="006633"/>
          <w:bottom w:val="single" w:sz="8" w:space="0" w:color="006633"/>
          <w:right w:val="single" w:sz="8" w:space="0" w:color="006633"/>
          <w:insideV w:val="single" w:sz="8" w:space="0" w:color="006633"/>
        </w:tcBorders>
      </w:tcPr>
    </w:tblStylePr>
  </w:style>
  <w:style w:type="table" w:customStyle="1" w:styleId="LightGrid-Accent31">
    <w:name w:val="Light Grid - Accent 31"/>
    <w:basedOn w:val="TableNormal"/>
    <w:next w:val="LightGrid-Accent3"/>
    <w:uiPriority w:val="62"/>
    <w:rsid w:val="00F90100"/>
    <w:pPr>
      <w:spacing w:after="0" w:line="240" w:lineRule="auto"/>
      <w:jc w:val="both"/>
    </w:pPr>
    <w:rPr>
      <w:rFonts w:ascii="Arial" w:hAnsi="Arial"/>
      <w:color w:val="58595B"/>
      <w:sz w:val="20"/>
      <w:lang w:val="nl-BE"/>
    </w:rPr>
    <w:tblPr>
      <w:tblStyleRowBandSize w:val="1"/>
      <w:tblStyleColBandSize w:val="1"/>
      <w:tblBorders>
        <w:top w:val="single" w:sz="8" w:space="0" w:color="BCCF00"/>
        <w:left w:val="single" w:sz="8" w:space="0" w:color="BCCF00"/>
        <w:bottom w:val="single" w:sz="8" w:space="0" w:color="BCCF00"/>
        <w:right w:val="single" w:sz="8" w:space="0" w:color="BCCF00"/>
        <w:insideH w:val="single" w:sz="8" w:space="0" w:color="BCCF00"/>
        <w:insideV w:val="single" w:sz="8" w:space="0" w:color="BCCF00"/>
      </w:tblBorders>
    </w:tblPr>
    <w:tblStylePr w:type="firstRow">
      <w:pPr>
        <w:spacing w:before="0" w:after="0" w:line="240" w:lineRule="auto"/>
      </w:pPr>
      <w:rPr>
        <w:rFonts w:ascii="Arial" w:eastAsia="Times New Roman" w:hAnsi="Arial" w:cs="Times New Roman"/>
        <w:b/>
        <w:bCs/>
      </w:rPr>
      <w:tblPr/>
      <w:tcPr>
        <w:tcBorders>
          <w:top w:val="single" w:sz="8" w:space="0" w:color="BCCF00"/>
          <w:left w:val="single" w:sz="8" w:space="0" w:color="BCCF00"/>
          <w:bottom w:val="single" w:sz="18" w:space="0" w:color="BCCF00"/>
          <w:right w:val="single" w:sz="8" w:space="0" w:color="BCCF00"/>
          <w:insideH w:val="nil"/>
          <w:insideV w:val="single" w:sz="8" w:space="0" w:color="BCCF00"/>
        </w:tcBorders>
      </w:tcPr>
    </w:tblStylePr>
    <w:tblStylePr w:type="lastRow">
      <w:pPr>
        <w:spacing w:before="0" w:after="0" w:line="240" w:lineRule="auto"/>
      </w:pPr>
      <w:rPr>
        <w:rFonts w:ascii="Arial" w:eastAsia="Times New Roman" w:hAnsi="Arial" w:cs="Times New Roman"/>
        <w:b/>
        <w:bCs/>
      </w:rPr>
      <w:tblPr/>
      <w:tcPr>
        <w:tcBorders>
          <w:top w:val="double" w:sz="6" w:space="0" w:color="BCCF00"/>
          <w:left w:val="single" w:sz="8" w:space="0" w:color="BCCF00"/>
          <w:bottom w:val="single" w:sz="8" w:space="0" w:color="BCCF00"/>
          <w:right w:val="single" w:sz="8" w:space="0" w:color="BCCF00"/>
          <w:insideH w:val="nil"/>
          <w:insideV w:val="single" w:sz="8" w:space="0" w:color="BCCF00"/>
        </w:tcBorders>
      </w:tcPr>
    </w:tblStylePr>
    <w:tblStylePr w:type="firstCol">
      <w:rPr>
        <w:rFonts w:ascii="Arial" w:eastAsia="Times New Roman" w:hAnsi="Arial" w:cs="Times New Roman"/>
        <w:b/>
        <w:bCs/>
      </w:rPr>
    </w:tblStylePr>
    <w:tblStylePr w:type="lastCol">
      <w:rPr>
        <w:rFonts w:ascii="Arial" w:eastAsia="Times New Roman" w:hAnsi="Arial" w:cs="Times New Roman"/>
        <w:b/>
        <w:bCs/>
      </w:rPr>
      <w:tblPr/>
      <w:tcPr>
        <w:tcBorders>
          <w:top w:val="single" w:sz="8" w:space="0" w:color="BCCF00"/>
          <w:left w:val="single" w:sz="8" w:space="0" w:color="BCCF00"/>
          <w:bottom w:val="single" w:sz="8" w:space="0" w:color="BCCF00"/>
          <w:right w:val="single" w:sz="8" w:space="0" w:color="BCCF00"/>
        </w:tcBorders>
      </w:tcPr>
    </w:tblStylePr>
    <w:tblStylePr w:type="band1Vert">
      <w:tblPr/>
      <w:tcPr>
        <w:tcBorders>
          <w:top w:val="single" w:sz="8" w:space="0" w:color="BCCF00"/>
          <w:left w:val="single" w:sz="8" w:space="0" w:color="BCCF00"/>
          <w:bottom w:val="single" w:sz="8" w:space="0" w:color="BCCF00"/>
          <w:right w:val="single" w:sz="8" w:space="0" w:color="BCCF00"/>
        </w:tcBorders>
        <w:shd w:val="clear" w:color="auto" w:fill="F7FFB4"/>
      </w:tcPr>
    </w:tblStylePr>
    <w:tblStylePr w:type="band1Horz">
      <w:tblPr/>
      <w:tcPr>
        <w:tcBorders>
          <w:top w:val="single" w:sz="8" w:space="0" w:color="BCCF00"/>
          <w:left w:val="single" w:sz="8" w:space="0" w:color="BCCF00"/>
          <w:bottom w:val="single" w:sz="8" w:space="0" w:color="BCCF00"/>
          <w:right w:val="single" w:sz="8" w:space="0" w:color="BCCF00"/>
          <w:insideV w:val="single" w:sz="8" w:space="0" w:color="BCCF00"/>
        </w:tcBorders>
        <w:shd w:val="clear" w:color="auto" w:fill="F7FFB4"/>
      </w:tcPr>
    </w:tblStylePr>
    <w:tblStylePr w:type="band2Horz">
      <w:tblPr/>
      <w:tcPr>
        <w:tcBorders>
          <w:top w:val="single" w:sz="8" w:space="0" w:color="BCCF00"/>
          <w:left w:val="single" w:sz="8" w:space="0" w:color="BCCF00"/>
          <w:bottom w:val="single" w:sz="8" w:space="0" w:color="BCCF00"/>
          <w:right w:val="single" w:sz="8" w:space="0" w:color="BCCF00"/>
          <w:insideV w:val="single" w:sz="8" w:space="0" w:color="BCCF00"/>
        </w:tcBorders>
      </w:tcPr>
    </w:tblStylePr>
  </w:style>
  <w:style w:type="table" w:customStyle="1" w:styleId="LightGrid-Accent41">
    <w:name w:val="Light Grid - Accent 41"/>
    <w:basedOn w:val="TableNormal"/>
    <w:next w:val="LightGrid-Accent4"/>
    <w:uiPriority w:val="62"/>
    <w:rsid w:val="00F90100"/>
    <w:pPr>
      <w:spacing w:after="0" w:line="240" w:lineRule="auto"/>
      <w:jc w:val="both"/>
    </w:pPr>
    <w:rPr>
      <w:rFonts w:ascii="Arial" w:hAnsi="Arial"/>
      <w:color w:val="58595B"/>
      <w:sz w:val="20"/>
      <w:lang w:val="nl-BE"/>
    </w:rPr>
    <w:tblPr>
      <w:tblStyleRowBandSize w:val="1"/>
      <w:tblStyleColBandSize w:val="1"/>
      <w:tblBorders>
        <w:top w:val="single" w:sz="8" w:space="0" w:color="FAD500"/>
        <w:left w:val="single" w:sz="8" w:space="0" w:color="FAD500"/>
        <w:bottom w:val="single" w:sz="8" w:space="0" w:color="FAD500"/>
        <w:right w:val="single" w:sz="8" w:space="0" w:color="FAD500"/>
        <w:insideH w:val="single" w:sz="8" w:space="0" w:color="FAD500"/>
        <w:insideV w:val="single" w:sz="8" w:space="0" w:color="FAD500"/>
      </w:tblBorders>
    </w:tblPr>
    <w:tblStylePr w:type="firstRow">
      <w:pPr>
        <w:spacing w:before="0" w:after="0" w:line="240" w:lineRule="auto"/>
      </w:pPr>
      <w:rPr>
        <w:rFonts w:ascii="Arial" w:eastAsia="Times New Roman" w:hAnsi="Arial" w:cs="Times New Roman"/>
        <w:b/>
        <w:bCs/>
      </w:rPr>
      <w:tblPr/>
      <w:tcPr>
        <w:tcBorders>
          <w:top w:val="single" w:sz="8" w:space="0" w:color="FAD500"/>
          <w:left w:val="single" w:sz="8" w:space="0" w:color="FAD500"/>
          <w:bottom w:val="single" w:sz="18" w:space="0" w:color="FAD500"/>
          <w:right w:val="single" w:sz="8" w:space="0" w:color="FAD500"/>
          <w:insideH w:val="nil"/>
          <w:insideV w:val="single" w:sz="8" w:space="0" w:color="FAD500"/>
        </w:tcBorders>
      </w:tcPr>
    </w:tblStylePr>
    <w:tblStylePr w:type="lastRow">
      <w:pPr>
        <w:spacing w:before="0" w:after="0" w:line="240" w:lineRule="auto"/>
      </w:pPr>
      <w:rPr>
        <w:rFonts w:ascii="Arial" w:eastAsia="Times New Roman" w:hAnsi="Arial" w:cs="Times New Roman"/>
        <w:b/>
        <w:bCs/>
      </w:rPr>
      <w:tblPr/>
      <w:tcPr>
        <w:tcBorders>
          <w:top w:val="double" w:sz="6" w:space="0" w:color="FAD500"/>
          <w:left w:val="single" w:sz="8" w:space="0" w:color="FAD500"/>
          <w:bottom w:val="single" w:sz="8" w:space="0" w:color="FAD500"/>
          <w:right w:val="single" w:sz="8" w:space="0" w:color="FAD500"/>
          <w:insideH w:val="nil"/>
          <w:insideV w:val="single" w:sz="8" w:space="0" w:color="FAD500"/>
        </w:tcBorders>
      </w:tcPr>
    </w:tblStylePr>
    <w:tblStylePr w:type="firstCol">
      <w:rPr>
        <w:rFonts w:ascii="Arial" w:eastAsia="Times New Roman" w:hAnsi="Arial" w:cs="Times New Roman"/>
        <w:b/>
        <w:bCs/>
      </w:rPr>
    </w:tblStylePr>
    <w:tblStylePr w:type="lastCol">
      <w:rPr>
        <w:rFonts w:ascii="Arial" w:eastAsia="Times New Roman" w:hAnsi="Arial" w:cs="Times New Roman"/>
        <w:b/>
        <w:bCs/>
      </w:rPr>
      <w:tblPr/>
      <w:tcPr>
        <w:tcBorders>
          <w:top w:val="single" w:sz="8" w:space="0" w:color="FAD500"/>
          <w:left w:val="single" w:sz="8" w:space="0" w:color="FAD500"/>
          <w:bottom w:val="single" w:sz="8" w:space="0" w:color="FAD500"/>
          <w:right w:val="single" w:sz="8" w:space="0" w:color="FAD500"/>
        </w:tcBorders>
      </w:tcPr>
    </w:tblStylePr>
    <w:tblStylePr w:type="band1Vert">
      <w:tblPr/>
      <w:tcPr>
        <w:tcBorders>
          <w:top w:val="single" w:sz="8" w:space="0" w:color="FAD500"/>
          <w:left w:val="single" w:sz="8" w:space="0" w:color="FAD500"/>
          <w:bottom w:val="single" w:sz="8" w:space="0" w:color="FAD500"/>
          <w:right w:val="single" w:sz="8" w:space="0" w:color="FAD500"/>
        </w:tcBorders>
        <w:shd w:val="clear" w:color="auto" w:fill="FFF5BE"/>
      </w:tcPr>
    </w:tblStylePr>
    <w:tblStylePr w:type="band1Horz">
      <w:tblPr/>
      <w:tcPr>
        <w:tcBorders>
          <w:top w:val="single" w:sz="8" w:space="0" w:color="FAD500"/>
          <w:left w:val="single" w:sz="8" w:space="0" w:color="FAD500"/>
          <w:bottom w:val="single" w:sz="8" w:space="0" w:color="FAD500"/>
          <w:right w:val="single" w:sz="8" w:space="0" w:color="FAD500"/>
          <w:insideV w:val="single" w:sz="8" w:space="0" w:color="FAD500"/>
        </w:tcBorders>
        <w:shd w:val="clear" w:color="auto" w:fill="FFF5BE"/>
      </w:tcPr>
    </w:tblStylePr>
    <w:tblStylePr w:type="band2Horz">
      <w:tblPr/>
      <w:tcPr>
        <w:tcBorders>
          <w:top w:val="single" w:sz="8" w:space="0" w:color="FAD500"/>
          <w:left w:val="single" w:sz="8" w:space="0" w:color="FAD500"/>
          <w:bottom w:val="single" w:sz="8" w:space="0" w:color="FAD500"/>
          <w:right w:val="single" w:sz="8" w:space="0" w:color="FAD500"/>
          <w:insideV w:val="single" w:sz="8" w:space="0" w:color="FAD500"/>
        </w:tcBorders>
      </w:tcPr>
    </w:tblStylePr>
  </w:style>
  <w:style w:type="table" w:customStyle="1" w:styleId="LightGrid-Accent51">
    <w:name w:val="Light Grid - Accent 51"/>
    <w:basedOn w:val="TableNormal"/>
    <w:next w:val="LightGrid-Accent5"/>
    <w:uiPriority w:val="62"/>
    <w:rsid w:val="00F90100"/>
    <w:pPr>
      <w:spacing w:after="0" w:line="240" w:lineRule="auto"/>
      <w:jc w:val="both"/>
    </w:pPr>
    <w:rPr>
      <w:rFonts w:ascii="Arial" w:hAnsi="Arial"/>
      <w:color w:val="58595B"/>
      <w:sz w:val="20"/>
      <w:lang w:val="nl-BE"/>
    </w:rPr>
    <w:tblPr>
      <w:tblStyleRowBandSize w:val="1"/>
      <w:tblStyleColBandSize w:val="1"/>
      <w:tblBorders>
        <w:top w:val="single" w:sz="8" w:space="0" w:color="F29D00"/>
        <w:left w:val="single" w:sz="8" w:space="0" w:color="F29D00"/>
        <w:bottom w:val="single" w:sz="8" w:space="0" w:color="F29D00"/>
        <w:right w:val="single" w:sz="8" w:space="0" w:color="F29D00"/>
        <w:insideH w:val="single" w:sz="8" w:space="0" w:color="F29D00"/>
        <w:insideV w:val="single" w:sz="8" w:space="0" w:color="F29D00"/>
      </w:tblBorders>
    </w:tblPr>
    <w:tblStylePr w:type="firstRow">
      <w:pPr>
        <w:spacing w:before="0" w:after="0" w:line="240" w:lineRule="auto"/>
      </w:pPr>
      <w:rPr>
        <w:rFonts w:ascii="Arial" w:eastAsia="Times New Roman" w:hAnsi="Arial" w:cs="Times New Roman"/>
        <w:b/>
        <w:bCs/>
      </w:rPr>
      <w:tblPr/>
      <w:tcPr>
        <w:tcBorders>
          <w:top w:val="single" w:sz="8" w:space="0" w:color="F29D00"/>
          <w:left w:val="single" w:sz="8" w:space="0" w:color="F29D00"/>
          <w:bottom w:val="single" w:sz="18" w:space="0" w:color="F29D00"/>
          <w:right w:val="single" w:sz="8" w:space="0" w:color="F29D00"/>
          <w:insideH w:val="nil"/>
          <w:insideV w:val="single" w:sz="8" w:space="0" w:color="F29D00"/>
        </w:tcBorders>
      </w:tcPr>
    </w:tblStylePr>
    <w:tblStylePr w:type="lastRow">
      <w:pPr>
        <w:spacing w:before="0" w:after="0" w:line="240" w:lineRule="auto"/>
      </w:pPr>
      <w:rPr>
        <w:rFonts w:ascii="Arial" w:eastAsia="Times New Roman" w:hAnsi="Arial" w:cs="Times New Roman"/>
        <w:b/>
        <w:bCs/>
      </w:rPr>
      <w:tblPr/>
      <w:tcPr>
        <w:tcBorders>
          <w:top w:val="double" w:sz="6" w:space="0" w:color="F29D00"/>
          <w:left w:val="single" w:sz="8" w:space="0" w:color="F29D00"/>
          <w:bottom w:val="single" w:sz="8" w:space="0" w:color="F29D00"/>
          <w:right w:val="single" w:sz="8" w:space="0" w:color="F29D00"/>
          <w:insideH w:val="nil"/>
          <w:insideV w:val="single" w:sz="8" w:space="0" w:color="F29D00"/>
        </w:tcBorders>
      </w:tcPr>
    </w:tblStylePr>
    <w:tblStylePr w:type="firstCol">
      <w:rPr>
        <w:rFonts w:ascii="Arial" w:eastAsia="Times New Roman" w:hAnsi="Arial" w:cs="Times New Roman"/>
        <w:b/>
        <w:bCs/>
      </w:rPr>
    </w:tblStylePr>
    <w:tblStylePr w:type="lastCol">
      <w:rPr>
        <w:rFonts w:ascii="Arial" w:eastAsia="Times New Roman" w:hAnsi="Arial" w:cs="Times New Roman"/>
        <w:b/>
        <w:bCs/>
      </w:rPr>
      <w:tblPr/>
      <w:tcPr>
        <w:tcBorders>
          <w:top w:val="single" w:sz="8" w:space="0" w:color="F29D00"/>
          <w:left w:val="single" w:sz="8" w:space="0" w:color="F29D00"/>
          <w:bottom w:val="single" w:sz="8" w:space="0" w:color="F29D00"/>
          <w:right w:val="single" w:sz="8" w:space="0" w:color="F29D00"/>
        </w:tcBorders>
      </w:tcPr>
    </w:tblStylePr>
    <w:tblStylePr w:type="band1Vert">
      <w:tblPr/>
      <w:tcPr>
        <w:tcBorders>
          <w:top w:val="single" w:sz="8" w:space="0" w:color="F29D00"/>
          <w:left w:val="single" w:sz="8" w:space="0" w:color="F29D00"/>
          <w:bottom w:val="single" w:sz="8" w:space="0" w:color="F29D00"/>
          <w:right w:val="single" w:sz="8" w:space="0" w:color="F29D00"/>
        </w:tcBorders>
        <w:shd w:val="clear" w:color="auto" w:fill="FFE7BC"/>
      </w:tcPr>
    </w:tblStylePr>
    <w:tblStylePr w:type="band1Horz">
      <w:tblPr/>
      <w:tcPr>
        <w:tcBorders>
          <w:top w:val="single" w:sz="8" w:space="0" w:color="F29D00"/>
          <w:left w:val="single" w:sz="8" w:space="0" w:color="F29D00"/>
          <w:bottom w:val="single" w:sz="8" w:space="0" w:color="F29D00"/>
          <w:right w:val="single" w:sz="8" w:space="0" w:color="F29D00"/>
          <w:insideV w:val="single" w:sz="8" w:space="0" w:color="F29D00"/>
        </w:tcBorders>
        <w:shd w:val="clear" w:color="auto" w:fill="FFE7BC"/>
      </w:tcPr>
    </w:tblStylePr>
    <w:tblStylePr w:type="band2Horz">
      <w:tblPr/>
      <w:tcPr>
        <w:tcBorders>
          <w:top w:val="single" w:sz="8" w:space="0" w:color="F29D00"/>
          <w:left w:val="single" w:sz="8" w:space="0" w:color="F29D00"/>
          <w:bottom w:val="single" w:sz="8" w:space="0" w:color="F29D00"/>
          <w:right w:val="single" w:sz="8" w:space="0" w:color="F29D00"/>
          <w:insideV w:val="single" w:sz="8" w:space="0" w:color="F29D00"/>
        </w:tcBorders>
      </w:tcPr>
    </w:tblStylePr>
  </w:style>
  <w:style w:type="table" w:customStyle="1" w:styleId="LightGrid-Accent61">
    <w:name w:val="Light Grid - Accent 61"/>
    <w:basedOn w:val="TableNormal"/>
    <w:next w:val="LightGrid-Accent6"/>
    <w:uiPriority w:val="62"/>
    <w:rsid w:val="00F90100"/>
    <w:pPr>
      <w:spacing w:after="0" w:line="240" w:lineRule="auto"/>
      <w:jc w:val="both"/>
    </w:pPr>
    <w:rPr>
      <w:rFonts w:ascii="Arial" w:hAnsi="Arial"/>
      <w:color w:val="58595B"/>
      <w:sz w:val="20"/>
      <w:lang w:val="nl-BE"/>
    </w:rPr>
    <w:tblPr>
      <w:tblStyleRowBandSize w:val="1"/>
      <w:tblStyleColBandSize w:val="1"/>
      <w:tblBorders>
        <w:top w:val="single" w:sz="8" w:space="0" w:color="C85019"/>
        <w:left w:val="single" w:sz="8" w:space="0" w:color="C85019"/>
        <w:bottom w:val="single" w:sz="8" w:space="0" w:color="C85019"/>
        <w:right w:val="single" w:sz="8" w:space="0" w:color="C85019"/>
        <w:insideH w:val="single" w:sz="8" w:space="0" w:color="C85019"/>
        <w:insideV w:val="single" w:sz="8" w:space="0" w:color="C85019"/>
      </w:tblBorders>
    </w:tblPr>
    <w:tblStylePr w:type="firstRow">
      <w:pPr>
        <w:spacing w:before="0" w:after="0" w:line="240" w:lineRule="auto"/>
      </w:pPr>
      <w:rPr>
        <w:rFonts w:ascii="Arial" w:eastAsia="Times New Roman" w:hAnsi="Arial" w:cs="Times New Roman"/>
        <w:b/>
        <w:bCs/>
      </w:rPr>
      <w:tblPr/>
      <w:tcPr>
        <w:tcBorders>
          <w:top w:val="single" w:sz="8" w:space="0" w:color="C85019"/>
          <w:left w:val="single" w:sz="8" w:space="0" w:color="C85019"/>
          <w:bottom w:val="single" w:sz="18" w:space="0" w:color="C85019"/>
          <w:right w:val="single" w:sz="8" w:space="0" w:color="C85019"/>
          <w:insideH w:val="nil"/>
          <w:insideV w:val="single" w:sz="8" w:space="0" w:color="C85019"/>
        </w:tcBorders>
      </w:tcPr>
    </w:tblStylePr>
    <w:tblStylePr w:type="lastRow">
      <w:pPr>
        <w:spacing w:before="0" w:after="0" w:line="240" w:lineRule="auto"/>
      </w:pPr>
      <w:rPr>
        <w:rFonts w:ascii="Arial" w:eastAsia="Times New Roman" w:hAnsi="Arial" w:cs="Times New Roman"/>
        <w:b/>
        <w:bCs/>
      </w:rPr>
      <w:tblPr/>
      <w:tcPr>
        <w:tcBorders>
          <w:top w:val="double" w:sz="6" w:space="0" w:color="C85019"/>
          <w:left w:val="single" w:sz="8" w:space="0" w:color="C85019"/>
          <w:bottom w:val="single" w:sz="8" w:space="0" w:color="C85019"/>
          <w:right w:val="single" w:sz="8" w:space="0" w:color="C85019"/>
          <w:insideH w:val="nil"/>
          <w:insideV w:val="single" w:sz="8" w:space="0" w:color="C85019"/>
        </w:tcBorders>
      </w:tcPr>
    </w:tblStylePr>
    <w:tblStylePr w:type="firstCol">
      <w:rPr>
        <w:rFonts w:ascii="Arial" w:eastAsia="Times New Roman" w:hAnsi="Arial" w:cs="Times New Roman"/>
        <w:b/>
        <w:bCs/>
      </w:rPr>
    </w:tblStylePr>
    <w:tblStylePr w:type="lastCol">
      <w:rPr>
        <w:rFonts w:ascii="Arial" w:eastAsia="Times New Roman" w:hAnsi="Arial" w:cs="Times New Roman"/>
        <w:b/>
        <w:bCs/>
      </w:rPr>
      <w:tblPr/>
      <w:tcPr>
        <w:tcBorders>
          <w:top w:val="single" w:sz="8" w:space="0" w:color="C85019"/>
          <w:left w:val="single" w:sz="8" w:space="0" w:color="C85019"/>
          <w:bottom w:val="single" w:sz="8" w:space="0" w:color="C85019"/>
          <w:right w:val="single" w:sz="8" w:space="0" w:color="C85019"/>
        </w:tcBorders>
      </w:tcPr>
    </w:tblStylePr>
    <w:tblStylePr w:type="band1Vert">
      <w:tblPr/>
      <w:tcPr>
        <w:tcBorders>
          <w:top w:val="single" w:sz="8" w:space="0" w:color="C85019"/>
          <w:left w:val="single" w:sz="8" w:space="0" w:color="C85019"/>
          <w:bottom w:val="single" w:sz="8" w:space="0" w:color="C85019"/>
          <w:right w:val="single" w:sz="8" w:space="0" w:color="C85019"/>
        </w:tcBorders>
        <w:shd w:val="clear" w:color="auto" w:fill="F7D1C0"/>
      </w:tcPr>
    </w:tblStylePr>
    <w:tblStylePr w:type="band1Horz">
      <w:tblPr/>
      <w:tcPr>
        <w:tcBorders>
          <w:top w:val="single" w:sz="8" w:space="0" w:color="C85019"/>
          <w:left w:val="single" w:sz="8" w:space="0" w:color="C85019"/>
          <w:bottom w:val="single" w:sz="8" w:space="0" w:color="C85019"/>
          <w:right w:val="single" w:sz="8" w:space="0" w:color="C85019"/>
          <w:insideV w:val="single" w:sz="8" w:space="0" w:color="C85019"/>
        </w:tcBorders>
        <w:shd w:val="clear" w:color="auto" w:fill="F7D1C0"/>
      </w:tcPr>
    </w:tblStylePr>
    <w:tblStylePr w:type="band2Horz">
      <w:tblPr/>
      <w:tcPr>
        <w:tcBorders>
          <w:top w:val="single" w:sz="8" w:space="0" w:color="C85019"/>
          <w:left w:val="single" w:sz="8" w:space="0" w:color="C85019"/>
          <w:bottom w:val="single" w:sz="8" w:space="0" w:color="C85019"/>
          <w:right w:val="single" w:sz="8" w:space="0" w:color="C85019"/>
          <w:insideV w:val="single" w:sz="8" w:space="0" w:color="C85019"/>
        </w:tcBorders>
      </w:tcPr>
    </w:tblStylePr>
  </w:style>
  <w:style w:type="table" w:customStyle="1" w:styleId="LightList1">
    <w:name w:val="Light List1"/>
    <w:basedOn w:val="TableNormal"/>
    <w:next w:val="LightList"/>
    <w:uiPriority w:val="61"/>
    <w:rsid w:val="00F90100"/>
    <w:pPr>
      <w:spacing w:after="0" w:line="240" w:lineRule="auto"/>
      <w:jc w:val="both"/>
    </w:pPr>
    <w:rPr>
      <w:rFonts w:ascii="Arial" w:hAnsi="Arial"/>
      <w:color w:val="58595B"/>
      <w:sz w:val="20"/>
      <w:lang w:val="nl-BE"/>
    </w:rPr>
    <w:tblPr>
      <w:tblStyleRowBandSize w:val="1"/>
      <w:tblStyleColBandSize w:val="1"/>
      <w:tblBorders>
        <w:top w:val="single" w:sz="8" w:space="0" w:color="58595B"/>
        <w:left w:val="single" w:sz="8" w:space="0" w:color="58595B"/>
        <w:bottom w:val="single" w:sz="8" w:space="0" w:color="58595B"/>
        <w:right w:val="single" w:sz="8" w:space="0" w:color="58595B"/>
      </w:tblBorders>
    </w:tblPr>
    <w:tblStylePr w:type="firstRow">
      <w:pPr>
        <w:spacing w:before="0" w:after="0" w:line="240" w:lineRule="auto"/>
      </w:pPr>
      <w:rPr>
        <w:b/>
        <w:bCs/>
        <w:color w:val="A5A5A5"/>
      </w:rPr>
      <w:tblPr/>
      <w:tcPr>
        <w:shd w:val="clear" w:color="auto" w:fill="58595B"/>
      </w:tcPr>
    </w:tblStylePr>
    <w:tblStylePr w:type="lastRow">
      <w:pPr>
        <w:spacing w:before="0" w:after="0" w:line="240" w:lineRule="auto"/>
      </w:pPr>
      <w:rPr>
        <w:b/>
        <w:bCs/>
      </w:rPr>
      <w:tblPr/>
      <w:tcPr>
        <w:tcBorders>
          <w:top w:val="double" w:sz="6" w:space="0" w:color="58595B"/>
          <w:left w:val="single" w:sz="8" w:space="0" w:color="58595B"/>
          <w:bottom w:val="single" w:sz="8" w:space="0" w:color="58595B"/>
          <w:right w:val="single" w:sz="8" w:space="0" w:color="58595B"/>
        </w:tcBorders>
      </w:tcPr>
    </w:tblStylePr>
    <w:tblStylePr w:type="firstCol">
      <w:rPr>
        <w:b/>
        <w:bCs/>
      </w:rPr>
    </w:tblStylePr>
    <w:tblStylePr w:type="lastCol">
      <w:rPr>
        <w:b/>
        <w:bCs/>
      </w:rPr>
    </w:tblStylePr>
    <w:tblStylePr w:type="band1Vert">
      <w:tblPr/>
      <w:tcPr>
        <w:tcBorders>
          <w:top w:val="single" w:sz="8" w:space="0" w:color="58595B"/>
          <w:left w:val="single" w:sz="8" w:space="0" w:color="58595B"/>
          <w:bottom w:val="single" w:sz="8" w:space="0" w:color="58595B"/>
          <w:right w:val="single" w:sz="8" w:space="0" w:color="58595B"/>
        </w:tcBorders>
      </w:tcPr>
    </w:tblStylePr>
    <w:tblStylePr w:type="band1Horz">
      <w:tblPr/>
      <w:tcPr>
        <w:tcBorders>
          <w:top w:val="single" w:sz="8" w:space="0" w:color="58595B"/>
          <w:left w:val="single" w:sz="8" w:space="0" w:color="58595B"/>
          <w:bottom w:val="single" w:sz="8" w:space="0" w:color="58595B"/>
          <w:right w:val="single" w:sz="8" w:space="0" w:color="58595B"/>
        </w:tcBorders>
      </w:tcPr>
    </w:tblStylePr>
  </w:style>
  <w:style w:type="table" w:customStyle="1" w:styleId="LightList-Accent11">
    <w:name w:val="Light List - Accent 11"/>
    <w:basedOn w:val="TableNormal"/>
    <w:next w:val="LightList-Accent1"/>
    <w:uiPriority w:val="61"/>
    <w:rsid w:val="00F90100"/>
    <w:pPr>
      <w:spacing w:after="0" w:line="240" w:lineRule="auto"/>
      <w:jc w:val="both"/>
    </w:pPr>
    <w:rPr>
      <w:rFonts w:ascii="Arial" w:hAnsi="Arial"/>
      <w:color w:val="58595B"/>
      <w:sz w:val="20"/>
      <w:lang w:val="nl-BE"/>
    </w:rPr>
    <w:tblPr>
      <w:tblStyleRowBandSize w:val="1"/>
      <w:tblStyleColBandSize w:val="1"/>
      <w:tblBorders>
        <w:top w:val="single" w:sz="8" w:space="0" w:color="3AAA35"/>
        <w:left w:val="single" w:sz="8" w:space="0" w:color="3AAA35"/>
        <w:bottom w:val="single" w:sz="8" w:space="0" w:color="3AAA35"/>
        <w:right w:val="single" w:sz="8" w:space="0" w:color="3AAA35"/>
      </w:tblBorders>
    </w:tblPr>
    <w:tblStylePr w:type="firstRow">
      <w:pPr>
        <w:spacing w:before="0" w:after="0" w:line="240" w:lineRule="auto"/>
      </w:pPr>
      <w:rPr>
        <w:b/>
        <w:bCs/>
        <w:color w:val="A5A5A5"/>
      </w:rPr>
      <w:tblPr/>
      <w:tcPr>
        <w:shd w:val="clear" w:color="auto" w:fill="3AAA35"/>
      </w:tcPr>
    </w:tblStylePr>
    <w:tblStylePr w:type="lastRow">
      <w:pPr>
        <w:spacing w:before="0" w:after="0" w:line="240" w:lineRule="auto"/>
      </w:pPr>
      <w:rPr>
        <w:b/>
        <w:bCs/>
      </w:rPr>
      <w:tblPr/>
      <w:tcPr>
        <w:tcBorders>
          <w:top w:val="double" w:sz="6" w:space="0" w:color="3AAA35"/>
          <w:left w:val="single" w:sz="8" w:space="0" w:color="3AAA35"/>
          <w:bottom w:val="single" w:sz="8" w:space="0" w:color="3AAA35"/>
          <w:right w:val="single" w:sz="8" w:space="0" w:color="3AAA35"/>
        </w:tcBorders>
      </w:tcPr>
    </w:tblStylePr>
    <w:tblStylePr w:type="firstCol">
      <w:rPr>
        <w:b/>
        <w:bCs/>
      </w:rPr>
    </w:tblStylePr>
    <w:tblStylePr w:type="lastCol">
      <w:rPr>
        <w:b/>
        <w:bCs/>
      </w:rPr>
    </w:tblStylePr>
    <w:tblStylePr w:type="band1Vert">
      <w:tblPr/>
      <w:tcPr>
        <w:tcBorders>
          <w:top w:val="single" w:sz="8" w:space="0" w:color="3AAA35"/>
          <w:left w:val="single" w:sz="8" w:space="0" w:color="3AAA35"/>
          <w:bottom w:val="single" w:sz="8" w:space="0" w:color="3AAA35"/>
          <w:right w:val="single" w:sz="8" w:space="0" w:color="3AAA35"/>
        </w:tcBorders>
      </w:tcPr>
    </w:tblStylePr>
    <w:tblStylePr w:type="band1Horz">
      <w:tblPr/>
      <w:tcPr>
        <w:tcBorders>
          <w:top w:val="single" w:sz="8" w:space="0" w:color="3AAA35"/>
          <w:left w:val="single" w:sz="8" w:space="0" w:color="3AAA35"/>
          <w:bottom w:val="single" w:sz="8" w:space="0" w:color="3AAA35"/>
          <w:right w:val="single" w:sz="8" w:space="0" w:color="3AAA35"/>
        </w:tcBorders>
      </w:tcPr>
    </w:tblStylePr>
  </w:style>
  <w:style w:type="table" w:customStyle="1" w:styleId="LightList-Accent21">
    <w:name w:val="Light List - Accent 21"/>
    <w:basedOn w:val="TableNormal"/>
    <w:next w:val="LightList-Accent2"/>
    <w:uiPriority w:val="61"/>
    <w:rsid w:val="00F90100"/>
    <w:pPr>
      <w:spacing w:after="0" w:line="240" w:lineRule="auto"/>
      <w:jc w:val="both"/>
    </w:pPr>
    <w:rPr>
      <w:rFonts w:ascii="Arial" w:hAnsi="Arial"/>
      <w:color w:val="58595B"/>
      <w:sz w:val="20"/>
      <w:lang w:val="nl-BE"/>
    </w:rPr>
    <w:tblPr>
      <w:tblStyleRowBandSize w:val="1"/>
      <w:tblStyleColBandSize w:val="1"/>
      <w:tblBorders>
        <w:top w:val="single" w:sz="8" w:space="0" w:color="006633"/>
        <w:left w:val="single" w:sz="8" w:space="0" w:color="006633"/>
        <w:bottom w:val="single" w:sz="8" w:space="0" w:color="006633"/>
        <w:right w:val="single" w:sz="8" w:space="0" w:color="006633"/>
      </w:tblBorders>
    </w:tblPr>
    <w:tblStylePr w:type="firstRow">
      <w:pPr>
        <w:spacing w:before="0" w:after="0" w:line="240" w:lineRule="auto"/>
      </w:pPr>
      <w:rPr>
        <w:b/>
        <w:bCs/>
        <w:color w:val="A5A5A5"/>
      </w:rPr>
      <w:tblPr/>
      <w:tcPr>
        <w:shd w:val="clear" w:color="auto" w:fill="006633"/>
      </w:tcPr>
    </w:tblStylePr>
    <w:tblStylePr w:type="lastRow">
      <w:pPr>
        <w:spacing w:before="0" w:after="0" w:line="240" w:lineRule="auto"/>
      </w:pPr>
      <w:rPr>
        <w:b/>
        <w:bCs/>
      </w:rPr>
      <w:tblPr/>
      <w:tcPr>
        <w:tcBorders>
          <w:top w:val="double" w:sz="6" w:space="0" w:color="006633"/>
          <w:left w:val="single" w:sz="8" w:space="0" w:color="006633"/>
          <w:bottom w:val="single" w:sz="8" w:space="0" w:color="006633"/>
          <w:right w:val="single" w:sz="8" w:space="0" w:color="006633"/>
        </w:tcBorders>
      </w:tcPr>
    </w:tblStylePr>
    <w:tblStylePr w:type="firstCol">
      <w:rPr>
        <w:b/>
        <w:bCs/>
      </w:rPr>
    </w:tblStylePr>
    <w:tblStylePr w:type="lastCol">
      <w:rPr>
        <w:b/>
        <w:bCs/>
      </w:rPr>
    </w:tblStylePr>
    <w:tblStylePr w:type="band1Vert">
      <w:tblPr/>
      <w:tcPr>
        <w:tcBorders>
          <w:top w:val="single" w:sz="8" w:space="0" w:color="006633"/>
          <w:left w:val="single" w:sz="8" w:space="0" w:color="006633"/>
          <w:bottom w:val="single" w:sz="8" w:space="0" w:color="006633"/>
          <w:right w:val="single" w:sz="8" w:space="0" w:color="006633"/>
        </w:tcBorders>
      </w:tcPr>
    </w:tblStylePr>
    <w:tblStylePr w:type="band1Horz">
      <w:tblPr/>
      <w:tcPr>
        <w:tcBorders>
          <w:top w:val="single" w:sz="8" w:space="0" w:color="006633"/>
          <w:left w:val="single" w:sz="8" w:space="0" w:color="006633"/>
          <w:bottom w:val="single" w:sz="8" w:space="0" w:color="006633"/>
          <w:right w:val="single" w:sz="8" w:space="0" w:color="006633"/>
        </w:tcBorders>
      </w:tcPr>
    </w:tblStylePr>
  </w:style>
  <w:style w:type="table" w:customStyle="1" w:styleId="LightList-Accent31">
    <w:name w:val="Light List - Accent 31"/>
    <w:basedOn w:val="TableNormal"/>
    <w:next w:val="LightList-Accent3"/>
    <w:uiPriority w:val="61"/>
    <w:rsid w:val="00F90100"/>
    <w:pPr>
      <w:spacing w:after="0" w:line="240" w:lineRule="auto"/>
      <w:jc w:val="both"/>
    </w:pPr>
    <w:rPr>
      <w:rFonts w:ascii="Arial" w:hAnsi="Arial"/>
      <w:color w:val="58595B"/>
      <w:sz w:val="20"/>
      <w:lang w:val="nl-BE"/>
    </w:rPr>
    <w:tblPr>
      <w:tblStyleRowBandSize w:val="1"/>
      <w:tblStyleColBandSize w:val="1"/>
      <w:tblBorders>
        <w:top w:val="single" w:sz="8" w:space="0" w:color="BCCF00"/>
        <w:left w:val="single" w:sz="8" w:space="0" w:color="BCCF00"/>
        <w:bottom w:val="single" w:sz="8" w:space="0" w:color="BCCF00"/>
        <w:right w:val="single" w:sz="8" w:space="0" w:color="BCCF00"/>
      </w:tblBorders>
    </w:tblPr>
    <w:tblStylePr w:type="firstRow">
      <w:pPr>
        <w:spacing w:before="0" w:after="0" w:line="240" w:lineRule="auto"/>
      </w:pPr>
      <w:rPr>
        <w:b/>
        <w:bCs/>
        <w:color w:val="A5A5A5"/>
      </w:rPr>
      <w:tblPr/>
      <w:tcPr>
        <w:shd w:val="clear" w:color="auto" w:fill="BCCF00"/>
      </w:tcPr>
    </w:tblStylePr>
    <w:tblStylePr w:type="lastRow">
      <w:pPr>
        <w:spacing w:before="0" w:after="0" w:line="240" w:lineRule="auto"/>
      </w:pPr>
      <w:rPr>
        <w:b/>
        <w:bCs/>
      </w:rPr>
      <w:tblPr/>
      <w:tcPr>
        <w:tcBorders>
          <w:top w:val="double" w:sz="6" w:space="0" w:color="BCCF00"/>
          <w:left w:val="single" w:sz="8" w:space="0" w:color="BCCF00"/>
          <w:bottom w:val="single" w:sz="8" w:space="0" w:color="BCCF00"/>
          <w:right w:val="single" w:sz="8" w:space="0" w:color="BCCF00"/>
        </w:tcBorders>
      </w:tcPr>
    </w:tblStylePr>
    <w:tblStylePr w:type="firstCol">
      <w:rPr>
        <w:b/>
        <w:bCs/>
      </w:rPr>
    </w:tblStylePr>
    <w:tblStylePr w:type="lastCol">
      <w:rPr>
        <w:b/>
        <w:bCs/>
      </w:rPr>
    </w:tblStylePr>
    <w:tblStylePr w:type="band1Vert">
      <w:tblPr/>
      <w:tcPr>
        <w:tcBorders>
          <w:top w:val="single" w:sz="8" w:space="0" w:color="BCCF00"/>
          <w:left w:val="single" w:sz="8" w:space="0" w:color="BCCF00"/>
          <w:bottom w:val="single" w:sz="8" w:space="0" w:color="BCCF00"/>
          <w:right w:val="single" w:sz="8" w:space="0" w:color="BCCF00"/>
        </w:tcBorders>
      </w:tcPr>
    </w:tblStylePr>
    <w:tblStylePr w:type="band1Horz">
      <w:tblPr/>
      <w:tcPr>
        <w:tcBorders>
          <w:top w:val="single" w:sz="8" w:space="0" w:color="BCCF00"/>
          <w:left w:val="single" w:sz="8" w:space="0" w:color="BCCF00"/>
          <w:bottom w:val="single" w:sz="8" w:space="0" w:color="BCCF00"/>
          <w:right w:val="single" w:sz="8" w:space="0" w:color="BCCF00"/>
        </w:tcBorders>
      </w:tcPr>
    </w:tblStylePr>
  </w:style>
  <w:style w:type="table" w:customStyle="1" w:styleId="LightList-Accent41">
    <w:name w:val="Light List - Accent 41"/>
    <w:basedOn w:val="TableNormal"/>
    <w:next w:val="LightList-Accent4"/>
    <w:uiPriority w:val="61"/>
    <w:rsid w:val="00F90100"/>
    <w:pPr>
      <w:spacing w:after="0" w:line="240" w:lineRule="auto"/>
      <w:jc w:val="both"/>
    </w:pPr>
    <w:rPr>
      <w:rFonts w:ascii="Arial" w:hAnsi="Arial"/>
      <w:color w:val="58595B"/>
      <w:sz w:val="20"/>
      <w:lang w:val="nl-BE"/>
    </w:rPr>
    <w:tblPr>
      <w:tblStyleRowBandSize w:val="1"/>
      <w:tblStyleColBandSize w:val="1"/>
      <w:tblBorders>
        <w:top w:val="single" w:sz="8" w:space="0" w:color="FAD500"/>
        <w:left w:val="single" w:sz="8" w:space="0" w:color="FAD500"/>
        <w:bottom w:val="single" w:sz="8" w:space="0" w:color="FAD500"/>
        <w:right w:val="single" w:sz="8" w:space="0" w:color="FAD500"/>
      </w:tblBorders>
    </w:tblPr>
    <w:tblStylePr w:type="firstRow">
      <w:pPr>
        <w:spacing w:before="0" w:after="0" w:line="240" w:lineRule="auto"/>
      </w:pPr>
      <w:rPr>
        <w:b/>
        <w:bCs/>
        <w:color w:val="A5A5A5"/>
      </w:rPr>
      <w:tblPr/>
      <w:tcPr>
        <w:shd w:val="clear" w:color="auto" w:fill="FAD500"/>
      </w:tcPr>
    </w:tblStylePr>
    <w:tblStylePr w:type="lastRow">
      <w:pPr>
        <w:spacing w:before="0" w:after="0" w:line="240" w:lineRule="auto"/>
      </w:pPr>
      <w:rPr>
        <w:b/>
        <w:bCs/>
      </w:rPr>
      <w:tblPr/>
      <w:tcPr>
        <w:tcBorders>
          <w:top w:val="double" w:sz="6" w:space="0" w:color="FAD500"/>
          <w:left w:val="single" w:sz="8" w:space="0" w:color="FAD500"/>
          <w:bottom w:val="single" w:sz="8" w:space="0" w:color="FAD500"/>
          <w:right w:val="single" w:sz="8" w:space="0" w:color="FAD500"/>
        </w:tcBorders>
      </w:tcPr>
    </w:tblStylePr>
    <w:tblStylePr w:type="firstCol">
      <w:rPr>
        <w:b/>
        <w:bCs/>
      </w:rPr>
    </w:tblStylePr>
    <w:tblStylePr w:type="lastCol">
      <w:rPr>
        <w:b/>
        <w:bCs/>
      </w:rPr>
    </w:tblStylePr>
    <w:tblStylePr w:type="band1Vert">
      <w:tblPr/>
      <w:tcPr>
        <w:tcBorders>
          <w:top w:val="single" w:sz="8" w:space="0" w:color="FAD500"/>
          <w:left w:val="single" w:sz="8" w:space="0" w:color="FAD500"/>
          <w:bottom w:val="single" w:sz="8" w:space="0" w:color="FAD500"/>
          <w:right w:val="single" w:sz="8" w:space="0" w:color="FAD500"/>
        </w:tcBorders>
      </w:tcPr>
    </w:tblStylePr>
    <w:tblStylePr w:type="band1Horz">
      <w:tblPr/>
      <w:tcPr>
        <w:tcBorders>
          <w:top w:val="single" w:sz="8" w:space="0" w:color="FAD500"/>
          <w:left w:val="single" w:sz="8" w:space="0" w:color="FAD500"/>
          <w:bottom w:val="single" w:sz="8" w:space="0" w:color="FAD500"/>
          <w:right w:val="single" w:sz="8" w:space="0" w:color="FAD500"/>
        </w:tcBorders>
      </w:tcPr>
    </w:tblStylePr>
  </w:style>
  <w:style w:type="table" w:customStyle="1" w:styleId="LightList-Accent51">
    <w:name w:val="Light List - Accent 51"/>
    <w:basedOn w:val="TableNormal"/>
    <w:next w:val="LightList-Accent5"/>
    <w:uiPriority w:val="61"/>
    <w:rsid w:val="00F90100"/>
    <w:pPr>
      <w:spacing w:after="0" w:line="240" w:lineRule="auto"/>
      <w:jc w:val="both"/>
    </w:pPr>
    <w:rPr>
      <w:rFonts w:ascii="Arial" w:hAnsi="Arial"/>
      <w:color w:val="58595B"/>
      <w:sz w:val="20"/>
      <w:lang w:val="nl-BE"/>
    </w:rPr>
    <w:tblPr>
      <w:tblStyleRowBandSize w:val="1"/>
      <w:tblStyleColBandSize w:val="1"/>
      <w:tblBorders>
        <w:top w:val="single" w:sz="8" w:space="0" w:color="F29D00"/>
        <w:left w:val="single" w:sz="8" w:space="0" w:color="F29D00"/>
        <w:bottom w:val="single" w:sz="8" w:space="0" w:color="F29D00"/>
        <w:right w:val="single" w:sz="8" w:space="0" w:color="F29D00"/>
      </w:tblBorders>
    </w:tblPr>
    <w:tblStylePr w:type="firstRow">
      <w:pPr>
        <w:spacing w:before="0" w:after="0" w:line="240" w:lineRule="auto"/>
      </w:pPr>
      <w:rPr>
        <w:b/>
        <w:bCs/>
        <w:color w:val="A5A5A5"/>
      </w:rPr>
      <w:tblPr/>
      <w:tcPr>
        <w:shd w:val="clear" w:color="auto" w:fill="F29D00"/>
      </w:tcPr>
    </w:tblStylePr>
    <w:tblStylePr w:type="lastRow">
      <w:pPr>
        <w:spacing w:before="0" w:after="0" w:line="240" w:lineRule="auto"/>
      </w:pPr>
      <w:rPr>
        <w:b/>
        <w:bCs/>
      </w:rPr>
      <w:tblPr/>
      <w:tcPr>
        <w:tcBorders>
          <w:top w:val="double" w:sz="6" w:space="0" w:color="F29D00"/>
          <w:left w:val="single" w:sz="8" w:space="0" w:color="F29D00"/>
          <w:bottom w:val="single" w:sz="8" w:space="0" w:color="F29D00"/>
          <w:right w:val="single" w:sz="8" w:space="0" w:color="F29D00"/>
        </w:tcBorders>
      </w:tcPr>
    </w:tblStylePr>
    <w:tblStylePr w:type="firstCol">
      <w:rPr>
        <w:b/>
        <w:bCs/>
      </w:rPr>
    </w:tblStylePr>
    <w:tblStylePr w:type="lastCol">
      <w:rPr>
        <w:b/>
        <w:bCs/>
      </w:rPr>
    </w:tblStylePr>
    <w:tblStylePr w:type="band1Vert">
      <w:tblPr/>
      <w:tcPr>
        <w:tcBorders>
          <w:top w:val="single" w:sz="8" w:space="0" w:color="F29D00"/>
          <w:left w:val="single" w:sz="8" w:space="0" w:color="F29D00"/>
          <w:bottom w:val="single" w:sz="8" w:space="0" w:color="F29D00"/>
          <w:right w:val="single" w:sz="8" w:space="0" w:color="F29D00"/>
        </w:tcBorders>
      </w:tcPr>
    </w:tblStylePr>
    <w:tblStylePr w:type="band1Horz">
      <w:tblPr/>
      <w:tcPr>
        <w:tcBorders>
          <w:top w:val="single" w:sz="8" w:space="0" w:color="F29D00"/>
          <w:left w:val="single" w:sz="8" w:space="0" w:color="F29D00"/>
          <w:bottom w:val="single" w:sz="8" w:space="0" w:color="F29D00"/>
          <w:right w:val="single" w:sz="8" w:space="0" w:color="F29D00"/>
        </w:tcBorders>
      </w:tcPr>
    </w:tblStylePr>
  </w:style>
  <w:style w:type="table" w:customStyle="1" w:styleId="LightList-Accent61">
    <w:name w:val="Light List - Accent 61"/>
    <w:basedOn w:val="TableNormal"/>
    <w:next w:val="LightList-Accent6"/>
    <w:uiPriority w:val="61"/>
    <w:rsid w:val="00F90100"/>
    <w:pPr>
      <w:spacing w:after="0" w:line="240" w:lineRule="auto"/>
      <w:jc w:val="both"/>
    </w:pPr>
    <w:rPr>
      <w:rFonts w:ascii="Arial" w:hAnsi="Arial"/>
      <w:color w:val="58595B"/>
      <w:sz w:val="20"/>
      <w:lang w:val="nl-BE"/>
    </w:rPr>
    <w:tblPr>
      <w:tblStyleRowBandSize w:val="1"/>
      <w:tblStyleColBandSize w:val="1"/>
      <w:tblBorders>
        <w:top w:val="single" w:sz="8" w:space="0" w:color="C85019"/>
        <w:left w:val="single" w:sz="8" w:space="0" w:color="C85019"/>
        <w:bottom w:val="single" w:sz="8" w:space="0" w:color="C85019"/>
        <w:right w:val="single" w:sz="8" w:space="0" w:color="C85019"/>
      </w:tblBorders>
    </w:tblPr>
    <w:tblStylePr w:type="firstRow">
      <w:pPr>
        <w:spacing w:before="0" w:after="0" w:line="240" w:lineRule="auto"/>
      </w:pPr>
      <w:rPr>
        <w:b/>
        <w:bCs/>
        <w:color w:val="A5A5A5"/>
      </w:rPr>
      <w:tblPr/>
      <w:tcPr>
        <w:shd w:val="clear" w:color="auto" w:fill="C85019"/>
      </w:tcPr>
    </w:tblStylePr>
    <w:tblStylePr w:type="lastRow">
      <w:pPr>
        <w:spacing w:before="0" w:after="0" w:line="240" w:lineRule="auto"/>
      </w:pPr>
      <w:rPr>
        <w:b/>
        <w:bCs/>
      </w:rPr>
      <w:tblPr/>
      <w:tcPr>
        <w:tcBorders>
          <w:top w:val="double" w:sz="6" w:space="0" w:color="C85019"/>
          <w:left w:val="single" w:sz="8" w:space="0" w:color="C85019"/>
          <w:bottom w:val="single" w:sz="8" w:space="0" w:color="C85019"/>
          <w:right w:val="single" w:sz="8" w:space="0" w:color="C85019"/>
        </w:tcBorders>
      </w:tcPr>
    </w:tblStylePr>
    <w:tblStylePr w:type="firstCol">
      <w:rPr>
        <w:b/>
        <w:bCs/>
      </w:rPr>
    </w:tblStylePr>
    <w:tblStylePr w:type="lastCol">
      <w:rPr>
        <w:b/>
        <w:bCs/>
      </w:rPr>
    </w:tblStylePr>
    <w:tblStylePr w:type="band1Vert">
      <w:tblPr/>
      <w:tcPr>
        <w:tcBorders>
          <w:top w:val="single" w:sz="8" w:space="0" w:color="C85019"/>
          <w:left w:val="single" w:sz="8" w:space="0" w:color="C85019"/>
          <w:bottom w:val="single" w:sz="8" w:space="0" w:color="C85019"/>
          <w:right w:val="single" w:sz="8" w:space="0" w:color="C85019"/>
        </w:tcBorders>
      </w:tcPr>
    </w:tblStylePr>
    <w:tblStylePr w:type="band1Horz">
      <w:tblPr/>
      <w:tcPr>
        <w:tcBorders>
          <w:top w:val="single" w:sz="8" w:space="0" w:color="C85019"/>
          <w:left w:val="single" w:sz="8" w:space="0" w:color="C85019"/>
          <w:bottom w:val="single" w:sz="8" w:space="0" w:color="C85019"/>
          <w:right w:val="single" w:sz="8" w:space="0" w:color="C85019"/>
        </w:tcBorders>
      </w:tcPr>
    </w:tblStylePr>
  </w:style>
  <w:style w:type="table" w:customStyle="1" w:styleId="LightShading1">
    <w:name w:val="Light Shading1"/>
    <w:basedOn w:val="TableNormal"/>
    <w:next w:val="LightShading"/>
    <w:uiPriority w:val="60"/>
    <w:rsid w:val="00F90100"/>
    <w:pPr>
      <w:spacing w:after="0" w:line="240" w:lineRule="auto"/>
      <w:jc w:val="both"/>
    </w:pPr>
    <w:rPr>
      <w:rFonts w:ascii="Arial" w:hAnsi="Arial"/>
      <w:color w:val="424244"/>
      <w:sz w:val="20"/>
      <w:lang w:val="nl-BE"/>
    </w:rPr>
    <w:tblPr>
      <w:tblStyleRowBandSize w:val="1"/>
      <w:tblStyleColBandSize w:val="1"/>
      <w:tblBorders>
        <w:top w:val="single" w:sz="8" w:space="0" w:color="58595B"/>
        <w:bottom w:val="single" w:sz="8" w:space="0" w:color="58595B"/>
      </w:tblBorders>
    </w:tblPr>
    <w:tblStylePr w:type="firstRow">
      <w:pPr>
        <w:spacing w:before="0" w:after="0" w:line="240" w:lineRule="auto"/>
      </w:pPr>
      <w:rPr>
        <w:b/>
        <w:bCs/>
      </w:rPr>
      <w:tblPr/>
      <w:tcPr>
        <w:tcBorders>
          <w:top w:val="single" w:sz="8" w:space="0" w:color="58595B"/>
          <w:left w:val="nil"/>
          <w:bottom w:val="single" w:sz="8" w:space="0" w:color="58595B"/>
          <w:right w:val="nil"/>
          <w:insideH w:val="nil"/>
          <w:insideV w:val="nil"/>
        </w:tcBorders>
      </w:tcPr>
    </w:tblStylePr>
    <w:tblStylePr w:type="lastRow">
      <w:pPr>
        <w:spacing w:before="0" w:after="0" w:line="240" w:lineRule="auto"/>
      </w:pPr>
      <w:rPr>
        <w:b/>
        <w:bCs/>
      </w:rPr>
      <w:tblPr/>
      <w:tcPr>
        <w:tcBorders>
          <w:top w:val="single" w:sz="8" w:space="0" w:color="58595B"/>
          <w:left w:val="nil"/>
          <w:bottom w:val="single" w:sz="8" w:space="0" w:color="58595B"/>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5D5D6"/>
      </w:tcPr>
    </w:tblStylePr>
    <w:tblStylePr w:type="band1Horz">
      <w:tblPr/>
      <w:tcPr>
        <w:tcBorders>
          <w:left w:val="nil"/>
          <w:right w:val="nil"/>
          <w:insideH w:val="nil"/>
          <w:insideV w:val="nil"/>
        </w:tcBorders>
        <w:shd w:val="clear" w:color="auto" w:fill="D5D5D6"/>
      </w:tcPr>
    </w:tblStylePr>
  </w:style>
  <w:style w:type="table" w:customStyle="1" w:styleId="LightShading-Accent11">
    <w:name w:val="Light Shading - Accent 11"/>
    <w:basedOn w:val="TableNormal"/>
    <w:next w:val="LightShading-Accent1"/>
    <w:uiPriority w:val="60"/>
    <w:rsid w:val="00F90100"/>
    <w:pPr>
      <w:spacing w:after="0" w:line="240" w:lineRule="auto"/>
      <w:jc w:val="both"/>
    </w:pPr>
    <w:rPr>
      <w:rFonts w:ascii="Arial" w:hAnsi="Arial"/>
      <w:color w:val="2B7F27"/>
      <w:sz w:val="20"/>
      <w:lang w:val="nl-BE"/>
    </w:rPr>
    <w:tblPr>
      <w:tblStyleRowBandSize w:val="1"/>
      <w:tblStyleColBandSize w:val="1"/>
      <w:tblBorders>
        <w:top w:val="single" w:sz="8" w:space="0" w:color="3AAA35"/>
        <w:bottom w:val="single" w:sz="8" w:space="0" w:color="3AAA35"/>
      </w:tblBorders>
    </w:tblPr>
    <w:tblStylePr w:type="firstRow">
      <w:pPr>
        <w:spacing w:before="0" w:after="0" w:line="240" w:lineRule="auto"/>
      </w:pPr>
      <w:rPr>
        <w:b/>
        <w:bCs/>
      </w:rPr>
      <w:tblPr/>
      <w:tcPr>
        <w:tcBorders>
          <w:top w:val="single" w:sz="8" w:space="0" w:color="3AAA35"/>
          <w:left w:val="nil"/>
          <w:bottom w:val="single" w:sz="8" w:space="0" w:color="3AAA35"/>
          <w:right w:val="nil"/>
          <w:insideH w:val="nil"/>
          <w:insideV w:val="nil"/>
        </w:tcBorders>
      </w:tcPr>
    </w:tblStylePr>
    <w:tblStylePr w:type="lastRow">
      <w:pPr>
        <w:spacing w:before="0" w:after="0" w:line="240" w:lineRule="auto"/>
      </w:pPr>
      <w:rPr>
        <w:b/>
        <w:bCs/>
      </w:rPr>
      <w:tblPr/>
      <w:tcPr>
        <w:tcBorders>
          <w:top w:val="single" w:sz="8" w:space="0" w:color="3AAA35"/>
          <w:left w:val="nil"/>
          <w:bottom w:val="single" w:sz="8" w:space="0" w:color="3AAA3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AEEC8"/>
      </w:tcPr>
    </w:tblStylePr>
    <w:tblStylePr w:type="band1Horz">
      <w:tblPr/>
      <w:tcPr>
        <w:tcBorders>
          <w:left w:val="nil"/>
          <w:right w:val="nil"/>
          <w:insideH w:val="nil"/>
          <w:insideV w:val="nil"/>
        </w:tcBorders>
        <w:shd w:val="clear" w:color="auto" w:fill="CAEEC8"/>
      </w:tcPr>
    </w:tblStylePr>
  </w:style>
  <w:style w:type="table" w:customStyle="1" w:styleId="LightShading-Accent21">
    <w:name w:val="Light Shading - Accent 21"/>
    <w:basedOn w:val="TableNormal"/>
    <w:next w:val="LightShading-Accent2"/>
    <w:uiPriority w:val="60"/>
    <w:rsid w:val="00F90100"/>
    <w:pPr>
      <w:spacing w:after="0" w:line="240" w:lineRule="auto"/>
      <w:jc w:val="both"/>
    </w:pPr>
    <w:rPr>
      <w:rFonts w:ascii="Arial" w:hAnsi="Arial"/>
      <w:color w:val="004C26"/>
      <w:sz w:val="20"/>
      <w:lang w:val="nl-BE"/>
    </w:rPr>
    <w:tblPr>
      <w:tblStyleRowBandSize w:val="1"/>
      <w:tblStyleColBandSize w:val="1"/>
      <w:tblBorders>
        <w:top w:val="single" w:sz="8" w:space="0" w:color="006633"/>
        <w:bottom w:val="single" w:sz="8" w:space="0" w:color="006633"/>
      </w:tblBorders>
    </w:tblPr>
    <w:tblStylePr w:type="firstRow">
      <w:pPr>
        <w:spacing w:before="0" w:after="0" w:line="240" w:lineRule="auto"/>
      </w:pPr>
      <w:rPr>
        <w:b/>
        <w:bCs/>
      </w:rPr>
      <w:tblPr/>
      <w:tcPr>
        <w:tcBorders>
          <w:top w:val="single" w:sz="8" w:space="0" w:color="006633"/>
          <w:left w:val="nil"/>
          <w:bottom w:val="single" w:sz="8" w:space="0" w:color="006633"/>
          <w:right w:val="nil"/>
          <w:insideH w:val="nil"/>
          <w:insideV w:val="nil"/>
        </w:tcBorders>
      </w:tcPr>
    </w:tblStylePr>
    <w:tblStylePr w:type="lastRow">
      <w:pPr>
        <w:spacing w:before="0" w:after="0" w:line="240" w:lineRule="auto"/>
      </w:pPr>
      <w:rPr>
        <w:b/>
        <w:bCs/>
      </w:rPr>
      <w:tblPr/>
      <w:tcPr>
        <w:tcBorders>
          <w:top w:val="single" w:sz="8" w:space="0" w:color="006633"/>
          <w:left w:val="nil"/>
          <w:bottom w:val="single" w:sz="8" w:space="0" w:color="00663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9AFFCC"/>
      </w:tcPr>
    </w:tblStylePr>
    <w:tblStylePr w:type="band1Horz">
      <w:tblPr/>
      <w:tcPr>
        <w:tcBorders>
          <w:left w:val="nil"/>
          <w:right w:val="nil"/>
          <w:insideH w:val="nil"/>
          <w:insideV w:val="nil"/>
        </w:tcBorders>
        <w:shd w:val="clear" w:color="auto" w:fill="9AFFCC"/>
      </w:tcPr>
    </w:tblStylePr>
  </w:style>
  <w:style w:type="table" w:customStyle="1" w:styleId="LightShading-Accent31">
    <w:name w:val="Light Shading - Accent 31"/>
    <w:basedOn w:val="TableNormal"/>
    <w:next w:val="LightShading-Accent3"/>
    <w:uiPriority w:val="60"/>
    <w:rsid w:val="00F90100"/>
    <w:pPr>
      <w:spacing w:after="0" w:line="240" w:lineRule="auto"/>
      <w:jc w:val="both"/>
    </w:pPr>
    <w:rPr>
      <w:rFonts w:ascii="Arial" w:hAnsi="Arial"/>
      <w:color w:val="8C9B00"/>
      <w:sz w:val="20"/>
      <w:lang w:val="nl-BE"/>
    </w:rPr>
    <w:tblPr>
      <w:tblStyleRowBandSize w:val="1"/>
      <w:tblStyleColBandSize w:val="1"/>
      <w:tblBorders>
        <w:top w:val="single" w:sz="8" w:space="0" w:color="BCCF00"/>
        <w:bottom w:val="single" w:sz="8" w:space="0" w:color="BCCF00"/>
      </w:tblBorders>
    </w:tblPr>
    <w:tblStylePr w:type="firstRow">
      <w:pPr>
        <w:spacing w:before="0" w:after="0" w:line="240" w:lineRule="auto"/>
      </w:pPr>
      <w:rPr>
        <w:b/>
        <w:bCs/>
      </w:rPr>
      <w:tblPr/>
      <w:tcPr>
        <w:tcBorders>
          <w:top w:val="single" w:sz="8" w:space="0" w:color="BCCF00"/>
          <w:left w:val="nil"/>
          <w:bottom w:val="single" w:sz="8" w:space="0" w:color="BCCF00"/>
          <w:right w:val="nil"/>
          <w:insideH w:val="nil"/>
          <w:insideV w:val="nil"/>
        </w:tcBorders>
      </w:tcPr>
    </w:tblStylePr>
    <w:tblStylePr w:type="lastRow">
      <w:pPr>
        <w:spacing w:before="0" w:after="0" w:line="240" w:lineRule="auto"/>
      </w:pPr>
      <w:rPr>
        <w:b/>
        <w:bCs/>
      </w:rPr>
      <w:tblPr/>
      <w:tcPr>
        <w:tcBorders>
          <w:top w:val="single" w:sz="8" w:space="0" w:color="BCCF00"/>
          <w:left w:val="nil"/>
          <w:bottom w:val="single" w:sz="8" w:space="0" w:color="BCCF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FFB4"/>
      </w:tcPr>
    </w:tblStylePr>
    <w:tblStylePr w:type="band1Horz">
      <w:tblPr/>
      <w:tcPr>
        <w:tcBorders>
          <w:left w:val="nil"/>
          <w:right w:val="nil"/>
          <w:insideH w:val="nil"/>
          <w:insideV w:val="nil"/>
        </w:tcBorders>
        <w:shd w:val="clear" w:color="auto" w:fill="F7FFB4"/>
      </w:tcPr>
    </w:tblStylePr>
  </w:style>
  <w:style w:type="table" w:customStyle="1" w:styleId="LightShading-Accent41">
    <w:name w:val="Light Shading - Accent 41"/>
    <w:basedOn w:val="TableNormal"/>
    <w:next w:val="LightShading-Accent4"/>
    <w:uiPriority w:val="60"/>
    <w:rsid w:val="00F90100"/>
    <w:pPr>
      <w:spacing w:after="0" w:line="240" w:lineRule="auto"/>
      <w:jc w:val="both"/>
    </w:pPr>
    <w:rPr>
      <w:rFonts w:ascii="Arial" w:hAnsi="Arial"/>
      <w:color w:val="BB9F00"/>
      <w:sz w:val="20"/>
      <w:lang w:val="nl-BE"/>
    </w:rPr>
    <w:tblPr>
      <w:tblStyleRowBandSize w:val="1"/>
      <w:tblStyleColBandSize w:val="1"/>
      <w:tblBorders>
        <w:top w:val="single" w:sz="8" w:space="0" w:color="FAD500"/>
        <w:bottom w:val="single" w:sz="8" w:space="0" w:color="FAD500"/>
      </w:tblBorders>
    </w:tblPr>
    <w:tblStylePr w:type="firstRow">
      <w:pPr>
        <w:spacing w:before="0" w:after="0" w:line="240" w:lineRule="auto"/>
      </w:pPr>
      <w:rPr>
        <w:b/>
        <w:bCs/>
      </w:rPr>
      <w:tblPr/>
      <w:tcPr>
        <w:tcBorders>
          <w:top w:val="single" w:sz="8" w:space="0" w:color="FAD500"/>
          <w:left w:val="nil"/>
          <w:bottom w:val="single" w:sz="8" w:space="0" w:color="FAD500"/>
          <w:right w:val="nil"/>
          <w:insideH w:val="nil"/>
          <w:insideV w:val="nil"/>
        </w:tcBorders>
      </w:tcPr>
    </w:tblStylePr>
    <w:tblStylePr w:type="lastRow">
      <w:pPr>
        <w:spacing w:before="0" w:after="0" w:line="240" w:lineRule="auto"/>
      </w:pPr>
      <w:rPr>
        <w:b/>
        <w:bCs/>
      </w:rPr>
      <w:tblPr/>
      <w:tcPr>
        <w:tcBorders>
          <w:top w:val="single" w:sz="8" w:space="0" w:color="FAD500"/>
          <w:left w:val="nil"/>
          <w:bottom w:val="single" w:sz="8" w:space="0" w:color="FAD5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F5BE"/>
      </w:tcPr>
    </w:tblStylePr>
    <w:tblStylePr w:type="band1Horz">
      <w:tblPr/>
      <w:tcPr>
        <w:tcBorders>
          <w:left w:val="nil"/>
          <w:right w:val="nil"/>
          <w:insideH w:val="nil"/>
          <w:insideV w:val="nil"/>
        </w:tcBorders>
        <w:shd w:val="clear" w:color="auto" w:fill="FFF5BE"/>
      </w:tcPr>
    </w:tblStylePr>
  </w:style>
  <w:style w:type="table" w:customStyle="1" w:styleId="LightShading-Accent51">
    <w:name w:val="Light Shading - Accent 51"/>
    <w:basedOn w:val="TableNormal"/>
    <w:next w:val="LightShading-Accent5"/>
    <w:uiPriority w:val="60"/>
    <w:rsid w:val="00F90100"/>
    <w:pPr>
      <w:spacing w:after="0" w:line="240" w:lineRule="auto"/>
      <w:jc w:val="both"/>
    </w:pPr>
    <w:rPr>
      <w:rFonts w:ascii="Arial" w:hAnsi="Arial"/>
      <w:color w:val="B57500"/>
      <w:sz w:val="20"/>
      <w:lang w:val="nl-BE"/>
    </w:rPr>
    <w:tblPr>
      <w:tblStyleRowBandSize w:val="1"/>
      <w:tblStyleColBandSize w:val="1"/>
      <w:tblBorders>
        <w:top w:val="single" w:sz="8" w:space="0" w:color="F29D00"/>
        <w:bottom w:val="single" w:sz="8" w:space="0" w:color="F29D00"/>
      </w:tblBorders>
    </w:tblPr>
    <w:tblStylePr w:type="firstRow">
      <w:pPr>
        <w:spacing w:before="0" w:after="0" w:line="240" w:lineRule="auto"/>
      </w:pPr>
      <w:rPr>
        <w:b/>
        <w:bCs/>
      </w:rPr>
      <w:tblPr/>
      <w:tcPr>
        <w:tcBorders>
          <w:top w:val="single" w:sz="8" w:space="0" w:color="F29D00"/>
          <w:left w:val="nil"/>
          <w:bottom w:val="single" w:sz="8" w:space="0" w:color="F29D00"/>
          <w:right w:val="nil"/>
          <w:insideH w:val="nil"/>
          <w:insideV w:val="nil"/>
        </w:tcBorders>
      </w:tcPr>
    </w:tblStylePr>
    <w:tblStylePr w:type="lastRow">
      <w:pPr>
        <w:spacing w:before="0" w:after="0" w:line="240" w:lineRule="auto"/>
      </w:pPr>
      <w:rPr>
        <w:b/>
        <w:bCs/>
      </w:rPr>
      <w:tblPr/>
      <w:tcPr>
        <w:tcBorders>
          <w:top w:val="single" w:sz="8" w:space="0" w:color="F29D00"/>
          <w:left w:val="nil"/>
          <w:bottom w:val="single" w:sz="8" w:space="0" w:color="F29D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7BC"/>
      </w:tcPr>
    </w:tblStylePr>
    <w:tblStylePr w:type="band1Horz">
      <w:tblPr/>
      <w:tcPr>
        <w:tcBorders>
          <w:left w:val="nil"/>
          <w:right w:val="nil"/>
          <w:insideH w:val="nil"/>
          <w:insideV w:val="nil"/>
        </w:tcBorders>
        <w:shd w:val="clear" w:color="auto" w:fill="FFE7BC"/>
      </w:tcPr>
    </w:tblStylePr>
  </w:style>
  <w:style w:type="table" w:customStyle="1" w:styleId="LightShading-Accent61">
    <w:name w:val="Light Shading - Accent 61"/>
    <w:basedOn w:val="TableNormal"/>
    <w:next w:val="LightShading-Accent6"/>
    <w:uiPriority w:val="60"/>
    <w:rsid w:val="00F90100"/>
    <w:pPr>
      <w:spacing w:after="0" w:line="240" w:lineRule="auto"/>
      <w:jc w:val="both"/>
    </w:pPr>
    <w:rPr>
      <w:rFonts w:ascii="Arial" w:hAnsi="Arial"/>
      <w:color w:val="953B12"/>
      <w:sz w:val="20"/>
      <w:lang w:val="nl-BE"/>
    </w:rPr>
    <w:tblPr>
      <w:tblStyleRowBandSize w:val="1"/>
      <w:tblStyleColBandSize w:val="1"/>
      <w:tblBorders>
        <w:top w:val="single" w:sz="8" w:space="0" w:color="C85019"/>
        <w:bottom w:val="single" w:sz="8" w:space="0" w:color="C85019"/>
      </w:tblBorders>
    </w:tblPr>
    <w:tblStylePr w:type="firstRow">
      <w:pPr>
        <w:spacing w:before="0" w:after="0" w:line="240" w:lineRule="auto"/>
      </w:pPr>
      <w:rPr>
        <w:b/>
        <w:bCs/>
      </w:rPr>
      <w:tblPr/>
      <w:tcPr>
        <w:tcBorders>
          <w:top w:val="single" w:sz="8" w:space="0" w:color="C85019"/>
          <w:left w:val="nil"/>
          <w:bottom w:val="single" w:sz="8" w:space="0" w:color="C85019"/>
          <w:right w:val="nil"/>
          <w:insideH w:val="nil"/>
          <w:insideV w:val="nil"/>
        </w:tcBorders>
      </w:tcPr>
    </w:tblStylePr>
    <w:tblStylePr w:type="lastRow">
      <w:pPr>
        <w:spacing w:before="0" w:after="0" w:line="240" w:lineRule="auto"/>
      </w:pPr>
      <w:rPr>
        <w:b/>
        <w:bCs/>
      </w:rPr>
      <w:tblPr/>
      <w:tcPr>
        <w:tcBorders>
          <w:top w:val="single" w:sz="8" w:space="0" w:color="C85019"/>
          <w:left w:val="nil"/>
          <w:bottom w:val="single" w:sz="8" w:space="0" w:color="C8501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D1C0"/>
      </w:tcPr>
    </w:tblStylePr>
    <w:tblStylePr w:type="band1Horz">
      <w:tblPr/>
      <w:tcPr>
        <w:tcBorders>
          <w:left w:val="nil"/>
          <w:right w:val="nil"/>
          <w:insideH w:val="nil"/>
          <w:insideV w:val="nil"/>
        </w:tcBorders>
        <w:shd w:val="clear" w:color="auto" w:fill="F7D1C0"/>
      </w:tcPr>
    </w:tblStylePr>
  </w:style>
  <w:style w:type="paragraph" w:styleId="List">
    <w:name w:val="List"/>
    <w:basedOn w:val="Normal"/>
    <w:uiPriority w:val="99"/>
    <w:semiHidden/>
    <w:unhideWhenUsed/>
    <w:rsid w:val="00F90100"/>
    <w:pPr>
      <w:spacing w:before="0" w:after="0" w:line="276" w:lineRule="auto"/>
      <w:ind w:left="283" w:hanging="283"/>
      <w:contextualSpacing/>
      <w:jc w:val="both"/>
    </w:pPr>
    <w:rPr>
      <w:rFonts w:ascii="Arial" w:hAnsi="Arial"/>
      <w:color w:val="58595B"/>
      <w:sz w:val="20"/>
      <w:lang w:val="nl-BE"/>
    </w:rPr>
  </w:style>
  <w:style w:type="paragraph" w:styleId="List2">
    <w:name w:val="List 2"/>
    <w:basedOn w:val="Normal"/>
    <w:uiPriority w:val="99"/>
    <w:semiHidden/>
    <w:unhideWhenUsed/>
    <w:rsid w:val="00F90100"/>
    <w:pPr>
      <w:spacing w:before="0" w:after="0" w:line="276" w:lineRule="auto"/>
      <w:ind w:left="566" w:hanging="283"/>
      <w:contextualSpacing/>
      <w:jc w:val="both"/>
    </w:pPr>
    <w:rPr>
      <w:rFonts w:ascii="Arial" w:hAnsi="Arial"/>
      <w:color w:val="58595B"/>
      <w:sz w:val="20"/>
      <w:lang w:val="nl-BE"/>
    </w:rPr>
  </w:style>
  <w:style w:type="paragraph" w:styleId="List3">
    <w:name w:val="List 3"/>
    <w:basedOn w:val="Normal"/>
    <w:uiPriority w:val="99"/>
    <w:semiHidden/>
    <w:unhideWhenUsed/>
    <w:rsid w:val="00F90100"/>
    <w:pPr>
      <w:spacing w:before="0" w:after="0" w:line="276" w:lineRule="auto"/>
      <w:ind w:left="849" w:hanging="283"/>
      <w:contextualSpacing/>
      <w:jc w:val="both"/>
    </w:pPr>
    <w:rPr>
      <w:rFonts w:ascii="Arial" w:hAnsi="Arial"/>
      <w:color w:val="58595B"/>
      <w:sz w:val="20"/>
      <w:lang w:val="nl-BE"/>
    </w:rPr>
  </w:style>
  <w:style w:type="paragraph" w:styleId="List4">
    <w:name w:val="List 4"/>
    <w:basedOn w:val="Normal"/>
    <w:uiPriority w:val="99"/>
    <w:semiHidden/>
    <w:unhideWhenUsed/>
    <w:rsid w:val="00F90100"/>
    <w:pPr>
      <w:spacing w:before="0" w:after="0" w:line="276" w:lineRule="auto"/>
      <w:ind w:left="1132" w:hanging="283"/>
      <w:contextualSpacing/>
      <w:jc w:val="both"/>
    </w:pPr>
    <w:rPr>
      <w:rFonts w:ascii="Arial" w:hAnsi="Arial"/>
      <w:color w:val="58595B"/>
      <w:sz w:val="20"/>
      <w:lang w:val="nl-BE"/>
    </w:rPr>
  </w:style>
  <w:style w:type="paragraph" w:styleId="List5">
    <w:name w:val="List 5"/>
    <w:basedOn w:val="Normal"/>
    <w:uiPriority w:val="99"/>
    <w:semiHidden/>
    <w:unhideWhenUsed/>
    <w:rsid w:val="00F90100"/>
    <w:pPr>
      <w:spacing w:before="0" w:after="0" w:line="276" w:lineRule="auto"/>
      <w:ind w:left="1415" w:hanging="283"/>
      <w:contextualSpacing/>
      <w:jc w:val="both"/>
    </w:pPr>
    <w:rPr>
      <w:rFonts w:ascii="Arial" w:hAnsi="Arial"/>
      <w:color w:val="58595B"/>
      <w:sz w:val="20"/>
      <w:lang w:val="nl-BE"/>
    </w:rPr>
  </w:style>
  <w:style w:type="paragraph" w:styleId="ListBullet4">
    <w:name w:val="List Bullet 4"/>
    <w:basedOn w:val="Normal"/>
    <w:uiPriority w:val="99"/>
    <w:semiHidden/>
    <w:unhideWhenUsed/>
    <w:rsid w:val="00F90100"/>
    <w:pPr>
      <w:numPr>
        <w:numId w:val="29"/>
      </w:numPr>
      <w:tabs>
        <w:tab w:val="clear" w:pos="1209"/>
        <w:tab w:val="num" w:pos="567"/>
      </w:tabs>
      <w:spacing w:before="0" w:after="0" w:line="276" w:lineRule="auto"/>
      <w:ind w:left="567" w:hanging="567"/>
      <w:contextualSpacing/>
      <w:jc w:val="both"/>
    </w:pPr>
    <w:rPr>
      <w:rFonts w:ascii="Arial" w:hAnsi="Arial"/>
      <w:color w:val="58595B"/>
      <w:sz w:val="20"/>
      <w:lang w:val="nl-BE"/>
    </w:rPr>
  </w:style>
  <w:style w:type="paragraph" w:styleId="ListBullet5">
    <w:name w:val="List Bullet 5"/>
    <w:basedOn w:val="Normal"/>
    <w:uiPriority w:val="99"/>
    <w:semiHidden/>
    <w:unhideWhenUsed/>
    <w:rsid w:val="00F90100"/>
    <w:pPr>
      <w:numPr>
        <w:numId w:val="30"/>
      </w:numPr>
      <w:tabs>
        <w:tab w:val="clear" w:pos="1492"/>
        <w:tab w:val="num" w:pos="567"/>
      </w:tabs>
      <w:spacing w:before="0" w:after="0" w:line="276" w:lineRule="auto"/>
      <w:ind w:left="567" w:hanging="567"/>
      <w:contextualSpacing/>
      <w:jc w:val="both"/>
    </w:pPr>
    <w:rPr>
      <w:rFonts w:ascii="Arial" w:hAnsi="Arial"/>
      <w:color w:val="58595B"/>
      <w:sz w:val="20"/>
      <w:lang w:val="nl-BE"/>
    </w:rPr>
  </w:style>
  <w:style w:type="paragraph" w:styleId="ListContinue">
    <w:name w:val="List Continue"/>
    <w:basedOn w:val="Normal"/>
    <w:uiPriority w:val="99"/>
    <w:semiHidden/>
    <w:unhideWhenUsed/>
    <w:rsid w:val="00F90100"/>
    <w:pPr>
      <w:spacing w:before="0" w:after="120" w:line="276" w:lineRule="auto"/>
      <w:ind w:left="283"/>
      <w:contextualSpacing/>
      <w:jc w:val="both"/>
    </w:pPr>
    <w:rPr>
      <w:rFonts w:ascii="Arial" w:hAnsi="Arial"/>
      <w:color w:val="58595B"/>
      <w:sz w:val="20"/>
      <w:lang w:val="nl-BE"/>
    </w:rPr>
  </w:style>
  <w:style w:type="paragraph" w:styleId="ListContinue2">
    <w:name w:val="List Continue 2"/>
    <w:basedOn w:val="Normal"/>
    <w:uiPriority w:val="99"/>
    <w:semiHidden/>
    <w:unhideWhenUsed/>
    <w:rsid w:val="00F90100"/>
    <w:pPr>
      <w:spacing w:before="0" w:after="120" w:line="276" w:lineRule="auto"/>
      <w:ind w:left="566"/>
      <w:contextualSpacing/>
      <w:jc w:val="both"/>
    </w:pPr>
    <w:rPr>
      <w:rFonts w:ascii="Arial" w:hAnsi="Arial"/>
      <w:color w:val="58595B"/>
      <w:sz w:val="20"/>
      <w:lang w:val="nl-BE"/>
    </w:rPr>
  </w:style>
  <w:style w:type="paragraph" w:styleId="ListContinue3">
    <w:name w:val="List Continue 3"/>
    <w:basedOn w:val="Normal"/>
    <w:uiPriority w:val="99"/>
    <w:semiHidden/>
    <w:unhideWhenUsed/>
    <w:rsid w:val="00F90100"/>
    <w:pPr>
      <w:spacing w:before="0" w:after="120" w:line="276" w:lineRule="auto"/>
      <w:ind w:left="849"/>
      <w:contextualSpacing/>
      <w:jc w:val="both"/>
    </w:pPr>
    <w:rPr>
      <w:rFonts w:ascii="Arial" w:hAnsi="Arial"/>
      <w:color w:val="58595B"/>
      <w:sz w:val="20"/>
      <w:lang w:val="nl-BE"/>
    </w:rPr>
  </w:style>
  <w:style w:type="paragraph" w:styleId="ListContinue4">
    <w:name w:val="List Continue 4"/>
    <w:basedOn w:val="Normal"/>
    <w:uiPriority w:val="99"/>
    <w:semiHidden/>
    <w:unhideWhenUsed/>
    <w:rsid w:val="00F90100"/>
    <w:pPr>
      <w:spacing w:before="0" w:after="120" w:line="276" w:lineRule="auto"/>
      <w:ind w:left="1132"/>
      <w:contextualSpacing/>
      <w:jc w:val="both"/>
    </w:pPr>
    <w:rPr>
      <w:rFonts w:ascii="Arial" w:hAnsi="Arial"/>
      <w:color w:val="58595B"/>
      <w:sz w:val="20"/>
      <w:lang w:val="nl-BE"/>
    </w:rPr>
  </w:style>
  <w:style w:type="paragraph" w:styleId="ListContinue5">
    <w:name w:val="List Continue 5"/>
    <w:basedOn w:val="Normal"/>
    <w:uiPriority w:val="99"/>
    <w:semiHidden/>
    <w:unhideWhenUsed/>
    <w:rsid w:val="00F90100"/>
    <w:pPr>
      <w:spacing w:before="0" w:after="120" w:line="276" w:lineRule="auto"/>
      <w:ind w:left="1415"/>
      <w:contextualSpacing/>
      <w:jc w:val="both"/>
    </w:pPr>
    <w:rPr>
      <w:rFonts w:ascii="Arial" w:hAnsi="Arial"/>
      <w:color w:val="58595B"/>
      <w:sz w:val="20"/>
      <w:lang w:val="nl-BE"/>
    </w:rPr>
  </w:style>
  <w:style w:type="paragraph" w:styleId="ListNumber4">
    <w:name w:val="List Number 4"/>
    <w:basedOn w:val="Normal"/>
    <w:uiPriority w:val="99"/>
    <w:semiHidden/>
    <w:unhideWhenUsed/>
    <w:rsid w:val="00F90100"/>
    <w:pPr>
      <w:numPr>
        <w:numId w:val="31"/>
      </w:numPr>
      <w:tabs>
        <w:tab w:val="clear" w:pos="1209"/>
        <w:tab w:val="num" w:pos="567"/>
      </w:tabs>
      <w:spacing w:before="0" w:after="0" w:line="276" w:lineRule="auto"/>
      <w:ind w:left="567" w:hanging="567"/>
      <w:contextualSpacing/>
      <w:jc w:val="both"/>
    </w:pPr>
    <w:rPr>
      <w:rFonts w:ascii="Arial" w:hAnsi="Arial"/>
      <w:color w:val="58595B"/>
      <w:sz w:val="20"/>
      <w:lang w:val="nl-BE"/>
    </w:rPr>
  </w:style>
  <w:style w:type="paragraph" w:styleId="ListNumber5">
    <w:name w:val="List Number 5"/>
    <w:basedOn w:val="Normal"/>
    <w:uiPriority w:val="99"/>
    <w:semiHidden/>
    <w:unhideWhenUsed/>
    <w:rsid w:val="00F90100"/>
    <w:pPr>
      <w:numPr>
        <w:numId w:val="32"/>
      </w:numPr>
      <w:tabs>
        <w:tab w:val="clear" w:pos="1492"/>
      </w:tabs>
      <w:spacing w:before="0" w:after="0" w:line="276" w:lineRule="auto"/>
      <w:ind w:left="1440"/>
      <w:contextualSpacing/>
      <w:jc w:val="both"/>
    </w:pPr>
    <w:rPr>
      <w:rFonts w:ascii="Arial" w:hAnsi="Arial"/>
      <w:color w:val="58595B"/>
      <w:sz w:val="20"/>
      <w:lang w:val="nl-BE"/>
    </w:rPr>
  </w:style>
  <w:style w:type="paragraph" w:styleId="MacroText">
    <w:name w:val="macro"/>
    <w:link w:val="MacroTextChar"/>
    <w:uiPriority w:val="99"/>
    <w:semiHidden/>
    <w:unhideWhenUsed/>
    <w:rsid w:val="00F90100"/>
    <w:pPr>
      <w:tabs>
        <w:tab w:val="left" w:pos="480"/>
        <w:tab w:val="left" w:pos="960"/>
        <w:tab w:val="left" w:pos="1440"/>
        <w:tab w:val="left" w:pos="1920"/>
        <w:tab w:val="left" w:pos="2400"/>
        <w:tab w:val="left" w:pos="2880"/>
        <w:tab w:val="left" w:pos="3360"/>
        <w:tab w:val="left" w:pos="3840"/>
        <w:tab w:val="left" w:pos="4320"/>
      </w:tabs>
      <w:spacing w:after="0"/>
      <w:jc w:val="both"/>
    </w:pPr>
    <w:rPr>
      <w:rFonts w:ascii="Consolas" w:hAnsi="Consolas"/>
      <w:color w:val="58595B"/>
      <w:sz w:val="20"/>
      <w:szCs w:val="20"/>
      <w:lang w:val="nl-BE"/>
    </w:rPr>
  </w:style>
  <w:style w:type="character" w:customStyle="1" w:styleId="MacroTextChar">
    <w:name w:val="Macro Text Char"/>
    <w:basedOn w:val="DefaultParagraphFont"/>
    <w:link w:val="MacroText"/>
    <w:uiPriority w:val="99"/>
    <w:semiHidden/>
    <w:rsid w:val="00F90100"/>
    <w:rPr>
      <w:rFonts w:ascii="Consolas" w:hAnsi="Consolas"/>
      <w:color w:val="58595B"/>
      <w:sz w:val="20"/>
      <w:szCs w:val="20"/>
      <w:lang w:val="nl-BE"/>
    </w:rPr>
  </w:style>
  <w:style w:type="table" w:customStyle="1" w:styleId="MediumGrid11">
    <w:name w:val="Medium Grid 11"/>
    <w:basedOn w:val="TableNormal"/>
    <w:next w:val="MediumGrid1"/>
    <w:uiPriority w:val="67"/>
    <w:rsid w:val="00F90100"/>
    <w:pPr>
      <w:spacing w:after="0" w:line="240" w:lineRule="auto"/>
      <w:jc w:val="both"/>
    </w:pPr>
    <w:rPr>
      <w:rFonts w:ascii="Arial" w:hAnsi="Arial"/>
      <w:color w:val="58595B"/>
      <w:sz w:val="20"/>
      <w:lang w:val="nl-BE"/>
    </w:rPr>
    <w:tblPr>
      <w:tblStyleRowBandSize w:val="1"/>
      <w:tblStyleColBandSize w:val="1"/>
      <w:tblBorders>
        <w:top w:val="single" w:sz="8" w:space="0" w:color="808285"/>
        <w:left w:val="single" w:sz="8" w:space="0" w:color="808285"/>
        <w:bottom w:val="single" w:sz="8" w:space="0" w:color="808285"/>
        <w:right w:val="single" w:sz="8" w:space="0" w:color="808285"/>
        <w:insideH w:val="single" w:sz="8" w:space="0" w:color="808285"/>
        <w:insideV w:val="single" w:sz="8" w:space="0" w:color="808285"/>
      </w:tblBorders>
    </w:tblPr>
    <w:tcPr>
      <w:shd w:val="clear" w:color="auto" w:fill="D5D5D6"/>
    </w:tcPr>
    <w:tblStylePr w:type="firstRow">
      <w:rPr>
        <w:b/>
        <w:bCs/>
      </w:rPr>
    </w:tblStylePr>
    <w:tblStylePr w:type="lastRow">
      <w:rPr>
        <w:b/>
        <w:bCs/>
      </w:rPr>
      <w:tblPr/>
      <w:tcPr>
        <w:tcBorders>
          <w:top w:val="single" w:sz="18" w:space="0" w:color="808285"/>
        </w:tcBorders>
      </w:tcPr>
    </w:tblStylePr>
    <w:tblStylePr w:type="firstCol">
      <w:rPr>
        <w:b/>
        <w:bCs/>
      </w:rPr>
    </w:tblStylePr>
    <w:tblStylePr w:type="lastCol">
      <w:rPr>
        <w:b/>
        <w:bCs/>
      </w:rPr>
    </w:tblStylePr>
    <w:tblStylePr w:type="band1Vert">
      <w:tblPr/>
      <w:tcPr>
        <w:shd w:val="clear" w:color="auto" w:fill="ABACAE"/>
      </w:tcPr>
    </w:tblStylePr>
    <w:tblStylePr w:type="band1Horz">
      <w:tblPr/>
      <w:tcPr>
        <w:shd w:val="clear" w:color="auto" w:fill="ABACAE"/>
      </w:tcPr>
    </w:tblStylePr>
  </w:style>
  <w:style w:type="table" w:customStyle="1" w:styleId="MediumGrid1-Accent11">
    <w:name w:val="Medium Grid 1 - Accent 11"/>
    <w:basedOn w:val="TableNormal"/>
    <w:next w:val="MediumGrid1-Accent1"/>
    <w:uiPriority w:val="67"/>
    <w:rsid w:val="00F90100"/>
    <w:pPr>
      <w:spacing w:after="0" w:line="240" w:lineRule="auto"/>
      <w:jc w:val="both"/>
    </w:pPr>
    <w:rPr>
      <w:rFonts w:ascii="Arial" w:hAnsi="Arial"/>
      <w:color w:val="58595B"/>
      <w:sz w:val="20"/>
      <w:lang w:val="nl-BE"/>
    </w:rPr>
    <w:tblPr>
      <w:tblStyleRowBandSize w:val="1"/>
      <w:tblStyleColBandSize w:val="1"/>
      <w:tblBorders>
        <w:top w:val="single" w:sz="8" w:space="0" w:color="5FCC5B"/>
        <w:left w:val="single" w:sz="8" w:space="0" w:color="5FCC5B"/>
        <w:bottom w:val="single" w:sz="8" w:space="0" w:color="5FCC5B"/>
        <w:right w:val="single" w:sz="8" w:space="0" w:color="5FCC5B"/>
        <w:insideH w:val="single" w:sz="8" w:space="0" w:color="5FCC5B"/>
        <w:insideV w:val="single" w:sz="8" w:space="0" w:color="5FCC5B"/>
      </w:tblBorders>
    </w:tblPr>
    <w:tcPr>
      <w:shd w:val="clear" w:color="auto" w:fill="CAEEC8"/>
    </w:tcPr>
    <w:tblStylePr w:type="firstRow">
      <w:rPr>
        <w:b/>
        <w:bCs/>
      </w:rPr>
    </w:tblStylePr>
    <w:tblStylePr w:type="lastRow">
      <w:rPr>
        <w:b/>
        <w:bCs/>
      </w:rPr>
      <w:tblPr/>
      <w:tcPr>
        <w:tcBorders>
          <w:top w:val="single" w:sz="18" w:space="0" w:color="5FCC5B"/>
        </w:tcBorders>
      </w:tcPr>
    </w:tblStylePr>
    <w:tblStylePr w:type="firstCol">
      <w:rPr>
        <w:b/>
        <w:bCs/>
      </w:rPr>
    </w:tblStylePr>
    <w:tblStylePr w:type="lastCol">
      <w:rPr>
        <w:b/>
        <w:bCs/>
      </w:rPr>
    </w:tblStylePr>
    <w:tblStylePr w:type="band1Vert">
      <w:tblPr/>
      <w:tcPr>
        <w:shd w:val="clear" w:color="auto" w:fill="94DD92"/>
      </w:tcPr>
    </w:tblStylePr>
    <w:tblStylePr w:type="band1Horz">
      <w:tblPr/>
      <w:tcPr>
        <w:shd w:val="clear" w:color="auto" w:fill="94DD92"/>
      </w:tcPr>
    </w:tblStylePr>
  </w:style>
  <w:style w:type="table" w:customStyle="1" w:styleId="MediumGrid1-Accent21">
    <w:name w:val="Medium Grid 1 - Accent 21"/>
    <w:basedOn w:val="TableNormal"/>
    <w:next w:val="MediumGrid1-Accent2"/>
    <w:uiPriority w:val="67"/>
    <w:rsid w:val="00F90100"/>
    <w:pPr>
      <w:spacing w:after="0" w:line="240" w:lineRule="auto"/>
      <w:jc w:val="both"/>
    </w:pPr>
    <w:rPr>
      <w:rFonts w:ascii="Arial" w:hAnsi="Arial"/>
      <w:color w:val="58595B"/>
      <w:sz w:val="20"/>
      <w:lang w:val="nl-BE"/>
    </w:rPr>
    <w:tblPr>
      <w:tblStyleRowBandSize w:val="1"/>
      <w:tblStyleColBandSize w:val="1"/>
      <w:tblBorders>
        <w:top w:val="single" w:sz="8" w:space="0" w:color="00CC65"/>
        <w:left w:val="single" w:sz="8" w:space="0" w:color="00CC65"/>
        <w:bottom w:val="single" w:sz="8" w:space="0" w:color="00CC65"/>
        <w:right w:val="single" w:sz="8" w:space="0" w:color="00CC65"/>
        <w:insideH w:val="single" w:sz="8" w:space="0" w:color="00CC65"/>
        <w:insideV w:val="single" w:sz="8" w:space="0" w:color="00CC65"/>
      </w:tblBorders>
    </w:tblPr>
    <w:tcPr>
      <w:shd w:val="clear" w:color="auto" w:fill="9AFFCC"/>
    </w:tcPr>
    <w:tblStylePr w:type="firstRow">
      <w:rPr>
        <w:b/>
        <w:bCs/>
      </w:rPr>
    </w:tblStylePr>
    <w:tblStylePr w:type="lastRow">
      <w:rPr>
        <w:b/>
        <w:bCs/>
      </w:rPr>
      <w:tblPr/>
      <w:tcPr>
        <w:tcBorders>
          <w:top w:val="single" w:sz="18" w:space="0" w:color="00CC65"/>
        </w:tcBorders>
      </w:tcPr>
    </w:tblStylePr>
    <w:tblStylePr w:type="firstCol">
      <w:rPr>
        <w:b/>
        <w:bCs/>
      </w:rPr>
    </w:tblStylePr>
    <w:tblStylePr w:type="lastCol">
      <w:rPr>
        <w:b/>
        <w:bCs/>
      </w:rPr>
    </w:tblStylePr>
    <w:tblStylePr w:type="band1Vert">
      <w:tblPr/>
      <w:tcPr>
        <w:shd w:val="clear" w:color="auto" w:fill="33FF98"/>
      </w:tcPr>
    </w:tblStylePr>
    <w:tblStylePr w:type="band1Horz">
      <w:tblPr/>
      <w:tcPr>
        <w:shd w:val="clear" w:color="auto" w:fill="33FF98"/>
      </w:tcPr>
    </w:tblStylePr>
  </w:style>
  <w:style w:type="table" w:customStyle="1" w:styleId="MediumGrid1-Accent31">
    <w:name w:val="Medium Grid 1 - Accent 31"/>
    <w:basedOn w:val="TableNormal"/>
    <w:next w:val="MediumGrid1-Accent3"/>
    <w:uiPriority w:val="67"/>
    <w:rsid w:val="00F90100"/>
    <w:pPr>
      <w:spacing w:after="0" w:line="240" w:lineRule="auto"/>
      <w:jc w:val="both"/>
    </w:pPr>
    <w:rPr>
      <w:rFonts w:ascii="Arial" w:hAnsi="Arial"/>
      <w:color w:val="58595B"/>
      <w:sz w:val="20"/>
      <w:lang w:val="nl-BE"/>
    </w:rPr>
    <w:tblPr>
      <w:tblStyleRowBandSize w:val="1"/>
      <w:tblStyleColBandSize w:val="1"/>
      <w:tblBorders>
        <w:top w:val="single" w:sz="8" w:space="0" w:color="E9FF1C"/>
        <w:left w:val="single" w:sz="8" w:space="0" w:color="E9FF1C"/>
        <w:bottom w:val="single" w:sz="8" w:space="0" w:color="E9FF1C"/>
        <w:right w:val="single" w:sz="8" w:space="0" w:color="E9FF1C"/>
        <w:insideH w:val="single" w:sz="8" w:space="0" w:color="E9FF1C"/>
        <w:insideV w:val="single" w:sz="8" w:space="0" w:color="E9FF1C"/>
      </w:tblBorders>
    </w:tblPr>
    <w:tcPr>
      <w:shd w:val="clear" w:color="auto" w:fill="F7FFB4"/>
    </w:tcPr>
    <w:tblStylePr w:type="firstRow">
      <w:rPr>
        <w:b/>
        <w:bCs/>
      </w:rPr>
    </w:tblStylePr>
    <w:tblStylePr w:type="lastRow">
      <w:rPr>
        <w:b/>
        <w:bCs/>
      </w:rPr>
      <w:tblPr/>
      <w:tcPr>
        <w:tcBorders>
          <w:top w:val="single" w:sz="18" w:space="0" w:color="E9FF1C"/>
        </w:tcBorders>
      </w:tcPr>
    </w:tblStylePr>
    <w:tblStylePr w:type="firstCol">
      <w:rPr>
        <w:b/>
        <w:bCs/>
      </w:rPr>
    </w:tblStylePr>
    <w:tblStylePr w:type="lastCol">
      <w:rPr>
        <w:b/>
        <w:bCs/>
      </w:rPr>
    </w:tblStylePr>
    <w:tblStylePr w:type="band1Vert">
      <w:tblPr/>
      <w:tcPr>
        <w:shd w:val="clear" w:color="auto" w:fill="F0FF68"/>
      </w:tcPr>
    </w:tblStylePr>
    <w:tblStylePr w:type="band1Horz">
      <w:tblPr/>
      <w:tcPr>
        <w:shd w:val="clear" w:color="auto" w:fill="F0FF68"/>
      </w:tcPr>
    </w:tblStylePr>
  </w:style>
  <w:style w:type="table" w:customStyle="1" w:styleId="MediumGrid1-Accent41">
    <w:name w:val="Medium Grid 1 - Accent 41"/>
    <w:basedOn w:val="TableNormal"/>
    <w:next w:val="MediumGrid1-Accent4"/>
    <w:uiPriority w:val="67"/>
    <w:rsid w:val="00F90100"/>
    <w:pPr>
      <w:spacing w:after="0" w:line="240" w:lineRule="auto"/>
      <w:jc w:val="both"/>
    </w:pPr>
    <w:rPr>
      <w:rFonts w:ascii="Arial" w:hAnsi="Arial"/>
      <w:color w:val="58595B"/>
      <w:sz w:val="20"/>
      <w:lang w:val="nl-BE"/>
    </w:rPr>
    <w:tblPr>
      <w:tblStyleRowBandSize w:val="1"/>
      <w:tblStyleColBandSize w:val="1"/>
      <w:tblBorders>
        <w:top w:val="single" w:sz="8" w:space="0" w:color="FFE13C"/>
        <w:left w:val="single" w:sz="8" w:space="0" w:color="FFE13C"/>
        <w:bottom w:val="single" w:sz="8" w:space="0" w:color="FFE13C"/>
        <w:right w:val="single" w:sz="8" w:space="0" w:color="FFE13C"/>
        <w:insideH w:val="single" w:sz="8" w:space="0" w:color="FFE13C"/>
        <w:insideV w:val="single" w:sz="8" w:space="0" w:color="FFE13C"/>
      </w:tblBorders>
    </w:tblPr>
    <w:tcPr>
      <w:shd w:val="clear" w:color="auto" w:fill="FFF5BE"/>
    </w:tcPr>
    <w:tblStylePr w:type="firstRow">
      <w:rPr>
        <w:b/>
        <w:bCs/>
      </w:rPr>
    </w:tblStylePr>
    <w:tblStylePr w:type="lastRow">
      <w:rPr>
        <w:b/>
        <w:bCs/>
      </w:rPr>
      <w:tblPr/>
      <w:tcPr>
        <w:tcBorders>
          <w:top w:val="single" w:sz="18" w:space="0" w:color="FFE13C"/>
        </w:tcBorders>
      </w:tcPr>
    </w:tblStylePr>
    <w:tblStylePr w:type="firstCol">
      <w:rPr>
        <w:b/>
        <w:bCs/>
      </w:rPr>
    </w:tblStylePr>
    <w:tblStylePr w:type="lastCol">
      <w:rPr>
        <w:b/>
        <w:bCs/>
      </w:rPr>
    </w:tblStylePr>
    <w:tblStylePr w:type="band1Vert">
      <w:tblPr/>
      <w:tcPr>
        <w:shd w:val="clear" w:color="auto" w:fill="FFEB7D"/>
      </w:tcPr>
    </w:tblStylePr>
    <w:tblStylePr w:type="band1Horz">
      <w:tblPr/>
      <w:tcPr>
        <w:shd w:val="clear" w:color="auto" w:fill="FFEB7D"/>
      </w:tcPr>
    </w:tblStylePr>
  </w:style>
  <w:style w:type="table" w:customStyle="1" w:styleId="MediumGrid1-Accent51">
    <w:name w:val="Medium Grid 1 - Accent 51"/>
    <w:basedOn w:val="TableNormal"/>
    <w:next w:val="MediumGrid1-Accent5"/>
    <w:uiPriority w:val="67"/>
    <w:rsid w:val="00F90100"/>
    <w:pPr>
      <w:spacing w:after="0" w:line="240" w:lineRule="auto"/>
      <w:jc w:val="both"/>
    </w:pPr>
    <w:rPr>
      <w:rFonts w:ascii="Arial" w:hAnsi="Arial"/>
      <w:color w:val="58595B"/>
      <w:sz w:val="20"/>
      <w:lang w:val="nl-BE"/>
    </w:rPr>
    <w:tblPr>
      <w:tblStyleRowBandSize w:val="1"/>
      <w:tblStyleColBandSize w:val="1"/>
      <w:tblBorders>
        <w:top w:val="single" w:sz="8" w:space="0" w:color="FFB836"/>
        <w:left w:val="single" w:sz="8" w:space="0" w:color="FFB836"/>
        <w:bottom w:val="single" w:sz="8" w:space="0" w:color="FFB836"/>
        <w:right w:val="single" w:sz="8" w:space="0" w:color="FFB836"/>
        <w:insideH w:val="single" w:sz="8" w:space="0" w:color="FFB836"/>
        <w:insideV w:val="single" w:sz="8" w:space="0" w:color="FFB836"/>
      </w:tblBorders>
    </w:tblPr>
    <w:tcPr>
      <w:shd w:val="clear" w:color="auto" w:fill="FFE7BC"/>
    </w:tcPr>
    <w:tblStylePr w:type="firstRow">
      <w:rPr>
        <w:b/>
        <w:bCs/>
      </w:rPr>
    </w:tblStylePr>
    <w:tblStylePr w:type="lastRow">
      <w:rPr>
        <w:b/>
        <w:bCs/>
      </w:rPr>
      <w:tblPr/>
      <w:tcPr>
        <w:tcBorders>
          <w:top w:val="single" w:sz="18" w:space="0" w:color="FFB836"/>
        </w:tcBorders>
      </w:tcPr>
    </w:tblStylePr>
    <w:tblStylePr w:type="firstCol">
      <w:rPr>
        <w:b/>
        <w:bCs/>
      </w:rPr>
    </w:tblStylePr>
    <w:tblStylePr w:type="lastCol">
      <w:rPr>
        <w:b/>
        <w:bCs/>
      </w:rPr>
    </w:tblStylePr>
    <w:tblStylePr w:type="band1Vert">
      <w:tblPr/>
      <w:tcPr>
        <w:shd w:val="clear" w:color="auto" w:fill="FFCF79"/>
      </w:tcPr>
    </w:tblStylePr>
    <w:tblStylePr w:type="band1Horz">
      <w:tblPr/>
      <w:tcPr>
        <w:shd w:val="clear" w:color="auto" w:fill="FFCF79"/>
      </w:tcPr>
    </w:tblStylePr>
  </w:style>
  <w:style w:type="table" w:customStyle="1" w:styleId="MediumGrid1-Accent61">
    <w:name w:val="Medium Grid 1 - Accent 61"/>
    <w:basedOn w:val="TableNormal"/>
    <w:next w:val="MediumGrid1-Accent6"/>
    <w:uiPriority w:val="67"/>
    <w:rsid w:val="00F90100"/>
    <w:pPr>
      <w:spacing w:after="0" w:line="240" w:lineRule="auto"/>
      <w:jc w:val="both"/>
    </w:pPr>
    <w:rPr>
      <w:rFonts w:ascii="Arial" w:hAnsi="Arial"/>
      <w:color w:val="58595B"/>
      <w:sz w:val="20"/>
      <w:lang w:val="nl-BE"/>
    </w:rPr>
    <w:tblPr>
      <w:tblStyleRowBandSize w:val="1"/>
      <w:tblStyleColBandSize w:val="1"/>
      <w:tblBorders>
        <w:top w:val="single" w:sz="8" w:space="0" w:color="E77541"/>
        <w:left w:val="single" w:sz="8" w:space="0" w:color="E77541"/>
        <w:bottom w:val="single" w:sz="8" w:space="0" w:color="E77541"/>
        <w:right w:val="single" w:sz="8" w:space="0" w:color="E77541"/>
        <w:insideH w:val="single" w:sz="8" w:space="0" w:color="E77541"/>
        <w:insideV w:val="single" w:sz="8" w:space="0" w:color="E77541"/>
      </w:tblBorders>
    </w:tblPr>
    <w:tcPr>
      <w:shd w:val="clear" w:color="auto" w:fill="F7D1C0"/>
    </w:tcPr>
    <w:tblStylePr w:type="firstRow">
      <w:rPr>
        <w:b/>
        <w:bCs/>
      </w:rPr>
    </w:tblStylePr>
    <w:tblStylePr w:type="lastRow">
      <w:rPr>
        <w:b/>
        <w:bCs/>
      </w:rPr>
      <w:tblPr/>
      <w:tcPr>
        <w:tcBorders>
          <w:top w:val="single" w:sz="18" w:space="0" w:color="E77541"/>
        </w:tcBorders>
      </w:tcPr>
    </w:tblStylePr>
    <w:tblStylePr w:type="firstCol">
      <w:rPr>
        <w:b/>
        <w:bCs/>
      </w:rPr>
    </w:tblStylePr>
    <w:tblStylePr w:type="lastCol">
      <w:rPr>
        <w:b/>
        <w:bCs/>
      </w:rPr>
    </w:tblStylePr>
    <w:tblStylePr w:type="band1Vert">
      <w:tblPr/>
      <w:tcPr>
        <w:shd w:val="clear" w:color="auto" w:fill="EFA380"/>
      </w:tcPr>
    </w:tblStylePr>
    <w:tblStylePr w:type="band1Horz">
      <w:tblPr/>
      <w:tcPr>
        <w:shd w:val="clear" w:color="auto" w:fill="EFA380"/>
      </w:tcPr>
    </w:tblStylePr>
  </w:style>
  <w:style w:type="table" w:customStyle="1" w:styleId="MediumGrid21">
    <w:name w:val="Medium Grid 21"/>
    <w:basedOn w:val="TableNormal"/>
    <w:next w:val="MediumGrid2"/>
    <w:uiPriority w:val="68"/>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58595B"/>
        <w:left w:val="single" w:sz="8" w:space="0" w:color="58595B"/>
        <w:bottom w:val="single" w:sz="8" w:space="0" w:color="58595B"/>
        <w:right w:val="single" w:sz="8" w:space="0" w:color="58595B"/>
        <w:insideH w:val="single" w:sz="8" w:space="0" w:color="58595B"/>
        <w:insideV w:val="single" w:sz="8" w:space="0" w:color="58595B"/>
      </w:tblBorders>
    </w:tblPr>
    <w:tcPr>
      <w:shd w:val="clear" w:color="auto" w:fill="D5D5D6"/>
    </w:tcPr>
    <w:tblStylePr w:type="firstRow">
      <w:rPr>
        <w:b/>
        <w:bCs/>
        <w:color w:val="58595B"/>
      </w:rPr>
      <w:tblPr/>
      <w:tcPr>
        <w:shd w:val="clear" w:color="auto" w:fill="EEEEEF"/>
      </w:tcPr>
    </w:tblStylePr>
    <w:tblStylePr w:type="lastRow">
      <w:rPr>
        <w:b/>
        <w:bCs/>
        <w:color w:val="58595B"/>
      </w:rPr>
      <w:tblPr/>
      <w:tcPr>
        <w:tcBorders>
          <w:top w:val="single" w:sz="12" w:space="0" w:color="58595B"/>
          <w:left w:val="nil"/>
          <w:bottom w:val="nil"/>
          <w:right w:val="nil"/>
          <w:insideH w:val="nil"/>
          <w:insideV w:val="nil"/>
        </w:tcBorders>
        <w:shd w:val="clear" w:color="auto" w:fill="A5A5A5"/>
      </w:tcPr>
    </w:tblStylePr>
    <w:tblStylePr w:type="firstCol">
      <w:rPr>
        <w:b/>
        <w:bCs/>
        <w:color w:val="58595B"/>
      </w:rPr>
      <w:tblPr/>
      <w:tcPr>
        <w:tcBorders>
          <w:top w:val="nil"/>
          <w:left w:val="nil"/>
          <w:bottom w:val="nil"/>
          <w:right w:val="nil"/>
          <w:insideH w:val="nil"/>
          <w:insideV w:val="nil"/>
        </w:tcBorders>
        <w:shd w:val="clear" w:color="auto" w:fill="A5A5A5"/>
      </w:tcPr>
    </w:tblStylePr>
    <w:tblStylePr w:type="lastCol">
      <w:rPr>
        <w:b w:val="0"/>
        <w:bCs w:val="0"/>
        <w:color w:val="58595B"/>
      </w:rPr>
      <w:tblPr/>
      <w:tcPr>
        <w:tcBorders>
          <w:top w:val="nil"/>
          <w:left w:val="nil"/>
          <w:bottom w:val="nil"/>
          <w:right w:val="nil"/>
          <w:insideH w:val="nil"/>
          <w:insideV w:val="nil"/>
        </w:tcBorders>
        <w:shd w:val="clear" w:color="auto" w:fill="DDDDDE"/>
      </w:tcPr>
    </w:tblStylePr>
    <w:tblStylePr w:type="band1Vert">
      <w:tblPr/>
      <w:tcPr>
        <w:shd w:val="clear" w:color="auto" w:fill="ABACAE"/>
      </w:tcPr>
    </w:tblStylePr>
    <w:tblStylePr w:type="band1Horz">
      <w:tblPr/>
      <w:tcPr>
        <w:tcBorders>
          <w:insideH w:val="single" w:sz="6" w:space="0" w:color="58595B"/>
          <w:insideV w:val="single" w:sz="6" w:space="0" w:color="58595B"/>
        </w:tcBorders>
        <w:shd w:val="clear" w:color="auto" w:fill="ABACAE"/>
      </w:tcPr>
    </w:tblStylePr>
    <w:tblStylePr w:type="nwCell">
      <w:tblPr/>
      <w:tcPr>
        <w:shd w:val="clear" w:color="auto" w:fill="A5A5A5"/>
      </w:tcPr>
    </w:tblStylePr>
  </w:style>
  <w:style w:type="table" w:customStyle="1" w:styleId="MediumGrid2-Accent11">
    <w:name w:val="Medium Grid 2 - Accent 11"/>
    <w:basedOn w:val="TableNormal"/>
    <w:next w:val="MediumGrid2-Accent1"/>
    <w:uiPriority w:val="68"/>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3AAA35"/>
        <w:left w:val="single" w:sz="8" w:space="0" w:color="3AAA35"/>
        <w:bottom w:val="single" w:sz="8" w:space="0" w:color="3AAA35"/>
        <w:right w:val="single" w:sz="8" w:space="0" w:color="3AAA35"/>
        <w:insideH w:val="single" w:sz="8" w:space="0" w:color="3AAA35"/>
        <w:insideV w:val="single" w:sz="8" w:space="0" w:color="3AAA35"/>
      </w:tblBorders>
    </w:tblPr>
    <w:tcPr>
      <w:shd w:val="clear" w:color="auto" w:fill="CAEEC8"/>
    </w:tcPr>
    <w:tblStylePr w:type="firstRow">
      <w:rPr>
        <w:b/>
        <w:bCs/>
        <w:color w:val="58595B"/>
      </w:rPr>
      <w:tblPr/>
      <w:tcPr>
        <w:shd w:val="clear" w:color="auto" w:fill="E9F8E9"/>
      </w:tcPr>
    </w:tblStylePr>
    <w:tblStylePr w:type="lastRow">
      <w:rPr>
        <w:b/>
        <w:bCs/>
        <w:color w:val="58595B"/>
      </w:rPr>
      <w:tblPr/>
      <w:tcPr>
        <w:tcBorders>
          <w:top w:val="single" w:sz="12" w:space="0" w:color="58595B"/>
          <w:left w:val="nil"/>
          <w:bottom w:val="nil"/>
          <w:right w:val="nil"/>
          <w:insideH w:val="nil"/>
          <w:insideV w:val="nil"/>
        </w:tcBorders>
        <w:shd w:val="clear" w:color="auto" w:fill="A5A5A5"/>
      </w:tcPr>
    </w:tblStylePr>
    <w:tblStylePr w:type="firstCol">
      <w:rPr>
        <w:b/>
        <w:bCs/>
        <w:color w:val="58595B"/>
      </w:rPr>
      <w:tblPr/>
      <w:tcPr>
        <w:tcBorders>
          <w:top w:val="nil"/>
          <w:left w:val="nil"/>
          <w:bottom w:val="nil"/>
          <w:right w:val="nil"/>
          <w:insideH w:val="nil"/>
          <w:insideV w:val="nil"/>
        </w:tcBorders>
        <w:shd w:val="clear" w:color="auto" w:fill="A5A5A5"/>
      </w:tcPr>
    </w:tblStylePr>
    <w:tblStylePr w:type="lastCol">
      <w:rPr>
        <w:b w:val="0"/>
        <w:bCs w:val="0"/>
        <w:color w:val="58595B"/>
      </w:rPr>
      <w:tblPr/>
      <w:tcPr>
        <w:tcBorders>
          <w:top w:val="nil"/>
          <w:left w:val="nil"/>
          <w:bottom w:val="nil"/>
          <w:right w:val="nil"/>
          <w:insideH w:val="nil"/>
          <w:insideV w:val="nil"/>
        </w:tcBorders>
        <w:shd w:val="clear" w:color="auto" w:fill="D4F1D3"/>
      </w:tcPr>
    </w:tblStylePr>
    <w:tblStylePr w:type="band1Vert">
      <w:tblPr/>
      <w:tcPr>
        <w:shd w:val="clear" w:color="auto" w:fill="94DD92"/>
      </w:tcPr>
    </w:tblStylePr>
    <w:tblStylePr w:type="band1Horz">
      <w:tblPr/>
      <w:tcPr>
        <w:tcBorders>
          <w:insideH w:val="single" w:sz="6" w:space="0" w:color="3AAA35"/>
          <w:insideV w:val="single" w:sz="6" w:space="0" w:color="3AAA35"/>
        </w:tcBorders>
        <w:shd w:val="clear" w:color="auto" w:fill="94DD92"/>
      </w:tcPr>
    </w:tblStylePr>
    <w:tblStylePr w:type="nwCell">
      <w:tblPr/>
      <w:tcPr>
        <w:shd w:val="clear" w:color="auto" w:fill="A5A5A5"/>
      </w:tcPr>
    </w:tblStylePr>
  </w:style>
  <w:style w:type="table" w:customStyle="1" w:styleId="MediumGrid2-Accent21">
    <w:name w:val="Medium Grid 2 - Accent 21"/>
    <w:basedOn w:val="TableNormal"/>
    <w:next w:val="MediumGrid2-Accent2"/>
    <w:uiPriority w:val="68"/>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006633"/>
        <w:left w:val="single" w:sz="8" w:space="0" w:color="006633"/>
        <w:bottom w:val="single" w:sz="8" w:space="0" w:color="006633"/>
        <w:right w:val="single" w:sz="8" w:space="0" w:color="006633"/>
        <w:insideH w:val="single" w:sz="8" w:space="0" w:color="006633"/>
        <w:insideV w:val="single" w:sz="8" w:space="0" w:color="006633"/>
      </w:tblBorders>
    </w:tblPr>
    <w:tcPr>
      <w:shd w:val="clear" w:color="auto" w:fill="9AFFCC"/>
    </w:tcPr>
    <w:tblStylePr w:type="firstRow">
      <w:rPr>
        <w:b/>
        <w:bCs/>
        <w:color w:val="58595B"/>
      </w:rPr>
      <w:tblPr/>
      <w:tcPr>
        <w:shd w:val="clear" w:color="auto" w:fill="D7FFEA"/>
      </w:tcPr>
    </w:tblStylePr>
    <w:tblStylePr w:type="lastRow">
      <w:rPr>
        <w:b/>
        <w:bCs/>
        <w:color w:val="58595B"/>
      </w:rPr>
      <w:tblPr/>
      <w:tcPr>
        <w:tcBorders>
          <w:top w:val="single" w:sz="12" w:space="0" w:color="58595B"/>
          <w:left w:val="nil"/>
          <w:bottom w:val="nil"/>
          <w:right w:val="nil"/>
          <w:insideH w:val="nil"/>
          <w:insideV w:val="nil"/>
        </w:tcBorders>
        <w:shd w:val="clear" w:color="auto" w:fill="A5A5A5"/>
      </w:tcPr>
    </w:tblStylePr>
    <w:tblStylePr w:type="firstCol">
      <w:rPr>
        <w:b/>
        <w:bCs/>
        <w:color w:val="58595B"/>
      </w:rPr>
      <w:tblPr/>
      <w:tcPr>
        <w:tcBorders>
          <w:top w:val="nil"/>
          <w:left w:val="nil"/>
          <w:bottom w:val="nil"/>
          <w:right w:val="nil"/>
          <w:insideH w:val="nil"/>
          <w:insideV w:val="nil"/>
        </w:tcBorders>
        <w:shd w:val="clear" w:color="auto" w:fill="A5A5A5"/>
      </w:tcPr>
    </w:tblStylePr>
    <w:tblStylePr w:type="lastCol">
      <w:rPr>
        <w:b w:val="0"/>
        <w:bCs w:val="0"/>
        <w:color w:val="58595B"/>
      </w:rPr>
      <w:tblPr/>
      <w:tcPr>
        <w:tcBorders>
          <w:top w:val="nil"/>
          <w:left w:val="nil"/>
          <w:bottom w:val="nil"/>
          <w:right w:val="nil"/>
          <w:insideH w:val="nil"/>
          <w:insideV w:val="nil"/>
        </w:tcBorders>
        <w:shd w:val="clear" w:color="auto" w:fill="ADFFD6"/>
      </w:tcPr>
    </w:tblStylePr>
    <w:tblStylePr w:type="band1Vert">
      <w:tblPr/>
      <w:tcPr>
        <w:shd w:val="clear" w:color="auto" w:fill="33FF98"/>
      </w:tcPr>
    </w:tblStylePr>
    <w:tblStylePr w:type="band1Horz">
      <w:tblPr/>
      <w:tcPr>
        <w:tcBorders>
          <w:insideH w:val="single" w:sz="6" w:space="0" w:color="006633"/>
          <w:insideV w:val="single" w:sz="6" w:space="0" w:color="006633"/>
        </w:tcBorders>
        <w:shd w:val="clear" w:color="auto" w:fill="33FF98"/>
      </w:tcPr>
    </w:tblStylePr>
    <w:tblStylePr w:type="nwCell">
      <w:tblPr/>
      <w:tcPr>
        <w:shd w:val="clear" w:color="auto" w:fill="A5A5A5"/>
      </w:tcPr>
    </w:tblStylePr>
  </w:style>
  <w:style w:type="table" w:customStyle="1" w:styleId="MediumGrid2-Accent31">
    <w:name w:val="Medium Grid 2 - Accent 31"/>
    <w:basedOn w:val="TableNormal"/>
    <w:next w:val="MediumGrid2-Accent3"/>
    <w:uiPriority w:val="68"/>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BCCF00"/>
        <w:left w:val="single" w:sz="8" w:space="0" w:color="BCCF00"/>
        <w:bottom w:val="single" w:sz="8" w:space="0" w:color="BCCF00"/>
        <w:right w:val="single" w:sz="8" w:space="0" w:color="BCCF00"/>
        <w:insideH w:val="single" w:sz="8" w:space="0" w:color="BCCF00"/>
        <w:insideV w:val="single" w:sz="8" w:space="0" w:color="BCCF00"/>
      </w:tblBorders>
    </w:tblPr>
    <w:tcPr>
      <w:shd w:val="clear" w:color="auto" w:fill="F7FFB4"/>
    </w:tcPr>
    <w:tblStylePr w:type="firstRow">
      <w:rPr>
        <w:b/>
        <w:bCs/>
        <w:color w:val="58595B"/>
      </w:rPr>
      <w:tblPr/>
      <w:tcPr>
        <w:shd w:val="clear" w:color="auto" w:fill="FCFFE1"/>
      </w:tcPr>
    </w:tblStylePr>
    <w:tblStylePr w:type="lastRow">
      <w:rPr>
        <w:b/>
        <w:bCs/>
        <w:color w:val="58595B"/>
      </w:rPr>
      <w:tblPr/>
      <w:tcPr>
        <w:tcBorders>
          <w:top w:val="single" w:sz="12" w:space="0" w:color="58595B"/>
          <w:left w:val="nil"/>
          <w:bottom w:val="nil"/>
          <w:right w:val="nil"/>
          <w:insideH w:val="nil"/>
          <w:insideV w:val="nil"/>
        </w:tcBorders>
        <w:shd w:val="clear" w:color="auto" w:fill="A5A5A5"/>
      </w:tcPr>
    </w:tblStylePr>
    <w:tblStylePr w:type="firstCol">
      <w:rPr>
        <w:b/>
        <w:bCs/>
        <w:color w:val="58595B"/>
      </w:rPr>
      <w:tblPr/>
      <w:tcPr>
        <w:tcBorders>
          <w:top w:val="nil"/>
          <w:left w:val="nil"/>
          <w:bottom w:val="nil"/>
          <w:right w:val="nil"/>
          <w:insideH w:val="nil"/>
          <w:insideV w:val="nil"/>
        </w:tcBorders>
        <w:shd w:val="clear" w:color="auto" w:fill="A5A5A5"/>
      </w:tcPr>
    </w:tblStylePr>
    <w:tblStylePr w:type="lastCol">
      <w:rPr>
        <w:b w:val="0"/>
        <w:bCs w:val="0"/>
        <w:color w:val="58595B"/>
      </w:rPr>
      <w:tblPr/>
      <w:tcPr>
        <w:tcBorders>
          <w:top w:val="nil"/>
          <w:left w:val="nil"/>
          <w:bottom w:val="nil"/>
          <w:right w:val="nil"/>
          <w:insideH w:val="nil"/>
          <w:insideV w:val="nil"/>
        </w:tcBorders>
        <w:shd w:val="clear" w:color="auto" w:fill="F9FFC2"/>
      </w:tcPr>
    </w:tblStylePr>
    <w:tblStylePr w:type="band1Vert">
      <w:tblPr/>
      <w:tcPr>
        <w:shd w:val="clear" w:color="auto" w:fill="F0FF68"/>
      </w:tcPr>
    </w:tblStylePr>
    <w:tblStylePr w:type="band1Horz">
      <w:tblPr/>
      <w:tcPr>
        <w:tcBorders>
          <w:insideH w:val="single" w:sz="6" w:space="0" w:color="BCCF00"/>
          <w:insideV w:val="single" w:sz="6" w:space="0" w:color="BCCF00"/>
        </w:tcBorders>
        <w:shd w:val="clear" w:color="auto" w:fill="F0FF68"/>
      </w:tcPr>
    </w:tblStylePr>
    <w:tblStylePr w:type="nwCell">
      <w:tblPr/>
      <w:tcPr>
        <w:shd w:val="clear" w:color="auto" w:fill="A5A5A5"/>
      </w:tcPr>
    </w:tblStylePr>
  </w:style>
  <w:style w:type="table" w:customStyle="1" w:styleId="MediumGrid2-Accent41">
    <w:name w:val="Medium Grid 2 - Accent 41"/>
    <w:basedOn w:val="TableNormal"/>
    <w:next w:val="MediumGrid2-Accent4"/>
    <w:uiPriority w:val="68"/>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FAD500"/>
        <w:left w:val="single" w:sz="8" w:space="0" w:color="FAD500"/>
        <w:bottom w:val="single" w:sz="8" w:space="0" w:color="FAD500"/>
        <w:right w:val="single" w:sz="8" w:space="0" w:color="FAD500"/>
        <w:insideH w:val="single" w:sz="8" w:space="0" w:color="FAD500"/>
        <w:insideV w:val="single" w:sz="8" w:space="0" w:color="FAD500"/>
      </w:tblBorders>
    </w:tblPr>
    <w:tcPr>
      <w:shd w:val="clear" w:color="auto" w:fill="FFF5BE"/>
    </w:tcPr>
    <w:tblStylePr w:type="firstRow">
      <w:rPr>
        <w:b/>
        <w:bCs/>
        <w:color w:val="58595B"/>
      </w:rPr>
      <w:tblPr/>
      <w:tcPr>
        <w:shd w:val="clear" w:color="auto" w:fill="FFFBE5"/>
      </w:tcPr>
    </w:tblStylePr>
    <w:tblStylePr w:type="lastRow">
      <w:rPr>
        <w:b/>
        <w:bCs/>
        <w:color w:val="58595B"/>
      </w:rPr>
      <w:tblPr/>
      <w:tcPr>
        <w:tcBorders>
          <w:top w:val="single" w:sz="12" w:space="0" w:color="58595B"/>
          <w:left w:val="nil"/>
          <w:bottom w:val="nil"/>
          <w:right w:val="nil"/>
          <w:insideH w:val="nil"/>
          <w:insideV w:val="nil"/>
        </w:tcBorders>
        <w:shd w:val="clear" w:color="auto" w:fill="A5A5A5"/>
      </w:tcPr>
    </w:tblStylePr>
    <w:tblStylePr w:type="firstCol">
      <w:rPr>
        <w:b/>
        <w:bCs/>
        <w:color w:val="58595B"/>
      </w:rPr>
      <w:tblPr/>
      <w:tcPr>
        <w:tcBorders>
          <w:top w:val="nil"/>
          <w:left w:val="nil"/>
          <w:bottom w:val="nil"/>
          <w:right w:val="nil"/>
          <w:insideH w:val="nil"/>
          <w:insideV w:val="nil"/>
        </w:tcBorders>
        <w:shd w:val="clear" w:color="auto" w:fill="A5A5A5"/>
      </w:tcPr>
    </w:tblStylePr>
    <w:tblStylePr w:type="lastCol">
      <w:rPr>
        <w:b w:val="0"/>
        <w:bCs w:val="0"/>
        <w:color w:val="58595B"/>
      </w:rPr>
      <w:tblPr/>
      <w:tcPr>
        <w:tcBorders>
          <w:top w:val="nil"/>
          <w:left w:val="nil"/>
          <w:bottom w:val="nil"/>
          <w:right w:val="nil"/>
          <w:insideH w:val="nil"/>
          <w:insideV w:val="nil"/>
        </w:tcBorders>
        <w:shd w:val="clear" w:color="auto" w:fill="FFF7CB"/>
      </w:tcPr>
    </w:tblStylePr>
    <w:tblStylePr w:type="band1Vert">
      <w:tblPr/>
      <w:tcPr>
        <w:shd w:val="clear" w:color="auto" w:fill="FFEB7D"/>
      </w:tcPr>
    </w:tblStylePr>
    <w:tblStylePr w:type="band1Horz">
      <w:tblPr/>
      <w:tcPr>
        <w:tcBorders>
          <w:insideH w:val="single" w:sz="6" w:space="0" w:color="FAD500"/>
          <w:insideV w:val="single" w:sz="6" w:space="0" w:color="FAD500"/>
        </w:tcBorders>
        <w:shd w:val="clear" w:color="auto" w:fill="FFEB7D"/>
      </w:tcPr>
    </w:tblStylePr>
    <w:tblStylePr w:type="nwCell">
      <w:tblPr/>
      <w:tcPr>
        <w:shd w:val="clear" w:color="auto" w:fill="A5A5A5"/>
      </w:tcPr>
    </w:tblStylePr>
  </w:style>
  <w:style w:type="table" w:customStyle="1" w:styleId="MediumGrid2-Accent51">
    <w:name w:val="Medium Grid 2 - Accent 51"/>
    <w:basedOn w:val="TableNormal"/>
    <w:next w:val="MediumGrid2-Accent5"/>
    <w:uiPriority w:val="68"/>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F29D00"/>
        <w:left w:val="single" w:sz="8" w:space="0" w:color="F29D00"/>
        <w:bottom w:val="single" w:sz="8" w:space="0" w:color="F29D00"/>
        <w:right w:val="single" w:sz="8" w:space="0" w:color="F29D00"/>
        <w:insideH w:val="single" w:sz="8" w:space="0" w:color="F29D00"/>
        <w:insideV w:val="single" w:sz="8" w:space="0" w:color="F29D00"/>
      </w:tblBorders>
    </w:tblPr>
    <w:tcPr>
      <w:shd w:val="clear" w:color="auto" w:fill="FFE7BC"/>
    </w:tcPr>
    <w:tblStylePr w:type="firstRow">
      <w:rPr>
        <w:b/>
        <w:bCs/>
        <w:color w:val="58595B"/>
      </w:rPr>
      <w:tblPr/>
      <w:tcPr>
        <w:shd w:val="clear" w:color="auto" w:fill="FFF5E4"/>
      </w:tcPr>
    </w:tblStylePr>
    <w:tblStylePr w:type="lastRow">
      <w:rPr>
        <w:b/>
        <w:bCs/>
        <w:color w:val="58595B"/>
      </w:rPr>
      <w:tblPr/>
      <w:tcPr>
        <w:tcBorders>
          <w:top w:val="single" w:sz="12" w:space="0" w:color="58595B"/>
          <w:left w:val="nil"/>
          <w:bottom w:val="nil"/>
          <w:right w:val="nil"/>
          <w:insideH w:val="nil"/>
          <w:insideV w:val="nil"/>
        </w:tcBorders>
        <w:shd w:val="clear" w:color="auto" w:fill="A5A5A5"/>
      </w:tcPr>
    </w:tblStylePr>
    <w:tblStylePr w:type="firstCol">
      <w:rPr>
        <w:b/>
        <w:bCs/>
        <w:color w:val="58595B"/>
      </w:rPr>
      <w:tblPr/>
      <w:tcPr>
        <w:tcBorders>
          <w:top w:val="nil"/>
          <w:left w:val="nil"/>
          <w:bottom w:val="nil"/>
          <w:right w:val="nil"/>
          <w:insideH w:val="nil"/>
          <w:insideV w:val="nil"/>
        </w:tcBorders>
        <w:shd w:val="clear" w:color="auto" w:fill="A5A5A5"/>
      </w:tcPr>
    </w:tblStylePr>
    <w:tblStylePr w:type="lastCol">
      <w:rPr>
        <w:b w:val="0"/>
        <w:bCs w:val="0"/>
        <w:color w:val="58595B"/>
      </w:rPr>
      <w:tblPr/>
      <w:tcPr>
        <w:tcBorders>
          <w:top w:val="nil"/>
          <w:left w:val="nil"/>
          <w:bottom w:val="nil"/>
          <w:right w:val="nil"/>
          <w:insideH w:val="nil"/>
          <w:insideV w:val="nil"/>
        </w:tcBorders>
        <w:shd w:val="clear" w:color="auto" w:fill="FFECC9"/>
      </w:tcPr>
    </w:tblStylePr>
    <w:tblStylePr w:type="band1Vert">
      <w:tblPr/>
      <w:tcPr>
        <w:shd w:val="clear" w:color="auto" w:fill="FFCF79"/>
      </w:tcPr>
    </w:tblStylePr>
    <w:tblStylePr w:type="band1Horz">
      <w:tblPr/>
      <w:tcPr>
        <w:tcBorders>
          <w:insideH w:val="single" w:sz="6" w:space="0" w:color="F29D00"/>
          <w:insideV w:val="single" w:sz="6" w:space="0" w:color="F29D00"/>
        </w:tcBorders>
        <w:shd w:val="clear" w:color="auto" w:fill="FFCF79"/>
      </w:tcPr>
    </w:tblStylePr>
    <w:tblStylePr w:type="nwCell">
      <w:tblPr/>
      <w:tcPr>
        <w:shd w:val="clear" w:color="auto" w:fill="A5A5A5"/>
      </w:tcPr>
    </w:tblStylePr>
  </w:style>
  <w:style w:type="table" w:customStyle="1" w:styleId="MediumGrid2-Accent61">
    <w:name w:val="Medium Grid 2 - Accent 61"/>
    <w:basedOn w:val="TableNormal"/>
    <w:next w:val="MediumGrid2-Accent6"/>
    <w:uiPriority w:val="68"/>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C85019"/>
        <w:left w:val="single" w:sz="8" w:space="0" w:color="C85019"/>
        <w:bottom w:val="single" w:sz="8" w:space="0" w:color="C85019"/>
        <w:right w:val="single" w:sz="8" w:space="0" w:color="C85019"/>
        <w:insideH w:val="single" w:sz="8" w:space="0" w:color="C85019"/>
        <w:insideV w:val="single" w:sz="8" w:space="0" w:color="C85019"/>
      </w:tblBorders>
    </w:tblPr>
    <w:tcPr>
      <w:shd w:val="clear" w:color="auto" w:fill="F7D1C0"/>
    </w:tcPr>
    <w:tblStylePr w:type="firstRow">
      <w:rPr>
        <w:b/>
        <w:bCs/>
        <w:color w:val="58595B"/>
      </w:rPr>
      <w:tblPr/>
      <w:tcPr>
        <w:shd w:val="clear" w:color="auto" w:fill="FCECE6"/>
      </w:tcPr>
    </w:tblStylePr>
    <w:tblStylePr w:type="lastRow">
      <w:rPr>
        <w:b/>
        <w:bCs/>
        <w:color w:val="58595B"/>
      </w:rPr>
      <w:tblPr/>
      <w:tcPr>
        <w:tcBorders>
          <w:top w:val="single" w:sz="12" w:space="0" w:color="58595B"/>
          <w:left w:val="nil"/>
          <w:bottom w:val="nil"/>
          <w:right w:val="nil"/>
          <w:insideH w:val="nil"/>
          <w:insideV w:val="nil"/>
        </w:tcBorders>
        <w:shd w:val="clear" w:color="auto" w:fill="A5A5A5"/>
      </w:tcPr>
    </w:tblStylePr>
    <w:tblStylePr w:type="firstCol">
      <w:rPr>
        <w:b/>
        <w:bCs/>
        <w:color w:val="58595B"/>
      </w:rPr>
      <w:tblPr/>
      <w:tcPr>
        <w:tcBorders>
          <w:top w:val="nil"/>
          <w:left w:val="nil"/>
          <w:bottom w:val="nil"/>
          <w:right w:val="nil"/>
          <w:insideH w:val="nil"/>
          <w:insideV w:val="nil"/>
        </w:tcBorders>
        <w:shd w:val="clear" w:color="auto" w:fill="A5A5A5"/>
      </w:tcPr>
    </w:tblStylePr>
    <w:tblStylePr w:type="lastCol">
      <w:rPr>
        <w:b w:val="0"/>
        <w:bCs w:val="0"/>
        <w:color w:val="58595B"/>
      </w:rPr>
      <w:tblPr/>
      <w:tcPr>
        <w:tcBorders>
          <w:top w:val="nil"/>
          <w:left w:val="nil"/>
          <w:bottom w:val="nil"/>
          <w:right w:val="nil"/>
          <w:insideH w:val="nil"/>
          <w:insideV w:val="nil"/>
        </w:tcBorders>
        <w:shd w:val="clear" w:color="auto" w:fill="F8DACC"/>
      </w:tcPr>
    </w:tblStylePr>
    <w:tblStylePr w:type="band1Vert">
      <w:tblPr/>
      <w:tcPr>
        <w:shd w:val="clear" w:color="auto" w:fill="EFA380"/>
      </w:tcPr>
    </w:tblStylePr>
    <w:tblStylePr w:type="band1Horz">
      <w:tblPr/>
      <w:tcPr>
        <w:tcBorders>
          <w:insideH w:val="single" w:sz="6" w:space="0" w:color="C85019"/>
          <w:insideV w:val="single" w:sz="6" w:space="0" w:color="C85019"/>
        </w:tcBorders>
        <w:shd w:val="clear" w:color="auto" w:fill="EFA380"/>
      </w:tcPr>
    </w:tblStylePr>
    <w:tblStylePr w:type="nwCell">
      <w:tblPr/>
      <w:tcPr>
        <w:shd w:val="clear" w:color="auto" w:fill="A5A5A5"/>
      </w:tcPr>
    </w:tblStylePr>
  </w:style>
  <w:style w:type="table" w:customStyle="1" w:styleId="MediumGrid31">
    <w:name w:val="Medium Grid 31"/>
    <w:basedOn w:val="TableNormal"/>
    <w:next w:val="MediumGrid3"/>
    <w:uiPriority w:val="69"/>
    <w:rsid w:val="00F90100"/>
    <w:pPr>
      <w:spacing w:after="0" w:line="240" w:lineRule="auto"/>
      <w:jc w:val="both"/>
    </w:pPr>
    <w:rPr>
      <w:rFonts w:ascii="Arial" w:hAnsi="Arial"/>
      <w:color w:val="58595B"/>
      <w:sz w:val="20"/>
      <w:lang w:val="nl-BE"/>
    </w:rPr>
    <w:tblPr>
      <w:tblStyleRowBandSize w:val="1"/>
      <w:tblStyleColBandSize w:val="1"/>
      <w:tblBorders>
        <w:top w:val="single" w:sz="8" w:space="0" w:color="A5A5A5"/>
        <w:left w:val="single" w:sz="8" w:space="0" w:color="A5A5A5"/>
        <w:bottom w:val="single" w:sz="8" w:space="0" w:color="A5A5A5"/>
        <w:right w:val="single" w:sz="8" w:space="0" w:color="A5A5A5"/>
        <w:insideH w:val="single" w:sz="6" w:space="0" w:color="A5A5A5"/>
        <w:insideV w:val="single" w:sz="6" w:space="0" w:color="A5A5A5"/>
      </w:tblBorders>
    </w:tblPr>
    <w:tcPr>
      <w:shd w:val="clear" w:color="auto" w:fill="D5D5D6"/>
    </w:tcPr>
    <w:tblStylePr w:type="firstRow">
      <w:rPr>
        <w:b/>
        <w:bCs/>
        <w:i w:val="0"/>
        <w:iCs w:val="0"/>
        <w:color w:val="A5A5A5"/>
      </w:rPr>
      <w:tblPr/>
      <w:tcPr>
        <w:tcBorders>
          <w:top w:val="single" w:sz="8" w:space="0" w:color="A5A5A5"/>
          <w:left w:val="single" w:sz="8" w:space="0" w:color="A5A5A5"/>
          <w:bottom w:val="single" w:sz="24" w:space="0" w:color="A5A5A5"/>
          <w:right w:val="single" w:sz="8" w:space="0" w:color="A5A5A5"/>
          <w:insideH w:val="nil"/>
          <w:insideV w:val="single" w:sz="8" w:space="0" w:color="A5A5A5"/>
        </w:tcBorders>
        <w:shd w:val="clear" w:color="auto" w:fill="58595B"/>
      </w:tcPr>
    </w:tblStylePr>
    <w:tblStylePr w:type="lastRow">
      <w:rPr>
        <w:b/>
        <w:bCs/>
        <w:i w:val="0"/>
        <w:iCs w:val="0"/>
        <w:color w:val="A5A5A5"/>
      </w:rPr>
      <w:tblPr/>
      <w:tcPr>
        <w:tcBorders>
          <w:top w:val="single" w:sz="24" w:space="0" w:color="A5A5A5"/>
          <w:left w:val="single" w:sz="8" w:space="0" w:color="A5A5A5"/>
          <w:bottom w:val="single" w:sz="8" w:space="0" w:color="A5A5A5"/>
          <w:right w:val="single" w:sz="8" w:space="0" w:color="A5A5A5"/>
          <w:insideH w:val="nil"/>
          <w:insideV w:val="single" w:sz="8" w:space="0" w:color="A5A5A5"/>
        </w:tcBorders>
        <w:shd w:val="clear" w:color="auto" w:fill="58595B"/>
      </w:tcPr>
    </w:tblStylePr>
    <w:tblStylePr w:type="firstCol">
      <w:rPr>
        <w:b/>
        <w:bCs/>
        <w:i w:val="0"/>
        <w:iCs w:val="0"/>
        <w:color w:val="A5A5A5"/>
      </w:rPr>
      <w:tblPr/>
      <w:tcPr>
        <w:tcBorders>
          <w:left w:val="single" w:sz="8" w:space="0" w:color="A5A5A5"/>
          <w:right w:val="single" w:sz="24" w:space="0" w:color="A5A5A5"/>
          <w:insideH w:val="nil"/>
          <w:insideV w:val="nil"/>
        </w:tcBorders>
        <w:shd w:val="clear" w:color="auto" w:fill="58595B"/>
      </w:tcPr>
    </w:tblStylePr>
    <w:tblStylePr w:type="lastCol">
      <w:rPr>
        <w:b/>
        <w:bCs/>
        <w:i w:val="0"/>
        <w:iCs w:val="0"/>
        <w:color w:val="A5A5A5"/>
      </w:rPr>
      <w:tblPr/>
      <w:tcPr>
        <w:tcBorders>
          <w:top w:val="nil"/>
          <w:left w:val="single" w:sz="24" w:space="0" w:color="A5A5A5"/>
          <w:bottom w:val="nil"/>
          <w:right w:val="nil"/>
          <w:insideH w:val="nil"/>
          <w:insideV w:val="nil"/>
        </w:tcBorders>
        <w:shd w:val="clear" w:color="auto" w:fill="58595B"/>
      </w:tcPr>
    </w:tblStylePr>
    <w:tblStylePr w:type="band1Vert">
      <w:tblPr/>
      <w:tcPr>
        <w:tcBorders>
          <w:top w:val="single" w:sz="8" w:space="0" w:color="A5A5A5"/>
          <w:left w:val="single" w:sz="8" w:space="0" w:color="A5A5A5"/>
          <w:bottom w:val="single" w:sz="8" w:space="0" w:color="A5A5A5"/>
          <w:right w:val="single" w:sz="8" w:space="0" w:color="A5A5A5"/>
          <w:insideH w:val="nil"/>
          <w:insideV w:val="nil"/>
        </w:tcBorders>
        <w:shd w:val="clear" w:color="auto" w:fill="ABACAE"/>
      </w:tcPr>
    </w:tblStylePr>
    <w:tblStylePr w:type="band1Horz">
      <w:tblPr/>
      <w:tcPr>
        <w:tcBorders>
          <w:top w:val="single" w:sz="8" w:space="0" w:color="A5A5A5"/>
          <w:left w:val="single" w:sz="8" w:space="0" w:color="A5A5A5"/>
          <w:bottom w:val="single" w:sz="8" w:space="0" w:color="A5A5A5"/>
          <w:right w:val="single" w:sz="8" w:space="0" w:color="A5A5A5"/>
          <w:insideH w:val="single" w:sz="8" w:space="0" w:color="A5A5A5"/>
          <w:insideV w:val="single" w:sz="8" w:space="0" w:color="A5A5A5"/>
        </w:tcBorders>
        <w:shd w:val="clear" w:color="auto" w:fill="ABACAE"/>
      </w:tcPr>
    </w:tblStylePr>
  </w:style>
  <w:style w:type="table" w:customStyle="1" w:styleId="MediumGrid3-Accent11">
    <w:name w:val="Medium Grid 3 - Accent 11"/>
    <w:basedOn w:val="TableNormal"/>
    <w:next w:val="MediumGrid3-Accent1"/>
    <w:uiPriority w:val="69"/>
    <w:rsid w:val="00F90100"/>
    <w:pPr>
      <w:spacing w:after="0" w:line="240" w:lineRule="auto"/>
      <w:jc w:val="both"/>
    </w:pPr>
    <w:rPr>
      <w:rFonts w:ascii="Arial" w:hAnsi="Arial"/>
      <w:color w:val="58595B"/>
      <w:sz w:val="20"/>
      <w:lang w:val="nl-BE"/>
    </w:rPr>
    <w:tblPr>
      <w:tblStyleRowBandSize w:val="1"/>
      <w:tblStyleColBandSize w:val="1"/>
      <w:tblBorders>
        <w:top w:val="single" w:sz="8" w:space="0" w:color="A5A5A5"/>
        <w:left w:val="single" w:sz="8" w:space="0" w:color="A5A5A5"/>
        <w:bottom w:val="single" w:sz="8" w:space="0" w:color="A5A5A5"/>
        <w:right w:val="single" w:sz="8" w:space="0" w:color="A5A5A5"/>
        <w:insideH w:val="single" w:sz="6" w:space="0" w:color="A5A5A5"/>
        <w:insideV w:val="single" w:sz="6" w:space="0" w:color="A5A5A5"/>
      </w:tblBorders>
    </w:tblPr>
    <w:tcPr>
      <w:shd w:val="clear" w:color="auto" w:fill="CAEEC8"/>
    </w:tcPr>
    <w:tblStylePr w:type="firstRow">
      <w:rPr>
        <w:b/>
        <w:bCs/>
        <w:i w:val="0"/>
        <w:iCs w:val="0"/>
        <w:color w:val="A5A5A5"/>
      </w:rPr>
      <w:tblPr/>
      <w:tcPr>
        <w:tcBorders>
          <w:top w:val="single" w:sz="8" w:space="0" w:color="A5A5A5"/>
          <w:left w:val="single" w:sz="8" w:space="0" w:color="A5A5A5"/>
          <w:bottom w:val="single" w:sz="24" w:space="0" w:color="A5A5A5"/>
          <w:right w:val="single" w:sz="8" w:space="0" w:color="A5A5A5"/>
          <w:insideH w:val="nil"/>
          <w:insideV w:val="single" w:sz="8" w:space="0" w:color="A5A5A5"/>
        </w:tcBorders>
        <w:shd w:val="clear" w:color="auto" w:fill="3AAA35"/>
      </w:tcPr>
    </w:tblStylePr>
    <w:tblStylePr w:type="lastRow">
      <w:rPr>
        <w:b/>
        <w:bCs/>
        <w:i w:val="0"/>
        <w:iCs w:val="0"/>
        <w:color w:val="A5A5A5"/>
      </w:rPr>
      <w:tblPr/>
      <w:tcPr>
        <w:tcBorders>
          <w:top w:val="single" w:sz="24" w:space="0" w:color="A5A5A5"/>
          <w:left w:val="single" w:sz="8" w:space="0" w:color="A5A5A5"/>
          <w:bottom w:val="single" w:sz="8" w:space="0" w:color="A5A5A5"/>
          <w:right w:val="single" w:sz="8" w:space="0" w:color="A5A5A5"/>
          <w:insideH w:val="nil"/>
          <w:insideV w:val="single" w:sz="8" w:space="0" w:color="A5A5A5"/>
        </w:tcBorders>
        <w:shd w:val="clear" w:color="auto" w:fill="3AAA35"/>
      </w:tcPr>
    </w:tblStylePr>
    <w:tblStylePr w:type="firstCol">
      <w:rPr>
        <w:b/>
        <w:bCs/>
        <w:i w:val="0"/>
        <w:iCs w:val="0"/>
        <w:color w:val="A5A5A5"/>
      </w:rPr>
      <w:tblPr/>
      <w:tcPr>
        <w:tcBorders>
          <w:left w:val="single" w:sz="8" w:space="0" w:color="A5A5A5"/>
          <w:right w:val="single" w:sz="24" w:space="0" w:color="A5A5A5"/>
          <w:insideH w:val="nil"/>
          <w:insideV w:val="nil"/>
        </w:tcBorders>
        <w:shd w:val="clear" w:color="auto" w:fill="3AAA35"/>
      </w:tcPr>
    </w:tblStylePr>
    <w:tblStylePr w:type="lastCol">
      <w:rPr>
        <w:b/>
        <w:bCs/>
        <w:i w:val="0"/>
        <w:iCs w:val="0"/>
        <w:color w:val="A5A5A5"/>
      </w:rPr>
      <w:tblPr/>
      <w:tcPr>
        <w:tcBorders>
          <w:top w:val="nil"/>
          <w:left w:val="single" w:sz="24" w:space="0" w:color="A5A5A5"/>
          <w:bottom w:val="nil"/>
          <w:right w:val="nil"/>
          <w:insideH w:val="nil"/>
          <w:insideV w:val="nil"/>
        </w:tcBorders>
        <w:shd w:val="clear" w:color="auto" w:fill="3AAA35"/>
      </w:tcPr>
    </w:tblStylePr>
    <w:tblStylePr w:type="band1Vert">
      <w:tblPr/>
      <w:tcPr>
        <w:tcBorders>
          <w:top w:val="single" w:sz="8" w:space="0" w:color="A5A5A5"/>
          <w:left w:val="single" w:sz="8" w:space="0" w:color="A5A5A5"/>
          <w:bottom w:val="single" w:sz="8" w:space="0" w:color="A5A5A5"/>
          <w:right w:val="single" w:sz="8" w:space="0" w:color="A5A5A5"/>
          <w:insideH w:val="nil"/>
          <w:insideV w:val="nil"/>
        </w:tcBorders>
        <w:shd w:val="clear" w:color="auto" w:fill="94DD92"/>
      </w:tcPr>
    </w:tblStylePr>
    <w:tblStylePr w:type="band1Horz">
      <w:tblPr/>
      <w:tcPr>
        <w:tcBorders>
          <w:top w:val="single" w:sz="8" w:space="0" w:color="A5A5A5"/>
          <w:left w:val="single" w:sz="8" w:space="0" w:color="A5A5A5"/>
          <w:bottom w:val="single" w:sz="8" w:space="0" w:color="A5A5A5"/>
          <w:right w:val="single" w:sz="8" w:space="0" w:color="A5A5A5"/>
          <w:insideH w:val="single" w:sz="8" w:space="0" w:color="A5A5A5"/>
          <w:insideV w:val="single" w:sz="8" w:space="0" w:color="A5A5A5"/>
        </w:tcBorders>
        <w:shd w:val="clear" w:color="auto" w:fill="94DD92"/>
      </w:tcPr>
    </w:tblStylePr>
  </w:style>
  <w:style w:type="table" w:customStyle="1" w:styleId="MediumGrid3-Accent21">
    <w:name w:val="Medium Grid 3 - Accent 21"/>
    <w:basedOn w:val="TableNormal"/>
    <w:next w:val="MediumGrid3-Accent2"/>
    <w:uiPriority w:val="69"/>
    <w:rsid w:val="00F90100"/>
    <w:pPr>
      <w:spacing w:after="0" w:line="240" w:lineRule="auto"/>
      <w:jc w:val="both"/>
    </w:pPr>
    <w:rPr>
      <w:rFonts w:ascii="Arial" w:hAnsi="Arial"/>
      <w:color w:val="58595B"/>
      <w:sz w:val="20"/>
      <w:lang w:val="nl-BE"/>
    </w:rPr>
    <w:tblPr>
      <w:tblStyleRowBandSize w:val="1"/>
      <w:tblStyleColBandSize w:val="1"/>
      <w:tblBorders>
        <w:top w:val="single" w:sz="8" w:space="0" w:color="A5A5A5"/>
        <w:left w:val="single" w:sz="8" w:space="0" w:color="A5A5A5"/>
        <w:bottom w:val="single" w:sz="8" w:space="0" w:color="A5A5A5"/>
        <w:right w:val="single" w:sz="8" w:space="0" w:color="A5A5A5"/>
        <w:insideH w:val="single" w:sz="6" w:space="0" w:color="A5A5A5"/>
        <w:insideV w:val="single" w:sz="6" w:space="0" w:color="A5A5A5"/>
      </w:tblBorders>
    </w:tblPr>
    <w:tcPr>
      <w:shd w:val="clear" w:color="auto" w:fill="9AFFCC"/>
    </w:tcPr>
    <w:tblStylePr w:type="firstRow">
      <w:rPr>
        <w:b/>
        <w:bCs/>
        <w:i w:val="0"/>
        <w:iCs w:val="0"/>
        <w:color w:val="A5A5A5"/>
      </w:rPr>
      <w:tblPr/>
      <w:tcPr>
        <w:tcBorders>
          <w:top w:val="single" w:sz="8" w:space="0" w:color="A5A5A5"/>
          <w:left w:val="single" w:sz="8" w:space="0" w:color="A5A5A5"/>
          <w:bottom w:val="single" w:sz="24" w:space="0" w:color="A5A5A5"/>
          <w:right w:val="single" w:sz="8" w:space="0" w:color="A5A5A5"/>
          <w:insideH w:val="nil"/>
          <w:insideV w:val="single" w:sz="8" w:space="0" w:color="A5A5A5"/>
        </w:tcBorders>
        <w:shd w:val="clear" w:color="auto" w:fill="006633"/>
      </w:tcPr>
    </w:tblStylePr>
    <w:tblStylePr w:type="lastRow">
      <w:rPr>
        <w:b/>
        <w:bCs/>
        <w:i w:val="0"/>
        <w:iCs w:val="0"/>
        <w:color w:val="A5A5A5"/>
      </w:rPr>
      <w:tblPr/>
      <w:tcPr>
        <w:tcBorders>
          <w:top w:val="single" w:sz="24" w:space="0" w:color="A5A5A5"/>
          <w:left w:val="single" w:sz="8" w:space="0" w:color="A5A5A5"/>
          <w:bottom w:val="single" w:sz="8" w:space="0" w:color="A5A5A5"/>
          <w:right w:val="single" w:sz="8" w:space="0" w:color="A5A5A5"/>
          <w:insideH w:val="nil"/>
          <w:insideV w:val="single" w:sz="8" w:space="0" w:color="A5A5A5"/>
        </w:tcBorders>
        <w:shd w:val="clear" w:color="auto" w:fill="006633"/>
      </w:tcPr>
    </w:tblStylePr>
    <w:tblStylePr w:type="firstCol">
      <w:rPr>
        <w:b/>
        <w:bCs/>
        <w:i w:val="0"/>
        <w:iCs w:val="0"/>
        <w:color w:val="A5A5A5"/>
      </w:rPr>
      <w:tblPr/>
      <w:tcPr>
        <w:tcBorders>
          <w:left w:val="single" w:sz="8" w:space="0" w:color="A5A5A5"/>
          <w:right w:val="single" w:sz="24" w:space="0" w:color="A5A5A5"/>
          <w:insideH w:val="nil"/>
          <w:insideV w:val="nil"/>
        </w:tcBorders>
        <w:shd w:val="clear" w:color="auto" w:fill="006633"/>
      </w:tcPr>
    </w:tblStylePr>
    <w:tblStylePr w:type="lastCol">
      <w:rPr>
        <w:b/>
        <w:bCs/>
        <w:i w:val="0"/>
        <w:iCs w:val="0"/>
        <w:color w:val="A5A5A5"/>
      </w:rPr>
      <w:tblPr/>
      <w:tcPr>
        <w:tcBorders>
          <w:top w:val="nil"/>
          <w:left w:val="single" w:sz="24" w:space="0" w:color="A5A5A5"/>
          <w:bottom w:val="nil"/>
          <w:right w:val="nil"/>
          <w:insideH w:val="nil"/>
          <w:insideV w:val="nil"/>
        </w:tcBorders>
        <w:shd w:val="clear" w:color="auto" w:fill="006633"/>
      </w:tcPr>
    </w:tblStylePr>
    <w:tblStylePr w:type="band1Vert">
      <w:tblPr/>
      <w:tcPr>
        <w:tcBorders>
          <w:top w:val="single" w:sz="8" w:space="0" w:color="A5A5A5"/>
          <w:left w:val="single" w:sz="8" w:space="0" w:color="A5A5A5"/>
          <w:bottom w:val="single" w:sz="8" w:space="0" w:color="A5A5A5"/>
          <w:right w:val="single" w:sz="8" w:space="0" w:color="A5A5A5"/>
          <w:insideH w:val="nil"/>
          <w:insideV w:val="nil"/>
        </w:tcBorders>
        <w:shd w:val="clear" w:color="auto" w:fill="33FF98"/>
      </w:tcPr>
    </w:tblStylePr>
    <w:tblStylePr w:type="band1Horz">
      <w:tblPr/>
      <w:tcPr>
        <w:tcBorders>
          <w:top w:val="single" w:sz="8" w:space="0" w:color="A5A5A5"/>
          <w:left w:val="single" w:sz="8" w:space="0" w:color="A5A5A5"/>
          <w:bottom w:val="single" w:sz="8" w:space="0" w:color="A5A5A5"/>
          <w:right w:val="single" w:sz="8" w:space="0" w:color="A5A5A5"/>
          <w:insideH w:val="single" w:sz="8" w:space="0" w:color="A5A5A5"/>
          <w:insideV w:val="single" w:sz="8" w:space="0" w:color="A5A5A5"/>
        </w:tcBorders>
        <w:shd w:val="clear" w:color="auto" w:fill="33FF98"/>
      </w:tcPr>
    </w:tblStylePr>
  </w:style>
  <w:style w:type="table" w:customStyle="1" w:styleId="MediumGrid3-Accent31">
    <w:name w:val="Medium Grid 3 - Accent 31"/>
    <w:basedOn w:val="TableNormal"/>
    <w:next w:val="MediumGrid3-Accent3"/>
    <w:uiPriority w:val="69"/>
    <w:rsid w:val="00F90100"/>
    <w:pPr>
      <w:spacing w:after="0" w:line="240" w:lineRule="auto"/>
      <w:jc w:val="both"/>
    </w:pPr>
    <w:rPr>
      <w:rFonts w:ascii="Arial" w:hAnsi="Arial"/>
      <w:color w:val="58595B"/>
      <w:sz w:val="20"/>
      <w:lang w:val="nl-BE"/>
    </w:rPr>
    <w:tblPr>
      <w:tblStyleRowBandSize w:val="1"/>
      <w:tblStyleColBandSize w:val="1"/>
      <w:tblBorders>
        <w:top w:val="single" w:sz="8" w:space="0" w:color="A5A5A5"/>
        <w:left w:val="single" w:sz="8" w:space="0" w:color="A5A5A5"/>
        <w:bottom w:val="single" w:sz="8" w:space="0" w:color="A5A5A5"/>
        <w:right w:val="single" w:sz="8" w:space="0" w:color="A5A5A5"/>
        <w:insideH w:val="single" w:sz="6" w:space="0" w:color="A5A5A5"/>
        <w:insideV w:val="single" w:sz="6" w:space="0" w:color="A5A5A5"/>
      </w:tblBorders>
    </w:tblPr>
    <w:tcPr>
      <w:shd w:val="clear" w:color="auto" w:fill="F7FFB4"/>
    </w:tcPr>
    <w:tblStylePr w:type="firstRow">
      <w:rPr>
        <w:b/>
        <w:bCs/>
        <w:i w:val="0"/>
        <w:iCs w:val="0"/>
        <w:color w:val="A5A5A5"/>
      </w:rPr>
      <w:tblPr/>
      <w:tcPr>
        <w:tcBorders>
          <w:top w:val="single" w:sz="8" w:space="0" w:color="A5A5A5"/>
          <w:left w:val="single" w:sz="8" w:space="0" w:color="A5A5A5"/>
          <w:bottom w:val="single" w:sz="24" w:space="0" w:color="A5A5A5"/>
          <w:right w:val="single" w:sz="8" w:space="0" w:color="A5A5A5"/>
          <w:insideH w:val="nil"/>
          <w:insideV w:val="single" w:sz="8" w:space="0" w:color="A5A5A5"/>
        </w:tcBorders>
        <w:shd w:val="clear" w:color="auto" w:fill="BCCF00"/>
      </w:tcPr>
    </w:tblStylePr>
    <w:tblStylePr w:type="lastRow">
      <w:rPr>
        <w:b/>
        <w:bCs/>
        <w:i w:val="0"/>
        <w:iCs w:val="0"/>
        <w:color w:val="A5A5A5"/>
      </w:rPr>
      <w:tblPr/>
      <w:tcPr>
        <w:tcBorders>
          <w:top w:val="single" w:sz="24" w:space="0" w:color="A5A5A5"/>
          <w:left w:val="single" w:sz="8" w:space="0" w:color="A5A5A5"/>
          <w:bottom w:val="single" w:sz="8" w:space="0" w:color="A5A5A5"/>
          <w:right w:val="single" w:sz="8" w:space="0" w:color="A5A5A5"/>
          <w:insideH w:val="nil"/>
          <w:insideV w:val="single" w:sz="8" w:space="0" w:color="A5A5A5"/>
        </w:tcBorders>
        <w:shd w:val="clear" w:color="auto" w:fill="BCCF00"/>
      </w:tcPr>
    </w:tblStylePr>
    <w:tblStylePr w:type="firstCol">
      <w:rPr>
        <w:b/>
        <w:bCs/>
        <w:i w:val="0"/>
        <w:iCs w:val="0"/>
        <w:color w:val="A5A5A5"/>
      </w:rPr>
      <w:tblPr/>
      <w:tcPr>
        <w:tcBorders>
          <w:left w:val="single" w:sz="8" w:space="0" w:color="A5A5A5"/>
          <w:right w:val="single" w:sz="24" w:space="0" w:color="A5A5A5"/>
          <w:insideH w:val="nil"/>
          <w:insideV w:val="nil"/>
        </w:tcBorders>
        <w:shd w:val="clear" w:color="auto" w:fill="BCCF00"/>
      </w:tcPr>
    </w:tblStylePr>
    <w:tblStylePr w:type="lastCol">
      <w:rPr>
        <w:b/>
        <w:bCs/>
        <w:i w:val="0"/>
        <w:iCs w:val="0"/>
        <w:color w:val="A5A5A5"/>
      </w:rPr>
      <w:tblPr/>
      <w:tcPr>
        <w:tcBorders>
          <w:top w:val="nil"/>
          <w:left w:val="single" w:sz="24" w:space="0" w:color="A5A5A5"/>
          <w:bottom w:val="nil"/>
          <w:right w:val="nil"/>
          <w:insideH w:val="nil"/>
          <w:insideV w:val="nil"/>
        </w:tcBorders>
        <w:shd w:val="clear" w:color="auto" w:fill="BCCF00"/>
      </w:tcPr>
    </w:tblStylePr>
    <w:tblStylePr w:type="band1Vert">
      <w:tblPr/>
      <w:tcPr>
        <w:tcBorders>
          <w:top w:val="single" w:sz="8" w:space="0" w:color="A5A5A5"/>
          <w:left w:val="single" w:sz="8" w:space="0" w:color="A5A5A5"/>
          <w:bottom w:val="single" w:sz="8" w:space="0" w:color="A5A5A5"/>
          <w:right w:val="single" w:sz="8" w:space="0" w:color="A5A5A5"/>
          <w:insideH w:val="nil"/>
          <w:insideV w:val="nil"/>
        </w:tcBorders>
        <w:shd w:val="clear" w:color="auto" w:fill="F0FF68"/>
      </w:tcPr>
    </w:tblStylePr>
    <w:tblStylePr w:type="band1Horz">
      <w:tblPr/>
      <w:tcPr>
        <w:tcBorders>
          <w:top w:val="single" w:sz="8" w:space="0" w:color="A5A5A5"/>
          <w:left w:val="single" w:sz="8" w:space="0" w:color="A5A5A5"/>
          <w:bottom w:val="single" w:sz="8" w:space="0" w:color="A5A5A5"/>
          <w:right w:val="single" w:sz="8" w:space="0" w:color="A5A5A5"/>
          <w:insideH w:val="single" w:sz="8" w:space="0" w:color="A5A5A5"/>
          <w:insideV w:val="single" w:sz="8" w:space="0" w:color="A5A5A5"/>
        </w:tcBorders>
        <w:shd w:val="clear" w:color="auto" w:fill="F0FF68"/>
      </w:tcPr>
    </w:tblStylePr>
  </w:style>
  <w:style w:type="table" w:customStyle="1" w:styleId="MediumGrid3-Accent41">
    <w:name w:val="Medium Grid 3 - Accent 41"/>
    <w:basedOn w:val="TableNormal"/>
    <w:next w:val="MediumGrid3-Accent4"/>
    <w:uiPriority w:val="69"/>
    <w:rsid w:val="00F90100"/>
    <w:pPr>
      <w:spacing w:after="0" w:line="240" w:lineRule="auto"/>
      <w:jc w:val="both"/>
    </w:pPr>
    <w:rPr>
      <w:rFonts w:ascii="Arial" w:hAnsi="Arial"/>
      <w:color w:val="58595B"/>
      <w:sz w:val="20"/>
      <w:lang w:val="nl-BE"/>
    </w:rPr>
    <w:tblPr>
      <w:tblStyleRowBandSize w:val="1"/>
      <w:tblStyleColBandSize w:val="1"/>
      <w:tblBorders>
        <w:top w:val="single" w:sz="8" w:space="0" w:color="A5A5A5"/>
        <w:left w:val="single" w:sz="8" w:space="0" w:color="A5A5A5"/>
        <w:bottom w:val="single" w:sz="8" w:space="0" w:color="A5A5A5"/>
        <w:right w:val="single" w:sz="8" w:space="0" w:color="A5A5A5"/>
        <w:insideH w:val="single" w:sz="6" w:space="0" w:color="A5A5A5"/>
        <w:insideV w:val="single" w:sz="6" w:space="0" w:color="A5A5A5"/>
      </w:tblBorders>
    </w:tblPr>
    <w:tcPr>
      <w:shd w:val="clear" w:color="auto" w:fill="FFF5BE"/>
    </w:tcPr>
    <w:tblStylePr w:type="firstRow">
      <w:rPr>
        <w:b/>
        <w:bCs/>
        <w:i w:val="0"/>
        <w:iCs w:val="0"/>
        <w:color w:val="A5A5A5"/>
      </w:rPr>
      <w:tblPr/>
      <w:tcPr>
        <w:tcBorders>
          <w:top w:val="single" w:sz="8" w:space="0" w:color="A5A5A5"/>
          <w:left w:val="single" w:sz="8" w:space="0" w:color="A5A5A5"/>
          <w:bottom w:val="single" w:sz="24" w:space="0" w:color="A5A5A5"/>
          <w:right w:val="single" w:sz="8" w:space="0" w:color="A5A5A5"/>
          <w:insideH w:val="nil"/>
          <w:insideV w:val="single" w:sz="8" w:space="0" w:color="A5A5A5"/>
        </w:tcBorders>
        <w:shd w:val="clear" w:color="auto" w:fill="FAD500"/>
      </w:tcPr>
    </w:tblStylePr>
    <w:tblStylePr w:type="lastRow">
      <w:rPr>
        <w:b/>
        <w:bCs/>
        <w:i w:val="0"/>
        <w:iCs w:val="0"/>
        <w:color w:val="A5A5A5"/>
      </w:rPr>
      <w:tblPr/>
      <w:tcPr>
        <w:tcBorders>
          <w:top w:val="single" w:sz="24" w:space="0" w:color="A5A5A5"/>
          <w:left w:val="single" w:sz="8" w:space="0" w:color="A5A5A5"/>
          <w:bottom w:val="single" w:sz="8" w:space="0" w:color="A5A5A5"/>
          <w:right w:val="single" w:sz="8" w:space="0" w:color="A5A5A5"/>
          <w:insideH w:val="nil"/>
          <w:insideV w:val="single" w:sz="8" w:space="0" w:color="A5A5A5"/>
        </w:tcBorders>
        <w:shd w:val="clear" w:color="auto" w:fill="FAD500"/>
      </w:tcPr>
    </w:tblStylePr>
    <w:tblStylePr w:type="firstCol">
      <w:rPr>
        <w:b/>
        <w:bCs/>
        <w:i w:val="0"/>
        <w:iCs w:val="0"/>
        <w:color w:val="A5A5A5"/>
      </w:rPr>
      <w:tblPr/>
      <w:tcPr>
        <w:tcBorders>
          <w:left w:val="single" w:sz="8" w:space="0" w:color="A5A5A5"/>
          <w:right w:val="single" w:sz="24" w:space="0" w:color="A5A5A5"/>
          <w:insideH w:val="nil"/>
          <w:insideV w:val="nil"/>
        </w:tcBorders>
        <w:shd w:val="clear" w:color="auto" w:fill="FAD500"/>
      </w:tcPr>
    </w:tblStylePr>
    <w:tblStylePr w:type="lastCol">
      <w:rPr>
        <w:b/>
        <w:bCs/>
        <w:i w:val="0"/>
        <w:iCs w:val="0"/>
        <w:color w:val="A5A5A5"/>
      </w:rPr>
      <w:tblPr/>
      <w:tcPr>
        <w:tcBorders>
          <w:top w:val="nil"/>
          <w:left w:val="single" w:sz="24" w:space="0" w:color="A5A5A5"/>
          <w:bottom w:val="nil"/>
          <w:right w:val="nil"/>
          <w:insideH w:val="nil"/>
          <w:insideV w:val="nil"/>
        </w:tcBorders>
        <w:shd w:val="clear" w:color="auto" w:fill="FAD500"/>
      </w:tcPr>
    </w:tblStylePr>
    <w:tblStylePr w:type="band1Vert">
      <w:tblPr/>
      <w:tcPr>
        <w:tcBorders>
          <w:top w:val="single" w:sz="8" w:space="0" w:color="A5A5A5"/>
          <w:left w:val="single" w:sz="8" w:space="0" w:color="A5A5A5"/>
          <w:bottom w:val="single" w:sz="8" w:space="0" w:color="A5A5A5"/>
          <w:right w:val="single" w:sz="8" w:space="0" w:color="A5A5A5"/>
          <w:insideH w:val="nil"/>
          <w:insideV w:val="nil"/>
        </w:tcBorders>
        <w:shd w:val="clear" w:color="auto" w:fill="FFEB7D"/>
      </w:tcPr>
    </w:tblStylePr>
    <w:tblStylePr w:type="band1Horz">
      <w:tblPr/>
      <w:tcPr>
        <w:tcBorders>
          <w:top w:val="single" w:sz="8" w:space="0" w:color="A5A5A5"/>
          <w:left w:val="single" w:sz="8" w:space="0" w:color="A5A5A5"/>
          <w:bottom w:val="single" w:sz="8" w:space="0" w:color="A5A5A5"/>
          <w:right w:val="single" w:sz="8" w:space="0" w:color="A5A5A5"/>
          <w:insideH w:val="single" w:sz="8" w:space="0" w:color="A5A5A5"/>
          <w:insideV w:val="single" w:sz="8" w:space="0" w:color="A5A5A5"/>
        </w:tcBorders>
        <w:shd w:val="clear" w:color="auto" w:fill="FFEB7D"/>
      </w:tcPr>
    </w:tblStylePr>
  </w:style>
  <w:style w:type="table" w:customStyle="1" w:styleId="MediumGrid3-Accent51">
    <w:name w:val="Medium Grid 3 - Accent 51"/>
    <w:basedOn w:val="TableNormal"/>
    <w:next w:val="MediumGrid3-Accent5"/>
    <w:uiPriority w:val="69"/>
    <w:rsid w:val="00F90100"/>
    <w:pPr>
      <w:spacing w:after="0" w:line="240" w:lineRule="auto"/>
      <w:jc w:val="both"/>
    </w:pPr>
    <w:rPr>
      <w:rFonts w:ascii="Arial" w:hAnsi="Arial"/>
      <w:color w:val="58595B"/>
      <w:sz w:val="20"/>
      <w:lang w:val="nl-BE"/>
    </w:rPr>
    <w:tblPr>
      <w:tblStyleRowBandSize w:val="1"/>
      <w:tblStyleColBandSize w:val="1"/>
      <w:tblBorders>
        <w:top w:val="single" w:sz="8" w:space="0" w:color="A5A5A5"/>
        <w:left w:val="single" w:sz="8" w:space="0" w:color="A5A5A5"/>
        <w:bottom w:val="single" w:sz="8" w:space="0" w:color="A5A5A5"/>
        <w:right w:val="single" w:sz="8" w:space="0" w:color="A5A5A5"/>
        <w:insideH w:val="single" w:sz="6" w:space="0" w:color="A5A5A5"/>
        <w:insideV w:val="single" w:sz="6" w:space="0" w:color="A5A5A5"/>
      </w:tblBorders>
    </w:tblPr>
    <w:tcPr>
      <w:shd w:val="clear" w:color="auto" w:fill="FFE7BC"/>
    </w:tcPr>
    <w:tblStylePr w:type="firstRow">
      <w:rPr>
        <w:b/>
        <w:bCs/>
        <w:i w:val="0"/>
        <w:iCs w:val="0"/>
        <w:color w:val="A5A5A5"/>
      </w:rPr>
      <w:tblPr/>
      <w:tcPr>
        <w:tcBorders>
          <w:top w:val="single" w:sz="8" w:space="0" w:color="A5A5A5"/>
          <w:left w:val="single" w:sz="8" w:space="0" w:color="A5A5A5"/>
          <w:bottom w:val="single" w:sz="24" w:space="0" w:color="A5A5A5"/>
          <w:right w:val="single" w:sz="8" w:space="0" w:color="A5A5A5"/>
          <w:insideH w:val="nil"/>
          <w:insideV w:val="single" w:sz="8" w:space="0" w:color="A5A5A5"/>
        </w:tcBorders>
        <w:shd w:val="clear" w:color="auto" w:fill="F29D00"/>
      </w:tcPr>
    </w:tblStylePr>
    <w:tblStylePr w:type="lastRow">
      <w:rPr>
        <w:b/>
        <w:bCs/>
        <w:i w:val="0"/>
        <w:iCs w:val="0"/>
        <w:color w:val="A5A5A5"/>
      </w:rPr>
      <w:tblPr/>
      <w:tcPr>
        <w:tcBorders>
          <w:top w:val="single" w:sz="24" w:space="0" w:color="A5A5A5"/>
          <w:left w:val="single" w:sz="8" w:space="0" w:color="A5A5A5"/>
          <w:bottom w:val="single" w:sz="8" w:space="0" w:color="A5A5A5"/>
          <w:right w:val="single" w:sz="8" w:space="0" w:color="A5A5A5"/>
          <w:insideH w:val="nil"/>
          <w:insideV w:val="single" w:sz="8" w:space="0" w:color="A5A5A5"/>
        </w:tcBorders>
        <w:shd w:val="clear" w:color="auto" w:fill="F29D00"/>
      </w:tcPr>
    </w:tblStylePr>
    <w:tblStylePr w:type="firstCol">
      <w:rPr>
        <w:b/>
        <w:bCs/>
        <w:i w:val="0"/>
        <w:iCs w:val="0"/>
        <w:color w:val="A5A5A5"/>
      </w:rPr>
      <w:tblPr/>
      <w:tcPr>
        <w:tcBorders>
          <w:left w:val="single" w:sz="8" w:space="0" w:color="A5A5A5"/>
          <w:right w:val="single" w:sz="24" w:space="0" w:color="A5A5A5"/>
          <w:insideH w:val="nil"/>
          <w:insideV w:val="nil"/>
        </w:tcBorders>
        <w:shd w:val="clear" w:color="auto" w:fill="F29D00"/>
      </w:tcPr>
    </w:tblStylePr>
    <w:tblStylePr w:type="lastCol">
      <w:rPr>
        <w:b/>
        <w:bCs/>
        <w:i w:val="0"/>
        <w:iCs w:val="0"/>
        <w:color w:val="A5A5A5"/>
      </w:rPr>
      <w:tblPr/>
      <w:tcPr>
        <w:tcBorders>
          <w:top w:val="nil"/>
          <w:left w:val="single" w:sz="24" w:space="0" w:color="A5A5A5"/>
          <w:bottom w:val="nil"/>
          <w:right w:val="nil"/>
          <w:insideH w:val="nil"/>
          <w:insideV w:val="nil"/>
        </w:tcBorders>
        <w:shd w:val="clear" w:color="auto" w:fill="F29D00"/>
      </w:tcPr>
    </w:tblStylePr>
    <w:tblStylePr w:type="band1Vert">
      <w:tblPr/>
      <w:tcPr>
        <w:tcBorders>
          <w:top w:val="single" w:sz="8" w:space="0" w:color="A5A5A5"/>
          <w:left w:val="single" w:sz="8" w:space="0" w:color="A5A5A5"/>
          <w:bottom w:val="single" w:sz="8" w:space="0" w:color="A5A5A5"/>
          <w:right w:val="single" w:sz="8" w:space="0" w:color="A5A5A5"/>
          <w:insideH w:val="nil"/>
          <w:insideV w:val="nil"/>
        </w:tcBorders>
        <w:shd w:val="clear" w:color="auto" w:fill="FFCF79"/>
      </w:tcPr>
    </w:tblStylePr>
    <w:tblStylePr w:type="band1Horz">
      <w:tblPr/>
      <w:tcPr>
        <w:tcBorders>
          <w:top w:val="single" w:sz="8" w:space="0" w:color="A5A5A5"/>
          <w:left w:val="single" w:sz="8" w:space="0" w:color="A5A5A5"/>
          <w:bottom w:val="single" w:sz="8" w:space="0" w:color="A5A5A5"/>
          <w:right w:val="single" w:sz="8" w:space="0" w:color="A5A5A5"/>
          <w:insideH w:val="single" w:sz="8" w:space="0" w:color="A5A5A5"/>
          <w:insideV w:val="single" w:sz="8" w:space="0" w:color="A5A5A5"/>
        </w:tcBorders>
        <w:shd w:val="clear" w:color="auto" w:fill="FFCF79"/>
      </w:tcPr>
    </w:tblStylePr>
  </w:style>
  <w:style w:type="table" w:customStyle="1" w:styleId="MediumGrid3-Accent61">
    <w:name w:val="Medium Grid 3 - Accent 61"/>
    <w:basedOn w:val="TableNormal"/>
    <w:next w:val="MediumGrid3-Accent6"/>
    <w:uiPriority w:val="69"/>
    <w:rsid w:val="00F90100"/>
    <w:pPr>
      <w:spacing w:after="0" w:line="240" w:lineRule="auto"/>
      <w:jc w:val="both"/>
    </w:pPr>
    <w:rPr>
      <w:rFonts w:ascii="Arial" w:hAnsi="Arial"/>
      <w:color w:val="58595B"/>
      <w:sz w:val="20"/>
      <w:lang w:val="nl-BE"/>
    </w:rPr>
    <w:tblPr>
      <w:tblStyleRowBandSize w:val="1"/>
      <w:tblStyleColBandSize w:val="1"/>
      <w:tblBorders>
        <w:top w:val="single" w:sz="8" w:space="0" w:color="A5A5A5"/>
        <w:left w:val="single" w:sz="8" w:space="0" w:color="A5A5A5"/>
        <w:bottom w:val="single" w:sz="8" w:space="0" w:color="A5A5A5"/>
        <w:right w:val="single" w:sz="8" w:space="0" w:color="A5A5A5"/>
        <w:insideH w:val="single" w:sz="6" w:space="0" w:color="A5A5A5"/>
        <w:insideV w:val="single" w:sz="6" w:space="0" w:color="A5A5A5"/>
      </w:tblBorders>
    </w:tblPr>
    <w:tcPr>
      <w:shd w:val="clear" w:color="auto" w:fill="F7D1C0"/>
    </w:tcPr>
    <w:tblStylePr w:type="firstRow">
      <w:rPr>
        <w:b/>
        <w:bCs/>
        <w:i w:val="0"/>
        <w:iCs w:val="0"/>
        <w:color w:val="A5A5A5"/>
      </w:rPr>
      <w:tblPr/>
      <w:tcPr>
        <w:tcBorders>
          <w:top w:val="single" w:sz="8" w:space="0" w:color="A5A5A5"/>
          <w:left w:val="single" w:sz="8" w:space="0" w:color="A5A5A5"/>
          <w:bottom w:val="single" w:sz="24" w:space="0" w:color="A5A5A5"/>
          <w:right w:val="single" w:sz="8" w:space="0" w:color="A5A5A5"/>
          <w:insideH w:val="nil"/>
          <w:insideV w:val="single" w:sz="8" w:space="0" w:color="A5A5A5"/>
        </w:tcBorders>
        <w:shd w:val="clear" w:color="auto" w:fill="C85019"/>
      </w:tcPr>
    </w:tblStylePr>
    <w:tblStylePr w:type="lastRow">
      <w:rPr>
        <w:b/>
        <w:bCs/>
        <w:i w:val="0"/>
        <w:iCs w:val="0"/>
        <w:color w:val="A5A5A5"/>
      </w:rPr>
      <w:tblPr/>
      <w:tcPr>
        <w:tcBorders>
          <w:top w:val="single" w:sz="24" w:space="0" w:color="A5A5A5"/>
          <w:left w:val="single" w:sz="8" w:space="0" w:color="A5A5A5"/>
          <w:bottom w:val="single" w:sz="8" w:space="0" w:color="A5A5A5"/>
          <w:right w:val="single" w:sz="8" w:space="0" w:color="A5A5A5"/>
          <w:insideH w:val="nil"/>
          <w:insideV w:val="single" w:sz="8" w:space="0" w:color="A5A5A5"/>
        </w:tcBorders>
        <w:shd w:val="clear" w:color="auto" w:fill="C85019"/>
      </w:tcPr>
    </w:tblStylePr>
    <w:tblStylePr w:type="firstCol">
      <w:rPr>
        <w:b/>
        <w:bCs/>
        <w:i w:val="0"/>
        <w:iCs w:val="0"/>
        <w:color w:val="A5A5A5"/>
      </w:rPr>
      <w:tblPr/>
      <w:tcPr>
        <w:tcBorders>
          <w:left w:val="single" w:sz="8" w:space="0" w:color="A5A5A5"/>
          <w:right w:val="single" w:sz="24" w:space="0" w:color="A5A5A5"/>
          <w:insideH w:val="nil"/>
          <w:insideV w:val="nil"/>
        </w:tcBorders>
        <w:shd w:val="clear" w:color="auto" w:fill="C85019"/>
      </w:tcPr>
    </w:tblStylePr>
    <w:tblStylePr w:type="lastCol">
      <w:rPr>
        <w:b/>
        <w:bCs/>
        <w:i w:val="0"/>
        <w:iCs w:val="0"/>
        <w:color w:val="A5A5A5"/>
      </w:rPr>
      <w:tblPr/>
      <w:tcPr>
        <w:tcBorders>
          <w:top w:val="nil"/>
          <w:left w:val="single" w:sz="24" w:space="0" w:color="A5A5A5"/>
          <w:bottom w:val="nil"/>
          <w:right w:val="nil"/>
          <w:insideH w:val="nil"/>
          <w:insideV w:val="nil"/>
        </w:tcBorders>
        <w:shd w:val="clear" w:color="auto" w:fill="C85019"/>
      </w:tcPr>
    </w:tblStylePr>
    <w:tblStylePr w:type="band1Vert">
      <w:tblPr/>
      <w:tcPr>
        <w:tcBorders>
          <w:top w:val="single" w:sz="8" w:space="0" w:color="A5A5A5"/>
          <w:left w:val="single" w:sz="8" w:space="0" w:color="A5A5A5"/>
          <w:bottom w:val="single" w:sz="8" w:space="0" w:color="A5A5A5"/>
          <w:right w:val="single" w:sz="8" w:space="0" w:color="A5A5A5"/>
          <w:insideH w:val="nil"/>
          <w:insideV w:val="nil"/>
        </w:tcBorders>
        <w:shd w:val="clear" w:color="auto" w:fill="EFA380"/>
      </w:tcPr>
    </w:tblStylePr>
    <w:tblStylePr w:type="band1Horz">
      <w:tblPr/>
      <w:tcPr>
        <w:tcBorders>
          <w:top w:val="single" w:sz="8" w:space="0" w:color="A5A5A5"/>
          <w:left w:val="single" w:sz="8" w:space="0" w:color="A5A5A5"/>
          <w:bottom w:val="single" w:sz="8" w:space="0" w:color="A5A5A5"/>
          <w:right w:val="single" w:sz="8" w:space="0" w:color="A5A5A5"/>
          <w:insideH w:val="single" w:sz="8" w:space="0" w:color="A5A5A5"/>
          <w:insideV w:val="single" w:sz="8" w:space="0" w:color="A5A5A5"/>
        </w:tcBorders>
        <w:shd w:val="clear" w:color="auto" w:fill="EFA380"/>
      </w:tcPr>
    </w:tblStylePr>
  </w:style>
  <w:style w:type="table" w:customStyle="1" w:styleId="MediumList11">
    <w:name w:val="Medium List 11"/>
    <w:basedOn w:val="TableNormal"/>
    <w:next w:val="MediumList1"/>
    <w:uiPriority w:val="65"/>
    <w:rsid w:val="00F90100"/>
    <w:pPr>
      <w:spacing w:after="0" w:line="240" w:lineRule="auto"/>
      <w:jc w:val="both"/>
    </w:pPr>
    <w:rPr>
      <w:rFonts w:ascii="Arial" w:hAnsi="Arial"/>
      <w:color w:val="58595B"/>
      <w:sz w:val="20"/>
      <w:lang w:val="nl-BE"/>
    </w:rPr>
    <w:tblPr>
      <w:tblStyleRowBandSize w:val="1"/>
      <w:tblStyleColBandSize w:val="1"/>
      <w:tblBorders>
        <w:top w:val="single" w:sz="8" w:space="0" w:color="58595B"/>
        <w:bottom w:val="single" w:sz="8" w:space="0" w:color="58595B"/>
      </w:tblBorders>
    </w:tblPr>
    <w:tblStylePr w:type="firstRow">
      <w:rPr>
        <w:rFonts w:ascii="Arial" w:eastAsia="Times New Roman" w:hAnsi="Arial" w:cs="Times New Roman"/>
      </w:rPr>
      <w:tblPr/>
      <w:tcPr>
        <w:tcBorders>
          <w:top w:val="nil"/>
          <w:bottom w:val="single" w:sz="8" w:space="0" w:color="58595B"/>
        </w:tcBorders>
      </w:tcPr>
    </w:tblStylePr>
    <w:tblStylePr w:type="lastRow">
      <w:rPr>
        <w:b/>
        <w:bCs/>
        <w:color w:val="006633"/>
      </w:rPr>
      <w:tblPr/>
      <w:tcPr>
        <w:tcBorders>
          <w:top w:val="single" w:sz="8" w:space="0" w:color="58595B"/>
          <w:bottom w:val="single" w:sz="8" w:space="0" w:color="58595B"/>
        </w:tcBorders>
      </w:tcPr>
    </w:tblStylePr>
    <w:tblStylePr w:type="firstCol">
      <w:rPr>
        <w:b/>
        <w:bCs/>
      </w:rPr>
    </w:tblStylePr>
    <w:tblStylePr w:type="lastCol">
      <w:rPr>
        <w:b/>
        <w:bCs/>
      </w:rPr>
      <w:tblPr/>
      <w:tcPr>
        <w:tcBorders>
          <w:top w:val="single" w:sz="8" w:space="0" w:color="58595B"/>
          <w:bottom w:val="single" w:sz="8" w:space="0" w:color="58595B"/>
        </w:tcBorders>
      </w:tcPr>
    </w:tblStylePr>
    <w:tblStylePr w:type="band1Vert">
      <w:tblPr/>
      <w:tcPr>
        <w:shd w:val="clear" w:color="auto" w:fill="D5D5D6"/>
      </w:tcPr>
    </w:tblStylePr>
    <w:tblStylePr w:type="band1Horz">
      <w:tblPr/>
      <w:tcPr>
        <w:shd w:val="clear" w:color="auto" w:fill="D5D5D6"/>
      </w:tcPr>
    </w:tblStylePr>
  </w:style>
  <w:style w:type="table" w:customStyle="1" w:styleId="MediumList1-Accent11">
    <w:name w:val="Medium List 1 - Accent 11"/>
    <w:basedOn w:val="TableNormal"/>
    <w:next w:val="MediumList1-Accent1"/>
    <w:uiPriority w:val="65"/>
    <w:rsid w:val="00F90100"/>
    <w:pPr>
      <w:spacing w:after="0" w:line="240" w:lineRule="auto"/>
      <w:jc w:val="both"/>
    </w:pPr>
    <w:rPr>
      <w:rFonts w:ascii="Arial" w:hAnsi="Arial"/>
      <w:color w:val="58595B"/>
      <w:sz w:val="20"/>
      <w:lang w:val="nl-BE"/>
    </w:rPr>
    <w:tblPr>
      <w:tblStyleRowBandSize w:val="1"/>
      <w:tblStyleColBandSize w:val="1"/>
      <w:tblBorders>
        <w:top w:val="single" w:sz="8" w:space="0" w:color="3AAA35"/>
        <w:bottom w:val="single" w:sz="8" w:space="0" w:color="3AAA35"/>
      </w:tblBorders>
    </w:tblPr>
    <w:tblStylePr w:type="firstRow">
      <w:rPr>
        <w:rFonts w:ascii="Arial" w:eastAsia="Times New Roman" w:hAnsi="Arial" w:cs="Times New Roman"/>
      </w:rPr>
      <w:tblPr/>
      <w:tcPr>
        <w:tcBorders>
          <w:top w:val="nil"/>
          <w:bottom w:val="single" w:sz="8" w:space="0" w:color="3AAA35"/>
        </w:tcBorders>
      </w:tcPr>
    </w:tblStylePr>
    <w:tblStylePr w:type="lastRow">
      <w:rPr>
        <w:b/>
        <w:bCs/>
        <w:color w:val="006633"/>
      </w:rPr>
      <w:tblPr/>
      <w:tcPr>
        <w:tcBorders>
          <w:top w:val="single" w:sz="8" w:space="0" w:color="3AAA35"/>
          <w:bottom w:val="single" w:sz="8" w:space="0" w:color="3AAA35"/>
        </w:tcBorders>
      </w:tcPr>
    </w:tblStylePr>
    <w:tblStylePr w:type="firstCol">
      <w:rPr>
        <w:b/>
        <w:bCs/>
      </w:rPr>
    </w:tblStylePr>
    <w:tblStylePr w:type="lastCol">
      <w:rPr>
        <w:b/>
        <w:bCs/>
      </w:rPr>
      <w:tblPr/>
      <w:tcPr>
        <w:tcBorders>
          <w:top w:val="single" w:sz="8" w:space="0" w:color="3AAA35"/>
          <w:bottom w:val="single" w:sz="8" w:space="0" w:color="3AAA35"/>
        </w:tcBorders>
      </w:tcPr>
    </w:tblStylePr>
    <w:tblStylePr w:type="band1Vert">
      <w:tblPr/>
      <w:tcPr>
        <w:shd w:val="clear" w:color="auto" w:fill="CAEEC8"/>
      </w:tcPr>
    </w:tblStylePr>
    <w:tblStylePr w:type="band1Horz">
      <w:tblPr/>
      <w:tcPr>
        <w:shd w:val="clear" w:color="auto" w:fill="CAEEC8"/>
      </w:tcPr>
    </w:tblStylePr>
  </w:style>
  <w:style w:type="table" w:customStyle="1" w:styleId="MediumList1-Accent21">
    <w:name w:val="Medium List 1 - Accent 21"/>
    <w:basedOn w:val="TableNormal"/>
    <w:next w:val="MediumList1-Accent2"/>
    <w:uiPriority w:val="65"/>
    <w:rsid w:val="00F90100"/>
    <w:pPr>
      <w:spacing w:after="0" w:line="240" w:lineRule="auto"/>
      <w:jc w:val="both"/>
    </w:pPr>
    <w:rPr>
      <w:rFonts w:ascii="Arial" w:hAnsi="Arial"/>
      <w:color w:val="58595B"/>
      <w:sz w:val="20"/>
      <w:lang w:val="nl-BE"/>
    </w:rPr>
    <w:tblPr>
      <w:tblStyleRowBandSize w:val="1"/>
      <w:tblStyleColBandSize w:val="1"/>
      <w:tblBorders>
        <w:top w:val="single" w:sz="8" w:space="0" w:color="006633"/>
        <w:bottom w:val="single" w:sz="8" w:space="0" w:color="006633"/>
      </w:tblBorders>
    </w:tblPr>
    <w:tblStylePr w:type="firstRow">
      <w:rPr>
        <w:rFonts w:ascii="Arial" w:eastAsia="Times New Roman" w:hAnsi="Arial" w:cs="Times New Roman"/>
      </w:rPr>
      <w:tblPr/>
      <w:tcPr>
        <w:tcBorders>
          <w:top w:val="nil"/>
          <w:bottom w:val="single" w:sz="8" w:space="0" w:color="006633"/>
        </w:tcBorders>
      </w:tcPr>
    </w:tblStylePr>
    <w:tblStylePr w:type="lastRow">
      <w:rPr>
        <w:b/>
        <w:bCs/>
        <w:color w:val="006633"/>
      </w:rPr>
      <w:tblPr/>
      <w:tcPr>
        <w:tcBorders>
          <w:top w:val="single" w:sz="8" w:space="0" w:color="006633"/>
          <w:bottom w:val="single" w:sz="8" w:space="0" w:color="006633"/>
        </w:tcBorders>
      </w:tcPr>
    </w:tblStylePr>
    <w:tblStylePr w:type="firstCol">
      <w:rPr>
        <w:b/>
        <w:bCs/>
      </w:rPr>
    </w:tblStylePr>
    <w:tblStylePr w:type="lastCol">
      <w:rPr>
        <w:b/>
        <w:bCs/>
      </w:rPr>
      <w:tblPr/>
      <w:tcPr>
        <w:tcBorders>
          <w:top w:val="single" w:sz="8" w:space="0" w:color="006633"/>
          <w:bottom w:val="single" w:sz="8" w:space="0" w:color="006633"/>
        </w:tcBorders>
      </w:tcPr>
    </w:tblStylePr>
    <w:tblStylePr w:type="band1Vert">
      <w:tblPr/>
      <w:tcPr>
        <w:shd w:val="clear" w:color="auto" w:fill="9AFFCC"/>
      </w:tcPr>
    </w:tblStylePr>
    <w:tblStylePr w:type="band1Horz">
      <w:tblPr/>
      <w:tcPr>
        <w:shd w:val="clear" w:color="auto" w:fill="9AFFCC"/>
      </w:tcPr>
    </w:tblStylePr>
  </w:style>
  <w:style w:type="table" w:customStyle="1" w:styleId="MediumList1-Accent31">
    <w:name w:val="Medium List 1 - Accent 31"/>
    <w:basedOn w:val="TableNormal"/>
    <w:next w:val="MediumList1-Accent3"/>
    <w:uiPriority w:val="65"/>
    <w:rsid w:val="00F90100"/>
    <w:pPr>
      <w:spacing w:after="0" w:line="240" w:lineRule="auto"/>
      <w:jc w:val="both"/>
    </w:pPr>
    <w:rPr>
      <w:rFonts w:ascii="Arial" w:hAnsi="Arial"/>
      <w:color w:val="58595B"/>
      <w:sz w:val="20"/>
      <w:lang w:val="nl-BE"/>
    </w:rPr>
    <w:tblPr>
      <w:tblStyleRowBandSize w:val="1"/>
      <w:tblStyleColBandSize w:val="1"/>
      <w:tblBorders>
        <w:top w:val="single" w:sz="8" w:space="0" w:color="BCCF00"/>
        <w:bottom w:val="single" w:sz="8" w:space="0" w:color="BCCF00"/>
      </w:tblBorders>
    </w:tblPr>
    <w:tblStylePr w:type="firstRow">
      <w:rPr>
        <w:rFonts w:ascii="Arial" w:eastAsia="Times New Roman" w:hAnsi="Arial" w:cs="Times New Roman"/>
      </w:rPr>
      <w:tblPr/>
      <w:tcPr>
        <w:tcBorders>
          <w:top w:val="nil"/>
          <w:bottom w:val="single" w:sz="8" w:space="0" w:color="BCCF00"/>
        </w:tcBorders>
      </w:tcPr>
    </w:tblStylePr>
    <w:tblStylePr w:type="lastRow">
      <w:rPr>
        <w:b/>
        <w:bCs/>
        <w:color w:val="006633"/>
      </w:rPr>
      <w:tblPr/>
      <w:tcPr>
        <w:tcBorders>
          <w:top w:val="single" w:sz="8" w:space="0" w:color="BCCF00"/>
          <w:bottom w:val="single" w:sz="8" w:space="0" w:color="BCCF00"/>
        </w:tcBorders>
      </w:tcPr>
    </w:tblStylePr>
    <w:tblStylePr w:type="firstCol">
      <w:rPr>
        <w:b/>
        <w:bCs/>
      </w:rPr>
    </w:tblStylePr>
    <w:tblStylePr w:type="lastCol">
      <w:rPr>
        <w:b/>
        <w:bCs/>
      </w:rPr>
      <w:tblPr/>
      <w:tcPr>
        <w:tcBorders>
          <w:top w:val="single" w:sz="8" w:space="0" w:color="BCCF00"/>
          <w:bottom w:val="single" w:sz="8" w:space="0" w:color="BCCF00"/>
        </w:tcBorders>
      </w:tcPr>
    </w:tblStylePr>
    <w:tblStylePr w:type="band1Vert">
      <w:tblPr/>
      <w:tcPr>
        <w:shd w:val="clear" w:color="auto" w:fill="F7FFB4"/>
      </w:tcPr>
    </w:tblStylePr>
    <w:tblStylePr w:type="band1Horz">
      <w:tblPr/>
      <w:tcPr>
        <w:shd w:val="clear" w:color="auto" w:fill="F7FFB4"/>
      </w:tcPr>
    </w:tblStylePr>
  </w:style>
  <w:style w:type="table" w:customStyle="1" w:styleId="MediumList1-Accent41">
    <w:name w:val="Medium List 1 - Accent 41"/>
    <w:basedOn w:val="TableNormal"/>
    <w:next w:val="MediumList1-Accent4"/>
    <w:uiPriority w:val="65"/>
    <w:rsid w:val="00F90100"/>
    <w:pPr>
      <w:spacing w:after="0" w:line="240" w:lineRule="auto"/>
      <w:jc w:val="both"/>
    </w:pPr>
    <w:rPr>
      <w:rFonts w:ascii="Arial" w:hAnsi="Arial"/>
      <w:color w:val="58595B"/>
      <w:sz w:val="20"/>
      <w:lang w:val="nl-BE"/>
    </w:rPr>
    <w:tblPr>
      <w:tblStyleRowBandSize w:val="1"/>
      <w:tblStyleColBandSize w:val="1"/>
      <w:tblBorders>
        <w:top w:val="single" w:sz="8" w:space="0" w:color="FAD500"/>
        <w:bottom w:val="single" w:sz="8" w:space="0" w:color="FAD500"/>
      </w:tblBorders>
    </w:tblPr>
    <w:tblStylePr w:type="firstRow">
      <w:rPr>
        <w:rFonts w:ascii="Arial" w:eastAsia="Times New Roman" w:hAnsi="Arial" w:cs="Times New Roman"/>
      </w:rPr>
      <w:tblPr/>
      <w:tcPr>
        <w:tcBorders>
          <w:top w:val="nil"/>
          <w:bottom w:val="single" w:sz="8" w:space="0" w:color="FAD500"/>
        </w:tcBorders>
      </w:tcPr>
    </w:tblStylePr>
    <w:tblStylePr w:type="lastRow">
      <w:rPr>
        <w:b/>
        <w:bCs/>
        <w:color w:val="006633"/>
      </w:rPr>
      <w:tblPr/>
      <w:tcPr>
        <w:tcBorders>
          <w:top w:val="single" w:sz="8" w:space="0" w:color="FAD500"/>
          <w:bottom w:val="single" w:sz="8" w:space="0" w:color="FAD500"/>
        </w:tcBorders>
      </w:tcPr>
    </w:tblStylePr>
    <w:tblStylePr w:type="firstCol">
      <w:rPr>
        <w:b/>
        <w:bCs/>
      </w:rPr>
    </w:tblStylePr>
    <w:tblStylePr w:type="lastCol">
      <w:rPr>
        <w:b/>
        <w:bCs/>
      </w:rPr>
      <w:tblPr/>
      <w:tcPr>
        <w:tcBorders>
          <w:top w:val="single" w:sz="8" w:space="0" w:color="FAD500"/>
          <w:bottom w:val="single" w:sz="8" w:space="0" w:color="FAD500"/>
        </w:tcBorders>
      </w:tcPr>
    </w:tblStylePr>
    <w:tblStylePr w:type="band1Vert">
      <w:tblPr/>
      <w:tcPr>
        <w:shd w:val="clear" w:color="auto" w:fill="FFF5BE"/>
      </w:tcPr>
    </w:tblStylePr>
    <w:tblStylePr w:type="band1Horz">
      <w:tblPr/>
      <w:tcPr>
        <w:shd w:val="clear" w:color="auto" w:fill="FFF5BE"/>
      </w:tcPr>
    </w:tblStylePr>
  </w:style>
  <w:style w:type="table" w:customStyle="1" w:styleId="MediumList1-Accent51">
    <w:name w:val="Medium List 1 - Accent 51"/>
    <w:basedOn w:val="TableNormal"/>
    <w:next w:val="MediumList1-Accent5"/>
    <w:uiPriority w:val="65"/>
    <w:rsid w:val="00F90100"/>
    <w:pPr>
      <w:spacing w:after="0" w:line="240" w:lineRule="auto"/>
      <w:jc w:val="both"/>
    </w:pPr>
    <w:rPr>
      <w:rFonts w:ascii="Arial" w:hAnsi="Arial"/>
      <w:color w:val="58595B"/>
      <w:sz w:val="20"/>
      <w:lang w:val="nl-BE"/>
    </w:rPr>
    <w:tblPr>
      <w:tblStyleRowBandSize w:val="1"/>
      <w:tblStyleColBandSize w:val="1"/>
      <w:tblBorders>
        <w:top w:val="single" w:sz="8" w:space="0" w:color="F29D00"/>
        <w:bottom w:val="single" w:sz="8" w:space="0" w:color="F29D00"/>
      </w:tblBorders>
    </w:tblPr>
    <w:tblStylePr w:type="firstRow">
      <w:rPr>
        <w:rFonts w:ascii="Arial" w:eastAsia="Times New Roman" w:hAnsi="Arial" w:cs="Times New Roman"/>
      </w:rPr>
      <w:tblPr/>
      <w:tcPr>
        <w:tcBorders>
          <w:top w:val="nil"/>
          <w:bottom w:val="single" w:sz="8" w:space="0" w:color="F29D00"/>
        </w:tcBorders>
      </w:tcPr>
    </w:tblStylePr>
    <w:tblStylePr w:type="lastRow">
      <w:rPr>
        <w:b/>
        <w:bCs/>
        <w:color w:val="006633"/>
      </w:rPr>
      <w:tblPr/>
      <w:tcPr>
        <w:tcBorders>
          <w:top w:val="single" w:sz="8" w:space="0" w:color="F29D00"/>
          <w:bottom w:val="single" w:sz="8" w:space="0" w:color="F29D00"/>
        </w:tcBorders>
      </w:tcPr>
    </w:tblStylePr>
    <w:tblStylePr w:type="firstCol">
      <w:rPr>
        <w:b/>
        <w:bCs/>
      </w:rPr>
    </w:tblStylePr>
    <w:tblStylePr w:type="lastCol">
      <w:rPr>
        <w:b/>
        <w:bCs/>
      </w:rPr>
      <w:tblPr/>
      <w:tcPr>
        <w:tcBorders>
          <w:top w:val="single" w:sz="8" w:space="0" w:color="F29D00"/>
          <w:bottom w:val="single" w:sz="8" w:space="0" w:color="F29D00"/>
        </w:tcBorders>
      </w:tcPr>
    </w:tblStylePr>
    <w:tblStylePr w:type="band1Vert">
      <w:tblPr/>
      <w:tcPr>
        <w:shd w:val="clear" w:color="auto" w:fill="FFE7BC"/>
      </w:tcPr>
    </w:tblStylePr>
    <w:tblStylePr w:type="band1Horz">
      <w:tblPr/>
      <w:tcPr>
        <w:shd w:val="clear" w:color="auto" w:fill="FFE7BC"/>
      </w:tcPr>
    </w:tblStylePr>
  </w:style>
  <w:style w:type="table" w:customStyle="1" w:styleId="MediumList1-Accent61">
    <w:name w:val="Medium List 1 - Accent 61"/>
    <w:basedOn w:val="TableNormal"/>
    <w:next w:val="MediumList1-Accent6"/>
    <w:uiPriority w:val="65"/>
    <w:rsid w:val="00F90100"/>
    <w:pPr>
      <w:spacing w:after="0" w:line="240" w:lineRule="auto"/>
      <w:jc w:val="both"/>
    </w:pPr>
    <w:rPr>
      <w:rFonts w:ascii="Arial" w:hAnsi="Arial"/>
      <w:color w:val="58595B"/>
      <w:sz w:val="20"/>
      <w:lang w:val="nl-BE"/>
    </w:rPr>
    <w:tblPr>
      <w:tblStyleRowBandSize w:val="1"/>
      <w:tblStyleColBandSize w:val="1"/>
      <w:tblBorders>
        <w:top w:val="single" w:sz="8" w:space="0" w:color="C85019"/>
        <w:bottom w:val="single" w:sz="8" w:space="0" w:color="C85019"/>
      </w:tblBorders>
    </w:tblPr>
    <w:tblStylePr w:type="firstRow">
      <w:rPr>
        <w:rFonts w:ascii="Arial" w:eastAsia="Times New Roman" w:hAnsi="Arial" w:cs="Times New Roman"/>
      </w:rPr>
      <w:tblPr/>
      <w:tcPr>
        <w:tcBorders>
          <w:top w:val="nil"/>
          <w:bottom w:val="single" w:sz="8" w:space="0" w:color="C85019"/>
        </w:tcBorders>
      </w:tcPr>
    </w:tblStylePr>
    <w:tblStylePr w:type="lastRow">
      <w:rPr>
        <w:b/>
        <w:bCs/>
        <w:color w:val="006633"/>
      </w:rPr>
      <w:tblPr/>
      <w:tcPr>
        <w:tcBorders>
          <w:top w:val="single" w:sz="8" w:space="0" w:color="C85019"/>
          <w:bottom w:val="single" w:sz="8" w:space="0" w:color="C85019"/>
        </w:tcBorders>
      </w:tcPr>
    </w:tblStylePr>
    <w:tblStylePr w:type="firstCol">
      <w:rPr>
        <w:b/>
        <w:bCs/>
      </w:rPr>
    </w:tblStylePr>
    <w:tblStylePr w:type="lastCol">
      <w:rPr>
        <w:b/>
        <w:bCs/>
      </w:rPr>
      <w:tblPr/>
      <w:tcPr>
        <w:tcBorders>
          <w:top w:val="single" w:sz="8" w:space="0" w:color="C85019"/>
          <w:bottom w:val="single" w:sz="8" w:space="0" w:color="C85019"/>
        </w:tcBorders>
      </w:tcPr>
    </w:tblStylePr>
    <w:tblStylePr w:type="band1Vert">
      <w:tblPr/>
      <w:tcPr>
        <w:shd w:val="clear" w:color="auto" w:fill="F7D1C0"/>
      </w:tcPr>
    </w:tblStylePr>
    <w:tblStylePr w:type="band1Horz">
      <w:tblPr/>
      <w:tcPr>
        <w:shd w:val="clear" w:color="auto" w:fill="F7D1C0"/>
      </w:tcPr>
    </w:tblStylePr>
  </w:style>
  <w:style w:type="table" w:customStyle="1" w:styleId="MediumList21">
    <w:name w:val="Medium List 21"/>
    <w:basedOn w:val="TableNormal"/>
    <w:next w:val="MediumList2"/>
    <w:uiPriority w:val="66"/>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58595B"/>
        <w:left w:val="single" w:sz="8" w:space="0" w:color="58595B"/>
        <w:bottom w:val="single" w:sz="8" w:space="0" w:color="58595B"/>
        <w:right w:val="single" w:sz="8" w:space="0" w:color="58595B"/>
      </w:tblBorders>
    </w:tblPr>
    <w:tblStylePr w:type="firstRow">
      <w:rPr>
        <w:sz w:val="24"/>
        <w:szCs w:val="24"/>
      </w:rPr>
      <w:tblPr/>
      <w:tcPr>
        <w:tcBorders>
          <w:top w:val="nil"/>
          <w:left w:val="nil"/>
          <w:bottom w:val="single" w:sz="24" w:space="0" w:color="58595B"/>
          <w:right w:val="nil"/>
          <w:insideH w:val="nil"/>
          <w:insideV w:val="nil"/>
        </w:tcBorders>
        <w:shd w:val="clear" w:color="auto" w:fill="A5A5A5"/>
      </w:tcPr>
    </w:tblStylePr>
    <w:tblStylePr w:type="lastRow">
      <w:tblPr/>
      <w:tcPr>
        <w:tcBorders>
          <w:top w:val="single" w:sz="8" w:space="0" w:color="58595B"/>
          <w:left w:val="nil"/>
          <w:bottom w:val="nil"/>
          <w:right w:val="nil"/>
          <w:insideH w:val="nil"/>
          <w:insideV w:val="nil"/>
        </w:tcBorders>
        <w:shd w:val="clear" w:color="auto" w:fill="A5A5A5"/>
      </w:tcPr>
    </w:tblStylePr>
    <w:tblStylePr w:type="firstCol">
      <w:tblPr/>
      <w:tcPr>
        <w:tcBorders>
          <w:top w:val="nil"/>
          <w:left w:val="nil"/>
          <w:bottom w:val="nil"/>
          <w:right w:val="single" w:sz="8" w:space="0" w:color="58595B"/>
          <w:insideH w:val="nil"/>
          <w:insideV w:val="nil"/>
        </w:tcBorders>
        <w:shd w:val="clear" w:color="auto" w:fill="A5A5A5"/>
      </w:tcPr>
    </w:tblStylePr>
    <w:tblStylePr w:type="lastCol">
      <w:tblPr/>
      <w:tcPr>
        <w:tcBorders>
          <w:top w:val="nil"/>
          <w:left w:val="single" w:sz="8" w:space="0" w:color="58595B"/>
          <w:bottom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5D5D6"/>
      </w:tcPr>
    </w:tblStylePr>
    <w:tblStylePr w:type="band1Horz">
      <w:tblPr/>
      <w:tcPr>
        <w:tcBorders>
          <w:top w:val="nil"/>
          <w:bottom w:val="nil"/>
          <w:insideH w:val="nil"/>
          <w:insideV w:val="nil"/>
        </w:tcBorders>
        <w:shd w:val="clear" w:color="auto" w:fill="D5D5D6"/>
      </w:tcPr>
    </w:tblStylePr>
    <w:tblStylePr w:type="nwCell">
      <w:tblPr/>
      <w:tcPr>
        <w:shd w:val="clear" w:color="auto" w:fill="A5A5A5"/>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3AAA35"/>
        <w:left w:val="single" w:sz="8" w:space="0" w:color="3AAA35"/>
        <w:bottom w:val="single" w:sz="8" w:space="0" w:color="3AAA35"/>
        <w:right w:val="single" w:sz="8" w:space="0" w:color="3AAA35"/>
      </w:tblBorders>
    </w:tblPr>
    <w:tblStylePr w:type="firstRow">
      <w:rPr>
        <w:sz w:val="24"/>
        <w:szCs w:val="24"/>
      </w:rPr>
      <w:tblPr/>
      <w:tcPr>
        <w:tcBorders>
          <w:top w:val="nil"/>
          <w:left w:val="nil"/>
          <w:bottom w:val="single" w:sz="24" w:space="0" w:color="3AAA35"/>
          <w:right w:val="nil"/>
          <w:insideH w:val="nil"/>
          <w:insideV w:val="nil"/>
        </w:tcBorders>
        <w:shd w:val="clear" w:color="auto" w:fill="A5A5A5"/>
      </w:tcPr>
    </w:tblStylePr>
    <w:tblStylePr w:type="lastRow">
      <w:tblPr/>
      <w:tcPr>
        <w:tcBorders>
          <w:top w:val="single" w:sz="8" w:space="0" w:color="3AAA35"/>
          <w:left w:val="nil"/>
          <w:bottom w:val="nil"/>
          <w:right w:val="nil"/>
          <w:insideH w:val="nil"/>
          <w:insideV w:val="nil"/>
        </w:tcBorders>
        <w:shd w:val="clear" w:color="auto" w:fill="A5A5A5"/>
      </w:tcPr>
    </w:tblStylePr>
    <w:tblStylePr w:type="firstCol">
      <w:tblPr/>
      <w:tcPr>
        <w:tcBorders>
          <w:top w:val="nil"/>
          <w:left w:val="nil"/>
          <w:bottom w:val="nil"/>
          <w:right w:val="single" w:sz="8" w:space="0" w:color="3AAA35"/>
          <w:insideH w:val="nil"/>
          <w:insideV w:val="nil"/>
        </w:tcBorders>
        <w:shd w:val="clear" w:color="auto" w:fill="A5A5A5"/>
      </w:tcPr>
    </w:tblStylePr>
    <w:tblStylePr w:type="lastCol">
      <w:tblPr/>
      <w:tcPr>
        <w:tcBorders>
          <w:top w:val="nil"/>
          <w:left w:val="single" w:sz="8" w:space="0" w:color="3AAA35"/>
          <w:bottom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CAEEC8"/>
      </w:tcPr>
    </w:tblStylePr>
    <w:tblStylePr w:type="band1Horz">
      <w:tblPr/>
      <w:tcPr>
        <w:tcBorders>
          <w:top w:val="nil"/>
          <w:bottom w:val="nil"/>
          <w:insideH w:val="nil"/>
          <w:insideV w:val="nil"/>
        </w:tcBorders>
        <w:shd w:val="clear" w:color="auto" w:fill="CAEEC8"/>
      </w:tcPr>
    </w:tblStylePr>
    <w:tblStylePr w:type="nwCell">
      <w:tblPr/>
      <w:tcPr>
        <w:shd w:val="clear" w:color="auto" w:fill="A5A5A5"/>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006633"/>
        <w:left w:val="single" w:sz="8" w:space="0" w:color="006633"/>
        <w:bottom w:val="single" w:sz="8" w:space="0" w:color="006633"/>
        <w:right w:val="single" w:sz="8" w:space="0" w:color="006633"/>
      </w:tblBorders>
    </w:tblPr>
    <w:tblStylePr w:type="firstRow">
      <w:rPr>
        <w:sz w:val="24"/>
        <w:szCs w:val="24"/>
      </w:rPr>
      <w:tblPr/>
      <w:tcPr>
        <w:tcBorders>
          <w:top w:val="nil"/>
          <w:left w:val="nil"/>
          <w:bottom w:val="single" w:sz="24" w:space="0" w:color="006633"/>
          <w:right w:val="nil"/>
          <w:insideH w:val="nil"/>
          <w:insideV w:val="nil"/>
        </w:tcBorders>
        <w:shd w:val="clear" w:color="auto" w:fill="A5A5A5"/>
      </w:tcPr>
    </w:tblStylePr>
    <w:tblStylePr w:type="lastRow">
      <w:tblPr/>
      <w:tcPr>
        <w:tcBorders>
          <w:top w:val="single" w:sz="8" w:space="0" w:color="006633"/>
          <w:left w:val="nil"/>
          <w:bottom w:val="nil"/>
          <w:right w:val="nil"/>
          <w:insideH w:val="nil"/>
          <w:insideV w:val="nil"/>
        </w:tcBorders>
        <w:shd w:val="clear" w:color="auto" w:fill="A5A5A5"/>
      </w:tcPr>
    </w:tblStylePr>
    <w:tblStylePr w:type="firstCol">
      <w:tblPr/>
      <w:tcPr>
        <w:tcBorders>
          <w:top w:val="nil"/>
          <w:left w:val="nil"/>
          <w:bottom w:val="nil"/>
          <w:right w:val="single" w:sz="8" w:space="0" w:color="006633"/>
          <w:insideH w:val="nil"/>
          <w:insideV w:val="nil"/>
        </w:tcBorders>
        <w:shd w:val="clear" w:color="auto" w:fill="A5A5A5"/>
      </w:tcPr>
    </w:tblStylePr>
    <w:tblStylePr w:type="lastCol">
      <w:tblPr/>
      <w:tcPr>
        <w:tcBorders>
          <w:top w:val="nil"/>
          <w:left w:val="single" w:sz="8" w:space="0" w:color="006633"/>
          <w:bottom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9AFFCC"/>
      </w:tcPr>
    </w:tblStylePr>
    <w:tblStylePr w:type="band1Horz">
      <w:tblPr/>
      <w:tcPr>
        <w:tcBorders>
          <w:top w:val="nil"/>
          <w:bottom w:val="nil"/>
          <w:insideH w:val="nil"/>
          <w:insideV w:val="nil"/>
        </w:tcBorders>
        <w:shd w:val="clear" w:color="auto" w:fill="9AFFCC"/>
      </w:tcPr>
    </w:tblStylePr>
    <w:tblStylePr w:type="nwCell">
      <w:tblPr/>
      <w:tcPr>
        <w:shd w:val="clear" w:color="auto" w:fill="A5A5A5"/>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BCCF00"/>
        <w:left w:val="single" w:sz="8" w:space="0" w:color="BCCF00"/>
        <w:bottom w:val="single" w:sz="8" w:space="0" w:color="BCCF00"/>
        <w:right w:val="single" w:sz="8" w:space="0" w:color="BCCF00"/>
      </w:tblBorders>
    </w:tblPr>
    <w:tblStylePr w:type="firstRow">
      <w:rPr>
        <w:sz w:val="24"/>
        <w:szCs w:val="24"/>
      </w:rPr>
      <w:tblPr/>
      <w:tcPr>
        <w:tcBorders>
          <w:top w:val="nil"/>
          <w:left w:val="nil"/>
          <w:bottom w:val="single" w:sz="24" w:space="0" w:color="BCCF00"/>
          <w:right w:val="nil"/>
          <w:insideH w:val="nil"/>
          <w:insideV w:val="nil"/>
        </w:tcBorders>
        <w:shd w:val="clear" w:color="auto" w:fill="A5A5A5"/>
      </w:tcPr>
    </w:tblStylePr>
    <w:tblStylePr w:type="lastRow">
      <w:tblPr/>
      <w:tcPr>
        <w:tcBorders>
          <w:top w:val="single" w:sz="8" w:space="0" w:color="BCCF00"/>
          <w:left w:val="nil"/>
          <w:bottom w:val="nil"/>
          <w:right w:val="nil"/>
          <w:insideH w:val="nil"/>
          <w:insideV w:val="nil"/>
        </w:tcBorders>
        <w:shd w:val="clear" w:color="auto" w:fill="A5A5A5"/>
      </w:tcPr>
    </w:tblStylePr>
    <w:tblStylePr w:type="firstCol">
      <w:tblPr/>
      <w:tcPr>
        <w:tcBorders>
          <w:top w:val="nil"/>
          <w:left w:val="nil"/>
          <w:bottom w:val="nil"/>
          <w:right w:val="single" w:sz="8" w:space="0" w:color="BCCF00"/>
          <w:insideH w:val="nil"/>
          <w:insideV w:val="nil"/>
        </w:tcBorders>
        <w:shd w:val="clear" w:color="auto" w:fill="A5A5A5"/>
      </w:tcPr>
    </w:tblStylePr>
    <w:tblStylePr w:type="lastCol">
      <w:tblPr/>
      <w:tcPr>
        <w:tcBorders>
          <w:top w:val="nil"/>
          <w:left w:val="single" w:sz="8" w:space="0" w:color="BCCF00"/>
          <w:bottom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F7FFB4"/>
      </w:tcPr>
    </w:tblStylePr>
    <w:tblStylePr w:type="band1Horz">
      <w:tblPr/>
      <w:tcPr>
        <w:tcBorders>
          <w:top w:val="nil"/>
          <w:bottom w:val="nil"/>
          <w:insideH w:val="nil"/>
          <w:insideV w:val="nil"/>
        </w:tcBorders>
        <w:shd w:val="clear" w:color="auto" w:fill="F7FFB4"/>
      </w:tcPr>
    </w:tblStylePr>
    <w:tblStylePr w:type="nwCell">
      <w:tblPr/>
      <w:tcPr>
        <w:shd w:val="clear" w:color="auto" w:fill="A5A5A5"/>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FAD500"/>
        <w:left w:val="single" w:sz="8" w:space="0" w:color="FAD500"/>
        <w:bottom w:val="single" w:sz="8" w:space="0" w:color="FAD500"/>
        <w:right w:val="single" w:sz="8" w:space="0" w:color="FAD500"/>
      </w:tblBorders>
    </w:tblPr>
    <w:tblStylePr w:type="firstRow">
      <w:rPr>
        <w:sz w:val="24"/>
        <w:szCs w:val="24"/>
      </w:rPr>
      <w:tblPr/>
      <w:tcPr>
        <w:tcBorders>
          <w:top w:val="nil"/>
          <w:left w:val="nil"/>
          <w:bottom w:val="single" w:sz="24" w:space="0" w:color="FAD500"/>
          <w:right w:val="nil"/>
          <w:insideH w:val="nil"/>
          <w:insideV w:val="nil"/>
        </w:tcBorders>
        <w:shd w:val="clear" w:color="auto" w:fill="A5A5A5"/>
      </w:tcPr>
    </w:tblStylePr>
    <w:tblStylePr w:type="lastRow">
      <w:tblPr/>
      <w:tcPr>
        <w:tcBorders>
          <w:top w:val="single" w:sz="8" w:space="0" w:color="FAD500"/>
          <w:left w:val="nil"/>
          <w:bottom w:val="nil"/>
          <w:right w:val="nil"/>
          <w:insideH w:val="nil"/>
          <w:insideV w:val="nil"/>
        </w:tcBorders>
        <w:shd w:val="clear" w:color="auto" w:fill="A5A5A5"/>
      </w:tcPr>
    </w:tblStylePr>
    <w:tblStylePr w:type="firstCol">
      <w:tblPr/>
      <w:tcPr>
        <w:tcBorders>
          <w:top w:val="nil"/>
          <w:left w:val="nil"/>
          <w:bottom w:val="nil"/>
          <w:right w:val="single" w:sz="8" w:space="0" w:color="FAD500"/>
          <w:insideH w:val="nil"/>
          <w:insideV w:val="nil"/>
        </w:tcBorders>
        <w:shd w:val="clear" w:color="auto" w:fill="A5A5A5"/>
      </w:tcPr>
    </w:tblStylePr>
    <w:tblStylePr w:type="lastCol">
      <w:tblPr/>
      <w:tcPr>
        <w:tcBorders>
          <w:top w:val="nil"/>
          <w:left w:val="single" w:sz="8" w:space="0" w:color="FAD500"/>
          <w:bottom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FFF5BE"/>
      </w:tcPr>
    </w:tblStylePr>
    <w:tblStylePr w:type="band1Horz">
      <w:tblPr/>
      <w:tcPr>
        <w:tcBorders>
          <w:top w:val="nil"/>
          <w:bottom w:val="nil"/>
          <w:insideH w:val="nil"/>
          <w:insideV w:val="nil"/>
        </w:tcBorders>
        <w:shd w:val="clear" w:color="auto" w:fill="FFF5BE"/>
      </w:tcPr>
    </w:tblStylePr>
    <w:tblStylePr w:type="nwCell">
      <w:tblPr/>
      <w:tcPr>
        <w:shd w:val="clear" w:color="auto" w:fill="A5A5A5"/>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F29D00"/>
        <w:left w:val="single" w:sz="8" w:space="0" w:color="F29D00"/>
        <w:bottom w:val="single" w:sz="8" w:space="0" w:color="F29D00"/>
        <w:right w:val="single" w:sz="8" w:space="0" w:color="F29D00"/>
      </w:tblBorders>
    </w:tblPr>
    <w:tblStylePr w:type="firstRow">
      <w:rPr>
        <w:sz w:val="24"/>
        <w:szCs w:val="24"/>
      </w:rPr>
      <w:tblPr/>
      <w:tcPr>
        <w:tcBorders>
          <w:top w:val="nil"/>
          <w:left w:val="nil"/>
          <w:bottom w:val="single" w:sz="24" w:space="0" w:color="F29D00"/>
          <w:right w:val="nil"/>
          <w:insideH w:val="nil"/>
          <w:insideV w:val="nil"/>
        </w:tcBorders>
        <w:shd w:val="clear" w:color="auto" w:fill="A5A5A5"/>
      </w:tcPr>
    </w:tblStylePr>
    <w:tblStylePr w:type="lastRow">
      <w:tblPr/>
      <w:tcPr>
        <w:tcBorders>
          <w:top w:val="single" w:sz="8" w:space="0" w:color="F29D00"/>
          <w:left w:val="nil"/>
          <w:bottom w:val="nil"/>
          <w:right w:val="nil"/>
          <w:insideH w:val="nil"/>
          <w:insideV w:val="nil"/>
        </w:tcBorders>
        <w:shd w:val="clear" w:color="auto" w:fill="A5A5A5"/>
      </w:tcPr>
    </w:tblStylePr>
    <w:tblStylePr w:type="firstCol">
      <w:tblPr/>
      <w:tcPr>
        <w:tcBorders>
          <w:top w:val="nil"/>
          <w:left w:val="nil"/>
          <w:bottom w:val="nil"/>
          <w:right w:val="single" w:sz="8" w:space="0" w:color="F29D00"/>
          <w:insideH w:val="nil"/>
          <w:insideV w:val="nil"/>
        </w:tcBorders>
        <w:shd w:val="clear" w:color="auto" w:fill="A5A5A5"/>
      </w:tcPr>
    </w:tblStylePr>
    <w:tblStylePr w:type="lastCol">
      <w:tblPr/>
      <w:tcPr>
        <w:tcBorders>
          <w:top w:val="nil"/>
          <w:left w:val="single" w:sz="8" w:space="0" w:color="F29D00"/>
          <w:bottom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FFE7BC"/>
      </w:tcPr>
    </w:tblStylePr>
    <w:tblStylePr w:type="band1Horz">
      <w:tblPr/>
      <w:tcPr>
        <w:tcBorders>
          <w:top w:val="nil"/>
          <w:bottom w:val="nil"/>
          <w:insideH w:val="nil"/>
          <w:insideV w:val="nil"/>
        </w:tcBorders>
        <w:shd w:val="clear" w:color="auto" w:fill="FFE7BC"/>
      </w:tcPr>
    </w:tblStylePr>
    <w:tblStylePr w:type="nwCell">
      <w:tblPr/>
      <w:tcPr>
        <w:shd w:val="clear" w:color="auto" w:fill="A5A5A5"/>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F90100"/>
    <w:pPr>
      <w:spacing w:after="0" w:line="240" w:lineRule="auto"/>
      <w:jc w:val="both"/>
    </w:pPr>
    <w:rPr>
      <w:rFonts w:ascii="Arial" w:eastAsia="Times New Roman" w:hAnsi="Arial" w:cs="Times New Roman"/>
      <w:color w:val="58595B"/>
      <w:sz w:val="20"/>
      <w:lang w:val="nl-BE"/>
    </w:rPr>
    <w:tblPr>
      <w:tblStyleRowBandSize w:val="1"/>
      <w:tblStyleColBandSize w:val="1"/>
      <w:tblBorders>
        <w:top w:val="single" w:sz="8" w:space="0" w:color="C85019"/>
        <w:left w:val="single" w:sz="8" w:space="0" w:color="C85019"/>
        <w:bottom w:val="single" w:sz="8" w:space="0" w:color="C85019"/>
        <w:right w:val="single" w:sz="8" w:space="0" w:color="C85019"/>
      </w:tblBorders>
    </w:tblPr>
    <w:tblStylePr w:type="firstRow">
      <w:rPr>
        <w:sz w:val="24"/>
        <w:szCs w:val="24"/>
      </w:rPr>
      <w:tblPr/>
      <w:tcPr>
        <w:tcBorders>
          <w:top w:val="nil"/>
          <w:left w:val="nil"/>
          <w:bottom w:val="single" w:sz="24" w:space="0" w:color="C85019"/>
          <w:right w:val="nil"/>
          <w:insideH w:val="nil"/>
          <w:insideV w:val="nil"/>
        </w:tcBorders>
        <w:shd w:val="clear" w:color="auto" w:fill="A5A5A5"/>
      </w:tcPr>
    </w:tblStylePr>
    <w:tblStylePr w:type="lastRow">
      <w:tblPr/>
      <w:tcPr>
        <w:tcBorders>
          <w:top w:val="single" w:sz="8" w:space="0" w:color="C85019"/>
          <w:left w:val="nil"/>
          <w:bottom w:val="nil"/>
          <w:right w:val="nil"/>
          <w:insideH w:val="nil"/>
          <w:insideV w:val="nil"/>
        </w:tcBorders>
        <w:shd w:val="clear" w:color="auto" w:fill="A5A5A5"/>
      </w:tcPr>
    </w:tblStylePr>
    <w:tblStylePr w:type="firstCol">
      <w:tblPr/>
      <w:tcPr>
        <w:tcBorders>
          <w:top w:val="nil"/>
          <w:left w:val="nil"/>
          <w:bottom w:val="nil"/>
          <w:right w:val="single" w:sz="8" w:space="0" w:color="C85019"/>
          <w:insideH w:val="nil"/>
          <w:insideV w:val="nil"/>
        </w:tcBorders>
        <w:shd w:val="clear" w:color="auto" w:fill="A5A5A5"/>
      </w:tcPr>
    </w:tblStylePr>
    <w:tblStylePr w:type="lastCol">
      <w:tblPr/>
      <w:tcPr>
        <w:tcBorders>
          <w:top w:val="nil"/>
          <w:left w:val="single" w:sz="8" w:space="0" w:color="C85019"/>
          <w:bottom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F7D1C0"/>
      </w:tcPr>
    </w:tblStylePr>
    <w:tblStylePr w:type="band1Horz">
      <w:tblPr/>
      <w:tcPr>
        <w:tcBorders>
          <w:top w:val="nil"/>
          <w:bottom w:val="nil"/>
          <w:insideH w:val="nil"/>
          <w:insideV w:val="nil"/>
        </w:tcBorders>
        <w:shd w:val="clear" w:color="auto" w:fill="F7D1C0"/>
      </w:tcPr>
    </w:tblStylePr>
    <w:tblStylePr w:type="nwCell">
      <w:tblPr/>
      <w:tcPr>
        <w:shd w:val="clear" w:color="auto" w:fill="A5A5A5"/>
      </w:tcPr>
    </w:tblStylePr>
    <w:tblStylePr w:type="swCell">
      <w:tblPr/>
      <w:tcPr>
        <w:tcBorders>
          <w:top w:val="nil"/>
        </w:tcBorders>
      </w:tcPr>
    </w:tblStylePr>
  </w:style>
  <w:style w:type="table" w:customStyle="1" w:styleId="MediumShading11">
    <w:name w:val="Medium Shading 11"/>
    <w:basedOn w:val="TableNormal"/>
    <w:next w:val="MediumShading1"/>
    <w:uiPriority w:val="63"/>
    <w:rsid w:val="00F90100"/>
    <w:pPr>
      <w:spacing w:after="0" w:line="240" w:lineRule="auto"/>
      <w:jc w:val="both"/>
    </w:pPr>
    <w:rPr>
      <w:rFonts w:ascii="Arial" w:hAnsi="Arial"/>
      <w:color w:val="58595B"/>
      <w:sz w:val="20"/>
      <w:lang w:val="nl-BE"/>
    </w:rPr>
    <w:tblPr>
      <w:tblStyleRowBandSize w:val="1"/>
      <w:tblStyleColBandSize w:val="1"/>
      <w:tblBorders>
        <w:top w:val="single" w:sz="8" w:space="0" w:color="808285"/>
        <w:left w:val="single" w:sz="8" w:space="0" w:color="808285"/>
        <w:bottom w:val="single" w:sz="8" w:space="0" w:color="808285"/>
        <w:right w:val="single" w:sz="8" w:space="0" w:color="808285"/>
        <w:insideH w:val="single" w:sz="8" w:space="0" w:color="808285"/>
      </w:tblBorders>
    </w:tblPr>
    <w:tblStylePr w:type="firstRow">
      <w:pPr>
        <w:spacing w:before="0" w:after="0" w:line="240" w:lineRule="auto"/>
      </w:pPr>
      <w:rPr>
        <w:b/>
        <w:bCs/>
        <w:color w:val="A5A5A5"/>
      </w:rPr>
      <w:tblPr/>
      <w:tcPr>
        <w:tcBorders>
          <w:top w:val="single" w:sz="8" w:space="0" w:color="808285"/>
          <w:left w:val="single" w:sz="8" w:space="0" w:color="808285"/>
          <w:bottom w:val="single" w:sz="8" w:space="0" w:color="808285"/>
          <w:right w:val="single" w:sz="8" w:space="0" w:color="808285"/>
          <w:insideH w:val="nil"/>
          <w:insideV w:val="nil"/>
        </w:tcBorders>
        <w:shd w:val="clear" w:color="auto" w:fill="58595B"/>
      </w:tcPr>
    </w:tblStylePr>
    <w:tblStylePr w:type="lastRow">
      <w:pPr>
        <w:spacing w:before="0" w:after="0" w:line="240" w:lineRule="auto"/>
      </w:pPr>
      <w:rPr>
        <w:b/>
        <w:bCs/>
      </w:rPr>
      <w:tblPr/>
      <w:tcPr>
        <w:tcBorders>
          <w:top w:val="double" w:sz="6" w:space="0" w:color="808285"/>
          <w:left w:val="single" w:sz="8" w:space="0" w:color="808285"/>
          <w:bottom w:val="single" w:sz="8" w:space="0" w:color="808285"/>
          <w:right w:val="single" w:sz="8" w:space="0" w:color="808285"/>
          <w:insideH w:val="nil"/>
          <w:insideV w:val="nil"/>
        </w:tcBorders>
      </w:tcPr>
    </w:tblStylePr>
    <w:tblStylePr w:type="firstCol">
      <w:rPr>
        <w:b/>
        <w:bCs/>
      </w:rPr>
    </w:tblStylePr>
    <w:tblStylePr w:type="lastCol">
      <w:rPr>
        <w:b/>
        <w:bCs/>
      </w:rPr>
    </w:tblStylePr>
    <w:tblStylePr w:type="band1Vert">
      <w:tblPr/>
      <w:tcPr>
        <w:shd w:val="clear" w:color="auto" w:fill="D5D5D6"/>
      </w:tcPr>
    </w:tblStylePr>
    <w:tblStylePr w:type="band1Horz">
      <w:tblPr/>
      <w:tcPr>
        <w:tcBorders>
          <w:insideH w:val="nil"/>
          <w:insideV w:val="nil"/>
        </w:tcBorders>
        <w:shd w:val="clear" w:color="auto" w:fill="D5D5D6"/>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F90100"/>
    <w:pPr>
      <w:spacing w:after="0" w:line="240" w:lineRule="auto"/>
      <w:jc w:val="both"/>
    </w:pPr>
    <w:rPr>
      <w:rFonts w:ascii="Arial" w:hAnsi="Arial"/>
      <w:color w:val="58595B"/>
      <w:sz w:val="20"/>
      <w:lang w:val="nl-BE"/>
    </w:rPr>
    <w:tblPr>
      <w:tblStyleRowBandSize w:val="1"/>
      <w:tblStyleColBandSize w:val="1"/>
      <w:tblBorders>
        <w:top w:val="single" w:sz="8" w:space="0" w:color="5FCC5B"/>
        <w:left w:val="single" w:sz="8" w:space="0" w:color="5FCC5B"/>
        <w:bottom w:val="single" w:sz="8" w:space="0" w:color="5FCC5B"/>
        <w:right w:val="single" w:sz="8" w:space="0" w:color="5FCC5B"/>
        <w:insideH w:val="single" w:sz="8" w:space="0" w:color="5FCC5B"/>
      </w:tblBorders>
    </w:tblPr>
    <w:tblStylePr w:type="firstRow">
      <w:pPr>
        <w:spacing w:before="0" w:after="0" w:line="240" w:lineRule="auto"/>
      </w:pPr>
      <w:rPr>
        <w:b/>
        <w:bCs/>
        <w:color w:val="A5A5A5"/>
      </w:rPr>
      <w:tblPr/>
      <w:tcPr>
        <w:tcBorders>
          <w:top w:val="single" w:sz="8" w:space="0" w:color="5FCC5B"/>
          <w:left w:val="single" w:sz="8" w:space="0" w:color="5FCC5B"/>
          <w:bottom w:val="single" w:sz="8" w:space="0" w:color="5FCC5B"/>
          <w:right w:val="single" w:sz="8" w:space="0" w:color="5FCC5B"/>
          <w:insideH w:val="nil"/>
          <w:insideV w:val="nil"/>
        </w:tcBorders>
        <w:shd w:val="clear" w:color="auto" w:fill="3AAA35"/>
      </w:tcPr>
    </w:tblStylePr>
    <w:tblStylePr w:type="lastRow">
      <w:pPr>
        <w:spacing w:before="0" w:after="0" w:line="240" w:lineRule="auto"/>
      </w:pPr>
      <w:rPr>
        <w:b/>
        <w:bCs/>
      </w:rPr>
      <w:tblPr/>
      <w:tcPr>
        <w:tcBorders>
          <w:top w:val="double" w:sz="6" w:space="0" w:color="5FCC5B"/>
          <w:left w:val="single" w:sz="8" w:space="0" w:color="5FCC5B"/>
          <w:bottom w:val="single" w:sz="8" w:space="0" w:color="5FCC5B"/>
          <w:right w:val="single" w:sz="8" w:space="0" w:color="5FCC5B"/>
          <w:insideH w:val="nil"/>
          <w:insideV w:val="nil"/>
        </w:tcBorders>
      </w:tcPr>
    </w:tblStylePr>
    <w:tblStylePr w:type="firstCol">
      <w:rPr>
        <w:b/>
        <w:bCs/>
      </w:rPr>
    </w:tblStylePr>
    <w:tblStylePr w:type="lastCol">
      <w:rPr>
        <w:b/>
        <w:bCs/>
      </w:rPr>
    </w:tblStylePr>
    <w:tblStylePr w:type="band1Vert">
      <w:tblPr/>
      <w:tcPr>
        <w:shd w:val="clear" w:color="auto" w:fill="CAEEC8"/>
      </w:tcPr>
    </w:tblStylePr>
    <w:tblStylePr w:type="band1Horz">
      <w:tblPr/>
      <w:tcPr>
        <w:tcBorders>
          <w:insideH w:val="nil"/>
          <w:insideV w:val="nil"/>
        </w:tcBorders>
        <w:shd w:val="clear" w:color="auto" w:fill="CAEEC8"/>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F90100"/>
    <w:pPr>
      <w:spacing w:after="0" w:line="240" w:lineRule="auto"/>
      <w:jc w:val="both"/>
    </w:pPr>
    <w:rPr>
      <w:rFonts w:ascii="Arial" w:hAnsi="Arial"/>
      <w:color w:val="58595B"/>
      <w:sz w:val="20"/>
      <w:lang w:val="nl-BE"/>
    </w:rPr>
    <w:tblPr>
      <w:tblStyleRowBandSize w:val="1"/>
      <w:tblStyleColBandSize w:val="1"/>
      <w:tblBorders>
        <w:top w:val="single" w:sz="8" w:space="0" w:color="00CC65"/>
        <w:left w:val="single" w:sz="8" w:space="0" w:color="00CC65"/>
        <w:bottom w:val="single" w:sz="8" w:space="0" w:color="00CC65"/>
        <w:right w:val="single" w:sz="8" w:space="0" w:color="00CC65"/>
        <w:insideH w:val="single" w:sz="8" w:space="0" w:color="00CC65"/>
      </w:tblBorders>
    </w:tblPr>
    <w:tblStylePr w:type="firstRow">
      <w:pPr>
        <w:spacing w:before="0" w:after="0" w:line="240" w:lineRule="auto"/>
      </w:pPr>
      <w:rPr>
        <w:b/>
        <w:bCs/>
        <w:color w:val="A5A5A5"/>
      </w:rPr>
      <w:tblPr/>
      <w:tcPr>
        <w:tcBorders>
          <w:top w:val="single" w:sz="8" w:space="0" w:color="00CC65"/>
          <w:left w:val="single" w:sz="8" w:space="0" w:color="00CC65"/>
          <w:bottom w:val="single" w:sz="8" w:space="0" w:color="00CC65"/>
          <w:right w:val="single" w:sz="8" w:space="0" w:color="00CC65"/>
          <w:insideH w:val="nil"/>
          <w:insideV w:val="nil"/>
        </w:tcBorders>
        <w:shd w:val="clear" w:color="auto" w:fill="006633"/>
      </w:tcPr>
    </w:tblStylePr>
    <w:tblStylePr w:type="lastRow">
      <w:pPr>
        <w:spacing w:before="0" w:after="0" w:line="240" w:lineRule="auto"/>
      </w:pPr>
      <w:rPr>
        <w:b/>
        <w:bCs/>
      </w:rPr>
      <w:tblPr/>
      <w:tcPr>
        <w:tcBorders>
          <w:top w:val="double" w:sz="6" w:space="0" w:color="00CC65"/>
          <w:left w:val="single" w:sz="8" w:space="0" w:color="00CC65"/>
          <w:bottom w:val="single" w:sz="8" w:space="0" w:color="00CC65"/>
          <w:right w:val="single" w:sz="8" w:space="0" w:color="00CC65"/>
          <w:insideH w:val="nil"/>
          <w:insideV w:val="nil"/>
        </w:tcBorders>
      </w:tcPr>
    </w:tblStylePr>
    <w:tblStylePr w:type="firstCol">
      <w:rPr>
        <w:b/>
        <w:bCs/>
      </w:rPr>
    </w:tblStylePr>
    <w:tblStylePr w:type="lastCol">
      <w:rPr>
        <w:b/>
        <w:bCs/>
      </w:rPr>
    </w:tblStylePr>
    <w:tblStylePr w:type="band1Vert">
      <w:tblPr/>
      <w:tcPr>
        <w:shd w:val="clear" w:color="auto" w:fill="9AFFCC"/>
      </w:tcPr>
    </w:tblStylePr>
    <w:tblStylePr w:type="band1Horz">
      <w:tblPr/>
      <w:tcPr>
        <w:tcBorders>
          <w:insideH w:val="nil"/>
          <w:insideV w:val="nil"/>
        </w:tcBorders>
        <w:shd w:val="clear" w:color="auto" w:fill="9AFFCC"/>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F90100"/>
    <w:pPr>
      <w:spacing w:after="0" w:line="240" w:lineRule="auto"/>
      <w:jc w:val="both"/>
    </w:pPr>
    <w:rPr>
      <w:rFonts w:ascii="Arial" w:hAnsi="Arial"/>
      <w:color w:val="58595B"/>
      <w:sz w:val="20"/>
      <w:lang w:val="nl-BE"/>
    </w:rPr>
    <w:tblPr>
      <w:tblStyleRowBandSize w:val="1"/>
      <w:tblStyleColBandSize w:val="1"/>
      <w:tblBorders>
        <w:top w:val="single" w:sz="8" w:space="0" w:color="E9FF1C"/>
        <w:left w:val="single" w:sz="8" w:space="0" w:color="E9FF1C"/>
        <w:bottom w:val="single" w:sz="8" w:space="0" w:color="E9FF1C"/>
        <w:right w:val="single" w:sz="8" w:space="0" w:color="E9FF1C"/>
        <w:insideH w:val="single" w:sz="8" w:space="0" w:color="E9FF1C"/>
      </w:tblBorders>
    </w:tblPr>
    <w:tblStylePr w:type="firstRow">
      <w:pPr>
        <w:spacing w:before="0" w:after="0" w:line="240" w:lineRule="auto"/>
      </w:pPr>
      <w:rPr>
        <w:b/>
        <w:bCs/>
        <w:color w:val="A5A5A5"/>
      </w:rPr>
      <w:tblPr/>
      <w:tcPr>
        <w:tcBorders>
          <w:top w:val="single" w:sz="8" w:space="0" w:color="E9FF1C"/>
          <w:left w:val="single" w:sz="8" w:space="0" w:color="E9FF1C"/>
          <w:bottom w:val="single" w:sz="8" w:space="0" w:color="E9FF1C"/>
          <w:right w:val="single" w:sz="8" w:space="0" w:color="E9FF1C"/>
          <w:insideH w:val="nil"/>
          <w:insideV w:val="nil"/>
        </w:tcBorders>
        <w:shd w:val="clear" w:color="auto" w:fill="BCCF00"/>
      </w:tcPr>
    </w:tblStylePr>
    <w:tblStylePr w:type="lastRow">
      <w:pPr>
        <w:spacing w:before="0" w:after="0" w:line="240" w:lineRule="auto"/>
      </w:pPr>
      <w:rPr>
        <w:b/>
        <w:bCs/>
      </w:rPr>
      <w:tblPr/>
      <w:tcPr>
        <w:tcBorders>
          <w:top w:val="double" w:sz="6" w:space="0" w:color="E9FF1C"/>
          <w:left w:val="single" w:sz="8" w:space="0" w:color="E9FF1C"/>
          <w:bottom w:val="single" w:sz="8" w:space="0" w:color="E9FF1C"/>
          <w:right w:val="single" w:sz="8" w:space="0" w:color="E9FF1C"/>
          <w:insideH w:val="nil"/>
          <w:insideV w:val="nil"/>
        </w:tcBorders>
      </w:tcPr>
    </w:tblStylePr>
    <w:tblStylePr w:type="firstCol">
      <w:rPr>
        <w:b/>
        <w:bCs/>
      </w:rPr>
    </w:tblStylePr>
    <w:tblStylePr w:type="lastCol">
      <w:rPr>
        <w:b/>
        <w:bCs/>
      </w:rPr>
    </w:tblStylePr>
    <w:tblStylePr w:type="band1Vert">
      <w:tblPr/>
      <w:tcPr>
        <w:shd w:val="clear" w:color="auto" w:fill="F7FFB4"/>
      </w:tcPr>
    </w:tblStylePr>
    <w:tblStylePr w:type="band1Horz">
      <w:tblPr/>
      <w:tcPr>
        <w:tcBorders>
          <w:insideH w:val="nil"/>
          <w:insideV w:val="nil"/>
        </w:tcBorders>
        <w:shd w:val="clear" w:color="auto" w:fill="F7FFB4"/>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F90100"/>
    <w:pPr>
      <w:spacing w:after="0" w:line="240" w:lineRule="auto"/>
      <w:jc w:val="both"/>
    </w:pPr>
    <w:rPr>
      <w:rFonts w:ascii="Arial" w:hAnsi="Arial"/>
      <w:color w:val="58595B"/>
      <w:sz w:val="20"/>
      <w:lang w:val="nl-BE"/>
    </w:rPr>
    <w:tblPr>
      <w:tblStyleRowBandSize w:val="1"/>
      <w:tblStyleColBandSize w:val="1"/>
      <w:tblBorders>
        <w:top w:val="single" w:sz="8" w:space="0" w:color="FFE13C"/>
        <w:left w:val="single" w:sz="8" w:space="0" w:color="FFE13C"/>
        <w:bottom w:val="single" w:sz="8" w:space="0" w:color="FFE13C"/>
        <w:right w:val="single" w:sz="8" w:space="0" w:color="FFE13C"/>
        <w:insideH w:val="single" w:sz="8" w:space="0" w:color="FFE13C"/>
      </w:tblBorders>
    </w:tblPr>
    <w:tblStylePr w:type="firstRow">
      <w:pPr>
        <w:spacing w:before="0" w:after="0" w:line="240" w:lineRule="auto"/>
      </w:pPr>
      <w:rPr>
        <w:b/>
        <w:bCs/>
        <w:color w:val="A5A5A5"/>
      </w:rPr>
      <w:tblPr/>
      <w:tcPr>
        <w:tcBorders>
          <w:top w:val="single" w:sz="8" w:space="0" w:color="FFE13C"/>
          <w:left w:val="single" w:sz="8" w:space="0" w:color="FFE13C"/>
          <w:bottom w:val="single" w:sz="8" w:space="0" w:color="FFE13C"/>
          <w:right w:val="single" w:sz="8" w:space="0" w:color="FFE13C"/>
          <w:insideH w:val="nil"/>
          <w:insideV w:val="nil"/>
        </w:tcBorders>
        <w:shd w:val="clear" w:color="auto" w:fill="FAD500"/>
      </w:tcPr>
    </w:tblStylePr>
    <w:tblStylePr w:type="lastRow">
      <w:pPr>
        <w:spacing w:before="0" w:after="0" w:line="240" w:lineRule="auto"/>
      </w:pPr>
      <w:rPr>
        <w:b/>
        <w:bCs/>
      </w:rPr>
      <w:tblPr/>
      <w:tcPr>
        <w:tcBorders>
          <w:top w:val="double" w:sz="6" w:space="0" w:color="FFE13C"/>
          <w:left w:val="single" w:sz="8" w:space="0" w:color="FFE13C"/>
          <w:bottom w:val="single" w:sz="8" w:space="0" w:color="FFE13C"/>
          <w:right w:val="single" w:sz="8" w:space="0" w:color="FFE13C"/>
          <w:insideH w:val="nil"/>
          <w:insideV w:val="nil"/>
        </w:tcBorders>
      </w:tcPr>
    </w:tblStylePr>
    <w:tblStylePr w:type="firstCol">
      <w:rPr>
        <w:b/>
        <w:bCs/>
      </w:rPr>
    </w:tblStylePr>
    <w:tblStylePr w:type="lastCol">
      <w:rPr>
        <w:b/>
        <w:bCs/>
      </w:rPr>
    </w:tblStylePr>
    <w:tblStylePr w:type="band1Vert">
      <w:tblPr/>
      <w:tcPr>
        <w:shd w:val="clear" w:color="auto" w:fill="FFF5BE"/>
      </w:tcPr>
    </w:tblStylePr>
    <w:tblStylePr w:type="band1Horz">
      <w:tblPr/>
      <w:tcPr>
        <w:tcBorders>
          <w:insideH w:val="nil"/>
          <w:insideV w:val="nil"/>
        </w:tcBorders>
        <w:shd w:val="clear" w:color="auto" w:fill="FFF5BE"/>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F90100"/>
    <w:pPr>
      <w:spacing w:after="0" w:line="240" w:lineRule="auto"/>
      <w:jc w:val="both"/>
    </w:pPr>
    <w:rPr>
      <w:rFonts w:ascii="Arial" w:hAnsi="Arial"/>
      <w:color w:val="58595B"/>
      <w:sz w:val="20"/>
      <w:lang w:val="nl-BE"/>
    </w:rPr>
    <w:tblPr>
      <w:tblStyleRowBandSize w:val="1"/>
      <w:tblStyleColBandSize w:val="1"/>
      <w:tblBorders>
        <w:top w:val="single" w:sz="8" w:space="0" w:color="FFB836"/>
        <w:left w:val="single" w:sz="8" w:space="0" w:color="FFB836"/>
        <w:bottom w:val="single" w:sz="8" w:space="0" w:color="FFB836"/>
        <w:right w:val="single" w:sz="8" w:space="0" w:color="FFB836"/>
        <w:insideH w:val="single" w:sz="8" w:space="0" w:color="FFB836"/>
      </w:tblBorders>
    </w:tblPr>
    <w:tblStylePr w:type="firstRow">
      <w:pPr>
        <w:spacing w:before="0" w:after="0" w:line="240" w:lineRule="auto"/>
      </w:pPr>
      <w:rPr>
        <w:b/>
        <w:bCs/>
        <w:color w:val="A5A5A5"/>
      </w:rPr>
      <w:tblPr/>
      <w:tcPr>
        <w:tcBorders>
          <w:top w:val="single" w:sz="8" w:space="0" w:color="FFB836"/>
          <w:left w:val="single" w:sz="8" w:space="0" w:color="FFB836"/>
          <w:bottom w:val="single" w:sz="8" w:space="0" w:color="FFB836"/>
          <w:right w:val="single" w:sz="8" w:space="0" w:color="FFB836"/>
          <w:insideH w:val="nil"/>
          <w:insideV w:val="nil"/>
        </w:tcBorders>
        <w:shd w:val="clear" w:color="auto" w:fill="F29D00"/>
      </w:tcPr>
    </w:tblStylePr>
    <w:tblStylePr w:type="lastRow">
      <w:pPr>
        <w:spacing w:before="0" w:after="0" w:line="240" w:lineRule="auto"/>
      </w:pPr>
      <w:rPr>
        <w:b/>
        <w:bCs/>
      </w:rPr>
      <w:tblPr/>
      <w:tcPr>
        <w:tcBorders>
          <w:top w:val="double" w:sz="6" w:space="0" w:color="FFB836"/>
          <w:left w:val="single" w:sz="8" w:space="0" w:color="FFB836"/>
          <w:bottom w:val="single" w:sz="8" w:space="0" w:color="FFB836"/>
          <w:right w:val="single" w:sz="8" w:space="0" w:color="FFB836"/>
          <w:insideH w:val="nil"/>
          <w:insideV w:val="nil"/>
        </w:tcBorders>
      </w:tcPr>
    </w:tblStylePr>
    <w:tblStylePr w:type="firstCol">
      <w:rPr>
        <w:b/>
        <w:bCs/>
      </w:rPr>
    </w:tblStylePr>
    <w:tblStylePr w:type="lastCol">
      <w:rPr>
        <w:b/>
        <w:bCs/>
      </w:rPr>
    </w:tblStylePr>
    <w:tblStylePr w:type="band1Vert">
      <w:tblPr/>
      <w:tcPr>
        <w:shd w:val="clear" w:color="auto" w:fill="FFE7BC"/>
      </w:tcPr>
    </w:tblStylePr>
    <w:tblStylePr w:type="band1Horz">
      <w:tblPr/>
      <w:tcPr>
        <w:tcBorders>
          <w:insideH w:val="nil"/>
          <w:insideV w:val="nil"/>
        </w:tcBorders>
        <w:shd w:val="clear" w:color="auto" w:fill="FFE7BC"/>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F90100"/>
    <w:pPr>
      <w:spacing w:after="0" w:line="240" w:lineRule="auto"/>
      <w:jc w:val="both"/>
    </w:pPr>
    <w:rPr>
      <w:rFonts w:ascii="Arial" w:hAnsi="Arial"/>
      <w:color w:val="58595B"/>
      <w:sz w:val="20"/>
      <w:lang w:val="nl-BE"/>
    </w:rPr>
    <w:tblPr>
      <w:tblStyleRowBandSize w:val="1"/>
      <w:tblStyleColBandSize w:val="1"/>
      <w:tblBorders>
        <w:top w:val="single" w:sz="8" w:space="0" w:color="E77541"/>
        <w:left w:val="single" w:sz="8" w:space="0" w:color="E77541"/>
        <w:bottom w:val="single" w:sz="8" w:space="0" w:color="E77541"/>
        <w:right w:val="single" w:sz="8" w:space="0" w:color="E77541"/>
        <w:insideH w:val="single" w:sz="8" w:space="0" w:color="E77541"/>
      </w:tblBorders>
    </w:tblPr>
    <w:tblStylePr w:type="firstRow">
      <w:pPr>
        <w:spacing w:before="0" w:after="0" w:line="240" w:lineRule="auto"/>
      </w:pPr>
      <w:rPr>
        <w:b/>
        <w:bCs/>
        <w:color w:val="A5A5A5"/>
      </w:rPr>
      <w:tblPr/>
      <w:tcPr>
        <w:tcBorders>
          <w:top w:val="single" w:sz="8" w:space="0" w:color="E77541"/>
          <w:left w:val="single" w:sz="8" w:space="0" w:color="E77541"/>
          <w:bottom w:val="single" w:sz="8" w:space="0" w:color="E77541"/>
          <w:right w:val="single" w:sz="8" w:space="0" w:color="E77541"/>
          <w:insideH w:val="nil"/>
          <w:insideV w:val="nil"/>
        </w:tcBorders>
        <w:shd w:val="clear" w:color="auto" w:fill="C85019"/>
      </w:tcPr>
    </w:tblStylePr>
    <w:tblStylePr w:type="lastRow">
      <w:pPr>
        <w:spacing w:before="0" w:after="0" w:line="240" w:lineRule="auto"/>
      </w:pPr>
      <w:rPr>
        <w:b/>
        <w:bCs/>
      </w:rPr>
      <w:tblPr/>
      <w:tcPr>
        <w:tcBorders>
          <w:top w:val="double" w:sz="6" w:space="0" w:color="E77541"/>
          <w:left w:val="single" w:sz="8" w:space="0" w:color="E77541"/>
          <w:bottom w:val="single" w:sz="8" w:space="0" w:color="E77541"/>
          <w:right w:val="single" w:sz="8" w:space="0" w:color="E77541"/>
          <w:insideH w:val="nil"/>
          <w:insideV w:val="nil"/>
        </w:tcBorders>
      </w:tcPr>
    </w:tblStylePr>
    <w:tblStylePr w:type="firstCol">
      <w:rPr>
        <w:b/>
        <w:bCs/>
      </w:rPr>
    </w:tblStylePr>
    <w:tblStylePr w:type="lastCol">
      <w:rPr>
        <w:b/>
        <w:bCs/>
      </w:rPr>
    </w:tblStylePr>
    <w:tblStylePr w:type="band1Vert">
      <w:tblPr/>
      <w:tcPr>
        <w:shd w:val="clear" w:color="auto" w:fill="F7D1C0"/>
      </w:tcPr>
    </w:tblStylePr>
    <w:tblStylePr w:type="band1Horz">
      <w:tblPr/>
      <w:tcPr>
        <w:tcBorders>
          <w:insideH w:val="nil"/>
          <w:insideV w:val="nil"/>
        </w:tcBorders>
        <w:shd w:val="clear" w:color="auto" w:fill="F7D1C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F90100"/>
    <w:pPr>
      <w:spacing w:after="0" w:line="240" w:lineRule="auto"/>
      <w:jc w:val="both"/>
    </w:pPr>
    <w:rPr>
      <w:rFonts w:ascii="Arial" w:hAnsi="Arial"/>
      <w:color w:val="58595B"/>
      <w:sz w:val="20"/>
      <w:lang w:val="nl-B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A5A5A5"/>
      </w:rPr>
      <w:tblPr/>
      <w:tcPr>
        <w:tcBorders>
          <w:top w:val="single" w:sz="18" w:space="0" w:color="auto"/>
          <w:left w:val="nil"/>
          <w:bottom w:val="single" w:sz="18" w:space="0" w:color="auto"/>
          <w:right w:val="nil"/>
          <w:insideH w:val="nil"/>
          <w:insideV w:val="nil"/>
        </w:tcBorders>
        <w:shd w:val="clear" w:color="auto" w:fill="58595B"/>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A5A5A5"/>
      </w:tcPr>
    </w:tblStylePr>
    <w:tblStylePr w:type="firstCol">
      <w:rPr>
        <w:b/>
        <w:bCs/>
        <w:color w:val="A5A5A5"/>
      </w:rPr>
      <w:tblPr/>
      <w:tcPr>
        <w:tcBorders>
          <w:top w:val="nil"/>
          <w:left w:val="nil"/>
          <w:bottom w:val="single" w:sz="18" w:space="0" w:color="auto"/>
          <w:right w:val="nil"/>
          <w:insideH w:val="nil"/>
          <w:insideV w:val="nil"/>
        </w:tcBorders>
        <w:shd w:val="clear" w:color="auto" w:fill="58595B"/>
      </w:tcPr>
    </w:tblStylePr>
    <w:tblStylePr w:type="lastCol">
      <w:rPr>
        <w:b/>
        <w:bCs/>
        <w:color w:val="A5A5A5"/>
      </w:rPr>
      <w:tblPr/>
      <w:tcPr>
        <w:tcBorders>
          <w:left w:val="nil"/>
          <w:right w:val="nil"/>
          <w:insideH w:val="nil"/>
          <w:insideV w:val="nil"/>
        </w:tcBorders>
        <w:shd w:val="clear" w:color="auto" w:fill="58595B"/>
      </w:tcPr>
    </w:tblStylePr>
    <w:tblStylePr w:type="band1Vert">
      <w:tblPr/>
      <w:tcPr>
        <w:tcBorders>
          <w:left w:val="nil"/>
          <w:right w:val="nil"/>
          <w:insideH w:val="nil"/>
          <w:insideV w:val="nil"/>
        </w:tcBorders>
        <w:shd w:val="clear" w:color="auto" w:fill="8B8B8B"/>
      </w:tcPr>
    </w:tblStylePr>
    <w:tblStylePr w:type="band1Horz">
      <w:tblPr/>
      <w:tcPr>
        <w:shd w:val="clear" w:color="auto" w:fill="8B8B8B"/>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A5A5A5"/>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F90100"/>
    <w:pPr>
      <w:spacing w:after="0" w:line="240" w:lineRule="auto"/>
      <w:jc w:val="both"/>
    </w:pPr>
    <w:rPr>
      <w:rFonts w:ascii="Arial" w:hAnsi="Arial"/>
      <w:color w:val="58595B"/>
      <w:sz w:val="20"/>
      <w:lang w:val="nl-B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A5A5A5"/>
      </w:rPr>
      <w:tblPr/>
      <w:tcPr>
        <w:tcBorders>
          <w:top w:val="single" w:sz="18" w:space="0" w:color="auto"/>
          <w:left w:val="nil"/>
          <w:bottom w:val="single" w:sz="18" w:space="0" w:color="auto"/>
          <w:right w:val="nil"/>
          <w:insideH w:val="nil"/>
          <w:insideV w:val="nil"/>
        </w:tcBorders>
        <w:shd w:val="clear" w:color="auto" w:fill="3AAA3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A5A5A5"/>
      </w:tcPr>
    </w:tblStylePr>
    <w:tblStylePr w:type="firstCol">
      <w:rPr>
        <w:b/>
        <w:bCs/>
        <w:color w:val="A5A5A5"/>
      </w:rPr>
      <w:tblPr/>
      <w:tcPr>
        <w:tcBorders>
          <w:top w:val="nil"/>
          <w:left w:val="nil"/>
          <w:bottom w:val="single" w:sz="18" w:space="0" w:color="auto"/>
          <w:right w:val="nil"/>
          <w:insideH w:val="nil"/>
          <w:insideV w:val="nil"/>
        </w:tcBorders>
        <w:shd w:val="clear" w:color="auto" w:fill="3AAA35"/>
      </w:tcPr>
    </w:tblStylePr>
    <w:tblStylePr w:type="lastCol">
      <w:rPr>
        <w:b/>
        <w:bCs/>
        <w:color w:val="A5A5A5"/>
      </w:rPr>
      <w:tblPr/>
      <w:tcPr>
        <w:tcBorders>
          <w:left w:val="nil"/>
          <w:right w:val="nil"/>
          <w:insideH w:val="nil"/>
          <w:insideV w:val="nil"/>
        </w:tcBorders>
        <w:shd w:val="clear" w:color="auto" w:fill="3AAA35"/>
      </w:tcPr>
    </w:tblStylePr>
    <w:tblStylePr w:type="band1Vert">
      <w:tblPr/>
      <w:tcPr>
        <w:tcBorders>
          <w:left w:val="nil"/>
          <w:right w:val="nil"/>
          <w:insideH w:val="nil"/>
          <w:insideV w:val="nil"/>
        </w:tcBorders>
        <w:shd w:val="clear" w:color="auto" w:fill="8B8B8B"/>
      </w:tcPr>
    </w:tblStylePr>
    <w:tblStylePr w:type="band1Horz">
      <w:tblPr/>
      <w:tcPr>
        <w:shd w:val="clear" w:color="auto" w:fill="8B8B8B"/>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A5A5A5"/>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F90100"/>
    <w:pPr>
      <w:spacing w:after="0" w:line="240" w:lineRule="auto"/>
      <w:jc w:val="both"/>
    </w:pPr>
    <w:rPr>
      <w:rFonts w:ascii="Arial" w:hAnsi="Arial"/>
      <w:color w:val="58595B"/>
      <w:sz w:val="20"/>
      <w:lang w:val="nl-B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A5A5A5"/>
      </w:rPr>
      <w:tblPr/>
      <w:tcPr>
        <w:tcBorders>
          <w:top w:val="single" w:sz="18" w:space="0" w:color="auto"/>
          <w:left w:val="nil"/>
          <w:bottom w:val="single" w:sz="18" w:space="0" w:color="auto"/>
          <w:right w:val="nil"/>
          <w:insideH w:val="nil"/>
          <w:insideV w:val="nil"/>
        </w:tcBorders>
        <w:shd w:val="clear" w:color="auto" w:fill="00663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A5A5A5"/>
      </w:tcPr>
    </w:tblStylePr>
    <w:tblStylePr w:type="firstCol">
      <w:rPr>
        <w:b/>
        <w:bCs/>
        <w:color w:val="A5A5A5"/>
      </w:rPr>
      <w:tblPr/>
      <w:tcPr>
        <w:tcBorders>
          <w:top w:val="nil"/>
          <w:left w:val="nil"/>
          <w:bottom w:val="single" w:sz="18" w:space="0" w:color="auto"/>
          <w:right w:val="nil"/>
          <w:insideH w:val="nil"/>
          <w:insideV w:val="nil"/>
        </w:tcBorders>
        <w:shd w:val="clear" w:color="auto" w:fill="006633"/>
      </w:tcPr>
    </w:tblStylePr>
    <w:tblStylePr w:type="lastCol">
      <w:rPr>
        <w:b/>
        <w:bCs/>
        <w:color w:val="A5A5A5"/>
      </w:rPr>
      <w:tblPr/>
      <w:tcPr>
        <w:tcBorders>
          <w:left w:val="nil"/>
          <w:right w:val="nil"/>
          <w:insideH w:val="nil"/>
          <w:insideV w:val="nil"/>
        </w:tcBorders>
        <w:shd w:val="clear" w:color="auto" w:fill="006633"/>
      </w:tcPr>
    </w:tblStylePr>
    <w:tblStylePr w:type="band1Vert">
      <w:tblPr/>
      <w:tcPr>
        <w:tcBorders>
          <w:left w:val="nil"/>
          <w:right w:val="nil"/>
          <w:insideH w:val="nil"/>
          <w:insideV w:val="nil"/>
        </w:tcBorders>
        <w:shd w:val="clear" w:color="auto" w:fill="8B8B8B"/>
      </w:tcPr>
    </w:tblStylePr>
    <w:tblStylePr w:type="band1Horz">
      <w:tblPr/>
      <w:tcPr>
        <w:shd w:val="clear" w:color="auto" w:fill="8B8B8B"/>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A5A5A5"/>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F90100"/>
    <w:pPr>
      <w:spacing w:after="0" w:line="240" w:lineRule="auto"/>
      <w:jc w:val="both"/>
    </w:pPr>
    <w:rPr>
      <w:rFonts w:ascii="Arial" w:hAnsi="Arial"/>
      <w:color w:val="58595B"/>
      <w:sz w:val="20"/>
      <w:lang w:val="nl-B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A5A5A5"/>
      </w:rPr>
      <w:tblPr/>
      <w:tcPr>
        <w:tcBorders>
          <w:top w:val="single" w:sz="18" w:space="0" w:color="auto"/>
          <w:left w:val="nil"/>
          <w:bottom w:val="single" w:sz="18" w:space="0" w:color="auto"/>
          <w:right w:val="nil"/>
          <w:insideH w:val="nil"/>
          <w:insideV w:val="nil"/>
        </w:tcBorders>
        <w:shd w:val="clear" w:color="auto" w:fill="BCCF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A5A5A5"/>
      </w:tcPr>
    </w:tblStylePr>
    <w:tblStylePr w:type="firstCol">
      <w:rPr>
        <w:b/>
        <w:bCs/>
        <w:color w:val="A5A5A5"/>
      </w:rPr>
      <w:tblPr/>
      <w:tcPr>
        <w:tcBorders>
          <w:top w:val="nil"/>
          <w:left w:val="nil"/>
          <w:bottom w:val="single" w:sz="18" w:space="0" w:color="auto"/>
          <w:right w:val="nil"/>
          <w:insideH w:val="nil"/>
          <w:insideV w:val="nil"/>
        </w:tcBorders>
        <w:shd w:val="clear" w:color="auto" w:fill="BCCF00"/>
      </w:tcPr>
    </w:tblStylePr>
    <w:tblStylePr w:type="lastCol">
      <w:rPr>
        <w:b/>
        <w:bCs/>
        <w:color w:val="A5A5A5"/>
      </w:rPr>
      <w:tblPr/>
      <w:tcPr>
        <w:tcBorders>
          <w:left w:val="nil"/>
          <w:right w:val="nil"/>
          <w:insideH w:val="nil"/>
          <w:insideV w:val="nil"/>
        </w:tcBorders>
        <w:shd w:val="clear" w:color="auto" w:fill="BCCF00"/>
      </w:tcPr>
    </w:tblStylePr>
    <w:tblStylePr w:type="band1Vert">
      <w:tblPr/>
      <w:tcPr>
        <w:tcBorders>
          <w:left w:val="nil"/>
          <w:right w:val="nil"/>
          <w:insideH w:val="nil"/>
          <w:insideV w:val="nil"/>
        </w:tcBorders>
        <w:shd w:val="clear" w:color="auto" w:fill="8B8B8B"/>
      </w:tcPr>
    </w:tblStylePr>
    <w:tblStylePr w:type="band1Horz">
      <w:tblPr/>
      <w:tcPr>
        <w:shd w:val="clear" w:color="auto" w:fill="8B8B8B"/>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A5A5A5"/>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F90100"/>
    <w:pPr>
      <w:spacing w:after="0" w:line="240" w:lineRule="auto"/>
      <w:jc w:val="both"/>
    </w:pPr>
    <w:rPr>
      <w:rFonts w:ascii="Arial" w:hAnsi="Arial"/>
      <w:color w:val="58595B"/>
      <w:sz w:val="20"/>
      <w:lang w:val="nl-B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A5A5A5"/>
      </w:rPr>
      <w:tblPr/>
      <w:tcPr>
        <w:tcBorders>
          <w:top w:val="single" w:sz="18" w:space="0" w:color="auto"/>
          <w:left w:val="nil"/>
          <w:bottom w:val="single" w:sz="18" w:space="0" w:color="auto"/>
          <w:right w:val="nil"/>
          <w:insideH w:val="nil"/>
          <w:insideV w:val="nil"/>
        </w:tcBorders>
        <w:shd w:val="clear" w:color="auto" w:fill="FAD5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A5A5A5"/>
      </w:tcPr>
    </w:tblStylePr>
    <w:tblStylePr w:type="firstCol">
      <w:rPr>
        <w:b/>
        <w:bCs/>
        <w:color w:val="A5A5A5"/>
      </w:rPr>
      <w:tblPr/>
      <w:tcPr>
        <w:tcBorders>
          <w:top w:val="nil"/>
          <w:left w:val="nil"/>
          <w:bottom w:val="single" w:sz="18" w:space="0" w:color="auto"/>
          <w:right w:val="nil"/>
          <w:insideH w:val="nil"/>
          <w:insideV w:val="nil"/>
        </w:tcBorders>
        <w:shd w:val="clear" w:color="auto" w:fill="FAD500"/>
      </w:tcPr>
    </w:tblStylePr>
    <w:tblStylePr w:type="lastCol">
      <w:rPr>
        <w:b/>
        <w:bCs/>
        <w:color w:val="A5A5A5"/>
      </w:rPr>
      <w:tblPr/>
      <w:tcPr>
        <w:tcBorders>
          <w:left w:val="nil"/>
          <w:right w:val="nil"/>
          <w:insideH w:val="nil"/>
          <w:insideV w:val="nil"/>
        </w:tcBorders>
        <w:shd w:val="clear" w:color="auto" w:fill="FAD500"/>
      </w:tcPr>
    </w:tblStylePr>
    <w:tblStylePr w:type="band1Vert">
      <w:tblPr/>
      <w:tcPr>
        <w:tcBorders>
          <w:left w:val="nil"/>
          <w:right w:val="nil"/>
          <w:insideH w:val="nil"/>
          <w:insideV w:val="nil"/>
        </w:tcBorders>
        <w:shd w:val="clear" w:color="auto" w:fill="8B8B8B"/>
      </w:tcPr>
    </w:tblStylePr>
    <w:tblStylePr w:type="band1Horz">
      <w:tblPr/>
      <w:tcPr>
        <w:shd w:val="clear" w:color="auto" w:fill="8B8B8B"/>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A5A5A5"/>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F90100"/>
    <w:pPr>
      <w:spacing w:after="0" w:line="240" w:lineRule="auto"/>
      <w:jc w:val="both"/>
    </w:pPr>
    <w:rPr>
      <w:rFonts w:ascii="Arial" w:hAnsi="Arial"/>
      <w:color w:val="58595B"/>
      <w:sz w:val="20"/>
      <w:lang w:val="nl-B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A5A5A5"/>
      </w:rPr>
      <w:tblPr/>
      <w:tcPr>
        <w:tcBorders>
          <w:top w:val="single" w:sz="18" w:space="0" w:color="auto"/>
          <w:left w:val="nil"/>
          <w:bottom w:val="single" w:sz="18" w:space="0" w:color="auto"/>
          <w:right w:val="nil"/>
          <w:insideH w:val="nil"/>
          <w:insideV w:val="nil"/>
        </w:tcBorders>
        <w:shd w:val="clear" w:color="auto" w:fill="F29D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A5A5A5"/>
      </w:tcPr>
    </w:tblStylePr>
    <w:tblStylePr w:type="firstCol">
      <w:rPr>
        <w:b/>
        <w:bCs/>
        <w:color w:val="A5A5A5"/>
      </w:rPr>
      <w:tblPr/>
      <w:tcPr>
        <w:tcBorders>
          <w:top w:val="nil"/>
          <w:left w:val="nil"/>
          <w:bottom w:val="single" w:sz="18" w:space="0" w:color="auto"/>
          <w:right w:val="nil"/>
          <w:insideH w:val="nil"/>
          <w:insideV w:val="nil"/>
        </w:tcBorders>
        <w:shd w:val="clear" w:color="auto" w:fill="F29D00"/>
      </w:tcPr>
    </w:tblStylePr>
    <w:tblStylePr w:type="lastCol">
      <w:rPr>
        <w:b/>
        <w:bCs/>
        <w:color w:val="A5A5A5"/>
      </w:rPr>
      <w:tblPr/>
      <w:tcPr>
        <w:tcBorders>
          <w:left w:val="nil"/>
          <w:right w:val="nil"/>
          <w:insideH w:val="nil"/>
          <w:insideV w:val="nil"/>
        </w:tcBorders>
        <w:shd w:val="clear" w:color="auto" w:fill="F29D00"/>
      </w:tcPr>
    </w:tblStylePr>
    <w:tblStylePr w:type="band1Vert">
      <w:tblPr/>
      <w:tcPr>
        <w:tcBorders>
          <w:left w:val="nil"/>
          <w:right w:val="nil"/>
          <w:insideH w:val="nil"/>
          <w:insideV w:val="nil"/>
        </w:tcBorders>
        <w:shd w:val="clear" w:color="auto" w:fill="8B8B8B"/>
      </w:tcPr>
    </w:tblStylePr>
    <w:tblStylePr w:type="band1Horz">
      <w:tblPr/>
      <w:tcPr>
        <w:shd w:val="clear" w:color="auto" w:fill="8B8B8B"/>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A5A5A5"/>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F90100"/>
    <w:pPr>
      <w:spacing w:after="0" w:line="240" w:lineRule="auto"/>
      <w:jc w:val="both"/>
    </w:pPr>
    <w:rPr>
      <w:rFonts w:ascii="Arial" w:hAnsi="Arial"/>
      <w:color w:val="58595B"/>
      <w:sz w:val="20"/>
      <w:lang w:val="nl-B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A5A5A5"/>
      </w:rPr>
      <w:tblPr/>
      <w:tcPr>
        <w:tcBorders>
          <w:top w:val="single" w:sz="18" w:space="0" w:color="auto"/>
          <w:left w:val="nil"/>
          <w:bottom w:val="single" w:sz="18" w:space="0" w:color="auto"/>
          <w:right w:val="nil"/>
          <w:insideH w:val="nil"/>
          <w:insideV w:val="nil"/>
        </w:tcBorders>
        <w:shd w:val="clear" w:color="auto" w:fill="C8501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A5A5A5"/>
      </w:tcPr>
    </w:tblStylePr>
    <w:tblStylePr w:type="firstCol">
      <w:rPr>
        <w:b/>
        <w:bCs/>
        <w:color w:val="A5A5A5"/>
      </w:rPr>
      <w:tblPr/>
      <w:tcPr>
        <w:tcBorders>
          <w:top w:val="nil"/>
          <w:left w:val="nil"/>
          <w:bottom w:val="single" w:sz="18" w:space="0" w:color="auto"/>
          <w:right w:val="nil"/>
          <w:insideH w:val="nil"/>
          <w:insideV w:val="nil"/>
        </w:tcBorders>
        <w:shd w:val="clear" w:color="auto" w:fill="C85019"/>
      </w:tcPr>
    </w:tblStylePr>
    <w:tblStylePr w:type="lastCol">
      <w:rPr>
        <w:b/>
        <w:bCs/>
        <w:color w:val="A5A5A5"/>
      </w:rPr>
      <w:tblPr/>
      <w:tcPr>
        <w:tcBorders>
          <w:left w:val="nil"/>
          <w:right w:val="nil"/>
          <w:insideH w:val="nil"/>
          <w:insideV w:val="nil"/>
        </w:tcBorders>
        <w:shd w:val="clear" w:color="auto" w:fill="C85019"/>
      </w:tcPr>
    </w:tblStylePr>
    <w:tblStylePr w:type="band1Vert">
      <w:tblPr/>
      <w:tcPr>
        <w:tcBorders>
          <w:left w:val="nil"/>
          <w:right w:val="nil"/>
          <w:insideH w:val="nil"/>
          <w:insideV w:val="nil"/>
        </w:tcBorders>
        <w:shd w:val="clear" w:color="auto" w:fill="8B8B8B"/>
      </w:tcPr>
    </w:tblStylePr>
    <w:tblStylePr w:type="band1Horz">
      <w:tblPr/>
      <w:tcPr>
        <w:shd w:val="clear" w:color="auto" w:fill="8B8B8B"/>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A5A5A5"/>
      </w:rPr>
      <w:tblPr/>
      <w:tcPr>
        <w:tcBorders>
          <w:top w:val="single" w:sz="18" w:space="0" w:color="auto"/>
          <w:left w:val="nil"/>
          <w:bottom w:val="single" w:sz="18" w:space="0" w:color="auto"/>
          <w:right w:val="nil"/>
          <w:insideH w:val="nil"/>
          <w:insideV w:val="nil"/>
        </w:tcBorders>
      </w:tcPr>
    </w:tblStylePr>
  </w:style>
  <w:style w:type="paragraph" w:customStyle="1" w:styleId="MessageHeader1">
    <w:name w:val="Message Header1"/>
    <w:basedOn w:val="Normal"/>
    <w:next w:val="MessageHeader"/>
    <w:link w:val="MessageHeaderChar"/>
    <w:uiPriority w:val="99"/>
    <w:semiHidden/>
    <w:unhideWhenUsed/>
    <w:rsid w:val="00F90100"/>
    <w:pPr>
      <w:pBdr>
        <w:top w:val="single" w:sz="6" w:space="1" w:color="auto"/>
        <w:left w:val="single" w:sz="6" w:space="1" w:color="auto"/>
        <w:bottom w:val="single" w:sz="6" w:space="1" w:color="auto"/>
        <w:right w:val="single" w:sz="6" w:space="1" w:color="auto"/>
      </w:pBdr>
      <w:shd w:val="pct20" w:color="auto" w:fill="auto"/>
      <w:spacing w:before="0" w:after="0"/>
      <w:ind w:left="1134" w:hanging="1134"/>
      <w:jc w:val="both"/>
    </w:pPr>
    <w:rPr>
      <w:rFonts w:ascii="Arial" w:eastAsia="Times New Roman" w:hAnsi="Arial" w:cs="Times New Roman"/>
      <w:szCs w:val="24"/>
      <w:lang w:val="nl-BE"/>
    </w:rPr>
  </w:style>
  <w:style w:type="character" w:customStyle="1" w:styleId="MessageHeaderChar">
    <w:name w:val="Message Header Char"/>
    <w:basedOn w:val="DefaultParagraphFont"/>
    <w:link w:val="MessageHeader1"/>
    <w:uiPriority w:val="99"/>
    <w:semiHidden/>
    <w:rsid w:val="00F90100"/>
    <w:rPr>
      <w:rFonts w:ascii="Arial" w:eastAsia="Times New Roman" w:hAnsi="Arial" w:cs="Times New Roman"/>
      <w:sz w:val="24"/>
      <w:szCs w:val="24"/>
      <w:shd w:val="pct20" w:color="auto" w:fill="auto"/>
      <w:lang w:val="nl-BE"/>
    </w:rPr>
  </w:style>
  <w:style w:type="paragraph" w:styleId="NormalIndent">
    <w:name w:val="Normal Indent"/>
    <w:basedOn w:val="Normal"/>
    <w:uiPriority w:val="99"/>
    <w:semiHidden/>
    <w:unhideWhenUsed/>
    <w:rsid w:val="00F90100"/>
    <w:pPr>
      <w:spacing w:before="0" w:after="0" w:line="276" w:lineRule="auto"/>
      <w:ind w:left="708"/>
      <w:jc w:val="both"/>
    </w:pPr>
    <w:rPr>
      <w:rFonts w:ascii="Arial" w:hAnsi="Arial"/>
      <w:color w:val="58595B"/>
      <w:sz w:val="20"/>
      <w:lang w:val="nl-BE"/>
    </w:rPr>
  </w:style>
  <w:style w:type="paragraph" w:styleId="NoteHeading">
    <w:name w:val="Note Heading"/>
    <w:basedOn w:val="Normal"/>
    <w:next w:val="Normal"/>
    <w:link w:val="NoteHeadingChar"/>
    <w:uiPriority w:val="99"/>
    <w:semiHidden/>
    <w:unhideWhenUsed/>
    <w:rsid w:val="00F90100"/>
    <w:pPr>
      <w:spacing w:before="0" w:after="0"/>
      <w:jc w:val="both"/>
    </w:pPr>
    <w:rPr>
      <w:rFonts w:ascii="Arial" w:hAnsi="Arial"/>
      <w:color w:val="58595B"/>
      <w:sz w:val="20"/>
      <w:lang w:val="nl-BE"/>
    </w:rPr>
  </w:style>
  <w:style w:type="character" w:customStyle="1" w:styleId="NoteHeadingChar">
    <w:name w:val="Note Heading Char"/>
    <w:basedOn w:val="DefaultParagraphFont"/>
    <w:link w:val="NoteHeading"/>
    <w:uiPriority w:val="99"/>
    <w:semiHidden/>
    <w:rsid w:val="00F90100"/>
    <w:rPr>
      <w:rFonts w:ascii="Arial" w:hAnsi="Arial"/>
      <w:color w:val="58595B"/>
      <w:sz w:val="20"/>
      <w:lang w:val="nl-BE"/>
    </w:rPr>
  </w:style>
  <w:style w:type="paragraph" w:styleId="PlainText">
    <w:name w:val="Plain Text"/>
    <w:basedOn w:val="Normal"/>
    <w:link w:val="PlainTextChar"/>
    <w:uiPriority w:val="99"/>
    <w:semiHidden/>
    <w:unhideWhenUsed/>
    <w:rsid w:val="00F90100"/>
    <w:pPr>
      <w:spacing w:before="0" w:after="0"/>
      <w:jc w:val="both"/>
    </w:pPr>
    <w:rPr>
      <w:rFonts w:ascii="Consolas" w:hAnsi="Consolas"/>
      <w:color w:val="58595B"/>
      <w:sz w:val="21"/>
      <w:szCs w:val="21"/>
      <w:lang w:val="nl-BE"/>
    </w:rPr>
  </w:style>
  <w:style w:type="character" w:customStyle="1" w:styleId="PlainTextChar">
    <w:name w:val="Plain Text Char"/>
    <w:basedOn w:val="DefaultParagraphFont"/>
    <w:link w:val="PlainText"/>
    <w:uiPriority w:val="99"/>
    <w:semiHidden/>
    <w:rsid w:val="00F90100"/>
    <w:rPr>
      <w:rFonts w:ascii="Consolas" w:hAnsi="Consolas"/>
      <w:color w:val="58595B"/>
      <w:sz w:val="21"/>
      <w:szCs w:val="21"/>
      <w:lang w:val="nl-BE"/>
    </w:rPr>
  </w:style>
  <w:style w:type="paragraph" w:styleId="Salutation">
    <w:name w:val="Salutation"/>
    <w:basedOn w:val="Normal"/>
    <w:next w:val="Normal"/>
    <w:link w:val="SalutationChar"/>
    <w:uiPriority w:val="99"/>
    <w:semiHidden/>
    <w:unhideWhenUsed/>
    <w:rsid w:val="00F90100"/>
    <w:pPr>
      <w:spacing w:before="0" w:after="0" w:line="276" w:lineRule="auto"/>
      <w:jc w:val="both"/>
    </w:pPr>
    <w:rPr>
      <w:rFonts w:ascii="Arial" w:hAnsi="Arial"/>
      <w:color w:val="58595B"/>
      <w:sz w:val="20"/>
      <w:lang w:val="nl-BE"/>
    </w:rPr>
  </w:style>
  <w:style w:type="character" w:customStyle="1" w:styleId="SalutationChar">
    <w:name w:val="Salutation Char"/>
    <w:basedOn w:val="DefaultParagraphFont"/>
    <w:link w:val="Salutation"/>
    <w:uiPriority w:val="99"/>
    <w:semiHidden/>
    <w:rsid w:val="00F90100"/>
    <w:rPr>
      <w:rFonts w:ascii="Arial" w:hAnsi="Arial"/>
      <w:color w:val="58595B"/>
      <w:sz w:val="20"/>
      <w:lang w:val="nl-BE"/>
    </w:rPr>
  </w:style>
  <w:style w:type="paragraph" w:styleId="Signature">
    <w:name w:val="Signature"/>
    <w:basedOn w:val="Normal"/>
    <w:link w:val="SignatureChar"/>
    <w:uiPriority w:val="99"/>
    <w:semiHidden/>
    <w:unhideWhenUsed/>
    <w:rsid w:val="00F90100"/>
    <w:pPr>
      <w:spacing w:before="0" w:after="0"/>
      <w:ind w:left="4252"/>
      <w:jc w:val="both"/>
    </w:pPr>
    <w:rPr>
      <w:rFonts w:ascii="Arial" w:hAnsi="Arial"/>
      <w:color w:val="58595B"/>
      <w:sz w:val="20"/>
      <w:lang w:val="nl-BE"/>
    </w:rPr>
  </w:style>
  <w:style w:type="character" w:customStyle="1" w:styleId="SignatureChar">
    <w:name w:val="Signature Char"/>
    <w:basedOn w:val="DefaultParagraphFont"/>
    <w:link w:val="Signature"/>
    <w:uiPriority w:val="99"/>
    <w:semiHidden/>
    <w:rsid w:val="00F90100"/>
    <w:rPr>
      <w:rFonts w:ascii="Arial" w:hAnsi="Arial"/>
      <w:color w:val="58595B"/>
      <w:sz w:val="20"/>
      <w:lang w:val="nl-BE"/>
    </w:rPr>
  </w:style>
  <w:style w:type="table" w:styleId="Table3Deffects1">
    <w:name w:val="Table 3D effects 1"/>
    <w:basedOn w:val="TableNormal"/>
    <w:uiPriority w:val="99"/>
    <w:semiHidden/>
    <w:unhideWhenUsed/>
    <w:rsid w:val="00F90100"/>
    <w:pPr>
      <w:spacing w:after="0"/>
      <w:jc w:val="both"/>
    </w:pPr>
    <w:rPr>
      <w:rFonts w:ascii="Arial" w:hAnsi="Arial"/>
      <w:color w:val="58595B"/>
      <w:sz w:val="20"/>
      <w:lang w:val="nl-BE"/>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F90100"/>
    <w:pPr>
      <w:spacing w:after="0"/>
      <w:jc w:val="both"/>
    </w:pPr>
    <w:rPr>
      <w:rFonts w:ascii="Arial" w:hAnsi="Arial"/>
      <w:color w:val="58595B"/>
      <w:sz w:val="20"/>
      <w:lang w:val="nl-BE"/>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F90100"/>
    <w:pPr>
      <w:spacing w:after="0"/>
      <w:jc w:val="both"/>
    </w:pPr>
    <w:rPr>
      <w:rFonts w:ascii="Arial" w:hAnsi="Arial"/>
      <w:color w:val="58595B"/>
      <w:sz w:val="20"/>
      <w:lang w:val="nl-BE"/>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F90100"/>
    <w:pPr>
      <w:spacing w:after="0"/>
      <w:jc w:val="both"/>
    </w:pPr>
    <w:rPr>
      <w:rFonts w:ascii="Arial" w:hAnsi="Arial"/>
      <w:color w:val="000080"/>
      <w:sz w:val="20"/>
      <w:lang w:val="nl-BE"/>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F90100"/>
    <w:pPr>
      <w:spacing w:after="0"/>
      <w:jc w:val="both"/>
    </w:pPr>
    <w:rPr>
      <w:rFonts w:ascii="Arial" w:hAnsi="Arial"/>
      <w:color w:val="FFFFFF"/>
      <w:sz w:val="20"/>
      <w:lang w:val="nl-BE"/>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F90100"/>
    <w:pPr>
      <w:spacing w:after="0"/>
      <w:jc w:val="both"/>
    </w:pPr>
    <w:rPr>
      <w:rFonts w:ascii="Arial" w:hAnsi="Arial"/>
      <w:color w:val="58595B"/>
      <w:sz w:val="20"/>
      <w:lang w:val="nl-BE"/>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F90100"/>
    <w:pPr>
      <w:spacing w:after="0"/>
      <w:jc w:val="both"/>
    </w:pPr>
    <w:rPr>
      <w:rFonts w:ascii="Arial" w:hAnsi="Arial"/>
      <w:color w:val="58595B"/>
      <w:sz w:val="20"/>
      <w:lang w:val="nl-BE"/>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F90100"/>
    <w:pPr>
      <w:spacing w:after="0"/>
      <w:jc w:val="both"/>
    </w:pPr>
    <w:rPr>
      <w:rFonts w:ascii="Arial" w:hAnsi="Arial"/>
      <w:b/>
      <w:bCs/>
      <w:color w:val="58595B"/>
      <w:sz w:val="20"/>
      <w:lang w:val="nl-BE"/>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F90100"/>
    <w:pPr>
      <w:spacing w:after="0"/>
      <w:jc w:val="both"/>
    </w:pPr>
    <w:rPr>
      <w:rFonts w:ascii="Arial" w:hAnsi="Arial"/>
      <w:b/>
      <w:bCs/>
      <w:color w:val="58595B"/>
      <w:sz w:val="20"/>
      <w:lang w:val="nl-BE"/>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F90100"/>
    <w:pPr>
      <w:spacing w:after="0"/>
      <w:jc w:val="both"/>
    </w:pPr>
    <w:rPr>
      <w:rFonts w:ascii="Arial" w:hAnsi="Arial"/>
      <w:b/>
      <w:bCs/>
      <w:color w:val="58595B"/>
      <w:sz w:val="20"/>
      <w:lang w:val="nl-BE"/>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F90100"/>
    <w:pPr>
      <w:spacing w:after="0"/>
      <w:jc w:val="both"/>
    </w:pPr>
    <w:rPr>
      <w:rFonts w:ascii="Arial" w:hAnsi="Arial"/>
      <w:color w:val="58595B"/>
      <w:sz w:val="20"/>
      <w:lang w:val="nl-BE"/>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F90100"/>
    <w:pPr>
      <w:spacing w:after="0"/>
      <w:jc w:val="both"/>
    </w:pPr>
    <w:rPr>
      <w:rFonts w:ascii="Arial" w:hAnsi="Arial"/>
      <w:color w:val="58595B"/>
      <w:sz w:val="20"/>
      <w:lang w:val="nl-BE"/>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F90100"/>
    <w:pPr>
      <w:spacing w:after="0"/>
      <w:jc w:val="both"/>
    </w:pPr>
    <w:rPr>
      <w:rFonts w:ascii="Arial" w:hAnsi="Arial"/>
      <w:color w:val="58595B"/>
      <w:sz w:val="20"/>
      <w:lang w:val="nl-BE"/>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F90100"/>
    <w:pPr>
      <w:spacing w:after="0"/>
      <w:jc w:val="both"/>
    </w:pPr>
    <w:rPr>
      <w:rFonts w:ascii="Arial" w:hAnsi="Arial"/>
      <w:color w:val="58595B"/>
      <w:sz w:val="20"/>
      <w:lang w:val="nl-BE"/>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0">
    <w:name w:val="Table Grid 1"/>
    <w:basedOn w:val="TableNormal"/>
    <w:uiPriority w:val="99"/>
    <w:semiHidden/>
    <w:unhideWhenUsed/>
    <w:rsid w:val="00F90100"/>
    <w:pPr>
      <w:spacing w:after="0"/>
      <w:jc w:val="both"/>
    </w:pPr>
    <w:rPr>
      <w:rFonts w:ascii="Arial" w:hAnsi="Arial"/>
      <w:color w:val="58595B"/>
      <w:sz w:val="20"/>
      <w:lang w:val="nl-BE"/>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F90100"/>
    <w:pPr>
      <w:spacing w:after="0"/>
      <w:jc w:val="both"/>
    </w:pPr>
    <w:rPr>
      <w:rFonts w:ascii="Arial" w:hAnsi="Arial"/>
      <w:color w:val="58595B"/>
      <w:sz w:val="20"/>
      <w:lang w:val="nl-BE"/>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F90100"/>
    <w:pPr>
      <w:spacing w:after="0"/>
      <w:jc w:val="both"/>
    </w:pPr>
    <w:rPr>
      <w:rFonts w:ascii="Arial" w:hAnsi="Arial"/>
      <w:color w:val="58595B"/>
      <w:sz w:val="20"/>
      <w:lang w:val="nl-BE"/>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F90100"/>
    <w:pPr>
      <w:spacing w:after="0"/>
      <w:jc w:val="both"/>
    </w:pPr>
    <w:rPr>
      <w:rFonts w:ascii="Arial" w:hAnsi="Arial"/>
      <w:color w:val="58595B"/>
      <w:sz w:val="20"/>
      <w:lang w:val="nl-BE"/>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F90100"/>
    <w:pPr>
      <w:spacing w:after="0"/>
      <w:jc w:val="both"/>
    </w:pPr>
    <w:rPr>
      <w:rFonts w:ascii="Arial" w:hAnsi="Arial"/>
      <w:b/>
      <w:bCs/>
      <w:color w:val="58595B"/>
      <w:sz w:val="20"/>
      <w:lang w:val="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F90100"/>
    <w:pPr>
      <w:spacing w:after="0"/>
      <w:jc w:val="both"/>
    </w:pPr>
    <w:rPr>
      <w:rFonts w:ascii="Arial" w:hAnsi="Arial"/>
      <w:color w:val="58595B"/>
      <w:sz w:val="20"/>
      <w:lang w:val="nl-BE"/>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semiHidden/>
    <w:unhideWhenUsed/>
    <w:rsid w:val="00F90100"/>
    <w:pPr>
      <w:spacing w:after="0"/>
      <w:jc w:val="both"/>
    </w:pPr>
    <w:rPr>
      <w:rFonts w:ascii="Arial" w:hAnsi="Arial"/>
      <w:color w:val="58595B"/>
      <w:sz w:val="20"/>
      <w:lang w:val="nl-BE"/>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F90100"/>
    <w:pPr>
      <w:spacing w:after="0"/>
      <w:jc w:val="both"/>
    </w:pPr>
    <w:rPr>
      <w:rFonts w:ascii="Arial" w:hAnsi="Arial"/>
      <w:color w:val="58595B"/>
      <w:sz w:val="20"/>
      <w:lang w:val="nl-BE"/>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F90100"/>
    <w:pPr>
      <w:spacing w:after="0"/>
      <w:jc w:val="both"/>
    </w:pPr>
    <w:rPr>
      <w:rFonts w:ascii="Arial" w:hAnsi="Arial"/>
      <w:color w:val="58595B"/>
      <w:sz w:val="20"/>
      <w:lang w:val="nl-BE"/>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F90100"/>
    <w:pPr>
      <w:spacing w:after="0"/>
      <w:jc w:val="both"/>
    </w:pPr>
    <w:rPr>
      <w:rFonts w:ascii="Arial" w:hAnsi="Arial"/>
      <w:color w:val="58595B"/>
      <w:sz w:val="20"/>
      <w:lang w:val="nl-BE"/>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F90100"/>
    <w:pPr>
      <w:spacing w:after="0"/>
      <w:jc w:val="both"/>
    </w:pPr>
    <w:rPr>
      <w:rFonts w:ascii="Arial" w:hAnsi="Arial"/>
      <w:color w:val="58595B"/>
      <w:sz w:val="20"/>
      <w:lang w:val="nl-BE"/>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F90100"/>
    <w:pPr>
      <w:spacing w:after="0"/>
      <w:jc w:val="both"/>
    </w:pPr>
    <w:rPr>
      <w:rFonts w:ascii="Arial" w:hAnsi="Arial"/>
      <w:color w:val="58595B"/>
      <w:sz w:val="20"/>
      <w:lang w:val="nl-BE"/>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F90100"/>
    <w:pPr>
      <w:spacing w:before="0" w:after="0" w:line="276" w:lineRule="auto"/>
      <w:ind w:left="220" w:hanging="220"/>
      <w:jc w:val="both"/>
    </w:pPr>
    <w:rPr>
      <w:rFonts w:ascii="Arial" w:hAnsi="Arial"/>
      <w:color w:val="58595B"/>
      <w:sz w:val="20"/>
      <w:lang w:val="nl-BE"/>
    </w:rPr>
  </w:style>
  <w:style w:type="table" w:styleId="TableProfessional">
    <w:name w:val="Table Professional"/>
    <w:basedOn w:val="TableNormal"/>
    <w:uiPriority w:val="99"/>
    <w:semiHidden/>
    <w:unhideWhenUsed/>
    <w:rsid w:val="00F90100"/>
    <w:pPr>
      <w:spacing w:after="0"/>
      <w:jc w:val="both"/>
    </w:pPr>
    <w:rPr>
      <w:rFonts w:ascii="Arial" w:hAnsi="Arial"/>
      <w:color w:val="58595B"/>
      <w:sz w:val="20"/>
      <w:lang w:val="nl-BE"/>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F90100"/>
    <w:pPr>
      <w:spacing w:after="0"/>
      <w:jc w:val="both"/>
    </w:pPr>
    <w:rPr>
      <w:rFonts w:ascii="Arial" w:hAnsi="Arial"/>
      <w:color w:val="58595B"/>
      <w:sz w:val="20"/>
      <w:lang w:val="nl-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F90100"/>
    <w:pPr>
      <w:spacing w:after="0"/>
      <w:jc w:val="both"/>
    </w:pPr>
    <w:rPr>
      <w:rFonts w:ascii="Arial" w:hAnsi="Arial"/>
      <w:color w:val="58595B"/>
      <w:sz w:val="20"/>
      <w:lang w:val="nl-BE"/>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F90100"/>
    <w:pPr>
      <w:spacing w:after="0"/>
      <w:jc w:val="both"/>
    </w:pPr>
    <w:rPr>
      <w:rFonts w:ascii="Arial" w:hAnsi="Arial"/>
      <w:color w:val="58595B"/>
      <w:sz w:val="20"/>
      <w:lang w:val="nl-BE"/>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F90100"/>
    <w:pPr>
      <w:spacing w:after="0"/>
      <w:jc w:val="both"/>
    </w:pPr>
    <w:rPr>
      <w:rFonts w:ascii="Arial" w:hAnsi="Arial"/>
      <w:color w:val="58595B"/>
      <w:sz w:val="20"/>
      <w:lang w:val="nl-BE"/>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F90100"/>
    <w:pPr>
      <w:spacing w:after="0"/>
      <w:jc w:val="both"/>
    </w:pPr>
    <w:rPr>
      <w:rFonts w:ascii="Arial" w:hAnsi="Arial"/>
      <w:color w:val="58595B"/>
      <w:sz w:val="20"/>
      <w:lang w:val="nl-BE"/>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F90100"/>
    <w:pPr>
      <w:spacing w:after="0"/>
      <w:jc w:val="both"/>
    </w:pPr>
    <w:rPr>
      <w:rFonts w:ascii="Arial" w:hAnsi="Arial"/>
      <w:color w:val="58595B"/>
      <w:sz w:val="20"/>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F90100"/>
    <w:pPr>
      <w:spacing w:after="0"/>
      <w:jc w:val="both"/>
    </w:pPr>
    <w:rPr>
      <w:rFonts w:ascii="Arial" w:hAnsi="Arial"/>
      <w:color w:val="58595B"/>
      <w:sz w:val="20"/>
      <w:lang w:val="nl-BE"/>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F90100"/>
    <w:pPr>
      <w:spacing w:after="0"/>
      <w:jc w:val="both"/>
    </w:pPr>
    <w:rPr>
      <w:rFonts w:ascii="Arial" w:hAnsi="Arial"/>
      <w:color w:val="58595B"/>
      <w:sz w:val="20"/>
      <w:lang w:val="nl-BE"/>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F90100"/>
    <w:pPr>
      <w:spacing w:after="0"/>
      <w:jc w:val="both"/>
    </w:pPr>
    <w:rPr>
      <w:rFonts w:ascii="Arial" w:hAnsi="Arial"/>
      <w:color w:val="58595B"/>
      <w:sz w:val="20"/>
      <w:lang w:val="nl-BE"/>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TOAHeading1">
    <w:name w:val="TOA Heading1"/>
    <w:basedOn w:val="Normal"/>
    <w:next w:val="Normal"/>
    <w:uiPriority w:val="99"/>
    <w:semiHidden/>
    <w:unhideWhenUsed/>
    <w:rsid w:val="00F90100"/>
    <w:pPr>
      <w:spacing w:after="0" w:line="276" w:lineRule="auto"/>
      <w:jc w:val="both"/>
    </w:pPr>
    <w:rPr>
      <w:rFonts w:ascii="Arial" w:eastAsia="Times New Roman" w:hAnsi="Arial" w:cs="Times New Roman"/>
      <w:b/>
      <w:bCs/>
      <w:color w:val="58595B"/>
      <w:szCs w:val="24"/>
      <w:lang w:val="nl-BE"/>
    </w:rPr>
  </w:style>
  <w:style w:type="paragraph" w:styleId="TOC4">
    <w:name w:val="toc 4"/>
    <w:basedOn w:val="Normal"/>
    <w:next w:val="Normal"/>
    <w:autoRedefine/>
    <w:uiPriority w:val="39"/>
    <w:semiHidden/>
    <w:unhideWhenUsed/>
    <w:rsid w:val="00F90100"/>
    <w:pPr>
      <w:spacing w:before="0" w:after="100" w:line="276" w:lineRule="auto"/>
      <w:ind w:left="660"/>
      <w:jc w:val="both"/>
    </w:pPr>
    <w:rPr>
      <w:rFonts w:ascii="Arial" w:hAnsi="Arial"/>
      <w:color w:val="58595B"/>
      <w:sz w:val="20"/>
      <w:lang w:val="nl-BE"/>
    </w:rPr>
  </w:style>
  <w:style w:type="paragraph" w:styleId="TOC5">
    <w:name w:val="toc 5"/>
    <w:basedOn w:val="Normal"/>
    <w:next w:val="Normal"/>
    <w:autoRedefine/>
    <w:uiPriority w:val="39"/>
    <w:semiHidden/>
    <w:unhideWhenUsed/>
    <w:rsid w:val="00F90100"/>
    <w:pPr>
      <w:spacing w:before="0" w:after="100" w:line="276" w:lineRule="auto"/>
      <w:ind w:left="880"/>
      <w:jc w:val="both"/>
    </w:pPr>
    <w:rPr>
      <w:rFonts w:ascii="Arial" w:hAnsi="Arial"/>
      <w:color w:val="58595B"/>
      <w:sz w:val="20"/>
      <w:lang w:val="nl-BE"/>
    </w:rPr>
  </w:style>
  <w:style w:type="paragraph" w:styleId="TOC6">
    <w:name w:val="toc 6"/>
    <w:basedOn w:val="Normal"/>
    <w:next w:val="Normal"/>
    <w:autoRedefine/>
    <w:uiPriority w:val="39"/>
    <w:semiHidden/>
    <w:unhideWhenUsed/>
    <w:rsid w:val="00F90100"/>
    <w:pPr>
      <w:spacing w:before="0" w:after="100" w:line="276" w:lineRule="auto"/>
      <w:ind w:left="1100"/>
      <w:jc w:val="both"/>
    </w:pPr>
    <w:rPr>
      <w:rFonts w:ascii="Arial" w:hAnsi="Arial"/>
      <w:color w:val="58595B"/>
      <w:sz w:val="20"/>
      <w:lang w:val="nl-BE"/>
    </w:rPr>
  </w:style>
  <w:style w:type="paragraph" w:styleId="TOC7">
    <w:name w:val="toc 7"/>
    <w:basedOn w:val="Normal"/>
    <w:next w:val="Normal"/>
    <w:autoRedefine/>
    <w:uiPriority w:val="39"/>
    <w:semiHidden/>
    <w:unhideWhenUsed/>
    <w:rsid w:val="00F90100"/>
    <w:pPr>
      <w:spacing w:before="0" w:after="100" w:line="276" w:lineRule="auto"/>
      <w:ind w:left="1320"/>
      <w:jc w:val="both"/>
    </w:pPr>
    <w:rPr>
      <w:rFonts w:ascii="Arial" w:hAnsi="Arial"/>
      <w:color w:val="58595B"/>
      <w:sz w:val="20"/>
      <w:lang w:val="nl-BE"/>
    </w:rPr>
  </w:style>
  <w:style w:type="paragraph" w:styleId="TOC8">
    <w:name w:val="toc 8"/>
    <w:basedOn w:val="Normal"/>
    <w:next w:val="Normal"/>
    <w:autoRedefine/>
    <w:uiPriority w:val="39"/>
    <w:semiHidden/>
    <w:unhideWhenUsed/>
    <w:rsid w:val="00F90100"/>
    <w:pPr>
      <w:spacing w:before="0" w:after="100" w:line="276" w:lineRule="auto"/>
      <w:ind w:left="1540"/>
      <w:jc w:val="both"/>
    </w:pPr>
    <w:rPr>
      <w:rFonts w:ascii="Arial" w:hAnsi="Arial"/>
      <w:color w:val="58595B"/>
      <w:sz w:val="20"/>
      <w:lang w:val="nl-BE"/>
    </w:rPr>
  </w:style>
  <w:style w:type="paragraph" w:styleId="TOC9">
    <w:name w:val="toc 9"/>
    <w:basedOn w:val="Normal"/>
    <w:next w:val="Normal"/>
    <w:autoRedefine/>
    <w:uiPriority w:val="39"/>
    <w:semiHidden/>
    <w:unhideWhenUsed/>
    <w:rsid w:val="00F90100"/>
    <w:pPr>
      <w:spacing w:before="0" w:after="100" w:line="276" w:lineRule="auto"/>
      <w:ind w:left="1760"/>
      <w:jc w:val="both"/>
    </w:pPr>
    <w:rPr>
      <w:rFonts w:ascii="Arial" w:hAnsi="Arial"/>
      <w:color w:val="58595B"/>
      <w:sz w:val="20"/>
      <w:lang w:val="nl-BE"/>
    </w:rPr>
  </w:style>
  <w:style w:type="paragraph" w:customStyle="1" w:styleId="T1SciensanoInternalNote">
    <w:name w:val="T1 Sciensano Internal Note"/>
    <w:basedOn w:val="Heading1"/>
    <w:semiHidden/>
    <w:qFormat/>
    <w:rsid w:val="00F90100"/>
    <w:pPr>
      <w:keepNext/>
      <w:keepLines/>
      <w:tabs>
        <w:tab w:val="clear" w:pos="567"/>
      </w:tabs>
      <w:suppressAutoHyphens/>
      <w:spacing w:before="0" w:after="0" w:line="276" w:lineRule="auto"/>
      <w:ind w:left="0" w:firstLine="0"/>
      <w:contextualSpacing/>
    </w:pPr>
    <w:rPr>
      <w:rFonts w:ascii="Arial" w:eastAsia="Times New Roman" w:hAnsi="Arial"/>
      <w:bCs/>
      <w:caps/>
      <w:color w:val="3AAA35"/>
      <w:sz w:val="20"/>
      <w:szCs w:val="28"/>
      <w:lang w:val="nl-BE"/>
    </w:rPr>
  </w:style>
  <w:style w:type="paragraph" w:customStyle="1" w:styleId="T2SciensanoInternalNote">
    <w:name w:val="T2 Sciensano Internal Note"/>
    <w:basedOn w:val="Heading2"/>
    <w:next w:val="BodySciensano"/>
    <w:semiHidden/>
    <w:qFormat/>
    <w:rsid w:val="00F90100"/>
    <w:pPr>
      <w:keepNext/>
      <w:keepLines/>
      <w:tabs>
        <w:tab w:val="clear" w:pos="567"/>
      </w:tabs>
      <w:suppressAutoHyphens/>
      <w:spacing w:before="0" w:after="0"/>
      <w:ind w:left="1440" w:hanging="360"/>
      <w:contextualSpacing/>
    </w:pPr>
    <w:rPr>
      <w:rFonts w:ascii="Arial" w:eastAsia="Times New Roman" w:hAnsi="Arial"/>
      <w:bCs/>
      <w:color w:val="BCCF00"/>
      <w:sz w:val="20"/>
      <w:szCs w:val="26"/>
      <w:lang w:val="nl-BE"/>
    </w:rPr>
  </w:style>
  <w:style w:type="paragraph" w:customStyle="1" w:styleId="BodyStrongGreenSciensano">
    <w:name w:val="BodyStrong Green Sciensano"/>
    <w:basedOn w:val="BodyStrongSciensano"/>
    <w:next w:val="BodySciensano"/>
    <w:uiPriority w:val="17"/>
    <w:qFormat/>
    <w:rsid w:val="00F90100"/>
    <w:rPr>
      <w:color w:val="3AAA35"/>
    </w:rPr>
  </w:style>
  <w:style w:type="paragraph" w:customStyle="1" w:styleId="T1SciensanoScientificReport">
    <w:name w:val="T1 Sciensano Scientific Report"/>
    <w:next w:val="BodySciensano"/>
    <w:semiHidden/>
    <w:qFormat/>
    <w:rsid w:val="00F90100"/>
    <w:pPr>
      <w:spacing w:after="0"/>
      <w:jc w:val="center"/>
    </w:pPr>
    <w:rPr>
      <w:rFonts w:ascii="Arial" w:eastAsia="Times New Roman" w:hAnsi="Arial" w:cs="Times New Roman"/>
      <w:b/>
      <w:bCs/>
      <w:caps/>
      <w:color w:val="FFFFFF"/>
      <w:spacing w:val="20"/>
      <w:sz w:val="70"/>
      <w:szCs w:val="28"/>
      <w:lang w:val="nl-BE"/>
    </w:rPr>
  </w:style>
  <w:style w:type="character" w:styleId="HTMLAcronym">
    <w:name w:val="HTML Acronym"/>
    <w:basedOn w:val="DefaultParagraphFont"/>
    <w:uiPriority w:val="99"/>
    <w:semiHidden/>
    <w:unhideWhenUsed/>
    <w:rsid w:val="00F90100"/>
    <w:rPr>
      <w:lang w:val="nl-BE"/>
    </w:rPr>
  </w:style>
  <w:style w:type="character" w:styleId="HTMLCite">
    <w:name w:val="HTML Cite"/>
    <w:basedOn w:val="DefaultParagraphFont"/>
    <w:uiPriority w:val="99"/>
    <w:semiHidden/>
    <w:unhideWhenUsed/>
    <w:rsid w:val="00F90100"/>
    <w:rPr>
      <w:i/>
      <w:iCs/>
      <w:lang w:val="nl-BE"/>
    </w:rPr>
  </w:style>
  <w:style w:type="character" w:styleId="HTMLCode">
    <w:name w:val="HTML Code"/>
    <w:basedOn w:val="DefaultParagraphFont"/>
    <w:uiPriority w:val="99"/>
    <w:semiHidden/>
    <w:unhideWhenUsed/>
    <w:rsid w:val="00F90100"/>
    <w:rPr>
      <w:rFonts w:ascii="Consolas" w:hAnsi="Consolas"/>
      <w:sz w:val="20"/>
      <w:szCs w:val="20"/>
      <w:lang w:val="nl-BE"/>
    </w:rPr>
  </w:style>
  <w:style w:type="character" w:styleId="HTMLDefinition">
    <w:name w:val="HTML Definition"/>
    <w:basedOn w:val="DefaultParagraphFont"/>
    <w:uiPriority w:val="99"/>
    <w:semiHidden/>
    <w:unhideWhenUsed/>
    <w:rsid w:val="00F90100"/>
    <w:rPr>
      <w:i/>
      <w:iCs/>
      <w:lang w:val="nl-BE"/>
    </w:rPr>
  </w:style>
  <w:style w:type="character" w:styleId="HTMLKeyboard">
    <w:name w:val="HTML Keyboard"/>
    <w:basedOn w:val="DefaultParagraphFont"/>
    <w:uiPriority w:val="99"/>
    <w:semiHidden/>
    <w:unhideWhenUsed/>
    <w:rsid w:val="00F90100"/>
    <w:rPr>
      <w:rFonts w:ascii="Consolas" w:hAnsi="Consolas"/>
      <w:sz w:val="20"/>
      <w:szCs w:val="20"/>
      <w:lang w:val="nl-BE"/>
    </w:rPr>
  </w:style>
  <w:style w:type="character" w:styleId="HTMLSample">
    <w:name w:val="HTML Sample"/>
    <w:basedOn w:val="DefaultParagraphFont"/>
    <w:uiPriority w:val="99"/>
    <w:semiHidden/>
    <w:unhideWhenUsed/>
    <w:rsid w:val="00F90100"/>
    <w:rPr>
      <w:rFonts w:ascii="Consolas" w:hAnsi="Consolas"/>
      <w:sz w:val="24"/>
      <w:szCs w:val="24"/>
      <w:lang w:val="nl-BE"/>
    </w:rPr>
  </w:style>
  <w:style w:type="character" w:styleId="HTMLTypewriter">
    <w:name w:val="HTML Typewriter"/>
    <w:basedOn w:val="DefaultParagraphFont"/>
    <w:uiPriority w:val="99"/>
    <w:semiHidden/>
    <w:unhideWhenUsed/>
    <w:rsid w:val="00F90100"/>
    <w:rPr>
      <w:rFonts w:ascii="Consolas" w:hAnsi="Consolas"/>
      <w:sz w:val="20"/>
      <w:szCs w:val="20"/>
      <w:lang w:val="nl-BE"/>
    </w:rPr>
  </w:style>
  <w:style w:type="character" w:styleId="HTMLVariable">
    <w:name w:val="HTML Variable"/>
    <w:basedOn w:val="DefaultParagraphFont"/>
    <w:uiPriority w:val="99"/>
    <w:semiHidden/>
    <w:unhideWhenUsed/>
    <w:rsid w:val="00F90100"/>
    <w:rPr>
      <w:i/>
      <w:iCs/>
      <w:lang w:val="nl-BE"/>
    </w:rPr>
  </w:style>
  <w:style w:type="character" w:styleId="PageNumber">
    <w:name w:val="page number"/>
    <w:basedOn w:val="DefaultParagraphFont"/>
    <w:uiPriority w:val="99"/>
    <w:semiHidden/>
    <w:unhideWhenUsed/>
    <w:rsid w:val="00F90100"/>
    <w:rPr>
      <w:lang w:val="nl-BE"/>
    </w:rPr>
  </w:style>
  <w:style w:type="character" w:customStyle="1" w:styleId="SubtleReference1">
    <w:name w:val="Subtle Reference1"/>
    <w:basedOn w:val="DefaultParagraphFont"/>
    <w:uiPriority w:val="31"/>
    <w:qFormat/>
    <w:rsid w:val="00F90100"/>
    <w:rPr>
      <w:smallCaps/>
      <w:color w:val="006633"/>
      <w:u w:val="single"/>
      <w:lang w:val="nl-BE"/>
    </w:rPr>
  </w:style>
  <w:style w:type="paragraph" w:customStyle="1" w:styleId="T2SciensanoScientificReport">
    <w:name w:val="T2 Sciensano Scientific Report"/>
    <w:next w:val="BodySciensano"/>
    <w:semiHidden/>
    <w:qFormat/>
    <w:rsid w:val="00F90100"/>
    <w:pPr>
      <w:spacing w:after="0"/>
      <w:jc w:val="center"/>
    </w:pPr>
    <w:rPr>
      <w:rFonts w:ascii="Arial" w:eastAsia="Times New Roman" w:hAnsi="Arial" w:cs="Times New Roman"/>
      <w:b/>
      <w:bCs/>
      <w:color w:val="BCCF00"/>
      <w:spacing w:val="20"/>
      <w:sz w:val="36"/>
      <w:szCs w:val="26"/>
      <w:lang w:val="nl-BE"/>
    </w:rPr>
  </w:style>
  <w:style w:type="table" w:customStyle="1" w:styleId="GridTable1Light1">
    <w:name w:val="Grid Table 1 Light1"/>
    <w:basedOn w:val="TableNormal"/>
    <w:next w:val="GridTable1Light"/>
    <w:uiPriority w:val="46"/>
    <w:rsid w:val="00F90100"/>
    <w:pPr>
      <w:spacing w:after="0" w:line="240" w:lineRule="auto"/>
      <w:jc w:val="both"/>
    </w:pPr>
    <w:rPr>
      <w:rFonts w:ascii="Arial" w:hAnsi="Arial"/>
      <w:color w:val="58595B"/>
      <w:sz w:val="20"/>
      <w:lang w:val="nl-BE"/>
    </w:rPr>
    <w:tblPr>
      <w:tblStyleRowBandSize w:val="1"/>
      <w:tblStyleColBandSize w:val="1"/>
      <w:tblBorders>
        <w:top w:val="single" w:sz="4" w:space="0" w:color="BBBCBD"/>
        <w:left w:val="single" w:sz="4" w:space="0" w:color="BBBCBD"/>
        <w:bottom w:val="single" w:sz="4" w:space="0" w:color="BBBCBD"/>
        <w:right w:val="single" w:sz="4" w:space="0" w:color="BBBCBD"/>
        <w:insideH w:val="single" w:sz="4" w:space="0" w:color="BBBCBD"/>
        <w:insideV w:val="single" w:sz="4" w:space="0" w:color="BBBCBD"/>
      </w:tblBorders>
    </w:tblPr>
    <w:tblStylePr w:type="firstRow">
      <w:rPr>
        <w:b/>
        <w:bCs/>
      </w:rPr>
      <w:tblPr/>
      <w:tcPr>
        <w:tcBorders>
          <w:bottom w:val="single" w:sz="12" w:space="0" w:color="9A9B9D"/>
        </w:tcBorders>
      </w:tcPr>
    </w:tblStylePr>
    <w:tblStylePr w:type="lastRow">
      <w:rPr>
        <w:b/>
        <w:bCs/>
      </w:rPr>
      <w:tblPr/>
      <w:tcPr>
        <w:tcBorders>
          <w:top w:val="double" w:sz="2" w:space="0" w:color="9A9B9D"/>
        </w:tcBorders>
      </w:tcPr>
    </w:tblStylePr>
    <w:tblStylePr w:type="firstCol">
      <w:rPr>
        <w:b/>
        <w:bCs/>
      </w:rPr>
    </w:tblStylePr>
    <w:tblStylePr w:type="lastCol">
      <w:rPr>
        <w:b/>
        <w:bCs/>
      </w:rPr>
    </w:tblStylePr>
  </w:style>
  <w:style w:type="table" w:customStyle="1" w:styleId="GridTable1Light-Accent11">
    <w:name w:val="Grid Table 1 Light - Accent 11"/>
    <w:basedOn w:val="TableNormal"/>
    <w:next w:val="GridTable1Light-Accent1"/>
    <w:uiPriority w:val="46"/>
    <w:rsid w:val="00F90100"/>
    <w:pPr>
      <w:spacing w:after="0" w:line="240" w:lineRule="auto"/>
      <w:jc w:val="both"/>
    </w:pPr>
    <w:rPr>
      <w:rFonts w:ascii="Arial" w:hAnsi="Arial"/>
      <w:color w:val="58595B"/>
      <w:sz w:val="20"/>
      <w:lang w:val="nl-BE"/>
    </w:rPr>
    <w:tblPr>
      <w:tblStyleRowBandSize w:val="1"/>
      <w:tblStyleColBandSize w:val="1"/>
      <w:tblBorders>
        <w:top w:val="single" w:sz="4" w:space="0" w:color="A9E3A7"/>
        <w:left w:val="single" w:sz="4" w:space="0" w:color="A9E3A7"/>
        <w:bottom w:val="single" w:sz="4" w:space="0" w:color="A9E3A7"/>
        <w:right w:val="single" w:sz="4" w:space="0" w:color="A9E3A7"/>
        <w:insideH w:val="single" w:sz="4" w:space="0" w:color="A9E3A7"/>
        <w:insideV w:val="single" w:sz="4" w:space="0" w:color="A9E3A7"/>
      </w:tblBorders>
    </w:tblPr>
    <w:tblStylePr w:type="firstRow">
      <w:rPr>
        <w:b/>
        <w:bCs/>
      </w:rPr>
      <w:tblPr/>
      <w:tcPr>
        <w:tcBorders>
          <w:bottom w:val="single" w:sz="12" w:space="0" w:color="7FD67B"/>
        </w:tcBorders>
      </w:tcPr>
    </w:tblStylePr>
    <w:tblStylePr w:type="lastRow">
      <w:rPr>
        <w:b/>
        <w:bCs/>
      </w:rPr>
      <w:tblPr/>
      <w:tcPr>
        <w:tcBorders>
          <w:top w:val="double" w:sz="2" w:space="0" w:color="7FD67B"/>
        </w:tcBorders>
      </w:tcPr>
    </w:tblStylePr>
    <w:tblStylePr w:type="firstCol">
      <w:rPr>
        <w:b/>
        <w:bCs/>
      </w:rPr>
    </w:tblStylePr>
    <w:tblStylePr w:type="lastCol">
      <w:rPr>
        <w:b/>
        <w:bCs/>
      </w:rPr>
    </w:tblStylePr>
  </w:style>
  <w:style w:type="table" w:customStyle="1" w:styleId="GridTable1Light-Accent21">
    <w:name w:val="Grid Table 1 Light - Accent 21"/>
    <w:basedOn w:val="TableNormal"/>
    <w:next w:val="GridTable1Light-Accent2"/>
    <w:uiPriority w:val="46"/>
    <w:rsid w:val="00F90100"/>
    <w:pPr>
      <w:spacing w:after="0" w:line="240" w:lineRule="auto"/>
      <w:jc w:val="both"/>
    </w:pPr>
    <w:rPr>
      <w:rFonts w:ascii="Arial" w:hAnsi="Arial"/>
      <w:color w:val="58595B"/>
      <w:sz w:val="20"/>
      <w:lang w:val="nl-BE"/>
    </w:rPr>
    <w:tblPr>
      <w:tblStyleRowBandSize w:val="1"/>
      <w:tblStyleColBandSize w:val="1"/>
      <w:tblBorders>
        <w:top w:val="single" w:sz="4" w:space="0" w:color="5BFFAD"/>
        <w:left w:val="single" w:sz="4" w:space="0" w:color="5BFFAD"/>
        <w:bottom w:val="single" w:sz="4" w:space="0" w:color="5BFFAD"/>
        <w:right w:val="single" w:sz="4" w:space="0" w:color="5BFFAD"/>
        <w:insideH w:val="single" w:sz="4" w:space="0" w:color="5BFFAD"/>
        <w:insideV w:val="single" w:sz="4" w:space="0" w:color="5BFFAD"/>
      </w:tblBorders>
    </w:tblPr>
    <w:tblStylePr w:type="firstRow">
      <w:rPr>
        <w:b/>
        <w:bCs/>
      </w:rPr>
      <w:tblPr/>
      <w:tcPr>
        <w:tcBorders>
          <w:bottom w:val="single" w:sz="12" w:space="0" w:color="0AFF84"/>
        </w:tcBorders>
      </w:tcPr>
    </w:tblStylePr>
    <w:tblStylePr w:type="lastRow">
      <w:rPr>
        <w:b/>
        <w:bCs/>
      </w:rPr>
      <w:tblPr/>
      <w:tcPr>
        <w:tcBorders>
          <w:top w:val="double" w:sz="2" w:space="0" w:color="0AFF84"/>
        </w:tcBorders>
      </w:tcPr>
    </w:tblStylePr>
    <w:tblStylePr w:type="firstCol">
      <w:rPr>
        <w:b/>
        <w:bCs/>
      </w:rPr>
    </w:tblStylePr>
    <w:tblStylePr w:type="lastCol">
      <w:rPr>
        <w:b/>
        <w:bCs/>
      </w:rPr>
    </w:tblStylePr>
  </w:style>
  <w:style w:type="table" w:customStyle="1" w:styleId="GridTable1Light-Accent31">
    <w:name w:val="Grid Table 1 Light - Accent 31"/>
    <w:basedOn w:val="TableNormal"/>
    <w:next w:val="GridTable1Light-Accent3"/>
    <w:uiPriority w:val="46"/>
    <w:rsid w:val="00F90100"/>
    <w:pPr>
      <w:spacing w:after="0" w:line="240" w:lineRule="auto"/>
      <w:jc w:val="both"/>
    </w:pPr>
    <w:rPr>
      <w:rFonts w:ascii="Arial" w:hAnsi="Arial"/>
      <w:color w:val="58595B"/>
      <w:sz w:val="20"/>
      <w:lang w:val="nl-BE"/>
    </w:rPr>
    <w:tblPr>
      <w:tblStyleRowBandSize w:val="1"/>
      <w:tblStyleColBandSize w:val="1"/>
      <w:tblBorders>
        <w:top w:val="single" w:sz="4" w:space="0" w:color="F3FF85"/>
        <w:left w:val="single" w:sz="4" w:space="0" w:color="F3FF85"/>
        <w:bottom w:val="single" w:sz="4" w:space="0" w:color="F3FF85"/>
        <w:right w:val="single" w:sz="4" w:space="0" w:color="F3FF85"/>
        <w:insideH w:val="single" w:sz="4" w:space="0" w:color="F3FF85"/>
        <w:insideV w:val="single" w:sz="4" w:space="0" w:color="F3FF85"/>
      </w:tblBorders>
    </w:tblPr>
    <w:tblStylePr w:type="firstRow">
      <w:rPr>
        <w:b/>
        <w:bCs/>
      </w:rPr>
      <w:tblPr/>
      <w:tcPr>
        <w:tcBorders>
          <w:bottom w:val="single" w:sz="12" w:space="0" w:color="EDFF49"/>
        </w:tcBorders>
      </w:tcPr>
    </w:tblStylePr>
    <w:tblStylePr w:type="lastRow">
      <w:rPr>
        <w:b/>
        <w:bCs/>
      </w:rPr>
      <w:tblPr/>
      <w:tcPr>
        <w:tcBorders>
          <w:top w:val="double" w:sz="2" w:space="0" w:color="EDFF49"/>
        </w:tcBorders>
      </w:tcPr>
    </w:tblStylePr>
    <w:tblStylePr w:type="firstCol">
      <w:rPr>
        <w:b/>
        <w:bCs/>
      </w:rPr>
    </w:tblStylePr>
    <w:tblStylePr w:type="lastCol">
      <w:rPr>
        <w:b/>
        <w:bCs/>
      </w:rPr>
    </w:tblStylePr>
  </w:style>
  <w:style w:type="table" w:customStyle="1" w:styleId="GridTable1Light-Accent41">
    <w:name w:val="Grid Table 1 Light - Accent 41"/>
    <w:basedOn w:val="TableNormal"/>
    <w:next w:val="GridTable1Light-Accent4"/>
    <w:uiPriority w:val="46"/>
    <w:rsid w:val="00F90100"/>
    <w:pPr>
      <w:spacing w:after="0" w:line="240" w:lineRule="auto"/>
      <w:jc w:val="both"/>
    </w:pPr>
    <w:rPr>
      <w:rFonts w:ascii="Arial" w:hAnsi="Arial"/>
      <w:color w:val="58595B"/>
      <w:sz w:val="20"/>
      <w:lang w:val="nl-BE"/>
    </w:rPr>
    <w:tblPr>
      <w:tblStyleRowBandSize w:val="1"/>
      <w:tblStyleColBandSize w:val="1"/>
      <w:tblBorders>
        <w:top w:val="single" w:sz="4" w:space="0" w:color="FFEF97"/>
        <w:left w:val="single" w:sz="4" w:space="0" w:color="FFEF97"/>
        <w:bottom w:val="single" w:sz="4" w:space="0" w:color="FFEF97"/>
        <w:right w:val="single" w:sz="4" w:space="0" w:color="FFEF97"/>
        <w:insideH w:val="single" w:sz="4" w:space="0" w:color="FFEF97"/>
        <w:insideV w:val="single" w:sz="4" w:space="0" w:color="FFEF97"/>
      </w:tblBorders>
    </w:tblPr>
    <w:tblStylePr w:type="firstRow">
      <w:rPr>
        <w:b/>
        <w:bCs/>
      </w:rPr>
      <w:tblPr/>
      <w:tcPr>
        <w:tcBorders>
          <w:bottom w:val="single" w:sz="12" w:space="0" w:color="FFE763"/>
        </w:tcBorders>
      </w:tcPr>
    </w:tblStylePr>
    <w:tblStylePr w:type="lastRow">
      <w:rPr>
        <w:b/>
        <w:bCs/>
      </w:rPr>
      <w:tblPr/>
      <w:tcPr>
        <w:tcBorders>
          <w:top w:val="double" w:sz="2" w:space="0" w:color="FFE763"/>
        </w:tcBorders>
      </w:tcPr>
    </w:tblStylePr>
    <w:tblStylePr w:type="firstCol">
      <w:rPr>
        <w:b/>
        <w:bCs/>
      </w:rPr>
    </w:tblStylePr>
    <w:tblStylePr w:type="lastCol">
      <w:rPr>
        <w:b/>
        <w:bCs/>
      </w:rPr>
    </w:tblStylePr>
  </w:style>
  <w:style w:type="table" w:customStyle="1" w:styleId="GridTable1Light-Accent51">
    <w:name w:val="Grid Table 1 Light - Accent 51"/>
    <w:basedOn w:val="TableNormal"/>
    <w:next w:val="GridTable1Light-Accent5"/>
    <w:uiPriority w:val="46"/>
    <w:rsid w:val="00F90100"/>
    <w:pPr>
      <w:spacing w:after="0" w:line="240" w:lineRule="auto"/>
      <w:jc w:val="both"/>
    </w:pPr>
    <w:rPr>
      <w:rFonts w:ascii="Arial" w:hAnsi="Arial"/>
      <w:color w:val="58595B"/>
      <w:sz w:val="20"/>
      <w:lang w:val="nl-BE"/>
    </w:rPr>
    <w:tblPr>
      <w:tblStyleRowBandSize w:val="1"/>
      <w:tblStyleColBandSize w:val="1"/>
      <w:tblBorders>
        <w:top w:val="single" w:sz="4" w:space="0" w:color="FFD993"/>
        <w:left w:val="single" w:sz="4" w:space="0" w:color="FFD993"/>
        <w:bottom w:val="single" w:sz="4" w:space="0" w:color="FFD993"/>
        <w:right w:val="single" w:sz="4" w:space="0" w:color="FFD993"/>
        <w:insideH w:val="single" w:sz="4" w:space="0" w:color="FFD993"/>
        <w:insideV w:val="single" w:sz="4" w:space="0" w:color="FFD993"/>
      </w:tblBorders>
    </w:tblPr>
    <w:tblStylePr w:type="firstRow">
      <w:rPr>
        <w:b/>
        <w:bCs/>
      </w:rPr>
      <w:tblPr/>
      <w:tcPr>
        <w:tcBorders>
          <w:bottom w:val="single" w:sz="12" w:space="0" w:color="FFC65E"/>
        </w:tcBorders>
      </w:tcPr>
    </w:tblStylePr>
    <w:tblStylePr w:type="lastRow">
      <w:rPr>
        <w:b/>
        <w:bCs/>
      </w:rPr>
      <w:tblPr/>
      <w:tcPr>
        <w:tcBorders>
          <w:top w:val="double" w:sz="2" w:space="0" w:color="FFC65E"/>
        </w:tcBorders>
      </w:tcPr>
    </w:tblStylePr>
    <w:tblStylePr w:type="firstCol">
      <w:rPr>
        <w:b/>
        <w:bCs/>
      </w:rPr>
    </w:tblStylePr>
    <w:tblStylePr w:type="lastCol">
      <w:rPr>
        <w:b/>
        <w:bCs/>
      </w:rPr>
    </w:tblStylePr>
  </w:style>
  <w:style w:type="table" w:customStyle="1" w:styleId="GridTable1Light-Accent61">
    <w:name w:val="Grid Table 1 Light - Accent 61"/>
    <w:basedOn w:val="TableNormal"/>
    <w:next w:val="GridTable1Light-Accent6"/>
    <w:uiPriority w:val="46"/>
    <w:rsid w:val="00F90100"/>
    <w:pPr>
      <w:spacing w:after="0" w:line="240" w:lineRule="auto"/>
      <w:jc w:val="both"/>
    </w:pPr>
    <w:rPr>
      <w:rFonts w:ascii="Arial" w:hAnsi="Arial"/>
      <w:color w:val="58595B"/>
      <w:sz w:val="20"/>
      <w:lang w:val="nl-BE"/>
    </w:rPr>
    <w:tblPr>
      <w:tblStyleRowBandSize w:val="1"/>
      <w:tblStyleColBandSize w:val="1"/>
      <w:tblBorders>
        <w:top w:val="single" w:sz="4" w:space="0" w:color="F2B599"/>
        <w:left w:val="single" w:sz="4" w:space="0" w:color="F2B599"/>
        <w:bottom w:val="single" w:sz="4" w:space="0" w:color="F2B599"/>
        <w:right w:val="single" w:sz="4" w:space="0" w:color="F2B599"/>
        <w:insideH w:val="single" w:sz="4" w:space="0" w:color="F2B599"/>
        <w:insideV w:val="single" w:sz="4" w:space="0" w:color="F2B599"/>
      </w:tblBorders>
    </w:tblPr>
    <w:tblStylePr w:type="firstRow">
      <w:rPr>
        <w:b/>
        <w:bCs/>
      </w:rPr>
      <w:tblPr/>
      <w:tcPr>
        <w:tcBorders>
          <w:bottom w:val="single" w:sz="12" w:space="0" w:color="EC9067"/>
        </w:tcBorders>
      </w:tcPr>
    </w:tblStylePr>
    <w:tblStylePr w:type="lastRow">
      <w:rPr>
        <w:b/>
        <w:bCs/>
      </w:rPr>
      <w:tblPr/>
      <w:tcPr>
        <w:tcBorders>
          <w:top w:val="double" w:sz="2" w:space="0" w:color="EC9067"/>
        </w:tcBorders>
      </w:tcPr>
    </w:tblStylePr>
    <w:tblStylePr w:type="firstCol">
      <w:rPr>
        <w:b/>
        <w:bCs/>
      </w:rPr>
    </w:tblStylePr>
    <w:tblStylePr w:type="lastCol">
      <w:rPr>
        <w:b/>
        <w:bCs/>
      </w:rPr>
    </w:tblStylePr>
  </w:style>
  <w:style w:type="table" w:customStyle="1" w:styleId="GridTable21">
    <w:name w:val="Grid Table 21"/>
    <w:basedOn w:val="TableNormal"/>
    <w:next w:val="GridTable2"/>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2" w:space="0" w:color="9A9B9D"/>
        <w:bottom w:val="single" w:sz="2" w:space="0" w:color="9A9B9D"/>
        <w:insideH w:val="single" w:sz="2" w:space="0" w:color="9A9B9D"/>
        <w:insideV w:val="single" w:sz="2" w:space="0" w:color="9A9B9D"/>
      </w:tblBorders>
    </w:tblPr>
    <w:tblStylePr w:type="firstRow">
      <w:rPr>
        <w:b/>
        <w:bCs/>
      </w:rPr>
      <w:tblPr/>
      <w:tcPr>
        <w:tcBorders>
          <w:top w:val="nil"/>
          <w:bottom w:val="single" w:sz="12" w:space="0" w:color="9A9B9D"/>
          <w:insideH w:val="nil"/>
          <w:insideV w:val="nil"/>
        </w:tcBorders>
        <w:shd w:val="clear" w:color="auto" w:fill="A5A5A5"/>
      </w:tcPr>
    </w:tblStylePr>
    <w:tblStylePr w:type="lastRow">
      <w:rPr>
        <w:b/>
        <w:bCs/>
      </w:rPr>
      <w:tblPr/>
      <w:tcPr>
        <w:tcBorders>
          <w:top w:val="double" w:sz="2" w:space="0" w:color="9A9B9D"/>
          <w:bottom w:val="nil"/>
          <w:insideH w:val="nil"/>
          <w:insideV w:val="nil"/>
        </w:tcBorders>
        <w:shd w:val="clear" w:color="auto" w:fill="A5A5A5"/>
      </w:tcPr>
    </w:tblStylePr>
    <w:tblStylePr w:type="firstCol">
      <w:rPr>
        <w:b/>
        <w:bCs/>
      </w:rPr>
    </w:tblStylePr>
    <w:tblStylePr w:type="lastCol">
      <w:rPr>
        <w:b/>
        <w:bCs/>
      </w:rPr>
    </w:tblStylePr>
    <w:tblStylePr w:type="band1Vert">
      <w:tblPr/>
      <w:tcPr>
        <w:shd w:val="clear" w:color="auto" w:fill="DDDDDE"/>
      </w:tcPr>
    </w:tblStylePr>
    <w:tblStylePr w:type="band1Horz">
      <w:tblPr/>
      <w:tcPr>
        <w:shd w:val="clear" w:color="auto" w:fill="DDDDDE"/>
      </w:tcPr>
    </w:tblStylePr>
  </w:style>
  <w:style w:type="table" w:customStyle="1" w:styleId="GridTable2-Accent11">
    <w:name w:val="Grid Table 2 - Accent 11"/>
    <w:basedOn w:val="TableNormal"/>
    <w:next w:val="GridTable2-Accent1"/>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2" w:space="0" w:color="7FD67B"/>
        <w:bottom w:val="single" w:sz="2" w:space="0" w:color="7FD67B"/>
        <w:insideH w:val="single" w:sz="2" w:space="0" w:color="7FD67B"/>
        <w:insideV w:val="single" w:sz="2" w:space="0" w:color="7FD67B"/>
      </w:tblBorders>
    </w:tblPr>
    <w:tblStylePr w:type="firstRow">
      <w:rPr>
        <w:b/>
        <w:bCs/>
      </w:rPr>
      <w:tblPr/>
      <w:tcPr>
        <w:tcBorders>
          <w:top w:val="nil"/>
          <w:bottom w:val="single" w:sz="12" w:space="0" w:color="7FD67B"/>
          <w:insideH w:val="nil"/>
          <w:insideV w:val="nil"/>
        </w:tcBorders>
        <w:shd w:val="clear" w:color="auto" w:fill="A5A5A5"/>
      </w:tcPr>
    </w:tblStylePr>
    <w:tblStylePr w:type="lastRow">
      <w:rPr>
        <w:b/>
        <w:bCs/>
      </w:rPr>
      <w:tblPr/>
      <w:tcPr>
        <w:tcBorders>
          <w:top w:val="double" w:sz="2" w:space="0" w:color="7FD67B"/>
          <w:bottom w:val="nil"/>
          <w:insideH w:val="nil"/>
          <w:insideV w:val="nil"/>
        </w:tcBorders>
        <w:shd w:val="clear" w:color="auto" w:fill="A5A5A5"/>
      </w:tcPr>
    </w:tblStylePr>
    <w:tblStylePr w:type="firstCol">
      <w:rPr>
        <w:b/>
        <w:bCs/>
      </w:rPr>
    </w:tblStylePr>
    <w:tblStylePr w:type="lastCol">
      <w:rPr>
        <w:b/>
        <w:bCs/>
      </w:rPr>
    </w:tblStylePr>
    <w:tblStylePr w:type="band1Vert">
      <w:tblPr/>
      <w:tcPr>
        <w:shd w:val="clear" w:color="auto" w:fill="D4F1D3"/>
      </w:tcPr>
    </w:tblStylePr>
    <w:tblStylePr w:type="band1Horz">
      <w:tblPr/>
      <w:tcPr>
        <w:shd w:val="clear" w:color="auto" w:fill="D4F1D3"/>
      </w:tcPr>
    </w:tblStylePr>
  </w:style>
  <w:style w:type="table" w:customStyle="1" w:styleId="GridTable2-Accent21">
    <w:name w:val="Grid Table 2 - Accent 21"/>
    <w:basedOn w:val="TableNormal"/>
    <w:next w:val="GridTable2-Accent2"/>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2" w:space="0" w:color="0AFF84"/>
        <w:bottom w:val="single" w:sz="2" w:space="0" w:color="0AFF84"/>
        <w:insideH w:val="single" w:sz="2" w:space="0" w:color="0AFF84"/>
        <w:insideV w:val="single" w:sz="2" w:space="0" w:color="0AFF84"/>
      </w:tblBorders>
    </w:tblPr>
    <w:tblStylePr w:type="firstRow">
      <w:rPr>
        <w:b/>
        <w:bCs/>
      </w:rPr>
      <w:tblPr/>
      <w:tcPr>
        <w:tcBorders>
          <w:top w:val="nil"/>
          <w:bottom w:val="single" w:sz="12" w:space="0" w:color="0AFF84"/>
          <w:insideH w:val="nil"/>
          <w:insideV w:val="nil"/>
        </w:tcBorders>
        <w:shd w:val="clear" w:color="auto" w:fill="A5A5A5"/>
      </w:tcPr>
    </w:tblStylePr>
    <w:tblStylePr w:type="lastRow">
      <w:rPr>
        <w:b/>
        <w:bCs/>
      </w:rPr>
      <w:tblPr/>
      <w:tcPr>
        <w:tcBorders>
          <w:top w:val="double" w:sz="2" w:space="0" w:color="0AFF84"/>
          <w:bottom w:val="nil"/>
          <w:insideH w:val="nil"/>
          <w:insideV w:val="nil"/>
        </w:tcBorders>
        <w:shd w:val="clear" w:color="auto" w:fill="A5A5A5"/>
      </w:tcPr>
    </w:tblStylePr>
    <w:tblStylePr w:type="firstCol">
      <w:rPr>
        <w:b/>
        <w:bCs/>
      </w:rPr>
    </w:tblStylePr>
    <w:tblStylePr w:type="lastCol">
      <w:rPr>
        <w:b/>
        <w:bCs/>
      </w:rPr>
    </w:tblStylePr>
    <w:tblStylePr w:type="band1Vert">
      <w:tblPr/>
      <w:tcPr>
        <w:shd w:val="clear" w:color="auto" w:fill="ADFFD6"/>
      </w:tcPr>
    </w:tblStylePr>
    <w:tblStylePr w:type="band1Horz">
      <w:tblPr/>
      <w:tcPr>
        <w:shd w:val="clear" w:color="auto" w:fill="ADFFD6"/>
      </w:tcPr>
    </w:tblStylePr>
  </w:style>
  <w:style w:type="table" w:customStyle="1" w:styleId="GridTable2-Accent31">
    <w:name w:val="Grid Table 2 - Accent 31"/>
    <w:basedOn w:val="TableNormal"/>
    <w:next w:val="GridTable2-Accent3"/>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2" w:space="0" w:color="EDFF49"/>
        <w:bottom w:val="single" w:sz="2" w:space="0" w:color="EDFF49"/>
        <w:insideH w:val="single" w:sz="2" w:space="0" w:color="EDFF49"/>
        <w:insideV w:val="single" w:sz="2" w:space="0" w:color="EDFF49"/>
      </w:tblBorders>
    </w:tblPr>
    <w:tblStylePr w:type="firstRow">
      <w:rPr>
        <w:b/>
        <w:bCs/>
      </w:rPr>
      <w:tblPr/>
      <w:tcPr>
        <w:tcBorders>
          <w:top w:val="nil"/>
          <w:bottom w:val="single" w:sz="12" w:space="0" w:color="EDFF49"/>
          <w:insideH w:val="nil"/>
          <w:insideV w:val="nil"/>
        </w:tcBorders>
        <w:shd w:val="clear" w:color="auto" w:fill="A5A5A5"/>
      </w:tcPr>
    </w:tblStylePr>
    <w:tblStylePr w:type="lastRow">
      <w:rPr>
        <w:b/>
        <w:bCs/>
      </w:rPr>
      <w:tblPr/>
      <w:tcPr>
        <w:tcBorders>
          <w:top w:val="double" w:sz="2" w:space="0" w:color="EDFF49"/>
          <w:bottom w:val="nil"/>
          <w:insideH w:val="nil"/>
          <w:insideV w:val="nil"/>
        </w:tcBorders>
        <w:shd w:val="clear" w:color="auto" w:fill="A5A5A5"/>
      </w:tcPr>
    </w:tblStylePr>
    <w:tblStylePr w:type="firstCol">
      <w:rPr>
        <w:b/>
        <w:bCs/>
      </w:rPr>
    </w:tblStylePr>
    <w:tblStylePr w:type="lastCol">
      <w:rPr>
        <w:b/>
        <w:bCs/>
      </w:rPr>
    </w:tblStylePr>
    <w:tblStylePr w:type="band1Vert">
      <w:tblPr/>
      <w:tcPr>
        <w:shd w:val="clear" w:color="auto" w:fill="F9FFC2"/>
      </w:tcPr>
    </w:tblStylePr>
    <w:tblStylePr w:type="band1Horz">
      <w:tblPr/>
      <w:tcPr>
        <w:shd w:val="clear" w:color="auto" w:fill="F9FFC2"/>
      </w:tcPr>
    </w:tblStylePr>
  </w:style>
  <w:style w:type="table" w:customStyle="1" w:styleId="GridTable2-Accent41">
    <w:name w:val="Grid Table 2 - Accent 41"/>
    <w:basedOn w:val="TableNormal"/>
    <w:next w:val="GridTable2-Accent4"/>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2" w:space="0" w:color="FFE763"/>
        <w:bottom w:val="single" w:sz="2" w:space="0" w:color="FFE763"/>
        <w:insideH w:val="single" w:sz="2" w:space="0" w:color="FFE763"/>
        <w:insideV w:val="single" w:sz="2" w:space="0" w:color="FFE763"/>
      </w:tblBorders>
    </w:tblPr>
    <w:tblStylePr w:type="firstRow">
      <w:rPr>
        <w:b/>
        <w:bCs/>
      </w:rPr>
      <w:tblPr/>
      <w:tcPr>
        <w:tcBorders>
          <w:top w:val="nil"/>
          <w:bottom w:val="single" w:sz="12" w:space="0" w:color="FFE763"/>
          <w:insideH w:val="nil"/>
          <w:insideV w:val="nil"/>
        </w:tcBorders>
        <w:shd w:val="clear" w:color="auto" w:fill="A5A5A5"/>
      </w:tcPr>
    </w:tblStylePr>
    <w:tblStylePr w:type="lastRow">
      <w:rPr>
        <w:b/>
        <w:bCs/>
      </w:rPr>
      <w:tblPr/>
      <w:tcPr>
        <w:tcBorders>
          <w:top w:val="double" w:sz="2" w:space="0" w:color="FFE763"/>
          <w:bottom w:val="nil"/>
          <w:insideH w:val="nil"/>
          <w:insideV w:val="nil"/>
        </w:tcBorders>
        <w:shd w:val="clear" w:color="auto" w:fill="A5A5A5"/>
      </w:tcPr>
    </w:tblStylePr>
    <w:tblStylePr w:type="firstCol">
      <w:rPr>
        <w:b/>
        <w:bCs/>
      </w:rPr>
    </w:tblStylePr>
    <w:tblStylePr w:type="lastCol">
      <w:rPr>
        <w:b/>
        <w:bCs/>
      </w:rPr>
    </w:tblStylePr>
    <w:tblStylePr w:type="band1Vert">
      <w:tblPr/>
      <w:tcPr>
        <w:shd w:val="clear" w:color="auto" w:fill="FFF7CB"/>
      </w:tcPr>
    </w:tblStylePr>
    <w:tblStylePr w:type="band1Horz">
      <w:tblPr/>
      <w:tcPr>
        <w:shd w:val="clear" w:color="auto" w:fill="FFF7CB"/>
      </w:tcPr>
    </w:tblStylePr>
  </w:style>
  <w:style w:type="table" w:customStyle="1" w:styleId="GridTable2-Accent51">
    <w:name w:val="Grid Table 2 - Accent 51"/>
    <w:basedOn w:val="TableNormal"/>
    <w:next w:val="GridTable2-Accent5"/>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2" w:space="0" w:color="FFC65E"/>
        <w:bottom w:val="single" w:sz="2" w:space="0" w:color="FFC65E"/>
        <w:insideH w:val="single" w:sz="2" w:space="0" w:color="FFC65E"/>
        <w:insideV w:val="single" w:sz="2" w:space="0" w:color="FFC65E"/>
      </w:tblBorders>
    </w:tblPr>
    <w:tblStylePr w:type="firstRow">
      <w:rPr>
        <w:b/>
        <w:bCs/>
      </w:rPr>
      <w:tblPr/>
      <w:tcPr>
        <w:tcBorders>
          <w:top w:val="nil"/>
          <w:bottom w:val="single" w:sz="12" w:space="0" w:color="FFC65E"/>
          <w:insideH w:val="nil"/>
          <w:insideV w:val="nil"/>
        </w:tcBorders>
        <w:shd w:val="clear" w:color="auto" w:fill="A5A5A5"/>
      </w:tcPr>
    </w:tblStylePr>
    <w:tblStylePr w:type="lastRow">
      <w:rPr>
        <w:b/>
        <w:bCs/>
      </w:rPr>
      <w:tblPr/>
      <w:tcPr>
        <w:tcBorders>
          <w:top w:val="double" w:sz="2" w:space="0" w:color="FFC65E"/>
          <w:bottom w:val="nil"/>
          <w:insideH w:val="nil"/>
          <w:insideV w:val="nil"/>
        </w:tcBorders>
        <w:shd w:val="clear" w:color="auto" w:fill="A5A5A5"/>
      </w:tcPr>
    </w:tblStylePr>
    <w:tblStylePr w:type="firstCol">
      <w:rPr>
        <w:b/>
        <w:bCs/>
      </w:rPr>
    </w:tblStylePr>
    <w:tblStylePr w:type="lastCol">
      <w:rPr>
        <w:b/>
        <w:bCs/>
      </w:rPr>
    </w:tblStylePr>
    <w:tblStylePr w:type="band1Vert">
      <w:tblPr/>
      <w:tcPr>
        <w:shd w:val="clear" w:color="auto" w:fill="FFECC9"/>
      </w:tcPr>
    </w:tblStylePr>
    <w:tblStylePr w:type="band1Horz">
      <w:tblPr/>
      <w:tcPr>
        <w:shd w:val="clear" w:color="auto" w:fill="FFECC9"/>
      </w:tcPr>
    </w:tblStylePr>
  </w:style>
  <w:style w:type="table" w:customStyle="1" w:styleId="GridTable2-Accent61">
    <w:name w:val="Grid Table 2 - Accent 61"/>
    <w:basedOn w:val="TableNormal"/>
    <w:next w:val="GridTable2-Accent6"/>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2" w:space="0" w:color="EC9067"/>
        <w:bottom w:val="single" w:sz="2" w:space="0" w:color="EC9067"/>
        <w:insideH w:val="single" w:sz="2" w:space="0" w:color="EC9067"/>
        <w:insideV w:val="single" w:sz="2" w:space="0" w:color="EC9067"/>
      </w:tblBorders>
    </w:tblPr>
    <w:tblStylePr w:type="firstRow">
      <w:rPr>
        <w:b/>
        <w:bCs/>
      </w:rPr>
      <w:tblPr/>
      <w:tcPr>
        <w:tcBorders>
          <w:top w:val="nil"/>
          <w:bottom w:val="single" w:sz="12" w:space="0" w:color="EC9067"/>
          <w:insideH w:val="nil"/>
          <w:insideV w:val="nil"/>
        </w:tcBorders>
        <w:shd w:val="clear" w:color="auto" w:fill="A5A5A5"/>
      </w:tcPr>
    </w:tblStylePr>
    <w:tblStylePr w:type="lastRow">
      <w:rPr>
        <w:b/>
        <w:bCs/>
      </w:rPr>
      <w:tblPr/>
      <w:tcPr>
        <w:tcBorders>
          <w:top w:val="double" w:sz="2" w:space="0" w:color="EC9067"/>
          <w:bottom w:val="nil"/>
          <w:insideH w:val="nil"/>
          <w:insideV w:val="nil"/>
        </w:tcBorders>
        <w:shd w:val="clear" w:color="auto" w:fill="A5A5A5"/>
      </w:tcPr>
    </w:tblStylePr>
    <w:tblStylePr w:type="firstCol">
      <w:rPr>
        <w:b/>
        <w:bCs/>
      </w:rPr>
    </w:tblStylePr>
    <w:tblStylePr w:type="lastCol">
      <w:rPr>
        <w:b/>
        <w:bCs/>
      </w:rPr>
    </w:tblStylePr>
    <w:tblStylePr w:type="band1Vert">
      <w:tblPr/>
      <w:tcPr>
        <w:shd w:val="clear" w:color="auto" w:fill="F8DACC"/>
      </w:tcPr>
    </w:tblStylePr>
    <w:tblStylePr w:type="band1Horz">
      <w:tblPr/>
      <w:tcPr>
        <w:shd w:val="clear" w:color="auto" w:fill="F8DACC"/>
      </w:tcPr>
    </w:tblStylePr>
  </w:style>
  <w:style w:type="table" w:customStyle="1" w:styleId="GridTable31">
    <w:name w:val="Grid Table 31"/>
    <w:basedOn w:val="TableNormal"/>
    <w:next w:val="GridTable3"/>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9A9B9D"/>
        <w:left w:val="single" w:sz="4" w:space="0" w:color="9A9B9D"/>
        <w:bottom w:val="single" w:sz="4" w:space="0" w:color="9A9B9D"/>
        <w:right w:val="single" w:sz="4" w:space="0" w:color="9A9B9D"/>
        <w:insideH w:val="single" w:sz="4" w:space="0" w:color="9A9B9D"/>
        <w:insideV w:val="single" w:sz="4" w:space="0" w:color="9A9B9D"/>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DDDDDE"/>
      </w:tcPr>
    </w:tblStylePr>
    <w:tblStylePr w:type="band1Horz">
      <w:tblPr/>
      <w:tcPr>
        <w:shd w:val="clear" w:color="auto" w:fill="DDDDDE"/>
      </w:tcPr>
    </w:tblStylePr>
    <w:tblStylePr w:type="neCell">
      <w:tblPr/>
      <w:tcPr>
        <w:tcBorders>
          <w:bottom w:val="single" w:sz="4" w:space="0" w:color="9A9B9D"/>
        </w:tcBorders>
      </w:tcPr>
    </w:tblStylePr>
    <w:tblStylePr w:type="nwCell">
      <w:tblPr/>
      <w:tcPr>
        <w:tcBorders>
          <w:bottom w:val="single" w:sz="4" w:space="0" w:color="9A9B9D"/>
        </w:tcBorders>
      </w:tcPr>
    </w:tblStylePr>
    <w:tblStylePr w:type="seCell">
      <w:tblPr/>
      <w:tcPr>
        <w:tcBorders>
          <w:top w:val="single" w:sz="4" w:space="0" w:color="9A9B9D"/>
        </w:tcBorders>
      </w:tcPr>
    </w:tblStylePr>
    <w:tblStylePr w:type="swCell">
      <w:tblPr/>
      <w:tcPr>
        <w:tcBorders>
          <w:top w:val="single" w:sz="4" w:space="0" w:color="9A9B9D"/>
        </w:tcBorders>
      </w:tcPr>
    </w:tblStylePr>
  </w:style>
  <w:style w:type="table" w:customStyle="1" w:styleId="GridTable3-Accent11">
    <w:name w:val="Grid Table 3 - Accent 11"/>
    <w:basedOn w:val="TableNormal"/>
    <w:next w:val="GridTable3-Accent1"/>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7FD67B"/>
        <w:left w:val="single" w:sz="4" w:space="0" w:color="7FD67B"/>
        <w:bottom w:val="single" w:sz="4" w:space="0" w:color="7FD67B"/>
        <w:right w:val="single" w:sz="4" w:space="0" w:color="7FD67B"/>
        <w:insideH w:val="single" w:sz="4" w:space="0" w:color="7FD67B"/>
        <w:insideV w:val="single" w:sz="4" w:space="0" w:color="7FD67B"/>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D4F1D3"/>
      </w:tcPr>
    </w:tblStylePr>
    <w:tblStylePr w:type="band1Horz">
      <w:tblPr/>
      <w:tcPr>
        <w:shd w:val="clear" w:color="auto" w:fill="D4F1D3"/>
      </w:tcPr>
    </w:tblStylePr>
    <w:tblStylePr w:type="neCell">
      <w:tblPr/>
      <w:tcPr>
        <w:tcBorders>
          <w:bottom w:val="single" w:sz="4" w:space="0" w:color="7FD67B"/>
        </w:tcBorders>
      </w:tcPr>
    </w:tblStylePr>
    <w:tblStylePr w:type="nwCell">
      <w:tblPr/>
      <w:tcPr>
        <w:tcBorders>
          <w:bottom w:val="single" w:sz="4" w:space="0" w:color="7FD67B"/>
        </w:tcBorders>
      </w:tcPr>
    </w:tblStylePr>
    <w:tblStylePr w:type="seCell">
      <w:tblPr/>
      <w:tcPr>
        <w:tcBorders>
          <w:top w:val="single" w:sz="4" w:space="0" w:color="7FD67B"/>
        </w:tcBorders>
      </w:tcPr>
    </w:tblStylePr>
    <w:tblStylePr w:type="swCell">
      <w:tblPr/>
      <w:tcPr>
        <w:tcBorders>
          <w:top w:val="single" w:sz="4" w:space="0" w:color="7FD67B"/>
        </w:tcBorders>
      </w:tcPr>
    </w:tblStylePr>
  </w:style>
  <w:style w:type="table" w:customStyle="1" w:styleId="GridTable3-Accent21">
    <w:name w:val="Grid Table 3 - Accent 21"/>
    <w:basedOn w:val="TableNormal"/>
    <w:next w:val="GridTable3-Accent2"/>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0AFF84"/>
        <w:left w:val="single" w:sz="4" w:space="0" w:color="0AFF84"/>
        <w:bottom w:val="single" w:sz="4" w:space="0" w:color="0AFF84"/>
        <w:right w:val="single" w:sz="4" w:space="0" w:color="0AFF84"/>
        <w:insideH w:val="single" w:sz="4" w:space="0" w:color="0AFF84"/>
        <w:insideV w:val="single" w:sz="4" w:space="0" w:color="0AFF84"/>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ADFFD6"/>
      </w:tcPr>
    </w:tblStylePr>
    <w:tblStylePr w:type="band1Horz">
      <w:tblPr/>
      <w:tcPr>
        <w:shd w:val="clear" w:color="auto" w:fill="ADFFD6"/>
      </w:tcPr>
    </w:tblStylePr>
    <w:tblStylePr w:type="neCell">
      <w:tblPr/>
      <w:tcPr>
        <w:tcBorders>
          <w:bottom w:val="single" w:sz="4" w:space="0" w:color="0AFF84"/>
        </w:tcBorders>
      </w:tcPr>
    </w:tblStylePr>
    <w:tblStylePr w:type="nwCell">
      <w:tblPr/>
      <w:tcPr>
        <w:tcBorders>
          <w:bottom w:val="single" w:sz="4" w:space="0" w:color="0AFF84"/>
        </w:tcBorders>
      </w:tcPr>
    </w:tblStylePr>
    <w:tblStylePr w:type="seCell">
      <w:tblPr/>
      <w:tcPr>
        <w:tcBorders>
          <w:top w:val="single" w:sz="4" w:space="0" w:color="0AFF84"/>
        </w:tcBorders>
      </w:tcPr>
    </w:tblStylePr>
    <w:tblStylePr w:type="swCell">
      <w:tblPr/>
      <w:tcPr>
        <w:tcBorders>
          <w:top w:val="single" w:sz="4" w:space="0" w:color="0AFF84"/>
        </w:tcBorders>
      </w:tcPr>
    </w:tblStylePr>
  </w:style>
  <w:style w:type="table" w:customStyle="1" w:styleId="GridTable3-Accent31">
    <w:name w:val="Grid Table 3 - Accent 31"/>
    <w:basedOn w:val="TableNormal"/>
    <w:next w:val="GridTable3-Accent3"/>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EDFF49"/>
        <w:left w:val="single" w:sz="4" w:space="0" w:color="EDFF49"/>
        <w:bottom w:val="single" w:sz="4" w:space="0" w:color="EDFF49"/>
        <w:right w:val="single" w:sz="4" w:space="0" w:color="EDFF49"/>
        <w:insideH w:val="single" w:sz="4" w:space="0" w:color="EDFF49"/>
        <w:insideV w:val="single" w:sz="4" w:space="0" w:color="EDFF49"/>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9FFC2"/>
      </w:tcPr>
    </w:tblStylePr>
    <w:tblStylePr w:type="band1Horz">
      <w:tblPr/>
      <w:tcPr>
        <w:shd w:val="clear" w:color="auto" w:fill="F9FFC2"/>
      </w:tcPr>
    </w:tblStylePr>
    <w:tblStylePr w:type="neCell">
      <w:tblPr/>
      <w:tcPr>
        <w:tcBorders>
          <w:bottom w:val="single" w:sz="4" w:space="0" w:color="EDFF49"/>
        </w:tcBorders>
      </w:tcPr>
    </w:tblStylePr>
    <w:tblStylePr w:type="nwCell">
      <w:tblPr/>
      <w:tcPr>
        <w:tcBorders>
          <w:bottom w:val="single" w:sz="4" w:space="0" w:color="EDFF49"/>
        </w:tcBorders>
      </w:tcPr>
    </w:tblStylePr>
    <w:tblStylePr w:type="seCell">
      <w:tblPr/>
      <w:tcPr>
        <w:tcBorders>
          <w:top w:val="single" w:sz="4" w:space="0" w:color="EDFF49"/>
        </w:tcBorders>
      </w:tcPr>
    </w:tblStylePr>
    <w:tblStylePr w:type="swCell">
      <w:tblPr/>
      <w:tcPr>
        <w:tcBorders>
          <w:top w:val="single" w:sz="4" w:space="0" w:color="EDFF49"/>
        </w:tcBorders>
      </w:tcPr>
    </w:tblStylePr>
  </w:style>
  <w:style w:type="table" w:customStyle="1" w:styleId="GridTable3-Accent41">
    <w:name w:val="Grid Table 3 - Accent 41"/>
    <w:basedOn w:val="TableNormal"/>
    <w:next w:val="GridTable3-Accent4"/>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FFE763"/>
        <w:left w:val="single" w:sz="4" w:space="0" w:color="FFE763"/>
        <w:bottom w:val="single" w:sz="4" w:space="0" w:color="FFE763"/>
        <w:right w:val="single" w:sz="4" w:space="0" w:color="FFE763"/>
        <w:insideH w:val="single" w:sz="4" w:space="0" w:color="FFE763"/>
        <w:insideV w:val="single" w:sz="4" w:space="0" w:color="FFE763"/>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FF7CB"/>
      </w:tcPr>
    </w:tblStylePr>
    <w:tblStylePr w:type="band1Horz">
      <w:tblPr/>
      <w:tcPr>
        <w:shd w:val="clear" w:color="auto" w:fill="FFF7CB"/>
      </w:tcPr>
    </w:tblStylePr>
    <w:tblStylePr w:type="neCell">
      <w:tblPr/>
      <w:tcPr>
        <w:tcBorders>
          <w:bottom w:val="single" w:sz="4" w:space="0" w:color="FFE763"/>
        </w:tcBorders>
      </w:tcPr>
    </w:tblStylePr>
    <w:tblStylePr w:type="nwCell">
      <w:tblPr/>
      <w:tcPr>
        <w:tcBorders>
          <w:bottom w:val="single" w:sz="4" w:space="0" w:color="FFE763"/>
        </w:tcBorders>
      </w:tcPr>
    </w:tblStylePr>
    <w:tblStylePr w:type="seCell">
      <w:tblPr/>
      <w:tcPr>
        <w:tcBorders>
          <w:top w:val="single" w:sz="4" w:space="0" w:color="FFE763"/>
        </w:tcBorders>
      </w:tcPr>
    </w:tblStylePr>
    <w:tblStylePr w:type="swCell">
      <w:tblPr/>
      <w:tcPr>
        <w:tcBorders>
          <w:top w:val="single" w:sz="4" w:space="0" w:color="FFE763"/>
        </w:tcBorders>
      </w:tcPr>
    </w:tblStylePr>
  </w:style>
  <w:style w:type="table" w:customStyle="1" w:styleId="GridTable3-Accent51">
    <w:name w:val="Grid Table 3 - Accent 51"/>
    <w:basedOn w:val="TableNormal"/>
    <w:next w:val="GridTable3-Accent5"/>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FFC65E"/>
        <w:left w:val="single" w:sz="4" w:space="0" w:color="FFC65E"/>
        <w:bottom w:val="single" w:sz="4" w:space="0" w:color="FFC65E"/>
        <w:right w:val="single" w:sz="4" w:space="0" w:color="FFC65E"/>
        <w:insideH w:val="single" w:sz="4" w:space="0" w:color="FFC65E"/>
        <w:insideV w:val="single" w:sz="4" w:space="0" w:color="FFC65E"/>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FECC9"/>
      </w:tcPr>
    </w:tblStylePr>
    <w:tblStylePr w:type="band1Horz">
      <w:tblPr/>
      <w:tcPr>
        <w:shd w:val="clear" w:color="auto" w:fill="FFECC9"/>
      </w:tcPr>
    </w:tblStylePr>
    <w:tblStylePr w:type="neCell">
      <w:tblPr/>
      <w:tcPr>
        <w:tcBorders>
          <w:bottom w:val="single" w:sz="4" w:space="0" w:color="FFC65E"/>
        </w:tcBorders>
      </w:tcPr>
    </w:tblStylePr>
    <w:tblStylePr w:type="nwCell">
      <w:tblPr/>
      <w:tcPr>
        <w:tcBorders>
          <w:bottom w:val="single" w:sz="4" w:space="0" w:color="FFC65E"/>
        </w:tcBorders>
      </w:tcPr>
    </w:tblStylePr>
    <w:tblStylePr w:type="seCell">
      <w:tblPr/>
      <w:tcPr>
        <w:tcBorders>
          <w:top w:val="single" w:sz="4" w:space="0" w:color="FFC65E"/>
        </w:tcBorders>
      </w:tcPr>
    </w:tblStylePr>
    <w:tblStylePr w:type="swCell">
      <w:tblPr/>
      <w:tcPr>
        <w:tcBorders>
          <w:top w:val="single" w:sz="4" w:space="0" w:color="FFC65E"/>
        </w:tcBorders>
      </w:tcPr>
    </w:tblStylePr>
  </w:style>
  <w:style w:type="table" w:customStyle="1" w:styleId="GridTable3-Accent61">
    <w:name w:val="Grid Table 3 - Accent 61"/>
    <w:basedOn w:val="TableNormal"/>
    <w:next w:val="GridTable3-Accent6"/>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EC9067"/>
        <w:left w:val="single" w:sz="4" w:space="0" w:color="EC9067"/>
        <w:bottom w:val="single" w:sz="4" w:space="0" w:color="EC9067"/>
        <w:right w:val="single" w:sz="4" w:space="0" w:color="EC9067"/>
        <w:insideH w:val="single" w:sz="4" w:space="0" w:color="EC9067"/>
        <w:insideV w:val="single" w:sz="4" w:space="0" w:color="EC9067"/>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8DACC"/>
      </w:tcPr>
    </w:tblStylePr>
    <w:tblStylePr w:type="band1Horz">
      <w:tblPr/>
      <w:tcPr>
        <w:shd w:val="clear" w:color="auto" w:fill="F8DACC"/>
      </w:tcPr>
    </w:tblStylePr>
    <w:tblStylePr w:type="neCell">
      <w:tblPr/>
      <w:tcPr>
        <w:tcBorders>
          <w:bottom w:val="single" w:sz="4" w:space="0" w:color="EC9067"/>
        </w:tcBorders>
      </w:tcPr>
    </w:tblStylePr>
    <w:tblStylePr w:type="nwCell">
      <w:tblPr/>
      <w:tcPr>
        <w:tcBorders>
          <w:bottom w:val="single" w:sz="4" w:space="0" w:color="EC9067"/>
        </w:tcBorders>
      </w:tcPr>
    </w:tblStylePr>
    <w:tblStylePr w:type="seCell">
      <w:tblPr/>
      <w:tcPr>
        <w:tcBorders>
          <w:top w:val="single" w:sz="4" w:space="0" w:color="EC9067"/>
        </w:tcBorders>
      </w:tcPr>
    </w:tblStylePr>
    <w:tblStylePr w:type="swCell">
      <w:tblPr/>
      <w:tcPr>
        <w:tcBorders>
          <w:top w:val="single" w:sz="4" w:space="0" w:color="EC9067"/>
        </w:tcBorders>
      </w:tcPr>
    </w:tblStylePr>
  </w:style>
  <w:style w:type="table" w:customStyle="1" w:styleId="GridTable41">
    <w:name w:val="Grid Table 41"/>
    <w:basedOn w:val="TableNormal"/>
    <w:next w:val="GridTable4"/>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9A9B9D"/>
        <w:left w:val="single" w:sz="4" w:space="0" w:color="9A9B9D"/>
        <w:bottom w:val="single" w:sz="4" w:space="0" w:color="9A9B9D"/>
        <w:right w:val="single" w:sz="4" w:space="0" w:color="9A9B9D"/>
        <w:insideH w:val="single" w:sz="4" w:space="0" w:color="9A9B9D"/>
        <w:insideV w:val="single" w:sz="4" w:space="0" w:color="9A9B9D"/>
      </w:tblBorders>
    </w:tblPr>
    <w:tblStylePr w:type="firstRow">
      <w:rPr>
        <w:b/>
        <w:bCs/>
        <w:color w:val="A5A5A5"/>
      </w:rPr>
      <w:tblPr/>
      <w:tcPr>
        <w:tcBorders>
          <w:top w:val="single" w:sz="4" w:space="0" w:color="58595B"/>
          <w:left w:val="single" w:sz="4" w:space="0" w:color="58595B"/>
          <w:bottom w:val="single" w:sz="4" w:space="0" w:color="58595B"/>
          <w:right w:val="single" w:sz="4" w:space="0" w:color="58595B"/>
          <w:insideH w:val="nil"/>
          <w:insideV w:val="nil"/>
        </w:tcBorders>
        <w:shd w:val="clear" w:color="auto" w:fill="58595B"/>
      </w:tcPr>
    </w:tblStylePr>
    <w:tblStylePr w:type="lastRow">
      <w:rPr>
        <w:b/>
        <w:bCs/>
      </w:rPr>
      <w:tblPr/>
      <w:tcPr>
        <w:tcBorders>
          <w:top w:val="double" w:sz="4" w:space="0" w:color="58595B"/>
        </w:tcBorders>
      </w:tcPr>
    </w:tblStylePr>
    <w:tblStylePr w:type="firstCol">
      <w:rPr>
        <w:b/>
        <w:bCs/>
      </w:rPr>
    </w:tblStylePr>
    <w:tblStylePr w:type="lastCol">
      <w:rPr>
        <w:b/>
        <w:bCs/>
      </w:rPr>
    </w:tblStylePr>
    <w:tblStylePr w:type="band1Vert">
      <w:tblPr/>
      <w:tcPr>
        <w:shd w:val="clear" w:color="auto" w:fill="DDDDDE"/>
      </w:tcPr>
    </w:tblStylePr>
    <w:tblStylePr w:type="band1Horz">
      <w:tblPr/>
      <w:tcPr>
        <w:shd w:val="clear" w:color="auto" w:fill="DDDDDE"/>
      </w:tcPr>
    </w:tblStylePr>
  </w:style>
  <w:style w:type="table" w:customStyle="1" w:styleId="GridTable4-Accent11">
    <w:name w:val="Grid Table 4 - Accent 11"/>
    <w:basedOn w:val="TableNormal"/>
    <w:next w:val="GridTable4-Accent1"/>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7FD67B"/>
        <w:left w:val="single" w:sz="4" w:space="0" w:color="7FD67B"/>
        <w:bottom w:val="single" w:sz="4" w:space="0" w:color="7FD67B"/>
        <w:right w:val="single" w:sz="4" w:space="0" w:color="7FD67B"/>
        <w:insideH w:val="single" w:sz="4" w:space="0" w:color="7FD67B"/>
        <w:insideV w:val="single" w:sz="4" w:space="0" w:color="7FD67B"/>
      </w:tblBorders>
    </w:tblPr>
    <w:tblStylePr w:type="firstRow">
      <w:rPr>
        <w:b/>
        <w:bCs/>
        <w:color w:val="A5A5A5"/>
      </w:rPr>
      <w:tblPr/>
      <w:tcPr>
        <w:tcBorders>
          <w:top w:val="single" w:sz="4" w:space="0" w:color="3AAA35"/>
          <w:left w:val="single" w:sz="4" w:space="0" w:color="3AAA35"/>
          <w:bottom w:val="single" w:sz="4" w:space="0" w:color="3AAA35"/>
          <w:right w:val="single" w:sz="4" w:space="0" w:color="3AAA35"/>
          <w:insideH w:val="nil"/>
          <w:insideV w:val="nil"/>
        </w:tcBorders>
        <w:shd w:val="clear" w:color="auto" w:fill="3AAA35"/>
      </w:tcPr>
    </w:tblStylePr>
    <w:tblStylePr w:type="lastRow">
      <w:rPr>
        <w:b/>
        <w:bCs/>
      </w:rPr>
      <w:tblPr/>
      <w:tcPr>
        <w:tcBorders>
          <w:top w:val="double" w:sz="4" w:space="0" w:color="3AAA35"/>
        </w:tcBorders>
      </w:tcPr>
    </w:tblStylePr>
    <w:tblStylePr w:type="firstCol">
      <w:rPr>
        <w:b/>
        <w:bCs/>
      </w:rPr>
    </w:tblStylePr>
    <w:tblStylePr w:type="lastCol">
      <w:rPr>
        <w:b/>
        <w:bCs/>
      </w:rPr>
    </w:tblStylePr>
    <w:tblStylePr w:type="band1Vert">
      <w:tblPr/>
      <w:tcPr>
        <w:shd w:val="clear" w:color="auto" w:fill="D4F1D3"/>
      </w:tcPr>
    </w:tblStylePr>
    <w:tblStylePr w:type="band1Horz">
      <w:tblPr/>
      <w:tcPr>
        <w:shd w:val="clear" w:color="auto" w:fill="D4F1D3"/>
      </w:tcPr>
    </w:tblStylePr>
  </w:style>
  <w:style w:type="table" w:customStyle="1" w:styleId="GridTable4-Accent21">
    <w:name w:val="Grid Table 4 - Accent 21"/>
    <w:basedOn w:val="TableNormal"/>
    <w:next w:val="GridTable4-Accent2"/>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0AFF84"/>
        <w:left w:val="single" w:sz="4" w:space="0" w:color="0AFF84"/>
        <w:bottom w:val="single" w:sz="4" w:space="0" w:color="0AFF84"/>
        <w:right w:val="single" w:sz="4" w:space="0" w:color="0AFF84"/>
        <w:insideH w:val="single" w:sz="4" w:space="0" w:color="0AFF84"/>
        <w:insideV w:val="single" w:sz="4" w:space="0" w:color="0AFF84"/>
      </w:tblBorders>
    </w:tblPr>
    <w:tblStylePr w:type="firstRow">
      <w:rPr>
        <w:b/>
        <w:bCs/>
        <w:color w:val="A5A5A5"/>
      </w:rPr>
      <w:tblPr/>
      <w:tcPr>
        <w:tcBorders>
          <w:top w:val="single" w:sz="4" w:space="0" w:color="006633"/>
          <w:left w:val="single" w:sz="4" w:space="0" w:color="006633"/>
          <w:bottom w:val="single" w:sz="4" w:space="0" w:color="006633"/>
          <w:right w:val="single" w:sz="4" w:space="0" w:color="006633"/>
          <w:insideH w:val="nil"/>
          <w:insideV w:val="nil"/>
        </w:tcBorders>
        <w:shd w:val="clear" w:color="auto" w:fill="006633"/>
      </w:tcPr>
    </w:tblStylePr>
    <w:tblStylePr w:type="lastRow">
      <w:rPr>
        <w:b/>
        <w:bCs/>
      </w:rPr>
      <w:tblPr/>
      <w:tcPr>
        <w:tcBorders>
          <w:top w:val="double" w:sz="4" w:space="0" w:color="006633"/>
        </w:tcBorders>
      </w:tcPr>
    </w:tblStylePr>
    <w:tblStylePr w:type="firstCol">
      <w:rPr>
        <w:b/>
        <w:bCs/>
      </w:rPr>
    </w:tblStylePr>
    <w:tblStylePr w:type="lastCol">
      <w:rPr>
        <w:b/>
        <w:bCs/>
      </w:rPr>
    </w:tblStylePr>
    <w:tblStylePr w:type="band1Vert">
      <w:tblPr/>
      <w:tcPr>
        <w:shd w:val="clear" w:color="auto" w:fill="ADFFD6"/>
      </w:tcPr>
    </w:tblStylePr>
    <w:tblStylePr w:type="band1Horz">
      <w:tblPr/>
      <w:tcPr>
        <w:shd w:val="clear" w:color="auto" w:fill="ADFFD6"/>
      </w:tcPr>
    </w:tblStylePr>
  </w:style>
  <w:style w:type="table" w:customStyle="1" w:styleId="GridTable4-Accent31">
    <w:name w:val="Grid Table 4 - Accent 31"/>
    <w:basedOn w:val="TableNormal"/>
    <w:next w:val="GridTable4-Accent3"/>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EDFF49"/>
        <w:left w:val="single" w:sz="4" w:space="0" w:color="EDFF49"/>
        <w:bottom w:val="single" w:sz="4" w:space="0" w:color="EDFF49"/>
        <w:right w:val="single" w:sz="4" w:space="0" w:color="EDFF49"/>
        <w:insideH w:val="single" w:sz="4" w:space="0" w:color="EDFF49"/>
        <w:insideV w:val="single" w:sz="4" w:space="0" w:color="EDFF49"/>
      </w:tblBorders>
    </w:tblPr>
    <w:tblStylePr w:type="firstRow">
      <w:rPr>
        <w:b/>
        <w:bCs/>
        <w:color w:val="A5A5A5"/>
      </w:rPr>
      <w:tblPr/>
      <w:tcPr>
        <w:tcBorders>
          <w:top w:val="single" w:sz="4" w:space="0" w:color="BCCF00"/>
          <w:left w:val="single" w:sz="4" w:space="0" w:color="BCCF00"/>
          <w:bottom w:val="single" w:sz="4" w:space="0" w:color="BCCF00"/>
          <w:right w:val="single" w:sz="4" w:space="0" w:color="BCCF00"/>
          <w:insideH w:val="nil"/>
          <w:insideV w:val="nil"/>
        </w:tcBorders>
        <w:shd w:val="clear" w:color="auto" w:fill="BCCF00"/>
      </w:tcPr>
    </w:tblStylePr>
    <w:tblStylePr w:type="lastRow">
      <w:rPr>
        <w:b/>
        <w:bCs/>
      </w:rPr>
      <w:tblPr/>
      <w:tcPr>
        <w:tcBorders>
          <w:top w:val="double" w:sz="4" w:space="0" w:color="BCCF00"/>
        </w:tcBorders>
      </w:tcPr>
    </w:tblStylePr>
    <w:tblStylePr w:type="firstCol">
      <w:rPr>
        <w:b/>
        <w:bCs/>
      </w:rPr>
    </w:tblStylePr>
    <w:tblStylePr w:type="lastCol">
      <w:rPr>
        <w:b/>
        <w:bCs/>
      </w:rPr>
    </w:tblStylePr>
    <w:tblStylePr w:type="band1Vert">
      <w:tblPr/>
      <w:tcPr>
        <w:shd w:val="clear" w:color="auto" w:fill="F9FFC2"/>
      </w:tcPr>
    </w:tblStylePr>
    <w:tblStylePr w:type="band1Horz">
      <w:tblPr/>
      <w:tcPr>
        <w:shd w:val="clear" w:color="auto" w:fill="F9FFC2"/>
      </w:tcPr>
    </w:tblStylePr>
  </w:style>
  <w:style w:type="table" w:customStyle="1" w:styleId="GridTable4-Accent41">
    <w:name w:val="Grid Table 4 - Accent 41"/>
    <w:basedOn w:val="TableNormal"/>
    <w:next w:val="GridTable4-Accent4"/>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FFE763"/>
        <w:left w:val="single" w:sz="4" w:space="0" w:color="FFE763"/>
        <w:bottom w:val="single" w:sz="4" w:space="0" w:color="FFE763"/>
        <w:right w:val="single" w:sz="4" w:space="0" w:color="FFE763"/>
        <w:insideH w:val="single" w:sz="4" w:space="0" w:color="FFE763"/>
        <w:insideV w:val="single" w:sz="4" w:space="0" w:color="FFE763"/>
      </w:tblBorders>
    </w:tblPr>
    <w:tblStylePr w:type="firstRow">
      <w:rPr>
        <w:b/>
        <w:bCs/>
        <w:color w:val="A5A5A5"/>
      </w:rPr>
      <w:tblPr/>
      <w:tcPr>
        <w:tcBorders>
          <w:top w:val="single" w:sz="4" w:space="0" w:color="FAD500"/>
          <w:left w:val="single" w:sz="4" w:space="0" w:color="FAD500"/>
          <w:bottom w:val="single" w:sz="4" w:space="0" w:color="FAD500"/>
          <w:right w:val="single" w:sz="4" w:space="0" w:color="FAD500"/>
          <w:insideH w:val="nil"/>
          <w:insideV w:val="nil"/>
        </w:tcBorders>
        <w:shd w:val="clear" w:color="auto" w:fill="FAD500"/>
      </w:tcPr>
    </w:tblStylePr>
    <w:tblStylePr w:type="lastRow">
      <w:rPr>
        <w:b/>
        <w:bCs/>
      </w:rPr>
      <w:tblPr/>
      <w:tcPr>
        <w:tcBorders>
          <w:top w:val="double" w:sz="4" w:space="0" w:color="FAD500"/>
        </w:tcBorders>
      </w:tcPr>
    </w:tblStylePr>
    <w:tblStylePr w:type="firstCol">
      <w:rPr>
        <w:b/>
        <w:bCs/>
      </w:rPr>
    </w:tblStylePr>
    <w:tblStylePr w:type="lastCol">
      <w:rPr>
        <w:b/>
        <w:bCs/>
      </w:rPr>
    </w:tblStylePr>
    <w:tblStylePr w:type="band1Vert">
      <w:tblPr/>
      <w:tcPr>
        <w:shd w:val="clear" w:color="auto" w:fill="FFF7CB"/>
      </w:tcPr>
    </w:tblStylePr>
    <w:tblStylePr w:type="band1Horz">
      <w:tblPr/>
      <w:tcPr>
        <w:shd w:val="clear" w:color="auto" w:fill="FFF7CB"/>
      </w:tcPr>
    </w:tblStylePr>
  </w:style>
  <w:style w:type="table" w:customStyle="1" w:styleId="GridTable4-Accent51">
    <w:name w:val="Grid Table 4 - Accent 51"/>
    <w:basedOn w:val="TableNormal"/>
    <w:next w:val="GridTable4-Accent5"/>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FFC65E"/>
        <w:left w:val="single" w:sz="4" w:space="0" w:color="FFC65E"/>
        <w:bottom w:val="single" w:sz="4" w:space="0" w:color="FFC65E"/>
        <w:right w:val="single" w:sz="4" w:space="0" w:color="FFC65E"/>
        <w:insideH w:val="single" w:sz="4" w:space="0" w:color="FFC65E"/>
        <w:insideV w:val="single" w:sz="4" w:space="0" w:color="FFC65E"/>
      </w:tblBorders>
    </w:tblPr>
    <w:tblStylePr w:type="firstRow">
      <w:rPr>
        <w:b/>
        <w:bCs/>
        <w:color w:val="A5A5A5"/>
      </w:rPr>
      <w:tblPr/>
      <w:tcPr>
        <w:tcBorders>
          <w:top w:val="single" w:sz="4" w:space="0" w:color="F29D00"/>
          <w:left w:val="single" w:sz="4" w:space="0" w:color="F29D00"/>
          <w:bottom w:val="single" w:sz="4" w:space="0" w:color="F29D00"/>
          <w:right w:val="single" w:sz="4" w:space="0" w:color="F29D00"/>
          <w:insideH w:val="nil"/>
          <w:insideV w:val="nil"/>
        </w:tcBorders>
        <w:shd w:val="clear" w:color="auto" w:fill="F29D00"/>
      </w:tcPr>
    </w:tblStylePr>
    <w:tblStylePr w:type="lastRow">
      <w:rPr>
        <w:b/>
        <w:bCs/>
      </w:rPr>
      <w:tblPr/>
      <w:tcPr>
        <w:tcBorders>
          <w:top w:val="double" w:sz="4" w:space="0" w:color="F29D00"/>
        </w:tcBorders>
      </w:tcPr>
    </w:tblStylePr>
    <w:tblStylePr w:type="firstCol">
      <w:rPr>
        <w:b/>
        <w:bCs/>
      </w:rPr>
    </w:tblStylePr>
    <w:tblStylePr w:type="lastCol">
      <w:rPr>
        <w:b/>
        <w:bCs/>
      </w:rPr>
    </w:tblStylePr>
    <w:tblStylePr w:type="band1Vert">
      <w:tblPr/>
      <w:tcPr>
        <w:shd w:val="clear" w:color="auto" w:fill="FFECC9"/>
      </w:tcPr>
    </w:tblStylePr>
    <w:tblStylePr w:type="band1Horz">
      <w:tblPr/>
      <w:tcPr>
        <w:shd w:val="clear" w:color="auto" w:fill="FFECC9"/>
      </w:tcPr>
    </w:tblStylePr>
  </w:style>
  <w:style w:type="table" w:customStyle="1" w:styleId="GridTable4-Accent61">
    <w:name w:val="Grid Table 4 - Accent 61"/>
    <w:basedOn w:val="TableNormal"/>
    <w:next w:val="GridTable4-Accent6"/>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EC9067"/>
        <w:left w:val="single" w:sz="4" w:space="0" w:color="EC9067"/>
        <w:bottom w:val="single" w:sz="4" w:space="0" w:color="EC9067"/>
        <w:right w:val="single" w:sz="4" w:space="0" w:color="EC9067"/>
        <w:insideH w:val="single" w:sz="4" w:space="0" w:color="EC9067"/>
        <w:insideV w:val="single" w:sz="4" w:space="0" w:color="EC9067"/>
      </w:tblBorders>
    </w:tblPr>
    <w:tblStylePr w:type="firstRow">
      <w:rPr>
        <w:b/>
        <w:bCs/>
        <w:color w:val="A5A5A5"/>
      </w:rPr>
      <w:tblPr/>
      <w:tcPr>
        <w:tcBorders>
          <w:top w:val="single" w:sz="4" w:space="0" w:color="C85019"/>
          <w:left w:val="single" w:sz="4" w:space="0" w:color="C85019"/>
          <w:bottom w:val="single" w:sz="4" w:space="0" w:color="C85019"/>
          <w:right w:val="single" w:sz="4" w:space="0" w:color="C85019"/>
          <w:insideH w:val="nil"/>
          <w:insideV w:val="nil"/>
        </w:tcBorders>
        <w:shd w:val="clear" w:color="auto" w:fill="C85019"/>
      </w:tcPr>
    </w:tblStylePr>
    <w:tblStylePr w:type="lastRow">
      <w:rPr>
        <w:b/>
        <w:bCs/>
      </w:rPr>
      <w:tblPr/>
      <w:tcPr>
        <w:tcBorders>
          <w:top w:val="double" w:sz="4" w:space="0" w:color="C85019"/>
        </w:tcBorders>
      </w:tcPr>
    </w:tblStylePr>
    <w:tblStylePr w:type="firstCol">
      <w:rPr>
        <w:b/>
        <w:bCs/>
      </w:rPr>
    </w:tblStylePr>
    <w:tblStylePr w:type="lastCol">
      <w:rPr>
        <w:b/>
        <w:bCs/>
      </w:rPr>
    </w:tblStylePr>
    <w:tblStylePr w:type="band1Vert">
      <w:tblPr/>
      <w:tcPr>
        <w:shd w:val="clear" w:color="auto" w:fill="F8DACC"/>
      </w:tcPr>
    </w:tblStylePr>
    <w:tblStylePr w:type="band1Horz">
      <w:tblPr/>
      <w:tcPr>
        <w:shd w:val="clear" w:color="auto" w:fill="F8DACC"/>
      </w:tcPr>
    </w:tblStylePr>
  </w:style>
  <w:style w:type="table" w:customStyle="1" w:styleId="GridTable5Dark1">
    <w:name w:val="Grid Table 5 Dark1"/>
    <w:basedOn w:val="TableNormal"/>
    <w:next w:val="GridTable5Dark"/>
    <w:uiPriority w:val="50"/>
    <w:rsid w:val="00F90100"/>
    <w:pPr>
      <w:spacing w:after="0" w:line="240" w:lineRule="auto"/>
      <w:jc w:val="both"/>
    </w:pPr>
    <w:rPr>
      <w:rFonts w:ascii="Arial" w:hAnsi="Arial"/>
      <w:color w:val="58595B"/>
      <w:sz w:val="20"/>
      <w:lang w:val="nl-BE"/>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cPr>
      <w:shd w:val="clear" w:color="auto" w:fill="DDDDDE"/>
    </w:tcPr>
    <w:tblStylePr w:type="firstRow">
      <w:rPr>
        <w:b/>
        <w:bCs/>
        <w:color w:val="A5A5A5"/>
      </w:rPr>
      <w:tblPr/>
      <w:tcPr>
        <w:tcBorders>
          <w:top w:val="single" w:sz="4" w:space="0" w:color="A5A5A5"/>
          <w:left w:val="single" w:sz="4" w:space="0" w:color="A5A5A5"/>
          <w:right w:val="single" w:sz="4" w:space="0" w:color="A5A5A5"/>
          <w:insideH w:val="nil"/>
          <w:insideV w:val="nil"/>
        </w:tcBorders>
        <w:shd w:val="clear" w:color="auto" w:fill="58595B"/>
      </w:tcPr>
    </w:tblStylePr>
    <w:tblStylePr w:type="lastRow">
      <w:rPr>
        <w:b/>
        <w:bCs/>
        <w:color w:val="A5A5A5"/>
      </w:rPr>
      <w:tblPr/>
      <w:tcPr>
        <w:tcBorders>
          <w:left w:val="single" w:sz="4" w:space="0" w:color="A5A5A5"/>
          <w:bottom w:val="single" w:sz="4" w:space="0" w:color="A5A5A5"/>
          <w:right w:val="single" w:sz="4" w:space="0" w:color="A5A5A5"/>
          <w:insideH w:val="nil"/>
          <w:insideV w:val="nil"/>
        </w:tcBorders>
        <w:shd w:val="clear" w:color="auto" w:fill="58595B"/>
      </w:tcPr>
    </w:tblStylePr>
    <w:tblStylePr w:type="firstCol">
      <w:rPr>
        <w:b/>
        <w:bCs/>
        <w:color w:val="A5A5A5"/>
      </w:rPr>
      <w:tblPr/>
      <w:tcPr>
        <w:tcBorders>
          <w:top w:val="single" w:sz="4" w:space="0" w:color="A5A5A5"/>
          <w:left w:val="single" w:sz="4" w:space="0" w:color="A5A5A5"/>
          <w:bottom w:val="single" w:sz="4" w:space="0" w:color="A5A5A5"/>
          <w:insideV w:val="nil"/>
        </w:tcBorders>
        <w:shd w:val="clear" w:color="auto" w:fill="58595B"/>
      </w:tcPr>
    </w:tblStylePr>
    <w:tblStylePr w:type="lastCol">
      <w:rPr>
        <w:b/>
        <w:bCs/>
        <w:color w:val="A5A5A5"/>
      </w:rPr>
      <w:tblPr/>
      <w:tcPr>
        <w:tcBorders>
          <w:top w:val="single" w:sz="4" w:space="0" w:color="A5A5A5"/>
          <w:bottom w:val="single" w:sz="4" w:space="0" w:color="A5A5A5"/>
          <w:right w:val="single" w:sz="4" w:space="0" w:color="A5A5A5"/>
          <w:insideV w:val="nil"/>
        </w:tcBorders>
        <w:shd w:val="clear" w:color="auto" w:fill="58595B"/>
      </w:tcPr>
    </w:tblStylePr>
    <w:tblStylePr w:type="band1Vert">
      <w:tblPr/>
      <w:tcPr>
        <w:shd w:val="clear" w:color="auto" w:fill="BBBCBD"/>
      </w:tcPr>
    </w:tblStylePr>
    <w:tblStylePr w:type="band1Horz">
      <w:tblPr/>
      <w:tcPr>
        <w:shd w:val="clear" w:color="auto" w:fill="BBBCBD"/>
      </w:tcPr>
    </w:tblStylePr>
  </w:style>
  <w:style w:type="table" w:customStyle="1" w:styleId="GridTable5Dark-Accent11">
    <w:name w:val="Grid Table 5 Dark - Accent 11"/>
    <w:basedOn w:val="TableNormal"/>
    <w:next w:val="GridTable5Dark-Accent1"/>
    <w:uiPriority w:val="50"/>
    <w:rsid w:val="00F90100"/>
    <w:pPr>
      <w:spacing w:after="0" w:line="240" w:lineRule="auto"/>
      <w:jc w:val="both"/>
    </w:pPr>
    <w:rPr>
      <w:rFonts w:ascii="Arial" w:hAnsi="Arial"/>
      <w:color w:val="58595B"/>
      <w:sz w:val="20"/>
      <w:lang w:val="nl-BE"/>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cPr>
      <w:shd w:val="clear" w:color="auto" w:fill="D4F1D3"/>
    </w:tcPr>
    <w:tblStylePr w:type="firstRow">
      <w:rPr>
        <w:b/>
        <w:bCs/>
        <w:color w:val="A5A5A5"/>
      </w:rPr>
      <w:tblPr/>
      <w:tcPr>
        <w:tcBorders>
          <w:top w:val="single" w:sz="4" w:space="0" w:color="A5A5A5"/>
          <w:left w:val="single" w:sz="4" w:space="0" w:color="A5A5A5"/>
          <w:right w:val="single" w:sz="4" w:space="0" w:color="A5A5A5"/>
          <w:insideH w:val="nil"/>
          <w:insideV w:val="nil"/>
        </w:tcBorders>
        <w:shd w:val="clear" w:color="auto" w:fill="3AAA35"/>
      </w:tcPr>
    </w:tblStylePr>
    <w:tblStylePr w:type="lastRow">
      <w:rPr>
        <w:b/>
        <w:bCs/>
        <w:color w:val="A5A5A5"/>
      </w:rPr>
      <w:tblPr/>
      <w:tcPr>
        <w:tcBorders>
          <w:left w:val="single" w:sz="4" w:space="0" w:color="A5A5A5"/>
          <w:bottom w:val="single" w:sz="4" w:space="0" w:color="A5A5A5"/>
          <w:right w:val="single" w:sz="4" w:space="0" w:color="A5A5A5"/>
          <w:insideH w:val="nil"/>
          <w:insideV w:val="nil"/>
        </w:tcBorders>
        <w:shd w:val="clear" w:color="auto" w:fill="3AAA35"/>
      </w:tcPr>
    </w:tblStylePr>
    <w:tblStylePr w:type="firstCol">
      <w:rPr>
        <w:b/>
        <w:bCs/>
        <w:color w:val="A5A5A5"/>
      </w:rPr>
      <w:tblPr/>
      <w:tcPr>
        <w:tcBorders>
          <w:top w:val="single" w:sz="4" w:space="0" w:color="A5A5A5"/>
          <w:left w:val="single" w:sz="4" w:space="0" w:color="A5A5A5"/>
          <w:bottom w:val="single" w:sz="4" w:space="0" w:color="A5A5A5"/>
          <w:insideV w:val="nil"/>
        </w:tcBorders>
        <w:shd w:val="clear" w:color="auto" w:fill="3AAA35"/>
      </w:tcPr>
    </w:tblStylePr>
    <w:tblStylePr w:type="lastCol">
      <w:rPr>
        <w:b/>
        <w:bCs/>
        <w:color w:val="A5A5A5"/>
      </w:rPr>
      <w:tblPr/>
      <w:tcPr>
        <w:tcBorders>
          <w:top w:val="single" w:sz="4" w:space="0" w:color="A5A5A5"/>
          <w:bottom w:val="single" w:sz="4" w:space="0" w:color="A5A5A5"/>
          <w:right w:val="single" w:sz="4" w:space="0" w:color="A5A5A5"/>
          <w:insideV w:val="nil"/>
        </w:tcBorders>
        <w:shd w:val="clear" w:color="auto" w:fill="3AAA35"/>
      </w:tcPr>
    </w:tblStylePr>
    <w:tblStylePr w:type="band1Vert">
      <w:tblPr/>
      <w:tcPr>
        <w:shd w:val="clear" w:color="auto" w:fill="A9E3A7"/>
      </w:tcPr>
    </w:tblStylePr>
    <w:tblStylePr w:type="band1Horz">
      <w:tblPr/>
      <w:tcPr>
        <w:shd w:val="clear" w:color="auto" w:fill="A9E3A7"/>
      </w:tcPr>
    </w:tblStylePr>
  </w:style>
  <w:style w:type="table" w:customStyle="1" w:styleId="GridTable5Dark-Accent21">
    <w:name w:val="Grid Table 5 Dark - Accent 21"/>
    <w:basedOn w:val="TableNormal"/>
    <w:next w:val="GridTable5Dark-Accent2"/>
    <w:uiPriority w:val="50"/>
    <w:rsid w:val="00F90100"/>
    <w:pPr>
      <w:spacing w:after="0" w:line="240" w:lineRule="auto"/>
      <w:jc w:val="both"/>
    </w:pPr>
    <w:rPr>
      <w:rFonts w:ascii="Arial" w:hAnsi="Arial"/>
      <w:color w:val="58595B"/>
      <w:sz w:val="20"/>
      <w:lang w:val="nl-BE"/>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cPr>
      <w:shd w:val="clear" w:color="auto" w:fill="ADFFD6"/>
    </w:tcPr>
    <w:tblStylePr w:type="firstRow">
      <w:rPr>
        <w:b/>
        <w:bCs/>
        <w:color w:val="A5A5A5"/>
      </w:rPr>
      <w:tblPr/>
      <w:tcPr>
        <w:tcBorders>
          <w:top w:val="single" w:sz="4" w:space="0" w:color="A5A5A5"/>
          <w:left w:val="single" w:sz="4" w:space="0" w:color="A5A5A5"/>
          <w:right w:val="single" w:sz="4" w:space="0" w:color="A5A5A5"/>
          <w:insideH w:val="nil"/>
          <w:insideV w:val="nil"/>
        </w:tcBorders>
        <w:shd w:val="clear" w:color="auto" w:fill="006633"/>
      </w:tcPr>
    </w:tblStylePr>
    <w:tblStylePr w:type="lastRow">
      <w:rPr>
        <w:b/>
        <w:bCs/>
        <w:color w:val="A5A5A5"/>
      </w:rPr>
      <w:tblPr/>
      <w:tcPr>
        <w:tcBorders>
          <w:left w:val="single" w:sz="4" w:space="0" w:color="A5A5A5"/>
          <w:bottom w:val="single" w:sz="4" w:space="0" w:color="A5A5A5"/>
          <w:right w:val="single" w:sz="4" w:space="0" w:color="A5A5A5"/>
          <w:insideH w:val="nil"/>
          <w:insideV w:val="nil"/>
        </w:tcBorders>
        <w:shd w:val="clear" w:color="auto" w:fill="006633"/>
      </w:tcPr>
    </w:tblStylePr>
    <w:tblStylePr w:type="firstCol">
      <w:rPr>
        <w:b/>
        <w:bCs/>
        <w:color w:val="A5A5A5"/>
      </w:rPr>
      <w:tblPr/>
      <w:tcPr>
        <w:tcBorders>
          <w:top w:val="single" w:sz="4" w:space="0" w:color="A5A5A5"/>
          <w:left w:val="single" w:sz="4" w:space="0" w:color="A5A5A5"/>
          <w:bottom w:val="single" w:sz="4" w:space="0" w:color="A5A5A5"/>
          <w:insideV w:val="nil"/>
        </w:tcBorders>
        <w:shd w:val="clear" w:color="auto" w:fill="006633"/>
      </w:tcPr>
    </w:tblStylePr>
    <w:tblStylePr w:type="lastCol">
      <w:rPr>
        <w:b/>
        <w:bCs/>
        <w:color w:val="A5A5A5"/>
      </w:rPr>
      <w:tblPr/>
      <w:tcPr>
        <w:tcBorders>
          <w:top w:val="single" w:sz="4" w:space="0" w:color="A5A5A5"/>
          <w:bottom w:val="single" w:sz="4" w:space="0" w:color="A5A5A5"/>
          <w:right w:val="single" w:sz="4" w:space="0" w:color="A5A5A5"/>
          <w:insideV w:val="nil"/>
        </w:tcBorders>
        <w:shd w:val="clear" w:color="auto" w:fill="006633"/>
      </w:tcPr>
    </w:tblStylePr>
    <w:tblStylePr w:type="band1Vert">
      <w:tblPr/>
      <w:tcPr>
        <w:shd w:val="clear" w:color="auto" w:fill="5BFFAD"/>
      </w:tcPr>
    </w:tblStylePr>
    <w:tblStylePr w:type="band1Horz">
      <w:tblPr/>
      <w:tcPr>
        <w:shd w:val="clear" w:color="auto" w:fill="5BFFAD"/>
      </w:tcPr>
    </w:tblStylePr>
  </w:style>
  <w:style w:type="table" w:customStyle="1" w:styleId="GridTable5Dark-Accent31">
    <w:name w:val="Grid Table 5 Dark - Accent 31"/>
    <w:basedOn w:val="TableNormal"/>
    <w:next w:val="GridTable5Dark-Accent3"/>
    <w:uiPriority w:val="50"/>
    <w:rsid w:val="00F90100"/>
    <w:pPr>
      <w:spacing w:after="0" w:line="240" w:lineRule="auto"/>
      <w:jc w:val="both"/>
    </w:pPr>
    <w:rPr>
      <w:rFonts w:ascii="Arial" w:hAnsi="Arial"/>
      <w:color w:val="58595B"/>
      <w:sz w:val="20"/>
      <w:lang w:val="nl-BE"/>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cPr>
      <w:shd w:val="clear" w:color="auto" w:fill="F9FFC2"/>
    </w:tcPr>
    <w:tblStylePr w:type="firstRow">
      <w:rPr>
        <w:b/>
        <w:bCs/>
        <w:color w:val="A5A5A5"/>
      </w:rPr>
      <w:tblPr/>
      <w:tcPr>
        <w:tcBorders>
          <w:top w:val="single" w:sz="4" w:space="0" w:color="A5A5A5"/>
          <w:left w:val="single" w:sz="4" w:space="0" w:color="A5A5A5"/>
          <w:right w:val="single" w:sz="4" w:space="0" w:color="A5A5A5"/>
          <w:insideH w:val="nil"/>
          <w:insideV w:val="nil"/>
        </w:tcBorders>
        <w:shd w:val="clear" w:color="auto" w:fill="BCCF00"/>
      </w:tcPr>
    </w:tblStylePr>
    <w:tblStylePr w:type="lastRow">
      <w:rPr>
        <w:b/>
        <w:bCs/>
        <w:color w:val="A5A5A5"/>
      </w:rPr>
      <w:tblPr/>
      <w:tcPr>
        <w:tcBorders>
          <w:left w:val="single" w:sz="4" w:space="0" w:color="A5A5A5"/>
          <w:bottom w:val="single" w:sz="4" w:space="0" w:color="A5A5A5"/>
          <w:right w:val="single" w:sz="4" w:space="0" w:color="A5A5A5"/>
          <w:insideH w:val="nil"/>
          <w:insideV w:val="nil"/>
        </w:tcBorders>
        <w:shd w:val="clear" w:color="auto" w:fill="BCCF00"/>
      </w:tcPr>
    </w:tblStylePr>
    <w:tblStylePr w:type="firstCol">
      <w:rPr>
        <w:b/>
        <w:bCs/>
        <w:color w:val="A5A5A5"/>
      </w:rPr>
      <w:tblPr/>
      <w:tcPr>
        <w:tcBorders>
          <w:top w:val="single" w:sz="4" w:space="0" w:color="A5A5A5"/>
          <w:left w:val="single" w:sz="4" w:space="0" w:color="A5A5A5"/>
          <w:bottom w:val="single" w:sz="4" w:space="0" w:color="A5A5A5"/>
          <w:insideV w:val="nil"/>
        </w:tcBorders>
        <w:shd w:val="clear" w:color="auto" w:fill="BCCF00"/>
      </w:tcPr>
    </w:tblStylePr>
    <w:tblStylePr w:type="lastCol">
      <w:rPr>
        <w:b/>
        <w:bCs/>
        <w:color w:val="A5A5A5"/>
      </w:rPr>
      <w:tblPr/>
      <w:tcPr>
        <w:tcBorders>
          <w:top w:val="single" w:sz="4" w:space="0" w:color="A5A5A5"/>
          <w:bottom w:val="single" w:sz="4" w:space="0" w:color="A5A5A5"/>
          <w:right w:val="single" w:sz="4" w:space="0" w:color="A5A5A5"/>
          <w:insideV w:val="nil"/>
        </w:tcBorders>
        <w:shd w:val="clear" w:color="auto" w:fill="BCCF00"/>
      </w:tcPr>
    </w:tblStylePr>
    <w:tblStylePr w:type="band1Vert">
      <w:tblPr/>
      <w:tcPr>
        <w:shd w:val="clear" w:color="auto" w:fill="F3FF85"/>
      </w:tcPr>
    </w:tblStylePr>
    <w:tblStylePr w:type="band1Horz">
      <w:tblPr/>
      <w:tcPr>
        <w:shd w:val="clear" w:color="auto" w:fill="F3FF85"/>
      </w:tcPr>
    </w:tblStylePr>
  </w:style>
  <w:style w:type="table" w:customStyle="1" w:styleId="GridTable5Dark-Accent41">
    <w:name w:val="Grid Table 5 Dark - Accent 41"/>
    <w:basedOn w:val="TableNormal"/>
    <w:next w:val="GridTable5Dark-Accent4"/>
    <w:uiPriority w:val="50"/>
    <w:rsid w:val="00F90100"/>
    <w:pPr>
      <w:spacing w:after="0" w:line="240" w:lineRule="auto"/>
      <w:jc w:val="both"/>
    </w:pPr>
    <w:rPr>
      <w:rFonts w:ascii="Arial" w:hAnsi="Arial"/>
      <w:color w:val="58595B"/>
      <w:sz w:val="20"/>
      <w:lang w:val="nl-BE"/>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cPr>
      <w:shd w:val="clear" w:color="auto" w:fill="FFF7CB"/>
    </w:tcPr>
    <w:tblStylePr w:type="firstRow">
      <w:rPr>
        <w:b/>
        <w:bCs/>
        <w:color w:val="A5A5A5"/>
      </w:rPr>
      <w:tblPr/>
      <w:tcPr>
        <w:tcBorders>
          <w:top w:val="single" w:sz="4" w:space="0" w:color="A5A5A5"/>
          <w:left w:val="single" w:sz="4" w:space="0" w:color="A5A5A5"/>
          <w:right w:val="single" w:sz="4" w:space="0" w:color="A5A5A5"/>
          <w:insideH w:val="nil"/>
          <w:insideV w:val="nil"/>
        </w:tcBorders>
        <w:shd w:val="clear" w:color="auto" w:fill="FAD500"/>
      </w:tcPr>
    </w:tblStylePr>
    <w:tblStylePr w:type="lastRow">
      <w:rPr>
        <w:b/>
        <w:bCs/>
        <w:color w:val="A5A5A5"/>
      </w:rPr>
      <w:tblPr/>
      <w:tcPr>
        <w:tcBorders>
          <w:left w:val="single" w:sz="4" w:space="0" w:color="A5A5A5"/>
          <w:bottom w:val="single" w:sz="4" w:space="0" w:color="A5A5A5"/>
          <w:right w:val="single" w:sz="4" w:space="0" w:color="A5A5A5"/>
          <w:insideH w:val="nil"/>
          <w:insideV w:val="nil"/>
        </w:tcBorders>
        <w:shd w:val="clear" w:color="auto" w:fill="FAD500"/>
      </w:tcPr>
    </w:tblStylePr>
    <w:tblStylePr w:type="firstCol">
      <w:rPr>
        <w:b/>
        <w:bCs/>
        <w:color w:val="A5A5A5"/>
      </w:rPr>
      <w:tblPr/>
      <w:tcPr>
        <w:tcBorders>
          <w:top w:val="single" w:sz="4" w:space="0" w:color="A5A5A5"/>
          <w:left w:val="single" w:sz="4" w:space="0" w:color="A5A5A5"/>
          <w:bottom w:val="single" w:sz="4" w:space="0" w:color="A5A5A5"/>
          <w:insideV w:val="nil"/>
        </w:tcBorders>
        <w:shd w:val="clear" w:color="auto" w:fill="FAD500"/>
      </w:tcPr>
    </w:tblStylePr>
    <w:tblStylePr w:type="lastCol">
      <w:rPr>
        <w:b/>
        <w:bCs/>
        <w:color w:val="A5A5A5"/>
      </w:rPr>
      <w:tblPr/>
      <w:tcPr>
        <w:tcBorders>
          <w:top w:val="single" w:sz="4" w:space="0" w:color="A5A5A5"/>
          <w:bottom w:val="single" w:sz="4" w:space="0" w:color="A5A5A5"/>
          <w:right w:val="single" w:sz="4" w:space="0" w:color="A5A5A5"/>
          <w:insideV w:val="nil"/>
        </w:tcBorders>
        <w:shd w:val="clear" w:color="auto" w:fill="FAD500"/>
      </w:tcPr>
    </w:tblStylePr>
    <w:tblStylePr w:type="band1Vert">
      <w:tblPr/>
      <w:tcPr>
        <w:shd w:val="clear" w:color="auto" w:fill="FFEF97"/>
      </w:tcPr>
    </w:tblStylePr>
    <w:tblStylePr w:type="band1Horz">
      <w:tblPr/>
      <w:tcPr>
        <w:shd w:val="clear" w:color="auto" w:fill="FFEF97"/>
      </w:tcPr>
    </w:tblStylePr>
  </w:style>
  <w:style w:type="table" w:customStyle="1" w:styleId="GridTable5Dark-Accent51">
    <w:name w:val="Grid Table 5 Dark - Accent 51"/>
    <w:basedOn w:val="TableNormal"/>
    <w:next w:val="GridTable5Dark-Accent5"/>
    <w:uiPriority w:val="50"/>
    <w:rsid w:val="00F90100"/>
    <w:pPr>
      <w:spacing w:after="0" w:line="240" w:lineRule="auto"/>
      <w:jc w:val="both"/>
    </w:pPr>
    <w:rPr>
      <w:rFonts w:ascii="Arial" w:hAnsi="Arial"/>
      <w:color w:val="58595B"/>
      <w:sz w:val="20"/>
      <w:lang w:val="nl-BE"/>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cPr>
      <w:shd w:val="clear" w:color="auto" w:fill="FFECC9"/>
    </w:tcPr>
    <w:tblStylePr w:type="firstRow">
      <w:rPr>
        <w:b/>
        <w:bCs/>
        <w:color w:val="A5A5A5"/>
      </w:rPr>
      <w:tblPr/>
      <w:tcPr>
        <w:tcBorders>
          <w:top w:val="single" w:sz="4" w:space="0" w:color="A5A5A5"/>
          <w:left w:val="single" w:sz="4" w:space="0" w:color="A5A5A5"/>
          <w:right w:val="single" w:sz="4" w:space="0" w:color="A5A5A5"/>
          <w:insideH w:val="nil"/>
          <w:insideV w:val="nil"/>
        </w:tcBorders>
        <w:shd w:val="clear" w:color="auto" w:fill="F29D00"/>
      </w:tcPr>
    </w:tblStylePr>
    <w:tblStylePr w:type="lastRow">
      <w:rPr>
        <w:b/>
        <w:bCs/>
        <w:color w:val="A5A5A5"/>
      </w:rPr>
      <w:tblPr/>
      <w:tcPr>
        <w:tcBorders>
          <w:left w:val="single" w:sz="4" w:space="0" w:color="A5A5A5"/>
          <w:bottom w:val="single" w:sz="4" w:space="0" w:color="A5A5A5"/>
          <w:right w:val="single" w:sz="4" w:space="0" w:color="A5A5A5"/>
          <w:insideH w:val="nil"/>
          <w:insideV w:val="nil"/>
        </w:tcBorders>
        <w:shd w:val="clear" w:color="auto" w:fill="F29D00"/>
      </w:tcPr>
    </w:tblStylePr>
    <w:tblStylePr w:type="firstCol">
      <w:rPr>
        <w:b/>
        <w:bCs/>
        <w:color w:val="A5A5A5"/>
      </w:rPr>
      <w:tblPr/>
      <w:tcPr>
        <w:tcBorders>
          <w:top w:val="single" w:sz="4" w:space="0" w:color="A5A5A5"/>
          <w:left w:val="single" w:sz="4" w:space="0" w:color="A5A5A5"/>
          <w:bottom w:val="single" w:sz="4" w:space="0" w:color="A5A5A5"/>
          <w:insideV w:val="nil"/>
        </w:tcBorders>
        <w:shd w:val="clear" w:color="auto" w:fill="F29D00"/>
      </w:tcPr>
    </w:tblStylePr>
    <w:tblStylePr w:type="lastCol">
      <w:rPr>
        <w:b/>
        <w:bCs/>
        <w:color w:val="A5A5A5"/>
      </w:rPr>
      <w:tblPr/>
      <w:tcPr>
        <w:tcBorders>
          <w:top w:val="single" w:sz="4" w:space="0" w:color="A5A5A5"/>
          <w:bottom w:val="single" w:sz="4" w:space="0" w:color="A5A5A5"/>
          <w:right w:val="single" w:sz="4" w:space="0" w:color="A5A5A5"/>
          <w:insideV w:val="nil"/>
        </w:tcBorders>
        <w:shd w:val="clear" w:color="auto" w:fill="F29D00"/>
      </w:tcPr>
    </w:tblStylePr>
    <w:tblStylePr w:type="band1Vert">
      <w:tblPr/>
      <w:tcPr>
        <w:shd w:val="clear" w:color="auto" w:fill="FFD993"/>
      </w:tcPr>
    </w:tblStylePr>
    <w:tblStylePr w:type="band1Horz">
      <w:tblPr/>
      <w:tcPr>
        <w:shd w:val="clear" w:color="auto" w:fill="FFD993"/>
      </w:tcPr>
    </w:tblStylePr>
  </w:style>
  <w:style w:type="table" w:customStyle="1" w:styleId="GridTable5Dark-Accent61">
    <w:name w:val="Grid Table 5 Dark - Accent 61"/>
    <w:basedOn w:val="TableNormal"/>
    <w:next w:val="GridTable5Dark-Accent6"/>
    <w:uiPriority w:val="50"/>
    <w:rsid w:val="00F90100"/>
    <w:pPr>
      <w:spacing w:after="0" w:line="240" w:lineRule="auto"/>
      <w:jc w:val="both"/>
    </w:pPr>
    <w:rPr>
      <w:rFonts w:ascii="Arial" w:hAnsi="Arial"/>
      <w:color w:val="58595B"/>
      <w:sz w:val="20"/>
      <w:lang w:val="nl-BE"/>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cPr>
      <w:shd w:val="clear" w:color="auto" w:fill="F8DACC"/>
    </w:tcPr>
    <w:tblStylePr w:type="firstRow">
      <w:rPr>
        <w:b/>
        <w:bCs/>
        <w:color w:val="A5A5A5"/>
      </w:rPr>
      <w:tblPr/>
      <w:tcPr>
        <w:tcBorders>
          <w:top w:val="single" w:sz="4" w:space="0" w:color="A5A5A5"/>
          <w:left w:val="single" w:sz="4" w:space="0" w:color="A5A5A5"/>
          <w:right w:val="single" w:sz="4" w:space="0" w:color="A5A5A5"/>
          <w:insideH w:val="nil"/>
          <w:insideV w:val="nil"/>
        </w:tcBorders>
        <w:shd w:val="clear" w:color="auto" w:fill="C85019"/>
      </w:tcPr>
    </w:tblStylePr>
    <w:tblStylePr w:type="lastRow">
      <w:rPr>
        <w:b/>
        <w:bCs/>
        <w:color w:val="A5A5A5"/>
      </w:rPr>
      <w:tblPr/>
      <w:tcPr>
        <w:tcBorders>
          <w:left w:val="single" w:sz="4" w:space="0" w:color="A5A5A5"/>
          <w:bottom w:val="single" w:sz="4" w:space="0" w:color="A5A5A5"/>
          <w:right w:val="single" w:sz="4" w:space="0" w:color="A5A5A5"/>
          <w:insideH w:val="nil"/>
          <w:insideV w:val="nil"/>
        </w:tcBorders>
        <w:shd w:val="clear" w:color="auto" w:fill="C85019"/>
      </w:tcPr>
    </w:tblStylePr>
    <w:tblStylePr w:type="firstCol">
      <w:rPr>
        <w:b/>
        <w:bCs/>
        <w:color w:val="A5A5A5"/>
      </w:rPr>
      <w:tblPr/>
      <w:tcPr>
        <w:tcBorders>
          <w:top w:val="single" w:sz="4" w:space="0" w:color="A5A5A5"/>
          <w:left w:val="single" w:sz="4" w:space="0" w:color="A5A5A5"/>
          <w:bottom w:val="single" w:sz="4" w:space="0" w:color="A5A5A5"/>
          <w:insideV w:val="nil"/>
        </w:tcBorders>
        <w:shd w:val="clear" w:color="auto" w:fill="C85019"/>
      </w:tcPr>
    </w:tblStylePr>
    <w:tblStylePr w:type="lastCol">
      <w:rPr>
        <w:b/>
        <w:bCs/>
        <w:color w:val="A5A5A5"/>
      </w:rPr>
      <w:tblPr/>
      <w:tcPr>
        <w:tcBorders>
          <w:top w:val="single" w:sz="4" w:space="0" w:color="A5A5A5"/>
          <w:bottom w:val="single" w:sz="4" w:space="0" w:color="A5A5A5"/>
          <w:right w:val="single" w:sz="4" w:space="0" w:color="A5A5A5"/>
          <w:insideV w:val="nil"/>
        </w:tcBorders>
        <w:shd w:val="clear" w:color="auto" w:fill="C85019"/>
      </w:tcPr>
    </w:tblStylePr>
    <w:tblStylePr w:type="band1Vert">
      <w:tblPr/>
      <w:tcPr>
        <w:shd w:val="clear" w:color="auto" w:fill="F2B599"/>
      </w:tcPr>
    </w:tblStylePr>
    <w:tblStylePr w:type="band1Horz">
      <w:tblPr/>
      <w:tcPr>
        <w:shd w:val="clear" w:color="auto" w:fill="F2B599"/>
      </w:tcPr>
    </w:tblStylePr>
  </w:style>
  <w:style w:type="table" w:customStyle="1" w:styleId="GridTable6Colorful1">
    <w:name w:val="Grid Table 6 Colorful1"/>
    <w:basedOn w:val="TableNormal"/>
    <w:next w:val="GridTable6Colorful"/>
    <w:uiPriority w:val="51"/>
    <w:rsid w:val="00F90100"/>
    <w:pPr>
      <w:spacing w:after="0" w:line="240" w:lineRule="auto"/>
      <w:jc w:val="both"/>
    </w:pPr>
    <w:rPr>
      <w:rFonts w:ascii="Arial" w:hAnsi="Arial"/>
      <w:color w:val="58595B"/>
      <w:sz w:val="20"/>
      <w:lang w:val="nl-BE"/>
    </w:rPr>
    <w:tblPr>
      <w:tblStyleRowBandSize w:val="1"/>
      <w:tblStyleColBandSize w:val="1"/>
      <w:tblBorders>
        <w:top w:val="single" w:sz="4" w:space="0" w:color="9A9B9D"/>
        <w:left w:val="single" w:sz="4" w:space="0" w:color="9A9B9D"/>
        <w:bottom w:val="single" w:sz="4" w:space="0" w:color="9A9B9D"/>
        <w:right w:val="single" w:sz="4" w:space="0" w:color="9A9B9D"/>
        <w:insideH w:val="single" w:sz="4" w:space="0" w:color="9A9B9D"/>
        <w:insideV w:val="single" w:sz="4" w:space="0" w:color="9A9B9D"/>
      </w:tblBorders>
    </w:tblPr>
    <w:tblStylePr w:type="firstRow">
      <w:rPr>
        <w:b/>
        <w:bCs/>
      </w:rPr>
      <w:tblPr/>
      <w:tcPr>
        <w:tcBorders>
          <w:bottom w:val="single" w:sz="12" w:space="0" w:color="9A9B9D"/>
        </w:tcBorders>
      </w:tcPr>
    </w:tblStylePr>
    <w:tblStylePr w:type="lastRow">
      <w:rPr>
        <w:b/>
        <w:bCs/>
      </w:rPr>
      <w:tblPr/>
      <w:tcPr>
        <w:tcBorders>
          <w:top w:val="double" w:sz="4" w:space="0" w:color="9A9B9D"/>
        </w:tcBorders>
      </w:tcPr>
    </w:tblStylePr>
    <w:tblStylePr w:type="firstCol">
      <w:rPr>
        <w:b/>
        <w:bCs/>
      </w:rPr>
    </w:tblStylePr>
    <w:tblStylePr w:type="lastCol">
      <w:rPr>
        <w:b/>
        <w:bCs/>
      </w:rPr>
    </w:tblStylePr>
    <w:tblStylePr w:type="band1Vert">
      <w:tblPr/>
      <w:tcPr>
        <w:shd w:val="clear" w:color="auto" w:fill="DDDDDE"/>
      </w:tcPr>
    </w:tblStylePr>
    <w:tblStylePr w:type="band1Horz">
      <w:tblPr/>
      <w:tcPr>
        <w:shd w:val="clear" w:color="auto" w:fill="DDDDDE"/>
      </w:tcPr>
    </w:tblStylePr>
  </w:style>
  <w:style w:type="table" w:customStyle="1" w:styleId="GridTable6Colorful-Accent11">
    <w:name w:val="Grid Table 6 Colorful - Accent 11"/>
    <w:basedOn w:val="TableNormal"/>
    <w:next w:val="GridTable6Colorful-Accent1"/>
    <w:uiPriority w:val="51"/>
    <w:rsid w:val="00F90100"/>
    <w:pPr>
      <w:spacing w:after="0" w:line="240" w:lineRule="auto"/>
      <w:jc w:val="both"/>
    </w:pPr>
    <w:rPr>
      <w:rFonts w:ascii="Arial" w:hAnsi="Arial"/>
      <w:color w:val="2B7F27"/>
      <w:sz w:val="20"/>
      <w:lang w:val="nl-BE"/>
    </w:rPr>
    <w:tblPr>
      <w:tblStyleRowBandSize w:val="1"/>
      <w:tblStyleColBandSize w:val="1"/>
      <w:tblBorders>
        <w:top w:val="single" w:sz="4" w:space="0" w:color="7FD67B"/>
        <w:left w:val="single" w:sz="4" w:space="0" w:color="7FD67B"/>
        <w:bottom w:val="single" w:sz="4" w:space="0" w:color="7FD67B"/>
        <w:right w:val="single" w:sz="4" w:space="0" w:color="7FD67B"/>
        <w:insideH w:val="single" w:sz="4" w:space="0" w:color="7FD67B"/>
        <w:insideV w:val="single" w:sz="4" w:space="0" w:color="7FD67B"/>
      </w:tblBorders>
    </w:tblPr>
    <w:tblStylePr w:type="firstRow">
      <w:rPr>
        <w:b/>
        <w:bCs/>
      </w:rPr>
      <w:tblPr/>
      <w:tcPr>
        <w:tcBorders>
          <w:bottom w:val="single" w:sz="12" w:space="0" w:color="7FD67B"/>
        </w:tcBorders>
      </w:tcPr>
    </w:tblStylePr>
    <w:tblStylePr w:type="lastRow">
      <w:rPr>
        <w:b/>
        <w:bCs/>
      </w:rPr>
      <w:tblPr/>
      <w:tcPr>
        <w:tcBorders>
          <w:top w:val="double" w:sz="4" w:space="0" w:color="7FD67B"/>
        </w:tcBorders>
      </w:tcPr>
    </w:tblStylePr>
    <w:tblStylePr w:type="firstCol">
      <w:rPr>
        <w:b/>
        <w:bCs/>
      </w:rPr>
    </w:tblStylePr>
    <w:tblStylePr w:type="lastCol">
      <w:rPr>
        <w:b/>
        <w:bCs/>
      </w:rPr>
    </w:tblStylePr>
    <w:tblStylePr w:type="band1Vert">
      <w:tblPr/>
      <w:tcPr>
        <w:shd w:val="clear" w:color="auto" w:fill="D4F1D3"/>
      </w:tcPr>
    </w:tblStylePr>
    <w:tblStylePr w:type="band1Horz">
      <w:tblPr/>
      <w:tcPr>
        <w:shd w:val="clear" w:color="auto" w:fill="D4F1D3"/>
      </w:tcPr>
    </w:tblStylePr>
  </w:style>
  <w:style w:type="table" w:customStyle="1" w:styleId="GridTable6Colorful-Accent21">
    <w:name w:val="Grid Table 6 Colorful - Accent 21"/>
    <w:basedOn w:val="TableNormal"/>
    <w:next w:val="GridTable6Colorful-Accent2"/>
    <w:uiPriority w:val="51"/>
    <w:rsid w:val="00F90100"/>
    <w:pPr>
      <w:spacing w:after="0" w:line="240" w:lineRule="auto"/>
      <w:jc w:val="both"/>
    </w:pPr>
    <w:rPr>
      <w:rFonts w:ascii="Arial" w:hAnsi="Arial"/>
      <w:color w:val="004C26"/>
      <w:sz w:val="20"/>
      <w:lang w:val="nl-BE"/>
    </w:rPr>
    <w:tblPr>
      <w:tblStyleRowBandSize w:val="1"/>
      <w:tblStyleColBandSize w:val="1"/>
      <w:tblBorders>
        <w:top w:val="single" w:sz="4" w:space="0" w:color="0AFF84"/>
        <w:left w:val="single" w:sz="4" w:space="0" w:color="0AFF84"/>
        <w:bottom w:val="single" w:sz="4" w:space="0" w:color="0AFF84"/>
        <w:right w:val="single" w:sz="4" w:space="0" w:color="0AFF84"/>
        <w:insideH w:val="single" w:sz="4" w:space="0" w:color="0AFF84"/>
        <w:insideV w:val="single" w:sz="4" w:space="0" w:color="0AFF84"/>
      </w:tblBorders>
    </w:tblPr>
    <w:tblStylePr w:type="firstRow">
      <w:rPr>
        <w:b/>
        <w:bCs/>
      </w:rPr>
      <w:tblPr/>
      <w:tcPr>
        <w:tcBorders>
          <w:bottom w:val="single" w:sz="12" w:space="0" w:color="0AFF84"/>
        </w:tcBorders>
      </w:tcPr>
    </w:tblStylePr>
    <w:tblStylePr w:type="lastRow">
      <w:rPr>
        <w:b/>
        <w:bCs/>
      </w:rPr>
      <w:tblPr/>
      <w:tcPr>
        <w:tcBorders>
          <w:top w:val="double" w:sz="4" w:space="0" w:color="0AFF84"/>
        </w:tcBorders>
      </w:tcPr>
    </w:tblStylePr>
    <w:tblStylePr w:type="firstCol">
      <w:rPr>
        <w:b/>
        <w:bCs/>
      </w:rPr>
    </w:tblStylePr>
    <w:tblStylePr w:type="lastCol">
      <w:rPr>
        <w:b/>
        <w:bCs/>
      </w:rPr>
    </w:tblStylePr>
    <w:tblStylePr w:type="band1Vert">
      <w:tblPr/>
      <w:tcPr>
        <w:shd w:val="clear" w:color="auto" w:fill="ADFFD6"/>
      </w:tcPr>
    </w:tblStylePr>
    <w:tblStylePr w:type="band1Horz">
      <w:tblPr/>
      <w:tcPr>
        <w:shd w:val="clear" w:color="auto" w:fill="ADFFD6"/>
      </w:tcPr>
    </w:tblStylePr>
  </w:style>
  <w:style w:type="table" w:customStyle="1" w:styleId="GridTable6Colorful-Accent31">
    <w:name w:val="Grid Table 6 Colorful - Accent 31"/>
    <w:basedOn w:val="TableNormal"/>
    <w:next w:val="GridTable6Colorful-Accent3"/>
    <w:uiPriority w:val="51"/>
    <w:rsid w:val="00F90100"/>
    <w:pPr>
      <w:spacing w:after="0" w:line="240" w:lineRule="auto"/>
      <w:jc w:val="both"/>
    </w:pPr>
    <w:rPr>
      <w:rFonts w:ascii="Arial" w:hAnsi="Arial"/>
      <w:color w:val="8C9B00"/>
      <w:sz w:val="20"/>
      <w:lang w:val="nl-BE"/>
    </w:rPr>
    <w:tblPr>
      <w:tblStyleRowBandSize w:val="1"/>
      <w:tblStyleColBandSize w:val="1"/>
      <w:tblBorders>
        <w:top w:val="single" w:sz="4" w:space="0" w:color="EDFF49"/>
        <w:left w:val="single" w:sz="4" w:space="0" w:color="EDFF49"/>
        <w:bottom w:val="single" w:sz="4" w:space="0" w:color="EDFF49"/>
        <w:right w:val="single" w:sz="4" w:space="0" w:color="EDFF49"/>
        <w:insideH w:val="single" w:sz="4" w:space="0" w:color="EDFF49"/>
        <w:insideV w:val="single" w:sz="4" w:space="0" w:color="EDFF49"/>
      </w:tblBorders>
    </w:tblPr>
    <w:tblStylePr w:type="firstRow">
      <w:rPr>
        <w:b/>
        <w:bCs/>
      </w:rPr>
      <w:tblPr/>
      <w:tcPr>
        <w:tcBorders>
          <w:bottom w:val="single" w:sz="12" w:space="0" w:color="EDFF49"/>
        </w:tcBorders>
      </w:tcPr>
    </w:tblStylePr>
    <w:tblStylePr w:type="lastRow">
      <w:rPr>
        <w:b/>
        <w:bCs/>
      </w:rPr>
      <w:tblPr/>
      <w:tcPr>
        <w:tcBorders>
          <w:top w:val="double" w:sz="4" w:space="0" w:color="EDFF49"/>
        </w:tcBorders>
      </w:tcPr>
    </w:tblStylePr>
    <w:tblStylePr w:type="firstCol">
      <w:rPr>
        <w:b/>
        <w:bCs/>
      </w:rPr>
    </w:tblStylePr>
    <w:tblStylePr w:type="lastCol">
      <w:rPr>
        <w:b/>
        <w:bCs/>
      </w:rPr>
    </w:tblStylePr>
    <w:tblStylePr w:type="band1Vert">
      <w:tblPr/>
      <w:tcPr>
        <w:shd w:val="clear" w:color="auto" w:fill="F9FFC2"/>
      </w:tcPr>
    </w:tblStylePr>
    <w:tblStylePr w:type="band1Horz">
      <w:tblPr/>
      <w:tcPr>
        <w:shd w:val="clear" w:color="auto" w:fill="F9FFC2"/>
      </w:tcPr>
    </w:tblStylePr>
  </w:style>
  <w:style w:type="table" w:customStyle="1" w:styleId="GridTable6Colorful-Accent41">
    <w:name w:val="Grid Table 6 Colorful - Accent 41"/>
    <w:basedOn w:val="TableNormal"/>
    <w:next w:val="GridTable6Colorful-Accent4"/>
    <w:uiPriority w:val="51"/>
    <w:rsid w:val="00F90100"/>
    <w:pPr>
      <w:spacing w:after="0" w:line="240" w:lineRule="auto"/>
      <w:jc w:val="both"/>
    </w:pPr>
    <w:rPr>
      <w:rFonts w:ascii="Arial" w:hAnsi="Arial"/>
      <w:color w:val="BB9F00"/>
      <w:sz w:val="20"/>
      <w:lang w:val="nl-BE"/>
    </w:rPr>
    <w:tblPr>
      <w:tblStyleRowBandSize w:val="1"/>
      <w:tblStyleColBandSize w:val="1"/>
      <w:tblBorders>
        <w:top w:val="single" w:sz="4" w:space="0" w:color="FFE763"/>
        <w:left w:val="single" w:sz="4" w:space="0" w:color="FFE763"/>
        <w:bottom w:val="single" w:sz="4" w:space="0" w:color="FFE763"/>
        <w:right w:val="single" w:sz="4" w:space="0" w:color="FFE763"/>
        <w:insideH w:val="single" w:sz="4" w:space="0" w:color="FFE763"/>
        <w:insideV w:val="single" w:sz="4" w:space="0" w:color="FFE763"/>
      </w:tblBorders>
    </w:tblPr>
    <w:tblStylePr w:type="firstRow">
      <w:rPr>
        <w:b/>
        <w:bCs/>
      </w:rPr>
      <w:tblPr/>
      <w:tcPr>
        <w:tcBorders>
          <w:bottom w:val="single" w:sz="12" w:space="0" w:color="FFE763"/>
        </w:tcBorders>
      </w:tcPr>
    </w:tblStylePr>
    <w:tblStylePr w:type="lastRow">
      <w:rPr>
        <w:b/>
        <w:bCs/>
      </w:rPr>
      <w:tblPr/>
      <w:tcPr>
        <w:tcBorders>
          <w:top w:val="double" w:sz="4" w:space="0" w:color="FFE763"/>
        </w:tcBorders>
      </w:tcPr>
    </w:tblStylePr>
    <w:tblStylePr w:type="firstCol">
      <w:rPr>
        <w:b/>
        <w:bCs/>
      </w:rPr>
    </w:tblStylePr>
    <w:tblStylePr w:type="lastCol">
      <w:rPr>
        <w:b/>
        <w:bCs/>
      </w:rPr>
    </w:tblStylePr>
    <w:tblStylePr w:type="band1Vert">
      <w:tblPr/>
      <w:tcPr>
        <w:shd w:val="clear" w:color="auto" w:fill="FFF7CB"/>
      </w:tcPr>
    </w:tblStylePr>
    <w:tblStylePr w:type="band1Horz">
      <w:tblPr/>
      <w:tcPr>
        <w:shd w:val="clear" w:color="auto" w:fill="FFF7CB"/>
      </w:tcPr>
    </w:tblStylePr>
  </w:style>
  <w:style w:type="table" w:customStyle="1" w:styleId="GridTable6Colorful-Accent51">
    <w:name w:val="Grid Table 6 Colorful - Accent 51"/>
    <w:basedOn w:val="TableNormal"/>
    <w:next w:val="GridTable6Colorful-Accent5"/>
    <w:uiPriority w:val="51"/>
    <w:rsid w:val="00F90100"/>
    <w:pPr>
      <w:spacing w:after="0" w:line="240" w:lineRule="auto"/>
      <w:jc w:val="both"/>
    </w:pPr>
    <w:rPr>
      <w:rFonts w:ascii="Arial" w:hAnsi="Arial"/>
      <w:color w:val="B57500"/>
      <w:sz w:val="20"/>
      <w:lang w:val="nl-BE"/>
    </w:rPr>
    <w:tblPr>
      <w:tblStyleRowBandSize w:val="1"/>
      <w:tblStyleColBandSize w:val="1"/>
      <w:tblBorders>
        <w:top w:val="single" w:sz="4" w:space="0" w:color="FFC65E"/>
        <w:left w:val="single" w:sz="4" w:space="0" w:color="FFC65E"/>
        <w:bottom w:val="single" w:sz="4" w:space="0" w:color="FFC65E"/>
        <w:right w:val="single" w:sz="4" w:space="0" w:color="FFC65E"/>
        <w:insideH w:val="single" w:sz="4" w:space="0" w:color="FFC65E"/>
        <w:insideV w:val="single" w:sz="4" w:space="0" w:color="FFC65E"/>
      </w:tblBorders>
    </w:tblPr>
    <w:tblStylePr w:type="firstRow">
      <w:rPr>
        <w:b/>
        <w:bCs/>
      </w:rPr>
      <w:tblPr/>
      <w:tcPr>
        <w:tcBorders>
          <w:bottom w:val="single" w:sz="12" w:space="0" w:color="FFC65E"/>
        </w:tcBorders>
      </w:tcPr>
    </w:tblStylePr>
    <w:tblStylePr w:type="lastRow">
      <w:rPr>
        <w:b/>
        <w:bCs/>
      </w:rPr>
      <w:tblPr/>
      <w:tcPr>
        <w:tcBorders>
          <w:top w:val="double" w:sz="4" w:space="0" w:color="FFC65E"/>
        </w:tcBorders>
      </w:tcPr>
    </w:tblStylePr>
    <w:tblStylePr w:type="firstCol">
      <w:rPr>
        <w:b/>
        <w:bCs/>
      </w:rPr>
    </w:tblStylePr>
    <w:tblStylePr w:type="lastCol">
      <w:rPr>
        <w:b/>
        <w:bCs/>
      </w:rPr>
    </w:tblStylePr>
    <w:tblStylePr w:type="band1Vert">
      <w:tblPr/>
      <w:tcPr>
        <w:shd w:val="clear" w:color="auto" w:fill="FFECC9"/>
      </w:tcPr>
    </w:tblStylePr>
    <w:tblStylePr w:type="band1Horz">
      <w:tblPr/>
      <w:tcPr>
        <w:shd w:val="clear" w:color="auto" w:fill="FFECC9"/>
      </w:tcPr>
    </w:tblStylePr>
  </w:style>
  <w:style w:type="table" w:customStyle="1" w:styleId="GridTable6Colorful-Accent61">
    <w:name w:val="Grid Table 6 Colorful - Accent 61"/>
    <w:basedOn w:val="TableNormal"/>
    <w:next w:val="GridTable6Colorful-Accent6"/>
    <w:uiPriority w:val="51"/>
    <w:rsid w:val="00F90100"/>
    <w:pPr>
      <w:spacing w:after="0" w:line="240" w:lineRule="auto"/>
      <w:jc w:val="both"/>
    </w:pPr>
    <w:rPr>
      <w:rFonts w:ascii="Arial" w:hAnsi="Arial"/>
      <w:color w:val="953B12"/>
      <w:sz w:val="20"/>
      <w:lang w:val="nl-BE"/>
    </w:rPr>
    <w:tblPr>
      <w:tblStyleRowBandSize w:val="1"/>
      <w:tblStyleColBandSize w:val="1"/>
      <w:tblBorders>
        <w:top w:val="single" w:sz="4" w:space="0" w:color="EC9067"/>
        <w:left w:val="single" w:sz="4" w:space="0" w:color="EC9067"/>
        <w:bottom w:val="single" w:sz="4" w:space="0" w:color="EC9067"/>
        <w:right w:val="single" w:sz="4" w:space="0" w:color="EC9067"/>
        <w:insideH w:val="single" w:sz="4" w:space="0" w:color="EC9067"/>
        <w:insideV w:val="single" w:sz="4" w:space="0" w:color="EC9067"/>
      </w:tblBorders>
    </w:tblPr>
    <w:tblStylePr w:type="firstRow">
      <w:rPr>
        <w:b/>
        <w:bCs/>
      </w:rPr>
      <w:tblPr/>
      <w:tcPr>
        <w:tcBorders>
          <w:bottom w:val="single" w:sz="12" w:space="0" w:color="EC9067"/>
        </w:tcBorders>
      </w:tcPr>
    </w:tblStylePr>
    <w:tblStylePr w:type="lastRow">
      <w:rPr>
        <w:b/>
        <w:bCs/>
      </w:rPr>
      <w:tblPr/>
      <w:tcPr>
        <w:tcBorders>
          <w:top w:val="double" w:sz="4" w:space="0" w:color="EC9067"/>
        </w:tcBorders>
      </w:tcPr>
    </w:tblStylePr>
    <w:tblStylePr w:type="firstCol">
      <w:rPr>
        <w:b/>
        <w:bCs/>
      </w:rPr>
    </w:tblStylePr>
    <w:tblStylePr w:type="lastCol">
      <w:rPr>
        <w:b/>
        <w:bCs/>
      </w:rPr>
    </w:tblStylePr>
    <w:tblStylePr w:type="band1Vert">
      <w:tblPr/>
      <w:tcPr>
        <w:shd w:val="clear" w:color="auto" w:fill="F8DACC"/>
      </w:tcPr>
    </w:tblStylePr>
    <w:tblStylePr w:type="band1Horz">
      <w:tblPr/>
      <w:tcPr>
        <w:shd w:val="clear" w:color="auto" w:fill="F8DACC"/>
      </w:tcPr>
    </w:tblStylePr>
  </w:style>
  <w:style w:type="table" w:customStyle="1" w:styleId="GridTable7Colorful1">
    <w:name w:val="Grid Table 7 Colorful1"/>
    <w:basedOn w:val="TableNormal"/>
    <w:next w:val="GridTable7Colorful"/>
    <w:uiPriority w:val="52"/>
    <w:rsid w:val="00F90100"/>
    <w:pPr>
      <w:spacing w:after="0" w:line="240" w:lineRule="auto"/>
      <w:jc w:val="both"/>
    </w:pPr>
    <w:rPr>
      <w:rFonts w:ascii="Arial" w:hAnsi="Arial"/>
      <w:color w:val="58595B"/>
      <w:sz w:val="20"/>
      <w:lang w:val="nl-BE"/>
    </w:rPr>
    <w:tblPr>
      <w:tblStyleRowBandSize w:val="1"/>
      <w:tblStyleColBandSize w:val="1"/>
      <w:tblBorders>
        <w:top w:val="single" w:sz="4" w:space="0" w:color="9A9B9D"/>
        <w:left w:val="single" w:sz="4" w:space="0" w:color="9A9B9D"/>
        <w:bottom w:val="single" w:sz="4" w:space="0" w:color="9A9B9D"/>
        <w:right w:val="single" w:sz="4" w:space="0" w:color="9A9B9D"/>
        <w:insideH w:val="single" w:sz="4" w:space="0" w:color="9A9B9D"/>
        <w:insideV w:val="single" w:sz="4" w:space="0" w:color="9A9B9D"/>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DDDDDE"/>
      </w:tcPr>
    </w:tblStylePr>
    <w:tblStylePr w:type="band1Horz">
      <w:tblPr/>
      <w:tcPr>
        <w:shd w:val="clear" w:color="auto" w:fill="DDDDDE"/>
      </w:tcPr>
    </w:tblStylePr>
    <w:tblStylePr w:type="neCell">
      <w:tblPr/>
      <w:tcPr>
        <w:tcBorders>
          <w:bottom w:val="single" w:sz="4" w:space="0" w:color="9A9B9D"/>
        </w:tcBorders>
      </w:tcPr>
    </w:tblStylePr>
    <w:tblStylePr w:type="nwCell">
      <w:tblPr/>
      <w:tcPr>
        <w:tcBorders>
          <w:bottom w:val="single" w:sz="4" w:space="0" w:color="9A9B9D"/>
        </w:tcBorders>
      </w:tcPr>
    </w:tblStylePr>
    <w:tblStylePr w:type="seCell">
      <w:tblPr/>
      <w:tcPr>
        <w:tcBorders>
          <w:top w:val="single" w:sz="4" w:space="0" w:color="9A9B9D"/>
        </w:tcBorders>
      </w:tcPr>
    </w:tblStylePr>
    <w:tblStylePr w:type="swCell">
      <w:tblPr/>
      <w:tcPr>
        <w:tcBorders>
          <w:top w:val="single" w:sz="4" w:space="0" w:color="9A9B9D"/>
        </w:tcBorders>
      </w:tcPr>
    </w:tblStylePr>
  </w:style>
  <w:style w:type="table" w:customStyle="1" w:styleId="GridTable7Colorful-Accent11">
    <w:name w:val="Grid Table 7 Colorful - Accent 11"/>
    <w:basedOn w:val="TableNormal"/>
    <w:next w:val="GridTable7Colorful-Accent1"/>
    <w:uiPriority w:val="52"/>
    <w:rsid w:val="00F90100"/>
    <w:pPr>
      <w:spacing w:after="0" w:line="240" w:lineRule="auto"/>
      <w:jc w:val="both"/>
    </w:pPr>
    <w:rPr>
      <w:rFonts w:ascii="Arial" w:hAnsi="Arial"/>
      <w:color w:val="2B7F27"/>
      <w:sz w:val="20"/>
      <w:lang w:val="nl-BE"/>
    </w:rPr>
    <w:tblPr>
      <w:tblStyleRowBandSize w:val="1"/>
      <w:tblStyleColBandSize w:val="1"/>
      <w:tblBorders>
        <w:top w:val="single" w:sz="4" w:space="0" w:color="7FD67B"/>
        <w:left w:val="single" w:sz="4" w:space="0" w:color="7FD67B"/>
        <w:bottom w:val="single" w:sz="4" w:space="0" w:color="7FD67B"/>
        <w:right w:val="single" w:sz="4" w:space="0" w:color="7FD67B"/>
        <w:insideH w:val="single" w:sz="4" w:space="0" w:color="7FD67B"/>
        <w:insideV w:val="single" w:sz="4" w:space="0" w:color="7FD67B"/>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D4F1D3"/>
      </w:tcPr>
    </w:tblStylePr>
    <w:tblStylePr w:type="band1Horz">
      <w:tblPr/>
      <w:tcPr>
        <w:shd w:val="clear" w:color="auto" w:fill="D4F1D3"/>
      </w:tcPr>
    </w:tblStylePr>
    <w:tblStylePr w:type="neCell">
      <w:tblPr/>
      <w:tcPr>
        <w:tcBorders>
          <w:bottom w:val="single" w:sz="4" w:space="0" w:color="7FD67B"/>
        </w:tcBorders>
      </w:tcPr>
    </w:tblStylePr>
    <w:tblStylePr w:type="nwCell">
      <w:tblPr/>
      <w:tcPr>
        <w:tcBorders>
          <w:bottom w:val="single" w:sz="4" w:space="0" w:color="7FD67B"/>
        </w:tcBorders>
      </w:tcPr>
    </w:tblStylePr>
    <w:tblStylePr w:type="seCell">
      <w:tblPr/>
      <w:tcPr>
        <w:tcBorders>
          <w:top w:val="single" w:sz="4" w:space="0" w:color="7FD67B"/>
        </w:tcBorders>
      </w:tcPr>
    </w:tblStylePr>
    <w:tblStylePr w:type="swCell">
      <w:tblPr/>
      <w:tcPr>
        <w:tcBorders>
          <w:top w:val="single" w:sz="4" w:space="0" w:color="7FD67B"/>
        </w:tcBorders>
      </w:tcPr>
    </w:tblStylePr>
  </w:style>
  <w:style w:type="table" w:customStyle="1" w:styleId="GridTable7Colorful-Accent21">
    <w:name w:val="Grid Table 7 Colorful - Accent 21"/>
    <w:basedOn w:val="TableNormal"/>
    <w:next w:val="GridTable7Colorful-Accent2"/>
    <w:uiPriority w:val="52"/>
    <w:rsid w:val="00F90100"/>
    <w:pPr>
      <w:spacing w:after="0" w:line="240" w:lineRule="auto"/>
      <w:jc w:val="both"/>
    </w:pPr>
    <w:rPr>
      <w:rFonts w:ascii="Arial" w:hAnsi="Arial"/>
      <w:color w:val="004C26"/>
      <w:sz w:val="20"/>
      <w:lang w:val="nl-BE"/>
    </w:rPr>
    <w:tblPr>
      <w:tblStyleRowBandSize w:val="1"/>
      <w:tblStyleColBandSize w:val="1"/>
      <w:tblBorders>
        <w:top w:val="single" w:sz="4" w:space="0" w:color="0AFF84"/>
        <w:left w:val="single" w:sz="4" w:space="0" w:color="0AFF84"/>
        <w:bottom w:val="single" w:sz="4" w:space="0" w:color="0AFF84"/>
        <w:right w:val="single" w:sz="4" w:space="0" w:color="0AFF84"/>
        <w:insideH w:val="single" w:sz="4" w:space="0" w:color="0AFF84"/>
        <w:insideV w:val="single" w:sz="4" w:space="0" w:color="0AFF84"/>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ADFFD6"/>
      </w:tcPr>
    </w:tblStylePr>
    <w:tblStylePr w:type="band1Horz">
      <w:tblPr/>
      <w:tcPr>
        <w:shd w:val="clear" w:color="auto" w:fill="ADFFD6"/>
      </w:tcPr>
    </w:tblStylePr>
    <w:tblStylePr w:type="neCell">
      <w:tblPr/>
      <w:tcPr>
        <w:tcBorders>
          <w:bottom w:val="single" w:sz="4" w:space="0" w:color="0AFF84"/>
        </w:tcBorders>
      </w:tcPr>
    </w:tblStylePr>
    <w:tblStylePr w:type="nwCell">
      <w:tblPr/>
      <w:tcPr>
        <w:tcBorders>
          <w:bottom w:val="single" w:sz="4" w:space="0" w:color="0AFF84"/>
        </w:tcBorders>
      </w:tcPr>
    </w:tblStylePr>
    <w:tblStylePr w:type="seCell">
      <w:tblPr/>
      <w:tcPr>
        <w:tcBorders>
          <w:top w:val="single" w:sz="4" w:space="0" w:color="0AFF84"/>
        </w:tcBorders>
      </w:tcPr>
    </w:tblStylePr>
    <w:tblStylePr w:type="swCell">
      <w:tblPr/>
      <w:tcPr>
        <w:tcBorders>
          <w:top w:val="single" w:sz="4" w:space="0" w:color="0AFF84"/>
        </w:tcBorders>
      </w:tcPr>
    </w:tblStylePr>
  </w:style>
  <w:style w:type="table" w:customStyle="1" w:styleId="GridTable7Colorful-Accent31">
    <w:name w:val="Grid Table 7 Colorful - Accent 31"/>
    <w:basedOn w:val="TableNormal"/>
    <w:next w:val="GridTable7Colorful-Accent3"/>
    <w:uiPriority w:val="52"/>
    <w:rsid w:val="00F90100"/>
    <w:pPr>
      <w:spacing w:after="0" w:line="240" w:lineRule="auto"/>
      <w:jc w:val="both"/>
    </w:pPr>
    <w:rPr>
      <w:rFonts w:ascii="Arial" w:hAnsi="Arial"/>
      <w:color w:val="8C9B00"/>
      <w:sz w:val="20"/>
      <w:lang w:val="nl-BE"/>
    </w:rPr>
    <w:tblPr>
      <w:tblStyleRowBandSize w:val="1"/>
      <w:tblStyleColBandSize w:val="1"/>
      <w:tblBorders>
        <w:top w:val="single" w:sz="4" w:space="0" w:color="EDFF49"/>
        <w:left w:val="single" w:sz="4" w:space="0" w:color="EDFF49"/>
        <w:bottom w:val="single" w:sz="4" w:space="0" w:color="EDFF49"/>
        <w:right w:val="single" w:sz="4" w:space="0" w:color="EDFF49"/>
        <w:insideH w:val="single" w:sz="4" w:space="0" w:color="EDFF49"/>
        <w:insideV w:val="single" w:sz="4" w:space="0" w:color="EDFF49"/>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9FFC2"/>
      </w:tcPr>
    </w:tblStylePr>
    <w:tblStylePr w:type="band1Horz">
      <w:tblPr/>
      <w:tcPr>
        <w:shd w:val="clear" w:color="auto" w:fill="F9FFC2"/>
      </w:tcPr>
    </w:tblStylePr>
    <w:tblStylePr w:type="neCell">
      <w:tblPr/>
      <w:tcPr>
        <w:tcBorders>
          <w:bottom w:val="single" w:sz="4" w:space="0" w:color="EDFF49"/>
        </w:tcBorders>
      </w:tcPr>
    </w:tblStylePr>
    <w:tblStylePr w:type="nwCell">
      <w:tblPr/>
      <w:tcPr>
        <w:tcBorders>
          <w:bottom w:val="single" w:sz="4" w:space="0" w:color="EDFF49"/>
        </w:tcBorders>
      </w:tcPr>
    </w:tblStylePr>
    <w:tblStylePr w:type="seCell">
      <w:tblPr/>
      <w:tcPr>
        <w:tcBorders>
          <w:top w:val="single" w:sz="4" w:space="0" w:color="EDFF49"/>
        </w:tcBorders>
      </w:tcPr>
    </w:tblStylePr>
    <w:tblStylePr w:type="swCell">
      <w:tblPr/>
      <w:tcPr>
        <w:tcBorders>
          <w:top w:val="single" w:sz="4" w:space="0" w:color="EDFF49"/>
        </w:tcBorders>
      </w:tcPr>
    </w:tblStylePr>
  </w:style>
  <w:style w:type="table" w:customStyle="1" w:styleId="GridTable7Colorful-Accent41">
    <w:name w:val="Grid Table 7 Colorful - Accent 41"/>
    <w:basedOn w:val="TableNormal"/>
    <w:next w:val="GridTable7Colorful-Accent4"/>
    <w:uiPriority w:val="52"/>
    <w:rsid w:val="00F90100"/>
    <w:pPr>
      <w:spacing w:after="0" w:line="240" w:lineRule="auto"/>
      <w:jc w:val="both"/>
    </w:pPr>
    <w:rPr>
      <w:rFonts w:ascii="Arial" w:hAnsi="Arial"/>
      <w:color w:val="BB9F00"/>
      <w:sz w:val="20"/>
      <w:lang w:val="nl-BE"/>
    </w:rPr>
    <w:tblPr>
      <w:tblStyleRowBandSize w:val="1"/>
      <w:tblStyleColBandSize w:val="1"/>
      <w:tblBorders>
        <w:top w:val="single" w:sz="4" w:space="0" w:color="FFE763"/>
        <w:left w:val="single" w:sz="4" w:space="0" w:color="FFE763"/>
        <w:bottom w:val="single" w:sz="4" w:space="0" w:color="FFE763"/>
        <w:right w:val="single" w:sz="4" w:space="0" w:color="FFE763"/>
        <w:insideH w:val="single" w:sz="4" w:space="0" w:color="FFE763"/>
        <w:insideV w:val="single" w:sz="4" w:space="0" w:color="FFE763"/>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FF7CB"/>
      </w:tcPr>
    </w:tblStylePr>
    <w:tblStylePr w:type="band1Horz">
      <w:tblPr/>
      <w:tcPr>
        <w:shd w:val="clear" w:color="auto" w:fill="FFF7CB"/>
      </w:tcPr>
    </w:tblStylePr>
    <w:tblStylePr w:type="neCell">
      <w:tblPr/>
      <w:tcPr>
        <w:tcBorders>
          <w:bottom w:val="single" w:sz="4" w:space="0" w:color="FFE763"/>
        </w:tcBorders>
      </w:tcPr>
    </w:tblStylePr>
    <w:tblStylePr w:type="nwCell">
      <w:tblPr/>
      <w:tcPr>
        <w:tcBorders>
          <w:bottom w:val="single" w:sz="4" w:space="0" w:color="FFE763"/>
        </w:tcBorders>
      </w:tcPr>
    </w:tblStylePr>
    <w:tblStylePr w:type="seCell">
      <w:tblPr/>
      <w:tcPr>
        <w:tcBorders>
          <w:top w:val="single" w:sz="4" w:space="0" w:color="FFE763"/>
        </w:tcBorders>
      </w:tcPr>
    </w:tblStylePr>
    <w:tblStylePr w:type="swCell">
      <w:tblPr/>
      <w:tcPr>
        <w:tcBorders>
          <w:top w:val="single" w:sz="4" w:space="0" w:color="FFE763"/>
        </w:tcBorders>
      </w:tcPr>
    </w:tblStylePr>
  </w:style>
  <w:style w:type="table" w:customStyle="1" w:styleId="GridTable7Colorful-Accent51">
    <w:name w:val="Grid Table 7 Colorful - Accent 51"/>
    <w:basedOn w:val="TableNormal"/>
    <w:next w:val="GridTable7Colorful-Accent5"/>
    <w:uiPriority w:val="52"/>
    <w:rsid w:val="00F90100"/>
    <w:pPr>
      <w:spacing w:after="0" w:line="240" w:lineRule="auto"/>
      <w:jc w:val="both"/>
    </w:pPr>
    <w:rPr>
      <w:rFonts w:ascii="Arial" w:hAnsi="Arial"/>
      <w:color w:val="B57500"/>
      <w:sz w:val="20"/>
      <w:lang w:val="nl-BE"/>
    </w:rPr>
    <w:tblPr>
      <w:tblStyleRowBandSize w:val="1"/>
      <w:tblStyleColBandSize w:val="1"/>
      <w:tblBorders>
        <w:top w:val="single" w:sz="4" w:space="0" w:color="FFC65E"/>
        <w:left w:val="single" w:sz="4" w:space="0" w:color="FFC65E"/>
        <w:bottom w:val="single" w:sz="4" w:space="0" w:color="FFC65E"/>
        <w:right w:val="single" w:sz="4" w:space="0" w:color="FFC65E"/>
        <w:insideH w:val="single" w:sz="4" w:space="0" w:color="FFC65E"/>
        <w:insideV w:val="single" w:sz="4" w:space="0" w:color="FFC65E"/>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FECC9"/>
      </w:tcPr>
    </w:tblStylePr>
    <w:tblStylePr w:type="band1Horz">
      <w:tblPr/>
      <w:tcPr>
        <w:shd w:val="clear" w:color="auto" w:fill="FFECC9"/>
      </w:tcPr>
    </w:tblStylePr>
    <w:tblStylePr w:type="neCell">
      <w:tblPr/>
      <w:tcPr>
        <w:tcBorders>
          <w:bottom w:val="single" w:sz="4" w:space="0" w:color="FFC65E"/>
        </w:tcBorders>
      </w:tcPr>
    </w:tblStylePr>
    <w:tblStylePr w:type="nwCell">
      <w:tblPr/>
      <w:tcPr>
        <w:tcBorders>
          <w:bottom w:val="single" w:sz="4" w:space="0" w:color="FFC65E"/>
        </w:tcBorders>
      </w:tcPr>
    </w:tblStylePr>
    <w:tblStylePr w:type="seCell">
      <w:tblPr/>
      <w:tcPr>
        <w:tcBorders>
          <w:top w:val="single" w:sz="4" w:space="0" w:color="FFC65E"/>
        </w:tcBorders>
      </w:tcPr>
    </w:tblStylePr>
    <w:tblStylePr w:type="swCell">
      <w:tblPr/>
      <w:tcPr>
        <w:tcBorders>
          <w:top w:val="single" w:sz="4" w:space="0" w:color="FFC65E"/>
        </w:tcBorders>
      </w:tcPr>
    </w:tblStylePr>
  </w:style>
  <w:style w:type="table" w:customStyle="1" w:styleId="GridTable7Colorful-Accent61">
    <w:name w:val="Grid Table 7 Colorful - Accent 61"/>
    <w:basedOn w:val="TableNormal"/>
    <w:next w:val="GridTable7Colorful-Accent6"/>
    <w:uiPriority w:val="52"/>
    <w:rsid w:val="00F90100"/>
    <w:pPr>
      <w:spacing w:after="0" w:line="240" w:lineRule="auto"/>
      <w:jc w:val="both"/>
    </w:pPr>
    <w:rPr>
      <w:rFonts w:ascii="Arial" w:hAnsi="Arial"/>
      <w:color w:val="953B12"/>
      <w:sz w:val="20"/>
      <w:lang w:val="nl-BE"/>
    </w:rPr>
    <w:tblPr>
      <w:tblStyleRowBandSize w:val="1"/>
      <w:tblStyleColBandSize w:val="1"/>
      <w:tblBorders>
        <w:top w:val="single" w:sz="4" w:space="0" w:color="EC9067"/>
        <w:left w:val="single" w:sz="4" w:space="0" w:color="EC9067"/>
        <w:bottom w:val="single" w:sz="4" w:space="0" w:color="EC9067"/>
        <w:right w:val="single" w:sz="4" w:space="0" w:color="EC9067"/>
        <w:insideH w:val="single" w:sz="4" w:space="0" w:color="EC9067"/>
        <w:insideV w:val="single" w:sz="4" w:space="0" w:color="EC9067"/>
      </w:tblBorders>
    </w:tblPr>
    <w:tblStylePr w:type="firstRow">
      <w:rPr>
        <w:b/>
        <w:bCs/>
      </w:rPr>
      <w:tblPr/>
      <w:tcPr>
        <w:tcBorders>
          <w:top w:val="nil"/>
          <w:left w:val="nil"/>
          <w:right w:val="nil"/>
          <w:insideH w:val="nil"/>
          <w:insideV w:val="nil"/>
        </w:tcBorders>
        <w:shd w:val="clear" w:color="auto" w:fill="A5A5A5"/>
      </w:tcPr>
    </w:tblStylePr>
    <w:tblStylePr w:type="lastRow">
      <w:rPr>
        <w:b/>
        <w:bCs/>
      </w:rPr>
      <w:tblPr/>
      <w:tcPr>
        <w:tcBorders>
          <w:left w:val="nil"/>
          <w:bottom w:val="nil"/>
          <w:right w:val="nil"/>
          <w:insideH w:val="nil"/>
          <w:insideV w:val="nil"/>
        </w:tcBorders>
        <w:shd w:val="clear" w:color="auto" w:fill="A5A5A5"/>
      </w:tcPr>
    </w:tblStylePr>
    <w:tblStylePr w:type="firstCol">
      <w:pPr>
        <w:jc w:val="right"/>
      </w:pPr>
      <w:rPr>
        <w:i/>
        <w:iCs/>
      </w:rPr>
      <w:tblPr/>
      <w:tcPr>
        <w:tcBorders>
          <w:top w:val="nil"/>
          <w:left w:val="nil"/>
          <w:bottom w:val="nil"/>
          <w:insideH w:val="nil"/>
          <w:insideV w:val="nil"/>
        </w:tcBorders>
        <w:shd w:val="clear" w:color="auto" w:fill="A5A5A5"/>
      </w:tcPr>
    </w:tblStylePr>
    <w:tblStylePr w:type="lastCol">
      <w:rPr>
        <w:i/>
        <w:iCs/>
      </w:rPr>
      <w:tblPr/>
      <w:tcPr>
        <w:tcBorders>
          <w:top w:val="nil"/>
          <w:bottom w:val="nil"/>
          <w:right w:val="nil"/>
          <w:insideH w:val="nil"/>
          <w:insideV w:val="nil"/>
        </w:tcBorders>
        <w:shd w:val="clear" w:color="auto" w:fill="A5A5A5"/>
      </w:tcPr>
    </w:tblStylePr>
    <w:tblStylePr w:type="band1Vert">
      <w:tblPr/>
      <w:tcPr>
        <w:shd w:val="clear" w:color="auto" w:fill="F8DACC"/>
      </w:tcPr>
    </w:tblStylePr>
    <w:tblStylePr w:type="band1Horz">
      <w:tblPr/>
      <w:tcPr>
        <w:shd w:val="clear" w:color="auto" w:fill="F8DACC"/>
      </w:tcPr>
    </w:tblStylePr>
    <w:tblStylePr w:type="neCell">
      <w:tblPr/>
      <w:tcPr>
        <w:tcBorders>
          <w:bottom w:val="single" w:sz="4" w:space="0" w:color="EC9067"/>
        </w:tcBorders>
      </w:tcPr>
    </w:tblStylePr>
    <w:tblStylePr w:type="nwCell">
      <w:tblPr/>
      <w:tcPr>
        <w:tcBorders>
          <w:bottom w:val="single" w:sz="4" w:space="0" w:color="EC9067"/>
        </w:tcBorders>
      </w:tcPr>
    </w:tblStylePr>
    <w:tblStylePr w:type="seCell">
      <w:tblPr/>
      <w:tcPr>
        <w:tcBorders>
          <w:top w:val="single" w:sz="4" w:space="0" w:color="EC9067"/>
        </w:tcBorders>
      </w:tcPr>
    </w:tblStylePr>
    <w:tblStylePr w:type="swCell">
      <w:tblPr/>
      <w:tcPr>
        <w:tcBorders>
          <w:top w:val="single" w:sz="4" w:space="0" w:color="EC9067"/>
        </w:tcBorders>
      </w:tcPr>
    </w:tblStylePr>
  </w:style>
  <w:style w:type="table" w:customStyle="1" w:styleId="ListTable1Light1">
    <w:name w:val="List Table 1 Light1"/>
    <w:basedOn w:val="TableNormal"/>
    <w:next w:val="ListTable1Light"/>
    <w:uiPriority w:val="46"/>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Pr/>
      <w:tcPr>
        <w:tcBorders>
          <w:bottom w:val="single" w:sz="4" w:space="0" w:color="9A9B9D"/>
        </w:tcBorders>
      </w:tcPr>
    </w:tblStylePr>
    <w:tblStylePr w:type="lastRow">
      <w:rPr>
        <w:b/>
        <w:bCs/>
      </w:rPr>
      <w:tblPr/>
      <w:tcPr>
        <w:tcBorders>
          <w:top w:val="single" w:sz="4" w:space="0" w:color="9A9B9D"/>
        </w:tcBorders>
      </w:tcPr>
    </w:tblStylePr>
    <w:tblStylePr w:type="firstCol">
      <w:rPr>
        <w:b/>
        <w:bCs/>
      </w:rPr>
    </w:tblStylePr>
    <w:tblStylePr w:type="lastCol">
      <w:rPr>
        <w:b/>
        <w:bCs/>
      </w:rPr>
    </w:tblStylePr>
    <w:tblStylePr w:type="band1Vert">
      <w:tblPr/>
      <w:tcPr>
        <w:shd w:val="clear" w:color="auto" w:fill="DDDDDE"/>
      </w:tcPr>
    </w:tblStylePr>
    <w:tblStylePr w:type="band1Horz">
      <w:tblPr/>
      <w:tcPr>
        <w:shd w:val="clear" w:color="auto" w:fill="DDDDDE"/>
      </w:tcPr>
    </w:tblStylePr>
  </w:style>
  <w:style w:type="table" w:customStyle="1" w:styleId="ListTable1Light-Accent11">
    <w:name w:val="List Table 1 Light - Accent 11"/>
    <w:basedOn w:val="TableNormal"/>
    <w:next w:val="ListTable1Light-Accent1"/>
    <w:uiPriority w:val="46"/>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Pr/>
      <w:tcPr>
        <w:tcBorders>
          <w:bottom w:val="single" w:sz="4" w:space="0" w:color="7FD67B"/>
        </w:tcBorders>
      </w:tcPr>
    </w:tblStylePr>
    <w:tblStylePr w:type="lastRow">
      <w:rPr>
        <w:b/>
        <w:bCs/>
      </w:rPr>
      <w:tblPr/>
      <w:tcPr>
        <w:tcBorders>
          <w:top w:val="single" w:sz="4" w:space="0" w:color="7FD67B"/>
        </w:tcBorders>
      </w:tcPr>
    </w:tblStylePr>
    <w:tblStylePr w:type="firstCol">
      <w:rPr>
        <w:b/>
        <w:bCs/>
      </w:rPr>
    </w:tblStylePr>
    <w:tblStylePr w:type="lastCol">
      <w:rPr>
        <w:b/>
        <w:bCs/>
      </w:rPr>
    </w:tblStylePr>
    <w:tblStylePr w:type="band1Vert">
      <w:tblPr/>
      <w:tcPr>
        <w:shd w:val="clear" w:color="auto" w:fill="D4F1D3"/>
      </w:tcPr>
    </w:tblStylePr>
    <w:tblStylePr w:type="band1Horz">
      <w:tblPr/>
      <w:tcPr>
        <w:shd w:val="clear" w:color="auto" w:fill="D4F1D3"/>
      </w:tcPr>
    </w:tblStylePr>
  </w:style>
  <w:style w:type="table" w:customStyle="1" w:styleId="ListTable1Light-Accent21">
    <w:name w:val="List Table 1 Light - Accent 21"/>
    <w:basedOn w:val="TableNormal"/>
    <w:next w:val="ListTable1Light-Accent2"/>
    <w:uiPriority w:val="46"/>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Pr/>
      <w:tcPr>
        <w:tcBorders>
          <w:bottom w:val="single" w:sz="4" w:space="0" w:color="0AFF84"/>
        </w:tcBorders>
      </w:tcPr>
    </w:tblStylePr>
    <w:tblStylePr w:type="lastRow">
      <w:rPr>
        <w:b/>
        <w:bCs/>
      </w:rPr>
      <w:tblPr/>
      <w:tcPr>
        <w:tcBorders>
          <w:top w:val="single" w:sz="4" w:space="0" w:color="0AFF84"/>
        </w:tcBorders>
      </w:tcPr>
    </w:tblStylePr>
    <w:tblStylePr w:type="firstCol">
      <w:rPr>
        <w:b/>
        <w:bCs/>
      </w:rPr>
    </w:tblStylePr>
    <w:tblStylePr w:type="lastCol">
      <w:rPr>
        <w:b/>
        <w:bCs/>
      </w:rPr>
    </w:tblStylePr>
    <w:tblStylePr w:type="band1Vert">
      <w:tblPr/>
      <w:tcPr>
        <w:shd w:val="clear" w:color="auto" w:fill="ADFFD6"/>
      </w:tcPr>
    </w:tblStylePr>
    <w:tblStylePr w:type="band1Horz">
      <w:tblPr/>
      <w:tcPr>
        <w:shd w:val="clear" w:color="auto" w:fill="ADFFD6"/>
      </w:tcPr>
    </w:tblStylePr>
  </w:style>
  <w:style w:type="table" w:customStyle="1" w:styleId="ListTable1Light-Accent31">
    <w:name w:val="List Table 1 Light - Accent 31"/>
    <w:basedOn w:val="TableNormal"/>
    <w:next w:val="ListTable1Light-Accent3"/>
    <w:uiPriority w:val="46"/>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Pr/>
      <w:tcPr>
        <w:tcBorders>
          <w:bottom w:val="single" w:sz="4" w:space="0" w:color="EDFF49"/>
        </w:tcBorders>
      </w:tcPr>
    </w:tblStylePr>
    <w:tblStylePr w:type="lastRow">
      <w:rPr>
        <w:b/>
        <w:bCs/>
      </w:rPr>
      <w:tblPr/>
      <w:tcPr>
        <w:tcBorders>
          <w:top w:val="single" w:sz="4" w:space="0" w:color="EDFF49"/>
        </w:tcBorders>
      </w:tcPr>
    </w:tblStylePr>
    <w:tblStylePr w:type="firstCol">
      <w:rPr>
        <w:b/>
        <w:bCs/>
      </w:rPr>
    </w:tblStylePr>
    <w:tblStylePr w:type="lastCol">
      <w:rPr>
        <w:b/>
        <w:bCs/>
      </w:rPr>
    </w:tblStylePr>
    <w:tblStylePr w:type="band1Vert">
      <w:tblPr/>
      <w:tcPr>
        <w:shd w:val="clear" w:color="auto" w:fill="F9FFC2"/>
      </w:tcPr>
    </w:tblStylePr>
    <w:tblStylePr w:type="band1Horz">
      <w:tblPr/>
      <w:tcPr>
        <w:shd w:val="clear" w:color="auto" w:fill="F9FFC2"/>
      </w:tcPr>
    </w:tblStylePr>
  </w:style>
  <w:style w:type="table" w:customStyle="1" w:styleId="ListTable1Light-Accent41">
    <w:name w:val="List Table 1 Light - Accent 41"/>
    <w:basedOn w:val="TableNormal"/>
    <w:next w:val="ListTable1Light-Accent4"/>
    <w:uiPriority w:val="46"/>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Pr/>
      <w:tcPr>
        <w:tcBorders>
          <w:bottom w:val="single" w:sz="4" w:space="0" w:color="FFE763"/>
        </w:tcBorders>
      </w:tcPr>
    </w:tblStylePr>
    <w:tblStylePr w:type="lastRow">
      <w:rPr>
        <w:b/>
        <w:bCs/>
      </w:rPr>
      <w:tblPr/>
      <w:tcPr>
        <w:tcBorders>
          <w:top w:val="single" w:sz="4" w:space="0" w:color="FFE763"/>
        </w:tcBorders>
      </w:tcPr>
    </w:tblStylePr>
    <w:tblStylePr w:type="firstCol">
      <w:rPr>
        <w:b/>
        <w:bCs/>
      </w:rPr>
    </w:tblStylePr>
    <w:tblStylePr w:type="lastCol">
      <w:rPr>
        <w:b/>
        <w:bCs/>
      </w:rPr>
    </w:tblStylePr>
    <w:tblStylePr w:type="band1Vert">
      <w:tblPr/>
      <w:tcPr>
        <w:shd w:val="clear" w:color="auto" w:fill="FFF7CB"/>
      </w:tcPr>
    </w:tblStylePr>
    <w:tblStylePr w:type="band1Horz">
      <w:tblPr/>
      <w:tcPr>
        <w:shd w:val="clear" w:color="auto" w:fill="FFF7CB"/>
      </w:tcPr>
    </w:tblStylePr>
  </w:style>
  <w:style w:type="table" w:customStyle="1" w:styleId="ListTable1Light-Accent51">
    <w:name w:val="List Table 1 Light - Accent 51"/>
    <w:basedOn w:val="TableNormal"/>
    <w:next w:val="ListTable1Light-Accent5"/>
    <w:uiPriority w:val="46"/>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Pr/>
      <w:tcPr>
        <w:tcBorders>
          <w:bottom w:val="single" w:sz="4" w:space="0" w:color="FFC65E"/>
        </w:tcBorders>
      </w:tcPr>
    </w:tblStylePr>
    <w:tblStylePr w:type="lastRow">
      <w:rPr>
        <w:b/>
        <w:bCs/>
      </w:rPr>
      <w:tblPr/>
      <w:tcPr>
        <w:tcBorders>
          <w:top w:val="single" w:sz="4" w:space="0" w:color="FFC65E"/>
        </w:tcBorders>
      </w:tcPr>
    </w:tblStylePr>
    <w:tblStylePr w:type="firstCol">
      <w:rPr>
        <w:b/>
        <w:bCs/>
      </w:rPr>
    </w:tblStylePr>
    <w:tblStylePr w:type="lastCol">
      <w:rPr>
        <w:b/>
        <w:bCs/>
      </w:rPr>
    </w:tblStylePr>
    <w:tblStylePr w:type="band1Vert">
      <w:tblPr/>
      <w:tcPr>
        <w:shd w:val="clear" w:color="auto" w:fill="FFECC9"/>
      </w:tcPr>
    </w:tblStylePr>
    <w:tblStylePr w:type="band1Horz">
      <w:tblPr/>
      <w:tcPr>
        <w:shd w:val="clear" w:color="auto" w:fill="FFECC9"/>
      </w:tcPr>
    </w:tblStylePr>
  </w:style>
  <w:style w:type="table" w:customStyle="1" w:styleId="ListTable1Light-Accent61">
    <w:name w:val="List Table 1 Light - Accent 61"/>
    <w:basedOn w:val="TableNormal"/>
    <w:next w:val="ListTable1Light-Accent6"/>
    <w:uiPriority w:val="46"/>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Pr/>
      <w:tcPr>
        <w:tcBorders>
          <w:bottom w:val="single" w:sz="4" w:space="0" w:color="EC9067"/>
        </w:tcBorders>
      </w:tcPr>
    </w:tblStylePr>
    <w:tblStylePr w:type="lastRow">
      <w:rPr>
        <w:b/>
        <w:bCs/>
      </w:rPr>
      <w:tblPr/>
      <w:tcPr>
        <w:tcBorders>
          <w:top w:val="single" w:sz="4" w:space="0" w:color="EC9067"/>
        </w:tcBorders>
      </w:tcPr>
    </w:tblStylePr>
    <w:tblStylePr w:type="firstCol">
      <w:rPr>
        <w:b/>
        <w:bCs/>
      </w:rPr>
    </w:tblStylePr>
    <w:tblStylePr w:type="lastCol">
      <w:rPr>
        <w:b/>
        <w:bCs/>
      </w:rPr>
    </w:tblStylePr>
    <w:tblStylePr w:type="band1Vert">
      <w:tblPr/>
      <w:tcPr>
        <w:shd w:val="clear" w:color="auto" w:fill="F8DACC"/>
      </w:tcPr>
    </w:tblStylePr>
    <w:tblStylePr w:type="band1Horz">
      <w:tblPr/>
      <w:tcPr>
        <w:shd w:val="clear" w:color="auto" w:fill="F8DACC"/>
      </w:tcPr>
    </w:tblStylePr>
  </w:style>
  <w:style w:type="table" w:customStyle="1" w:styleId="ListTable21">
    <w:name w:val="List Table 21"/>
    <w:basedOn w:val="TableNormal"/>
    <w:next w:val="ListTable2"/>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4" w:space="0" w:color="9A9B9D"/>
        <w:bottom w:val="single" w:sz="4" w:space="0" w:color="9A9B9D"/>
        <w:insideH w:val="single" w:sz="4" w:space="0" w:color="9A9B9D"/>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DDDDE"/>
      </w:tcPr>
    </w:tblStylePr>
    <w:tblStylePr w:type="band1Horz">
      <w:tblPr/>
      <w:tcPr>
        <w:shd w:val="clear" w:color="auto" w:fill="DDDDDE"/>
      </w:tcPr>
    </w:tblStylePr>
  </w:style>
  <w:style w:type="table" w:customStyle="1" w:styleId="ListTable2-Accent11">
    <w:name w:val="List Table 2 - Accent 11"/>
    <w:basedOn w:val="TableNormal"/>
    <w:next w:val="ListTable2-Accent1"/>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4" w:space="0" w:color="7FD67B"/>
        <w:bottom w:val="single" w:sz="4" w:space="0" w:color="7FD67B"/>
        <w:insideH w:val="single" w:sz="4" w:space="0" w:color="7FD67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4F1D3"/>
      </w:tcPr>
    </w:tblStylePr>
    <w:tblStylePr w:type="band1Horz">
      <w:tblPr/>
      <w:tcPr>
        <w:shd w:val="clear" w:color="auto" w:fill="D4F1D3"/>
      </w:tcPr>
    </w:tblStylePr>
  </w:style>
  <w:style w:type="table" w:customStyle="1" w:styleId="ListTable2-Accent21">
    <w:name w:val="List Table 2 - Accent 21"/>
    <w:basedOn w:val="TableNormal"/>
    <w:next w:val="ListTable2-Accent2"/>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4" w:space="0" w:color="0AFF84"/>
        <w:bottom w:val="single" w:sz="4" w:space="0" w:color="0AFF84"/>
        <w:insideH w:val="single" w:sz="4" w:space="0" w:color="0AFF84"/>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ADFFD6"/>
      </w:tcPr>
    </w:tblStylePr>
    <w:tblStylePr w:type="band1Horz">
      <w:tblPr/>
      <w:tcPr>
        <w:shd w:val="clear" w:color="auto" w:fill="ADFFD6"/>
      </w:tcPr>
    </w:tblStylePr>
  </w:style>
  <w:style w:type="table" w:customStyle="1" w:styleId="ListTable2-Accent31">
    <w:name w:val="List Table 2 - Accent 31"/>
    <w:basedOn w:val="TableNormal"/>
    <w:next w:val="ListTable2-Accent3"/>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4" w:space="0" w:color="EDFF49"/>
        <w:bottom w:val="single" w:sz="4" w:space="0" w:color="EDFF49"/>
        <w:insideH w:val="single" w:sz="4" w:space="0" w:color="EDFF4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9FFC2"/>
      </w:tcPr>
    </w:tblStylePr>
    <w:tblStylePr w:type="band1Horz">
      <w:tblPr/>
      <w:tcPr>
        <w:shd w:val="clear" w:color="auto" w:fill="F9FFC2"/>
      </w:tcPr>
    </w:tblStylePr>
  </w:style>
  <w:style w:type="table" w:customStyle="1" w:styleId="ListTable2-Accent41">
    <w:name w:val="List Table 2 - Accent 41"/>
    <w:basedOn w:val="TableNormal"/>
    <w:next w:val="ListTable2-Accent4"/>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4" w:space="0" w:color="FFE763"/>
        <w:bottom w:val="single" w:sz="4" w:space="0" w:color="FFE763"/>
        <w:insideH w:val="single" w:sz="4" w:space="0" w:color="FFE763"/>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7CB"/>
      </w:tcPr>
    </w:tblStylePr>
    <w:tblStylePr w:type="band1Horz">
      <w:tblPr/>
      <w:tcPr>
        <w:shd w:val="clear" w:color="auto" w:fill="FFF7CB"/>
      </w:tcPr>
    </w:tblStylePr>
  </w:style>
  <w:style w:type="table" w:customStyle="1" w:styleId="ListTable2-Accent51">
    <w:name w:val="List Table 2 - Accent 51"/>
    <w:basedOn w:val="TableNormal"/>
    <w:next w:val="ListTable2-Accent5"/>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4" w:space="0" w:color="FFC65E"/>
        <w:bottom w:val="single" w:sz="4" w:space="0" w:color="FFC65E"/>
        <w:insideH w:val="single" w:sz="4" w:space="0" w:color="FFC65E"/>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ECC9"/>
      </w:tcPr>
    </w:tblStylePr>
    <w:tblStylePr w:type="band1Horz">
      <w:tblPr/>
      <w:tcPr>
        <w:shd w:val="clear" w:color="auto" w:fill="FFECC9"/>
      </w:tcPr>
    </w:tblStylePr>
  </w:style>
  <w:style w:type="table" w:customStyle="1" w:styleId="ListTable2-Accent61">
    <w:name w:val="List Table 2 - Accent 61"/>
    <w:basedOn w:val="TableNormal"/>
    <w:next w:val="ListTable2-Accent6"/>
    <w:uiPriority w:val="47"/>
    <w:rsid w:val="00F90100"/>
    <w:pPr>
      <w:spacing w:after="0" w:line="240" w:lineRule="auto"/>
      <w:jc w:val="both"/>
    </w:pPr>
    <w:rPr>
      <w:rFonts w:ascii="Arial" w:hAnsi="Arial"/>
      <w:color w:val="58595B"/>
      <w:sz w:val="20"/>
      <w:lang w:val="nl-BE"/>
    </w:rPr>
    <w:tblPr>
      <w:tblStyleRowBandSize w:val="1"/>
      <w:tblStyleColBandSize w:val="1"/>
      <w:tblBorders>
        <w:top w:val="single" w:sz="4" w:space="0" w:color="EC9067"/>
        <w:bottom w:val="single" w:sz="4" w:space="0" w:color="EC9067"/>
        <w:insideH w:val="single" w:sz="4" w:space="0" w:color="EC9067"/>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DACC"/>
      </w:tcPr>
    </w:tblStylePr>
    <w:tblStylePr w:type="band1Horz">
      <w:tblPr/>
      <w:tcPr>
        <w:shd w:val="clear" w:color="auto" w:fill="F8DACC"/>
      </w:tcPr>
    </w:tblStylePr>
  </w:style>
  <w:style w:type="table" w:customStyle="1" w:styleId="ListTable31">
    <w:name w:val="List Table 31"/>
    <w:basedOn w:val="TableNormal"/>
    <w:next w:val="ListTable3"/>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58595B"/>
        <w:left w:val="single" w:sz="4" w:space="0" w:color="58595B"/>
        <w:bottom w:val="single" w:sz="4" w:space="0" w:color="58595B"/>
        <w:right w:val="single" w:sz="4" w:space="0" w:color="58595B"/>
      </w:tblBorders>
    </w:tblPr>
    <w:tblStylePr w:type="firstRow">
      <w:rPr>
        <w:b/>
        <w:bCs/>
        <w:color w:val="A5A5A5"/>
      </w:rPr>
      <w:tblPr/>
      <w:tcPr>
        <w:shd w:val="clear" w:color="auto" w:fill="58595B"/>
      </w:tcPr>
    </w:tblStylePr>
    <w:tblStylePr w:type="lastRow">
      <w:rPr>
        <w:b/>
        <w:bCs/>
      </w:rPr>
      <w:tblPr/>
      <w:tcPr>
        <w:tcBorders>
          <w:top w:val="double" w:sz="4" w:space="0" w:color="58595B"/>
        </w:tcBorders>
        <w:shd w:val="clear" w:color="auto" w:fill="A5A5A5"/>
      </w:tcPr>
    </w:tblStylePr>
    <w:tblStylePr w:type="firstCol">
      <w:rPr>
        <w:b/>
        <w:bCs/>
      </w:rPr>
      <w:tblPr/>
      <w:tcPr>
        <w:tcBorders>
          <w:right w:val="nil"/>
        </w:tcBorders>
        <w:shd w:val="clear" w:color="auto" w:fill="A5A5A5"/>
      </w:tcPr>
    </w:tblStylePr>
    <w:tblStylePr w:type="lastCol">
      <w:rPr>
        <w:b/>
        <w:bCs/>
      </w:rPr>
      <w:tblPr/>
      <w:tcPr>
        <w:tcBorders>
          <w:left w:val="nil"/>
        </w:tcBorders>
        <w:shd w:val="clear" w:color="auto" w:fill="A5A5A5"/>
      </w:tcPr>
    </w:tblStylePr>
    <w:tblStylePr w:type="band1Vert">
      <w:tblPr/>
      <w:tcPr>
        <w:tcBorders>
          <w:left w:val="single" w:sz="4" w:space="0" w:color="58595B"/>
          <w:right w:val="single" w:sz="4" w:space="0" w:color="58595B"/>
        </w:tcBorders>
      </w:tcPr>
    </w:tblStylePr>
    <w:tblStylePr w:type="band1Horz">
      <w:tblPr/>
      <w:tcPr>
        <w:tcBorders>
          <w:top w:val="single" w:sz="4" w:space="0" w:color="58595B"/>
          <w:bottom w:val="single" w:sz="4" w:space="0" w:color="58595B"/>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8595B"/>
          <w:left w:val="nil"/>
        </w:tcBorders>
      </w:tcPr>
    </w:tblStylePr>
    <w:tblStylePr w:type="swCell">
      <w:tblPr/>
      <w:tcPr>
        <w:tcBorders>
          <w:top w:val="double" w:sz="4" w:space="0" w:color="58595B"/>
          <w:right w:val="nil"/>
        </w:tcBorders>
      </w:tcPr>
    </w:tblStylePr>
  </w:style>
  <w:style w:type="table" w:customStyle="1" w:styleId="ListTable3-Accent11">
    <w:name w:val="List Table 3 - Accent 11"/>
    <w:basedOn w:val="TableNormal"/>
    <w:next w:val="ListTable3-Accent1"/>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3AAA35"/>
        <w:left w:val="single" w:sz="4" w:space="0" w:color="3AAA35"/>
        <w:bottom w:val="single" w:sz="4" w:space="0" w:color="3AAA35"/>
        <w:right w:val="single" w:sz="4" w:space="0" w:color="3AAA35"/>
      </w:tblBorders>
    </w:tblPr>
    <w:tblStylePr w:type="firstRow">
      <w:rPr>
        <w:b/>
        <w:bCs/>
        <w:color w:val="A5A5A5"/>
      </w:rPr>
      <w:tblPr/>
      <w:tcPr>
        <w:shd w:val="clear" w:color="auto" w:fill="3AAA35"/>
      </w:tcPr>
    </w:tblStylePr>
    <w:tblStylePr w:type="lastRow">
      <w:rPr>
        <w:b/>
        <w:bCs/>
      </w:rPr>
      <w:tblPr/>
      <w:tcPr>
        <w:tcBorders>
          <w:top w:val="double" w:sz="4" w:space="0" w:color="3AAA35"/>
        </w:tcBorders>
        <w:shd w:val="clear" w:color="auto" w:fill="A5A5A5"/>
      </w:tcPr>
    </w:tblStylePr>
    <w:tblStylePr w:type="firstCol">
      <w:rPr>
        <w:b/>
        <w:bCs/>
      </w:rPr>
      <w:tblPr/>
      <w:tcPr>
        <w:tcBorders>
          <w:right w:val="nil"/>
        </w:tcBorders>
        <w:shd w:val="clear" w:color="auto" w:fill="A5A5A5"/>
      </w:tcPr>
    </w:tblStylePr>
    <w:tblStylePr w:type="lastCol">
      <w:rPr>
        <w:b/>
        <w:bCs/>
      </w:rPr>
      <w:tblPr/>
      <w:tcPr>
        <w:tcBorders>
          <w:left w:val="nil"/>
        </w:tcBorders>
        <w:shd w:val="clear" w:color="auto" w:fill="A5A5A5"/>
      </w:tcPr>
    </w:tblStylePr>
    <w:tblStylePr w:type="band1Vert">
      <w:tblPr/>
      <w:tcPr>
        <w:tcBorders>
          <w:left w:val="single" w:sz="4" w:space="0" w:color="3AAA35"/>
          <w:right w:val="single" w:sz="4" w:space="0" w:color="3AAA35"/>
        </w:tcBorders>
      </w:tcPr>
    </w:tblStylePr>
    <w:tblStylePr w:type="band1Horz">
      <w:tblPr/>
      <w:tcPr>
        <w:tcBorders>
          <w:top w:val="single" w:sz="4" w:space="0" w:color="3AAA35"/>
          <w:bottom w:val="single" w:sz="4" w:space="0" w:color="3AAA3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AAA35"/>
          <w:left w:val="nil"/>
        </w:tcBorders>
      </w:tcPr>
    </w:tblStylePr>
    <w:tblStylePr w:type="swCell">
      <w:tblPr/>
      <w:tcPr>
        <w:tcBorders>
          <w:top w:val="double" w:sz="4" w:space="0" w:color="3AAA35"/>
          <w:right w:val="nil"/>
        </w:tcBorders>
      </w:tcPr>
    </w:tblStylePr>
  </w:style>
  <w:style w:type="table" w:customStyle="1" w:styleId="ListTable3-Accent21">
    <w:name w:val="List Table 3 - Accent 21"/>
    <w:basedOn w:val="TableNormal"/>
    <w:next w:val="ListTable3-Accent2"/>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006633"/>
        <w:left w:val="single" w:sz="4" w:space="0" w:color="006633"/>
        <w:bottom w:val="single" w:sz="4" w:space="0" w:color="006633"/>
        <w:right w:val="single" w:sz="4" w:space="0" w:color="006633"/>
      </w:tblBorders>
    </w:tblPr>
    <w:tblStylePr w:type="firstRow">
      <w:rPr>
        <w:b/>
        <w:bCs/>
        <w:color w:val="A5A5A5"/>
      </w:rPr>
      <w:tblPr/>
      <w:tcPr>
        <w:shd w:val="clear" w:color="auto" w:fill="006633"/>
      </w:tcPr>
    </w:tblStylePr>
    <w:tblStylePr w:type="lastRow">
      <w:rPr>
        <w:b/>
        <w:bCs/>
      </w:rPr>
      <w:tblPr/>
      <w:tcPr>
        <w:tcBorders>
          <w:top w:val="double" w:sz="4" w:space="0" w:color="006633"/>
        </w:tcBorders>
        <w:shd w:val="clear" w:color="auto" w:fill="A5A5A5"/>
      </w:tcPr>
    </w:tblStylePr>
    <w:tblStylePr w:type="firstCol">
      <w:rPr>
        <w:b/>
        <w:bCs/>
      </w:rPr>
      <w:tblPr/>
      <w:tcPr>
        <w:tcBorders>
          <w:right w:val="nil"/>
        </w:tcBorders>
        <w:shd w:val="clear" w:color="auto" w:fill="A5A5A5"/>
      </w:tcPr>
    </w:tblStylePr>
    <w:tblStylePr w:type="lastCol">
      <w:rPr>
        <w:b/>
        <w:bCs/>
      </w:rPr>
      <w:tblPr/>
      <w:tcPr>
        <w:tcBorders>
          <w:left w:val="nil"/>
        </w:tcBorders>
        <w:shd w:val="clear" w:color="auto" w:fill="A5A5A5"/>
      </w:tcPr>
    </w:tblStylePr>
    <w:tblStylePr w:type="band1Vert">
      <w:tblPr/>
      <w:tcPr>
        <w:tcBorders>
          <w:left w:val="single" w:sz="4" w:space="0" w:color="006633"/>
          <w:right w:val="single" w:sz="4" w:space="0" w:color="006633"/>
        </w:tcBorders>
      </w:tcPr>
    </w:tblStylePr>
    <w:tblStylePr w:type="band1Horz">
      <w:tblPr/>
      <w:tcPr>
        <w:tcBorders>
          <w:top w:val="single" w:sz="4" w:space="0" w:color="006633"/>
          <w:bottom w:val="single" w:sz="4" w:space="0" w:color="00663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633"/>
          <w:left w:val="nil"/>
        </w:tcBorders>
      </w:tcPr>
    </w:tblStylePr>
    <w:tblStylePr w:type="swCell">
      <w:tblPr/>
      <w:tcPr>
        <w:tcBorders>
          <w:top w:val="double" w:sz="4" w:space="0" w:color="006633"/>
          <w:right w:val="nil"/>
        </w:tcBorders>
      </w:tcPr>
    </w:tblStylePr>
  </w:style>
  <w:style w:type="table" w:customStyle="1" w:styleId="ListTable3-Accent31">
    <w:name w:val="List Table 3 - Accent 31"/>
    <w:basedOn w:val="TableNormal"/>
    <w:next w:val="ListTable3-Accent3"/>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BCCF00"/>
        <w:left w:val="single" w:sz="4" w:space="0" w:color="BCCF00"/>
        <w:bottom w:val="single" w:sz="4" w:space="0" w:color="BCCF00"/>
        <w:right w:val="single" w:sz="4" w:space="0" w:color="BCCF00"/>
      </w:tblBorders>
    </w:tblPr>
    <w:tblStylePr w:type="firstRow">
      <w:rPr>
        <w:b/>
        <w:bCs/>
        <w:color w:val="A5A5A5"/>
      </w:rPr>
      <w:tblPr/>
      <w:tcPr>
        <w:shd w:val="clear" w:color="auto" w:fill="BCCF00"/>
      </w:tcPr>
    </w:tblStylePr>
    <w:tblStylePr w:type="lastRow">
      <w:rPr>
        <w:b/>
        <w:bCs/>
      </w:rPr>
      <w:tblPr/>
      <w:tcPr>
        <w:tcBorders>
          <w:top w:val="double" w:sz="4" w:space="0" w:color="BCCF00"/>
        </w:tcBorders>
        <w:shd w:val="clear" w:color="auto" w:fill="A5A5A5"/>
      </w:tcPr>
    </w:tblStylePr>
    <w:tblStylePr w:type="firstCol">
      <w:rPr>
        <w:b/>
        <w:bCs/>
      </w:rPr>
      <w:tblPr/>
      <w:tcPr>
        <w:tcBorders>
          <w:right w:val="nil"/>
        </w:tcBorders>
        <w:shd w:val="clear" w:color="auto" w:fill="A5A5A5"/>
      </w:tcPr>
    </w:tblStylePr>
    <w:tblStylePr w:type="lastCol">
      <w:rPr>
        <w:b/>
        <w:bCs/>
      </w:rPr>
      <w:tblPr/>
      <w:tcPr>
        <w:tcBorders>
          <w:left w:val="nil"/>
        </w:tcBorders>
        <w:shd w:val="clear" w:color="auto" w:fill="A5A5A5"/>
      </w:tcPr>
    </w:tblStylePr>
    <w:tblStylePr w:type="band1Vert">
      <w:tblPr/>
      <w:tcPr>
        <w:tcBorders>
          <w:left w:val="single" w:sz="4" w:space="0" w:color="BCCF00"/>
          <w:right w:val="single" w:sz="4" w:space="0" w:color="BCCF00"/>
        </w:tcBorders>
      </w:tcPr>
    </w:tblStylePr>
    <w:tblStylePr w:type="band1Horz">
      <w:tblPr/>
      <w:tcPr>
        <w:tcBorders>
          <w:top w:val="single" w:sz="4" w:space="0" w:color="BCCF00"/>
          <w:bottom w:val="single" w:sz="4" w:space="0" w:color="BCCF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CCF00"/>
          <w:left w:val="nil"/>
        </w:tcBorders>
      </w:tcPr>
    </w:tblStylePr>
    <w:tblStylePr w:type="swCell">
      <w:tblPr/>
      <w:tcPr>
        <w:tcBorders>
          <w:top w:val="double" w:sz="4" w:space="0" w:color="BCCF00"/>
          <w:right w:val="nil"/>
        </w:tcBorders>
      </w:tcPr>
    </w:tblStylePr>
  </w:style>
  <w:style w:type="table" w:customStyle="1" w:styleId="ListTable3-Accent41">
    <w:name w:val="List Table 3 - Accent 41"/>
    <w:basedOn w:val="TableNormal"/>
    <w:next w:val="ListTable3-Accent4"/>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FAD500"/>
        <w:left w:val="single" w:sz="4" w:space="0" w:color="FAD500"/>
        <w:bottom w:val="single" w:sz="4" w:space="0" w:color="FAD500"/>
        <w:right w:val="single" w:sz="4" w:space="0" w:color="FAD500"/>
      </w:tblBorders>
    </w:tblPr>
    <w:tblStylePr w:type="firstRow">
      <w:rPr>
        <w:b/>
        <w:bCs/>
        <w:color w:val="A5A5A5"/>
      </w:rPr>
      <w:tblPr/>
      <w:tcPr>
        <w:shd w:val="clear" w:color="auto" w:fill="FAD500"/>
      </w:tcPr>
    </w:tblStylePr>
    <w:tblStylePr w:type="lastRow">
      <w:rPr>
        <w:b/>
        <w:bCs/>
      </w:rPr>
      <w:tblPr/>
      <w:tcPr>
        <w:tcBorders>
          <w:top w:val="double" w:sz="4" w:space="0" w:color="FAD500"/>
        </w:tcBorders>
        <w:shd w:val="clear" w:color="auto" w:fill="A5A5A5"/>
      </w:tcPr>
    </w:tblStylePr>
    <w:tblStylePr w:type="firstCol">
      <w:rPr>
        <w:b/>
        <w:bCs/>
      </w:rPr>
      <w:tblPr/>
      <w:tcPr>
        <w:tcBorders>
          <w:right w:val="nil"/>
        </w:tcBorders>
        <w:shd w:val="clear" w:color="auto" w:fill="A5A5A5"/>
      </w:tcPr>
    </w:tblStylePr>
    <w:tblStylePr w:type="lastCol">
      <w:rPr>
        <w:b/>
        <w:bCs/>
      </w:rPr>
      <w:tblPr/>
      <w:tcPr>
        <w:tcBorders>
          <w:left w:val="nil"/>
        </w:tcBorders>
        <w:shd w:val="clear" w:color="auto" w:fill="A5A5A5"/>
      </w:tcPr>
    </w:tblStylePr>
    <w:tblStylePr w:type="band1Vert">
      <w:tblPr/>
      <w:tcPr>
        <w:tcBorders>
          <w:left w:val="single" w:sz="4" w:space="0" w:color="FAD500"/>
          <w:right w:val="single" w:sz="4" w:space="0" w:color="FAD500"/>
        </w:tcBorders>
      </w:tcPr>
    </w:tblStylePr>
    <w:tblStylePr w:type="band1Horz">
      <w:tblPr/>
      <w:tcPr>
        <w:tcBorders>
          <w:top w:val="single" w:sz="4" w:space="0" w:color="FAD500"/>
          <w:bottom w:val="single" w:sz="4" w:space="0" w:color="FAD5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AD500"/>
          <w:left w:val="nil"/>
        </w:tcBorders>
      </w:tcPr>
    </w:tblStylePr>
    <w:tblStylePr w:type="swCell">
      <w:tblPr/>
      <w:tcPr>
        <w:tcBorders>
          <w:top w:val="double" w:sz="4" w:space="0" w:color="FAD500"/>
          <w:right w:val="nil"/>
        </w:tcBorders>
      </w:tcPr>
    </w:tblStylePr>
  </w:style>
  <w:style w:type="table" w:customStyle="1" w:styleId="ListTable3-Accent51">
    <w:name w:val="List Table 3 - Accent 51"/>
    <w:basedOn w:val="TableNormal"/>
    <w:next w:val="ListTable3-Accent5"/>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F29D00"/>
        <w:left w:val="single" w:sz="4" w:space="0" w:color="F29D00"/>
        <w:bottom w:val="single" w:sz="4" w:space="0" w:color="F29D00"/>
        <w:right w:val="single" w:sz="4" w:space="0" w:color="F29D00"/>
      </w:tblBorders>
    </w:tblPr>
    <w:tblStylePr w:type="firstRow">
      <w:rPr>
        <w:b/>
        <w:bCs/>
        <w:color w:val="A5A5A5"/>
      </w:rPr>
      <w:tblPr/>
      <w:tcPr>
        <w:shd w:val="clear" w:color="auto" w:fill="F29D00"/>
      </w:tcPr>
    </w:tblStylePr>
    <w:tblStylePr w:type="lastRow">
      <w:rPr>
        <w:b/>
        <w:bCs/>
      </w:rPr>
      <w:tblPr/>
      <w:tcPr>
        <w:tcBorders>
          <w:top w:val="double" w:sz="4" w:space="0" w:color="F29D00"/>
        </w:tcBorders>
        <w:shd w:val="clear" w:color="auto" w:fill="A5A5A5"/>
      </w:tcPr>
    </w:tblStylePr>
    <w:tblStylePr w:type="firstCol">
      <w:rPr>
        <w:b/>
        <w:bCs/>
      </w:rPr>
      <w:tblPr/>
      <w:tcPr>
        <w:tcBorders>
          <w:right w:val="nil"/>
        </w:tcBorders>
        <w:shd w:val="clear" w:color="auto" w:fill="A5A5A5"/>
      </w:tcPr>
    </w:tblStylePr>
    <w:tblStylePr w:type="lastCol">
      <w:rPr>
        <w:b/>
        <w:bCs/>
      </w:rPr>
      <w:tblPr/>
      <w:tcPr>
        <w:tcBorders>
          <w:left w:val="nil"/>
        </w:tcBorders>
        <w:shd w:val="clear" w:color="auto" w:fill="A5A5A5"/>
      </w:tcPr>
    </w:tblStylePr>
    <w:tblStylePr w:type="band1Vert">
      <w:tblPr/>
      <w:tcPr>
        <w:tcBorders>
          <w:left w:val="single" w:sz="4" w:space="0" w:color="F29D00"/>
          <w:right w:val="single" w:sz="4" w:space="0" w:color="F29D00"/>
        </w:tcBorders>
      </w:tcPr>
    </w:tblStylePr>
    <w:tblStylePr w:type="band1Horz">
      <w:tblPr/>
      <w:tcPr>
        <w:tcBorders>
          <w:top w:val="single" w:sz="4" w:space="0" w:color="F29D00"/>
          <w:bottom w:val="single" w:sz="4" w:space="0" w:color="F29D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29D00"/>
          <w:left w:val="nil"/>
        </w:tcBorders>
      </w:tcPr>
    </w:tblStylePr>
    <w:tblStylePr w:type="swCell">
      <w:tblPr/>
      <w:tcPr>
        <w:tcBorders>
          <w:top w:val="double" w:sz="4" w:space="0" w:color="F29D00"/>
          <w:right w:val="nil"/>
        </w:tcBorders>
      </w:tcPr>
    </w:tblStylePr>
  </w:style>
  <w:style w:type="table" w:customStyle="1" w:styleId="ListTable3-Accent61">
    <w:name w:val="List Table 3 - Accent 61"/>
    <w:basedOn w:val="TableNormal"/>
    <w:next w:val="ListTable3-Accent6"/>
    <w:uiPriority w:val="48"/>
    <w:rsid w:val="00F90100"/>
    <w:pPr>
      <w:spacing w:after="0" w:line="240" w:lineRule="auto"/>
      <w:jc w:val="both"/>
    </w:pPr>
    <w:rPr>
      <w:rFonts w:ascii="Arial" w:hAnsi="Arial"/>
      <w:color w:val="58595B"/>
      <w:sz w:val="20"/>
      <w:lang w:val="nl-BE"/>
    </w:rPr>
    <w:tblPr>
      <w:tblStyleRowBandSize w:val="1"/>
      <w:tblStyleColBandSize w:val="1"/>
      <w:tblBorders>
        <w:top w:val="single" w:sz="4" w:space="0" w:color="C85019"/>
        <w:left w:val="single" w:sz="4" w:space="0" w:color="C85019"/>
        <w:bottom w:val="single" w:sz="4" w:space="0" w:color="C85019"/>
        <w:right w:val="single" w:sz="4" w:space="0" w:color="C85019"/>
      </w:tblBorders>
    </w:tblPr>
    <w:tblStylePr w:type="firstRow">
      <w:rPr>
        <w:b/>
        <w:bCs/>
        <w:color w:val="A5A5A5"/>
      </w:rPr>
      <w:tblPr/>
      <w:tcPr>
        <w:shd w:val="clear" w:color="auto" w:fill="C85019"/>
      </w:tcPr>
    </w:tblStylePr>
    <w:tblStylePr w:type="lastRow">
      <w:rPr>
        <w:b/>
        <w:bCs/>
      </w:rPr>
      <w:tblPr/>
      <w:tcPr>
        <w:tcBorders>
          <w:top w:val="double" w:sz="4" w:space="0" w:color="C85019"/>
        </w:tcBorders>
        <w:shd w:val="clear" w:color="auto" w:fill="A5A5A5"/>
      </w:tcPr>
    </w:tblStylePr>
    <w:tblStylePr w:type="firstCol">
      <w:rPr>
        <w:b/>
        <w:bCs/>
      </w:rPr>
      <w:tblPr/>
      <w:tcPr>
        <w:tcBorders>
          <w:right w:val="nil"/>
        </w:tcBorders>
        <w:shd w:val="clear" w:color="auto" w:fill="A5A5A5"/>
      </w:tcPr>
    </w:tblStylePr>
    <w:tblStylePr w:type="lastCol">
      <w:rPr>
        <w:b/>
        <w:bCs/>
      </w:rPr>
      <w:tblPr/>
      <w:tcPr>
        <w:tcBorders>
          <w:left w:val="nil"/>
        </w:tcBorders>
        <w:shd w:val="clear" w:color="auto" w:fill="A5A5A5"/>
      </w:tcPr>
    </w:tblStylePr>
    <w:tblStylePr w:type="band1Vert">
      <w:tblPr/>
      <w:tcPr>
        <w:tcBorders>
          <w:left w:val="single" w:sz="4" w:space="0" w:color="C85019"/>
          <w:right w:val="single" w:sz="4" w:space="0" w:color="C85019"/>
        </w:tcBorders>
      </w:tcPr>
    </w:tblStylePr>
    <w:tblStylePr w:type="band1Horz">
      <w:tblPr/>
      <w:tcPr>
        <w:tcBorders>
          <w:top w:val="single" w:sz="4" w:space="0" w:color="C85019"/>
          <w:bottom w:val="single" w:sz="4" w:space="0" w:color="C85019"/>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85019"/>
          <w:left w:val="nil"/>
        </w:tcBorders>
      </w:tcPr>
    </w:tblStylePr>
    <w:tblStylePr w:type="swCell">
      <w:tblPr/>
      <w:tcPr>
        <w:tcBorders>
          <w:top w:val="double" w:sz="4" w:space="0" w:color="C85019"/>
          <w:right w:val="nil"/>
        </w:tcBorders>
      </w:tcPr>
    </w:tblStylePr>
  </w:style>
  <w:style w:type="table" w:customStyle="1" w:styleId="ListTable41">
    <w:name w:val="List Table 41"/>
    <w:basedOn w:val="TableNormal"/>
    <w:next w:val="ListTable4"/>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9A9B9D"/>
        <w:left w:val="single" w:sz="4" w:space="0" w:color="9A9B9D"/>
        <w:bottom w:val="single" w:sz="4" w:space="0" w:color="9A9B9D"/>
        <w:right w:val="single" w:sz="4" w:space="0" w:color="9A9B9D"/>
        <w:insideH w:val="single" w:sz="4" w:space="0" w:color="9A9B9D"/>
      </w:tblBorders>
    </w:tblPr>
    <w:tblStylePr w:type="firstRow">
      <w:rPr>
        <w:b/>
        <w:bCs/>
        <w:color w:val="A5A5A5"/>
      </w:rPr>
      <w:tblPr/>
      <w:tcPr>
        <w:tcBorders>
          <w:top w:val="single" w:sz="4" w:space="0" w:color="58595B"/>
          <w:left w:val="single" w:sz="4" w:space="0" w:color="58595B"/>
          <w:bottom w:val="single" w:sz="4" w:space="0" w:color="58595B"/>
          <w:right w:val="single" w:sz="4" w:space="0" w:color="58595B"/>
          <w:insideH w:val="nil"/>
        </w:tcBorders>
        <w:shd w:val="clear" w:color="auto" w:fill="58595B"/>
      </w:tcPr>
    </w:tblStylePr>
    <w:tblStylePr w:type="lastRow">
      <w:rPr>
        <w:b/>
        <w:bCs/>
      </w:rPr>
      <w:tblPr/>
      <w:tcPr>
        <w:tcBorders>
          <w:top w:val="double" w:sz="4" w:space="0" w:color="9A9B9D"/>
        </w:tcBorders>
      </w:tcPr>
    </w:tblStylePr>
    <w:tblStylePr w:type="firstCol">
      <w:rPr>
        <w:b/>
        <w:bCs/>
      </w:rPr>
    </w:tblStylePr>
    <w:tblStylePr w:type="lastCol">
      <w:rPr>
        <w:b/>
        <w:bCs/>
      </w:rPr>
    </w:tblStylePr>
    <w:tblStylePr w:type="band1Vert">
      <w:tblPr/>
      <w:tcPr>
        <w:shd w:val="clear" w:color="auto" w:fill="DDDDDE"/>
      </w:tcPr>
    </w:tblStylePr>
    <w:tblStylePr w:type="band1Horz">
      <w:tblPr/>
      <w:tcPr>
        <w:shd w:val="clear" w:color="auto" w:fill="DDDDDE"/>
      </w:tcPr>
    </w:tblStylePr>
  </w:style>
  <w:style w:type="table" w:customStyle="1" w:styleId="ListTable4-Accent11">
    <w:name w:val="List Table 4 - Accent 11"/>
    <w:basedOn w:val="TableNormal"/>
    <w:next w:val="ListTable4-Accent1"/>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7FD67B"/>
        <w:left w:val="single" w:sz="4" w:space="0" w:color="7FD67B"/>
        <w:bottom w:val="single" w:sz="4" w:space="0" w:color="7FD67B"/>
        <w:right w:val="single" w:sz="4" w:space="0" w:color="7FD67B"/>
        <w:insideH w:val="single" w:sz="4" w:space="0" w:color="7FD67B"/>
      </w:tblBorders>
    </w:tblPr>
    <w:tblStylePr w:type="firstRow">
      <w:rPr>
        <w:b/>
        <w:bCs/>
        <w:color w:val="A5A5A5"/>
      </w:rPr>
      <w:tblPr/>
      <w:tcPr>
        <w:tcBorders>
          <w:top w:val="single" w:sz="4" w:space="0" w:color="3AAA35"/>
          <w:left w:val="single" w:sz="4" w:space="0" w:color="3AAA35"/>
          <w:bottom w:val="single" w:sz="4" w:space="0" w:color="3AAA35"/>
          <w:right w:val="single" w:sz="4" w:space="0" w:color="3AAA35"/>
          <w:insideH w:val="nil"/>
        </w:tcBorders>
        <w:shd w:val="clear" w:color="auto" w:fill="3AAA35"/>
      </w:tcPr>
    </w:tblStylePr>
    <w:tblStylePr w:type="lastRow">
      <w:rPr>
        <w:b/>
        <w:bCs/>
      </w:rPr>
      <w:tblPr/>
      <w:tcPr>
        <w:tcBorders>
          <w:top w:val="double" w:sz="4" w:space="0" w:color="7FD67B"/>
        </w:tcBorders>
      </w:tcPr>
    </w:tblStylePr>
    <w:tblStylePr w:type="firstCol">
      <w:rPr>
        <w:b/>
        <w:bCs/>
      </w:rPr>
    </w:tblStylePr>
    <w:tblStylePr w:type="lastCol">
      <w:rPr>
        <w:b/>
        <w:bCs/>
      </w:rPr>
    </w:tblStylePr>
    <w:tblStylePr w:type="band1Vert">
      <w:tblPr/>
      <w:tcPr>
        <w:shd w:val="clear" w:color="auto" w:fill="D4F1D3"/>
      </w:tcPr>
    </w:tblStylePr>
    <w:tblStylePr w:type="band1Horz">
      <w:tblPr/>
      <w:tcPr>
        <w:shd w:val="clear" w:color="auto" w:fill="D4F1D3"/>
      </w:tcPr>
    </w:tblStylePr>
  </w:style>
  <w:style w:type="table" w:customStyle="1" w:styleId="ListTable4-Accent21">
    <w:name w:val="List Table 4 - Accent 21"/>
    <w:basedOn w:val="TableNormal"/>
    <w:next w:val="ListTable4-Accent2"/>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0AFF84"/>
        <w:left w:val="single" w:sz="4" w:space="0" w:color="0AFF84"/>
        <w:bottom w:val="single" w:sz="4" w:space="0" w:color="0AFF84"/>
        <w:right w:val="single" w:sz="4" w:space="0" w:color="0AFF84"/>
        <w:insideH w:val="single" w:sz="4" w:space="0" w:color="0AFF84"/>
      </w:tblBorders>
    </w:tblPr>
    <w:tblStylePr w:type="firstRow">
      <w:rPr>
        <w:b/>
        <w:bCs/>
        <w:color w:val="A5A5A5"/>
      </w:rPr>
      <w:tblPr/>
      <w:tcPr>
        <w:tcBorders>
          <w:top w:val="single" w:sz="4" w:space="0" w:color="006633"/>
          <w:left w:val="single" w:sz="4" w:space="0" w:color="006633"/>
          <w:bottom w:val="single" w:sz="4" w:space="0" w:color="006633"/>
          <w:right w:val="single" w:sz="4" w:space="0" w:color="006633"/>
          <w:insideH w:val="nil"/>
        </w:tcBorders>
        <w:shd w:val="clear" w:color="auto" w:fill="006633"/>
      </w:tcPr>
    </w:tblStylePr>
    <w:tblStylePr w:type="lastRow">
      <w:rPr>
        <w:b/>
        <w:bCs/>
      </w:rPr>
      <w:tblPr/>
      <w:tcPr>
        <w:tcBorders>
          <w:top w:val="double" w:sz="4" w:space="0" w:color="0AFF84"/>
        </w:tcBorders>
      </w:tcPr>
    </w:tblStylePr>
    <w:tblStylePr w:type="firstCol">
      <w:rPr>
        <w:b/>
        <w:bCs/>
      </w:rPr>
    </w:tblStylePr>
    <w:tblStylePr w:type="lastCol">
      <w:rPr>
        <w:b/>
        <w:bCs/>
      </w:rPr>
    </w:tblStylePr>
    <w:tblStylePr w:type="band1Vert">
      <w:tblPr/>
      <w:tcPr>
        <w:shd w:val="clear" w:color="auto" w:fill="ADFFD6"/>
      </w:tcPr>
    </w:tblStylePr>
    <w:tblStylePr w:type="band1Horz">
      <w:tblPr/>
      <w:tcPr>
        <w:shd w:val="clear" w:color="auto" w:fill="ADFFD6"/>
      </w:tcPr>
    </w:tblStylePr>
  </w:style>
  <w:style w:type="table" w:customStyle="1" w:styleId="ListTable4-Accent31">
    <w:name w:val="List Table 4 - Accent 31"/>
    <w:basedOn w:val="TableNormal"/>
    <w:next w:val="ListTable4-Accent3"/>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EDFF49"/>
        <w:left w:val="single" w:sz="4" w:space="0" w:color="EDFF49"/>
        <w:bottom w:val="single" w:sz="4" w:space="0" w:color="EDFF49"/>
        <w:right w:val="single" w:sz="4" w:space="0" w:color="EDFF49"/>
        <w:insideH w:val="single" w:sz="4" w:space="0" w:color="EDFF49"/>
      </w:tblBorders>
    </w:tblPr>
    <w:tblStylePr w:type="firstRow">
      <w:rPr>
        <w:b/>
        <w:bCs/>
        <w:color w:val="A5A5A5"/>
      </w:rPr>
      <w:tblPr/>
      <w:tcPr>
        <w:tcBorders>
          <w:top w:val="single" w:sz="4" w:space="0" w:color="BCCF00"/>
          <w:left w:val="single" w:sz="4" w:space="0" w:color="BCCF00"/>
          <w:bottom w:val="single" w:sz="4" w:space="0" w:color="BCCF00"/>
          <w:right w:val="single" w:sz="4" w:space="0" w:color="BCCF00"/>
          <w:insideH w:val="nil"/>
        </w:tcBorders>
        <w:shd w:val="clear" w:color="auto" w:fill="BCCF00"/>
      </w:tcPr>
    </w:tblStylePr>
    <w:tblStylePr w:type="lastRow">
      <w:rPr>
        <w:b/>
        <w:bCs/>
      </w:rPr>
      <w:tblPr/>
      <w:tcPr>
        <w:tcBorders>
          <w:top w:val="double" w:sz="4" w:space="0" w:color="EDFF49"/>
        </w:tcBorders>
      </w:tcPr>
    </w:tblStylePr>
    <w:tblStylePr w:type="firstCol">
      <w:rPr>
        <w:b/>
        <w:bCs/>
      </w:rPr>
    </w:tblStylePr>
    <w:tblStylePr w:type="lastCol">
      <w:rPr>
        <w:b/>
        <w:bCs/>
      </w:rPr>
    </w:tblStylePr>
    <w:tblStylePr w:type="band1Vert">
      <w:tblPr/>
      <w:tcPr>
        <w:shd w:val="clear" w:color="auto" w:fill="F9FFC2"/>
      </w:tcPr>
    </w:tblStylePr>
    <w:tblStylePr w:type="band1Horz">
      <w:tblPr/>
      <w:tcPr>
        <w:shd w:val="clear" w:color="auto" w:fill="F9FFC2"/>
      </w:tcPr>
    </w:tblStylePr>
  </w:style>
  <w:style w:type="table" w:customStyle="1" w:styleId="ListTable4-Accent41">
    <w:name w:val="List Table 4 - Accent 41"/>
    <w:basedOn w:val="TableNormal"/>
    <w:next w:val="ListTable4-Accent4"/>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FFE763"/>
        <w:left w:val="single" w:sz="4" w:space="0" w:color="FFE763"/>
        <w:bottom w:val="single" w:sz="4" w:space="0" w:color="FFE763"/>
        <w:right w:val="single" w:sz="4" w:space="0" w:color="FFE763"/>
        <w:insideH w:val="single" w:sz="4" w:space="0" w:color="FFE763"/>
      </w:tblBorders>
    </w:tblPr>
    <w:tblStylePr w:type="firstRow">
      <w:rPr>
        <w:b/>
        <w:bCs/>
        <w:color w:val="A5A5A5"/>
      </w:rPr>
      <w:tblPr/>
      <w:tcPr>
        <w:tcBorders>
          <w:top w:val="single" w:sz="4" w:space="0" w:color="FAD500"/>
          <w:left w:val="single" w:sz="4" w:space="0" w:color="FAD500"/>
          <w:bottom w:val="single" w:sz="4" w:space="0" w:color="FAD500"/>
          <w:right w:val="single" w:sz="4" w:space="0" w:color="FAD500"/>
          <w:insideH w:val="nil"/>
        </w:tcBorders>
        <w:shd w:val="clear" w:color="auto" w:fill="FAD500"/>
      </w:tcPr>
    </w:tblStylePr>
    <w:tblStylePr w:type="lastRow">
      <w:rPr>
        <w:b/>
        <w:bCs/>
      </w:rPr>
      <w:tblPr/>
      <w:tcPr>
        <w:tcBorders>
          <w:top w:val="double" w:sz="4" w:space="0" w:color="FFE763"/>
        </w:tcBorders>
      </w:tcPr>
    </w:tblStylePr>
    <w:tblStylePr w:type="firstCol">
      <w:rPr>
        <w:b/>
        <w:bCs/>
      </w:rPr>
    </w:tblStylePr>
    <w:tblStylePr w:type="lastCol">
      <w:rPr>
        <w:b/>
        <w:bCs/>
      </w:rPr>
    </w:tblStylePr>
    <w:tblStylePr w:type="band1Vert">
      <w:tblPr/>
      <w:tcPr>
        <w:shd w:val="clear" w:color="auto" w:fill="FFF7CB"/>
      </w:tcPr>
    </w:tblStylePr>
    <w:tblStylePr w:type="band1Horz">
      <w:tblPr/>
      <w:tcPr>
        <w:shd w:val="clear" w:color="auto" w:fill="FFF7CB"/>
      </w:tcPr>
    </w:tblStylePr>
  </w:style>
  <w:style w:type="table" w:customStyle="1" w:styleId="ListTable4-Accent51">
    <w:name w:val="List Table 4 - Accent 51"/>
    <w:basedOn w:val="TableNormal"/>
    <w:next w:val="ListTable4-Accent5"/>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FFC65E"/>
        <w:left w:val="single" w:sz="4" w:space="0" w:color="FFC65E"/>
        <w:bottom w:val="single" w:sz="4" w:space="0" w:color="FFC65E"/>
        <w:right w:val="single" w:sz="4" w:space="0" w:color="FFC65E"/>
        <w:insideH w:val="single" w:sz="4" w:space="0" w:color="FFC65E"/>
      </w:tblBorders>
    </w:tblPr>
    <w:tblStylePr w:type="firstRow">
      <w:rPr>
        <w:b/>
        <w:bCs/>
        <w:color w:val="A5A5A5"/>
      </w:rPr>
      <w:tblPr/>
      <w:tcPr>
        <w:tcBorders>
          <w:top w:val="single" w:sz="4" w:space="0" w:color="F29D00"/>
          <w:left w:val="single" w:sz="4" w:space="0" w:color="F29D00"/>
          <w:bottom w:val="single" w:sz="4" w:space="0" w:color="F29D00"/>
          <w:right w:val="single" w:sz="4" w:space="0" w:color="F29D00"/>
          <w:insideH w:val="nil"/>
        </w:tcBorders>
        <w:shd w:val="clear" w:color="auto" w:fill="F29D00"/>
      </w:tcPr>
    </w:tblStylePr>
    <w:tblStylePr w:type="lastRow">
      <w:rPr>
        <w:b/>
        <w:bCs/>
      </w:rPr>
      <w:tblPr/>
      <w:tcPr>
        <w:tcBorders>
          <w:top w:val="double" w:sz="4" w:space="0" w:color="FFC65E"/>
        </w:tcBorders>
      </w:tcPr>
    </w:tblStylePr>
    <w:tblStylePr w:type="firstCol">
      <w:rPr>
        <w:b/>
        <w:bCs/>
      </w:rPr>
    </w:tblStylePr>
    <w:tblStylePr w:type="lastCol">
      <w:rPr>
        <w:b/>
        <w:bCs/>
      </w:rPr>
    </w:tblStylePr>
    <w:tblStylePr w:type="band1Vert">
      <w:tblPr/>
      <w:tcPr>
        <w:shd w:val="clear" w:color="auto" w:fill="FFECC9"/>
      </w:tcPr>
    </w:tblStylePr>
    <w:tblStylePr w:type="band1Horz">
      <w:tblPr/>
      <w:tcPr>
        <w:shd w:val="clear" w:color="auto" w:fill="FFECC9"/>
      </w:tcPr>
    </w:tblStylePr>
  </w:style>
  <w:style w:type="table" w:customStyle="1" w:styleId="ListTable4-Accent61">
    <w:name w:val="List Table 4 - Accent 61"/>
    <w:basedOn w:val="TableNormal"/>
    <w:next w:val="ListTable4-Accent6"/>
    <w:uiPriority w:val="49"/>
    <w:rsid w:val="00F90100"/>
    <w:pPr>
      <w:spacing w:after="0" w:line="240" w:lineRule="auto"/>
      <w:jc w:val="both"/>
    </w:pPr>
    <w:rPr>
      <w:rFonts w:ascii="Arial" w:hAnsi="Arial"/>
      <w:color w:val="58595B"/>
      <w:sz w:val="20"/>
      <w:lang w:val="nl-BE"/>
    </w:rPr>
    <w:tblPr>
      <w:tblStyleRowBandSize w:val="1"/>
      <w:tblStyleColBandSize w:val="1"/>
      <w:tblBorders>
        <w:top w:val="single" w:sz="4" w:space="0" w:color="EC9067"/>
        <w:left w:val="single" w:sz="4" w:space="0" w:color="EC9067"/>
        <w:bottom w:val="single" w:sz="4" w:space="0" w:color="EC9067"/>
        <w:right w:val="single" w:sz="4" w:space="0" w:color="EC9067"/>
        <w:insideH w:val="single" w:sz="4" w:space="0" w:color="EC9067"/>
      </w:tblBorders>
    </w:tblPr>
    <w:tblStylePr w:type="firstRow">
      <w:rPr>
        <w:b/>
        <w:bCs/>
        <w:color w:val="A5A5A5"/>
      </w:rPr>
      <w:tblPr/>
      <w:tcPr>
        <w:tcBorders>
          <w:top w:val="single" w:sz="4" w:space="0" w:color="C85019"/>
          <w:left w:val="single" w:sz="4" w:space="0" w:color="C85019"/>
          <w:bottom w:val="single" w:sz="4" w:space="0" w:color="C85019"/>
          <w:right w:val="single" w:sz="4" w:space="0" w:color="C85019"/>
          <w:insideH w:val="nil"/>
        </w:tcBorders>
        <w:shd w:val="clear" w:color="auto" w:fill="C85019"/>
      </w:tcPr>
    </w:tblStylePr>
    <w:tblStylePr w:type="lastRow">
      <w:rPr>
        <w:b/>
        <w:bCs/>
      </w:rPr>
      <w:tblPr/>
      <w:tcPr>
        <w:tcBorders>
          <w:top w:val="double" w:sz="4" w:space="0" w:color="EC9067"/>
        </w:tcBorders>
      </w:tcPr>
    </w:tblStylePr>
    <w:tblStylePr w:type="firstCol">
      <w:rPr>
        <w:b/>
        <w:bCs/>
      </w:rPr>
    </w:tblStylePr>
    <w:tblStylePr w:type="lastCol">
      <w:rPr>
        <w:b/>
        <w:bCs/>
      </w:rPr>
    </w:tblStylePr>
    <w:tblStylePr w:type="band1Vert">
      <w:tblPr/>
      <w:tcPr>
        <w:shd w:val="clear" w:color="auto" w:fill="F8DACC"/>
      </w:tcPr>
    </w:tblStylePr>
    <w:tblStylePr w:type="band1Horz">
      <w:tblPr/>
      <w:tcPr>
        <w:shd w:val="clear" w:color="auto" w:fill="F8DACC"/>
      </w:tcPr>
    </w:tblStylePr>
  </w:style>
  <w:style w:type="table" w:customStyle="1" w:styleId="ListTable5Dark1">
    <w:name w:val="List Table 5 Dark1"/>
    <w:basedOn w:val="TableNormal"/>
    <w:next w:val="ListTable5Dark"/>
    <w:uiPriority w:val="50"/>
    <w:rsid w:val="00F90100"/>
    <w:pPr>
      <w:spacing w:after="0" w:line="240" w:lineRule="auto"/>
      <w:jc w:val="both"/>
    </w:pPr>
    <w:rPr>
      <w:rFonts w:ascii="Arial" w:hAnsi="Arial"/>
      <w:color w:val="A5A5A5"/>
      <w:sz w:val="20"/>
      <w:lang w:val="nl-BE"/>
    </w:rPr>
    <w:tblPr>
      <w:tblStyleRowBandSize w:val="1"/>
      <w:tblStyleColBandSize w:val="1"/>
      <w:tblBorders>
        <w:top w:val="single" w:sz="24" w:space="0" w:color="58595B"/>
        <w:left w:val="single" w:sz="24" w:space="0" w:color="58595B"/>
        <w:bottom w:val="single" w:sz="24" w:space="0" w:color="58595B"/>
        <w:right w:val="single" w:sz="24" w:space="0" w:color="58595B"/>
      </w:tblBorders>
    </w:tblPr>
    <w:tcPr>
      <w:shd w:val="clear" w:color="auto" w:fill="58595B"/>
    </w:tcPr>
    <w:tblStylePr w:type="firstRow">
      <w:rPr>
        <w:b/>
        <w:bCs/>
      </w:rPr>
      <w:tblPr/>
      <w:tcPr>
        <w:tcBorders>
          <w:bottom w:val="single" w:sz="18" w:space="0" w:color="A5A5A5"/>
        </w:tcBorders>
      </w:tcPr>
    </w:tblStylePr>
    <w:tblStylePr w:type="lastRow">
      <w:rPr>
        <w:b/>
        <w:bCs/>
      </w:rPr>
      <w:tblPr/>
      <w:tcPr>
        <w:tcBorders>
          <w:top w:val="single" w:sz="4" w:space="0" w:color="A5A5A5"/>
        </w:tcBorders>
      </w:tcPr>
    </w:tblStylePr>
    <w:tblStylePr w:type="firstCol">
      <w:rPr>
        <w:b/>
        <w:bCs/>
      </w:rPr>
      <w:tblPr/>
      <w:tcPr>
        <w:tcBorders>
          <w:right w:val="single" w:sz="4" w:space="0" w:color="A5A5A5"/>
        </w:tcBorders>
      </w:tcPr>
    </w:tblStylePr>
    <w:tblStylePr w:type="lastCol">
      <w:rPr>
        <w:b/>
        <w:bCs/>
      </w:rPr>
      <w:tblPr/>
      <w:tcPr>
        <w:tcBorders>
          <w:left w:val="single" w:sz="4" w:space="0" w:color="A5A5A5"/>
        </w:tcBorders>
      </w:tcPr>
    </w:tblStylePr>
    <w:tblStylePr w:type="band1Vert">
      <w:tblPr/>
      <w:tcPr>
        <w:tcBorders>
          <w:left w:val="single" w:sz="4" w:space="0" w:color="A5A5A5"/>
          <w:right w:val="single" w:sz="4" w:space="0" w:color="A5A5A5"/>
        </w:tcBorders>
      </w:tcPr>
    </w:tblStylePr>
    <w:tblStylePr w:type="band2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11">
    <w:name w:val="List Table 5 Dark - Accent 11"/>
    <w:basedOn w:val="TableNormal"/>
    <w:next w:val="ListTable5Dark-Accent1"/>
    <w:uiPriority w:val="50"/>
    <w:rsid w:val="00F90100"/>
    <w:pPr>
      <w:spacing w:after="0" w:line="240" w:lineRule="auto"/>
      <w:jc w:val="both"/>
    </w:pPr>
    <w:rPr>
      <w:rFonts w:ascii="Arial" w:hAnsi="Arial"/>
      <w:color w:val="A5A5A5"/>
      <w:sz w:val="20"/>
      <w:lang w:val="nl-BE"/>
    </w:rPr>
    <w:tblPr>
      <w:tblStyleRowBandSize w:val="1"/>
      <w:tblStyleColBandSize w:val="1"/>
      <w:tblBorders>
        <w:top w:val="single" w:sz="24" w:space="0" w:color="3AAA35"/>
        <w:left w:val="single" w:sz="24" w:space="0" w:color="3AAA35"/>
        <w:bottom w:val="single" w:sz="24" w:space="0" w:color="3AAA35"/>
        <w:right w:val="single" w:sz="24" w:space="0" w:color="3AAA35"/>
      </w:tblBorders>
    </w:tblPr>
    <w:tcPr>
      <w:shd w:val="clear" w:color="auto" w:fill="3AAA35"/>
    </w:tcPr>
    <w:tblStylePr w:type="firstRow">
      <w:rPr>
        <w:b/>
        <w:bCs/>
      </w:rPr>
      <w:tblPr/>
      <w:tcPr>
        <w:tcBorders>
          <w:bottom w:val="single" w:sz="18" w:space="0" w:color="A5A5A5"/>
        </w:tcBorders>
      </w:tcPr>
    </w:tblStylePr>
    <w:tblStylePr w:type="lastRow">
      <w:rPr>
        <w:b/>
        <w:bCs/>
      </w:rPr>
      <w:tblPr/>
      <w:tcPr>
        <w:tcBorders>
          <w:top w:val="single" w:sz="4" w:space="0" w:color="A5A5A5"/>
        </w:tcBorders>
      </w:tcPr>
    </w:tblStylePr>
    <w:tblStylePr w:type="firstCol">
      <w:rPr>
        <w:b/>
        <w:bCs/>
      </w:rPr>
      <w:tblPr/>
      <w:tcPr>
        <w:tcBorders>
          <w:right w:val="single" w:sz="4" w:space="0" w:color="A5A5A5"/>
        </w:tcBorders>
      </w:tcPr>
    </w:tblStylePr>
    <w:tblStylePr w:type="lastCol">
      <w:rPr>
        <w:b/>
        <w:bCs/>
      </w:rPr>
      <w:tblPr/>
      <w:tcPr>
        <w:tcBorders>
          <w:left w:val="single" w:sz="4" w:space="0" w:color="A5A5A5"/>
        </w:tcBorders>
      </w:tcPr>
    </w:tblStylePr>
    <w:tblStylePr w:type="band1Vert">
      <w:tblPr/>
      <w:tcPr>
        <w:tcBorders>
          <w:left w:val="single" w:sz="4" w:space="0" w:color="A5A5A5"/>
          <w:right w:val="single" w:sz="4" w:space="0" w:color="A5A5A5"/>
        </w:tcBorders>
      </w:tcPr>
    </w:tblStylePr>
    <w:tblStylePr w:type="band2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21">
    <w:name w:val="List Table 5 Dark - Accent 21"/>
    <w:basedOn w:val="TableNormal"/>
    <w:next w:val="ListTable5Dark-Accent2"/>
    <w:uiPriority w:val="50"/>
    <w:rsid w:val="00F90100"/>
    <w:pPr>
      <w:spacing w:after="0" w:line="240" w:lineRule="auto"/>
      <w:jc w:val="both"/>
    </w:pPr>
    <w:rPr>
      <w:rFonts w:ascii="Arial" w:hAnsi="Arial"/>
      <w:color w:val="A5A5A5"/>
      <w:sz w:val="20"/>
      <w:lang w:val="nl-BE"/>
    </w:rPr>
    <w:tblPr>
      <w:tblStyleRowBandSize w:val="1"/>
      <w:tblStyleColBandSize w:val="1"/>
      <w:tblBorders>
        <w:top w:val="single" w:sz="24" w:space="0" w:color="006633"/>
        <w:left w:val="single" w:sz="24" w:space="0" w:color="006633"/>
        <w:bottom w:val="single" w:sz="24" w:space="0" w:color="006633"/>
        <w:right w:val="single" w:sz="24" w:space="0" w:color="006633"/>
      </w:tblBorders>
    </w:tblPr>
    <w:tcPr>
      <w:shd w:val="clear" w:color="auto" w:fill="006633"/>
    </w:tcPr>
    <w:tblStylePr w:type="firstRow">
      <w:rPr>
        <w:b/>
        <w:bCs/>
      </w:rPr>
      <w:tblPr/>
      <w:tcPr>
        <w:tcBorders>
          <w:bottom w:val="single" w:sz="18" w:space="0" w:color="A5A5A5"/>
        </w:tcBorders>
      </w:tcPr>
    </w:tblStylePr>
    <w:tblStylePr w:type="lastRow">
      <w:rPr>
        <w:b/>
        <w:bCs/>
      </w:rPr>
      <w:tblPr/>
      <w:tcPr>
        <w:tcBorders>
          <w:top w:val="single" w:sz="4" w:space="0" w:color="A5A5A5"/>
        </w:tcBorders>
      </w:tcPr>
    </w:tblStylePr>
    <w:tblStylePr w:type="firstCol">
      <w:rPr>
        <w:b/>
        <w:bCs/>
      </w:rPr>
      <w:tblPr/>
      <w:tcPr>
        <w:tcBorders>
          <w:right w:val="single" w:sz="4" w:space="0" w:color="A5A5A5"/>
        </w:tcBorders>
      </w:tcPr>
    </w:tblStylePr>
    <w:tblStylePr w:type="lastCol">
      <w:rPr>
        <w:b/>
        <w:bCs/>
      </w:rPr>
      <w:tblPr/>
      <w:tcPr>
        <w:tcBorders>
          <w:left w:val="single" w:sz="4" w:space="0" w:color="A5A5A5"/>
        </w:tcBorders>
      </w:tcPr>
    </w:tblStylePr>
    <w:tblStylePr w:type="band1Vert">
      <w:tblPr/>
      <w:tcPr>
        <w:tcBorders>
          <w:left w:val="single" w:sz="4" w:space="0" w:color="A5A5A5"/>
          <w:right w:val="single" w:sz="4" w:space="0" w:color="A5A5A5"/>
        </w:tcBorders>
      </w:tcPr>
    </w:tblStylePr>
    <w:tblStylePr w:type="band2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31">
    <w:name w:val="List Table 5 Dark - Accent 31"/>
    <w:basedOn w:val="TableNormal"/>
    <w:next w:val="ListTable5Dark-Accent3"/>
    <w:uiPriority w:val="50"/>
    <w:rsid w:val="00F90100"/>
    <w:pPr>
      <w:spacing w:after="0" w:line="240" w:lineRule="auto"/>
      <w:jc w:val="both"/>
    </w:pPr>
    <w:rPr>
      <w:rFonts w:ascii="Arial" w:hAnsi="Arial"/>
      <w:color w:val="A5A5A5"/>
      <w:sz w:val="20"/>
      <w:lang w:val="nl-BE"/>
    </w:rPr>
    <w:tblPr>
      <w:tblStyleRowBandSize w:val="1"/>
      <w:tblStyleColBandSize w:val="1"/>
      <w:tblBorders>
        <w:top w:val="single" w:sz="24" w:space="0" w:color="BCCF00"/>
        <w:left w:val="single" w:sz="24" w:space="0" w:color="BCCF00"/>
        <w:bottom w:val="single" w:sz="24" w:space="0" w:color="BCCF00"/>
        <w:right w:val="single" w:sz="24" w:space="0" w:color="BCCF00"/>
      </w:tblBorders>
    </w:tblPr>
    <w:tcPr>
      <w:shd w:val="clear" w:color="auto" w:fill="BCCF00"/>
    </w:tcPr>
    <w:tblStylePr w:type="firstRow">
      <w:rPr>
        <w:b/>
        <w:bCs/>
      </w:rPr>
      <w:tblPr/>
      <w:tcPr>
        <w:tcBorders>
          <w:bottom w:val="single" w:sz="18" w:space="0" w:color="A5A5A5"/>
        </w:tcBorders>
      </w:tcPr>
    </w:tblStylePr>
    <w:tblStylePr w:type="lastRow">
      <w:rPr>
        <w:b/>
        <w:bCs/>
      </w:rPr>
      <w:tblPr/>
      <w:tcPr>
        <w:tcBorders>
          <w:top w:val="single" w:sz="4" w:space="0" w:color="A5A5A5"/>
        </w:tcBorders>
      </w:tcPr>
    </w:tblStylePr>
    <w:tblStylePr w:type="firstCol">
      <w:rPr>
        <w:b/>
        <w:bCs/>
      </w:rPr>
      <w:tblPr/>
      <w:tcPr>
        <w:tcBorders>
          <w:right w:val="single" w:sz="4" w:space="0" w:color="A5A5A5"/>
        </w:tcBorders>
      </w:tcPr>
    </w:tblStylePr>
    <w:tblStylePr w:type="lastCol">
      <w:rPr>
        <w:b/>
        <w:bCs/>
      </w:rPr>
      <w:tblPr/>
      <w:tcPr>
        <w:tcBorders>
          <w:left w:val="single" w:sz="4" w:space="0" w:color="A5A5A5"/>
        </w:tcBorders>
      </w:tcPr>
    </w:tblStylePr>
    <w:tblStylePr w:type="band1Vert">
      <w:tblPr/>
      <w:tcPr>
        <w:tcBorders>
          <w:left w:val="single" w:sz="4" w:space="0" w:color="A5A5A5"/>
          <w:right w:val="single" w:sz="4" w:space="0" w:color="A5A5A5"/>
        </w:tcBorders>
      </w:tcPr>
    </w:tblStylePr>
    <w:tblStylePr w:type="band2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41">
    <w:name w:val="List Table 5 Dark - Accent 41"/>
    <w:basedOn w:val="TableNormal"/>
    <w:next w:val="ListTable5Dark-Accent4"/>
    <w:uiPriority w:val="50"/>
    <w:rsid w:val="00F90100"/>
    <w:pPr>
      <w:spacing w:after="0" w:line="240" w:lineRule="auto"/>
      <w:jc w:val="both"/>
    </w:pPr>
    <w:rPr>
      <w:rFonts w:ascii="Arial" w:hAnsi="Arial"/>
      <w:color w:val="A5A5A5"/>
      <w:sz w:val="20"/>
      <w:lang w:val="nl-BE"/>
    </w:rPr>
    <w:tblPr>
      <w:tblStyleRowBandSize w:val="1"/>
      <w:tblStyleColBandSize w:val="1"/>
      <w:tblBorders>
        <w:top w:val="single" w:sz="24" w:space="0" w:color="FAD500"/>
        <w:left w:val="single" w:sz="24" w:space="0" w:color="FAD500"/>
        <w:bottom w:val="single" w:sz="24" w:space="0" w:color="FAD500"/>
        <w:right w:val="single" w:sz="24" w:space="0" w:color="FAD500"/>
      </w:tblBorders>
    </w:tblPr>
    <w:tcPr>
      <w:shd w:val="clear" w:color="auto" w:fill="FAD500"/>
    </w:tcPr>
    <w:tblStylePr w:type="firstRow">
      <w:rPr>
        <w:b/>
        <w:bCs/>
      </w:rPr>
      <w:tblPr/>
      <w:tcPr>
        <w:tcBorders>
          <w:bottom w:val="single" w:sz="18" w:space="0" w:color="A5A5A5"/>
        </w:tcBorders>
      </w:tcPr>
    </w:tblStylePr>
    <w:tblStylePr w:type="lastRow">
      <w:rPr>
        <w:b/>
        <w:bCs/>
      </w:rPr>
      <w:tblPr/>
      <w:tcPr>
        <w:tcBorders>
          <w:top w:val="single" w:sz="4" w:space="0" w:color="A5A5A5"/>
        </w:tcBorders>
      </w:tcPr>
    </w:tblStylePr>
    <w:tblStylePr w:type="firstCol">
      <w:rPr>
        <w:b/>
        <w:bCs/>
      </w:rPr>
      <w:tblPr/>
      <w:tcPr>
        <w:tcBorders>
          <w:right w:val="single" w:sz="4" w:space="0" w:color="A5A5A5"/>
        </w:tcBorders>
      </w:tcPr>
    </w:tblStylePr>
    <w:tblStylePr w:type="lastCol">
      <w:rPr>
        <w:b/>
        <w:bCs/>
      </w:rPr>
      <w:tblPr/>
      <w:tcPr>
        <w:tcBorders>
          <w:left w:val="single" w:sz="4" w:space="0" w:color="A5A5A5"/>
        </w:tcBorders>
      </w:tcPr>
    </w:tblStylePr>
    <w:tblStylePr w:type="band1Vert">
      <w:tblPr/>
      <w:tcPr>
        <w:tcBorders>
          <w:left w:val="single" w:sz="4" w:space="0" w:color="A5A5A5"/>
          <w:right w:val="single" w:sz="4" w:space="0" w:color="A5A5A5"/>
        </w:tcBorders>
      </w:tcPr>
    </w:tblStylePr>
    <w:tblStylePr w:type="band2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51">
    <w:name w:val="List Table 5 Dark - Accent 51"/>
    <w:basedOn w:val="TableNormal"/>
    <w:next w:val="ListTable5Dark-Accent5"/>
    <w:uiPriority w:val="50"/>
    <w:rsid w:val="00F90100"/>
    <w:pPr>
      <w:spacing w:after="0" w:line="240" w:lineRule="auto"/>
      <w:jc w:val="both"/>
    </w:pPr>
    <w:rPr>
      <w:rFonts w:ascii="Arial" w:hAnsi="Arial"/>
      <w:color w:val="A5A5A5"/>
      <w:sz w:val="20"/>
      <w:lang w:val="nl-BE"/>
    </w:rPr>
    <w:tblPr>
      <w:tblStyleRowBandSize w:val="1"/>
      <w:tblStyleColBandSize w:val="1"/>
      <w:tblBorders>
        <w:top w:val="single" w:sz="24" w:space="0" w:color="F29D00"/>
        <w:left w:val="single" w:sz="24" w:space="0" w:color="F29D00"/>
        <w:bottom w:val="single" w:sz="24" w:space="0" w:color="F29D00"/>
        <w:right w:val="single" w:sz="24" w:space="0" w:color="F29D00"/>
      </w:tblBorders>
    </w:tblPr>
    <w:tcPr>
      <w:shd w:val="clear" w:color="auto" w:fill="F29D00"/>
    </w:tcPr>
    <w:tblStylePr w:type="firstRow">
      <w:rPr>
        <w:b/>
        <w:bCs/>
      </w:rPr>
      <w:tblPr/>
      <w:tcPr>
        <w:tcBorders>
          <w:bottom w:val="single" w:sz="18" w:space="0" w:color="A5A5A5"/>
        </w:tcBorders>
      </w:tcPr>
    </w:tblStylePr>
    <w:tblStylePr w:type="lastRow">
      <w:rPr>
        <w:b/>
        <w:bCs/>
      </w:rPr>
      <w:tblPr/>
      <w:tcPr>
        <w:tcBorders>
          <w:top w:val="single" w:sz="4" w:space="0" w:color="A5A5A5"/>
        </w:tcBorders>
      </w:tcPr>
    </w:tblStylePr>
    <w:tblStylePr w:type="firstCol">
      <w:rPr>
        <w:b/>
        <w:bCs/>
      </w:rPr>
      <w:tblPr/>
      <w:tcPr>
        <w:tcBorders>
          <w:right w:val="single" w:sz="4" w:space="0" w:color="A5A5A5"/>
        </w:tcBorders>
      </w:tcPr>
    </w:tblStylePr>
    <w:tblStylePr w:type="lastCol">
      <w:rPr>
        <w:b/>
        <w:bCs/>
      </w:rPr>
      <w:tblPr/>
      <w:tcPr>
        <w:tcBorders>
          <w:left w:val="single" w:sz="4" w:space="0" w:color="A5A5A5"/>
        </w:tcBorders>
      </w:tcPr>
    </w:tblStylePr>
    <w:tblStylePr w:type="band1Vert">
      <w:tblPr/>
      <w:tcPr>
        <w:tcBorders>
          <w:left w:val="single" w:sz="4" w:space="0" w:color="A5A5A5"/>
          <w:right w:val="single" w:sz="4" w:space="0" w:color="A5A5A5"/>
        </w:tcBorders>
      </w:tcPr>
    </w:tblStylePr>
    <w:tblStylePr w:type="band2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61">
    <w:name w:val="List Table 5 Dark - Accent 61"/>
    <w:basedOn w:val="TableNormal"/>
    <w:next w:val="ListTable5Dark-Accent6"/>
    <w:uiPriority w:val="50"/>
    <w:rsid w:val="00F90100"/>
    <w:pPr>
      <w:spacing w:after="0" w:line="240" w:lineRule="auto"/>
      <w:jc w:val="both"/>
    </w:pPr>
    <w:rPr>
      <w:rFonts w:ascii="Arial" w:hAnsi="Arial"/>
      <w:color w:val="A5A5A5"/>
      <w:sz w:val="20"/>
      <w:lang w:val="nl-BE"/>
    </w:rPr>
    <w:tblPr>
      <w:tblStyleRowBandSize w:val="1"/>
      <w:tblStyleColBandSize w:val="1"/>
      <w:tblBorders>
        <w:top w:val="single" w:sz="24" w:space="0" w:color="C85019"/>
        <w:left w:val="single" w:sz="24" w:space="0" w:color="C85019"/>
        <w:bottom w:val="single" w:sz="24" w:space="0" w:color="C85019"/>
        <w:right w:val="single" w:sz="24" w:space="0" w:color="C85019"/>
      </w:tblBorders>
    </w:tblPr>
    <w:tcPr>
      <w:shd w:val="clear" w:color="auto" w:fill="C85019"/>
    </w:tcPr>
    <w:tblStylePr w:type="firstRow">
      <w:rPr>
        <w:b/>
        <w:bCs/>
      </w:rPr>
      <w:tblPr/>
      <w:tcPr>
        <w:tcBorders>
          <w:bottom w:val="single" w:sz="18" w:space="0" w:color="A5A5A5"/>
        </w:tcBorders>
      </w:tcPr>
    </w:tblStylePr>
    <w:tblStylePr w:type="lastRow">
      <w:rPr>
        <w:b/>
        <w:bCs/>
      </w:rPr>
      <w:tblPr/>
      <w:tcPr>
        <w:tcBorders>
          <w:top w:val="single" w:sz="4" w:space="0" w:color="A5A5A5"/>
        </w:tcBorders>
      </w:tcPr>
    </w:tblStylePr>
    <w:tblStylePr w:type="firstCol">
      <w:rPr>
        <w:b/>
        <w:bCs/>
      </w:rPr>
      <w:tblPr/>
      <w:tcPr>
        <w:tcBorders>
          <w:right w:val="single" w:sz="4" w:space="0" w:color="A5A5A5"/>
        </w:tcBorders>
      </w:tcPr>
    </w:tblStylePr>
    <w:tblStylePr w:type="lastCol">
      <w:rPr>
        <w:b/>
        <w:bCs/>
      </w:rPr>
      <w:tblPr/>
      <w:tcPr>
        <w:tcBorders>
          <w:left w:val="single" w:sz="4" w:space="0" w:color="A5A5A5"/>
        </w:tcBorders>
      </w:tcPr>
    </w:tblStylePr>
    <w:tblStylePr w:type="band1Vert">
      <w:tblPr/>
      <w:tcPr>
        <w:tcBorders>
          <w:left w:val="single" w:sz="4" w:space="0" w:color="A5A5A5"/>
          <w:right w:val="single" w:sz="4" w:space="0" w:color="A5A5A5"/>
        </w:tcBorders>
      </w:tcPr>
    </w:tblStylePr>
    <w:tblStylePr w:type="band2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6Colorful1">
    <w:name w:val="List Table 6 Colorful1"/>
    <w:basedOn w:val="TableNormal"/>
    <w:next w:val="ListTable6Colorful"/>
    <w:uiPriority w:val="51"/>
    <w:rsid w:val="00F90100"/>
    <w:pPr>
      <w:spacing w:after="0" w:line="240" w:lineRule="auto"/>
      <w:jc w:val="both"/>
    </w:pPr>
    <w:rPr>
      <w:rFonts w:ascii="Arial" w:hAnsi="Arial"/>
      <w:color w:val="58595B"/>
      <w:sz w:val="20"/>
      <w:lang w:val="nl-BE"/>
    </w:rPr>
    <w:tblPr>
      <w:tblStyleRowBandSize w:val="1"/>
      <w:tblStyleColBandSize w:val="1"/>
      <w:tblBorders>
        <w:top w:val="single" w:sz="4" w:space="0" w:color="58595B"/>
        <w:bottom w:val="single" w:sz="4" w:space="0" w:color="58595B"/>
      </w:tblBorders>
    </w:tblPr>
    <w:tblStylePr w:type="firstRow">
      <w:rPr>
        <w:b/>
        <w:bCs/>
      </w:rPr>
      <w:tblPr/>
      <w:tcPr>
        <w:tcBorders>
          <w:bottom w:val="single" w:sz="4" w:space="0" w:color="58595B"/>
        </w:tcBorders>
      </w:tcPr>
    </w:tblStylePr>
    <w:tblStylePr w:type="lastRow">
      <w:rPr>
        <w:b/>
        <w:bCs/>
      </w:rPr>
      <w:tblPr/>
      <w:tcPr>
        <w:tcBorders>
          <w:top w:val="double" w:sz="4" w:space="0" w:color="58595B"/>
        </w:tcBorders>
      </w:tcPr>
    </w:tblStylePr>
    <w:tblStylePr w:type="firstCol">
      <w:rPr>
        <w:b/>
        <w:bCs/>
      </w:rPr>
    </w:tblStylePr>
    <w:tblStylePr w:type="lastCol">
      <w:rPr>
        <w:b/>
        <w:bCs/>
      </w:rPr>
    </w:tblStylePr>
    <w:tblStylePr w:type="band1Vert">
      <w:tblPr/>
      <w:tcPr>
        <w:shd w:val="clear" w:color="auto" w:fill="DDDDDE"/>
      </w:tcPr>
    </w:tblStylePr>
    <w:tblStylePr w:type="band1Horz">
      <w:tblPr/>
      <w:tcPr>
        <w:shd w:val="clear" w:color="auto" w:fill="DDDDDE"/>
      </w:tcPr>
    </w:tblStylePr>
  </w:style>
  <w:style w:type="table" w:customStyle="1" w:styleId="ListTable6Colorful-Accent11">
    <w:name w:val="List Table 6 Colorful - Accent 11"/>
    <w:basedOn w:val="TableNormal"/>
    <w:next w:val="ListTable6Colorful-Accent1"/>
    <w:uiPriority w:val="51"/>
    <w:rsid w:val="00F90100"/>
    <w:pPr>
      <w:spacing w:after="0" w:line="240" w:lineRule="auto"/>
      <w:jc w:val="both"/>
    </w:pPr>
    <w:rPr>
      <w:rFonts w:ascii="Arial" w:hAnsi="Arial"/>
      <w:color w:val="2B7F27"/>
      <w:sz w:val="20"/>
      <w:lang w:val="nl-BE"/>
    </w:rPr>
    <w:tblPr>
      <w:tblStyleRowBandSize w:val="1"/>
      <w:tblStyleColBandSize w:val="1"/>
      <w:tblBorders>
        <w:top w:val="single" w:sz="4" w:space="0" w:color="3AAA35"/>
        <w:bottom w:val="single" w:sz="4" w:space="0" w:color="3AAA35"/>
      </w:tblBorders>
    </w:tblPr>
    <w:tblStylePr w:type="firstRow">
      <w:rPr>
        <w:b/>
        <w:bCs/>
      </w:rPr>
      <w:tblPr/>
      <w:tcPr>
        <w:tcBorders>
          <w:bottom w:val="single" w:sz="4" w:space="0" w:color="3AAA35"/>
        </w:tcBorders>
      </w:tcPr>
    </w:tblStylePr>
    <w:tblStylePr w:type="lastRow">
      <w:rPr>
        <w:b/>
        <w:bCs/>
      </w:rPr>
      <w:tblPr/>
      <w:tcPr>
        <w:tcBorders>
          <w:top w:val="double" w:sz="4" w:space="0" w:color="3AAA35"/>
        </w:tcBorders>
      </w:tcPr>
    </w:tblStylePr>
    <w:tblStylePr w:type="firstCol">
      <w:rPr>
        <w:b/>
        <w:bCs/>
      </w:rPr>
    </w:tblStylePr>
    <w:tblStylePr w:type="lastCol">
      <w:rPr>
        <w:b/>
        <w:bCs/>
      </w:rPr>
    </w:tblStylePr>
    <w:tblStylePr w:type="band1Vert">
      <w:tblPr/>
      <w:tcPr>
        <w:shd w:val="clear" w:color="auto" w:fill="D4F1D3"/>
      </w:tcPr>
    </w:tblStylePr>
    <w:tblStylePr w:type="band1Horz">
      <w:tblPr/>
      <w:tcPr>
        <w:shd w:val="clear" w:color="auto" w:fill="D4F1D3"/>
      </w:tcPr>
    </w:tblStylePr>
  </w:style>
  <w:style w:type="table" w:customStyle="1" w:styleId="ListTable6Colorful-Accent21">
    <w:name w:val="List Table 6 Colorful - Accent 21"/>
    <w:basedOn w:val="TableNormal"/>
    <w:next w:val="ListTable6Colorful-Accent2"/>
    <w:uiPriority w:val="51"/>
    <w:rsid w:val="00F90100"/>
    <w:pPr>
      <w:spacing w:after="0" w:line="240" w:lineRule="auto"/>
      <w:jc w:val="both"/>
    </w:pPr>
    <w:rPr>
      <w:rFonts w:ascii="Arial" w:hAnsi="Arial"/>
      <w:color w:val="004C26"/>
      <w:sz w:val="20"/>
      <w:lang w:val="nl-BE"/>
    </w:rPr>
    <w:tblPr>
      <w:tblStyleRowBandSize w:val="1"/>
      <w:tblStyleColBandSize w:val="1"/>
      <w:tblBorders>
        <w:top w:val="single" w:sz="4" w:space="0" w:color="006633"/>
        <w:bottom w:val="single" w:sz="4" w:space="0" w:color="006633"/>
      </w:tblBorders>
    </w:tblPr>
    <w:tblStylePr w:type="firstRow">
      <w:rPr>
        <w:b/>
        <w:bCs/>
      </w:rPr>
      <w:tblPr/>
      <w:tcPr>
        <w:tcBorders>
          <w:bottom w:val="single" w:sz="4" w:space="0" w:color="006633"/>
        </w:tcBorders>
      </w:tcPr>
    </w:tblStylePr>
    <w:tblStylePr w:type="lastRow">
      <w:rPr>
        <w:b/>
        <w:bCs/>
      </w:rPr>
      <w:tblPr/>
      <w:tcPr>
        <w:tcBorders>
          <w:top w:val="double" w:sz="4" w:space="0" w:color="006633"/>
        </w:tcBorders>
      </w:tcPr>
    </w:tblStylePr>
    <w:tblStylePr w:type="firstCol">
      <w:rPr>
        <w:b/>
        <w:bCs/>
      </w:rPr>
    </w:tblStylePr>
    <w:tblStylePr w:type="lastCol">
      <w:rPr>
        <w:b/>
        <w:bCs/>
      </w:rPr>
    </w:tblStylePr>
    <w:tblStylePr w:type="band1Vert">
      <w:tblPr/>
      <w:tcPr>
        <w:shd w:val="clear" w:color="auto" w:fill="ADFFD6"/>
      </w:tcPr>
    </w:tblStylePr>
    <w:tblStylePr w:type="band1Horz">
      <w:tblPr/>
      <w:tcPr>
        <w:shd w:val="clear" w:color="auto" w:fill="ADFFD6"/>
      </w:tcPr>
    </w:tblStylePr>
  </w:style>
  <w:style w:type="table" w:customStyle="1" w:styleId="ListTable6Colorful-Accent31">
    <w:name w:val="List Table 6 Colorful - Accent 31"/>
    <w:basedOn w:val="TableNormal"/>
    <w:next w:val="ListTable6Colorful-Accent3"/>
    <w:uiPriority w:val="51"/>
    <w:rsid w:val="00F90100"/>
    <w:pPr>
      <w:spacing w:after="0" w:line="240" w:lineRule="auto"/>
      <w:jc w:val="both"/>
    </w:pPr>
    <w:rPr>
      <w:rFonts w:ascii="Arial" w:hAnsi="Arial"/>
      <w:color w:val="8C9B00"/>
      <w:sz w:val="20"/>
      <w:lang w:val="nl-BE"/>
    </w:rPr>
    <w:tblPr>
      <w:tblStyleRowBandSize w:val="1"/>
      <w:tblStyleColBandSize w:val="1"/>
      <w:tblBorders>
        <w:top w:val="single" w:sz="4" w:space="0" w:color="BCCF00"/>
        <w:bottom w:val="single" w:sz="4" w:space="0" w:color="BCCF00"/>
      </w:tblBorders>
    </w:tblPr>
    <w:tblStylePr w:type="firstRow">
      <w:rPr>
        <w:b/>
        <w:bCs/>
      </w:rPr>
      <w:tblPr/>
      <w:tcPr>
        <w:tcBorders>
          <w:bottom w:val="single" w:sz="4" w:space="0" w:color="BCCF00"/>
        </w:tcBorders>
      </w:tcPr>
    </w:tblStylePr>
    <w:tblStylePr w:type="lastRow">
      <w:rPr>
        <w:b/>
        <w:bCs/>
      </w:rPr>
      <w:tblPr/>
      <w:tcPr>
        <w:tcBorders>
          <w:top w:val="double" w:sz="4" w:space="0" w:color="BCCF00"/>
        </w:tcBorders>
      </w:tcPr>
    </w:tblStylePr>
    <w:tblStylePr w:type="firstCol">
      <w:rPr>
        <w:b/>
        <w:bCs/>
      </w:rPr>
    </w:tblStylePr>
    <w:tblStylePr w:type="lastCol">
      <w:rPr>
        <w:b/>
        <w:bCs/>
      </w:rPr>
    </w:tblStylePr>
    <w:tblStylePr w:type="band1Vert">
      <w:tblPr/>
      <w:tcPr>
        <w:shd w:val="clear" w:color="auto" w:fill="F9FFC2"/>
      </w:tcPr>
    </w:tblStylePr>
    <w:tblStylePr w:type="band1Horz">
      <w:tblPr/>
      <w:tcPr>
        <w:shd w:val="clear" w:color="auto" w:fill="F9FFC2"/>
      </w:tcPr>
    </w:tblStylePr>
  </w:style>
  <w:style w:type="table" w:customStyle="1" w:styleId="ListTable6Colorful-Accent41">
    <w:name w:val="List Table 6 Colorful - Accent 41"/>
    <w:basedOn w:val="TableNormal"/>
    <w:next w:val="ListTable6Colorful-Accent4"/>
    <w:uiPriority w:val="51"/>
    <w:rsid w:val="00F90100"/>
    <w:pPr>
      <w:spacing w:after="0" w:line="240" w:lineRule="auto"/>
      <w:jc w:val="both"/>
    </w:pPr>
    <w:rPr>
      <w:rFonts w:ascii="Arial" w:hAnsi="Arial"/>
      <w:color w:val="BB9F00"/>
      <w:sz w:val="20"/>
      <w:lang w:val="nl-BE"/>
    </w:rPr>
    <w:tblPr>
      <w:tblStyleRowBandSize w:val="1"/>
      <w:tblStyleColBandSize w:val="1"/>
      <w:tblBorders>
        <w:top w:val="single" w:sz="4" w:space="0" w:color="FAD500"/>
        <w:bottom w:val="single" w:sz="4" w:space="0" w:color="FAD500"/>
      </w:tblBorders>
    </w:tblPr>
    <w:tblStylePr w:type="firstRow">
      <w:rPr>
        <w:b/>
        <w:bCs/>
      </w:rPr>
      <w:tblPr/>
      <w:tcPr>
        <w:tcBorders>
          <w:bottom w:val="single" w:sz="4" w:space="0" w:color="FAD500"/>
        </w:tcBorders>
      </w:tcPr>
    </w:tblStylePr>
    <w:tblStylePr w:type="lastRow">
      <w:rPr>
        <w:b/>
        <w:bCs/>
      </w:rPr>
      <w:tblPr/>
      <w:tcPr>
        <w:tcBorders>
          <w:top w:val="double" w:sz="4" w:space="0" w:color="FAD500"/>
        </w:tcBorders>
      </w:tcPr>
    </w:tblStylePr>
    <w:tblStylePr w:type="firstCol">
      <w:rPr>
        <w:b/>
        <w:bCs/>
      </w:rPr>
    </w:tblStylePr>
    <w:tblStylePr w:type="lastCol">
      <w:rPr>
        <w:b/>
        <w:bCs/>
      </w:rPr>
    </w:tblStylePr>
    <w:tblStylePr w:type="band1Vert">
      <w:tblPr/>
      <w:tcPr>
        <w:shd w:val="clear" w:color="auto" w:fill="FFF7CB"/>
      </w:tcPr>
    </w:tblStylePr>
    <w:tblStylePr w:type="band1Horz">
      <w:tblPr/>
      <w:tcPr>
        <w:shd w:val="clear" w:color="auto" w:fill="FFF7CB"/>
      </w:tcPr>
    </w:tblStylePr>
  </w:style>
  <w:style w:type="table" w:customStyle="1" w:styleId="ListTable6Colorful-Accent51">
    <w:name w:val="List Table 6 Colorful - Accent 51"/>
    <w:basedOn w:val="TableNormal"/>
    <w:next w:val="ListTable6Colorful-Accent5"/>
    <w:uiPriority w:val="51"/>
    <w:rsid w:val="00F90100"/>
    <w:pPr>
      <w:spacing w:after="0" w:line="240" w:lineRule="auto"/>
      <w:jc w:val="both"/>
    </w:pPr>
    <w:rPr>
      <w:rFonts w:ascii="Arial" w:hAnsi="Arial"/>
      <w:color w:val="B57500"/>
      <w:sz w:val="20"/>
      <w:lang w:val="nl-BE"/>
    </w:rPr>
    <w:tblPr>
      <w:tblStyleRowBandSize w:val="1"/>
      <w:tblStyleColBandSize w:val="1"/>
      <w:tblBorders>
        <w:top w:val="single" w:sz="4" w:space="0" w:color="F29D00"/>
        <w:bottom w:val="single" w:sz="4" w:space="0" w:color="F29D00"/>
      </w:tblBorders>
    </w:tblPr>
    <w:tblStylePr w:type="firstRow">
      <w:rPr>
        <w:b/>
        <w:bCs/>
      </w:rPr>
      <w:tblPr/>
      <w:tcPr>
        <w:tcBorders>
          <w:bottom w:val="single" w:sz="4" w:space="0" w:color="F29D00"/>
        </w:tcBorders>
      </w:tcPr>
    </w:tblStylePr>
    <w:tblStylePr w:type="lastRow">
      <w:rPr>
        <w:b/>
        <w:bCs/>
      </w:rPr>
      <w:tblPr/>
      <w:tcPr>
        <w:tcBorders>
          <w:top w:val="double" w:sz="4" w:space="0" w:color="F29D00"/>
        </w:tcBorders>
      </w:tcPr>
    </w:tblStylePr>
    <w:tblStylePr w:type="firstCol">
      <w:rPr>
        <w:b/>
        <w:bCs/>
      </w:rPr>
    </w:tblStylePr>
    <w:tblStylePr w:type="lastCol">
      <w:rPr>
        <w:b/>
        <w:bCs/>
      </w:rPr>
    </w:tblStylePr>
    <w:tblStylePr w:type="band1Vert">
      <w:tblPr/>
      <w:tcPr>
        <w:shd w:val="clear" w:color="auto" w:fill="FFECC9"/>
      </w:tcPr>
    </w:tblStylePr>
    <w:tblStylePr w:type="band1Horz">
      <w:tblPr/>
      <w:tcPr>
        <w:shd w:val="clear" w:color="auto" w:fill="FFECC9"/>
      </w:tcPr>
    </w:tblStylePr>
  </w:style>
  <w:style w:type="table" w:customStyle="1" w:styleId="ListTable6Colorful-Accent61">
    <w:name w:val="List Table 6 Colorful - Accent 61"/>
    <w:basedOn w:val="TableNormal"/>
    <w:next w:val="ListTable6Colorful-Accent6"/>
    <w:uiPriority w:val="51"/>
    <w:rsid w:val="00F90100"/>
    <w:pPr>
      <w:spacing w:after="0" w:line="240" w:lineRule="auto"/>
      <w:jc w:val="both"/>
    </w:pPr>
    <w:rPr>
      <w:rFonts w:ascii="Arial" w:hAnsi="Arial"/>
      <w:color w:val="953B12"/>
      <w:sz w:val="20"/>
      <w:lang w:val="nl-BE"/>
    </w:rPr>
    <w:tblPr>
      <w:tblStyleRowBandSize w:val="1"/>
      <w:tblStyleColBandSize w:val="1"/>
      <w:tblBorders>
        <w:top w:val="single" w:sz="4" w:space="0" w:color="C85019"/>
        <w:bottom w:val="single" w:sz="4" w:space="0" w:color="C85019"/>
      </w:tblBorders>
    </w:tblPr>
    <w:tblStylePr w:type="firstRow">
      <w:rPr>
        <w:b/>
        <w:bCs/>
      </w:rPr>
      <w:tblPr/>
      <w:tcPr>
        <w:tcBorders>
          <w:bottom w:val="single" w:sz="4" w:space="0" w:color="C85019"/>
        </w:tcBorders>
      </w:tcPr>
    </w:tblStylePr>
    <w:tblStylePr w:type="lastRow">
      <w:rPr>
        <w:b/>
        <w:bCs/>
      </w:rPr>
      <w:tblPr/>
      <w:tcPr>
        <w:tcBorders>
          <w:top w:val="double" w:sz="4" w:space="0" w:color="C85019"/>
        </w:tcBorders>
      </w:tcPr>
    </w:tblStylePr>
    <w:tblStylePr w:type="firstCol">
      <w:rPr>
        <w:b/>
        <w:bCs/>
      </w:rPr>
    </w:tblStylePr>
    <w:tblStylePr w:type="lastCol">
      <w:rPr>
        <w:b/>
        <w:bCs/>
      </w:rPr>
    </w:tblStylePr>
    <w:tblStylePr w:type="band1Vert">
      <w:tblPr/>
      <w:tcPr>
        <w:shd w:val="clear" w:color="auto" w:fill="F8DACC"/>
      </w:tcPr>
    </w:tblStylePr>
    <w:tblStylePr w:type="band1Horz">
      <w:tblPr/>
      <w:tcPr>
        <w:shd w:val="clear" w:color="auto" w:fill="F8DACC"/>
      </w:tcPr>
    </w:tblStylePr>
  </w:style>
  <w:style w:type="table" w:customStyle="1" w:styleId="ListTable7Colorful1">
    <w:name w:val="List Table 7 Colorful1"/>
    <w:basedOn w:val="TableNormal"/>
    <w:next w:val="ListTable7Colorful"/>
    <w:uiPriority w:val="52"/>
    <w:rsid w:val="00F90100"/>
    <w:pPr>
      <w:spacing w:after="0" w:line="240" w:lineRule="auto"/>
      <w:jc w:val="both"/>
    </w:pPr>
    <w:rPr>
      <w:rFonts w:ascii="Arial" w:hAnsi="Arial"/>
      <w:color w:val="58595B"/>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58595B"/>
        </w:tcBorders>
        <w:shd w:val="clear" w:color="auto" w:fill="A5A5A5"/>
      </w:tcPr>
    </w:tblStylePr>
    <w:tblStylePr w:type="lastRow">
      <w:rPr>
        <w:rFonts w:ascii="Arial" w:eastAsia="Times New Roman" w:hAnsi="Arial" w:cs="Times New Roman"/>
        <w:i/>
        <w:iCs/>
        <w:sz w:val="26"/>
      </w:rPr>
      <w:tblPr/>
      <w:tcPr>
        <w:tcBorders>
          <w:top w:val="single" w:sz="4" w:space="0" w:color="58595B"/>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58595B"/>
        </w:tcBorders>
        <w:shd w:val="clear" w:color="auto" w:fill="A5A5A5"/>
      </w:tcPr>
    </w:tblStylePr>
    <w:tblStylePr w:type="lastCol">
      <w:rPr>
        <w:rFonts w:ascii="Arial" w:eastAsia="Times New Roman" w:hAnsi="Arial" w:cs="Times New Roman"/>
        <w:i/>
        <w:iCs/>
        <w:sz w:val="26"/>
      </w:rPr>
      <w:tblPr/>
      <w:tcPr>
        <w:tcBorders>
          <w:left w:val="single" w:sz="4" w:space="0" w:color="58595B"/>
        </w:tcBorders>
        <w:shd w:val="clear" w:color="auto" w:fill="A5A5A5"/>
      </w:tcPr>
    </w:tblStylePr>
    <w:tblStylePr w:type="band1Vert">
      <w:tblPr/>
      <w:tcPr>
        <w:shd w:val="clear" w:color="auto" w:fill="DDDDDE"/>
      </w:tcPr>
    </w:tblStylePr>
    <w:tblStylePr w:type="band1Horz">
      <w:tblPr/>
      <w:tcPr>
        <w:shd w:val="clear" w:color="auto" w:fill="DDDDDE"/>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11">
    <w:name w:val="List Table 7 Colorful - Accent 11"/>
    <w:basedOn w:val="TableNormal"/>
    <w:next w:val="ListTable7Colorful-Accent1"/>
    <w:uiPriority w:val="52"/>
    <w:rsid w:val="00F90100"/>
    <w:pPr>
      <w:spacing w:after="0" w:line="240" w:lineRule="auto"/>
      <w:jc w:val="both"/>
    </w:pPr>
    <w:rPr>
      <w:rFonts w:ascii="Arial" w:hAnsi="Arial"/>
      <w:color w:val="2B7F27"/>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3AAA35"/>
        </w:tcBorders>
        <w:shd w:val="clear" w:color="auto" w:fill="A5A5A5"/>
      </w:tcPr>
    </w:tblStylePr>
    <w:tblStylePr w:type="lastRow">
      <w:rPr>
        <w:rFonts w:ascii="Arial" w:eastAsia="Times New Roman" w:hAnsi="Arial" w:cs="Times New Roman"/>
        <w:i/>
        <w:iCs/>
        <w:sz w:val="26"/>
      </w:rPr>
      <w:tblPr/>
      <w:tcPr>
        <w:tcBorders>
          <w:top w:val="single" w:sz="4" w:space="0" w:color="3AAA35"/>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3AAA35"/>
        </w:tcBorders>
        <w:shd w:val="clear" w:color="auto" w:fill="A5A5A5"/>
      </w:tcPr>
    </w:tblStylePr>
    <w:tblStylePr w:type="lastCol">
      <w:rPr>
        <w:rFonts w:ascii="Arial" w:eastAsia="Times New Roman" w:hAnsi="Arial" w:cs="Times New Roman"/>
        <w:i/>
        <w:iCs/>
        <w:sz w:val="26"/>
      </w:rPr>
      <w:tblPr/>
      <w:tcPr>
        <w:tcBorders>
          <w:left w:val="single" w:sz="4" w:space="0" w:color="3AAA35"/>
        </w:tcBorders>
        <w:shd w:val="clear" w:color="auto" w:fill="A5A5A5"/>
      </w:tcPr>
    </w:tblStylePr>
    <w:tblStylePr w:type="band1Vert">
      <w:tblPr/>
      <w:tcPr>
        <w:shd w:val="clear" w:color="auto" w:fill="D4F1D3"/>
      </w:tcPr>
    </w:tblStylePr>
    <w:tblStylePr w:type="band1Horz">
      <w:tblPr/>
      <w:tcPr>
        <w:shd w:val="clear" w:color="auto" w:fill="D4F1D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21">
    <w:name w:val="List Table 7 Colorful - Accent 21"/>
    <w:basedOn w:val="TableNormal"/>
    <w:next w:val="ListTable7Colorful-Accent2"/>
    <w:uiPriority w:val="52"/>
    <w:rsid w:val="00F90100"/>
    <w:pPr>
      <w:spacing w:after="0" w:line="240" w:lineRule="auto"/>
      <w:jc w:val="both"/>
    </w:pPr>
    <w:rPr>
      <w:rFonts w:ascii="Arial" w:hAnsi="Arial"/>
      <w:color w:val="004C26"/>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006633"/>
        </w:tcBorders>
        <w:shd w:val="clear" w:color="auto" w:fill="A5A5A5"/>
      </w:tcPr>
    </w:tblStylePr>
    <w:tblStylePr w:type="lastRow">
      <w:rPr>
        <w:rFonts w:ascii="Arial" w:eastAsia="Times New Roman" w:hAnsi="Arial" w:cs="Times New Roman"/>
        <w:i/>
        <w:iCs/>
        <w:sz w:val="26"/>
      </w:rPr>
      <w:tblPr/>
      <w:tcPr>
        <w:tcBorders>
          <w:top w:val="single" w:sz="4" w:space="0" w:color="006633"/>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006633"/>
        </w:tcBorders>
        <w:shd w:val="clear" w:color="auto" w:fill="A5A5A5"/>
      </w:tcPr>
    </w:tblStylePr>
    <w:tblStylePr w:type="lastCol">
      <w:rPr>
        <w:rFonts w:ascii="Arial" w:eastAsia="Times New Roman" w:hAnsi="Arial" w:cs="Times New Roman"/>
        <w:i/>
        <w:iCs/>
        <w:sz w:val="26"/>
      </w:rPr>
      <w:tblPr/>
      <w:tcPr>
        <w:tcBorders>
          <w:left w:val="single" w:sz="4" w:space="0" w:color="006633"/>
        </w:tcBorders>
        <w:shd w:val="clear" w:color="auto" w:fill="A5A5A5"/>
      </w:tcPr>
    </w:tblStylePr>
    <w:tblStylePr w:type="band1Vert">
      <w:tblPr/>
      <w:tcPr>
        <w:shd w:val="clear" w:color="auto" w:fill="ADFFD6"/>
      </w:tcPr>
    </w:tblStylePr>
    <w:tblStylePr w:type="band1Horz">
      <w:tblPr/>
      <w:tcPr>
        <w:shd w:val="clear" w:color="auto" w:fill="ADFFD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31">
    <w:name w:val="List Table 7 Colorful - Accent 31"/>
    <w:basedOn w:val="TableNormal"/>
    <w:next w:val="ListTable7Colorful-Accent3"/>
    <w:uiPriority w:val="52"/>
    <w:rsid w:val="00F90100"/>
    <w:pPr>
      <w:spacing w:after="0" w:line="240" w:lineRule="auto"/>
      <w:jc w:val="both"/>
    </w:pPr>
    <w:rPr>
      <w:rFonts w:ascii="Arial" w:hAnsi="Arial"/>
      <w:color w:val="8C9B00"/>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BCCF00"/>
        </w:tcBorders>
        <w:shd w:val="clear" w:color="auto" w:fill="A5A5A5"/>
      </w:tcPr>
    </w:tblStylePr>
    <w:tblStylePr w:type="lastRow">
      <w:rPr>
        <w:rFonts w:ascii="Arial" w:eastAsia="Times New Roman" w:hAnsi="Arial" w:cs="Times New Roman"/>
        <w:i/>
        <w:iCs/>
        <w:sz w:val="26"/>
      </w:rPr>
      <w:tblPr/>
      <w:tcPr>
        <w:tcBorders>
          <w:top w:val="single" w:sz="4" w:space="0" w:color="BCCF00"/>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BCCF00"/>
        </w:tcBorders>
        <w:shd w:val="clear" w:color="auto" w:fill="A5A5A5"/>
      </w:tcPr>
    </w:tblStylePr>
    <w:tblStylePr w:type="lastCol">
      <w:rPr>
        <w:rFonts w:ascii="Arial" w:eastAsia="Times New Roman" w:hAnsi="Arial" w:cs="Times New Roman"/>
        <w:i/>
        <w:iCs/>
        <w:sz w:val="26"/>
      </w:rPr>
      <w:tblPr/>
      <w:tcPr>
        <w:tcBorders>
          <w:left w:val="single" w:sz="4" w:space="0" w:color="BCCF00"/>
        </w:tcBorders>
        <w:shd w:val="clear" w:color="auto" w:fill="A5A5A5"/>
      </w:tcPr>
    </w:tblStylePr>
    <w:tblStylePr w:type="band1Vert">
      <w:tblPr/>
      <w:tcPr>
        <w:shd w:val="clear" w:color="auto" w:fill="F9FFC2"/>
      </w:tcPr>
    </w:tblStylePr>
    <w:tblStylePr w:type="band1Horz">
      <w:tblPr/>
      <w:tcPr>
        <w:shd w:val="clear" w:color="auto" w:fill="F9FFC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41">
    <w:name w:val="List Table 7 Colorful - Accent 41"/>
    <w:basedOn w:val="TableNormal"/>
    <w:next w:val="ListTable7Colorful-Accent4"/>
    <w:uiPriority w:val="52"/>
    <w:rsid w:val="00F90100"/>
    <w:pPr>
      <w:spacing w:after="0" w:line="240" w:lineRule="auto"/>
      <w:jc w:val="both"/>
    </w:pPr>
    <w:rPr>
      <w:rFonts w:ascii="Arial" w:hAnsi="Arial"/>
      <w:color w:val="BB9F00"/>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FAD500"/>
        </w:tcBorders>
        <w:shd w:val="clear" w:color="auto" w:fill="A5A5A5"/>
      </w:tcPr>
    </w:tblStylePr>
    <w:tblStylePr w:type="lastRow">
      <w:rPr>
        <w:rFonts w:ascii="Arial" w:eastAsia="Times New Roman" w:hAnsi="Arial" w:cs="Times New Roman"/>
        <w:i/>
        <w:iCs/>
        <w:sz w:val="26"/>
      </w:rPr>
      <w:tblPr/>
      <w:tcPr>
        <w:tcBorders>
          <w:top w:val="single" w:sz="4" w:space="0" w:color="FAD500"/>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FAD500"/>
        </w:tcBorders>
        <w:shd w:val="clear" w:color="auto" w:fill="A5A5A5"/>
      </w:tcPr>
    </w:tblStylePr>
    <w:tblStylePr w:type="lastCol">
      <w:rPr>
        <w:rFonts w:ascii="Arial" w:eastAsia="Times New Roman" w:hAnsi="Arial" w:cs="Times New Roman"/>
        <w:i/>
        <w:iCs/>
        <w:sz w:val="26"/>
      </w:rPr>
      <w:tblPr/>
      <w:tcPr>
        <w:tcBorders>
          <w:left w:val="single" w:sz="4" w:space="0" w:color="FAD500"/>
        </w:tcBorders>
        <w:shd w:val="clear" w:color="auto" w:fill="A5A5A5"/>
      </w:tcPr>
    </w:tblStylePr>
    <w:tblStylePr w:type="band1Vert">
      <w:tblPr/>
      <w:tcPr>
        <w:shd w:val="clear" w:color="auto" w:fill="FFF7CB"/>
      </w:tcPr>
    </w:tblStylePr>
    <w:tblStylePr w:type="band1Horz">
      <w:tblPr/>
      <w:tcPr>
        <w:shd w:val="clear" w:color="auto" w:fill="FFF7CB"/>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51">
    <w:name w:val="List Table 7 Colorful - Accent 51"/>
    <w:basedOn w:val="TableNormal"/>
    <w:next w:val="ListTable7Colorful-Accent5"/>
    <w:uiPriority w:val="52"/>
    <w:rsid w:val="00F90100"/>
    <w:pPr>
      <w:spacing w:after="0" w:line="240" w:lineRule="auto"/>
      <w:jc w:val="both"/>
    </w:pPr>
    <w:rPr>
      <w:rFonts w:ascii="Arial" w:hAnsi="Arial"/>
      <w:color w:val="B57500"/>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F29D00"/>
        </w:tcBorders>
        <w:shd w:val="clear" w:color="auto" w:fill="A5A5A5"/>
      </w:tcPr>
    </w:tblStylePr>
    <w:tblStylePr w:type="lastRow">
      <w:rPr>
        <w:rFonts w:ascii="Arial" w:eastAsia="Times New Roman" w:hAnsi="Arial" w:cs="Times New Roman"/>
        <w:i/>
        <w:iCs/>
        <w:sz w:val="26"/>
      </w:rPr>
      <w:tblPr/>
      <w:tcPr>
        <w:tcBorders>
          <w:top w:val="single" w:sz="4" w:space="0" w:color="F29D00"/>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F29D00"/>
        </w:tcBorders>
        <w:shd w:val="clear" w:color="auto" w:fill="A5A5A5"/>
      </w:tcPr>
    </w:tblStylePr>
    <w:tblStylePr w:type="lastCol">
      <w:rPr>
        <w:rFonts w:ascii="Arial" w:eastAsia="Times New Roman" w:hAnsi="Arial" w:cs="Times New Roman"/>
        <w:i/>
        <w:iCs/>
        <w:sz w:val="26"/>
      </w:rPr>
      <w:tblPr/>
      <w:tcPr>
        <w:tcBorders>
          <w:left w:val="single" w:sz="4" w:space="0" w:color="F29D00"/>
        </w:tcBorders>
        <w:shd w:val="clear" w:color="auto" w:fill="A5A5A5"/>
      </w:tcPr>
    </w:tblStylePr>
    <w:tblStylePr w:type="band1Vert">
      <w:tblPr/>
      <w:tcPr>
        <w:shd w:val="clear" w:color="auto" w:fill="FFECC9"/>
      </w:tcPr>
    </w:tblStylePr>
    <w:tblStylePr w:type="band1Horz">
      <w:tblPr/>
      <w:tcPr>
        <w:shd w:val="clear" w:color="auto" w:fill="FFECC9"/>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61">
    <w:name w:val="List Table 7 Colorful - Accent 61"/>
    <w:basedOn w:val="TableNormal"/>
    <w:next w:val="ListTable7Colorful-Accent6"/>
    <w:uiPriority w:val="52"/>
    <w:rsid w:val="00F90100"/>
    <w:pPr>
      <w:spacing w:after="0" w:line="240" w:lineRule="auto"/>
      <w:jc w:val="both"/>
    </w:pPr>
    <w:rPr>
      <w:rFonts w:ascii="Arial" w:hAnsi="Arial"/>
      <w:color w:val="953B12"/>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C85019"/>
        </w:tcBorders>
        <w:shd w:val="clear" w:color="auto" w:fill="A5A5A5"/>
      </w:tcPr>
    </w:tblStylePr>
    <w:tblStylePr w:type="lastRow">
      <w:rPr>
        <w:rFonts w:ascii="Arial" w:eastAsia="Times New Roman" w:hAnsi="Arial" w:cs="Times New Roman"/>
        <w:i/>
        <w:iCs/>
        <w:sz w:val="26"/>
      </w:rPr>
      <w:tblPr/>
      <w:tcPr>
        <w:tcBorders>
          <w:top w:val="single" w:sz="4" w:space="0" w:color="C85019"/>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C85019"/>
        </w:tcBorders>
        <w:shd w:val="clear" w:color="auto" w:fill="A5A5A5"/>
      </w:tcPr>
    </w:tblStylePr>
    <w:tblStylePr w:type="lastCol">
      <w:rPr>
        <w:rFonts w:ascii="Arial" w:eastAsia="Times New Roman" w:hAnsi="Arial" w:cs="Times New Roman"/>
        <w:i/>
        <w:iCs/>
        <w:sz w:val="26"/>
      </w:rPr>
      <w:tblPr/>
      <w:tcPr>
        <w:tcBorders>
          <w:left w:val="single" w:sz="4" w:space="0" w:color="C85019"/>
        </w:tcBorders>
        <w:shd w:val="clear" w:color="auto" w:fill="A5A5A5"/>
      </w:tcPr>
    </w:tblStylePr>
    <w:tblStylePr w:type="band1Vert">
      <w:tblPr/>
      <w:tcPr>
        <w:shd w:val="clear" w:color="auto" w:fill="F8DACC"/>
      </w:tcPr>
    </w:tblStylePr>
    <w:tblStylePr w:type="band1Horz">
      <w:tblPr/>
      <w:tcPr>
        <w:shd w:val="clear" w:color="auto" w:fill="F8DA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11">
    <w:name w:val="Plain Table 11"/>
    <w:basedOn w:val="TableNormal"/>
    <w:next w:val="PlainTable1"/>
    <w:uiPriority w:val="41"/>
    <w:rsid w:val="00F90100"/>
    <w:pPr>
      <w:spacing w:after="0" w:line="240" w:lineRule="auto"/>
      <w:jc w:val="both"/>
    </w:pPr>
    <w:rPr>
      <w:rFonts w:ascii="Arial" w:hAnsi="Arial"/>
      <w:color w:val="58595B"/>
      <w:sz w:val="20"/>
      <w:lang w:val="nl-BE"/>
    </w:rPr>
    <w:tblPr>
      <w:tblStyleRowBandSize w:val="1"/>
      <w:tblStyleColBandSize w:val="1"/>
      <w:tblBorders>
        <w:top w:val="single" w:sz="4" w:space="0" w:color="7B7B7B"/>
        <w:left w:val="single" w:sz="4" w:space="0" w:color="7B7B7B"/>
        <w:bottom w:val="single" w:sz="4" w:space="0" w:color="7B7B7B"/>
        <w:right w:val="single" w:sz="4" w:space="0" w:color="7B7B7B"/>
        <w:insideH w:val="single" w:sz="4" w:space="0" w:color="7B7B7B"/>
        <w:insideV w:val="single" w:sz="4" w:space="0" w:color="7B7B7B"/>
      </w:tblBorders>
    </w:tblPr>
    <w:tblStylePr w:type="firstRow">
      <w:rPr>
        <w:b/>
        <w:bCs/>
      </w:rPr>
    </w:tblStylePr>
    <w:tblStylePr w:type="lastRow">
      <w:rPr>
        <w:b/>
        <w:bCs/>
      </w:rPr>
      <w:tblPr/>
      <w:tcPr>
        <w:tcBorders>
          <w:top w:val="double" w:sz="4" w:space="0" w:color="7B7B7B"/>
        </w:tcBorders>
      </w:tcPr>
    </w:tblStylePr>
    <w:tblStylePr w:type="firstCol">
      <w:rPr>
        <w:b/>
        <w:bCs/>
      </w:rPr>
    </w:tblStylePr>
    <w:tblStylePr w:type="lastCol">
      <w:rPr>
        <w:b/>
        <w:bCs/>
      </w:rPr>
    </w:tblStylePr>
    <w:tblStylePr w:type="band1Vert">
      <w:tblPr/>
      <w:tcPr>
        <w:shd w:val="clear" w:color="auto" w:fill="9C9C9C"/>
      </w:tcPr>
    </w:tblStylePr>
    <w:tblStylePr w:type="band1Horz">
      <w:tblPr/>
      <w:tcPr>
        <w:shd w:val="clear" w:color="auto" w:fill="9C9C9C"/>
      </w:tcPr>
    </w:tblStylePr>
  </w:style>
  <w:style w:type="table" w:customStyle="1" w:styleId="PlainTable21">
    <w:name w:val="Plain Table 21"/>
    <w:basedOn w:val="TableNormal"/>
    <w:next w:val="PlainTable2"/>
    <w:uiPriority w:val="42"/>
    <w:rsid w:val="00F90100"/>
    <w:pPr>
      <w:spacing w:after="0" w:line="240" w:lineRule="auto"/>
      <w:jc w:val="both"/>
    </w:pPr>
    <w:rPr>
      <w:rFonts w:ascii="Arial" w:hAnsi="Arial"/>
      <w:color w:val="58595B"/>
      <w:sz w:val="20"/>
      <w:lang w:val="nl-BE"/>
    </w:rPr>
    <w:tblPr>
      <w:tblStyleRowBandSize w:val="1"/>
      <w:tblStyleColBandSize w:val="1"/>
      <w:tblBorders>
        <w:top w:val="single" w:sz="4" w:space="0" w:color="AAABAD"/>
        <w:bottom w:val="single" w:sz="4" w:space="0" w:color="AAABAD"/>
      </w:tblBorders>
    </w:tblPr>
    <w:tblStylePr w:type="firstRow">
      <w:rPr>
        <w:b/>
        <w:bCs/>
      </w:rPr>
      <w:tblPr/>
      <w:tcPr>
        <w:tcBorders>
          <w:bottom w:val="single" w:sz="4" w:space="0" w:color="AAABAD"/>
        </w:tcBorders>
      </w:tcPr>
    </w:tblStylePr>
    <w:tblStylePr w:type="lastRow">
      <w:rPr>
        <w:b/>
        <w:bCs/>
      </w:rPr>
      <w:tblPr/>
      <w:tcPr>
        <w:tcBorders>
          <w:top w:val="single" w:sz="4" w:space="0" w:color="AAABAD"/>
        </w:tcBorders>
      </w:tcPr>
    </w:tblStylePr>
    <w:tblStylePr w:type="firstCol">
      <w:rPr>
        <w:b/>
        <w:bCs/>
      </w:rPr>
    </w:tblStylePr>
    <w:tblStylePr w:type="lastCol">
      <w:rPr>
        <w:b/>
        <w:bCs/>
      </w:rPr>
    </w:tblStylePr>
    <w:tblStylePr w:type="band1Vert">
      <w:tblPr/>
      <w:tcPr>
        <w:tcBorders>
          <w:left w:val="single" w:sz="4" w:space="0" w:color="AAABAD"/>
          <w:right w:val="single" w:sz="4" w:space="0" w:color="AAABAD"/>
        </w:tcBorders>
      </w:tcPr>
    </w:tblStylePr>
    <w:tblStylePr w:type="band2Vert">
      <w:tblPr/>
      <w:tcPr>
        <w:tcBorders>
          <w:left w:val="single" w:sz="4" w:space="0" w:color="AAABAD"/>
          <w:right w:val="single" w:sz="4" w:space="0" w:color="AAABAD"/>
        </w:tcBorders>
      </w:tcPr>
    </w:tblStylePr>
    <w:tblStylePr w:type="band1Horz">
      <w:tblPr/>
      <w:tcPr>
        <w:tcBorders>
          <w:top w:val="single" w:sz="4" w:space="0" w:color="AAABAD"/>
          <w:bottom w:val="single" w:sz="4" w:space="0" w:color="AAABAD"/>
        </w:tcBorders>
      </w:tcPr>
    </w:tblStylePr>
  </w:style>
  <w:style w:type="table" w:customStyle="1" w:styleId="PlainTable31">
    <w:name w:val="Plain Table 31"/>
    <w:basedOn w:val="TableNormal"/>
    <w:next w:val="PlainTable3"/>
    <w:uiPriority w:val="43"/>
    <w:rsid w:val="00F90100"/>
    <w:pPr>
      <w:spacing w:after="0" w:line="240" w:lineRule="auto"/>
      <w:jc w:val="both"/>
    </w:pPr>
    <w:rPr>
      <w:rFonts w:ascii="Arial" w:hAnsi="Arial"/>
      <w:color w:val="58595B"/>
      <w:sz w:val="20"/>
      <w:lang w:val="nl-BE"/>
    </w:rPr>
    <w:tblPr>
      <w:tblStyleRowBandSize w:val="1"/>
      <w:tblStyleColBandSize w:val="1"/>
    </w:tblPr>
    <w:tblStylePr w:type="firstRow">
      <w:rPr>
        <w:b/>
        <w:bCs/>
        <w:caps/>
      </w:rPr>
      <w:tblPr/>
      <w:tcPr>
        <w:tcBorders>
          <w:bottom w:val="single" w:sz="4" w:space="0" w:color="AAABAD"/>
        </w:tcBorders>
      </w:tcPr>
    </w:tblStylePr>
    <w:tblStylePr w:type="lastRow">
      <w:rPr>
        <w:b/>
        <w:bCs/>
        <w:caps/>
      </w:rPr>
      <w:tblPr/>
      <w:tcPr>
        <w:tcBorders>
          <w:top w:val="nil"/>
        </w:tcBorders>
      </w:tcPr>
    </w:tblStylePr>
    <w:tblStylePr w:type="firstCol">
      <w:rPr>
        <w:b/>
        <w:bCs/>
        <w:caps/>
      </w:rPr>
      <w:tblPr/>
      <w:tcPr>
        <w:tcBorders>
          <w:right w:val="single" w:sz="4" w:space="0" w:color="AAABAD"/>
        </w:tcBorders>
      </w:tcPr>
    </w:tblStylePr>
    <w:tblStylePr w:type="lastCol">
      <w:rPr>
        <w:b/>
        <w:bCs/>
        <w:caps/>
      </w:rPr>
      <w:tblPr/>
      <w:tcPr>
        <w:tcBorders>
          <w:left w:val="nil"/>
        </w:tcBorders>
      </w:tcPr>
    </w:tblStylePr>
    <w:tblStylePr w:type="band1Vert">
      <w:tblPr/>
      <w:tcPr>
        <w:shd w:val="clear" w:color="auto" w:fill="9C9C9C"/>
      </w:tcPr>
    </w:tblStylePr>
    <w:tblStylePr w:type="band1Horz">
      <w:tblPr/>
      <w:tcPr>
        <w:shd w:val="clear" w:color="auto" w:fill="9C9C9C"/>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next w:val="PlainTable4"/>
    <w:uiPriority w:val="44"/>
    <w:rsid w:val="00F90100"/>
    <w:pPr>
      <w:spacing w:after="0" w:line="240" w:lineRule="auto"/>
      <w:jc w:val="both"/>
    </w:pPr>
    <w:rPr>
      <w:rFonts w:ascii="Arial" w:hAnsi="Arial"/>
      <w:color w:val="58595B"/>
      <w:sz w:val="20"/>
      <w:lang w:val="nl-B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9C9C9C"/>
      </w:tcPr>
    </w:tblStylePr>
    <w:tblStylePr w:type="band1Horz">
      <w:tblPr/>
      <w:tcPr>
        <w:shd w:val="clear" w:color="auto" w:fill="9C9C9C"/>
      </w:tcPr>
    </w:tblStylePr>
  </w:style>
  <w:style w:type="table" w:customStyle="1" w:styleId="PlainTable51">
    <w:name w:val="Plain Table 51"/>
    <w:basedOn w:val="TableNormal"/>
    <w:next w:val="PlainTable5"/>
    <w:uiPriority w:val="45"/>
    <w:rsid w:val="00F90100"/>
    <w:pPr>
      <w:spacing w:after="0" w:line="240" w:lineRule="auto"/>
      <w:jc w:val="both"/>
    </w:pPr>
    <w:rPr>
      <w:rFonts w:ascii="Arial" w:hAnsi="Arial"/>
      <w:color w:val="58595B"/>
      <w:sz w:val="20"/>
      <w:lang w:val="nl-BE"/>
    </w:rPr>
    <w:tblPr>
      <w:tblStyleRowBandSize w:val="1"/>
      <w:tblStyleColBandSize w:val="1"/>
    </w:tblPr>
    <w:tblStylePr w:type="firstRow">
      <w:rPr>
        <w:rFonts w:ascii="Arial" w:eastAsia="Times New Roman" w:hAnsi="Arial" w:cs="Times New Roman"/>
        <w:i/>
        <w:iCs/>
        <w:sz w:val="26"/>
      </w:rPr>
      <w:tblPr/>
      <w:tcPr>
        <w:tcBorders>
          <w:bottom w:val="single" w:sz="4" w:space="0" w:color="AAABAD"/>
        </w:tcBorders>
        <w:shd w:val="clear" w:color="auto" w:fill="A5A5A5"/>
      </w:tcPr>
    </w:tblStylePr>
    <w:tblStylePr w:type="lastRow">
      <w:rPr>
        <w:rFonts w:ascii="Arial" w:eastAsia="Times New Roman" w:hAnsi="Arial" w:cs="Times New Roman"/>
        <w:i/>
        <w:iCs/>
        <w:sz w:val="26"/>
      </w:rPr>
      <w:tblPr/>
      <w:tcPr>
        <w:tcBorders>
          <w:top w:val="single" w:sz="4" w:space="0" w:color="AAABAD"/>
        </w:tcBorders>
        <w:shd w:val="clear" w:color="auto" w:fill="A5A5A5"/>
      </w:tcPr>
    </w:tblStylePr>
    <w:tblStylePr w:type="firstCol">
      <w:pPr>
        <w:jc w:val="right"/>
      </w:pPr>
      <w:rPr>
        <w:rFonts w:ascii="Arial" w:eastAsia="Times New Roman" w:hAnsi="Arial" w:cs="Times New Roman"/>
        <w:i/>
        <w:iCs/>
        <w:sz w:val="26"/>
      </w:rPr>
      <w:tblPr/>
      <w:tcPr>
        <w:tcBorders>
          <w:right w:val="single" w:sz="4" w:space="0" w:color="AAABAD"/>
        </w:tcBorders>
        <w:shd w:val="clear" w:color="auto" w:fill="A5A5A5"/>
      </w:tcPr>
    </w:tblStylePr>
    <w:tblStylePr w:type="lastCol">
      <w:rPr>
        <w:rFonts w:ascii="Arial" w:eastAsia="Times New Roman" w:hAnsi="Arial" w:cs="Times New Roman"/>
        <w:i/>
        <w:iCs/>
        <w:sz w:val="26"/>
      </w:rPr>
      <w:tblPr/>
      <w:tcPr>
        <w:tcBorders>
          <w:left w:val="single" w:sz="4" w:space="0" w:color="AAABAD"/>
        </w:tcBorders>
        <w:shd w:val="clear" w:color="auto" w:fill="A5A5A5"/>
      </w:tcPr>
    </w:tblStylePr>
    <w:tblStylePr w:type="band1Vert">
      <w:tblPr/>
      <w:tcPr>
        <w:shd w:val="clear" w:color="auto" w:fill="9C9C9C"/>
      </w:tcPr>
    </w:tblStylePr>
    <w:tblStylePr w:type="band1Horz">
      <w:tblPr/>
      <w:tcPr>
        <w:shd w:val="clear" w:color="auto" w:fill="9C9C9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2">
    <w:name w:val="Table Grid Light2"/>
    <w:basedOn w:val="TableNormal"/>
    <w:next w:val="TableGridLight"/>
    <w:uiPriority w:val="40"/>
    <w:rsid w:val="00F90100"/>
    <w:pPr>
      <w:spacing w:after="0" w:line="240" w:lineRule="auto"/>
      <w:jc w:val="both"/>
    </w:pPr>
    <w:rPr>
      <w:rFonts w:ascii="Arial" w:hAnsi="Arial"/>
      <w:color w:val="58595B"/>
      <w:sz w:val="20"/>
      <w:lang w:val="nl-BE"/>
    </w:rPr>
    <w:tblPr>
      <w:tblBorders>
        <w:top w:val="single" w:sz="4" w:space="0" w:color="7B7B7B"/>
        <w:left w:val="single" w:sz="4" w:space="0" w:color="7B7B7B"/>
        <w:bottom w:val="single" w:sz="4" w:space="0" w:color="7B7B7B"/>
        <w:right w:val="single" w:sz="4" w:space="0" w:color="7B7B7B"/>
        <w:insideH w:val="single" w:sz="4" w:space="0" w:color="7B7B7B"/>
        <w:insideV w:val="single" w:sz="4" w:space="0" w:color="7B7B7B"/>
      </w:tblBorders>
    </w:tblPr>
  </w:style>
  <w:style w:type="paragraph" w:customStyle="1" w:styleId="msonormal0">
    <w:name w:val="msonormal"/>
    <w:basedOn w:val="Normal"/>
    <w:rsid w:val="00F90100"/>
    <w:pPr>
      <w:spacing w:before="100" w:beforeAutospacing="1" w:after="100" w:afterAutospacing="1"/>
    </w:pPr>
    <w:rPr>
      <w:rFonts w:eastAsia="Times New Roman" w:cs="Times New Roman"/>
      <w:szCs w:val="24"/>
    </w:rPr>
  </w:style>
  <w:style w:type="paragraph" w:customStyle="1" w:styleId="xl63">
    <w:name w:val="xl63"/>
    <w:basedOn w:val="Normal"/>
    <w:rsid w:val="00F90100"/>
    <w:pPr>
      <w:spacing w:before="100" w:beforeAutospacing="1" w:after="100" w:afterAutospacing="1"/>
      <w:jc w:val="center"/>
      <w:textAlignment w:val="center"/>
    </w:pPr>
    <w:rPr>
      <w:rFonts w:eastAsia="Times New Roman" w:cs="Times New Roman"/>
      <w:szCs w:val="24"/>
    </w:rPr>
  </w:style>
  <w:style w:type="paragraph" w:customStyle="1" w:styleId="xl64">
    <w:name w:val="xl64"/>
    <w:basedOn w:val="Normal"/>
    <w:rsid w:val="00F90100"/>
    <w:pPr>
      <w:spacing w:before="100" w:beforeAutospacing="1" w:after="100" w:afterAutospacing="1"/>
      <w:jc w:val="center"/>
      <w:textAlignment w:val="center"/>
    </w:pPr>
    <w:rPr>
      <w:rFonts w:eastAsia="Times New Roman" w:cs="Times New Roman"/>
      <w:b/>
      <w:bCs/>
      <w:szCs w:val="24"/>
    </w:rPr>
  </w:style>
  <w:style w:type="paragraph" w:customStyle="1" w:styleId="xl65">
    <w:name w:val="xl65"/>
    <w:basedOn w:val="Normal"/>
    <w:rsid w:val="00F901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66">
    <w:name w:val="xl66"/>
    <w:basedOn w:val="Normal"/>
    <w:rsid w:val="00F90100"/>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67">
    <w:name w:val="xl67"/>
    <w:basedOn w:val="Normal"/>
    <w:rsid w:val="00F90100"/>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b/>
      <w:bCs/>
      <w:szCs w:val="24"/>
    </w:rPr>
  </w:style>
  <w:style w:type="paragraph" w:customStyle="1" w:styleId="xl68">
    <w:name w:val="xl68"/>
    <w:basedOn w:val="Normal"/>
    <w:rsid w:val="00F90100"/>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eastAsia="Times New Roman" w:cs="Times New Roman"/>
      <w:b/>
      <w:bCs/>
      <w:szCs w:val="24"/>
    </w:rPr>
  </w:style>
  <w:style w:type="paragraph" w:customStyle="1" w:styleId="xl69">
    <w:name w:val="xl69"/>
    <w:basedOn w:val="Normal"/>
    <w:rsid w:val="00F90100"/>
    <w:pPr>
      <w:pBdr>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0">
    <w:name w:val="xl70"/>
    <w:basedOn w:val="Normal"/>
    <w:rsid w:val="00F90100"/>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1">
    <w:name w:val="xl71"/>
    <w:basedOn w:val="Normal"/>
    <w:rsid w:val="00F90100"/>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2">
    <w:name w:val="xl72"/>
    <w:basedOn w:val="Normal"/>
    <w:rsid w:val="00F90100"/>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3">
    <w:name w:val="xl73"/>
    <w:basedOn w:val="Normal"/>
    <w:rsid w:val="00F90100"/>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4">
    <w:name w:val="xl74"/>
    <w:basedOn w:val="Normal"/>
    <w:rsid w:val="00F901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5">
    <w:name w:val="xl75"/>
    <w:basedOn w:val="Normal"/>
    <w:rsid w:val="00F90100"/>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6">
    <w:name w:val="xl76"/>
    <w:basedOn w:val="Normal"/>
    <w:rsid w:val="00F90100"/>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Cs w:val="24"/>
    </w:rPr>
  </w:style>
  <w:style w:type="paragraph" w:customStyle="1" w:styleId="xl77">
    <w:name w:val="xl77"/>
    <w:basedOn w:val="Normal"/>
    <w:rsid w:val="00F90100"/>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Cs w:val="24"/>
    </w:rPr>
  </w:style>
  <w:style w:type="paragraph" w:customStyle="1" w:styleId="xl78">
    <w:name w:val="xl78"/>
    <w:basedOn w:val="Normal"/>
    <w:rsid w:val="00F90100"/>
    <w:pPr>
      <w:pBdr>
        <w:left w:val="single" w:sz="4"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79">
    <w:name w:val="xl79"/>
    <w:basedOn w:val="Normal"/>
    <w:rsid w:val="00F90100"/>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eastAsia="Times New Roman" w:cs="Times New Roman"/>
      <w:szCs w:val="24"/>
    </w:rPr>
  </w:style>
  <w:style w:type="paragraph" w:customStyle="1" w:styleId="xl80">
    <w:name w:val="xl80"/>
    <w:basedOn w:val="Normal"/>
    <w:rsid w:val="00F90100"/>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b/>
      <w:bCs/>
      <w:szCs w:val="24"/>
    </w:rPr>
  </w:style>
  <w:style w:type="paragraph" w:styleId="Revision">
    <w:name w:val="Revision"/>
    <w:hidden/>
    <w:uiPriority w:val="99"/>
    <w:semiHidden/>
    <w:rsid w:val="00F90100"/>
    <w:pPr>
      <w:spacing w:after="0" w:line="240" w:lineRule="auto"/>
    </w:pPr>
    <w:rPr>
      <w:rFonts w:ascii="Arial" w:hAnsi="Arial"/>
      <w:color w:val="58595B"/>
      <w:sz w:val="20"/>
      <w:lang w:val="nl-BE"/>
    </w:rPr>
  </w:style>
  <w:style w:type="paragraph" w:customStyle="1" w:styleId="font0">
    <w:name w:val="font0"/>
    <w:basedOn w:val="Normal"/>
    <w:rsid w:val="00F90100"/>
    <w:pPr>
      <w:spacing w:before="100" w:beforeAutospacing="1" w:after="100" w:afterAutospacing="1"/>
    </w:pPr>
    <w:rPr>
      <w:rFonts w:ascii="Calibri" w:eastAsia="Times New Roman" w:hAnsi="Calibri" w:cs="Calibri"/>
      <w:color w:val="000000"/>
      <w:sz w:val="22"/>
    </w:rPr>
  </w:style>
  <w:style w:type="paragraph" w:customStyle="1" w:styleId="font5">
    <w:name w:val="font5"/>
    <w:basedOn w:val="Normal"/>
    <w:rsid w:val="00F90100"/>
    <w:pPr>
      <w:spacing w:before="100" w:beforeAutospacing="1" w:after="100" w:afterAutospacing="1"/>
    </w:pPr>
    <w:rPr>
      <w:rFonts w:ascii="Calibri" w:eastAsia="Times New Roman" w:hAnsi="Calibri" w:cs="Calibri"/>
      <w:sz w:val="22"/>
    </w:rPr>
  </w:style>
  <w:style w:type="paragraph" w:customStyle="1" w:styleId="font6">
    <w:name w:val="font6"/>
    <w:basedOn w:val="Normal"/>
    <w:rsid w:val="00F90100"/>
    <w:pPr>
      <w:spacing w:before="100" w:beforeAutospacing="1" w:after="100" w:afterAutospacing="1"/>
    </w:pPr>
    <w:rPr>
      <w:rFonts w:ascii="Calibri" w:eastAsia="Times New Roman" w:hAnsi="Calibri" w:cs="Calibri"/>
      <w:i/>
      <w:iCs/>
      <w:color w:val="000000"/>
      <w:sz w:val="22"/>
    </w:rPr>
  </w:style>
  <w:style w:type="paragraph" w:customStyle="1" w:styleId="font7">
    <w:name w:val="font7"/>
    <w:basedOn w:val="Normal"/>
    <w:rsid w:val="00F90100"/>
    <w:pPr>
      <w:spacing w:before="100" w:beforeAutospacing="1" w:after="100" w:afterAutospacing="1"/>
    </w:pPr>
    <w:rPr>
      <w:rFonts w:ascii="Calibri" w:eastAsia="Times New Roman" w:hAnsi="Calibri" w:cs="Calibri"/>
      <w:i/>
      <w:iCs/>
      <w:sz w:val="22"/>
    </w:rPr>
  </w:style>
  <w:style w:type="paragraph" w:customStyle="1" w:styleId="xl81">
    <w:name w:val="xl81"/>
    <w:basedOn w:val="Normal"/>
    <w:rsid w:val="00F90100"/>
    <w:pPr>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jc w:val="center"/>
      <w:textAlignment w:val="center"/>
    </w:pPr>
    <w:rPr>
      <w:rFonts w:eastAsia="Times New Roman" w:cs="Times New Roman"/>
      <w:szCs w:val="24"/>
    </w:rPr>
  </w:style>
  <w:style w:type="paragraph" w:customStyle="1" w:styleId="xl82">
    <w:name w:val="xl82"/>
    <w:basedOn w:val="Normal"/>
    <w:rsid w:val="00F90100"/>
    <w:pPr>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jc w:val="center"/>
      <w:textAlignment w:val="center"/>
    </w:pPr>
    <w:rPr>
      <w:rFonts w:eastAsia="Times New Roman" w:cs="Times New Roman"/>
      <w:szCs w:val="24"/>
    </w:rPr>
  </w:style>
  <w:style w:type="paragraph" w:customStyle="1" w:styleId="xl83">
    <w:name w:val="xl83"/>
    <w:basedOn w:val="Normal"/>
    <w:rsid w:val="00F90100"/>
    <w:pPr>
      <w:spacing w:before="100" w:beforeAutospacing="1" w:after="100" w:afterAutospacing="1"/>
      <w:jc w:val="center"/>
      <w:textAlignment w:val="center"/>
    </w:pPr>
    <w:rPr>
      <w:rFonts w:eastAsia="Times New Roman" w:cs="Times New Roman"/>
      <w:i/>
      <w:iCs/>
      <w:szCs w:val="24"/>
    </w:rPr>
  </w:style>
  <w:style w:type="paragraph" w:customStyle="1" w:styleId="xl84">
    <w:name w:val="xl84"/>
    <w:basedOn w:val="Normal"/>
    <w:rsid w:val="00F90100"/>
    <w:pPr>
      <w:pBdr>
        <w:top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Cs w:val="24"/>
    </w:rPr>
  </w:style>
  <w:style w:type="paragraph" w:customStyle="1" w:styleId="xl85">
    <w:name w:val="xl85"/>
    <w:basedOn w:val="Normal"/>
    <w:rsid w:val="00F90100"/>
    <w:pPr>
      <w:pBdr>
        <w:top w:val="single" w:sz="4" w:space="0" w:color="auto"/>
        <w:bottom w:val="single" w:sz="4" w:space="0" w:color="auto"/>
        <w:right w:val="single" w:sz="4" w:space="0" w:color="auto"/>
      </w:pBdr>
      <w:shd w:val="clear" w:color="000000" w:fill="E7E6E6"/>
      <w:spacing w:before="100" w:beforeAutospacing="1" w:after="100" w:afterAutospacing="1"/>
      <w:jc w:val="center"/>
      <w:textAlignment w:val="center"/>
    </w:pPr>
    <w:rPr>
      <w:rFonts w:eastAsia="Times New Roman" w:cs="Times New Roman"/>
      <w:szCs w:val="24"/>
    </w:rPr>
  </w:style>
  <w:style w:type="paragraph" w:customStyle="1" w:styleId="xl86">
    <w:name w:val="xl86"/>
    <w:basedOn w:val="Normal"/>
    <w:rsid w:val="00F901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FF0000"/>
      <w:szCs w:val="24"/>
    </w:rPr>
  </w:style>
  <w:style w:type="paragraph" w:customStyle="1" w:styleId="xl87">
    <w:name w:val="xl87"/>
    <w:basedOn w:val="Normal"/>
    <w:rsid w:val="00F90100"/>
    <w:pPr>
      <w:pBdr>
        <w:top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eastAsia="Times New Roman" w:cs="Times New Roman"/>
      <w:szCs w:val="24"/>
    </w:rPr>
  </w:style>
  <w:style w:type="paragraph" w:customStyle="1" w:styleId="xl88">
    <w:name w:val="xl88"/>
    <w:basedOn w:val="Normal"/>
    <w:rsid w:val="00F90100"/>
    <w:pPr>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jc w:val="center"/>
      <w:textAlignment w:val="center"/>
    </w:pPr>
    <w:rPr>
      <w:rFonts w:eastAsia="Times New Roman" w:cs="Times New Roman"/>
      <w:i/>
      <w:iCs/>
      <w:szCs w:val="24"/>
    </w:rPr>
  </w:style>
  <w:style w:type="paragraph" w:customStyle="1" w:styleId="xl89">
    <w:name w:val="xl89"/>
    <w:basedOn w:val="Normal"/>
    <w:rsid w:val="00F90100"/>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Times New Roman"/>
      <w:i/>
      <w:iCs/>
      <w:szCs w:val="24"/>
    </w:rPr>
  </w:style>
  <w:style w:type="paragraph" w:customStyle="1" w:styleId="xl90">
    <w:name w:val="xl90"/>
    <w:basedOn w:val="Normal"/>
    <w:rsid w:val="00F901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i/>
      <w:iCs/>
      <w:szCs w:val="24"/>
    </w:rPr>
  </w:style>
  <w:style w:type="paragraph" w:customStyle="1" w:styleId="xl91">
    <w:name w:val="xl91"/>
    <w:basedOn w:val="Normal"/>
    <w:rsid w:val="00F90100"/>
    <w:pPr>
      <w:pBdr>
        <w:left w:val="single" w:sz="4" w:space="0" w:color="auto"/>
        <w:right w:val="single" w:sz="4" w:space="0" w:color="auto"/>
      </w:pBdr>
      <w:spacing w:before="100" w:beforeAutospacing="1" w:after="100" w:afterAutospacing="1"/>
      <w:jc w:val="center"/>
      <w:textAlignment w:val="center"/>
    </w:pPr>
    <w:rPr>
      <w:rFonts w:eastAsia="Times New Roman" w:cs="Times New Roman"/>
      <w:i/>
      <w:iCs/>
      <w:szCs w:val="24"/>
    </w:rPr>
  </w:style>
  <w:style w:type="paragraph" w:customStyle="1" w:styleId="xl92">
    <w:name w:val="xl92"/>
    <w:basedOn w:val="Normal"/>
    <w:rsid w:val="00F9010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eastAsia="Times New Roman" w:cs="Times New Roman"/>
      <w:szCs w:val="24"/>
    </w:rPr>
  </w:style>
  <w:style w:type="paragraph" w:customStyle="1" w:styleId="xl93">
    <w:name w:val="xl93"/>
    <w:basedOn w:val="Normal"/>
    <w:rsid w:val="00F9010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eastAsia="Times New Roman" w:cs="Times New Roman"/>
      <w:szCs w:val="24"/>
    </w:rPr>
  </w:style>
  <w:style w:type="paragraph" w:customStyle="1" w:styleId="xl94">
    <w:name w:val="xl94"/>
    <w:basedOn w:val="Normal"/>
    <w:rsid w:val="00F90100"/>
    <w:pPr>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jc w:val="center"/>
      <w:textAlignment w:val="center"/>
    </w:pPr>
    <w:rPr>
      <w:rFonts w:eastAsia="Times New Roman" w:cs="Times New Roman"/>
      <w:color w:val="0563C1"/>
      <w:szCs w:val="24"/>
      <w:u w:val="single"/>
    </w:rPr>
  </w:style>
  <w:style w:type="paragraph" w:styleId="BlockText">
    <w:name w:val="Block Text"/>
    <w:basedOn w:val="Normal"/>
    <w:uiPriority w:val="99"/>
    <w:semiHidden/>
    <w:unhideWhenUsed/>
    <w:rsid w:val="00F90100"/>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i/>
      <w:iCs/>
      <w:color w:val="4F81BD" w:themeColor="accent1"/>
    </w:rPr>
  </w:style>
  <w:style w:type="table" w:styleId="ColorfulGrid">
    <w:name w:val="Colorful Grid"/>
    <w:basedOn w:val="TableNormal"/>
    <w:uiPriority w:val="73"/>
    <w:semiHidden/>
    <w:unhideWhenUsed/>
    <w:rsid w:val="00F9010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F9010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semiHidden/>
    <w:unhideWhenUsed/>
    <w:rsid w:val="00F9010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semiHidden/>
    <w:unhideWhenUsed/>
    <w:rsid w:val="00F9010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semiHidden/>
    <w:unhideWhenUsed/>
    <w:rsid w:val="00F9010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semiHidden/>
    <w:unhideWhenUsed/>
    <w:rsid w:val="00F9010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semiHidden/>
    <w:unhideWhenUsed/>
    <w:rsid w:val="00F9010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semiHidden/>
    <w:unhideWhenUsed/>
    <w:rsid w:val="00F90100"/>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F90100"/>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semiHidden/>
    <w:unhideWhenUsed/>
    <w:rsid w:val="00F90100"/>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semiHidden/>
    <w:unhideWhenUsed/>
    <w:rsid w:val="00F90100"/>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semiHidden/>
    <w:unhideWhenUsed/>
    <w:rsid w:val="00F90100"/>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semiHidden/>
    <w:unhideWhenUsed/>
    <w:rsid w:val="00F90100"/>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semiHidden/>
    <w:unhideWhenUsed/>
    <w:rsid w:val="00F90100"/>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semiHidden/>
    <w:unhideWhenUsed/>
    <w:rsid w:val="00F90100"/>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F9010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F90100"/>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F90100"/>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semiHidden/>
    <w:unhideWhenUsed/>
    <w:rsid w:val="00F90100"/>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F90100"/>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F90100"/>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F9010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F90100"/>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semiHidden/>
    <w:unhideWhenUsed/>
    <w:rsid w:val="00F90100"/>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semiHidden/>
    <w:unhideWhenUsed/>
    <w:rsid w:val="00F90100"/>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semiHidden/>
    <w:unhideWhenUsed/>
    <w:rsid w:val="00F90100"/>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semiHidden/>
    <w:unhideWhenUsed/>
    <w:rsid w:val="00F90100"/>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semiHidden/>
    <w:unhideWhenUsed/>
    <w:rsid w:val="00F90100"/>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EnvelopeAddress">
    <w:name w:val="envelope address"/>
    <w:basedOn w:val="Normal"/>
    <w:uiPriority w:val="99"/>
    <w:semiHidden/>
    <w:unhideWhenUsed/>
    <w:rsid w:val="00F90100"/>
    <w:pPr>
      <w:framePr w:w="7920" w:h="1980" w:hRule="exact" w:hSpace="180" w:wrap="auto" w:hAnchor="page" w:xAlign="center" w:yAlign="bottom"/>
      <w:spacing w:before="0" w:after="0"/>
      <w:ind w:left="2880"/>
    </w:pPr>
    <w:rPr>
      <w:rFonts w:asciiTheme="majorHAnsi" w:eastAsiaTheme="majorEastAsia" w:hAnsiTheme="majorHAnsi" w:cstheme="majorBidi"/>
      <w:szCs w:val="24"/>
    </w:rPr>
  </w:style>
  <w:style w:type="paragraph" w:styleId="EnvelopeReturn">
    <w:name w:val="envelope return"/>
    <w:basedOn w:val="Normal"/>
    <w:uiPriority w:val="99"/>
    <w:semiHidden/>
    <w:unhideWhenUsed/>
    <w:rsid w:val="00F90100"/>
    <w:pPr>
      <w:spacing w:before="0" w:after="0"/>
    </w:pPr>
    <w:rPr>
      <w:rFonts w:asciiTheme="majorHAnsi" w:eastAsiaTheme="majorEastAsia" w:hAnsiTheme="majorHAnsi" w:cstheme="majorBidi"/>
      <w:sz w:val="20"/>
      <w:szCs w:val="20"/>
    </w:rPr>
  </w:style>
  <w:style w:type="character" w:customStyle="1" w:styleId="Heading6Char1">
    <w:name w:val="Heading 6 Char1"/>
    <w:basedOn w:val="DefaultParagraphFont"/>
    <w:uiPriority w:val="9"/>
    <w:semiHidden/>
    <w:rsid w:val="00F90100"/>
    <w:rPr>
      <w:rFonts w:asciiTheme="majorHAnsi" w:eastAsiaTheme="majorEastAsia" w:hAnsiTheme="majorHAnsi" w:cstheme="majorBidi"/>
      <w:color w:val="243F60" w:themeColor="accent1" w:themeShade="7F"/>
      <w:sz w:val="24"/>
    </w:rPr>
  </w:style>
  <w:style w:type="character" w:customStyle="1" w:styleId="Heading7Char1">
    <w:name w:val="Heading 7 Char1"/>
    <w:basedOn w:val="DefaultParagraphFont"/>
    <w:uiPriority w:val="9"/>
    <w:semiHidden/>
    <w:rsid w:val="00F90100"/>
    <w:rPr>
      <w:rFonts w:asciiTheme="majorHAnsi" w:eastAsiaTheme="majorEastAsia" w:hAnsiTheme="majorHAnsi" w:cstheme="majorBidi"/>
      <w:i/>
      <w:iCs/>
      <w:color w:val="243F60" w:themeColor="accent1" w:themeShade="7F"/>
      <w:sz w:val="24"/>
    </w:rPr>
  </w:style>
  <w:style w:type="character" w:customStyle="1" w:styleId="Heading8Char1">
    <w:name w:val="Heading 8 Char1"/>
    <w:basedOn w:val="DefaultParagraphFont"/>
    <w:uiPriority w:val="9"/>
    <w:semiHidden/>
    <w:rsid w:val="00F90100"/>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F90100"/>
    <w:rPr>
      <w:rFonts w:asciiTheme="majorHAnsi" w:eastAsiaTheme="majorEastAsia" w:hAnsiTheme="majorHAnsi" w:cstheme="majorBidi"/>
      <w:i/>
      <w:iCs/>
      <w:color w:val="272727" w:themeColor="text1" w:themeTint="D8"/>
      <w:sz w:val="21"/>
      <w:szCs w:val="21"/>
    </w:rPr>
  </w:style>
  <w:style w:type="paragraph" w:styleId="IntenseQuote">
    <w:name w:val="Intense Quote"/>
    <w:basedOn w:val="Normal"/>
    <w:next w:val="Normal"/>
    <w:link w:val="IntenseQuoteChar"/>
    <w:uiPriority w:val="30"/>
    <w:qFormat/>
    <w:rsid w:val="00F90100"/>
    <w:pPr>
      <w:pBdr>
        <w:top w:val="single" w:sz="4" w:space="10" w:color="4F81BD" w:themeColor="accent1"/>
        <w:bottom w:val="single" w:sz="4" w:space="10" w:color="4F81BD" w:themeColor="accent1"/>
      </w:pBdr>
      <w:spacing w:before="360" w:after="360"/>
      <w:ind w:left="864" w:right="864"/>
      <w:jc w:val="center"/>
    </w:pPr>
    <w:rPr>
      <w:rFonts w:asciiTheme="minorHAnsi" w:hAnsiTheme="minorHAnsi"/>
      <w:b/>
      <w:bCs/>
      <w:i/>
      <w:iCs/>
      <w:color w:val="3AAA35"/>
      <w:sz w:val="22"/>
      <w:lang w:val="nl-BE"/>
    </w:rPr>
  </w:style>
  <w:style w:type="character" w:customStyle="1" w:styleId="IntenseQuoteChar1">
    <w:name w:val="Intense Quote Char1"/>
    <w:basedOn w:val="DefaultParagraphFont"/>
    <w:uiPriority w:val="30"/>
    <w:rsid w:val="00F90100"/>
    <w:rPr>
      <w:rFonts w:ascii="Times New Roman" w:hAnsi="Times New Roman"/>
      <w:i/>
      <w:iCs/>
      <w:color w:val="4F81BD" w:themeColor="accent1"/>
      <w:sz w:val="24"/>
    </w:rPr>
  </w:style>
  <w:style w:type="table" w:styleId="LightGrid">
    <w:name w:val="Light Grid"/>
    <w:basedOn w:val="TableNormal"/>
    <w:uiPriority w:val="62"/>
    <w:semiHidden/>
    <w:unhideWhenUsed/>
    <w:rsid w:val="00F9010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F90100"/>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semiHidden/>
    <w:unhideWhenUsed/>
    <w:rsid w:val="00F90100"/>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semiHidden/>
    <w:unhideWhenUsed/>
    <w:rsid w:val="00F90100"/>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semiHidden/>
    <w:unhideWhenUsed/>
    <w:rsid w:val="00F90100"/>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semiHidden/>
    <w:unhideWhenUsed/>
    <w:rsid w:val="00F90100"/>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semiHidden/>
    <w:unhideWhenUsed/>
    <w:rsid w:val="00F90100"/>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semiHidden/>
    <w:unhideWhenUsed/>
    <w:rsid w:val="00F9010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F90100"/>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semiHidden/>
    <w:unhideWhenUsed/>
    <w:rsid w:val="00F90100"/>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semiHidden/>
    <w:unhideWhenUsed/>
    <w:rsid w:val="00F90100"/>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semiHidden/>
    <w:unhideWhenUsed/>
    <w:rsid w:val="00F90100"/>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semiHidden/>
    <w:unhideWhenUsed/>
    <w:rsid w:val="00F90100"/>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semiHidden/>
    <w:unhideWhenUsed/>
    <w:rsid w:val="00F90100"/>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semiHidden/>
    <w:unhideWhenUsed/>
    <w:rsid w:val="00F9010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F9010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semiHidden/>
    <w:unhideWhenUsed/>
    <w:rsid w:val="00F90100"/>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semiHidden/>
    <w:unhideWhenUsed/>
    <w:rsid w:val="00F90100"/>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semiHidden/>
    <w:unhideWhenUsed/>
    <w:rsid w:val="00F90100"/>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semiHidden/>
    <w:unhideWhenUsed/>
    <w:rsid w:val="00F90100"/>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semiHidden/>
    <w:unhideWhenUsed/>
    <w:rsid w:val="00F90100"/>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semiHidden/>
    <w:unhideWhenUsed/>
    <w:rsid w:val="00F9010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F9010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semiHidden/>
    <w:unhideWhenUsed/>
    <w:rsid w:val="00F90100"/>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semiHidden/>
    <w:unhideWhenUsed/>
    <w:rsid w:val="00F90100"/>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semiHidden/>
    <w:unhideWhenUsed/>
    <w:rsid w:val="00F90100"/>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semiHidden/>
    <w:unhideWhenUsed/>
    <w:rsid w:val="00F90100"/>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semiHidden/>
    <w:unhideWhenUsed/>
    <w:rsid w:val="00F90100"/>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F9010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F9010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semiHidden/>
    <w:unhideWhenUsed/>
    <w:rsid w:val="00F9010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semiHidden/>
    <w:unhideWhenUsed/>
    <w:rsid w:val="00F9010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semiHidden/>
    <w:unhideWhenUsed/>
    <w:rsid w:val="00F9010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semiHidden/>
    <w:unhideWhenUsed/>
    <w:rsid w:val="00F9010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semiHidden/>
    <w:unhideWhenUsed/>
    <w:rsid w:val="00F9010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semiHidden/>
    <w:unhideWhenUsed/>
    <w:rsid w:val="00F90100"/>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F90100"/>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semiHidden/>
    <w:unhideWhenUsed/>
    <w:rsid w:val="00F90100"/>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semiHidden/>
    <w:unhideWhenUsed/>
    <w:rsid w:val="00F90100"/>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semiHidden/>
    <w:unhideWhenUsed/>
    <w:rsid w:val="00F90100"/>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semiHidden/>
    <w:unhideWhenUsed/>
    <w:rsid w:val="00F90100"/>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semiHidden/>
    <w:unhideWhenUsed/>
    <w:rsid w:val="00F90100"/>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F9010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F9010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F9010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F90100"/>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F90100"/>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F90100"/>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F90100"/>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F90100"/>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F9010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F9010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F9010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F9010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F9010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F9010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F9010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1"/>
    <w:uiPriority w:val="99"/>
    <w:semiHidden/>
    <w:unhideWhenUsed/>
    <w:rsid w:val="00F90100"/>
    <w:pPr>
      <w:pBdr>
        <w:top w:val="single" w:sz="6" w:space="1" w:color="auto"/>
        <w:left w:val="single" w:sz="6" w:space="1" w:color="auto"/>
        <w:bottom w:val="single" w:sz="6" w:space="1" w:color="auto"/>
        <w:right w:val="single" w:sz="6" w:space="1" w:color="auto"/>
      </w:pBdr>
      <w:shd w:val="pct20" w:color="auto" w:fill="auto"/>
      <w:spacing w:before="0" w:after="0"/>
      <w:ind w:left="1080" w:hanging="1080"/>
    </w:pPr>
    <w:rPr>
      <w:rFonts w:asciiTheme="majorHAnsi" w:eastAsiaTheme="majorEastAsia" w:hAnsiTheme="majorHAnsi" w:cstheme="majorBidi"/>
      <w:szCs w:val="24"/>
    </w:rPr>
  </w:style>
  <w:style w:type="character" w:customStyle="1" w:styleId="MessageHeaderChar1">
    <w:name w:val="Message Header Char1"/>
    <w:basedOn w:val="DefaultParagraphFont"/>
    <w:link w:val="MessageHeader"/>
    <w:uiPriority w:val="99"/>
    <w:semiHidden/>
    <w:rsid w:val="00F90100"/>
    <w:rPr>
      <w:rFonts w:asciiTheme="majorHAnsi" w:eastAsiaTheme="majorEastAsia" w:hAnsiTheme="majorHAnsi" w:cstheme="majorBidi"/>
      <w:sz w:val="24"/>
      <w:szCs w:val="24"/>
      <w:shd w:val="pct20" w:color="auto" w:fill="auto"/>
    </w:rPr>
  </w:style>
  <w:style w:type="character" w:styleId="SubtleReference">
    <w:name w:val="Subtle Reference"/>
    <w:basedOn w:val="DefaultParagraphFont"/>
    <w:uiPriority w:val="31"/>
    <w:qFormat/>
    <w:rsid w:val="00F90100"/>
    <w:rPr>
      <w:smallCaps/>
      <w:color w:val="5A5A5A" w:themeColor="text1" w:themeTint="A5"/>
    </w:rPr>
  </w:style>
  <w:style w:type="table" w:styleId="GridTable1Light">
    <w:name w:val="Grid Table 1 Light"/>
    <w:basedOn w:val="TableNormal"/>
    <w:uiPriority w:val="46"/>
    <w:rsid w:val="00F9010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F90100"/>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F90100"/>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F90100"/>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F90100"/>
    <w:pPr>
      <w:spacing w:after="0" w:line="240" w:lineRule="auto"/>
    </w:p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F90100"/>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F90100"/>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F90100"/>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F90100"/>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2-Accent2">
    <w:name w:val="Grid Table 2 Accent 2"/>
    <w:basedOn w:val="TableNormal"/>
    <w:uiPriority w:val="47"/>
    <w:rsid w:val="00F90100"/>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2-Accent3">
    <w:name w:val="Grid Table 2 Accent 3"/>
    <w:basedOn w:val="TableNormal"/>
    <w:uiPriority w:val="47"/>
    <w:rsid w:val="00F90100"/>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2-Accent4">
    <w:name w:val="Grid Table 2 Accent 4"/>
    <w:basedOn w:val="TableNormal"/>
    <w:uiPriority w:val="47"/>
    <w:rsid w:val="00F90100"/>
    <w:pPr>
      <w:spacing w:after="0" w:line="240" w:lineRule="auto"/>
    </w:p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2-Accent5">
    <w:name w:val="Grid Table 2 Accent 5"/>
    <w:basedOn w:val="TableNormal"/>
    <w:uiPriority w:val="47"/>
    <w:rsid w:val="00F90100"/>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2-Accent6">
    <w:name w:val="Grid Table 2 Accent 6"/>
    <w:basedOn w:val="TableNormal"/>
    <w:uiPriority w:val="47"/>
    <w:rsid w:val="00F90100"/>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3">
    <w:name w:val="Grid Table 3"/>
    <w:basedOn w:val="TableNormal"/>
    <w:uiPriority w:val="48"/>
    <w:rsid w:val="00F9010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F9010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3-Accent2">
    <w:name w:val="Grid Table 3 Accent 2"/>
    <w:basedOn w:val="TableNormal"/>
    <w:uiPriority w:val="48"/>
    <w:rsid w:val="00F90100"/>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3-Accent3">
    <w:name w:val="Grid Table 3 Accent 3"/>
    <w:basedOn w:val="TableNormal"/>
    <w:uiPriority w:val="48"/>
    <w:rsid w:val="00F9010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3-Accent4">
    <w:name w:val="Grid Table 3 Accent 4"/>
    <w:basedOn w:val="TableNormal"/>
    <w:uiPriority w:val="48"/>
    <w:rsid w:val="00F90100"/>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3-Accent5">
    <w:name w:val="Grid Table 3 Accent 5"/>
    <w:basedOn w:val="TableNormal"/>
    <w:uiPriority w:val="48"/>
    <w:rsid w:val="00F90100"/>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3-Accent6">
    <w:name w:val="Grid Table 3 Accent 6"/>
    <w:basedOn w:val="TableNormal"/>
    <w:uiPriority w:val="48"/>
    <w:rsid w:val="00F90100"/>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GridTable4">
    <w:name w:val="Grid Table 4"/>
    <w:basedOn w:val="TableNormal"/>
    <w:uiPriority w:val="49"/>
    <w:rsid w:val="00F9010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F9010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2">
    <w:name w:val="Grid Table 4 Accent 2"/>
    <w:basedOn w:val="TableNormal"/>
    <w:uiPriority w:val="49"/>
    <w:rsid w:val="00F90100"/>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4-Accent3">
    <w:name w:val="Grid Table 4 Accent 3"/>
    <w:basedOn w:val="TableNormal"/>
    <w:uiPriority w:val="49"/>
    <w:rsid w:val="00F9010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4-Accent4">
    <w:name w:val="Grid Table 4 Accent 4"/>
    <w:basedOn w:val="TableNormal"/>
    <w:uiPriority w:val="49"/>
    <w:rsid w:val="00F90100"/>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4-Accent5">
    <w:name w:val="Grid Table 4 Accent 5"/>
    <w:basedOn w:val="TableNormal"/>
    <w:uiPriority w:val="49"/>
    <w:rsid w:val="00F90100"/>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4-Accent6">
    <w:name w:val="Grid Table 4 Accent 6"/>
    <w:basedOn w:val="TableNormal"/>
    <w:uiPriority w:val="49"/>
    <w:rsid w:val="00F90100"/>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5Dark">
    <w:name w:val="Grid Table 5 Dark"/>
    <w:basedOn w:val="TableNormal"/>
    <w:uiPriority w:val="50"/>
    <w:rsid w:val="00F901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F901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5Dark-Accent2">
    <w:name w:val="Grid Table 5 Dark Accent 2"/>
    <w:basedOn w:val="TableNormal"/>
    <w:uiPriority w:val="50"/>
    <w:rsid w:val="00F901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ridTable5Dark-Accent3">
    <w:name w:val="Grid Table 5 Dark Accent 3"/>
    <w:basedOn w:val="TableNormal"/>
    <w:uiPriority w:val="50"/>
    <w:rsid w:val="00F901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GridTable5Dark-Accent4">
    <w:name w:val="Grid Table 5 Dark Accent 4"/>
    <w:basedOn w:val="TableNormal"/>
    <w:uiPriority w:val="50"/>
    <w:rsid w:val="00F901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GridTable5Dark-Accent5">
    <w:name w:val="Grid Table 5 Dark Accent 5"/>
    <w:basedOn w:val="TableNormal"/>
    <w:uiPriority w:val="50"/>
    <w:rsid w:val="00F901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5Dark-Accent6">
    <w:name w:val="Grid Table 5 Dark Accent 6"/>
    <w:basedOn w:val="TableNormal"/>
    <w:uiPriority w:val="50"/>
    <w:rsid w:val="00F901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GridTable6Colorful">
    <w:name w:val="Grid Table 6 Colorful"/>
    <w:basedOn w:val="TableNormal"/>
    <w:uiPriority w:val="51"/>
    <w:rsid w:val="00F9010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F90100"/>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6Colorful-Accent2">
    <w:name w:val="Grid Table 6 Colorful Accent 2"/>
    <w:basedOn w:val="TableNormal"/>
    <w:uiPriority w:val="51"/>
    <w:rsid w:val="00F90100"/>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6Colorful-Accent3">
    <w:name w:val="Grid Table 6 Colorful Accent 3"/>
    <w:basedOn w:val="TableNormal"/>
    <w:uiPriority w:val="51"/>
    <w:rsid w:val="00F90100"/>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6Colorful-Accent4">
    <w:name w:val="Grid Table 6 Colorful Accent 4"/>
    <w:basedOn w:val="TableNormal"/>
    <w:uiPriority w:val="51"/>
    <w:rsid w:val="00F90100"/>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6Colorful-Accent5">
    <w:name w:val="Grid Table 6 Colorful Accent 5"/>
    <w:basedOn w:val="TableNormal"/>
    <w:uiPriority w:val="51"/>
    <w:rsid w:val="00F90100"/>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6Colorful-Accent6">
    <w:name w:val="Grid Table 6 Colorful Accent 6"/>
    <w:basedOn w:val="TableNormal"/>
    <w:uiPriority w:val="51"/>
    <w:rsid w:val="00F90100"/>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7Colorful">
    <w:name w:val="Grid Table 7 Colorful"/>
    <w:basedOn w:val="TableNormal"/>
    <w:uiPriority w:val="52"/>
    <w:rsid w:val="00F9010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F90100"/>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7Colorful-Accent2">
    <w:name w:val="Grid Table 7 Colorful Accent 2"/>
    <w:basedOn w:val="TableNormal"/>
    <w:uiPriority w:val="52"/>
    <w:rsid w:val="00F90100"/>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7Colorful-Accent3">
    <w:name w:val="Grid Table 7 Colorful Accent 3"/>
    <w:basedOn w:val="TableNormal"/>
    <w:uiPriority w:val="52"/>
    <w:rsid w:val="00F90100"/>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7Colorful-Accent4">
    <w:name w:val="Grid Table 7 Colorful Accent 4"/>
    <w:basedOn w:val="TableNormal"/>
    <w:uiPriority w:val="52"/>
    <w:rsid w:val="00F90100"/>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7Colorful-Accent5">
    <w:name w:val="Grid Table 7 Colorful Accent 5"/>
    <w:basedOn w:val="TableNormal"/>
    <w:uiPriority w:val="52"/>
    <w:rsid w:val="00F90100"/>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7Colorful-Accent6">
    <w:name w:val="Grid Table 7 Colorful Accent 6"/>
    <w:basedOn w:val="TableNormal"/>
    <w:uiPriority w:val="52"/>
    <w:rsid w:val="00F90100"/>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ListTable1Light">
    <w:name w:val="List Table 1 Light"/>
    <w:basedOn w:val="TableNormal"/>
    <w:uiPriority w:val="46"/>
    <w:rsid w:val="00F9010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F90100"/>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1Light-Accent2">
    <w:name w:val="List Table 1 Light Accent 2"/>
    <w:basedOn w:val="TableNormal"/>
    <w:uiPriority w:val="46"/>
    <w:rsid w:val="00F90100"/>
    <w:pPr>
      <w:spacing w:after="0" w:line="240" w:lineRule="auto"/>
    </w:pPr>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1Light-Accent3">
    <w:name w:val="List Table 1 Light Accent 3"/>
    <w:basedOn w:val="TableNormal"/>
    <w:uiPriority w:val="46"/>
    <w:rsid w:val="00F90100"/>
    <w:pPr>
      <w:spacing w:after="0" w:line="240" w:lineRule="auto"/>
    </w:pPr>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1Light-Accent4">
    <w:name w:val="List Table 1 Light Accent 4"/>
    <w:basedOn w:val="TableNormal"/>
    <w:uiPriority w:val="46"/>
    <w:rsid w:val="00F90100"/>
    <w:pPr>
      <w:spacing w:after="0" w:line="240" w:lineRule="auto"/>
    </w:pPr>
    <w:tblPr>
      <w:tblStyleRowBandSize w:val="1"/>
      <w:tblStyleColBandSize w:val="1"/>
    </w:tblPr>
    <w:tblStylePr w:type="firstRow">
      <w:rPr>
        <w:b/>
        <w:bCs/>
      </w:rPr>
      <w:tblPr/>
      <w:tcPr>
        <w:tcBorders>
          <w:bottom w:val="single" w:sz="4" w:space="0" w:color="B2A1C7" w:themeColor="accent4" w:themeTint="99"/>
        </w:tcBorders>
      </w:tcPr>
    </w:tblStylePr>
    <w:tblStylePr w:type="lastRow">
      <w:rPr>
        <w:b/>
        <w:bCs/>
      </w:rPr>
      <w:tblPr/>
      <w:tcPr>
        <w:tcBorders>
          <w:top w:val="sing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1Light-Accent5">
    <w:name w:val="List Table 1 Light Accent 5"/>
    <w:basedOn w:val="TableNormal"/>
    <w:uiPriority w:val="46"/>
    <w:rsid w:val="00F90100"/>
    <w:pPr>
      <w:spacing w:after="0" w:line="240" w:lineRule="auto"/>
    </w:pPr>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1Light-Accent6">
    <w:name w:val="List Table 1 Light Accent 6"/>
    <w:basedOn w:val="TableNormal"/>
    <w:uiPriority w:val="46"/>
    <w:rsid w:val="00F90100"/>
    <w:pPr>
      <w:spacing w:after="0" w:line="240" w:lineRule="auto"/>
    </w:pPr>
    <w:tblPr>
      <w:tblStyleRowBandSize w:val="1"/>
      <w:tblStyleColBandSize w:val="1"/>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2">
    <w:name w:val="List Table 2"/>
    <w:basedOn w:val="TableNormal"/>
    <w:uiPriority w:val="47"/>
    <w:rsid w:val="00F90100"/>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F90100"/>
    <w:pPr>
      <w:spacing w:after="0" w:line="240" w:lineRule="auto"/>
    </w:pPr>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2-Accent2">
    <w:name w:val="List Table 2 Accent 2"/>
    <w:basedOn w:val="TableNormal"/>
    <w:uiPriority w:val="47"/>
    <w:rsid w:val="00F90100"/>
    <w:pPr>
      <w:spacing w:after="0" w:line="240" w:lineRule="auto"/>
    </w:pPr>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2-Accent3">
    <w:name w:val="List Table 2 Accent 3"/>
    <w:basedOn w:val="TableNormal"/>
    <w:uiPriority w:val="47"/>
    <w:rsid w:val="00F90100"/>
    <w:pPr>
      <w:spacing w:after="0" w:line="240" w:lineRule="auto"/>
    </w:pPr>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2-Accent4">
    <w:name w:val="List Table 2 Accent 4"/>
    <w:basedOn w:val="TableNormal"/>
    <w:uiPriority w:val="47"/>
    <w:rsid w:val="00F90100"/>
    <w:pPr>
      <w:spacing w:after="0" w:line="240" w:lineRule="auto"/>
    </w:pPr>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2-Accent5">
    <w:name w:val="List Table 2 Accent 5"/>
    <w:basedOn w:val="TableNormal"/>
    <w:uiPriority w:val="47"/>
    <w:rsid w:val="00F90100"/>
    <w:pPr>
      <w:spacing w:after="0" w:line="240" w:lineRule="auto"/>
    </w:pPr>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2-Accent6">
    <w:name w:val="List Table 2 Accent 6"/>
    <w:basedOn w:val="TableNormal"/>
    <w:uiPriority w:val="47"/>
    <w:rsid w:val="00F90100"/>
    <w:pPr>
      <w:spacing w:after="0" w:line="240" w:lineRule="auto"/>
    </w:pPr>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3">
    <w:name w:val="List Table 3"/>
    <w:basedOn w:val="TableNormal"/>
    <w:uiPriority w:val="48"/>
    <w:rsid w:val="00F90100"/>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F90100"/>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Table3-Accent2">
    <w:name w:val="List Table 3 Accent 2"/>
    <w:basedOn w:val="TableNormal"/>
    <w:uiPriority w:val="48"/>
    <w:rsid w:val="00F90100"/>
    <w:pPr>
      <w:spacing w:after="0" w:line="240" w:lineRule="auto"/>
    </w:p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stTable3-Accent3">
    <w:name w:val="List Table 3 Accent 3"/>
    <w:basedOn w:val="TableNormal"/>
    <w:uiPriority w:val="48"/>
    <w:rsid w:val="00F90100"/>
    <w:pPr>
      <w:spacing w:after="0" w:line="240" w:lineRule="auto"/>
    </w:p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ListTable3-Accent4">
    <w:name w:val="List Table 3 Accent 4"/>
    <w:basedOn w:val="TableNormal"/>
    <w:uiPriority w:val="48"/>
    <w:rsid w:val="00F90100"/>
    <w:pPr>
      <w:spacing w:after="0" w:line="240" w:lineRule="auto"/>
    </w:pPr>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ListTable3-Accent5">
    <w:name w:val="List Table 3 Accent 5"/>
    <w:basedOn w:val="TableNormal"/>
    <w:uiPriority w:val="48"/>
    <w:rsid w:val="00F90100"/>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ListTable3-Accent6">
    <w:name w:val="List Table 3 Accent 6"/>
    <w:basedOn w:val="TableNormal"/>
    <w:uiPriority w:val="48"/>
    <w:rsid w:val="00F90100"/>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ListTable4">
    <w:name w:val="List Table 4"/>
    <w:basedOn w:val="TableNormal"/>
    <w:uiPriority w:val="49"/>
    <w:rsid w:val="00F9010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F9010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4-Accent2">
    <w:name w:val="List Table 4 Accent 2"/>
    <w:basedOn w:val="TableNormal"/>
    <w:uiPriority w:val="49"/>
    <w:rsid w:val="00F90100"/>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4-Accent3">
    <w:name w:val="List Table 4 Accent 3"/>
    <w:basedOn w:val="TableNormal"/>
    <w:uiPriority w:val="49"/>
    <w:rsid w:val="00F9010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4-Accent4">
    <w:name w:val="List Table 4 Accent 4"/>
    <w:basedOn w:val="TableNormal"/>
    <w:uiPriority w:val="49"/>
    <w:rsid w:val="00F90100"/>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4-Accent5">
    <w:name w:val="List Table 4 Accent 5"/>
    <w:basedOn w:val="TableNormal"/>
    <w:uiPriority w:val="49"/>
    <w:rsid w:val="00F90100"/>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4-Accent6">
    <w:name w:val="List Table 4 Accent 6"/>
    <w:basedOn w:val="TableNormal"/>
    <w:uiPriority w:val="49"/>
    <w:rsid w:val="00F90100"/>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5Dark">
    <w:name w:val="List Table 5 Dark"/>
    <w:basedOn w:val="TableNormal"/>
    <w:uiPriority w:val="50"/>
    <w:rsid w:val="00F90100"/>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F90100"/>
    <w:pPr>
      <w:spacing w:after="0" w:line="240" w:lineRule="auto"/>
    </w:pPr>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F90100"/>
    <w:pPr>
      <w:spacing w:after="0" w:line="240" w:lineRule="auto"/>
    </w:pPr>
    <w:rPr>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F90100"/>
    <w:pPr>
      <w:spacing w:after="0" w:line="240" w:lineRule="auto"/>
    </w:pPr>
    <w:rPr>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F90100"/>
    <w:pPr>
      <w:spacing w:after="0" w:line="240" w:lineRule="auto"/>
    </w:pPr>
    <w:rPr>
      <w:color w:val="FFFFFF" w:themeColor="background1"/>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F90100"/>
    <w:pPr>
      <w:spacing w:after="0" w:line="240" w:lineRule="auto"/>
    </w:pPr>
    <w:rPr>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F90100"/>
    <w:pPr>
      <w:spacing w:after="0" w:line="240" w:lineRule="auto"/>
    </w:pPr>
    <w:rPr>
      <w:color w:val="FFFFFF" w:themeColor="background1"/>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F90100"/>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F90100"/>
    <w:pPr>
      <w:spacing w:after="0" w:line="240" w:lineRule="auto"/>
    </w:pPr>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6Colorful-Accent2">
    <w:name w:val="List Table 6 Colorful Accent 2"/>
    <w:basedOn w:val="TableNormal"/>
    <w:uiPriority w:val="51"/>
    <w:rsid w:val="00F90100"/>
    <w:pPr>
      <w:spacing w:after="0" w:line="240" w:lineRule="auto"/>
    </w:pPr>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6Colorful-Accent3">
    <w:name w:val="List Table 6 Colorful Accent 3"/>
    <w:basedOn w:val="TableNormal"/>
    <w:uiPriority w:val="51"/>
    <w:rsid w:val="00F90100"/>
    <w:pPr>
      <w:spacing w:after="0" w:line="240" w:lineRule="auto"/>
    </w:pPr>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6Colorful-Accent4">
    <w:name w:val="List Table 6 Colorful Accent 4"/>
    <w:basedOn w:val="TableNormal"/>
    <w:uiPriority w:val="51"/>
    <w:rsid w:val="00F90100"/>
    <w:pPr>
      <w:spacing w:after="0" w:line="240" w:lineRule="auto"/>
    </w:pPr>
    <w:rPr>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6Colorful-Accent5">
    <w:name w:val="List Table 6 Colorful Accent 5"/>
    <w:basedOn w:val="TableNormal"/>
    <w:uiPriority w:val="51"/>
    <w:rsid w:val="00F90100"/>
    <w:pPr>
      <w:spacing w:after="0" w:line="240" w:lineRule="auto"/>
    </w:pPr>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Accent6">
    <w:name w:val="List Table 6 Colorful Accent 6"/>
    <w:basedOn w:val="TableNormal"/>
    <w:uiPriority w:val="51"/>
    <w:rsid w:val="00F90100"/>
    <w:pPr>
      <w:spacing w:after="0" w:line="240" w:lineRule="auto"/>
    </w:pPr>
    <w:rPr>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7Colorful">
    <w:name w:val="List Table 7 Colorful"/>
    <w:basedOn w:val="TableNormal"/>
    <w:uiPriority w:val="52"/>
    <w:rsid w:val="00F90100"/>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F90100"/>
    <w:pPr>
      <w:spacing w:after="0" w:line="240" w:lineRule="auto"/>
    </w:pPr>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F90100"/>
    <w:pPr>
      <w:spacing w:after="0" w:line="240" w:lineRule="auto"/>
    </w:pPr>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F90100"/>
    <w:pPr>
      <w:spacing w:after="0" w:line="240" w:lineRule="auto"/>
    </w:pPr>
    <w:rPr>
      <w:color w:val="7692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F90100"/>
    <w:pPr>
      <w:spacing w:after="0" w:line="240" w:lineRule="auto"/>
    </w:pPr>
    <w:rPr>
      <w:color w:val="5F497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F90100"/>
    <w:pPr>
      <w:spacing w:after="0" w:line="240" w:lineRule="auto"/>
    </w:pPr>
    <w:rPr>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F90100"/>
    <w:pPr>
      <w:spacing w:after="0" w:line="240" w:lineRule="auto"/>
    </w:pPr>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1">
    <w:name w:val="Plain Table 1"/>
    <w:basedOn w:val="TableNormal"/>
    <w:uiPriority w:val="41"/>
    <w:rsid w:val="00F9010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F9010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F9010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F9010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F9010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40"/>
    <w:rsid w:val="00F9010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20">
    <w:name w:val="Table Grid2"/>
    <w:basedOn w:val="TableNormal"/>
    <w:next w:val="TableGrid"/>
    <w:uiPriority w:val="39"/>
    <w:rsid w:val="00E452BC"/>
    <w:pPr>
      <w:spacing w:after="0" w:line="240" w:lineRule="auto"/>
      <w:jc w:val="both"/>
    </w:pPr>
    <w:rPr>
      <w:rFonts w:ascii="Arial" w:hAnsi="Arial"/>
      <w:color w:val="58595B"/>
      <w:sz w:val="20"/>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361981496">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hyperlink" Target="https://www.ncbi.nlm.nih.gov/sra/SRX546124%5baccn%5d"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hyperlink" Target="https://www.ncbi.nlm.nih.gov/biosample/SAMN13134218/"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github.com/lh3/seqtk"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9D74BE90-7F0E-4DFB-8BE0-DBBFAAF10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93621</Words>
  <Characters>533641</Characters>
  <Application>Microsoft Office Word</Application>
  <DocSecurity>0</DocSecurity>
  <Lines>4447</Lines>
  <Paragraphs>1252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2021-10-20T11:56:00Z</dcterms:created>
  <dcterms:modified xsi:type="dcterms:W3CDTF">2021-10-22T10:41:00Z</dcterms:modified>
</cp:coreProperties>
</file>